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119C3" w14:textId="77777777" w:rsidR="00040C3A" w:rsidRPr="0090270B" w:rsidRDefault="00D306D1" w:rsidP="002D4C9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022888" wp14:editId="75D9B20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3C10D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8EF74E" wp14:editId="76B239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953DD" w14:textId="77777777" w:rsidR="006C35D0" w:rsidRDefault="006C35D0" w:rsidP="00AE5488">
                            <w:r>
                              <w:rPr>
                                <w:noProof/>
                              </w:rPr>
                              <w:drawing>
                                <wp:inline distT="0" distB="0" distL="0" distR="0" wp14:anchorId="32734286" wp14:editId="0ACBDDA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4B953DD" w14:textId="77777777" w:rsidR="006C35D0" w:rsidRDefault="006C35D0" w:rsidP="00AE5488">
                      <w:r>
                        <w:rPr>
                          <w:noProof/>
                        </w:rPr>
                        <w:drawing>
                          <wp:inline distT="0" distB="0" distL="0" distR="0" wp14:anchorId="32734286" wp14:editId="0ACBDDA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596140D" w14:textId="77777777" w:rsidR="00040C3A" w:rsidRPr="0090270B" w:rsidRDefault="00040C3A" w:rsidP="002D4C97">
      <w:pPr>
        <w:tabs>
          <w:tab w:val="center" w:pos="5400"/>
        </w:tabs>
        <w:suppressAutoHyphens/>
        <w:jc w:val="both"/>
        <w:rPr>
          <w:rFonts w:asciiTheme="majorHAnsi" w:hAnsiTheme="majorHAnsi"/>
          <w:sz w:val="22"/>
          <w:szCs w:val="22"/>
          <w:lang w:val="es-ES"/>
        </w:rPr>
      </w:pPr>
    </w:p>
    <w:p w14:paraId="698BF1C4" w14:textId="77777777" w:rsidR="00040C3A" w:rsidRPr="0090270B" w:rsidRDefault="00040C3A" w:rsidP="002D4C97">
      <w:pPr>
        <w:tabs>
          <w:tab w:val="center" w:pos="5400"/>
        </w:tabs>
        <w:suppressAutoHyphens/>
        <w:jc w:val="both"/>
        <w:rPr>
          <w:rFonts w:asciiTheme="majorHAnsi" w:hAnsiTheme="majorHAnsi"/>
          <w:sz w:val="22"/>
          <w:szCs w:val="22"/>
          <w:lang w:val="es-ES"/>
        </w:rPr>
      </w:pPr>
    </w:p>
    <w:p w14:paraId="38C6CB23" w14:textId="77777777" w:rsidR="005128E4" w:rsidRPr="0090270B" w:rsidRDefault="005128E4" w:rsidP="002D4C97">
      <w:pPr>
        <w:tabs>
          <w:tab w:val="center" w:pos="5400"/>
        </w:tabs>
        <w:suppressAutoHyphens/>
        <w:rPr>
          <w:rFonts w:asciiTheme="majorHAnsi" w:hAnsiTheme="majorHAnsi"/>
          <w:sz w:val="22"/>
          <w:szCs w:val="22"/>
          <w:lang w:val="es-ES_tradnl"/>
        </w:rPr>
      </w:pPr>
    </w:p>
    <w:p w14:paraId="3D6BDCE0" w14:textId="77777777" w:rsidR="005128E4" w:rsidRPr="0090270B" w:rsidRDefault="005128E4" w:rsidP="002D4C97">
      <w:pPr>
        <w:tabs>
          <w:tab w:val="center" w:pos="5400"/>
        </w:tabs>
        <w:suppressAutoHyphens/>
        <w:rPr>
          <w:rFonts w:asciiTheme="majorHAnsi" w:hAnsiTheme="majorHAnsi"/>
          <w:sz w:val="22"/>
          <w:szCs w:val="22"/>
          <w:lang w:val="es-ES_tradnl"/>
        </w:rPr>
      </w:pPr>
    </w:p>
    <w:p w14:paraId="6E054B13" w14:textId="77777777" w:rsidR="005128E4" w:rsidRPr="0090270B" w:rsidRDefault="005128E4" w:rsidP="002D4C97">
      <w:pPr>
        <w:tabs>
          <w:tab w:val="center" w:pos="5400"/>
        </w:tabs>
        <w:suppressAutoHyphens/>
        <w:rPr>
          <w:rFonts w:asciiTheme="majorHAnsi" w:hAnsiTheme="majorHAnsi"/>
          <w:sz w:val="22"/>
          <w:szCs w:val="22"/>
          <w:lang w:val="es-ES_tradnl"/>
        </w:rPr>
      </w:pPr>
    </w:p>
    <w:p w14:paraId="5C1DFF9A"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05E39FC6"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087526D4" w14:textId="77777777" w:rsidR="005B52B0" w:rsidRPr="0090270B" w:rsidRDefault="005B52B0" w:rsidP="002D4C97">
      <w:pPr>
        <w:tabs>
          <w:tab w:val="center" w:pos="5400"/>
        </w:tabs>
        <w:suppressAutoHyphens/>
        <w:jc w:val="center"/>
        <w:rPr>
          <w:rFonts w:asciiTheme="majorHAnsi" w:hAnsiTheme="majorHAnsi"/>
          <w:sz w:val="22"/>
          <w:szCs w:val="22"/>
          <w:lang w:val="es-ES_tradnl"/>
        </w:rPr>
      </w:pPr>
    </w:p>
    <w:p w14:paraId="115F59D3" w14:textId="77777777" w:rsidR="005B52B0" w:rsidRPr="0090270B" w:rsidRDefault="005B52B0" w:rsidP="002D4C97">
      <w:pPr>
        <w:tabs>
          <w:tab w:val="center" w:pos="5400"/>
        </w:tabs>
        <w:suppressAutoHyphens/>
        <w:jc w:val="center"/>
        <w:rPr>
          <w:rFonts w:asciiTheme="majorHAnsi" w:hAnsiTheme="majorHAnsi"/>
          <w:sz w:val="22"/>
          <w:szCs w:val="22"/>
          <w:lang w:val="es-ES_tradnl"/>
        </w:rPr>
      </w:pPr>
    </w:p>
    <w:p w14:paraId="1205C015" w14:textId="77777777" w:rsidR="005B52B0" w:rsidRPr="0090270B" w:rsidRDefault="005B52B0" w:rsidP="002D4C97">
      <w:pPr>
        <w:tabs>
          <w:tab w:val="center" w:pos="5400"/>
        </w:tabs>
        <w:suppressAutoHyphens/>
        <w:jc w:val="center"/>
        <w:rPr>
          <w:rFonts w:asciiTheme="majorHAnsi" w:hAnsiTheme="majorHAnsi"/>
          <w:sz w:val="22"/>
          <w:szCs w:val="22"/>
          <w:lang w:val="es-ES_tradnl"/>
        </w:rPr>
      </w:pPr>
    </w:p>
    <w:p w14:paraId="01A6A399"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70DEE05F"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31529AC5" w14:textId="77777777" w:rsidR="00040C3A" w:rsidRPr="0090270B" w:rsidRDefault="003D3BC2" w:rsidP="002D4C9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E543532" wp14:editId="6F898F6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EBE1A" w14:textId="0DF71B0C" w:rsidR="006C35D0" w:rsidRPr="00516806" w:rsidRDefault="006C35D0" w:rsidP="00997BC5">
                            <w:pPr>
                              <w:spacing w:line="276" w:lineRule="auto"/>
                              <w:rPr>
                                <w:rFonts w:asciiTheme="majorHAnsi" w:hAnsiTheme="majorHAnsi" w:cs="Arial"/>
                                <w:b/>
                                <w:bCs/>
                                <w:color w:val="0D0D0D" w:themeColor="text1" w:themeTint="F2"/>
                                <w:sz w:val="36"/>
                                <w:szCs w:val="22"/>
                                <w:lang w:val="es-ES"/>
                              </w:rPr>
                            </w:pPr>
                            <w:r w:rsidRPr="00516806">
                              <w:rPr>
                                <w:rFonts w:asciiTheme="majorHAnsi" w:hAnsiTheme="majorHAnsi" w:cs="Arial"/>
                                <w:b/>
                                <w:bCs/>
                                <w:color w:val="0D0D0D" w:themeColor="text1" w:themeTint="F2"/>
                                <w:sz w:val="36"/>
                                <w:szCs w:val="22"/>
                                <w:lang w:val="es-ES"/>
                              </w:rPr>
                              <w:t xml:space="preserve">INFORME </w:t>
                            </w:r>
                            <w:r w:rsidRPr="00516806">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157/18</w:t>
                            </w:r>
                          </w:p>
                          <w:p w14:paraId="091FA525" w14:textId="77777777" w:rsidR="006C35D0" w:rsidRPr="00B146C0" w:rsidRDefault="006C35D0" w:rsidP="00997BC5">
                            <w:pPr>
                              <w:spacing w:line="276" w:lineRule="auto"/>
                              <w:rPr>
                                <w:rFonts w:asciiTheme="majorHAnsi" w:hAnsiTheme="majorHAnsi" w:cs="Arial"/>
                                <w:b/>
                                <w:color w:val="0D0D0D" w:themeColor="text1" w:themeTint="F2"/>
                                <w:sz w:val="36"/>
                                <w:szCs w:val="22"/>
                                <w:lang w:val="es-CO"/>
                              </w:rPr>
                            </w:pPr>
                            <w:r w:rsidRPr="00B146C0">
                              <w:rPr>
                                <w:rFonts w:asciiTheme="majorHAnsi" w:hAnsiTheme="majorHAnsi" w:cs="Arial"/>
                                <w:b/>
                                <w:color w:val="0D0D0D" w:themeColor="text1" w:themeTint="F2"/>
                                <w:sz w:val="36"/>
                                <w:szCs w:val="22"/>
                                <w:lang w:val="es-CO"/>
                              </w:rPr>
                              <w:t>CASO 13.051</w:t>
                            </w:r>
                          </w:p>
                          <w:p w14:paraId="1E0F2AAD" w14:textId="77777777" w:rsidR="006C35D0" w:rsidRPr="0010736F" w:rsidRDefault="006C35D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46E4E518" w14:textId="77777777" w:rsidR="006C35D0" w:rsidRPr="0010736F" w:rsidRDefault="006C35D0" w:rsidP="00997BC5">
                            <w:pPr>
                              <w:spacing w:line="276" w:lineRule="auto"/>
                              <w:rPr>
                                <w:rFonts w:asciiTheme="majorHAnsi" w:hAnsiTheme="majorHAnsi" w:cs="Arial"/>
                                <w:color w:val="0D0D0D" w:themeColor="text1" w:themeTint="F2"/>
                                <w:szCs w:val="22"/>
                                <w:lang w:val="es-ES_tradnl"/>
                              </w:rPr>
                            </w:pPr>
                            <w:bookmarkStart w:id="0" w:name="_ftnref1"/>
                          </w:p>
                          <w:p w14:paraId="5635B70A" w14:textId="77777777" w:rsidR="006C35D0" w:rsidRPr="0010736F" w:rsidRDefault="006C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VICKY HERNÁNDEZ Y FAMILIA</w:t>
                            </w:r>
                          </w:p>
                          <w:bookmarkEnd w:id="0"/>
                          <w:p w14:paraId="65BBD4FF" w14:textId="77777777" w:rsidR="006C35D0" w:rsidRPr="0010736F" w:rsidRDefault="006C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71E716B9" w14:textId="77777777" w:rsidR="006C35D0" w:rsidRPr="00AE5488" w:rsidRDefault="006C35D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28EBE1A" w14:textId="0DF71B0C" w:rsidR="006C35D0" w:rsidRPr="00516806" w:rsidRDefault="006C35D0" w:rsidP="00997BC5">
                      <w:pPr>
                        <w:spacing w:line="276" w:lineRule="auto"/>
                        <w:rPr>
                          <w:rFonts w:asciiTheme="majorHAnsi" w:hAnsiTheme="majorHAnsi" w:cs="Arial"/>
                          <w:b/>
                          <w:bCs/>
                          <w:color w:val="0D0D0D" w:themeColor="text1" w:themeTint="F2"/>
                          <w:sz w:val="36"/>
                          <w:szCs w:val="22"/>
                          <w:lang w:val="es-ES"/>
                        </w:rPr>
                      </w:pPr>
                      <w:r w:rsidRPr="00516806">
                        <w:rPr>
                          <w:rFonts w:asciiTheme="majorHAnsi" w:hAnsiTheme="majorHAnsi" w:cs="Arial"/>
                          <w:b/>
                          <w:bCs/>
                          <w:color w:val="0D0D0D" w:themeColor="text1" w:themeTint="F2"/>
                          <w:sz w:val="36"/>
                          <w:szCs w:val="22"/>
                          <w:lang w:val="es-ES"/>
                        </w:rPr>
                        <w:t xml:space="preserve">INFORME </w:t>
                      </w:r>
                      <w:r w:rsidRPr="00516806">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157/18</w:t>
                      </w:r>
                    </w:p>
                    <w:p w14:paraId="091FA525" w14:textId="77777777" w:rsidR="006C35D0" w:rsidRPr="00B146C0" w:rsidRDefault="006C35D0" w:rsidP="00997BC5">
                      <w:pPr>
                        <w:spacing w:line="276" w:lineRule="auto"/>
                        <w:rPr>
                          <w:rFonts w:asciiTheme="majorHAnsi" w:hAnsiTheme="majorHAnsi" w:cs="Arial"/>
                          <w:b/>
                          <w:color w:val="0D0D0D" w:themeColor="text1" w:themeTint="F2"/>
                          <w:sz w:val="36"/>
                          <w:szCs w:val="22"/>
                          <w:lang w:val="es-CO"/>
                        </w:rPr>
                      </w:pPr>
                      <w:r w:rsidRPr="00B146C0">
                        <w:rPr>
                          <w:rFonts w:asciiTheme="majorHAnsi" w:hAnsiTheme="majorHAnsi" w:cs="Arial"/>
                          <w:b/>
                          <w:color w:val="0D0D0D" w:themeColor="text1" w:themeTint="F2"/>
                          <w:sz w:val="36"/>
                          <w:szCs w:val="22"/>
                          <w:lang w:val="es-CO"/>
                        </w:rPr>
                        <w:t>CASO 13.051</w:t>
                      </w:r>
                    </w:p>
                    <w:p w14:paraId="1E0F2AAD" w14:textId="77777777" w:rsidR="006C35D0" w:rsidRPr="0010736F" w:rsidRDefault="006C35D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46E4E518" w14:textId="77777777" w:rsidR="006C35D0" w:rsidRPr="0010736F" w:rsidRDefault="006C35D0" w:rsidP="00997BC5">
                      <w:pPr>
                        <w:spacing w:line="276" w:lineRule="auto"/>
                        <w:rPr>
                          <w:rFonts w:asciiTheme="majorHAnsi" w:hAnsiTheme="majorHAnsi" w:cs="Arial"/>
                          <w:color w:val="0D0D0D" w:themeColor="text1" w:themeTint="F2"/>
                          <w:szCs w:val="22"/>
                          <w:lang w:val="es-ES_tradnl"/>
                        </w:rPr>
                      </w:pPr>
                      <w:bookmarkStart w:id="1" w:name="_ftnref1"/>
                    </w:p>
                    <w:p w14:paraId="5635B70A" w14:textId="77777777" w:rsidR="006C35D0" w:rsidRPr="0010736F" w:rsidRDefault="006C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VICKY HERNÁNDEZ Y FAMILIA</w:t>
                      </w:r>
                    </w:p>
                    <w:bookmarkEnd w:id="1"/>
                    <w:p w14:paraId="65BBD4FF" w14:textId="77777777" w:rsidR="006C35D0" w:rsidRPr="0010736F" w:rsidRDefault="006C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71E716B9" w14:textId="77777777" w:rsidR="006C35D0" w:rsidRPr="00AE5488" w:rsidRDefault="006C35D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4F9D98" wp14:editId="085D79C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81B61" w14:textId="5E4FC5E7" w:rsidR="006C35D0" w:rsidRPr="004E2649" w:rsidRDefault="006C35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14:paraId="132F5812" w14:textId="33D7D855" w:rsidR="006C35D0" w:rsidRPr="004E2649" w:rsidRDefault="006C35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179</w:t>
                            </w:r>
                          </w:p>
                          <w:p w14:paraId="1A525986" w14:textId="20E393F0" w:rsidR="006C35D0" w:rsidRPr="007C756A" w:rsidRDefault="006C35D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diciembre 2018</w:t>
                            </w:r>
                          </w:p>
                          <w:p w14:paraId="644118E2" w14:textId="77777777" w:rsidR="006C35D0" w:rsidRPr="007C756A" w:rsidRDefault="006C35D0"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3A81B61" w14:textId="5E4FC5E7" w:rsidR="006C35D0" w:rsidRPr="004E2649" w:rsidRDefault="006C35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14:paraId="132F5812" w14:textId="33D7D855" w:rsidR="006C35D0" w:rsidRPr="004E2649" w:rsidRDefault="006C35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179</w:t>
                      </w:r>
                    </w:p>
                    <w:p w14:paraId="1A525986" w14:textId="20E393F0" w:rsidR="006C35D0" w:rsidRPr="007C756A" w:rsidRDefault="006C35D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diciembre 2018</w:t>
                      </w:r>
                    </w:p>
                    <w:p w14:paraId="644118E2" w14:textId="77777777" w:rsidR="006C35D0" w:rsidRPr="007C756A" w:rsidRDefault="006C35D0"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49083921"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5B847E5A"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04F03AF6" w14:textId="77777777" w:rsidR="00040C3A" w:rsidRPr="0090270B" w:rsidRDefault="00040C3A" w:rsidP="002D4C97">
      <w:pPr>
        <w:tabs>
          <w:tab w:val="center" w:pos="5400"/>
        </w:tabs>
        <w:suppressAutoHyphens/>
        <w:jc w:val="center"/>
        <w:rPr>
          <w:rFonts w:asciiTheme="majorHAnsi" w:hAnsiTheme="majorHAnsi" w:cs="Arial"/>
          <w:sz w:val="22"/>
          <w:szCs w:val="22"/>
          <w:lang w:val="es-ES_tradnl"/>
        </w:rPr>
      </w:pPr>
    </w:p>
    <w:p w14:paraId="0F1290F0"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564F090C"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311B049A"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748C495B"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44E717DA" w14:textId="77777777" w:rsidR="005128E4" w:rsidRPr="0090270B" w:rsidRDefault="005128E4" w:rsidP="002D4C97">
      <w:pPr>
        <w:tabs>
          <w:tab w:val="center" w:pos="5400"/>
        </w:tabs>
        <w:suppressAutoHyphens/>
        <w:jc w:val="center"/>
        <w:rPr>
          <w:rFonts w:asciiTheme="majorHAnsi" w:hAnsiTheme="majorHAnsi"/>
          <w:sz w:val="22"/>
          <w:szCs w:val="22"/>
          <w:lang w:val="es-ES_tradnl"/>
        </w:rPr>
      </w:pPr>
    </w:p>
    <w:p w14:paraId="708AE055"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1ACD0A6D" w14:textId="77777777" w:rsidR="005128E4" w:rsidRPr="0090270B" w:rsidRDefault="005128E4" w:rsidP="002D4C97">
      <w:pPr>
        <w:tabs>
          <w:tab w:val="center" w:pos="5400"/>
        </w:tabs>
        <w:suppressAutoHyphens/>
        <w:jc w:val="center"/>
        <w:rPr>
          <w:rFonts w:asciiTheme="majorHAnsi" w:hAnsiTheme="majorHAnsi"/>
          <w:sz w:val="22"/>
          <w:szCs w:val="22"/>
          <w:lang w:val="es-ES_tradnl"/>
        </w:rPr>
      </w:pPr>
    </w:p>
    <w:p w14:paraId="4715C0A7" w14:textId="77777777" w:rsidR="005128E4" w:rsidRPr="0090270B" w:rsidRDefault="005128E4" w:rsidP="002D4C97">
      <w:pPr>
        <w:tabs>
          <w:tab w:val="center" w:pos="5400"/>
        </w:tabs>
        <w:suppressAutoHyphens/>
        <w:jc w:val="center"/>
        <w:rPr>
          <w:rFonts w:asciiTheme="majorHAnsi" w:hAnsiTheme="majorHAnsi"/>
          <w:sz w:val="22"/>
          <w:szCs w:val="22"/>
          <w:lang w:val="es-ES_tradnl"/>
        </w:rPr>
      </w:pPr>
    </w:p>
    <w:p w14:paraId="288CA455" w14:textId="77777777" w:rsidR="005128E4" w:rsidRPr="0090270B" w:rsidRDefault="005128E4" w:rsidP="002D4C97">
      <w:pPr>
        <w:tabs>
          <w:tab w:val="center" w:pos="5400"/>
        </w:tabs>
        <w:suppressAutoHyphens/>
        <w:jc w:val="center"/>
        <w:rPr>
          <w:rFonts w:asciiTheme="majorHAnsi" w:hAnsiTheme="majorHAnsi"/>
          <w:sz w:val="22"/>
          <w:szCs w:val="22"/>
          <w:lang w:val="es-ES_tradnl"/>
        </w:rPr>
      </w:pPr>
    </w:p>
    <w:p w14:paraId="3689064E"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41C3A55E" w14:textId="77777777" w:rsidR="00040C3A" w:rsidRPr="0090270B" w:rsidRDefault="00040C3A" w:rsidP="002D4C97">
      <w:pPr>
        <w:tabs>
          <w:tab w:val="center" w:pos="5400"/>
        </w:tabs>
        <w:suppressAutoHyphens/>
        <w:jc w:val="center"/>
        <w:rPr>
          <w:rFonts w:asciiTheme="majorHAnsi" w:hAnsiTheme="majorHAnsi"/>
          <w:sz w:val="22"/>
          <w:szCs w:val="22"/>
          <w:lang w:val="es-ES_tradnl"/>
        </w:rPr>
      </w:pPr>
    </w:p>
    <w:p w14:paraId="09ABE87C"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23028EA7"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34275996"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64A49CD1"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1A20E927"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7B9D2DDE"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57F5A066"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0517418D"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683A5F30"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2262B1A5"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3F45CE6C"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740CEA03"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2E7A5AB2"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26F61DD5"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4AE32C93" w14:textId="77777777" w:rsidR="00A50FCF" w:rsidRPr="0090270B" w:rsidRDefault="0090270B" w:rsidP="002D4C9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516A669" wp14:editId="50FAC41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86D5E" w14:textId="728EFD01" w:rsidR="006C35D0" w:rsidRDefault="006C35D0"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170º</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sidRPr="00D03259">
                              <w:rPr>
                                <w:rFonts w:asciiTheme="majorHAnsi" w:hAnsiTheme="majorHAnsi" w:cs="Univers"/>
                                <w:color w:val="0D0D0D" w:themeColor="text1" w:themeTint="F2"/>
                                <w:sz w:val="18"/>
                                <w:szCs w:val="20"/>
                                <w:lang w:val="es-ES_tradnl"/>
                              </w:rPr>
                              <w:t>Ordinario</w:t>
                            </w:r>
                            <w:r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14:paraId="728D12A3" w14:textId="77777777" w:rsidR="006C35D0" w:rsidRPr="00167A34" w:rsidRDefault="006C35D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9786D5E" w14:textId="728EFD01" w:rsidR="006C35D0" w:rsidRDefault="006C35D0"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170º</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sidRPr="00D03259">
                        <w:rPr>
                          <w:rFonts w:asciiTheme="majorHAnsi" w:hAnsiTheme="majorHAnsi" w:cs="Univers"/>
                          <w:color w:val="0D0D0D" w:themeColor="text1" w:themeTint="F2"/>
                          <w:sz w:val="18"/>
                          <w:szCs w:val="20"/>
                          <w:lang w:val="es-ES_tradnl"/>
                        </w:rPr>
                        <w:t>Ordinario</w:t>
                      </w:r>
                      <w:r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14:paraId="728D12A3" w14:textId="77777777" w:rsidR="006C35D0" w:rsidRPr="00167A34" w:rsidRDefault="006C35D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831E616"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7D5495EE"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3108D7A7"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3B45F5D0"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05F405BB" w14:textId="77777777" w:rsidR="00A50FCF" w:rsidRPr="0090270B" w:rsidRDefault="0090270B" w:rsidP="002D4C9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F408350" wp14:editId="28FA645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96911" w14:textId="65074452" w:rsidR="006C35D0" w:rsidRPr="007C756A" w:rsidRDefault="006C35D0" w:rsidP="00113F73">
                            <w:pPr>
                              <w:spacing w:line="276" w:lineRule="auto"/>
                              <w:rPr>
                                <w:rFonts w:asciiTheme="majorHAnsi" w:hAnsiTheme="majorHAnsi"/>
                                <w:color w:val="595959" w:themeColor="text1" w:themeTint="A6"/>
                                <w:sz w:val="18"/>
                                <w:szCs w:val="18"/>
                                <w:lang w:val="es-US"/>
                              </w:rPr>
                            </w:pPr>
                            <w:r w:rsidRPr="00B146C0">
                              <w:rPr>
                                <w:rFonts w:asciiTheme="majorHAnsi" w:hAnsiTheme="majorHAnsi"/>
                                <w:b/>
                                <w:color w:val="595959" w:themeColor="text1" w:themeTint="A6"/>
                                <w:sz w:val="18"/>
                                <w:szCs w:val="18"/>
                                <w:lang w:val="pt-BR"/>
                              </w:rPr>
                              <w:t>Citar como:</w:t>
                            </w:r>
                            <w:r w:rsidRPr="00B146C0">
                              <w:rPr>
                                <w:rFonts w:asciiTheme="majorHAnsi" w:hAnsiTheme="majorHAnsi"/>
                                <w:color w:val="595959" w:themeColor="text1" w:themeTint="A6"/>
                                <w:sz w:val="18"/>
                                <w:szCs w:val="18"/>
                                <w:lang w:val="pt-BR"/>
                              </w:rPr>
                              <w:t xml:space="preserve"> CIDH.</w:t>
                            </w:r>
                            <w:r w:rsidR="0083601A">
                              <w:rPr>
                                <w:rFonts w:asciiTheme="majorHAnsi" w:hAnsiTheme="majorHAnsi"/>
                                <w:color w:val="595959" w:themeColor="text1" w:themeTint="A6"/>
                                <w:sz w:val="18"/>
                                <w:szCs w:val="18"/>
                                <w:lang w:val="pt-BR"/>
                              </w:rPr>
                              <w:t xml:space="preserve"> </w:t>
                            </w:r>
                            <w:r w:rsidR="0083601A" w:rsidRPr="00B37F55">
                              <w:rPr>
                                <w:rFonts w:asciiTheme="majorHAnsi" w:hAnsiTheme="majorHAnsi"/>
                                <w:color w:val="595959" w:themeColor="text1" w:themeTint="A6"/>
                                <w:sz w:val="18"/>
                                <w:szCs w:val="18"/>
                                <w:lang w:val="pt-BR"/>
                              </w:rPr>
                              <w:t>Informe No. 157/18</w:t>
                            </w:r>
                            <w:r w:rsidRPr="00B37F55">
                              <w:rPr>
                                <w:rFonts w:asciiTheme="majorHAnsi" w:hAnsiTheme="majorHAnsi"/>
                                <w:color w:val="595959" w:themeColor="text1" w:themeTint="A6"/>
                                <w:sz w:val="18"/>
                                <w:szCs w:val="18"/>
                                <w:lang w:val="pt-BR"/>
                              </w:rPr>
                              <w:t xml:space="preserve">. </w:t>
                            </w:r>
                            <w:r w:rsidR="0083601A">
                              <w:rPr>
                                <w:rFonts w:asciiTheme="majorHAnsi" w:hAnsiTheme="majorHAnsi"/>
                                <w:color w:val="595959" w:themeColor="text1" w:themeTint="A6"/>
                                <w:sz w:val="18"/>
                                <w:szCs w:val="18"/>
                                <w:lang w:val="es-ES_tradnl"/>
                              </w:rPr>
                              <w:t>Caso 13.051</w:t>
                            </w:r>
                            <w:r>
                              <w:rPr>
                                <w:rFonts w:asciiTheme="majorHAnsi" w:hAnsiTheme="majorHAnsi"/>
                                <w:color w:val="595959" w:themeColor="text1" w:themeTint="A6"/>
                                <w:sz w:val="18"/>
                                <w:szCs w:val="18"/>
                                <w:lang w:val="es-ES_tradnl"/>
                              </w:rPr>
                              <w:t>. Fondo</w:t>
                            </w:r>
                            <w:r w:rsidRPr="00890650">
                              <w:rPr>
                                <w:rFonts w:asciiTheme="majorHAnsi" w:hAnsiTheme="majorHAnsi"/>
                                <w:color w:val="595959" w:themeColor="text1" w:themeTint="A6"/>
                                <w:sz w:val="18"/>
                                <w:szCs w:val="18"/>
                                <w:lang w:val="es-ES_tradnl"/>
                              </w:rPr>
                              <w:t xml:space="preserve">. </w:t>
                            </w:r>
                            <w:r w:rsidR="0083601A">
                              <w:rPr>
                                <w:rFonts w:asciiTheme="majorHAnsi" w:hAnsiTheme="majorHAnsi"/>
                                <w:color w:val="595959" w:themeColor="text1" w:themeTint="A6"/>
                                <w:sz w:val="18"/>
                                <w:szCs w:val="18"/>
                                <w:lang w:val="es-ES_tradnl"/>
                              </w:rPr>
                              <w:t>Vicky Hernández y Familia</w:t>
                            </w:r>
                            <w:r w:rsidRPr="00890650">
                              <w:rPr>
                                <w:rFonts w:asciiTheme="majorHAnsi" w:hAnsiTheme="majorHAnsi"/>
                                <w:color w:val="595959" w:themeColor="text1" w:themeTint="A6"/>
                                <w:sz w:val="18"/>
                                <w:szCs w:val="18"/>
                                <w:lang w:val="es-ES_tradnl"/>
                              </w:rPr>
                              <w:t xml:space="preserve">. </w:t>
                            </w:r>
                            <w:r w:rsidR="0083601A">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w:t>
                            </w:r>
                            <w:r w:rsidR="0083601A">
                              <w:rPr>
                                <w:rFonts w:asciiTheme="majorHAnsi" w:hAnsiTheme="majorHAnsi"/>
                                <w:color w:val="595959" w:themeColor="text1" w:themeTint="A6"/>
                                <w:sz w:val="18"/>
                                <w:szCs w:val="18"/>
                                <w:lang w:val="es-US"/>
                              </w:rPr>
                              <w:t xml:space="preserve"> 7 diciembre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0C96911" w14:textId="65074452" w:rsidR="006C35D0" w:rsidRPr="007C756A" w:rsidRDefault="006C35D0" w:rsidP="00113F73">
                      <w:pPr>
                        <w:spacing w:line="276" w:lineRule="auto"/>
                        <w:rPr>
                          <w:rFonts w:asciiTheme="majorHAnsi" w:hAnsiTheme="majorHAnsi"/>
                          <w:color w:val="595959" w:themeColor="text1" w:themeTint="A6"/>
                          <w:sz w:val="18"/>
                          <w:szCs w:val="18"/>
                          <w:lang w:val="es-US"/>
                        </w:rPr>
                      </w:pPr>
                      <w:r w:rsidRPr="00B146C0">
                        <w:rPr>
                          <w:rFonts w:asciiTheme="majorHAnsi" w:hAnsiTheme="majorHAnsi"/>
                          <w:b/>
                          <w:color w:val="595959" w:themeColor="text1" w:themeTint="A6"/>
                          <w:sz w:val="18"/>
                          <w:szCs w:val="18"/>
                          <w:lang w:val="pt-BR"/>
                        </w:rPr>
                        <w:t>Citar como:</w:t>
                      </w:r>
                      <w:r w:rsidRPr="00B146C0">
                        <w:rPr>
                          <w:rFonts w:asciiTheme="majorHAnsi" w:hAnsiTheme="majorHAnsi"/>
                          <w:color w:val="595959" w:themeColor="text1" w:themeTint="A6"/>
                          <w:sz w:val="18"/>
                          <w:szCs w:val="18"/>
                          <w:lang w:val="pt-BR"/>
                        </w:rPr>
                        <w:t xml:space="preserve"> CIDH.</w:t>
                      </w:r>
                      <w:r w:rsidR="0083601A">
                        <w:rPr>
                          <w:rFonts w:asciiTheme="majorHAnsi" w:hAnsiTheme="majorHAnsi"/>
                          <w:color w:val="595959" w:themeColor="text1" w:themeTint="A6"/>
                          <w:sz w:val="18"/>
                          <w:szCs w:val="18"/>
                          <w:lang w:val="pt-BR"/>
                        </w:rPr>
                        <w:t xml:space="preserve"> </w:t>
                      </w:r>
                      <w:r w:rsidR="0083601A" w:rsidRPr="0083601A">
                        <w:rPr>
                          <w:rFonts w:asciiTheme="majorHAnsi" w:hAnsiTheme="majorHAnsi"/>
                          <w:color w:val="595959" w:themeColor="text1" w:themeTint="A6"/>
                          <w:sz w:val="18"/>
                          <w:szCs w:val="18"/>
                          <w:lang w:val="es-VE"/>
                        </w:rPr>
                        <w:t>Informe No. 157/18</w:t>
                      </w:r>
                      <w:r w:rsidRPr="0083601A">
                        <w:rPr>
                          <w:rFonts w:asciiTheme="majorHAnsi" w:hAnsiTheme="majorHAnsi"/>
                          <w:color w:val="595959" w:themeColor="text1" w:themeTint="A6"/>
                          <w:sz w:val="18"/>
                          <w:szCs w:val="18"/>
                          <w:lang w:val="es-VE"/>
                        </w:rPr>
                        <w:t xml:space="preserve">. </w:t>
                      </w:r>
                      <w:r w:rsidR="0083601A">
                        <w:rPr>
                          <w:rFonts w:asciiTheme="majorHAnsi" w:hAnsiTheme="majorHAnsi"/>
                          <w:color w:val="595959" w:themeColor="text1" w:themeTint="A6"/>
                          <w:sz w:val="18"/>
                          <w:szCs w:val="18"/>
                          <w:lang w:val="es-ES_tradnl"/>
                        </w:rPr>
                        <w:t>Caso 13.051</w:t>
                      </w:r>
                      <w:r>
                        <w:rPr>
                          <w:rFonts w:asciiTheme="majorHAnsi" w:hAnsiTheme="majorHAnsi"/>
                          <w:color w:val="595959" w:themeColor="text1" w:themeTint="A6"/>
                          <w:sz w:val="18"/>
                          <w:szCs w:val="18"/>
                          <w:lang w:val="es-ES_tradnl"/>
                        </w:rPr>
                        <w:t>. Fondo</w:t>
                      </w:r>
                      <w:r w:rsidRPr="00890650">
                        <w:rPr>
                          <w:rFonts w:asciiTheme="majorHAnsi" w:hAnsiTheme="majorHAnsi"/>
                          <w:color w:val="595959" w:themeColor="text1" w:themeTint="A6"/>
                          <w:sz w:val="18"/>
                          <w:szCs w:val="18"/>
                          <w:lang w:val="es-ES_tradnl"/>
                        </w:rPr>
                        <w:t xml:space="preserve">. </w:t>
                      </w:r>
                      <w:r w:rsidR="0083601A">
                        <w:rPr>
                          <w:rFonts w:asciiTheme="majorHAnsi" w:hAnsiTheme="majorHAnsi"/>
                          <w:color w:val="595959" w:themeColor="text1" w:themeTint="A6"/>
                          <w:sz w:val="18"/>
                          <w:szCs w:val="18"/>
                          <w:lang w:val="es-ES_tradnl"/>
                        </w:rPr>
                        <w:t>Vicky Hernández y Familia</w:t>
                      </w:r>
                      <w:r w:rsidRPr="00890650">
                        <w:rPr>
                          <w:rFonts w:asciiTheme="majorHAnsi" w:hAnsiTheme="majorHAnsi"/>
                          <w:color w:val="595959" w:themeColor="text1" w:themeTint="A6"/>
                          <w:sz w:val="18"/>
                          <w:szCs w:val="18"/>
                          <w:lang w:val="es-ES_tradnl"/>
                        </w:rPr>
                        <w:t xml:space="preserve">. </w:t>
                      </w:r>
                      <w:r w:rsidR="0083601A">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w:t>
                      </w:r>
                      <w:r w:rsidR="0083601A">
                        <w:rPr>
                          <w:rFonts w:asciiTheme="majorHAnsi" w:hAnsiTheme="majorHAnsi"/>
                          <w:color w:val="595959" w:themeColor="text1" w:themeTint="A6"/>
                          <w:sz w:val="18"/>
                          <w:szCs w:val="18"/>
                          <w:lang w:val="es-US"/>
                        </w:rPr>
                        <w:t xml:space="preserve"> 7 diciembre 2018.</w:t>
                      </w:r>
                    </w:p>
                  </w:txbxContent>
                </v:textbox>
              </v:shape>
            </w:pict>
          </mc:Fallback>
        </mc:AlternateContent>
      </w:r>
    </w:p>
    <w:p w14:paraId="7D8C9040" w14:textId="77777777" w:rsidR="00A50FCF" w:rsidRPr="0090270B" w:rsidRDefault="00A50FCF" w:rsidP="002D4C97">
      <w:pPr>
        <w:tabs>
          <w:tab w:val="center" w:pos="5400"/>
        </w:tabs>
        <w:suppressAutoHyphens/>
        <w:jc w:val="center"/>
        <w:rPr>
          <w:rFonts w:asciiTheme="majorHAnsi" w:hAnsiTheme="majorHAnsi"/>
          <w:sz w:val="18"/>
          <w:szCs w:val="22"/>
          <w:lang w:val="es-ES_tradnl"/>
        </w:rPr>
      </w:pPr>
    </w:p>
    <w:p w14:paraId="1486E5BB" w14:textId="77777777" w:rsidR="0090270B" w:rsidRDefault="00D306D1" w:rsidP="002D4C97">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8E71925" wp14:editId="44BC703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3AA0E" w14:textId="77777777" w:rsidR="006C35D0" w:rsidRPr="00D72DC6" w:rsidRDefault="006C35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A033ABD" wp14:editId="78F154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03AA0E" w14:textId="77777777" w:rsidR="006C35D0" w:rsidRPr="00D72DC6" w:rsidRDefault="006C35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A033ABD" wp14:editId="78F154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C2ABF29" wp14:editId="5EF44A0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BC103" w14:textId="77777777" w:rsidR="006C35D0" w:rsidRPr="004B7EB6" w:rsidRDefault="006C35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A4BC103" w14:textId="77777777" w:rsidR="006C35D0" w:rsidRPr="004B7EB6" w:rsidRDefault="006C35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62801CA" w14:textId="77777777" w:rsidR="0070697F" w:rsidRDefault="0070697F" w:rsidP="002D4C97">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7D96778" w14:textId="09CAB6B4" w:rsidR="00722C9F" w:rsidRPr="00B146C0" w:rsidRDefault="00D03259" w:rsidP="002D4C97">
      <w:pPr>
        <w:tabs>
          <w:tab w:val="center" w:pos="5400"/>
        </w:tabs>
        <w:suppressAutoHyphens/>
        <w:jc w:val="center"/>
        <w:rPr>
          <w:rFonts w:asciiTheme="majorHAnsi" w:hAnsiTheme="majorHAnsi"/>
          <w:b/>
          <w:sz w:val="18"/>
          <w:szCs w:val="20"/>
          <w:lang w:val="es-CO"/>
        </w:rPr>
      </w:pPr>
      <w:r>
        <w:rPr>
          <w:rFonts w:asciiTheme="majorHAnsi" w:hAnsiTheme="majorHAnsi"/>
          <w:b/>
          <w:sz w:val="18"/>
          <w:szCs w:val="20"/>
          <w:lang w:val="es-CO"/>
        </w:rPr>
        <w:lastRenderedPageBreak/>
        <w:t>INFORME No. 157/18</w:t>
      </w:r>
    </w:p>
    <w:p w14:paraId="0A632C35" w14:textId="77777777" w:rsidR="00722C9F" w:rsidRPr="00B146C0" w:rsidRDefault="00915305" w:rsidP="002D4C97">
      <w:pPr>
        <w:tabs>
          <w:tab w:val="center" w:pos="5400"/>
        </w:tabs>
        <w:suppressAutoHyphens/>
        <w:jc w:val="center"/>
        <w:rPr>
          <w:rFonts w:asciiTheme="majorHAnsi" w:hAnsiTheme="majorHAnsi"/>
          <w:b/>
          <w:sz w:val="18"/>
          <w:szCs w:val="20"/>
          <w:lang w:val="es-CO"/>
        </w:rPr>
      </w:pPr>
      <w:r w:rsidRPr="00B146C0">
        <w:rPr>
          <w:rFonts w:asciiTheme="majorHAnsi" w:hAnsiTheme="majorHAnsi"/>
          <w:b/>
          <w:sz w:val="18"/>
          <w:szCs w:val="20"/>
          <w:lang w:val="es-CO"/>
        </w:rPr>
        <w:t>CASO 13.051</w:t>
      </w:r>
    </w:p>
    <w:p w14:paraId="19A396EB" w14:textId="77777777" w:rsidR="00722C9F" w:rsidRPr="00722C9F" w:rsidRDefault="00F805FB" w:rsidP="002D4C9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FONDO</w:t>
      </w:r>
    </w:p>
    <w:p w14:paraId="33E1688C" w14:textId="77777777" w:rsidR="00722C9F" w:rsidRPr="00722C9F" w:rsidRDefault="00915305" w:rsidP="002D4C9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VICKY HERNÁNDEZ Y FAMILIA</w:t>
      </w:r>
    </w:p>
    <w:p w14:paraId="69749F05" w14:textId="77777777" w:rsidR="0070697F" w:rsidRDefault="00915305" w:rsidP="002D4C9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HONDURAS</w:t>
      </w:r>
    </w:p>
    <w:p w14:paraId="3A056CB1" w14:textId="6C184800" w:rsidR="00722C9F" w:rsidRDefault="00D03259" w:rsidP="002D4C9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14:paraId="7D278F06" w14:textId="77777777" w:rsidR="00722C9F" w:rsidRDefault="00722C9F" w:rsidP="002D4C97">
      <w:pPr>
        <w:tabs>
          <w:tab w:val="center" w:pos="5400"/>
        </w:tabs>
        <w:suppressAutoHyphens/>
        <w:jc w:val="center"/>
        <w:rPr>
          <w:rFonts w:asciiTheme="majorHAnsi" w:hAnsiTheme="majorHAnsi"/>
          <w:sz w:val="18"/>
          <w:szCs w:val="20"/>
          <w:lang w:val="es-ES_tradnl"/>
        </w:rPr>
      </w:pPr>
    </w:p>
    <w:p w14:paraId="71A6D961" w14:textId="77777777" w:rsidR="00722C9F" w:rsidRPr="00722C9F" w:rsidRDefault="00722C9F" w:rsidP="002D4C97">
      <w:pPr>
        <w:tabs>
          <w:tab w:val="center" w:pos="5400"/>
        </w:tabs>
        <w:suppressAutoHyphens/>
        <w:jc w:val="center"/>
        <w:rPr>
          <w:rFonts w:asciiTheme="majorHAnsi" w:hAnsiTheme="majorHAnsi"/>
          <w:b/>
          <w:sz w:val="28"/>
          <w:szCs w:val="20"/>
          <w:lang w:val="es-ES_tradnl"/>
        </w:rPr>
      </w:pPr>
      <w:r>
        <w:rPr>
          <w:rFonts w:asciiTheme="majorHAnsi" w:hAnsiTheme="majorHAnsi"/>
          <w:b/>
          <w:szCs w:val="20"/>
          <w:lang w:val="es-ES_tradnl"/>
        </w:rPr>
        <w:t>Í</w:t>
      </w:r>
      <w:r w:rsidRPr="00722C9F">
        <w:rPr>
          <w:rFonts w:asciiTheme="majorHAnsi" w:hAnsiTheme="majorHAnsi"/>
          <w:b/>
          <w:szCs w:val="20"/>
          <w:lang w:val="es-ES_tradnl"/>
        </w:rPr>
        <w:t>NDICE</w:t>
      </w:r>
    </w:p>
    <w:p w14:paraId="28EE565A" w14:textId="77777777" w:rsidR="008D768D" w:rsidRPr="006125C3" w:rsidRDefault="008D768D" w:rsidP="002D4C97">
      <w:pPr>
        <w:tabs>
          <w:tab w:val="center" w:pos="5400"/>
        </w:tabs>
        <w:suppressAutoHyphens/>
        <w:rPr>
          <w:rFonts w:asciiTheme="majorHAnsi" w:hAnsiTheme="majorHAnsi"/>
          <w:sz w:val="20"/>
          <w:szCs w:val="20"/>
          <w:lang w:val="es-ES_tradnl"/>
        </w:rPr>
      </w:pPr>
    </w:p>
    <w:sdt>
      <w:sdtPr>
        <w:rPr>
          <w:rFonts w:ascii="Times New Roman" w:eastAsia="Arial Unicode MS" w:hAnsi="Times New Roman" w:cs="Times New Roman"/>
          <w:b w:val="0"/>
          <w:bCs w:val="0"/>
          <w:color w:val="auto"/>
          <w:sz w:val="24"/>
          <w:szCs w:val="24"/>
          <w:bdr w:val="nil"/>
          <w:lang w:eastAsia="en-US"/>
        </w:rPr>
        <w:id w:val="1897626998"/>
        <w:docPartObj>
          <w:docPartGallery w:val="Table of Contents"/>
          <w:docPartUnique/>
        </w:docPartObj>
      </w:sdtPr>
      <w:sdtEndPr>
        <w:rPr>
          <w:noProof/>
        </w:rPr>
      </w:sdtEndPr>
      <w:sdtContent>
        <w:p w14:paraId="6CA9BFF6" w14:textId="13D44043" w:rsidR="00960219" w:rsidRPr="00960219" w:rsidRDefault="00960219" w:rsidP="00960219">
          <w:pPr>
            <w:pStyle w:val="TOCHeading"/>
            <w:tabs>
              <w:tab w:val="left" w:pos="1094"/>
            </w:tabs>
            <w:rPr>
              <w:sz w:val="20"/>
              <w:szCs w:val="20"/>
              <w:lang w:val="es-VE"/>
            </w:rPr>
          </w:pPr>
          <w:r w:rsidRPr="00960219">
            <w:rPr>
              <w:sz w:val="20"/>
              <w:szCs w:val="20"/>
            </w:rPr>
            <w:tab/>
          </w:r>
        </w:p>
        <w:p w14:paraId="1E048B3D" w14:textId="77777777" w:rsidR="00960219" w:rsidRPr="00960219" w:rsidRDefault="00960219" w:rsidP="00960219">
          <w:pPr>
            <w:pStyle w:val="TOC1"/>
            <w:rPr>
              <w:rFonts w:asciiTheme="majorHAnsi" w:eastAsiaTheme="minorEastAsia" w:hAnsiTheme="majorHAnsi" w:cstheme="minorBidi"/>
              <w:noProof/>
              <w:sz w:val="20"/>
              <w:szCs w:val="20"/>
              <w:bdr w:val="none" w:sz="0" w:space="0" w:color="auto"/>
            </w:rPr>
          </w:pPr>
          <w:r w:rsidRPr="00960219">
            <w:rPr>
              <w:rFonts w:asciiTheme="majorHAnsi" w:hAnsiTheme="majorHAnsi"/>
              <w:sz w:val="20"/>
              <w:szCs w:val="20"/>
            </w:rPr>
            <w:fldChar w:fldCharType="begin"/>
          </w:r>
          <w:r w:rsidRPr="00960219">
            <w:rPr>
              <w:rFonts w:asciiTheme="majorHAnsi" w:hAnsiTheme="majorHAnsi"/>
              <w:sz w:val="20"/>
              <w:szCs w:val="20"/>
            </w:rPr>
            <w:instrText xml:space="preserve"> TOC \o "1-3" \h \z \u </w:instrText>
          </w:r>
          <w:r w:rsidRPr="00960219">
            <w:rPr>
              <w:rFonts w:asciiTheme="majorHAnsi" w:hAnsiTheme="majorHAnsi"/>
              <w:sz w:val="20"/>
              <w:szCs w:val="20"/>
            </w:rPr>
            <w:fldChar w:fldCharType="separate"/>
          </w:r>
          <w:hyperlink w:anchor="_Toc536451307" w:history="1">
            <w:r w:rsidRPr="00960219">
              <w:rPr>
                <w:rStyle w:val="Hyperlink"/>
                <w:rFonts w:asciiTheme="majorHAnsi" w:hAnsiTheme="majorHAnsi"/>
                <w:b/>
                <w:noProof/>
                <w:sz w:val="20"/>
                <w:szCs w:val="20"/>
                <w:lang w:val="es-ES_tradnl"/>
              </w:rPr>
              <w:t>I.</w:t>
            </w:r>
            <w:r w:rsidRPr="00960219">
              <w:rPr>
                <w:rFonts w:asciiTheme="majorHAnsi" w:eastAsiaTheme="minorEastAsia" w:hAnsiTheme="majorHAnsi" w:cstheme="minorBidi"/>
                <w:b/>
                <w:noProof/>
                <w:sz w:val="20"/>
                <w:szCs w:val="20"/>
                <w:bdr w:val="none" w:sz="0" w:space="0" w:color="auto"/>
              </w:rPr>
              <w:tab/>
            </w:r>
            <w:r w:rsidRPr="00960219">
              <w:rPr>
                <w:rStyle w:val="Hyperlink"/>
                <w:rFonts w:asciiTheme="majorHAnsi" w:hAnsiTheme="majorHAnsi"/>
                <w:b/>
                <w:noProof/>
                <w:sz w:val="20"/>
                <w:szCs w:val="20"/>
                <w:lang w:val="es-ES_tradnl"/>
              </w:rPr>
              <w:t>RESUMEN</w:t>
            </w:r>
            <w:r w:rsidRPr="00960219">
              <w:rPr>
                <w:rFonts w:asciiTheme="majorHAnsi" w:hAnsiTheme="majorHAnsi"/>
                <w:noProof/>
                <w:webHidden/>
                <w:sz w:val="20"/>
                <w:szCs w:val="20"/>
              </w:rPr>
              <w:tab/>
            </w:r>
            <w:r w:rsidRPr="00960219">
              <w:rPr>
                <w:rFonts w:asciiTheme="majorHAnsi" w:hAnsiTheme="majorHAnsi"/>
                <w:noProof/>
                <w:webHidden/>
                <w:sz w:val="20"/>
                <w:szCs w:val="20"/>
              </w:rPr>
              <w:fldChar w:fldCharType="begin"/>
            </w:r>
            <w:r w:rsidRPr="00960219">
              <w:rPr>
                <w:rFonts w:asciiTheme="majorHAnsi" w:hAnsiTheme="majorHAnsi"/>
                <w:noProof/>
                <w:webHidden/>
                <w:sz w:val="20"/>
                <w:szCs w:val="20"/>
              </w:rPr>
              <w:instrText xml:space="preserve"> PAGEREF _Toc536451307 \h </w:instrText>
            </w:r>
            <w:r w:rsidRPr="00960219">
              <w:rPr>
                <w:rFonts w:asciiTheme="majorHAnsi" w:hAnsiTheme="majorHAnsi"/>
                <w:noProof/>
                <w:webHidden/>
                <w:sz w:val="20"/>
                <w:szCs w:val="20"/>
              </w:rPr>
            </w:r>
            <w:r w:rsidRPr="00960219">
              <w:rPr>
                <w:rFonts w:asciiTheme="majorHAnsi" w:hAnsiTheme="majorHAnsi"/>
                <w:noProof/>
                <w:webHidden/>
                <w:sz w:val="20"/>
                <w:szCs w:val="20"/>
              </w:rPr>
              <w:fldChar w:fldCharType="separate"/>
            </w:r>
            <w:r w:rsidRPr="00960219">
              <w:rPr>
                <w:rFonts w:asciiTheme="majorHAnsi" w:hAnsiTheme="majorHAnsi"/>
                <w:noProof/>
                <w:webHidden/>
                <w:sz w:val="20"/>
                <w:szCs w:val="20"/>
              </w:rPr>
              <w:t>2</w:t>
            </w:r>
            <w:r w:rsidRPr="00960219">
              <w:rPr>
                <w:rFonts w:asciiTheme="majorHAnsi" w:hAnsiTheme="majorHAnsi"/>
                <w:noProof/>
                <w:webHidden/>
                <w:sz w:val="20"/>
                <w:szCs w:val="20"/>
              </w:rPr>
              <w:fldChar w:fldCharType="end"/>
            </w:r>
          </w:hyperlink>
        </w:p>
        <w:p w14:paraId="2F5E7103" w14:textId="77777777" w:rsidR="00960219" w:rsidRPr="00960219" w:rsidRDefault="00CD56E1" w:rsidP="00960219">
          <w:pPr>
            <w:pStyle w:val="TOC1"/>
            <w:rPr>
              <w:rFonts w:asciiTheme="majorHAnsi" w:eastAsiaTheme="minorEastAsia" w:hAnsiTheme="majorHAnsi" w:cstheme="minorBidi"/>
              <w:noProof/>
              <w:sz w:val="20"/>
              <w:szCs w:val="20"/>
              <w:bdr w:val="none" w:sz="0" w:space="0" w:color="auto"/>
            </w:rPr>
          </w:pPr>
          <w:hyperlink w:anchor="_Toc536451308" w:history="1">
            <w:r w:rsidR="00960219" w:rsidRPr="00960219">
              <w:rPr>
                <w:rStyle w:val="Hyperlink"/>
                <w:rFonts w:asciiTheme="majorHAnsi" w:hAnsiTheme="majorHAnsi"/>
                <w:b/>
                <w:noProof/>
                <w:sz w:val="20"/>
                <w:szCs w:val="20"/>
                <w:lang w:val="es-ES_tradnl"/>
              </w:rPr>
              <w:t>II.</w:t>
            </w:r>
            <w:r w:rsidR="00960219" w:rsidRPr="00960219">
              <w:rPr>
                <w:rFonts w:asciiTheme="majorHAnsi" w:eastAsiaTheme="minorEastAsia" w:hAnsiTheme="majorHAnsi" w:cstheme="minorBidi"/>
                <w:b/>
                <w:noProof/>
                <w:sz w:val="20"/>
                <w:szCs w:val="20"/>
                <w:bdr w:val="none" w:sz="0" w:space="0" w:color="auto"/>
              </w:rPr>
              <w:tab/>
            </w:r>
            <w:r w:rsidR="00960219" w:rsidRPr="00960219">
              <w:rPr>
                <w:rStyle w:val="Hyperlink"/>
                <w:rFonts w:asciiTheme="majorHAnsi" w:hAnsiTheme="majorHAnsi"/>
                <w:b/>
                <w:noProof/>
                <w:sz w:val="20"/>
                <w:szCs w:val="20"/>
                <w:lang w:val="es-ES_tradnl"/>
              </w:rPr>
              <w:t>ALEGATOS DE LAS PARTES</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_Toc536451308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2</w:t>
            </w:r>
            <w:r w:rsidR="00960219" w:rsidRPr="00960219">
              <w:rPr>
                <w:rFonts w:asciiTheme="majorHAnsi" w:hAnsiTheme="majorHAnsi"/>
                <w:noProof/>
                <w:webHidden/>
                <w:sz w:val="20"/>
                <w:szCs w:val="20"/>
              </w:rPr>
              <w:fldChar w:fldCharType="end"/>
            </w:r>
          </w:hyperlink>
        </w:p>
        <w:p w14:paraId="55224F5D"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09" w:history="1">
            <w:r w:rsidR="00960219" w:rsidRPr="00960219">
              <w:rPr>
                <w:rStyle w:val="Hyperlink"/>
                <w:rFonts w:asciiTheme="majorHAnsi" w:hAnsiTheme="majorHAnsi"/>
                <w:noProof/>
                <w:sz w:val="20"/>
                <w:szCs w:val="20"/>
                <w:lang w:val="es-ES_tradnl"/>
              </w:rPr>
              <w:t>A.</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ES_tradnl"/>
              </w:rPr>
              <w:t>PARTE PETICIONARIA</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_Toc536451309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3</w:t>
            </w:r>
            <w:r w:rsidR="00960219" w:rsidRPr="00960219">
              <w:rPr>
                <w:rFonts w:asciiTheme="majorHAnsi" w:hAnsiTheme="majorHAnsi"/>
                <w:noProof/>
                <w:webHidden/>
                <w:sz w:val="20"/>
                <w:szCs w:val="20"/>
              </w:rPr>
              <w:fldChar w:fldCharType="end"/>
            </w:r>
          </w:hyperlink>
        </w:p>
        <w:p w14:paraId="204B835F"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0" w:history="1">
            <w:r w:rsidR="00960219" w:rsidRPr="00960219">
              <w:rPr>
                <w:rStyle w:val="Hyperlink"/>
                <w:rFonts w:asciiTheme="majorHAnsi" w:hAnsiTheme="majorHAnsi"/>
                <w:noProof/>
                <w:sz w:val="20"/>
                <w:szCs w:val="20"/>
                <w:lang w:val="es-ES_tradnl"/>
              </w:rPr>
              <w:t>B.</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ES_tradnl"/>
              </w:rPr>
              <w:t>ESTADO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_Toc536451310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3</w:t>
            </w:r>
            <w:r w:rsidR="00960219" w:rsidRPr="00960219">
              <w:rPr>
                <w:rFonts w:asciiTheme="majorHAnsi" w:hAnsiTheme="majorHAnsi"/>
                <w:noProof/>
                <w:webHidden/>
                <w:sz w:val="20"/>
                <w:szCs w:val="20"/>
              </w:rPr>
              <w:fldChar w:fldCharType="end"/>
            </w:r>
          </w:hyperlink>
        </w:p>
        <w:p w14:paraId="0BFB8C29" w14:textId="77777777" w:rsidR="00960219" w:rsidRPr="00960219" w:rsidRDefault="00CD56E1" w:rsidP="00960219">
          <w:pPr>
            <w:pStyle w:val="TOC1"/>
            <w:rPr>
              <w:rFonts w:asciiTheme="majorHAnsi" w:eastAsiaTheme="minorEastAsia" w:hAnsiTheme="majorHAnsi" w:cstheme="minorBidi"/>
              <w:noProof/>
              <w:sz w:val="20"/>
              <w:szCs w:val="20"/>
              <w:bdr w:val="none" w:sz="0" w:space="0" w:color="auto"/>
            </w:rPr>
          </w:pPr>
          <w:hyperlink w:anchor="_Toc536451311" w:history="1">
            <w:r w:rsidR="00960219" w:rsidRPr="00960219">
              <w:rPr>
                <w:rStyle w:val="Hyperlink"/>
                <w:rFonts w:asciiTheme="majorHAnsi" w:hAnsiTheme="majorHAnsi"/>
                <w:b/>
                <w:noProof/>
                <w:sz w:val="20"/>
                <w:szCs w:val="20"/>
                <w:lang w:val="es-ES_tradnl"/>
              </w:rPr>
              <w:t>III.</w:t>
            </w:r>
            <w:r w:rsidR="00960219" w:rsidRPr="00960219">
              <w:rPr>
                <w:rFonts w:asciiTheme="majorHAnsi" w:eastAsiaTheme="minorEastAsia" w:hAnsiTheme="majorHAnsi" w:cstheme="minorBidi"/>
                <w:b/>
                <w:noProof/>
                <w:sz w:val="20"/>
                <w:szCs w:val="20"/>
                <w:bdr w:val="none" w:sz="0" w:space="0" w:color="auto"/>
              </w:rPr>
              <w:tab/>
            </w:r>
            <w:r w:rsidR="00960219" w:rsidRPr="00960219">
              <w:rPr>
                <w:rStyle w:val="Hyperlink"/>
                <w:rFonts w:asciiTheme="majorHAnsi" w:hAnsiTheme="majorHAnsi"/>
                <w:b/>
                <w:noProof/>
                <w:sz w:val="20"/>
                <w:szCs w:val="20"/>
                <w:lang w:val="es-ES_tradnl"/>
              </w:rPr>
              <w:t>DETERMINACIONES DE HECHO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_Toc536451311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4</w:t>
            </w:r>
            <w:r w:rsidR="00960219" w:rsidRPr="00960219">
              <w:rPr>
                <w:rFonts w:asciiTheme="majorHAnsi" w:hAnsiTheme="majorHAnsi"/>
                <w:noProof/>
                <w:webHidden/>
                <w:sz w:val="20"/>
                <w:szCs w:val="20"/>
              </w:rPr>
              <w:fldChar w:fldCharType="end"/>
            </w:r>
          </w:hyperlink>
        </w:p>
        <w:p w14:paraId="4C3CC0A8"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2" w:history="1">
            <w:r w:rsidR="00960219" w:rsidRPr="00960219">
              <w:rPr>
                <w:rStyle w:val="Hyperlink"/>
                <w:rFonts w:asciiTheme="majorHAnsi" w:hAnsiTheme="majorHAnsi"/>
                <w:noProof/>
                <w:sz w:val="20"/>
                <w:szCs w:val="20"/>
                <w:lang w:val="es-CO"/>
              </w:rPr>
              <w:t>A.</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CO"/>
              </w:rPr>
              <w:t>CONTEXTO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_Toc536451312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4</w:t>
            </w:r>
            <w:r w:rsidR="00960219" w:rsidRPr="00960219">
              <w:rPr>
                <w:rFonts w:asciiTheme="majorHAnsi" w:hAnsiTheme="majorHAnsi"/>
                <w:noProof/>
                <w:webHidden/>
                <w:sz w:val="20"/>
                <w:szCs w:val="20"/>
              </w:rPr>
              <w:fldChar w:fldCharType="end"/>
            </w:r>
          </w:hyperlink>
        </w:p>
        <w:p w14:paraId="51B7DCF9"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13" w:history="1">
            <w:r w:rsidR="00960219" w:rsidRPr="00960219">
              <w:rPr>
                <w:rStyle w:val="Hyperlink"/>
                <w:rFonts w:asciiTheme="majorHAnsi" w:eastAsia="Cambria" w:hAnsiTheme="majorHAnsi"/>
                <w:noProof/>
                <w:sz w:val="20"/>
                <w:szCs w:val="20"/>
                <w:lang w:val="es-VE" w:eastAsia="es-ES"/>
              </w:rPr>
              <w:t>1.</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mbria" w:hAnsiTheme="majorHAnsi"/>
                <w:noProof/>
                <w:sz w:val="20"/>
                <w:szCs w:val="20"/>
                <w:lang w:val="es-CO" w:eastAsia="es-ES"/>
              </w:rPr>
              <w:t>Contexto general de discriminación y violencia contra personas LGBT en Honduras</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_Toc536451313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4</w:t>
            </w:r>
            <w:r w:rsidR="00960219" w:rsidRPr="00960219">
              <w:rPr>
                <w:rFonts w:asciiTheme="majorHAnsi" w:hAnsiTheme="majorHAnsi"/>
                <w:noProof/>
                <w:webHidden/>
                <w:sz w:val="20"/>
                <w:szCs w:val="20"/>
              </w:rPr>
              <w:fldChar w:fldCharType="end"/>
            </w:r>
          </w:hyperlink>
        </w:p>
        <w:p w14:paraId="15A52489"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14" w:history="1">
            <w:r w:rsidR="00960219" w:rsidRPr="00960219">
              <w:rPr>
                <w:rStyle w:val="Hyperlink"/>
                <w:rFonts w:asciiTheme="majorHAnsi" w:eastAsia="Cambria" w:hAnsiTheme="majorHAnsi"/>
                <w:noProof/>
                <w:sz w:val="20"/>
                <w:szCs w:val="20"/>
                <w:lang w:val="es-VE" w:eastAsia="es-ES"/>
              </w:rPr>
              <w:t>2.</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mbria" w:hAnsiTheme="majorHAnsi"/>
                <w:noProof/>
                <w:sz w:val="20"/>
                <w:szCs w:val="20"/>
                <w:lang w:val="es-CO" w:eastAsia="es-ES"/>
              </w:rPr>
              <w:t>Contexto general del golpe de Estado y violaciones a derechos de personas LGBT</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_Toc536451314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6</w:t>
            </w:r>
            <w:r w:rsidR="00960219" w:rsidRPr="00960219">
              <w:rPr>
                <w:rFonts w:asciiTheme="majorHAnsi" w:hAnsiTheme="majorHAnsi"/>
                <w:noProof/>
                <w:webHidden/>
                <w:sz w:val="20"/>
                <w:szCs w:val="20"/>
              </w:rPr>
              <w:fldChar w:fldCharType="end"/>
            </w:r>
          </w:hyperlink>
        </w:p>
        <w:p w14:paraId="7B775AB5"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5" w:history="1">
            <w:r w:rsidR="00960219" w:rsidRPr="00960219">
              <w:rPr>
                <w:rStyle w:val="Hyperlink"/>
                <w:rFonts w:asciiTheme="majorHAnsi" w:hAnsiTheme="majorHAnsi"/>
                <w:noProof/>
                <w:sz w:val="20"/>
                <w:szCs w:val="20"/>
                <w:lang w:val="es-CO"/>
              </w:rPr>
              <w:t>B.</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CO"/>
              </w:rPr>
              <w:t>SOBRE VICKY HERNANDEZ Y SU NUCLEO FAMILIAR</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_Toc536451315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7</w:t>
            </w:r>
            <w:r w:rsidR="00960219" w:rsidRPr="00960219">
              <w:rPr>
                <w:rFonts w:asciiTheme="majorHAnsi" w:hAnsiTheme="majorHAnsi"/>
                <w:noProof/>
                <w:webHidden/>
                <w:sz w:val="20"/>
                <w:szCs w:val="20"/>
              </w:rPr>
              <w:fldChar w:fldCharType="end"/>
            </w:r>
          </w:hyperlink>
        </w:p>
        <w:p w14:paraId="2CDFC1C6"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6" w:history="1">
            <w:r w:rsidR="00960219" w:rsidRPr="00960219">
              <w:rPr>
                <w:rStyle w:val="Hyperlink"/>
                <w:rFonts w:asciiTheme="majorHAnsi" w:hAnsiTheme="majorHAnsi"/>
                <w:noProof/>
                <w:sz w:val="20"/>
                <w:szCs w:val="20"/>
                <w:lang w:val="es-CO"/>
              </w:rPr>
              <w:t>C.</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CO"/>
              </w:rPr>
              <w:t>HECHOS DEL CASO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_Toc536451316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7</w:t>
            </w:r>
            <w:r w:rsidR="00960219" w:rsidRPr="00960219">
              <w:rPr>
                <w:rFonts w:asciiTheme="majorHAnsi" w:hAnsiTheme="majorHAnsi"/>
                <w:noProof/>
                <w:webHidden/>
                <w:sz w:val="20"/>
                <w:szCs w:val="20"/>
              </w:rPr>
              <w:fldChar w:fldCharType="end"/>
            </w:r>
          </w:hyperlink>
        </w:p>
        <w:p w14:paraId="1F1991B0"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7" w:history="1">
            <w:r w:rsidR="00960219" w:rsidRPr="00960219">
              <w:rPr>
                <w:rStyle w:val="Hyperlink"/>
                <w:rFonts w:asciiTheme="majorHAnsi" w:hAnsiTheme="majorHAnsi"/>
                <w:noProof/>
                <w:sz w:val="20"/>
                <w:szCs w:val="20"/>
                <w:lang w:val="es-CO"/>
              </w:rPr>
              <w:t>D.</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hAnsiTheme="majorHAnsi"/>
                <w:noProof/>
                <w:sz w:val="20"/>
                <w:szCs w:val="20"/>
                <w:lang w:val="es-CO"/>
              </w:rPr>
              <w:t>PROCESOS INTERNOS</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_Toc536451317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9</w:t>
            </w:r>
            <w:r w:rsidR="00960219" w:rsidRPr="00960219">
              <w:rPr>
                <w:rFonts w:asciiTheme="majorHAnsi" w:hAnsiTheme="majorHAnsi"/>
                <w:noProof/>
                <w:webHidden/>
                <w:sz w:val="20"/>
                <w:szCs w:val="20"/>
              </w:rPr>
              <w:fldChar w:fldCharType="end"/>
            </w:r>
          </w:hyperlink>
        </w:p>
        <w:p w14:paraId="32F6CEBA" w14:textId="77777777" w:rsidR="00960219" w:rsidRPr="00960219" w:rsidRDefault="00CD56E1" w:rsidP="00960219">
          <w:pPr>
            <w:pStyle w:val="TOC1"/>
            <w:rPr>
              <w:rFonts w:asciiTheme="majorHAnsi" w:eastAsiaTheme="minorEastAsia" w:hAnsiTheme="majorHAnsi" w:cstheme="minorBidi"/>
              <w:noProof/>
              <w:sz w:val="20"/>
              <w:szCs w:val="20"/>
              <w:bdr w:val="none" w:sz="0" w:space="0" w:color="auto"/>
            </w:rPr>
          </w:pPr>
          <w:hyperlink w:anchor="_Toc536451318" w:history="1">
            <w:r w:rsidR="00960219" w:rsidRPr="00960219">
              <w:rPr>
                <w:rStyle w:val="Hyperlink"/>
                <w:rFonts w:asciiTheme="majorHAnsi" w:hAnsiTheme="majorHAnsi"/>
                <w:b/>
                <w:noProof/>
                <w:sz w:val="20"/>
                <w:szCs w:val="20"/>
                <w:lang w:val="es-ES_tradnl"/>
              </w:rPr>
              <w:t>IV.</w:t>
            </w:r>
            <w:r w:rsidR="00960219" w:rsidRPr="00960219">
              <w:rPr>
                <w:rFonts w:asciiTheme="majorHAnsi" w:eastAsiaTheme="minorEastAsia" w:hAnsiTheme="majorHAnsi" w:cstheme="minorBidi"/>
                <w:b/>
                <w:noProof/>
                <w:sz w:val="20"/>
                <w:szCs w:val="20"/>
                <w:bdr w:val="none" w:sz="0" w:space="0" w:color="auto"/>
              </w:rPr>
              <w:tab/>
            </w:r>
            <w:r w:rsidR="00960219" w:rsidRPr="00960219">
              <w:rPr>
                <w:rStyle w:val="Hyperlink"/>
                <w:rFonts w:asciiTheme="majorHAnsi" w:hAnsiTheme="majorHAnsi"/>
                <w:b/>
                <w:noProof/>
                <w:sz w:val="20"/>
                <w:szCs w:val="20"/>
                <w:lang w:val="es-ES_tradnl"/>
              </w:rPr>
              <w:t>ANÁLISIS DE DERECHO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_Toc536451318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12</w:t>
            </w:r>
            <w:r w:rsidR="00960219" w:rsidRPr="00960219">
              <w:rPr>
                <w:rFonts w:asciiTheme="majorHAnsi" w:hAnsiTheme="majorHAnsi"/>
                <w:noProof/>
                <w:webHidden/>
                <w:sz w:val="20"/>
                <w:szCs w:val="20"/>
              </w:rPr>
              <w:fldChar w:fldCharType="end"/>
            </w:r>
          </w:hyperlink>
        </w:p>
        <w:p w14:paraId="41657B7B"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19" w:history="1">
            <w:r w:rsidR="00960219" w:rsidRPr="00960219">
              <w:rPr>
                <w:rStyle w:val="Hyperlink"/>
                <w:rFonts w:asciiTheme="majorHAnsi" w:eastAsia="Calibri" w:hAnsiTheme="majorHAnsi"/>
                <w:noProof/>
                <w:sz w:val="20"/>
                <w:szCs w:val="20"/>
                <w:lang w:val="es-ES"/>
              </w:rPr>
              <w:t>A.</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Derechos a la vida, integridad personal, vida privada, libertad de expresión, igualdad y no discriminación y a vivir libre de violencia (Artículos 4.1, 5.1, 11, 13, 24 y 1.1 de la Convención Americana y 7 a) y b) de la Convención de Belém do Pará)</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_Toc536451319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12</w:t>
            </w:r>
            <w:r w:rsidR="00960219" w:rsidRPr="00960219">
              <w:rPr>
                <w:rFonts w:asciiTheme="majorHAnsi" w:hAnsiTheme="majorHAnsi"/>
                <w:noProof/>
                <w:webHidden/>
                <w:sz w:val="20"/>
                <w:szCs w:val="20"/>
              </w:rPr>
              <w:fldChar w:fldCharType="end"/>
            </w:r>
          </w:hyperlink>
        </w:p>
        <w:p w14:paraId="6D3EE337"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20" w:history="1">
            <w:r w:rsidR="00960219" w:rsidRPr="00960219">
              <w:rPr>
                <w:rStyle w:val="Hyperlink"/>
                <w:rFonts w:asciiTheme="majorHAnsi" w:eastAsia="Calibri" w:hAnsiTheme="majorHAnsi"/>
                <w:noProof/>
                <w:sz w:val="20"/>
                <w:szCs w:val="20"/>
                <w:lang w:val="es-CO"/>
              </w:rPr>
              <w:t>1.</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Consideraciones generales sobre derecho a la vida y deberes de respeto y garantía</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_Toc536451320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12</w:t>
            </w:r>
            <w:r w:rsidR="00960219" w:rsidRPr="00960219">
              <w:rPr>
                <w:rFonts w:asciiTheme="majorHAnsi" w:hAnsiTheme="majorHAnsi"/>
                <w:noProof/>
                <w:webHidden/>
                <w:sz w:val="20"/>
                <w:szCs w:val="20"/>
              </w:rPr>
              <w:fldChar w:fldCharType="end"/>
            </w:r>
          </w:hyperlink>
        </w:p>
        <w:p w14:paraId="209FA467" w14:textId="77777777" w:rsidR="00960219" w:rsidRPr="00960219" w:rsidRDefault="00CD56E1" w:rsidP="0030399F">
          <w:pPr>
            <w:pStyle w:val="TOC3"/>
            <w:tabs>
              <w:tab w:val="clear" w:pos="9350"/>
              <w:tab w:val="left" w:pos="2160"/>
              <w:tab w:val="right" w:leader="dot" w:pos="10170"/>
              <w:tab w:val="right" w:leader="dot" w:pos="10350"/>
            </w:tabs>
            <w:rPr>
              <w:rFonts w:asciiTheme="majorHAnsi" w:eastAsiaTheme="minorEastAsia" w:hAnsiTheme="majorHAnsi" w:cstheme="minorBidi"/>
              <w:noProof/>
              <w:sz w:val="20"/>
              <w:szCs w:val="20"/>
              <w:bdr w:val="none" w:sz="0" w:space="0" w:color="auto"/>
            </w:rPr>
          </w:pPr>
          <w:hyperlink w:anchor="_Toc536451321" w:history="1">
            <w:r w:rsidR="00960219" w:rsidRPr="00960219">
              <w:rPr>
                <w:rStyle w:val="Hyperlink"/>
                <w:rFonts w:asciiTheme="majorHAnsi" w:eastAsia="Calibri" w:hAnsiTheme="majorHAnsi"/>
                <w:noProof/>
                <w:sz w:val="20"/>
                <w:szCs w:val="20"/>
                <w:lang w:val="es-CO"/>
              </w:rPr>
              <w:t>2.</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Consideraciones generales sobre la violencia por prejuicio respecto de la identidad y expresión de género de una persona</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_Toc536451321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14</w:t>
            </w:r>
            <w:r w:rsidR="00960219" w:rsidRPr="00960219">
              <w:rPr>
                <w:rFonts w:asciiTheme="majorHAnsi" w:hAnsiTheme="majorHAnsi"/>
                <w:noProof/>
                <w:webHidden/>
                <w:sz w:val="20"/>
                <w:szCs w:val="20"/>
              </w:rPr>
              <w:fldChar w:fldCharType="end"/>
            </w:r>
          </w:hyperlink>
        </w:p>
        <w:p w14:paraId="2772BACB"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22" w:history="1">
            <w:r w:rsidR="00960219" w:rsidRPr="00960219">
              <w:rPr>
                <w:rStyle w:val="Hyperlink"/>
                <w:rFonts w:asciiTheme="majorHAnsi" w:eastAsia="Calibri" w:hAnsiTheme="majorHAnsi"/>
                <w:noProof/>
                <w:sz w:val="20"/>
                <w:szCs w:val="20"/>
                <w:lang w:val="es-CO"/>
              </w:rPr>
              <w:t>3.</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Análisis del caso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_Toc536451322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16</w:t>
            </w:r>
            <w:r w:rsidR="00960219" w:rsidRPr="00960219">
              <w:rPr>
                <w:rFonts w:asciiTheme="majorHAnsi" w:hAnsiTheme="majorHAnsi"/>
                <w:noProof/>
                <w:webHidden/>
                <w:sz w:val="20"/>
                <w:szCs w:val="20"/>
              </w:rPr>
              <w:fldChar w:fldCharType="end"/>
            </w:r>
          </w:hyperlink>
        </w:p>
        <w:p w14:paraId="7774BA23" w14:textId="77777777" w:rsidR="00960219" w:rsidRPr="00960219" w:rsidRDefault="00CD56E1" w:rsidP="00960219">
          <w:pPr>
            <w:pStyle w:val="TOC2"/>
            <w:rPr>
              <w:rFonts w:asciiTheme="majorHAnsi" w:eastAsiaTheme="minorEastAsia" w:hAnsiTheme="majorHAnsi" w:cstheme="minorBidi"/>
              <w:noProof/>
              <w:sz w:val="20"/>
              <w:szCs w:val="20"/>
              <w:bdr w:val="none" w:sz="0" w:space="0" w:color="auto"/>
            </w:rPr>
          </w:pPr>
          <w:hyperlink w:anchor="_Toc536451323" w:history="1">
            <w:r w:rsidR="00960219" w:rsidRPr="00960219">
              <w:rPr>
                <w:rStyle w:val="Hyperlink"/>
                <w:rFonts w:asciiTheme="majorHAnsi" w:eastAsia="Calibri" w:hAnsiTheme="majorHAnsi"/>
                <w:noProof/>
                <w:sz w:val="20"/>
                <w:szCs w:val="20"/>
                <w:lang w:val="es-ES"/>
              </w:rPr>
              <w:t>B.</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Derechos a las garantías judiciales, a la igualdad y no discriminación y a la protección judicial (Artículos 8.1, 24 y 25.1 de la Convención Americana y 7 de la Convención de Belém do Pará)</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_Toc536451323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19</w:t>
            </w:r>
            <w:r w:rsidR="00960219" w:rsidRPr="00960219">
              <w:rPr>
                <w:rFonts w:asciiTheme="majorHAnsi" w:hAnsiTheme="majorHAnsi"/>
                <w:noProof/>
                <w:webHidden/>
                <w:sz w:val="20"/>
                <w:szCs w:val="20"/>
              </w:rPr>
              <w:fldChar w:fldCharType="end"/>
            </w:r>
          </w:hyperlink>
        </w:p>
        <w:p w14:paraId="5415B9FD"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24" w:history="1">
            <w:r w:rsidR="00960219" w:rsidRPr="00960219">
              <w:rPr>
                <w:rStyle w:val="Hyperlink"/>
                <w:rFonts w:asciiTheme="majorHAnsi" w:eastAsia="Calibri" w:hAnsiTheme="majorHAnsi"/>
                <w:noProof/>
                <w:sz w:val="20"/>
                <w:szCs w:val="20"/>
                <w:lang w:val="es-CO"/>
              </w:rPr>
              <w:t>1.</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Consideraciones generales</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_Toc536451324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19</w:t>
            </w:r>
            <w:r w:rsidR="00960219" w:rsidRPr="00960219">
              <w:rPr>
                <w:rFonts w:asciiTheme="majorHAnsi" w:hAnsiTheme="majorHAnsi"/>
                <w:noProof/>
                <w:webHidden/>
                <w:sz w:val="20"/>
                <w:szCs w:val="20"/>
              </w:rPr>
              <w:fldChar w:fldCharType="end"/>
            </w:r>
          </w:hyperlink>
        </w:p>
        <w:p w14:paraId="608D00B1" w14:textId="77777777" w:rsidR="00960219" w:rsidRPr="00960219" w:rsidRDefault="00CD56E1" w:rsidP="0030399F">
          <w:pPr>
            <w:pStyle w:val="TOC3"/>
            <w:tabs>
              <w:tab w:val="clear" w:pos="9350"/>
              <w:tab w:val="left" w:pos="2160"/>
              <w:tab w:val="right" w:leader="dot" w:pos="10170"/>
            </w:tabs>
            <w:rPr>
              <w:rFonts w:asciiTheme="majorHAnsi" w:eastAsiaTheme="minorEastAsia" w:hAnsiTheme="majorHAnsi" w:cstheme="minorBidi"/>
              <w:noProof/>
              <w:sz w:val="20"/>
              <w:szCs w:val="20"/>
              <w:bdr w:val="none" w:sz="0" w:space="0" w:color="auto"/>
            </w:rPr>
          </w:pPr>
          <w:hyperlink w:anchor="_Toc536451325" w:history="1">
            <w:r w:rsidR="00960219" w:rsidRPr="00960219">
              <w:rPr>
                <w:rStyle w:val="Hyperlink"/>
                <w:rFonts w:asciiTheme="majorHAnsi" w:eastAsia="Calibri" w:hAnsiTheme="majorHAnsi"/>
                <w:noProof/>
                <w:sz w:val="20"/>
                <w:szCs w:val="20"/>
                <w:lang w:val="es-CO"/>
              </w:rPr>
              <w:t>2.</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Análisis del caso</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_Toc536451325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21</w:t>
            </w:r>
            <w:r w:rsidR="00960219" w:rsidRPr="00960219">
              <w:rPr>
                <w:rFonts w:asciiTheme="majorHAnsi" w:hAnsiTheme="majorHAnsi"/>
                <w:noProof/>
                <w:webHidden/>
                <w:sz w:val="20"/>
                <w:szCs w:val="20"/>
              </w:rPr>
              <w:fldChar w:fldCharType="end"/>
            </w:r>
          </w:hyperlink>
        </w:p>
        <w:p w14:paraId="1C6061B7" w14:textId="77777777" w:rsidR="00960219" w:rsidRPr="00960219" w:rsidRDefault="00CD56E1" w:rsidP="0030399F">
          <w:pPr>
            <w:pStyle w:val="TOC2"/>
            <w:rPr>
              <w:rFonts w:asciiTheme="majorHAnsi" w:eastAsiaTheme="minorEastAsia" w:hAnsiTheme="majorHAnsi" w:cstheme="minorBidi"/>
              <w:noProof/>
              <w:sz w:val="20"/>
              <w:szCs w:val="20"/>
              <w:bdr w:val="none" w:sz="0" w:space="0" w:color="auto"/>
            </w:rPr>
          </w:pPr>
          <w:hyperlink w:anchor="_Toc536451326" w:history="1">
            <w:r w:rsidR="00960219" w:rsidRPr="00960219">
              <w:rPr>
                <w:rStyle w:val="Hyperlink"/>
                <w:rFonts w:asciiTheme="majorHAnsi" w:eastAsia="Calibri" w:hAnsiTheme="majorHAnsi"/>
                <w:noProof/>
                <w:sz w:val="20"/>
                <w:szCs w:val="20"/>
                <w:lang w:val="es-ES"/>
              </w:rPr>
              <w:t>C.</w:t>
            </w:r>
            <w:r w:rsidR="00960219" w:rsidRPr="00960219">
              <w:rPr>
                <w:rFonts w:asciiTheme="majorHAnsi" w:eastAsiaTheme="minorEastAsia" w:hAnsiTheme="majorHAnsi" w:cstheme="minorBidi"/>
                <w:noProof/>
                <w:sz w:val="20"/>
                <w:szCs w:val="20"/>
                <w:bdr w:val="none" w:sz="0" w:space="0" w:color="auto"/>
              </w:rPr>
              <w:tab/>
            </w:r>
            <w:r w:rsidR="00960219" w:rsidRPr="00960219">
              <w:rPr>
                <w:rStyle w:val="Hyperlink"/>
                <w:rFonts w:asciiTheme="majorHAnsi" w:eastAsia="Calibri" w:hAnsiTheme="majorHAnsi"/>
                <w:noProof/>
                <w:sz w:val="20"/>
                <w:szCs w:val="20"/>
                <w:lang w:val="es-CO"/>
              </w:rPr>
              <w:t>Derecho a la integridad personal respecto de los familiares (Artículo 5.1 de la Convención Americana)</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_Toc536451326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23</w:t>
            </w:r>
            <w:r w:rsidR="00960219" w:rsidRPr="00960219">
              <w:rPr>
                <w:rFonts w:asciiTheme="majorHAnsi" w:hAnsiTheme="majorHAnsi"/>
                <w:noProof/>
                <w:webHidden/>
                <w:sz w:val="20"/>
                <w:szCs w:val="20"/>
              </w:rPr>
              <w:fldChar w:fldCharType="end"/>
            </w:r>
          </w:hyperlink>
        </w:p>
        <w:p w14:paraId="38917409" w14:textId="77777777" w:rsidR="00960219" w:rsidRPr="00960219" w:rsidRDefault="00CD56E1" w:rsidP="0030399F">
          <w:pPr>
            <w:pStyle w:val="TOC1"/>
            <w:rPr>
              <w:rFonts w:asciiTheme="majorHAnsi" w:eastAsiaTheme="minorEastAsia" w:hAnsiTheme="majorHAnsi" w:cstheme="minorBidi"/>
              <w:noProof/>
              <w:sz w:val="20"/>
              <w:szCs w:val="20"/>
              <w:bdr w:val="none" w:sz="0" w:space="0" w:color="auto"/>
            </w:rPr>
          </w:pPr>
          <w:hyperlink w:anchor="_Toc536451327" w:history="1">
            <w:r w:rsidR="00960219" w:rsidRPr="00960219">
              <w:rPr>
                <w:rStyle w:val="Hyperlink"/>
                <w:rFonts w:asciiTheme="majorHAnsi" w:hAnsiTheme="majorHAnsi"/>
                <w:b/>
                <w:noProof/>
                <w:sz w:val="20"/>
                <w:szCs w:val="20"/>
                <w:lang w:val="es-ES_tradnl"/>
              </w:rPr>
              <w:t>V.</w:t>
            </w:r>
            <w:r w:rsidR="00960219" w:rsidRPr="00960219">
              <w:rPr>
                <w:rFonts w:asciiTheme="majorHAnsi" w:eastAsiaTheme="minorEastAsia" w:hAnsiTheme="majorHAnsi" w:cstheme="minorBidi"/>
                <w:b/>
                <w:noProof/>
                <w:sz w:val="20"/>
                <w:szCs w:val="20"/>
                <w:bdr w:val="none" w:sz="0" w:space="0" w:color="auto"/>
              </w:rPr>
              <w:tab/>
            </w:r>
            <w:r w:rsidR="00960219" w:rsidRPr="00960219">
              <w:rPr>
                <w:rStyle w:val="Hyperlink"/>
                <w:rFonts w:asciiTheme="majorHAnsi" w:hAnsiTheme="majorHAnsi"/>
                <w:b/>
                <w:noProof/>
                <w:sz w:val="20"/>
                <w:szCs w:val="20"/>
                <w:lang w:val="es-ES_tradnl"/>
              </w:rPr>
              <w:t>CONCLUSIONES Y RECOMENDACIONES</w:t>
            </w:r>
            <w:r w:rsidR="00960219" w:rsidRPr="00960219">
              <w:rPr>
                <w:rFonts w:asciiTheme="majorHAnsi" w:hAnsiTheme="majorHAnsi"/>
                <w:noProof/>
                <w:webHidden/>
                <w:sz w:val="20"/>
                <w:szCs w:val="20"/>
              </w:rPr>
              <w:tab/>
            </w:r>
            <w:r w:rsidR="00960219" w:rsidRPr="00960219">
              <w:rPr>
                <w:rFonts w:asciiTheme="majorHAnsi" w:hAnsiTheme="majorHAnsi"/>
                <w:noProof/>
                <w:webHidden/>
                <w:sz w:val="20"/>
                <w:szCs w:val="20"/>
              </w:rPr>
              <w:fldChar w:fldCharType="begin"/>
            </w:r>
            <w:r w:rsidR="00960219" w:rsidRPr="00960219">
              <w:rPr>
                <w:rFonts w:asciiTheme="majorHAnsi" w:hAnsiTheme="majorHAnsi"/>
                <w:noProof/>
                <w:webHidden/>
                <w:sz w:val="20"/>
                <w:szCs w:val="20"/>
              </w:rPr>
              <w:instrText xml:space="preserve"> PAGEREF _Toc536451327 \h </w:instrText>
            </w:r>
            <w:r w:rsidR="00960219" w:rsidRPr="00960219">
              <w:rPr>
                <w:rFonts w:asciiTheme="majorHAnsi" w:hAnsiTheme="majorHAnsi"/>
                <w:noProof/>
                <w:webHidden/>
                <w:sz w:val="20"/>
                <w:szCs w:val="20"/>
              </w:rPr>
            </w:r>
            <w:r w:rsidR="00960219" w:rsidRPr="00960219">
              <w:rPr>
                <w:rFonts w:asciiTheme="majorHAnsi" w:hAnsiTheme="majorHAnsi"/>
                <w:noProof/>
                <w:webHidden/>
                <w:sz w:val="20"/>
                <w:szCs w:val="20"/>
              </w:rPr>
              <w:fldChar w:fldCharType="separate"/>
            </w:r>
            <w:r w:rsidR="00960219" w:rsidRPr="00960219">
              <w:rPr>
                <w:rFonts w:asciiTheme="majorHAnsi" w:hAnsiTheme="majorHAnsi"/>
                <w:noProof/>
                <w:webHidden/>
                <w:sz w:val="20"/>
                <w:szCs w:val="20"/>
              </w:rPr>
              <w:t>24</w:t>
            </w:r>
            <w:r w:rsidR="00960219" w:rsidRPr="00960219">
              <w:rPr>
                <w:rFonts w:asciiTheme="majorHAnsi" w:hAnsiTheme="majorHAnsi"/>
                <w:noProof/>
                <w:webHidden/>
                <w:sz w:val="20"/>
                <w:szCs w:val="20"/>
              </w:rPr>
              <w:fldChar w:fldCharType="end"/>
            </w:r>
          </w:hyperlink>
        </w:p>
        <w:p w14:paraId="47362452" w14:textId="3F1D4CD8" w:rsidR="00960219" w:rsidRDefault="00960219">
          <w:r w:rsidRPr="00960219">
            <w:rPr>
              <w:rFonts w:asciiTheme="majorHAnsi" w:hAnsiTheme="majorHAnsi"/>
              <w:b/>
              <w:bCs/>
              <w:noProof/>
              <w:sz w:val="20"/>
              <w:szCs w:val="20"/>
            </w:rPr>
            <w:fldChar w:fldCharType="end"/>
          </w:r>
        </w:p>
      </w:sdtContent>
    </w:sdt>
    <w:p w14:paraId="5A7374C3" w14:textId="77777777" w:rsidR="00E909AA" w:rsidRPr="00E909AA" w:rsidRDefault="00E909AA" w:rsidP="002D4C97">
      <w:pPr>
        <w:suppressAutoHyphens/>
        <w:rPr>
          <w:rFonts w:asciiTheme="majorHAnsi" w:hAnsiTheme="majorHAnsi"/>
          <w:b/>
          <w:sz w:val="20"/>
          <w:szCs w:val="20"/>
          <w:lang w:val="es-ES_tradnl"/>
        </w:rPr>
      </w:pPr>
    </w:p>
    <w:p w14:paraId="1A535447" w14:textId="77777777" w:rsidR="00E909AA" w:rsidRPr="00F902EB" w:rsidRDefault="006125C3" w:rsidP="002D4C97">
      <w:pPr>
        <w:tabs>
          <w:tab w:val="left" w:pos="720"/>
          <w:tab w:val="left" w:pos="1440"/>
          <w:tab w:val="right" w:leader="dot" w:pos="9350"/>
        </w:tabs>
        <w:ind w:left="720" w:hanging="720"/>
        <w:rPr>
          <w:rFonts w:asciiTheme="majorHAnsi" w:eastAsia="Times New Roman" w:hAnsiTheme="majorHAnsi"/>
          <w:b/>
          <w:noProof/>
          <w:sz w:val="20"/>
          <w:szCs w:val="20"/>
          <w:bdr w:val="none" w:sz="0" w:space="0" w:color="auto"/>
          <w:lang w:val="es-ES"/>
        </w:rPr>
      </w:pPr>
      <w:r w:rsidRPr="00E909AA">
        <w:rPr>
          <w:rFonts w:asciiTheme="majorHAnsi" w:hAnsiTheme="majorHAnsi"/>
          <w:b/>
          <w:sz w:val="20"/>
          <w:szCs w:val="20"/>
          <w:lang w:val="es-ES_tradnl"/>
        </w:rPr>
        <w:fldChar w:fldCharType="begin"/>
      </w:r>
      <w:r w:rsidRPr="006125C3">
        <w:rPr>
          <w:rFonts w:asciiTheme="majorHAnsi" w:hAnsiTheme="majorHAnsi"/>
          <w:b/>
          <w:sz w:val="20"/>
          <w:szCs w:val="20"/>
          <w:lang w:val="es-ES_tradnl"/>
        </w:rPr>
        <w:instrText xml:space="preserve"> TOC \o "1-7" \h \z \u </w:instrText>
      </w:r>
      <w:r w:rsidRPr="00E909AA">
        <w:rPr>
          <w:rFonts w:asciiTheme="majorHAnsi" w:hAnsiTheme="majorHAnsi"/>
          <w:b/>
          <w:sz w:val="20"/>
          <w:szCs w:val="20"/>
          <w:lang w:val="es-ES_tradnl"/>
        </w:rPr>
        <w:fldChar w:fldCharType="separate"/>
      </w:r>
    </w:p>
    <w:p w14:paraId="09D4EFCD" w14:textId="77777777" w:rsidR="006125C3" w:rsidRPr="00F902EB" w:rsidRDefault="006125C3" w:rsidP="002D4C97">
      <w:pPr>
        <w:tabs>
          <w:tab w:val="left" w:pos="720"/>
          <w:tab w:val="left" w:pos="1440"/>
          <w:tab w:val="right" w:leader="dot" w:pos="9350"/>
        </w:tabs>
        <w:ind w:left="720" w:hanging="720"/>
        <w:rPr>
          <w:rFonts w:asciiTheme="majorHAnsi" w:eastAsia="Times New Roman" w:hAnsiTheme="majorHAnsi"/>
          <w:b/>
          <w:noProof/>
          <w:sz w:val="20"/>
          <w:szCs w:val="20"/>
          <w:bdr w:val="none" w:sz="0" w:space="0" w:color="auto"/>
          <w:lang w:val="es-ES"/>
        </w:rPr>
      </w:pPr>
    </w:p>
    <w:p w14:paraId="4900544D" w14:textId="77777777" w:rsidR="008D768D" w:rsidRPr="007253B8" w:rsidRDefault="006125C3" w:rsidP="002D4C97">
      <w:pPr>
        <w:tabs>
          <w:tab w:val="center" w:pos="5400"/>
        </w:tabs>
        <w:suppressAutoHyphens/>
        <w:rPr>
          <w:rFonts w:asciiTheme="majorHAnsi" w:hAnsiTheme="majorHAnsi"/>
          <w:sz w:val="20"/>
          <w:szCs w:val="20"/>
          <w:lang w:val="es-ES_tradnl"/>
        </w:rPr>
      </w:pPr>
      <w:r w:rsidRPr="00E909AA">
        <w:rPr>
          <w:rFonts w:asciiTheme="majorHAnsi" w:hAnsiTheme="majorHAnsi"/>
          <w:b/>
          <w:sz w:val="20"/>
          <w:szCs w:val="20"/>
          <w:lang w:val="es-ES_tradnl"/>
        </w:rPr>
        <w:fldChar w:fldCharType="end"/>
      </w:r>
    </w:p>
    <w:p w14:paraId="2CAEFD18" w14:textId="77777777" w:rsidR="00722C9F" w:rsidRDefault="00722C9F" w:rsidP="002D4C97">
      <w:pPr>
        <w:rPr>
          <w:rFonts w:ascii="Cambria" w:hAnsi="Cambria" w:cs="Calibri"/>
          <w:sz w:val="20"/>
          <w:szCs w:val="20"/>
          <w:lang w:val="es-ES"/>
        </w:rPr>
      </w:pPr>
      <w:r>
        <w:rPr>
          <w:rFonts w:ascii="Cambria" w:hAnsi="Cambria" w:cs="Calibri"/>
          <w:sz w:val="20"/>
          <w:szCs w:val="20"/>
          <w:lang w:val="es-ES"/>
        </w:rPr>
        <w:br w:type="page"/>
      </w:r>
    </w:p>
    <w:p w14:paraId="26AC76F3" w14:textId="77777777" w:rsidR="00CD56E1" w:rsidRDefault="00CD56E1" w:rsidP="0006134F">
      <w:pPr>
        <w:tabs>
          <w:tab w:val="center" w:pos="5400"/>
        </w:tabs>
        <w:suppressAutoHyphens/>
        <w:jc w:val="center"/>
        <w:rPr>
          <w:rFonts w:asciiTheme="majorHAnsi" w:hAnsiTheme="majorHAnsi"/>
          <w:b/>
          <w:sz w:val="18"/>
          <w:szCs w:val="20"/>
          <w:lang w:val="es-CO"/>
        </w:rPr>
      </w:pPr>
    </w:p>
    <w:p w14:paraId="4682713B" w14:textId="77777777" w:rsidR="0006134F" w:rsidRPr="00B146C0" w:rsidRDefault="0006134F" w:rsidP="0006134F">
      <w:pPr>
        <w:tabs>
          <w:tab w:val="center" w:pos="5400"/>
        </w:tabs>
        <w:suppressAutoHyphens/>
        <w:jc w:val="center"/>
        <w:rPr>
          <w:rFonts w:asciiTheme="majorHAnsi" w:hAnsiTheme="majorHAnsi"/>
          <w:b/>
          <w:sz w:val="18"/>
          <w:szCs w:val="20"/>
          <w:lang w:val="es-CO"/>
        </w:rPr>
      </w:pPr>
      <w:r>
        <w:rPr>
          <w:rFonts w:asciiTheme="majorHAnsi" w:hAnsiTheme="majorHAnsi"/>
          <w:b/>
          <w:sz w:val="18"/>
          <w:szCs w:val="20"/>
          <w:lang w:val="es-CO"/>
        </w:rPr>
        <w:t>INFORME No. 157/18</w:t>
      </w:r>
    </w:p>
    <w:p w14:paraId="153ECF6F" w14:textId="77777777" w:rsidR="0006134F" w:rsidRPr="00B146C0" w:rsidRDefault="0006134F" w:rsidP="0006134F">
      <w:pPr>
        <w:tabs>
          <w:tab w:val="center" w:pos="5400"/>
        </w:tabs>
        <w:suppressAutoHyphens/>
        <w:jc w:val="center"/>
        <w:rPr>
          <w:rFonts w:asciiTheme="majorHAnsi" w:hAnsiTheme="majorHAnsi"/>
          <w:b/>
          <w:sz w:val="18"/>
          <w:szCs w:val="20"/>
          <w:lang w:val="es-CO"/>
        </w:rPr>
      </w:pPr>
      <w:r w:rsidRPr="00B146C0">
        <w:rPr>
          <w:rFonts w:asciiTheme="majorHAnsi" w:hAnsiTheme="majorHAnsi"/>
          <w:b/>
          <w:sz w:val="18"/>
          <w:szCs w:val="20"/>
          <w:lang w:val="es-CO"/>
        </w:rPr>
        <w:t>CASO 13.051</w:t>
      </w:r>
    </w:p>
    <w:p w14:paraId="25A8977D" w14:textId="77777777" w:rsidR="0006134F" w:rsidRPr="00722C9F" w:rsidRDefault="0006134F" w:rsidP="0006134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FONDO</w:t>
      </w:r>
    </w:p>
    <w:p w14:paraId="4FC858CC" w14:textId="77777777" w:rsidR="0006134F" w:rsidRPr="00722C9F" w:rsidRDefault="0006134F" w:rsidP="0006134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VICKY HERNÁNDEZ Y FAMILIA</w:t>
      </w:r>
    </w:p>
    <w:p w14:paraId="54036166" w14:textId="77777777" w:rsidR="0006134F" w:rsidRDefault="0006134F" w:rsidP="0006134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HONDURAS</w:t>
      </w:r>
    </w:p>
    <w:p w14:paraId="7B3637A0" w14:textId="01AEDD73" w:rsidR="005937F1" w:rsidRPr="009F4EDF" w:rsidRDefault="0006134F" w:rsidP="009F4EDF">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14:paraId="6A00FCD1" w14:textId="77777777" w:rsidR="00D12193" w:rsidRPr="009F4EDF" w:rsidRDefault="00D12193" w:rsidP="009F4EDF">
      <w:pPr>
        <w:pStyle w:val="Heading1"/>
        <w:ind w:hanging="90"/>
        <w:rPr>
          <w:color w:val="auto"/>
          <w:sz w:val="20"/>
          <w:szCs w:val="20"/>
          <w:lang w:val="es-ES_tradnl"/>
        </w:rPr>
      </w:pPr>
      <w:bookmarkStart w:id="1" w:name="_Toc536451307"/>
      <w:r w:rsidRPr="009F4EDF">
        <w:rPr>
          <w:color w:val="auto"/>
          <w:sz w:val="20"/>
          <w:szCs w:val="20"/>
          <w:lang w:val="es-ES_tradnl"/>
        </w:rPr>
        <w:t>RESUMEN</w:t>
      </w:r>
      <w:bookmarkEnd w:id="1"/>
    </w:p>
    <w:p w14:paraId="42EFDC54" w14:textId="77777777" w:rsidR="005C4CA5" w:rsidRDefault="005C4CA5" w:rsidP="002D4C97">
      <w:pPr>
        <w:suppressAutoHyphens/>
        <w:ind w:left="360"/>
        <w:rPr>
          <w:rFonts w:asciiTheme="majorHAnsi" w:hAnsiTheme="majorHAnsi"/>
          <w:b/>
          <w:sz w:val="20"/>
          <w:szCs w:val="20"/>
          <w:lang w:val="es-ES_tradnl"/>
        </w:rPr>
      </w:pPr>
    </w:p>
    <w:p w14:paraId="06E46CC5" w14:textId="3504FF98" w:rsidR="009014A4" w:rsidRDefault="005C4CA5"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 xml:space="preserve">El </w:t>
      </w:r>
      <w:r w:rsidR="00CE088B" w:rsidRPr="00AE1B97">
        <w:rPr>
          <w:rFonts w:ascii="Cambria" w:hAnsi="Cambria"/>
          <w:sz w:val="20"/>
          <w:szCs w:val="20"/>
          <w:lang w:val="es-VE"/>
        </w:rPr>
        <w:t xml:space="preserve">23 </w:t>
      </w:r>
      <w:r w:rsidRPr="00AE1B97">
        <w:rPr>
          <w:rFonts w:ascii="Cambria" w:hAnsi="Cambria"/>
          <w:sz w:val="20"/>
          <w:szCs w:val="20"/>
          <w:lang w:val="es-VE"/>
        </w:rPr>
        <w:t xml:space="preserve">de </w:t>
      </w:r>
      <w:r w:rsidR="00CE088B" w:rsidRPr="00AE1B97">
        <w:rPr>
          <w:rFonts w:ascii="Cambria" w:hAnsi="Cambria"/>
          <w:sz w:val="20"/>
          <w:szCs w:val="20"/>
          <w:lang w:val="es-VE"/>
        </w:rPr>
        <w:t>diciembre</w:t>
      </w:r>
      <w:r w:rsidRPr="00AE1B97">
        <w:rPr>
          <w:rFonts w:ascii="Cambria" w:hAnsi="Cambria"/>
          <w:sz w:val="20"/>
          <w:szCs w:val="20"/>
          <w:lang w:val="es-VE"/>
        </w:rPr>
        <w:t xml:space="preserve"> de </w:t>
      </w:r>
      <w:r w:rsidR="00CE088B" w:rsidRPr="00AE1B97">
        <w:rPr>
          <w:rFonts w:ascii="Cambria" w:hAnsi="Cambria"/>
          <w:sz w:val="20"/>
          <w:szCs w:val="20"/>
          <w:lang w:val="es-VE"/>
        </w:rPr>
        <w:t>2012</w:t>
      </w:r>
      <w:r w:rsidRPr="00AE1B97">
        <w:rPr>
          <w:rFonts w:ascii="Cambria" w:hAnsi="Cambria"/>
          <w:sz w:val="20"/>
          <w:szCs w:val="20"/>
          <w:lang w:val="es-VE"/>
        </w:rPr>
        <w:t xml:space="preserve"> </w:t>
      </w:r>
      <w:r w:rsidRPr="009014A4">
        <w:rPr>
          <w:rFonts w:ascii="Cambria" w:hAnsi="Cambria"/>
          <w:color w:val="000000" w:themeColor="text1"/>
          <w:sz w:val="20"/>
          <w:szCs w:val="20"/>
          <w:lang w:val="es-VE"/>
        </w:rPr>
        <w:t>la Comisión Interamericana de Derechos Humanos (en adelante “la Comisión Interamericana”, “la Comisión” o “la CIDH”) recibi</w:t>
      </w:r>
      <w:r w:rsidR="00CE088B">
        <w:rPr>
          <w:rFonts w:ascii="Cambria" w:hAnsi="Cambria"/>
          <w:color w:val="000000" w:themeColor="text1"/>
          <w:sz w:val="20"/>
          <w:szCs w:val="20"/>
          <w:lang w:val="es-VE"/>
        </w:rPr>
        <w:t>ó una petición presentada por la Red Lésbica “CATTRACHAS”</w:t>
      </w:r>
      <w:r w:rsidRPr="009014A4">
        <w:rPr>
          <w:rFonts w:ascii="Cambria" w:hAnsi="Cambria"/>
          <w:color w:val="000000" w:themeColor="text1"/>
          <w:sz w:val="20"/>
          <w:szCs w:val="20"/>
          <w:lang w:val="es-VE"/>
        </w:rPr>
        <w:t xml:space="preserve"> </w:t>
      </w:r>
      <w:r w:rsidR="00CE088B">
        <w:rPr>
          <w:rFonts w:ascii="Cambria" w:hAnsi="Cambria"/>
          <w:color w:val="000000" w:themeColor="text1"/>
          <w:sz w:val="20"/>
          <w:szCs w:val="20"/>
          <w:lang w:val="es-VE"/>
        </w:rPr>
        <w:t>Organización Lésbica Feminista de Honduras y el Centro de Derechos Humanos de las Mujeres</w:t>
      </w:r>
      <w:r w:rsidR="00CE088B">
        <w:rPr>
          <w:rStyle w:val="FootnoteReference"/>
          <w:rFonts w:ascii="Cambria" w:hAnsi="Cambria"/>
          <w:color w:val="000000" w:themeColor="text1"/>
          <w:sz w:val="20"/>
          <w:szCs w:val="20"/>
          <w:lang w:val="es-VE"/>
        </w:rPr>
        <w:footnoteReference w:id="2"/>
      </w:r>
      <w:r w:rsidR="00CE088B">
        <w:rPr>
          <w:rFonts w:ascii="Cambria" w:hAnsi="Cambria"/>
          <w:color w:val="000000" w:themeColor="text1"/>
          <w:sz w:val="20"/>
          <w:szCs w:val="20"/>
          <w:lang w:val="es-VE"/>
        </w:rPr>
        <w:t xml:space="preserve"> </w:t>
      </w:r>
      <w:r w:rsidRPr="009014A4">
        <w:rPr>
          <w:rFonts w:ascii="Cambria" w:hAnsi="Cambria"/>
          <w:color w:val="000000" w:themeColor="text1"/>
          <w:sz w:val="20"/>
          <w:szCs w:val="20"/>
          <w:lang w:val="es-VE"/>
        </w:rPr>
        <w:t>(en adelante “la parte peticionaria”)</w:t>
      </w:r>
      <w:r>
        <w:rPr>
          <w:rStyle w:val="FootnoteReference"/>
          <w:rFonts w:ascii="Cambria" w:hAnsi="Cambria"/>
          <w:color w:val="000000" w:themeColor="text1"/>
          <w:sz w:val="20"/>
          <w:szCs w:val="20"/>
          <w:lang w:val="es-VE"/>
        </w:rPr>
        <w:footnoteReference w:id="3"/>
      </w:r>
      <w:r w:rsidRPr="009014A4">
        <w:rPr>
          <w:rFonts w:ascii="Cambria" w:hAnsi="Cambria"/>
          <w:color w:val="000000" w:themeColor="text1"/>
          <w:sz w:val="20"/>
          <w:szCs w:val="20"/>
          <w:lang w:val="es-VE"/>
        </w:rPr>
        <w:t xml:space="preserve"> en la cual se alega la responsabilidad internacional de </w:t>
      </w:r>
      <w:r w:rsidR="00CE088B" w:rsidRPr="00AE1B97">
        <w:rPr>
          <w:rFonts w:ascii="Cambria" w:hAnsi="Cambria"/>
          <w:sz w:val="20"/>
          <w:szCs w:val="20"/>
          <w:lang w:val="es-VE"/>
        </w:rPr>
        <w:t>Honduras</w:t>
      </w:r>
      <w:r w:rsidRPr="009014A4">
        <w:rPr>
          <w:rFonts w:ascii="Cambria" w:hAnsi="Cambria"/>
          <w:color w:val="000000" w:themeColor="text1"/>
          <w:sz w:val="20"/>
          <w:szCs w:val="20"/>
          <w:lang w:val="es-VE"/>
        </w:rPr>
        <w:t xml:space="preserve"> (</w:t>
      </w:r>
      <w:r w:rsidR="00CE088B">
        <w:rPr>
          <w:rFonts w:ascii="Cambria" w:hAnsi="Cambria"/>
          <w:color w:val="000000" w:themeColor="text1"/>
          <w:sz w:val="20"/>
          <w:szCs w:val="20"/>
          <w:lang w:val="es-VE"/>
        </w:rPr>
        <w:t xml:space="preserve">en adelante “el Estado hondureño”, “el Estado” </w:t>
      </w:r>
      <w:r w:rsidR="006F4465">
        <w:rPr>
          <w:rFonts w:ascii="Cambria" w:hAnsi="Cambria"/>
          <w:color w:val="000000" w:themeColor="text1"/>
          <w:sz w:val="20"/>
          <w:szCs w:val="20"/>
          <w:lang w:val="es-VE"/>
        </w:rPr>
        <w:t>u</w:t>
      </w:r>
      <w:r w:rsidR="00CE088B">
        <w:rPr>
          <w:rFonts w:ascii="Cambria" w:hAnsi="Cambria"/>
          <w:color w:val="000000" w:themeColor="text1"/>
          <w:sz w:val="20"/>
          <w:szCs w:val="20"/>
          <w:lang w:val="es-VE"/>
        </w:rPr>
        <w:t xml:space="preserve"> “Honduras</w:t>
      </w:r>
      <w:r w:rsidRPr="009014A4">
        <w:rPr>
          <w:rFonts w:ascii="Cambria" w:hAnsi="Cambria"/>
          <w:color w:val="000000" w:themeColor="text1"/>
          <w:sz w:val="20"/>
          <w:szCs w:val="20"/>
          <w:lang w:val="es-VE"/>
        </w:rPr>
        <w:t xml:space="preserve">”) en perjuicio de </w:t>
      </w:r>
      <w:r w:rsidR="00CE088B" w:rsidRPr="00997AC0">
        <w:rPr>
          <w:rFonts w:ascii="Cambria" w:hAnsi="Cambria"/>
          <w:sz w:val="20"/>
          <w:szCs w:val="20"/>
          <w:lang w:val="es-VE"/>
        </w:rPr>
        <w:t>Vicky Hernández y su familia</w:t>
      </w:r>
      <w:r w:rsidRPr="009014A4">
        <w:rPr>
          <w:rFonts w:ascii="Cambria" w:hAnsi="Cambria"/>
          <w:color w:val="000000" w:themeColor="text1"/>
          <w:sz w:val="20"/>
          <w:szCs w:val="20"/>
          <w:lang w:val="es-VE"/>
        </w:rPr>
        <w:t xml:space="preserve">. </w:t>
      </w:r>
    </w:p>
    <w:p w14:paraId="042D6469" w14:textId="77777777" w:rsidR="009014A4" w:rsidRDefault="009014A4"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5C71D560" w14:textId="77777777" w:rsidR="009014A4" w:rsidRPr="009014A4" w:rsidRDefault="009014A4"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014A4">
        <w:rPr>
          <w:rFonts w:ascii="Cambria" w:hAnsi="Cambria"/>
          <w:color w:val="000000" w:themeColor="text1"/>
          <w:sz w:val="20"/>
          <w:szCs w:val="20"/>
          <w:lang w:val="es-VE"/>
        </w:rPr>
        <w:t>L</w:t>
      </w:r>
      <w:r w:rsidRPr="009014A4">
        <w:rPr>
          <w:rFonts w:ascii="Cambria" w:hAnsi="Cambria"/>
          <w:sz w:val="20"/>
          <w:szCs w:val="20"/>
          <w:lang w:val="es-ES_tradnl"/>
        </w:rPr>
        <w:t xml:space="preserve">a Comisión aprobó el informe de admisibilidad No. </w:t>
      </w:r>
      <w:r w:rsidR="00997AC0" w:rsidRPr="004D0BC4">
        <w:rPr>
          <w:rFonts w:ascii="Cambria" w:hAnsi="Cambria"/>
          <w:sz w:val="20"/>
          <w:szCs w:val="20"/>
          <w:lang w:val="es-ES_tradnl"/>
        </w:rPr>
        <w:t>64</w:t>
      </w:r>
      <w:r w:rsidRPr="004D0BC4">
        <w:rPr>
          <w:rFonts w:ascii="Cambria" w:hAnsi="Cambria"/>
          <w:sz w:val="20"/>
          <w:szCs w:val="20"/>
          <w:lang w:val="es-ES_tradnl"/>
        </w:rPr>
        <w:t>/</w:t>
      </w:r>
      <w:r w:rsidR="00997AC0" w:rsidRPr="004D0BC4">
        <w:rPr>
          <w:rFonts w:ascii="Cambria" w:hAnsi="Cambria"/>
          <w:sz w:val="20"/>
          <w:szCs w:val="20"/>
          <w:lang w:val="es-ES_tradnl"/>
        </w:rPr>
        <w:t>16</w:t>
      </w:r>
      <w:r w:rsidRPr="004D0BC4">
        <w:rPr>
          <w:rFonts w:ascii="Cambria" w:hAnsi="Cambria"/>
          <w:sz w:val="20"/>
          <w:szCs w:val="20"/>
          <w:lang w:val="es-ES_tradnl"/>
        </w:rPr>
        <w:t xml:space="preserve"> el </w:t>
      </w:r>
      <w:r w:rsidR="00997AC0" w:rsidRPr="004D0BC4">
        <w:rPr>
          <w:rFonts w:ascii="Cambria" w:hAnsi="Cambria"/>
          <w:sz w:val="20"/>
          <w:szCs w:val="20"/>
          <w:lang w:val="es-ES_tradnl"/>
        </w:rPr>
        <w:t>6</w:t>
      </w:r>
      <w:r w:rsidRPr="004D0BC4">
        <w:rPr>
          <w:rFonts w:ascii="Cambria" w:hAnsi="Cambria"/>
          <w:sz w:val="20"/>
          <w:szCs w:val="20"/>
          <w:lang w:val="es-ES_tradnl"/>
        </w:rPr>
        <w:t xml:space="preserve"> de </w:t>
      </w:r>
      <w:r w:rsidR="00997AC0" w:rsidRPr="004D0BC4">
        <w:rPr>
          <w:rFonts w:ascii="Cambria" w:hAnsi="Cambria"/>
          <w:sz w:val="20"/>
          <w:szCs w:val="20"/>
          <w:lang w:val="es-ES_tradnl"/>
        </w:rPr>
        <w:t>diciembre</w:t>
      </w:r>
      <w:r w:rsidRPr="004D0BC4">
        <w:rPr>
          <w:rFonts w:ascii="Cambria" w:hAnsi="Cambria"/>
          <w:sz w:val="20"/>
          <w:szCs w:val="20"/>
          <w:lang w:val="es-ES_tradnl"/>
        </w:rPr>
        <w:t xml:space="preserve"> de </w:t>
      </w:r>
      <w:r w:rsidR="00997AC0" w:rsidRPr="004D0BC4">
        <w:rPr>
          <w:rFonts w:ascii="Cambria" w:hAnsi="Cambria"/>
          <w:sz w:val="20"/>
          <w:szCs w:val="20"/>
          <w:lang w:val="es-ES_tradnl"/>
        </w:rPr>
        <w:t>2016</w:t>
      </w:r>
      <w:r w:rsidRPr="001265CE">
        <w:rPr>
          <w:rStyle w:val="FootnoteReference"/>
          <w:rFonts w:ascii="Cambria" w:hAnsi="Cambria"/>
          <w:sz w:val="20"/>
          <w:szCs w:val="20"/>
          <w:lang w:val="es-ES_tradnl"/>
        </w:rPr>
        <w:footnoteReference w:id="4"/>
      </w:r>
      <w:r w:rsidR="00AF7988">
        <w:rPr>
          <w:rFonts w:ascii="Cambria" w:hAnsi="Cambria"/>
          <w:sz w:val="20"/>
          <w:szCs w:val="20"/>
          <w:lang w:val="es-ES_tradnl"/>
        </w:rPr>
        <w:t xml:space="preserve">. </w:t>
      </w:r>
      <w:r w:rsidRPr="009014A4">
        <w:rPr>
          <w:rFonts w:ascii="Cambria" w:hAnsi="Cambria"/>
          <w:sz w:val="20"/>
          <w:szCs w:val="20"/>
          <w:lang w:val="es-ES_tradnl"/>
        </w:rPr>
        <w:t xml:space="preserve">El </w:t>
      </w:r>
      <w:r w:rsidR="003B0DF3" w:rsidRPr="009D6973">
        <w:rPr>
          <w:rFonts w:ascii="Cambria" w:hAnsi="Cambria"/>
          <w:sz w:val="20"/>
          <w:szCs w:val="20"/>
          <w:lang w:val="es-ES_tradnl"/>
        </w:rPr>
        <w:t>15</w:t>
      </w:r>
      <w:r w:rsidRPr="009D6973">
        <w:rPr>
          <w:rFonts w:ascii="Cambria" w:hAnsi="Cambria"/>
          <w:sz w:val="20"/>
          <w:szCs w:val="20"/>
          <w:lang w:val="es-ES_tradnl"/>
        </w:rPr>
        <w:t xml:space="preserve"> de </w:t>
      </w:r>
      <w:r w:rsidR="003B0DF3" w:rsidRPr="009D6973">
        <w:rPr>
          <w:rFonts w:ascii="Cambria" w:hAnsi="Cambria"/>
          <w:sz w:val="20"/>
          <w:szCs w:val="20"/>
          <w:lang w:val="es-ES_tradnl"/>
        </w:rPr>
        <w:t xml:space="preserve">diciembre </w:t>
      </w:r>
      <w:r w:rsidRPr="009D6973">
        <w:rPr>
          <w:rFonts w:ascii="Cambria" w:hAnsi="Cambria"/>
          <w:sz w:val="20"/>
          <w:szCs w:val="20"/>
          <w:lang w:val="es-ES_tradnl"/>
        </w:rPr>
        <w:t xml:space="preserve">de </w:t>
      </w:r>
      <w:r w:rsidR="003B0DF3" w:rsidRPr="009D6973">
        <w:rPr>
          <w:rFonts w:ascii="Cambria" w:hAnsi="Cambria"/>
          <w:sz w:val="20"/>
          <w:szCs w:val="20"/>
          <w:lang w:val="es-ES_tradnl"/>
        </w:rPr>
        <w:t>2016</w:t>
      </w:r>
      <w:r w:rsidRPr="009D6973">
        <w:rPr>
          <w:rFonts w:ascii="Cambria" w:hAnsi="Cambria"/>
          <w:sz w:val="20"/>
          <w:szCs w:val="20"/>
          <w:lang w:val="es-ES_tradnl"/>
        </w:rPr>
        <w:t xml:space="preserve"> </w:t>
      </w:r>
      <w:r w:rsidRPr="009014A4">
        <w:rPr>
          <w:rFonts w:ascii="Cambria" w:hAnsi="Cambria"/>
          <w:sz w:val="20"/>
          <w:szCs w:val="20"/>
          <w:lang w:val="es-ES_tradnl"/>
        </w:rPr>
        <w:t>la Comisión notificó dicho informe a las partes y se puso a su disposición a fin de llegar a una solución amistosa. Las partes contaron con los plazos reglamentarios para presentar sus observaciones adicionales sobre el fondo.</w:t>
      </w:r>
      <w:r w:rsidR="008C3098">
        <w:rPr>
          <w:rFonts w:ascii="Cambria" w:hAnsi="Cambria"/>
          <w:sz w:val="20"/>
          <w:szCs w:val="20"/>
          <w:lang w:val="es-ES_tradnl"/>
        </w:rPr>
        <w:t xml:space="preserve"> </w:t>
      </w:r>
      <w:r w:rsidRPr="009014A4">
        <w:rPr>
          <w:rFonts w:ascii="Cambria" w:hAnsi="Cambria"/>
          <w:sz w:val="20"/>
          <w:szCs w:val="20"/>
          <w:lang w:val="es-ES_tradnl"/>
        </w:rPr>
        <w:t xml:space="preserve">Toda la información recibida fue debidamente trasladada entre las partes. </w:t>
      </w:r>
    </w:p>
    <w:p w14:paraId="1613BDC9" w14:textId="77777777" w:rsidR="009014A4" w:rsidRDefault="009014A4"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14:paraId="0E648FCE" w14:textId="3DF35416" w:rsidR="005C4CA5" w:rsidRPr="001170FB" w:rsidRDefault="005C4CA5"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1170FB">
        <w:rPr>
          <w:rFonts w:ascii="Cambria" w:hAnsi="Cambria"/>
          <w:color w:val="000000" w:themeColor="text1"/>
          <w:sz w:val="20"/>
          <w:szCs w:val="20"/>
          <w:lang w:val="es-VE"/>
        </w:rPr>
        <w:t>La</w:t>
      </w:r>
      <w:r w:rsidR="001170FB">
        <w:rPr>
          <w:rFonts w:ascii="Cambria" w:hAnsi="Cambria"/>
          <w:color w:val="000000" w:themeColor="text1"/>
          <w:sz w:val="20"/>
          <w:szCs w:val="20"/>
          <w:lang w:val="es-VE"/>
        </w:rPr>
        <w:t xml:space="preserve"> parte peticionaria alegó que el Estado es responsable por la muerte de Vicky Hernández, mujer </w:t>
      </w:r>
      <w:proofErr w:type="spellStart"/>
      <w:r w:rsidR="001170FB">
        <w:rPr>
          <w:rFonts w:ascii="Cambria" w:hAnsi="Cambria"/>
          <w:color w:val="000000" w:themeColor="text1"/>
          <w:sz w:val="20"/>
          <w:szCs w:val="20"/>
          <w:lang w:val="es-VE"/>
        </w:rPr>
        <w:t>trans</w:t>
      </w:r>
      <w:proofErr w:type="spellEnd"/>
      <w:r w:rsidR="00994301">
        <w:rPr>
          <w:rFonts w:ascii="Cambria" w:hAnsi="Cambria"/>
          <w:color w:val="000000" w:themeColor="text1"/>
          <w:sz w:val="20"/>
          <w:szCs w:val="20"/>
          <w:lang w:val="es-VE"/>
        </w:rPr>
        <w:t>, defensora de derechos humanos,</w:t>
      </w:r>
      <w:r w:rsidR="001170FB">
        <w:rPr>
          <w:rFonts w:ascii="Cambria" w:hAnsi="Cambria"/>
          <w:color w:val="000000" w:themeColor="text1"/>
          <w:sz w:val="20"/>
          <w:szCs w:val="20"/>
          <w:lang w:val="es-VE"/>
        </w:rPr>
        <w:t xml:space="preserve"> que fue asesinada durante u</w:t>
      </w:r>
      <w:r w:rsidR="00C16CA8">
        <w:rPr>
          <w:rFonts w:ascii="Cambria" w:hAnsi="Cambria"/>
          <w:color w:val="000000" w:themeColor="text1"/>
          <w:sz w:val="20"/>
          <w:szCs w:val="20"/>
          <w:lang w:val="es-VE"/>
        </w:rPr>
        <w:t>n toque de queda instaurado en el marco</w:t>
      </w:r>
      <w:r w:rsidR="001170FB">
        <w:rPr>
          <w:rFonts w:ascii="Cambria" w:hAnsi="Cambria"/>
          <w:color w:val="000000" w:themeColor="text1"/>
          <w:sz w:val="20"/>
          <w:szCs w:val="20"/>
          <w:lang w:val="es-VE"/>
        </w:rPr>
        <w:t xml:space="preserve"> </w:t>
      </w:r>
      <w:r w:rsidR="00C16CA8">
        <w:rPr>
          <w:rFonts w:ascii="Cambria" w:hAnsi="Cambria"/>
          <w:color w:val="000000" w:themeColor="text1"/>
          <w:sz w:val="20"/>
          <w:szCs w:val="20"/>
          <w:lang w:val="es-VE"/>
        </w:rPr>
        <w:t>d</w:t>
      </w:r>
      <w:r w:rsidR="001170FB">
        <w:rPr>
          <w:rFonts w:ascii="Cambria" w:hAnsi="Cambria"/>
          <w:color w:val="000000" w:themeColor="text1"/>
          <w:sz w:val="20"/>
          <w:szCs w:val="20"/>
          <w:lang w:val="es-VE"/>
        </w:rPr>
        <w:t>el golpe de Estado en 2009</w:t>
      </w:r>
      <w:r w:rsidR="00C16CA8">
        <w:rPr>
          <w:rFonts w:ascii="Cambria" w:hAnsi="Cambria"/>
          <w:color w:val="000000" w:themeColor="text1"/>
          <w:sz w:val="20"/>
          <w:szCs w:val="20"/>
          <w:lang w:val="es-VE"/>
        </w:rPr>
        <w:t xml:space="preserve">. Alegó que </w:t>
      </w:r>
      <w:r w:rsidR="006F4465">
        <w:rPr>
          <w:rFonts w:ascii="Cambria" w:hAnsi="Cambria"/>
          <w:color w:val="000000" w:themeColor="text1"/>
          <w:sz w:val="20"/>
          <w:szCs w:val="20"/>
          <w:lang w:val="es-VE"/>
        </w:rPr>
        <w:t>se trataría de una e</w:t>
      </w:r>
      <w:r w:rsidR="00C16CA8">
        <w:rPr>
          <w:rFonts w:ascii="Cambria" w:hAnsi="Cambria"/>
          <w:color w:val="000000" w:themeColor="text1"/>
          <w:sz w:val="20"/>
          <w:szCs w:val="20"/>
          <w:lang w:val="es-VE"/>
        </w:rPr>
        <w:t>jecución extrajudicial debido a la alta presencia militar y policial en la zona y a la existencia de un contexto de violencia, discriminación y abuso policial contra las personas LG</w:t>
      </w:r>
      <w:r w:rsidR="009A01A0">
        <w:rPr>
          <w:rFonts w:ascii="Cambria" w:hAnsi="Cambria"/>
          <w:color w:val="000000" w:themeColor="text1"/>
          <w:sz w:val="20"/>
          <w:szCs w:val="20"/>
          <w:lang w:val="es-VE"/>
        </w:rPr>
        <w:t>TTB</w:t>
      </w:r>
      <w:r w:rsidR="00C16CA8">
        <w:rPr>
          <w:rFonts w:ascii="Cambria" w:hAnsi="Cambria"/>
          <w:color w:val="000000" w:themeColor="text1"/>
          <w:sz w:val="20"/>
          <w:szCs w:val="20"/>
          <w:lang w:val="es-VE"/>
        </w:rPr>
        <w:t>I en Honduras y a su intensificación con posterioridad al golpe de Estado.</w:t>
      </w:r>
      <w:r w:rsidR="001170FB">
        <w:rPr>
          <w:rFonts w:ascii="Cambria" w:hAnsi="Cambria"/>
          <w:color w:val="000000" w:themeColor="text1"/>
          <w:sz w:val="20"/>
          <w:szCs w:val="20"/>
          <w:lang w:val="es-VE"/>
        </w:rPr>
        <w:t xml:space="preserve"> </w:t>
      </w:r>
      <w:r w:rsidR="00C16CA8">
        <w:rPr>
          <w:rFonts w:ascii="Cambria" w:hAnsi="Cambria"/>
          <w:color w:val="000000" w:themeColor="text1"/>
          <w:sz w:val="20"/>
          <w:szCs w:val="20"/>
          <w:lang w:val="es-VE"/>
        </w:rPr>
        <w:t>Argumentó que el Estado no ha</w:t>
      </w:r>
      <w:r w:rsidR="00C16CA8" w:rsidRPr="003E616A">
        <w:rPr>
          <w:rFonts w:ascii="Cambria" w:hAnsi="Cambria"/>
          <w:color w:val="000000" w:themeColor="text1"/>
          <w:sz w:val="20"/>
          <w:szCs w:val="20"/>
          <w:lang w:val="es-VE"/>
        </w:rPr>
        <w:t xml:space="preserve"> actuado con la debida diligencia para el esclarecimiento de los hechos y la identificación de los responsables</w:t>
      </w:r>
      <w:r w:rsidR="00C16CA8">
        <w:rPr>
          <w:rFonts w:ascii="Cambria" w:hAnsi="Cambria"/>
          <w:color w:val="000000" w:themeColor="text1"/>
          <w:sz w:val="20"/>
          <w:szCs w:val="20"/>
          <w:lang w:val="es-VE"/>
        </w:rPr>
        <w:t xml:space="preserve">, y que existió discriminación en el acceso a la justicia en virtud de la </w:t>
      </w:r>
      <w:r w:rsidR="009A01A0">
        <w:rPr>
          <w:rFonts w:ascii="Cambria" w:hAnsi="Cambria"/>
          <w:color w:val="000000" w:themeColor="text1"/>
          <w:sz w:val="20"/>
          <w:szCs w:val="20"/>
          <w:lang w:val="es-VE"/>
        </w:rPr>
        <w:t>identidad de género</w:t>
      </w:r>
      <w:r w:rsidR="00C16CA8">
        <w:rPr>
          <w:rFonts w:ascii="Cambria" w:hAnsi="Cambria"/>
          <w:color w:val="000000" w:themeColor="text1"/>
          <w:sz w:val="20"/>
          <w:szCs w:val="20"/>
          <w:lang w:val="es-VE"/>
        </w:rPr>
        <w:t xml:space="preserve"> de Vicky Hernández.</w:t>
      </w:r>
    </w:p>
    <w:p w14:paraId="42ED85C3" w14:textId="77777777" w:rsidR="005C4CA5" w:rsidRPr="001170FB" w:rsidRDefault="005C4CA5"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2D315EF6" w14:textId="77777777" w:rsidR="005C4CA5" w:rsidRPr="00917C42" w:rsidRDefault="00C16CA8"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El Estado alegó </w:t>
      </w:r>
      <w:r w:rsidR="001A1789">
        <w:rPr>
          <w:rFonts w:ascii="Cambria" w:hAnsi="Cambria"/>
          <w:color w:val="000000" w:themeColor="text1"/>
          <w:sz w:val="20"/>
          <w:szCs w:val="20"/>
          <w:lang w:val="es-VE"/>
        </w:rPr>
        <w:t xml:space="preserve">que ha cumplido </w:t>
      </w:r>
      <w:r w:rsidR="001A1789" w:rsidRPr="003E616A">
        <w:rPr>
          <w:rFonts w:ascii="Cambria" w:hAnsi="Cambria"/>
          <w:sz w:val="20"/>
          <w:szCs w:val="20"/>
          <w:lang w:val="es-VE"/>
        </w:rPr>
        <w:t>su obligación de investigar la muer</w:t>
      </w:r>
      <w:r w:rsidR="001A1789">
        <w:rPr>
          <w:rFonts w:ascii="Cambria" w:hAnsi="Cambria"/>
          <w:sz w:val="20"/>
          <w:szCs w:val="20"/>
          <w:lang w:val="es-VE"/>
        </w:rPr>
        <w:t>te de Vicky Hernández y</w:t>
      </w:r>
      <w:r w:rsidR="00240342">
        <w:rPr>
          <w:rFonts w:ascii="Cambria" w:hAnsi="Cambria"/>
          <w:sz w:val="20"/>
          <w:szCs w:val="20"/>
          <w:lang w:val="es-VE"/>
        </w:rPr>
        <w:t xml:space="preserve"> que</w:t>
      </w:r>
      <w:r w:rsidR="001A1789">
        <w:rPr>
          <w:rFonts w:ascii="Cambria" w:hAnsi="Cambria"/>
          <w:sz w:val="20"/>
          <w:szCs w:val="20"/>
          <w:lang w:val="es-VE"/>
        </w:rPr>
        <w:t xml:space="preserve"> </w:t>
      </w:r>
      <w:r w:rsidR="001A1789" w:rsidRPr="003E616A">
        <w:rPr>
          <w:rFonts w:ascii="Cambria" w:hAnsi="Cambria"/>
          <w:sz w:val="20"/>
          <w:szCs w:val="20"/>
          <w:lang w:val="es-VE"/>
        </w:rPr>
        <w:t xml:space="preserve">ha realizado esfuerzos sustanciales encaminados a la búsqueda de la verdad. </w:t>
      </w:r>
      <w:r w:rsidR="001A1789">
        <w:rPr>
          <w:rFonts w:ascii="Cambria" w:hAnsi="Cambria"/>
          <w:sz w:val="20"/>
          <w:szCs w:val="20"/>
          <w:lang w:val="es-VE"/>
        </w:rPr>
        <w:t>Argumentó que</w:t>
      </w:r>
      <w:r w:rsidR="001A1789" w:rsidRPr="003E616A">
        <w:rPr>
          <w:rFonts w:ascii="Cambria" w:hAnsi="Cambria"/>
          <w:sz w:val="20"/>
          <w:szCs w:val="20"/>
          <w:lang w:val="es-VE"/>
        </w:rPr>
        <w:t xml:space="preserve"> el proceso se ha prolongado y dilatado en virt</w:t>
      </w:r>
      <w:r w:rsidR="001A1789">
        <w:rPr>
          <w:rFonts w:ascii="Cambria" w:hAnsi="Cambria"/>
          <w:sz w:val="20"/>
          <w:szCs w:val="20"/>
          <w:lang w:val="es-VE"/>
        </w:rPr>
        <w:t xml:space="preserve">ud de que el caso es complejo. Señaló que </w:t>
      </w:r>
      <w:r w:rsidR="001A1789" w:rsidRPr="003E616A">
        <w:rPr>
          <w:rFonts w:ascii="Cambria" w:hAnsi="Cambria"/>
          <w:sz w:val="20"/>
          <w:szCs w:val="20"/>
          <w:lang w:val="es-VE"/>
        </w:rPr>
        <w:t>no se ha acreditado que el Estado a través de sus agentes haya actuado en contravención de la Convención</w:t>
      </w:r>
      <w:r w:rsidR="001A1789">
        <w:rPr>
          <w:rFonts w:ascii="Cambria" w:hAnsi="Cambria"/>
          <w:sz w:val="20"/>
          <w:szCs w:val="20"/>
          <w:lang w:val="es-VE"/>
        </w:rPr>
        <w:t xml:space="preserve"> y que </w:t>
      </w:r>
      <w:r w:rsidR="001A1789" w:rsidRPr="003E616A">
        <w:rPr>
          <w:rFonts w:ascii="Cambria" w:hAnsi="Cambria"/>
          <w:sz w:val="20"/>
          <w:szCs w:val="20"/>
          <w:lang w:val="es-VE"/>
        </w:rPr>
        <w:t xml:space="preserve">en el transcurso del proceso se ha buscado el </w:t>
      </w:r>
      <w:r w:rsidR="001A1789" w:rsidRPr="00917C42">
        <w:rPr>
          <w:rFonts w:ascii="Cambria" w:hAnsi="Cambria"/>
          <w:sz w:val="20"/>
          <w:szCs w:val="20"/>
          <w:lang w:val="es-VE"/>
        </w:rPr>
        <w:t>respeto a la identidad de género de la víctima.</w:t>
      </w:r>
    </w:p>
    <w:p w14:paraId="5A14C407" w14:textId="77777777" w:rsidR="005C4CA5" w:rsidRPr="00917C42" w:rsidRDefault="005C4CA5" w:rsidP="002D4C97">
      <w:pPr>
        <w:pStyle w:val="ListParagraph"/>
        <w:rPr>
          <w:color w:val="000000" w:themeColor="text1"/>
          <w:sz w:val="20"/>
          <w:szCs w:val="20"/>
          <w:lang w:val="es-VE"/>
        </w:rPr>
      </w:pPr>
    </w:p>
    <w:p w14:paraId="415C153B" w14:textId="134AD1BA" w:rsidR="00CD56E1" w:rsidRDefault="005C4CA5" w:rsidP="00CD56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17C42">
        <w:rPr>
          <w:rFonts w:ascii="Cambria" w:hAnsi="Cambria"/>
          <w:color w:val="000000" w:themeColor="text1"/>
          <w:sz w:val="20"/>
          <w:szCs w:val="20"/>
          <w:lang w:val="es-VE"/>
        </w:rPr>
        <w:t>Con base en las determinaciones de hecho y de derecho, la Comisión Interamericana concluyó que</w:t>
      </w:r>
      <w:r w:rsidR="00A814FA" w:rsidRPr="00917C42">
        <w:rPr>
          <w:rFonts w:ascii="Cambria" w:hAnsi="Cambria"/>
          <w:color w:val="000000" w:themeColor="text1"/>
          <w:sz w:val="20"/>
          <w:szCs w:val="20"/>
          <w:lang w:val="es-VE"/>
        </w:rPr>
        <w:t xml:space="preserve"> </w:t>
      </w:r>
      <w:r w:rsidRPr="00917C42">
        <w:rPr>
          <w:rFonts w:ascii="Cambria" w:hAnsi="Cambria"/>
          <w:color w:val="000000" w:themeColor="text1"/>
          <w:sz w:val="20"/>
          <w:szCs w:val="20"/>
          <w:lang w:val="es-VE"/>
        </w:rPr>
        <w:t xml:space="preserve">el Estado es responsable por la violación de los artículos </w:t>
      </w:r>
      <w:r w:rsidR="000A51C6" w:rsidRPr="00917C42">
        <w:rPr>
          <w:rFonts w:ascii="Cambria" w:hAnsi="Cambria"/>
          <w:color w:val="000000" w:themeColor="text1"/>
          <w:sz w:val="20"/>
          <w:szCs w:val="20"/>
          <w:lang w:val="es-VE"/>
        </w:rPr>
        <w:t xml:space="preserve">4.1, </w:t>
      </w:r>
      <w:r w:rsidRPr="00917C42">
        <w:rPr>
          <w:rFonts w:ascii="Cambria" w:hAnsi="Cambria"/>
          <w:color w:val="000000" w:themeColor="text1"/>
          <w:sz w:val="20"/>
          <w:szCs w:val="20"/>
          <w:lang w:val="es-VE"/>
        </w:rPr>
        <w:t>(</w:t>
      </w:r>
      <w:r w:rsidR="003529A5" w:rsidRPr="00917C42">
        <w:rPr>
          <w:rFonts w:ascii="Cambria" w:hAnsi="Cambria"/>
          <w:color w:val="000000" w:themeColor="text1"/>
          <w:sz w:val="20"/>
          <w:szCs w:val="20"/>
          <w:lang w:val="es-VE"/>
        </w:rPr>
        <w:t>derecho a la vida</w:t>
      </w:r>
      <w:r w:rsidRPr="00917C42">
        <w:rPr>
          <w:rFonts w:ascii="Cambria" w:hAnsi="Cambria"/>
          <w:color w:val="000000" w:themeColor="text1"/>
          <w:sz w:val="20"/>
          <w:szCs w:val="20"/>
          <w:lang w:val="es-VE"/>
        </w:rPr>
        <w:t>)</w:t>
      </w:r>
      <w:r w:rsidR="003529A5" w:rsidRPr="00917C42">
        <w:rPr>
          <w:rFonts w:ascii="Cambria" w:hAnsi="Cambria"/>
          <w:color w:val="000000" w:themeColor="text1"/>
          <w:sz w:val="20"/>
          <w:szCs w:val="20"/>
          <w:lang w:val="es-VE"/>
        </w:rPr>
        <w:t>, 5.1 (derecho a la integridad personal), 8.1 (garantías judiciales)</w:t>
      </w:r>
      <w:r w:rsidR="00D8061C">
        <w:rPr>
          <w:rFonts w:ascii="Cambria" w:hAnsi="Cambria"/>
          <w:color w:val="000000" w:themeColor="text1"/>
          <w:sz w:val="20"/>
          <w:szCs w:val="20"/>
          <w:lang w:val="es-VE"/>
        </w:rPr>
        <w:t>,</w:t>
      </w:r>
      <w:r w:rsidR="003529A5" w:rsidRPr="00917C42">
        <w:rPr>
          <w:rFonts w:ascii="Cambria" w:hAnsi="Cambria"/>
          <w:color w:val="000000" w:themeColor="text1"/>
          <w:sz w:val="20"/>
          <w:szCs w:val="20"/>
          <w:lang w:val="es-VE"/>
        </w:rPr>
        <w:t xml:space="preserve"> 11 (derecho a la honra y dignidad), 13 (libertad de expresión), </w:t>
      </w:r>
      <w:r w:rsidR="00917C42" w:rsidRPr="00917C42">
        <w:rPr>
          <w:rFonts w:ascii="Cambria" w:hAnsi="Cambria"/>
          <w:color w:val="000000" w:themeColor="text1"/>
          <w:sz w:val="20"/>
          <w:szCs w:val="20"/>
          <w:lang w:val="es-VE"/>
        </w:rPr>
        <w:t xml:space="preserve">24 (derecho a la igualdad y no </w:t>
      </w:r>
      <w:r w:rsidR="00917C42" w:rsidRPr="00917C42">
        <w:rPr>
          <w:rFonts w:ascii="Cambria" w:hAnsi="Cambria"/>
          <w:sz w:val="20"/>
          <w:szCs w:val="20"/>
          <w:lang w:val="es-VE"/>
        </w:rPr>
        <w:t xml:space="preserve">discriminación) y 25.1 (protección judicial) </w:t>
      </w:r>
      <w:r w:rsidRPr="00917C42">
        <w:rPr>
          <w:rFonts w:ascii="Cambria" w:hAnsi="Cambria"/>
          <w:sz w:val="20"/>
          <w:szCs w:val="20"/>
          <w:lang w:val="es-VE"/>
        </w:rPr>
        <w:t>de la Convención Americana sobre Derechos Humanos (en adelante “la Convención Americana”</w:t>
      </w:r>
      <w:r w:rsidR="008217E6" w:rsidRPr="00917C42">
        <w:rPr>
          <w:rFonts w:ascii="Cambria" w:hAnsi="Cambria"/>
          <w:sz w:val="20"/>
          <w:szCs w:val="20"/>
          <w:lang w:val="es-VE"/>
        </w:rPr>
        <w:t xml:space="preserve"> </w:t>
      </w:r>
      <w:r w:rsidRPr="00917C42">
        <w:rPr>
          <w:rFonts w:ascii="Cambria" w:hAnsi="Cambria"/>
          <w:sz w:val="20"/>
          <w:szCs w:val="20"/>
          <w:lang w:val="es-VE"/>
        </w:rPr>
        <w:t>o “la Convención”), en relación con las obligaciones establecidas en el artícul</w:t>
      </w:r>
      <w:r w:rsidR="00917C42" w:rsidRPr="00917C42">
        <w:rPr>
          <w:rFonts w:ascii="Cambria" w:hAnsi="Cambria"/>
          <w:sz w:val="20"/>
          <w:szCs w:val="20"/>
          <w:lang w:val="es-VE"/>
        </w:rPr>
        <w:t xml:space="preserve">o </w:t>
      </w:r>
      <w:r w:rsidRPr="00917C42">
        <w:rPr>
          <w:rFonts w:ascii="Cambria" w:hAnsi="Cambria"/>
          <w:sz w:val="20"/>
          <w:szCs w:val="20"/>
          <w:lang w:val="es-VE"/>
        </w:rPr>
        <w:t>1.1</w:t>
      </w:r>
      <w:r w:rsidR="00917C42" w:rsidRPr="00917C42">
        <w:rPr>
          <w:rFonts w:ascii="Cambria" w:hAnsi="Cambria"/>
          <w:sz w:val="20"/>
          <w:szCs w:val="20"/>
          <w:lang w:val="es-VE"/>
        </w:rPr>
        <w:t xml:space="preserve"> </w:t>
      </w:r>
      <w:r w:rsidRPr="00917C42">
        <w:rPr>
          <w:rFonts w:ascii="Cambria" w:hAnsi="Cambria"/>
          <w:color w:val="000000" w:themeColor="text1"/>
          <w:sz w:val="20"/>
          <w:szCs w:val="20"/>
          <w:lang w:val="es-VE"/>
        </w:rPr>
        <w:t>del mismo instrumento.</w:t>
      </w:r>
      <w:r w:rsidR="00BB4A0B">
        <w:rPr>
          <w:rFonts w:ascii="Cambria" w:hAnsi="Cambria"/>
          <w:color w:val="000000" w:themeColor="text1"/>
          <w:sz w:val="20"/>
          <w:szCs w:val="20"/>
          <w:lang w:val="es-VE"/>
        </w:rPr>
        <w:t xml:space="preserve"> Asimismo, la Comisión declaró la violación del artículo 7 de la Convención Interamericana para Prevenir, Sancionar y Erradicar la Violencia contra la Mujer (en adelante “la Convención de Belem do Pará”). </w:t>
      </w:r>
      <w:r w:rsidRPr="00917C42">
        <w:rPr>
          <w:rFonts w:ascii="Cambria" w:hAnsi="Cambria"/>
          <w:color w:val="000000" w:themeColor="text1"/>
          <w:sz w:val="20"/>
          <w:szCs w:val="20"/>
          <w:lang w:val="es-VE"/>
        </w:rPr>
        <w:t xml:space="preserve"> La Comisión formuló las recomendaciones respectivas. </w:t>
      </w:r>
    </w:p>
    <w:p w14:paraId="4EA0A9EE" w14:textId="77777777" w:rsidR="00CD56E1" w:rsidRDefault="00CD56E1" w:rsidP="00CD56E1">
      <w:pPr>
        <w:pStyle w:val="ListParagraph"/>
        <w:rPr>
          <w:color w:val="000000" w:themeColor="text1"/>
          <w:sz w:val="20"/>
          <w:szCs w:val="20"/>
          <w:lang w:val="es-VE"/>
        </w:rPr>
      </w:pPr>
    </w:p>
    <w:p w14:paraId="385C7927" w14:textId="77777777" w:rsidR="00CD56E1" w:rsidRDefault="00CD56E1" w:rsidP="00CD56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04A3E45C" w14:textId="77777777" w:rsidR="00CD56E1" w:rsidRPr="00CD56E1" w:rsidRDefault="00CD56E1" w:rsidP="00CD56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bookmarkStart w:id="2" w:name="_GoBack"/>
      <w:bookmarkEnd w:id="2"/>
    </w:p>
    <w:p w14:paraId="5FECB181" w14:textId="77777777" w:rsidR="00D12193" w:rsidRPr="009F4EDF" w:rsidRDefault="00D12193" w:rsidP="009F4EDF">
      <w:pPr>
        <w:pStyle w:val="Heading1"/>
        <w:ind w:hanging="90"/>
        <w:rPr>
          <w:color w:val="auto"/>
          <w:sz w:val="20"/>
          <w:szCs w:val="20"/>
          <w:lang w:val="es-ES_tradnl"/>
        </w:rPr>
      </w:pPr>
      <w:bookmarkStart w:id="3" w:name="_Toc536451308"/>
      <w:r w:rsidRPr="009F4EDF">
        <w:rPr>
          <w:color w:val="auto"/>
          <w:sz w:val="20"/>
          <w:szCs w:val="20"/>
          <w:lang w:val="es-ES_tradnl"/>
        </w:rPr>
        <w:lastRenderedPageBreak/>
        <w:t>ALEGATOS DE LAS PARTES</w:t>
      </w:r>
      <w:bookmarkEnd w:id="3"/>
    </w:p>
    <w:p w14:paraId="16628DFD" w14:textId="77777777" w:rsidR="00D83D73" w:rsidRPr="003E616A" w:rsidRDefault="00D83D73" w:rsidP="002D4C97">
      <w:pPr>
        <w:suppressAutoHyphens/>
        <w:rPr>
          <w:rFonts w:ascii="Cambria" w:hAnsi="Cambria"/>
          <w:b/>
          <w:sz w:val="20"/>
          <w:szCs w:val="20"/>
          <w:lang w:val="es-ES_tradnl"/>
        </w:rPr>
      </w:pPr>
    </w:p>
    <w:p w14:paraId="5DEDDA81" w14:textId="683FF23E" w:rsidR="00D12193" w:rsidRPr="009F4EDF" w:rsidRDefault="00D12193" w:rsidP="00094AFC">
      <w:pPr>
        <w:pStyle w:val="Heading2"/>
        <w:numPr>
          <w:ilvl w:val="0"/>
          <w:numId w:val="60"/>
        </w:numPr>
        <w:ind w:hanging="90"/>
        <w:rPr>
          <w:rFonts w:asciiTheme="majorHAnsi" w:hAnsiTheme="majorHAnsi"/>
          <w:i w:val="0"/>
          <w:sz w:val="20"/>
          <w:szCs w:val="20"/>
          <w:lang w:val="es-ES_tradnl"/>
        </w:rPr>
      </w:pPr>
      <w:bookmarkStart w:id="4" w:name="_Toc536451309"/>
      <w:r w:rsidRPr="009F4EDF">
        <w:rPr>
          <w:rFonts w:asciiTheme="majorHAnsi" w:hAnsiTheme="majorHAnsi"/>
          <w:i w:val="0"/>
          <w:sz w:val="20"/>
          <w:szCs w:val="20"/>
          <w:lang w:val="es-ES_tradnl"/>
        </w:rPr>
        <w:t>PARTE PETICIONARIA</w:t>
      </w:r>
      <w:bookmarkEnd w:id="4"/>
      <w:r w:rsidR="00CC63CF" w:rsidRPr="009F4EDF">
        <w:rPr>
          <w:rFonts w:asciiTheme="majorHAnsi" w:hAnsiTheme="majorHAnsi"/>
          <w:i w:val="0"/>
          <w:sz w:val="20"/>
          <w:szCs w:val="20"/>
          <w:lang w:val="es-ES_tradnl"/>
        </w:rPr>
        <w:t xml:space="preserve"> </w:t>
      </w:r>
    </w:p>
    <w:p w14:paraId="08E47E87" w14:textId="77777777" w:rsidR="00361415" w:rsidRPr="003E616A" w:rsidRDefault="00361415" w:rsidP="002D4C97">
      <w:pPr>
        <w:suppressAutoHyphens/>
        <w:rPr>
          <w:rFonts w:ascii="Cambria" w:hAnsi="Cambria"/>
          <w:sz w:val="20"/>
          <w:szCs w:val="20"/>
          <w:lang w:val="es-ES_tradnl"/>
        </w:rPr>
      </w:pPr>
    </w:p>
    <w:p w14:paraId="33306FD1" w14:textId="7F3B7085" w:rsidR="007A72D3" w:rsidRPr="00FD223C" w:rsidRDefault="007A72D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3E616A">
        <w:rPr>
          <w:rFonts w:ascii="Cambria" w:hAnsi="Cambria"/>
          <w:color w:val="000000" w:themeColor="text1"/>
          <w:sz w:val="20"/>
          <w:szCs w:val="20"/>
          <w:lang w:val="es-VE"/>
        </w:rPr>
        <w:t>La parte peticionaria alegó que el 29 de junio de 2009 en horas de la noche, Vicky Hernández, mujer trans, registrada al nacer como Johny Emilson Hernández, fue asesin</w:t>
      </w:r>
      <w:r w:rsidR="00931E08" w:rsidRPr="003E616A">
        <w:rPr>
          <w:rFonts w:ascii="Cambria" w:hAnsi="Cambria"/>
          <w:color w:val="000000" w:themeColor="text1"/>
          <w:sz w:val="20"/>
          <w:szCs w:val="20"/>
          <w:lang w:val="es-VE"/>
        </w:rPr>
        <w:t>ada en la ciudad de San Pedro</w:t>
      </w:r>
      <w:r w:rsidRPr="003E616A">
        <w:rPr>
          <w:rFonts w:ascii="Cambria" w:hAnsi="Cambria"/>
          <w:color w:val="000000" w:themeColor="text1"/>
          <w:sz w:val="20"/>
          <w:szCs w:val="20"/>
          <w:lang w:val="es-VE"/>
        </w:rPr>
        <w:t xml:space="preserve"> Sula, en el marco de las redadas llevadas a cabo por la Policía Nacional </w:t>
      </w:r>
      <w:r w:rsidR="00AE4F06">
        <w:rPr>
          <w:rFonts w:ascii="Cambria" w:hAnsi="Cambria"/>
          <w:color w:val="000000" w:themeColor="text1"/>
          <w:sz w:val="20"/>
          <w:szCs w:val="20"/>
          <w:lang w:val="es-VE"/>
        </w:rPr>
        <w:t xml:space="preserve">mientras </w:t>
      </w:r>
      <w:r w:rsidRPr="003E616A">
        <w:rPr>
          <w:rFonts w:ascii="Cambria" w:hAnsi="Cambria"/>
          <w:color w:val="000000" w:themeColor="text1"/>
          <w:sz w:val="20"/>
          <w:szCs w:val="20"/>
          <w:lang w:val="es-VE"/>
        </w:rPr>
        <w:t xml:space="preserve">se encontraba en vigencia un toque de queda decretado un día antes, tras el golpe de Estado en el país. Enfatizó que </w:t>
      </w:r>
      <w:r w:rsidR="004D0A32">
        <w:rPr>
          <w:rFonts w:ascii="Cambria" w:hAnsi="Cambria"/>
          <w:color w:val="000000" w:themeColor="text1"/>
          <w:sz w:val="20"/>
          <w:szCs w:val="20"/>
          <w:lang w:val="es-VE"/>
        </w:rPr>
        <w:t xml:space="preserve">la muerte tuvo lugar en un momento en que </w:t>
      </w:r>
      <w:r w:rsidRPr="003E616A">
        <w:rPr>
          <w:rFonts w:ascii="Cambria" w:hAnsi="Cambria"/>
          <w:color w:val="000000" w:themeColor="text1"/>
          <w:sz w:val="20"/>
          <w:szCs w:val="20"/>
          <w:lang w:val="es-VE"/>
        </w:rPr>
        <w:t>“solamente había presencia de las fuerzas del orden en las calles”.</w:t>
      </w:r>
      <w:r w:rsidR="00FD223C">
        <w:rPr>
          <w:rFonts w:ascii="Cambria" w:hAnsi="Cambria"/>
          <w:color w:val="000000" w:themeColor="text1"/>
          <w:sz w:val="20"/>
          <w:szCs w:val="20"/>
          <w:lang w:val="es-VE"/>
        </w:rPr>
        <w:t xml:space="preserve"> </w:t>
      </w:r>
      <w:r w:rsidR="005564C9" w:rsidRPr="00FD223C">
        <w:rPr>
          <w:rFonts w:ascii="Cambria" w:hAnsi="Cambria"/>
          <w:color w:val="000000" w:themeColor="text1"/>
          <w:sz w:val="20"/>
          <w:szCs w:val="20"/>
          <w:lang w:val="es-VE"/>
        </w:rPr>
        <w:t>R</w:t>
      </w:r>
      <w:r w:rsidRPr="00FD223C">
        <w:rPr>
          <w:rFonts w:ascii="Cambria" w:hAnsi="Cambria"/>
          <w:color w:val="000000" w:themeColor="text1"/>
          <w:sz w:val="20"/>
          <w:szCs w:val="20"/>
          <w:lang w:val="es-VE"/>
        </w:rPr>
        <w:t>efirió que los hechos se enmarcaron en un contexto de discriminación y violencia en contra de las mujeres y de las personas LGTTBI en Honduras, indicando en particular la situación de susceptibilidad de las mujeres trans a sufrir violencia por parte de la policía y otros agentes del Estado</w:t>
      </w:r>
      <w:r w:rsidR="00CF3887" w:rsidRPr="00FD223C">
        <w:rPr>
          <w:rFonts w:ascii="Cambria" w:hAnsi="Cambria"/>
          <w:color w:val="000000" w:themeColor="text1"/>
          <w:sz w:val="20"/>
          <w:szCs w:val="20"/>
          <w:lang w:val="es-VE"/>
        </w:rPr>
        <w:t xml:space="preserve">, lo que se agravó e intensificó </w:t>
      </w:r>
      <w:r w:rsidRPr="00FD223C">
        <w:rPr>
          <w:rFonts w:ascii="Cambria" w:hAnsi="Cambria"/>
          <w:color w:val="000000" w:themeColor="text1"/>
          <w:sz w:val="20"/>
          <w:szCs w:val="20"/>
          <w:lang w:val="es-VE"/>
        </w:rPr>
        <w:t>a partir del golpe de Estado.</w:t>
      </w:r>
    </w:p>
    <w:p w14:paraId="643E8282" w14:textId="77777777" w:rsidR="007A72D3" w:rsidRPr="003E616A" w:rsidRDefault="007A72D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4D21B068" w14:textId="14E716CE" w:rsidR="007A72D3" w:rsidRPr="003E616A" w:rsidRDefault="0095121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Sobre </w:t>
      </w:r>
      <w:r w:rsidR="007A72D3" w:rsidRPr="003E616A">
        <w:rPr>
          <w:rFonts w:ascii="Cambria" w:hAnsi="Cambria"/>
          <w:color w:val="000000" w:themeColor="text1"/>
          <w:sz w:val="20"/>
          <w:szCs w:val="20"/>
          <w:lang w:val="es-VE"/>
        </w:rPr>
        <w:t>las investigaciones penales alegó que no</w:t>
      </w:r>
      <w:r>
        <w:rPr>
          <w:rFonts w:ascii="Cambria" w:hAnsi="Cambria"/>
          <w:color w:val="000000" w:themeColor="text1"/>
          <w:sz w:val="20"/>
          <w:szCs w:val="20"/>
          <w:lang w:val="es-VE"/>
        </w:rPr>
        <w:t xml:space="preserve"> se</w:t>
      </w:r>
      <w:r w:rsidR="007A72D3" w:rsidRPr="003E616A">
        <w:rPr>
          <w:rFonts w:ascii="Cambria" w:hAnsi="Cambria"/>
          <w:color w:val="000000" w:themeColor="text1"/>
          <w:sz w:val="20"/>
          <w:szCs w:val="20"/>
          <w:lang w:val="es-VE"/>
        </w:rPr>
        <w:t xml:space="preserve"> han</w:t>
      </w:r>
      <w:r>
        <w:rPr>
          <w:rFonts w:ascii="Cambria" w:hAnsi="Cambria"/>
          <w:color w:val="000000" w:themeColor="text1"/>
          <w:sz w:val="20"/>
          <w:szCs w:val="20"/>
          <w:lang w:val="es-VE"/>
        </w:rPr>
        <w:t xml:space="preserve"> llevado</w:t>
      </w:r>
      <w:r w:rsidR="007A72D3" w:rsidRPr="003E616A">
        <w:rPr>
          <w:rFonts w:ascii="Cambria" w:hAnsi="Cambria"/>
          <w:color w:val="000000" w:themeColor="text1"/>
          <w:sz w:val="20"/>
          <w:szCs w:val="20"/>
          <w:lang w:val="es-VE"/>
        </w:rPr>
        <w:t xml:space="preserve"> con la debida diligencia. Refirió que se han practicado solamente 12 diligencias, de las cuales cuatro corresponden a las primeras actuaciones de rigor en cuanto al levantamiento del cadáver e identificación de la</w:t>
      </w:r>
      <w:r w:rsidR="005C101E">
        <w:rPr>
          <w:rFonts w:ascii="Cambria" w:hAnsi="Cambria"/>
          <w:color w:val="000000" w:themeColor="text1"/>
          <w:sz w:val="20"/>
          <w:szCs w:val="20"/>
          <w:lang w:val="es-VE"/>
        </w:rPr>
        <w:t xml:space="preserve"> persona fallecida</w:t>
      </w:r>
      <w:r w:rsidR="007A72D3" w:rsidRPr="003E616A">
        <w:rPr>
          <w:rFonts w:ascii="Cambria" w:hAnsi="Cambria"/>
          <w:color w:val="000000" w:themeColor="text1"/>
          <w:sz w:val="20"/>
          <w:szCs w:val="20"/>
          <w:lang w:val="es-VE"/>
        </w:rPr>
        <w:t xml:space="preserve">, </w:t>
      </w:r>
      <w:r>
        <w:rPr>
          <w:rFonts w:ascii="Cambria" w:hAnsi="Cambria"/>
          <w:color w:val="000000" w:themeColor="text1"/>
          <w:sz w:val="20"/>
          <w:szCs w:val="20"/>
          <w:lang w:val="es-VE"/>
        </w:rPr>
        <w:t>adem</w:t>
      </w:r>
      <w:r>
        <w:rPr>
          <w:rFonts w:ascii="Cambria" w:hAnsi="Cambria"/>
          <w:color w:val="000000" w:themeColor="text1"/>
          <w:sz w:val="20"/>
          <w:szCs w:val="20"/>
          <w:lang w:val="es-CO"/>
        </w:rPr>
        <w:t xml:space="preserve">ás de </w:t>
      </w:r>
      <w:r w:rsidR="007A72D3" w:rsidRPr="003E616A">
        <w:rPr>
          <w:rFonts w:ascii="Cambria" w:hAnsi="Cambria"/>
          <w:color w:val="000000" w:themeColor="text1"/>
          <w:sz w:val="20"/>
          <w:szCs w:val="20"/>
          <w:lang w:val="es-VE"/>
        </w:rPr>
        <w:t xml:space="preserve">la única declaración tomada en el proceso, a la madre de Vicky. </w:t>
      </w:r>
      <w:r w:rsidR="003832F1">
        <w:rPr>
          <w:rFonts w:ascii="Cambria" w:hAnsi="Cambria"/>
          <w:color w:val="000000" w:themeColor="text1"/>
          <w:sz w:val="20"/>
          <w:szCs w:val="20"/>
          <w:lang w:val="es-VE"/>
        </w:rPr>
        <w:t>D</w:t>
      </w:r>
      <w:r w:rsidR="007A72D3" w:rsidRPr="003E616A">
        <w:rPr>
          <w:rFonts w:ascii="Cambria" w:hAnsi="Cambria"/>
          <w:color w:val="000000" w:themeColor="text1"/>
          <w:sz w:val="20"/>
          <w:szCs w:val="20"/>
          <w:lang w:val="es-VE"/>
        </w:rPr>
        <w:t>enunció que no se practicaron diligencias esenciales como la autopsia, la cual fue solicitada dos veces por la Fiscalía y</w:t>
      </w:r>
      <w:r w:rsidR="00E0601C">
        <w:rPr>
          <w:rFonts w:ascii="Cambria" w:hAnsi="Cambria"/>
          <w:color w:val="000000" w:themeColor="text1"/>
          <w:sz w:val="20"/>
          <w:szCs w:val="20"/>
          <w:lang w:val="es-VE"/>
        </w:rPr>
        <w:t>,</w:t>
      </w:r>
      <w:r w:rsidR="007A72D3" w:rsidRPr="003E616A">
        <w:rPr>
          <w:rFonts w:ascii="Cambria" w:hAnsi="Cambria"/>
          <w:color w:val="000000" w:themeColor="text1"/>
          <w:sz w:val="20"/>
          <w:szCs w:val="20"/>
          <w:lang w:val="es-VE"/>
        </w:rPr>
        <w:t xml:space="preserve"> </w:t>
      </w:r>
      <w:r w:rsidR="00E0601C">
        <w:rPr>
          <w:rFonts w:ascii="Cambria" w:hAnsi="Cambria"/>
          <w:color w:val="000000" w:themeColor="text1"/>
          <w:sz w:val="20"/>
          <w:szCs w:val="20"/>
          <w:lang w:val="es-VE"/>
        </w:rPr>
        <w:t>para</w:t>
      </w:r>
      <w:r w:rsidR="007A72D3" w:rsidRPr="003E616A">
        <w:rPr>
          <w:rFonts w:ascii="Cambria" w:hAnsi="Cambria"/>
          <w:color w:val="000000" w:themeColor="text1"/>
          <w:sz w:val="20"/>
          <w:szCs w:val="20"/>
          <w:lang w:val="es-VE"/>
        </w:rPr>
        <w:t xml:space="preserve"> marzo de 2015</w:t>
      </w:r>
      <w:r w:rsidR="00E0601C">
        <w:rPr>
          <w:rFonts w:ascii="Cambria" w:hAnsi="Cambria"/>
          <w:color w:val="000000" w:themeColor="text1"/>
          <w:sz w:val="20"/>
          <w:szCs w:val="20"/>
          <w:lang w:val="es-VE"/>
        </w:rPr>
        <w:t>,</w:t>
      </w:r>
      <w:r w:rsidR="007A72D3" w:rsidRPr="003E616A">
        <w:rPr>
          <w:rFonts w:ascii="Cambria" w:hAnsi="Cambria"/>
          <w:color w:val="000000" w:themeColor="text1"/>
          <w:sz w:val="20"/>
          <w:szCs w:val="20"/>
          <w:lang w:val="es-VE"/>
        </w:rPr>
        <w:t xml:space="preserve"> no co</w:t>
      </w:r>
      <w:r w:rsidR="00502219" w:rsidRPr="003E616A">
        <w:rPr>
          <w:rFonts w:ascii="Cambria" w:hAnsi="Cambria"/>
          <w:color w:val="000000" w:themeColor="text1"/>
          <w:sz w:val="20"/>
          <w:szCs w:val="20"/>
          <w:lang w:val="es-VE"/>
        </w:rPr>
        <w:t xml:space="preserve">nstaba en el expediente. </w:t>
      </w:r>
      <w:r>
        <w:rPr>
          <w:rFonts w:ascii="Cambria" w:hAnsi="Cambria"/>
          <w:color w:val="000000" w:themeColor="text1"/>
          <w:sz w:val="20"/>
          <w:szCs w:val="20"/>
          <w:lang w:val="es-VE"/>
        </w:rPr>
        <w:t>I</w:t>
      </w:r>
      <w:r w:rsidR="00502219" w:rsidRPr="003E616A">
        <w:rPr>
          <w:rFonts w:ascii="Cambria" w:hAnsi="Cambria"/>
          <w:color w:val="000000" w:themeColor="text1"/>
          <w:sz w:val="20"/>
          <w:szCs w:val="20"/>
          <w:lang w:val="es-VE"/>
        </w:rPr>
        <w:t xml:space="preserve">ndicó que al momento </w:t>
      </w:r>
      <w:r>
        <w:rPr>
          <w:rFonts w:ascii="Cambria" w:hAnsi="Cambria"/>
          <w:color w:val="000000" w:themeColor="text1"/>
          <w:sz w:val="20"/>
          <w:szCs w:val="20"/>
          <w:lang w:val="es-VE"/>
        </w:rPr>
        <w:t>de</w:t>
      </w:r>
      <w:r w:rsidR="00502219" w:rsidRPr="003E616A">
        <w:rPr>
          <w:rFonts w:ascii="Cambria" w:hAnsi="Cambria"/>
          <w:color w:val="000000" w:themeColor="text1"/>
          <w:sz w:val="20"/>
          <w:szCs w:val="20"/>
          <w:lang w:val="es-VE"/>
        </w:rPr>
        <w:t xml:space="preserve"> los hechos, </w:t>
      </w:r>
      <w:r>
        <w:rPr>
          <w:rFonts w:ascii="Cambria" w:hAnsi="Cambria"/>
          <w:color w:val="000000" w:themeColor="text1"/>
          <w:sz w:val="20"/>
          <w:szCs w:val="20"/>
          <w:lang w:val="es-VE"/>
        </w:rPr>
        <w:t xml:space="preserve">se denunció </w:t>
      </w:r>
      <w:r w:rsidR="00502219" w:rsidRPr="003E616A">
        <w:rPr>
          <w:rFonts w:ascii="Cambria" w:hAnsi="Cambria"/>
          <w:color w:val="000000" w:themeColor="text1"/>
          <w:sz w:val="20"/>
          <w:szCs w:val="20"/>
          <w:lang w:val="es-VE"/>
        </w:rPr>
        <w:t>que</w:t>
      </w:r>
      <w:r>
        <w:rPr>
          <w:rFonts w:ascii="Cambria" w:hAnsi="Cambria"/>
          <w:color w:val="000000" w:themeColor="text1"/>
          <w:sz w:val="20"/>
          <w:szCs w:val="20"/>
          <w:lang w:val="es-VE"/>
        </w:rPr>
        <w:t xml:space="preserve"> la negativa a </w:t>
      </w:r>
      <w:r w:rsidR="00502219" w:rsidRPr="003E616A">
        <w:rPr>
          <w:rFonts w:ascii="Cambria" w:hAnsi="Cambria"/>
          <w:color w:val="000000" w:themeColor="text1"/>
          <w:sz w:val="20"/>
          <w:szCs w:val="20"/>
          <w:lang w:val="es-VE"/>
        </w:rPr>
        <w:t>realizar la autopsia</w:t>
      </w:r>
      <w:r>
        <w:rPr>
          <w:rFonts w:ascii="Cambria" w:hAnsi="Cambria"/>
          <w:color w:val="000000" w:themeColor="text1"/>
          <w:sz w:val="20"/>
          <w:szCs w:val="20"/>
          <w:lang w:val="es-VE"/>
        </w:rPr>
        <w:t xml:space="preserve"> era por s</w:t>
      </w:r>
      <w:r w:rsidR="00502219" w:rsidRPr="003E616A">
        <w:rPr>
          <w:rFonts w:ascii="Cambria" w:hAnsi="Cambria"/>
          <w:color w:val="000000" w:themeColor="text1"/>
          <w:sz w:val="20"/>
          <w:szCs w:val="20"/>
          <w:lang w:val="es-VE"/>
        </w:rPr>
        <w:t>uponer que la víctima</w:t>
      </w:r>
      <w:r>
        <w:rPr>
          <w:rFonts w:ascii="Cambria" w:hAnsi="Cambria"/>
          <w:color w:val="000000" w:themeColor="text1"/>
          <w:sz w:val="20"/>
          <w:szCs w:val="20"/>
          <w:lang w:val="es-VE"/>
        </w:rPr>
        <w:t xml:space="preserve"> vivía con </w:t>
      </w:r>
      <w:r w:rsidR="00502219" w:rsidRPr="003E616A">
        <w:rPr>
          <w:rFonts w:ascii="Cambria" w:hAnsi="Cambria"/>
          <w:color w:val="000000" w:themeColor="text1"/>
          <w:sz w:val="20"/>
          <w:szCs w:val="20"/>
          <w:lang w:val="es-VE"/>
        </w:rPr>
        <w:t xml:space="preserve">VIH. Afirmó que </w:t>
      </w:r>
      <w:r>
        <w:rPr>
          <w:rFonts w:ascii="Cambria" w:hAnsi="Cambria"/>
          <w:color w:val="000000" w:themeColor="text1"/>
          <w:sz w:val="20"/>
          <w:szCs w:val="20"/>
          <w:lang w:val="es-VE"/>
        </w:rPr>
        <w:t xml:space="preserve">no </w:t>
      </w:r>
      <w:r w:rsidR="007A72D3" w:rsidRPr="003E616A">
        <w:rPr>
          <w:rFonts w:ascii="Cambria" w:hAnsi="Cambria"/>
          <w:color w:val="000000" w:themeColor="text1"/>
          <w:sz w:val="20"/>
          <w:szCs w:val="20"/>
          <w:lang w:val="es-VE"/>
        </w:rPr>
        <w:t>se contact</w:t>
      </w:r>
      <w:r>
        <w:rPr>
          <w:rFonts w:ascii="Cambria" w:hAnsi="Cambria"/>
          <w:color w:val="000000" w:themeColor="text1"/>
          <w:sz w:val="20"/>
          <w:szCs w:val="20"/>
          <w:lang w:val="es-VE"/>
        </w:rPr>
        <w:t xml:space="preserve">ó a </w:t>
      </w:r>
      <w:r w:rsidR="007A72D3" w:rsidRPr="003E616A">
        <w:rPr>
          <w:rFonts w:ascii="Cambria" w:hAnsi="Cambria"/>
          <w:color w:val="000000" w:themeColor="text1"/>
          <w:sz w:val="20"/>
          <w:szCs w:val="20"/>
          <w:lang w:val="es-VE"/>
        </w:rPr>
        <w:t>testigos que habrían podido aportar información relevante</w:t>
      </w:r>
      <w:r>
        <w:rPr>
          <w:rFonts w:ascii="Cambria" w:hAnsi="Cambria"/>
          <w:color w:val="000000" w:themeColor="text1"/>
          <w:sz w:val="20"/>
          <w:szCs w:val="20"/>
          <w:lang w:val="es-VE"/>
        </w:rPr>
        <w:t xml:space="preserve"> y que no han contado con </w:t>
      </w:r>
      <w:r w:rsidR="007A72D3" w:rsidRPr="003E616A">
        <w:rPr>
          <w:rFonts w:ascii="Cambria" w:hAnsi="Cambria"/>
          <w:color w:val="000000" w:themeColor="text1"/>
          <w:sz w:val="20"/>
          <w:szCs w:val="20"/>
          <w:lang w:val="es-VE"/>
        </w:rPr>
        <w:t xml:space="preserve">copia actualizada e íntegra del expediente. </w:t>
      </w:r>
    </w:p>
    <w:p w14:paraId="2079774D" w14:textId="77777777" w:rsidR="007A72D3" w:rsidRPr="003E616A" w:rsidRDefault="007A72D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11EB28B1" w14:textId="17826D78" w:rsidR="00361415" w:rsidRPr="009F4EDF" w:rsidRDefault="008B087D"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A</w:t>
      </w:r>
      <w:r w:rsidR="007A72D3" w:rsidRPr="003E616A">
        <w:rPr>
          <w:rFonts w:ascii="Cambria" w:hAnsi="Cambria"/>
          <w:color w:val="000000" w:themeColor="text1"/>
          <w:sz w:val="20"/>
          <w:szCs w:val="20"/>
          <w:lang w:val="es-VE"/>
        </w:rPr>
        <w:t xml:space="preserve">legó </w:t>
      </w:r>
      <w:r w:rsidR="00D61B14">
        <w:rPr>
          <w:rFonts w:ascii="Cambria" w:hAnsi="Cambria"/>
          <w:color w:val="000000" w:themeColor="text1"/>
          <w:sz w:val="20"/>
          <w:szCs w:val="20"/>
          <w:lang w:val="es-VE"/>
        </w:rPr>
        <w:t xml:space="preserve">la violación de </w:t>
      </w:r>
      <w:r w:rsidR="007A72D3" w:rsidRPr="003E616A">
        <w:rPr>
          <w:rFonts w:ascii="Cambria" w:hAnsi="Cambria"/>
          <w:color w:val="000000" w:themeColor="text1"/>
          <w:sz w:val="20"/>
          <w:szCs w:val="20"/>
          <w:lang w:val="es-VE"/>
        </w:rPr>
        <w:t xml:space="preserve">los </w:t>
      </w:r>
      <w:r w:rsidR="007A72D3" w:rsidRPr="003E616A">
        <w:rPr>
          <w:rFonts w:ascii="Cambria" w:hAnsi="Cambria"/>
          <w:b/>
          <w:color w:val="000000" w:themeColor="text1"/>
          <w:sz w:val="20"/>
          <w:szCs w:val="20"/>
          <w:lang w:val="es-VE"/>
        </w:rPr>
        <w:t>derechos a la vida y a la integridad personal</w:t>
      </w:r>
      <w:r w:rsidR="007A72D3" w:rsidRPr="003E616A">
        <w:rPr>
          <w:rFonts w:ascii="Cambria" w:hAnsi="Cambria"/>
          <w:color w:val="000000" w:themeColor="text1"/>
          <w:sz w:val="20"/>
          <w:szCs w:val="20"/>
          <w:lang w:val="es-VE"/>
        </w:rPr>
        <w:t xml:space="preserve"> de Vicky Hernández, en relación con el artículo 7 de la Convención de Belém do Pará. </w:t>
      </w:r>
      <w:r w:rsidR="005F598A">
        <w:rPr>
          <w:rFonts w:ascii="Cambria" w:hAnsi="Cambria"/>
          <w:color w:val="000000" w:themeColor="text1"/>
          <w:sz w:val="20"/>
          <w:szCs w:val="20"/>
          <w:lang w:val="es-VE"/>
        </w:rPr>
        <w:t xml:space="preserve">También alegó </w:t>
      </w:r>
      <w:r w:rsidR="007A72D3" w:rsidRPr="00143FCF">
        <w:rPr>
          <w:rFonts w:ascii="Cambria" w:hAnsi="Cambria"/>
          <w:color w:val="000000" w:themeColor="text1"/>
          <w:sz w:val="20"/>
          <w:szCs w:val="20"/>
          <w:lang w:val="es-VE"/>
        </w:rPr>
        <w:t xml:space="preserve">Honduras es responsable por la violación de los </w:t>
      </w:r>
      <w:r w:rsidR="007A72D3" w:rsidRPr="00143FCF">
        <w:rPr>
          <w:rFonts w:ascii="Cambria" w:hAnsi="Cambria"/>
          <w:b/>
          <w:color w:val="000000" w:themeColor="text1"/>
          <w:sz w:val="20"/>
          <w:szCs w:val="20"/>
          <w:lang w:val="es-VE"/>
        </w:rPr>
        <w:t>derechos a las garantías judiciales y a la protección judicial</w:t>
      </w:r>
      <w:r w:rsidR="007A72D3" w:rsidRPr="00143FCF">
        <w:rPr>
          <w:rFonts w:ascii="Cambria" w:hAnsi="Cambria"/>
          <w:color w:val="000000" w:themeColor="text1"/>
          <w:sz w:val="20"/>
          <w:szCs w:val="20"/>
          <w:lang w:val="es-VE"/>
        </w:rPr>
        <w:t xml:space="preserve"> en relación con el artículo 7.b de la Convención de Belém do Pará</w:t>
      </w:r>
      <w:r w:rsidR="00284CC2" w:rsidRPr="00143FCF">
        <w:rPr>
          <w:rFonts w:ascii="Cambria" w:hAnsi="Cambria"/>
          <w:color w:val="000000" w:themeColor="text1"/>
          <w:sz w:val="20"/>
          <w:szCs w:val="20"/>
          <w:lang w:val="es-VE"/>
        </w:rPr>
        <w:t>,</w:t>
      </w:r>
      <w:r w:rsidR="007A72D3" w:rsidRPr="00143FCF">
        <w:rPr>
          <w:rFonts w:ascii="Cambria" w:hAnsi="Cambria"/>
          <w:color w:val="000000" w:themeColor="text1"/>
          <w:sz w:val="20"/>
          <w:szCs w:val="20"/>
          <w:lang w:val="es-VE"/>
        </w:rPr>
        <w:t xml:space="preserve"> debido a que en la investigación que inició no adoptó una perspectiva </w:t>
      </w:r>
      <w:r w:rsidR="00930C72" w:rsidRPr="00143FCF">
        <w:rPr>
          <w:rFonts w:ascii="Cambria" w:hAnsi="Cambria"/>
          <w:color w:val="000000" w:themeColor="text1"/>
          <w:sz w:val="20"/>
          <w:szCs w:val="20"/>
          <w:lang w:val="es-VE"/>
        </w:rPr>
        <w:t xml:space="preserve">de género y </w:t>
      </w:r>
      <w:r w:rsidR="0045534C">
        <w:rPr>
          <w:rFonts w:ascii="Cambria" w:hAnsi="Cambria"/>
          <w:color w:val="000000" w:themeColor="text1"/>
          <w:sz w:val="20"/>
          <w:szCs w:val="20"/>
          <w:lang w:val="es-VE"/>
        </w:rPr>
        <w:t>de identidad de género</w:t>
      </w:r>
      <w:r w:rsidR="007A72D3" w:rsidRPr="00143FCF">
        <w:rPr>
          <w:rFonts w:ascii="Cambria" w:hAnsi="Cambria"/>
          <w:color w:val="000000" w:themeColor="text1"/>
          <w:sz w:val="20"/>
          <w:szCs w:val="20"/>
          <w:lang w:val="es-VE"/>
        </w:rPr>
        <w:t xml:space="preserve">, no profundizó en líneas investigativas </w:t>
      </w:r>
      <w:r w:rsidR="00EA35A3">
        <w:rPr>
          <w:rFonts w:ascii="Cambria" w:hAnsi="Cambria"/>
          <w:color w:val="000000" w:themeColor="text1"/>
          <w:sz w:val="20"/>
          <w:szCs w:val="20"/>
          <w:lang w:val="es-VE"/>
        </w:rPr>
        <w:t>sobre e</w:t>
      </w:r>
      <w:r w:rsidR="007A72D3" w:rsidRPr="00143FCF">
        <w:rPr>
          <w:rFonts w:ascii="Cambria" w:hAnsi="Cambria"/>
          <w:color w:val="000000" w:themeColor="text1"/>
          <w:sz w:val="20"/>
          <w:szCs w:val="20"/>
          <w:lang w:val="es-VE"/>
        </w:rPr>
        <w:t>l contexto ni tuvo en cuenta la labor de activista de la víctima.</w:t>
      </w:r>
      <w:r w:rsidR="00B57C07" w:rsidRPr="00143FCF">
        <w:rPr>
          <w:rFonts w:ascii="Cambria" w:hAnsi="Cambria"/>
          <w:color w:val="000000" w:themeColor="text1"/>
          <w:sz w:val="20"/>
          <w:szCs w:val="20"/>
          <w:lang w:val="es-VE"/>
        </w:rPr>
        <w:t xml:space="preserve"> Alegó </w:t>
      </w:r>
      <w:r w:rsidR="007A72D3" w:rsidRPr="00143FCF">
        <w:rPr>
          <w:rFonts w:ascii="Cambria" w:hAnsi="Cambria"/>
          <w:color w:val="000000" w:themeColor="text1"/>
          <w:sz w:val="20"/>
          <w:szCs w:val="20"/>
          <w:lang w:val="es-VE"/>
        </w:rPr>
        <w:t xml:space="preserve">que no se analizó la posibilidad de violencia sexual, ni se actuó con diligencia en la recolección y análisis de elementos probatorios. </w:t>
      </w:r>
      <w:r w:rsidR="00FE644A" w:rsidRPr="003C75B0">
        <w:rPr>
          <w:rFonts w:ascii="Cambria" w:hAnsi="Cambria"/>
          <w:color w:val="000000" w:themeColor="text1"/>
          <w:sz w:val="20"/>
          <w:szCs w:val="20"/>
          <w:lang w:val="es-VE"/>
        </w:rPr>
        <w:t>A</w:t>
      </w:r>
      <w:r w:rsidR="007A72D3" w:rsidRPr="003C75B0">
        <w:rPr>
          <w:rFonts w:ascii="Cambria" w:hAnsi="Cambria"/>
          <w:color w:val="000000" w:themeColor="text1"/>
          <w:sz w:val="20"/>
          <w:szCs w:val="20"/>
          <w:lang w:val="es-VE"/>
        </w:rPr>
        <w:t xml:space="preserve">rgumentó que el Estado violó el </w:t>
      </w:r>
      <w:r w:rsidR="007A72D3" w:rsidRPr="003C75B0">
        <w:rPr>
          <w:rFonts w:ascii="Cambria" w:hAnsi="Cambria"/>
          <w:b/>
          <w:color w:val="000000" w:themeColor="text1"/>
          <w:sz w:val="20"/>
          <w:szCs w:val="20"/>
          <w:lang w:val="es-VE"/>
        </w:rPr>
        <w:t xml:space="preserve">derecho a la igualdad ante la ley </w:t>
      </w:r>
      <w:r w:rsidR="00691963" w:rsidRPr="003C75B0">
        <w:rPr>
          <w:rFonts w:ascii="Cambria" w:hAnsi="Cambria"/>
          <w:color w:val="000000" w:themeColor="text1"/>
          <w:sz w:val="20"/>
          <w:szCs w:val="20"/>
          <w:lang w:val="es-VE"/>
        </w:rPr>
        <w:t xml:space="preserve">de Vicky Hernández </w:t>
      </w:r>
      <w:r w:rsidR="007A72D3" w:rsidRPr="003C75B0">
        <w:rPr>
          <w:rFonts w:ascii="Cambria" w:hAnsi="Cambria"/>
          <w:color w:val="000000" w:themeColor="text1"/>
          <w:sz w:val="20"/>
          <w:szCs w:val="20"/>
          <w:lang w:val="es-VE"/>
        </w:rPr>
        <w:t>en relación con el artículo 7 de</w:t>
      </w:r>
      <w:r w:rsidR="00691963" w:rsidRPr="003C75B0">
        <w:rPr>
          <w:rFonts w:ascii="Cambria" w:hAnsi="Cambria"/>
          <w:color w:val="000000" w:themeColor="text1"/>
          <w:sz w:val="20"/>
          <w:szCs w:val="20"/>
          <w:lang w:val="es-VE"/>
        </w:rPr>
        <w:t xml:space="preserve"> la Convención de Belém do Pará,</w:t>
      </w:r>
      <w:r w:rsidR="007A72D3" w:rsidRPr="003C75B0">
        <w:rPr>
          <w:rFonts w:ascii="Cambria" w:hAnsi="Cambria"/>
          <w:color w:val="000000" w:themeColor="text1"/>
          <w:sz w:val="20"/>
          <w:szCs w:val="20"/>
          <w:lang w:val="es-VE"/>
        </w:rPr>
        <w:t xml:space="preserve"> puesto que e</w:t>
      </w:r>
      <w:r w:rsidR="00691963" w:rsidRPr="003C75B0">
        <w:rPr>
          <w:rFonts w:ascii="Cambria" w:hAnsi="Cambria"/>
          <w:color w:val="000000" w:themeColor="text1"/>
          <w:sz w:val="20"/>
          <w:szCs w:val="20"/>
          <w:lang w:val="es-VE"/>
        </w:rPr>
        <w:t>l solo hecho de ser mujer trans</w:t>
      </w:r>
      <w:r w:rsidR="007A72D3" w:rsidRPr="003C75B0">
        <w:rPr>
          <w:rFonts w:ascii="Cambria" w:hAnsi="Cambria"/>
          <w:color w:val="000000" w:themeColor="text1"/>
          <w:sz w:val="20"/>
          <w:szCs w:val="20"/>
          <w:lang w:val="es-VE"/>
        </w:rPr>
        <w:t xml:space="preserve"> la privó de su derecho a la atención debida por parte de las autoridades encargad</w:t>
      </w:r>
      <w:r w:rsidR="00691963" w:rsidRPr="003C75B0">
        <w:rPr>
          <w:rFonts w:ascii="Cambria" w:hAnsi="Cambria"/>
          <w:color w:val="000000" w:themeColor="text1"/>
          <w:sz w:val="20"/>
          <w:szCs w:val="20"/>
          <w:lang w:val="es-VE"/>
        </w:rPr>
        <w:t xml:space="preserve">as de la investigación. Indicó </w:t>
      </w:r>
      <w:r w:rsidR="007A72D3" w:rsidRPr="003C75B0">
        <w:rPr>
          <w:rFonts w:ascii="Cambria" w:hAnsi="Cambria"/>
          <w:color w:val="000000" w:themeColor="text1"/>
          <w:sz w:val="20"/>
          <w:szCs w:val="20"/>
          <w:lang w:val="es-VE"/>
        </w:rPr>
        <w:t xml:space="preserve">que el Estado también violó el </w:t>
      </w:r>
      <w:r w:rsidR="00691963" w:rsidRPr="003C75B0">
        <w:rPr>
          <w:rFonts w:ascii="Cambria" w:hAnsi="Cambria"/>
          <w:b/>
          <w:color w:val="000000" w:themeColor="text1"/>
          <w:sz w:val="20"/>
          <w:szCs w:val="20"/>
          <w:lang w:val="es-VE"/>
        </w:rPr>
        <w:t>derecho a la libertad</w:t>
      </w:r>
      <w:r w:rsidR="007A72D3" w:rsidRPr="003C75B0">
        <w:rPr>
          <w:rFonts w:ascii="Cambria" w:hAnsi="Cambria"/>
          <w:b/>
          <w:color w:val="000000" w:themeColor="text1"/>
          <w:sz w:val="20"/>
          <w:szCs w:val="20"/>
          <w:lang w:val="es-VE"/>
        </w:rPr>
        <w:t xml:space="preserve"> de expresión</w:t>
      </w:r>
      <w:r w:rsidR="007A72D3" w:rsidRPr="003C75B0">
        <w:rPr>
          <w:rFonts w:ascii="Cambria" w:hAnsi="Cambria"/>
          <w:color w:val="000000" w:themeColor="text1"/>
          <w:sz w:val="20"/>
          <w:szCs w:val="20"/>
          <w:lang w:val="es-VE"/>
        </w:rPr>
        <w:t xml:space="preserve"> debido a que en el marco del proceso las autoridades hicieron suposiciones sesgadas y registraron a Vicky como a un hombre de sexo masculino llamado Johny, debido a que la ley hondureña no permite que sea reconocida legalmente la identidad de género que una persona define para sí.</w:t>
      </w:r>
      <w:r>
        <w:rPr>
          <w:rFonts w:ascii="Cambria" w:hAnsi="Cambria"/>
          <w:color w:val="000000" w:themeColor="text1"/>
          <w:sz w:val="20"/>
          <w:szCs w:val="20"/>
          <w:lang w:val="es-VE"/>
        </w:rPr>
        <w:t xml:space="preserve"> </w:t>
      </w:r>
      <w:r w:rsidR="007A72D3" w:rsidRPr="008B087D">
        <w:rPr>
          <w:rFonts w:ascii="Cambria" w:hAnsi="Cambria"/>
          <w:color w:val="000000" w:themeColor="text1"/>
          <w:sz w:val="20"/>
          <w:szCs w:val="20"/>
          <w:lang w:val="es-VE"/>
        </w:rPr>
        <w:t>Finalmente</w:t>
      </w:r>
      <w:r>
        <w:rPr>
          <w:rFonts w:ascii="Cambria" w:hAnsi="Cambria"/>
          <w:color w:val="000000" w:themeColor="text1"/>
          <w:sz w:val="20"/>
          <w:szCs w:val="20"/>
          <w:lang w:val="es-VE"/>
        </w:rPr>
        <w:t>,</w:t>
      </w:r>
      <w:r w:rsidR="007A72D3" w:rsidRPr="008B087D">
        <w:rPr>
          <w:rFonts w:ascii="Cambria" w:hAnsi="Cambria"/>
          <w:color w:val="000000" w:themeColor="text1"/>
          <w:sz w:val="20"/>
          <w:szCs w:val="20"/>
          <w:lang w:val="es-VE"/>
        </w:rPr>
        <w:t xml:space="preserve"> señaló que el Estado violó el </w:t>
      </w:r>
      <w:r w:rsidR="007A72D3" w:rsidRPr="008B087D">
        <w:rPr>
          <w:rFonts w:ascii="Cambria" w:hAnsi="Cambria"/>
          <w:b/>
          <w:color w:val="000000" w:themeColor="text1"/>
          <w:sz w:val="20"/>
          <w:szCs w:val="20"/>
          <w:lang w:val="es-VE"/>
        </w:rPr>
        <w:t xml:space="preserve">derecho a la integridad personal </w:t>
      </w:r>
      <w:r w:rsidR="00714D1A" w:rsidRPr="008B087D">
        <w:rPr>
          <w:rFonts w:ascii="Cambria" w:hAnsi="Cambria"/>
          <w:color w:val="000000" w:themeColor="text1"/>
          <w:sz w:val="20"/>
          <w:szCs w:val="20"/>
          <w:lang w:val="es-VE"/>
        </w:rPr>
        <w:t>de</w:t>
      </w:r>
      <w:r w:rsidR="000B3E83" w:rsidRPr="008B087D">
        <w:rPr>
          <w:rFonts w:ascii="Cambria" w:hAnsi="Cambria"/>
          <w:color w:val="000000" w:themeColor="text1"/>
          <w:sz w:val="20"/>
          <w:szCs w:val="20"/>
          <w:lang w:val="es-VE"/>
        </w:rPr>
        <w:t xml:space="preserve"> la</w:t>
      </w:r>
      <w:r w:rsidR="000B3E83" w:rsidRPr="008B087D">
        <w:rPr>
          <w:rFonts w:ascii="Cambria" w:hAnsi="Cambria"/>
          <w:b/>
          <w:color w:val="000000" w:themeColor="text1"/>
          <w:sz w:val="20"/>
          <w:szCs w:val="20"/>
          <w:lang w:val="es-VE"/>
        </w:rPr>
        <w:t xml:space="preserve"> </w:t>
      </w:r>
      <w:r w:rsidR="004C68F6" w:rsidRPr="008B087D">
        <w:rPr>
          <w:rFonts w:ascii="Cambria" w:hAnsi="Cambria"/>
          <w:color w:val="000000" w:themeColor="text1"/>
          <w:sz w:val="20"/>
          <w:szCs w:val="20"/>
          <w:lang w:val="es-VE"/>
        </w:rPr>
        <w:t>madre, prima y</w:t>
      </w:r>
      <w:r w:rsidR="007A72D3" w:rsidRPr="008B087D">
        <w:rPr>
          <w:rFonts w:ascii="Cambria" w:hAnsi="Cambria"/>
          <w:color w:val="000000" w:themeColor="text1"/>
          <w:sz w:val="20"/>
          <w:szCs w:val="20"/>
          <w:lang w:val="es-VE"/>
        </w:rPr>
        <w:t xml:space="preserve"> sobrina de Vicky Hernández.</w:t>
      </w:r>
    </w:p>
    <w:p w14:paraId="0584D9FB" w14:textId="77777777" w:rsidR="00D12193" w:rsidRPr="009F4EDF" w:rsidRDefault="00D12193" w:rsidP="00094AFC">
      <w:pPr>
        <w:pStyle w:val="Heading2"/>
        <w:numPr>
          <w:ilvl w:val="0"/>
          <w:numId w:val="60"/>
        </w:numPr>
        <w:ind w:hanging="90"/>
        <w:rPr>
          <w:rFonts w:asciiTheme="majorHAnsi" w:hAnsiTheme="majorHAnsi"/>
          <w:i w:val="0"/>
          <w:sz w:val="20"/>
          <w:szCs w:val="20"/>
          <w:lang w:val="es-ES_tradnl"/>
        </w:rPr>
      </w:pPr>
      <w:bookmarkStart w:id="5" w:name="_Toc536451310"/>
      <w:r w:rsidRPr="009F4EDF">
        <w:rPr>
          <w:rFonts w:asciiTheme="majorHAnsi" w:hAnsiTheme="majorHAnsi"/>
          <w:i w:val="0"/>
          <w:sz w:val="20"/>
          <w:szCs w:val="20"/>
          <w:lang w:val="es-ES_tradnl"/>
        </w:rPr>
        <w:t>ESTADO</w:t>
      </w:r>
      <w:bookmarkEnd w:id="5"/>
      <w:r w:rsidR="00CC63CF" w:rsidRPr="009F4EDF">
        <w:rPr>
          <w:rFonts w:asciiTheme="majorHAnsi" w:hAnsiTheme="majorHAnsi"/>
          <w:i w:val="0"/>
          <w:sz w:val="20"/>
          <w:szCs w:val="20"/>
          <w:lang w:val="es-ES_tradnl"/>
        </w:rPr>
        <w:t xml:space="preserve"> </w:t>
      </w:r>
    </w:p>
    <w:p w14:paraId="54AB3731" w14:textId="77777777" w:rsidR="007C756A" w:rsidRPr="003E616A" w:rsidRDefault="007C756A" w:rsidP="002D4C97">
      <w:pPr>
        <w:suppressAutoHyphens/>
        <w:rPr>
          <w:rFonts w:ascii="Cambria" w:hAnsi="Cambria"/>
          <w:sz w:val="20"/>
          <w:szCs w:val="20"/>
          <w:lang w:val="es-ES_tradnl"/>
        </w:rPr>
      </w:pPr>
    </w:p>
    <w:p w14:paraId="2CFD4F5A" w14:textId="698AE7DF" w:rsidR="004C3717" w:rsidRPr="001D2389" w:rsidRDefault="007F7E9A"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 </w:t>
      </w:r>
      <w:r w:rsidR="004C3717" w:rsidRPr="003E616A">
        <w:rPr>
          <w:rFonts w:ascii="Cambria" w:hAnsi="Cambria"/>
          <w:sz w:val="20"/>
          <w:szCs w:val="20"/>
          <w:lang w:val="es-VE"/>
        </w:rPr>
        <w:t xml:space="preserve">El Estado argumentó que en cumplimiento de su obligación de investigar la muerte de Vicky Hernández, ha realizado esfuerzos encaminados a la búsqueda de la verdad. </w:t>
      </w:r>
      <w:r w:rsidR="008E4CF2">
        <w:rPr>
          <w:rFonts w:ascii="Cambria" w:hAnsi="Cambria"/>
          <w:sz w:val="20"/>
          <w:szCs w:val="20"/>
          <w:lang w:val="es-VE"/>
        </w:rPr>
        <w:t>S</w:t>
      </w:r>
      <w:r w:rsidR="004C3717" w:rsidRPr="003E616A">
        <w:rPr>
          <w:rFonts w:ascii="Cambria" w:hAnsi="Cambria"/>
          <w:sz w:val="20"/>
          <w:szCs w:val="20"/>
          <w:lang w:val="es-VE"/>
        </w:rPr>
        <w:t>eñaló que el proceso se ha prolongado y dilatado en virtud de que el caso es complejo</w:t>
      </w:r>
      <w:r w:rsidR="00FC09CB" w:rsidRPr="003E616A">
        <w:rPr>
          <w:rFonts w:ascii="Cambria" w:hAnsi="Cambria"/>
          <w:sz w:val="20"/>
          <w:szCs w:val="20"/>
          <w:lang w:val="es-VE"/>
        </w:rPr>
        <w:t>.</w:t>
      </w:r>
      <w:r w:rsidR="00FC09CB" w:rsidRPr="003E616A">
        <w:rPr>
          <w:rFonts w:ascii="Cambria" w:hAnsi="Cambria"/>
          <w:sz w:val="20"/>
          <w:szCs w:val="20"/>
          <w:lang w:val="es-CO"/>
        </w:rPr>
        <w:t xml:space="preserve"> </w:t>
      </w:r>
      <w:r w:rsidR="001D2389">
        <w:rPr>
          <w:rFonts w:ascii="Cambria" w:hAnsi="Cambria"/>
          <w:sz w:val="20"/>
          <w:szCs w:val="20"/>
          <w:lang w:val="es-CO"/>
        </w:rPr>
        <w:t>E</w:t>
      </w:r>
      <w:r w:rsidR="00FC09CB" w:rsidRPr="003E616A">
        <w:rPr>
          <w:rFonts w:ascii="Cambria" w:hAnsi="Cambria"/>
          <w:sz w:val="20"/>
          <w:szCs w:val="20"/>
          <w:lang w:val="es-CO"/>
        </w:rPr>
        <w:t xml:space="preserve">xplicó </w:t>
      </w:r>
      <w:r w:rsidR="004C2889">
        <w:rPr>
          <w:rFonts w:ascii="Cambria" w:hAnsi="Cambria"/>
          <w:sz w:val="20"/>
          <w:szCs w:val="20"/>
          <w:lang w:val="es-CO"/>
        </w:rPr>
        <w:t xml:space="preserve">que la </w:t>
      </w:r>
      <w:r w:rsidR="00FC09CB" w:rsidRPr="003E616A">
        <w:rPr>
          <w:rFonts w:ascii="Cambria" w:hAnsi="Cambria"/>
          <w:sz w:val="20"/>
          <w:szCs w:val="20"/>
          <w:lang w:val="es-CO"/>
        </w:rPr>
        <w:t>nega</w:t>
      </w:r>
      <w:r w:rsidR="004C2889">
        <w:rPr>
          <w:rFonts w:ascii="Cambria" w:hAnsi="Cambria"/>
          <w:sz w:val="20"/>
          <w:szCs w:val="20"/>
          <w:lang w:val="es-CO"/>
        </w:rPr>
        <w:t xml:space="preserve">tiva a dar </w:t>
      </w:r>
      <w:r w:rsidR="00FC09CB" w:rsidRPr="003E616A">
        <w:rPr>
          <w:rFonts w:ascii="Cambria" w:hAnsi="Cambria"/>
          <w:sz w:val="20"/>
          <w:szCs w:val="20"/>
          <w:lang w:val="es-CO"/>
        </w:rPr>
        <w:t xml:space="preserve">copia íntegra y actualizada del expediente </w:t>
      </w:r>
      <w:r w:rsidR="00B03846">
        <w:rPr>
          <w:rFonts w:ascii="Cambria" w:hAnsi="Cambria"/>
          <w:sz w:val="20"/>
          <w:szCs w:val="20"/>
          <w:lang w:val="es-CO"/>
        </w:rPr>
        <w:t xml:space="preserve">se fundamenta en que tal acceso </w:t>
      </w:r>
      <w:r w:rsidR="00FC09CB" w:rsidRPr="003E616A">
        <w:rPr>
          <w:rFonts w:ascii="Cambria" w:hAnsi="Cambria"/>
          <w:sz w:val="20"/>
          <w:szCs w:val="20"/>
          <w:lang w:val="es-CO"/>
        </w:rPr>
        <w:t>pondría en riesgo la efectividad de las investigaciones.</w:t>
      </w:r>
      <w:r w:rsidR="001D2389">
        <w:rPr>
          <w:rFonts w:ascii="Cambria" w:hAnsi="Cambria"/>
          <w:sz w:val="20"/>
          <w:szCs w:val="20"/>
          <w:lang w:val="es-CO"/>
        </w:rPr>
        <w:t xml:space="preserve"> </w:t>
      </w:r>
      <w:r w:rsidR="004C3717" w:rsidRPr="001D2389">
        <w:rPr>
          <w:rFonts w:ascii="Cambria" w:hAnsi="Cambria"/>
          <w:sz w:val="20"/>
          <w:szCs w:val="20"/>
          <w:lang w:val="es-VE"/>
        </w:rPr>
        <w:t>En cuanto a las diligencias realizadas indicó que se realizó el levantamiento del cadáver y se levantó Acta de Inspección Ocular. Asimismo, señaló que se tomó declaración a la madre de la víctima quien indicó que el 27 de junio de 2009</w:t>
      </w:r>
      <w:r w:rsidR="00B34FBF" w:rsidRPr="001D2389">
        <w:rPr>
          <w:rFonts w:ascii="Cambria" w:hAnsi="Cambria"/>
          <w:sz w:val="20"/>
          <w:szCs w:val="20"/>
          <w:lang w:val="es-VE"/>
        </w:rPr>
        <w:t>, Vicky</w:t>
      </w:r>
      <w:r w:rsidR="004C3717" w:rsidRPr="001D2389">
        <w:rPr>
          <w:rFonts w:ascii="Cambria" w:hAnsi="Cambria"/>
          <w:sz w:val="20"/>
          <w:szCs w:val="20"/>
          <w:lang w:val="es-VE"/>
        </w:rPr>
        <w:t xml:space="preserve"> llegó a su casa</w:t>
      </w:r>
      <w:r w:rsidR="00B34FBF" w:rsidRPr="001D2389">
        <w:rPr>
          <w:rFonts w:ascii="Cambria" w:hAnsi="Cambria"/>
          <w:sz w:val="20"/>
          <w:szCs w:val="20"/>
          <w:lang w:val="es-VE"/>
        </w:rPr>
        <w:t xml:space="preserve"> </w:t>
      </w:r>
      <w:r w:rsidR="004C3717" w:rsidRPr="001D2389">
        <w:rPr>
          <w:rFonts w:ascii="Cambria" w:hAnsi="Cambria"/>
          <w:sz w:val="20"/>
          <w:szCs w:val="20"/>
          <w:lang w:val="es-VE"/>
        </w:rPr>
        <w:t xml:space="preserve">y le pidió </w:t>
      </w:r>
      <w:r w:rsidR="00B34FBF" w:rsidRPr="001D2389">
        <w:rPr>
          <w:rFonts w:ascii="Cambria" w:hAnsi="Cambria"/>
          <w:sz w:val="20"/>
          <w:szCs w:val="20"/>
          <w:lang w:val="es-VE"/>
        </w:rPr>
        <w:t xml:space="preserve">dinero </w:t>
      </w:r>
      <w:r w:rsidR="004C3717" w:rsidRPr="001D2389">
        <w:rPr>
          <w:rFonts w:ascii="Cambria" w:hAnsi="Cambria"/>
          <w:sz w:val="20"/>
          <w:szCs w:val="20"/>
          <w:lang w:val="es-VE"/>
        </w:rPr>
        <w:t>prestado, y que posteriormente se fue y no l</w:t>
      </w:r>
      <w:r w:rsidR="00B34FBF" w:rsidRPr="001D2389">
        <w:rPr>
          <w:rFonts w:ascii="Cambria" w:hAnsi="Cambria"/>
          <w:sz w:val="20"/>
          <w:szCs w:val="20"/>
          <w:lang w:val="es-VE"/>
        </w:rPr>
        <w:t>a</w:t>
      </w:r>
      <w:r w:rsidR="004C3717" w:rsidRPr="001D2389">
        <w:rPr>
          <w:rFonts w:ascii="Cambria" w:hAnsi="Cambria"/>
          <w:sz w:val="20"/>
          <w:szCs w:val="20"/>
          <w:lang w:val="es-VE"/>
        </w:rPr>
        <w:t xml:space="preserve"> volvió a ver. Afirmó que la madre </w:t>
      </w:r>
      <w:r w:rsidR="00B34FBF" w:rsidRPr="001D2389">
        <w:rPr>
          <w:rFonts w:ascii="Cambria" w:hAnsi="Cambria"/>
          <w:sz w:val="20"/>
          <w:szCs w:val="20"/>
          <w:lang w:val="es-VE"/>
        </w:rPr>
        <w:t>en su declaración señaló</w:t>
      </w:r>
      <w:r w:rsidR="004C3717" w:rsidRPr="001D2389">
        <w:rPr>
          <w:rFonts w:ascii="Cambria" w:hAnsi="Cambria"/>
          <w:sz w:val="20"/>
          <w:szCs w:val="20"/>
          <w:lang w:val="es-VE"/>
        </w:rPr>
        <w:t xml:space="preserve"> que “su hijo le había comentado s</w:t>
      </w:r>
      <w:r w:rsidR="005B2E06" w:rsidRPr="001D2389">
        <w:rPr>
          <w:rFonts w:ascii="Cambria" w:hAnsi="Cambria"/>
          <w:sz w:val="20"/>
          <w:szCs w:val="20"/>
          <w:lang w:val="es-VE"/>
        </w:rPr>
        <w:t>emanas atrás, que otra persona t</w:t>
      </w:r>
      <w:r w:rsidR="004C3717" w:rsidRPr="001D2389">
        <w:rPr>
          <w:rFonts w:ascii="Cambria" w:hAnsi="Cambria"/>
          <w:sz w:val="20"/>
          <w:szCs w:val="20"/>
          <w:lang w:val="es-VE"/>
        </w:rPr>
        <w:t xml:space="preserve">rans lo había asaltado y amenazado si lo volvía a ver”. </w:t>
      </w:r>
      <w:r w:rsidR="001D2389">
        <w:rPr>
          <w:rFonts w:ascii="Cambria" w:hAnsi="Cambria"/>
          <w:sz w:val="20"/>
          <w:szCs w:val="20"/>
          <w:lang w:val="es-VE"/>
        </w:rPr>
        <w:t>S</w:t>
      </w:r>
      <w:r w:rsidR="004C3717" w:rsidRPr="001D2389">
        <w:rPr>
          <w:rFonts w:ascii="Cambria" w:hAnsi="Cambria"/>
          <w:sz w:val="20"/>
          <w:szCs w:val="20"/>
          <w:lang w:val="es-VE"/>
        </w:rPr>
        <w:t xml:space="preserve">eñaló que posteriormente se realizaron varias llamadas telefónicas con el fin de recoger información adicional sobre los hechos, pero que todos los teléfonos contactados estaban sin servicio. Hizo hincapié en que el lugar donde ocurrieron los hechos es de las zonas más conflictivas de la ciudad, donde la </w:t>
      </w:r>
      <w:r w:rsidR="00CE4B9D" w:rsidRPr="001D2389">
        <w:rPr>
          <w:rFonts w:ascii="Cambria" w:hAnsi="Cambria"/>
          <w:sz w:val="20"/>
          <w:szCs w:val="20"/>
          <w:lang w:val="es-VE"/>
        </w:rPr>
        <w:t>“mara salvatrucha”</w:t>
      </w:r>
      <w:r w:rsidR="004C3717" w:rsidRPr="001D2389">
        <w:rPr>
          <w:rFonts w:ascii="Cambria" w:hAnsi="Cambria"/>
          <w:sz w:val="20"/>
          <w:szCs w:val="20"/>
          <w:lang w:val="es-VE"/>
        </w:rPr>
        <w:t xml:space="preserve"> tiene gran influencia.</w:t>
      </w:r>
    </w:p>
    <w:p w14:paraId="0CD9E905" w14:textId="77777777" w:rsidR="004C3717" w:rsidRDefault="004C3717"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3CF587B9" w14:textId="77777777" w:rsidR="00CD56E1" w:rsidRPr="003E616A" w:rsidRDefault="00CD56E1"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E6D7B47" w14:textId="3FB2A05F" w:rsidR="004C3717" w:rsidRPr="00512AC2" w:rsidRDefault="004C3717"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6321C">
        <w:rPr>
          <w:rFonts w:ascii="Cambria" w:hAnsi="Cambria"/>
          <w:sz w:val="20"/>
          <w:szCs w:val="20"/>
          <w:lang w:val="es-VE"/>
        </w:rPr>
        <w:lastRenderedPageBreak/>
        <w:t xml:space="preserve">El Estado destacó que la falta de testigos en el lugar de los hechos ha imposibilitado el esclarecimiento y la identificación de los responsables. En cuanto al dictamen de </w:t>
      </w:r>
      <w:r w:rsidR="00CE4B9D" w:rsidRPr="0086321C">
        <w:rPr>
          <w:rFonts w:ascii="Cambria" w:hAnsi="Cambria"/>
          <w:sz w:val="20"/>
          <w:szCs w:val="20"/>
          <w:lang w:val="es-VE"/>
        </w:rPr>
        <w:t xml:space="preserve">la </w:t>
      </w:r>
      <w:r w:rsidRPr="0086321C">
        <w:rPr>
          <w:rFonts w:ascii="Cambria" w:hAnsi="Cambria"/>
          <w:sz w:val="20"/>
          <w:szCs w:val="20"/>
          <w:lang w:val="es-VE"/>
        </w:rPr>
        <w:t xml:space="preserve">autopsia, señaló que en diciembre de 2015 éste se encontraba agregado al expediente investigativo y que refiere que las características de las lesiones son compatibles con las producidas por arma de fuego de proyectil simple desde larga distancia. </w:t>
      </w:r>
      <w:r w:rsidRPr="00512AC2">
        <w:rPr>
          <w:rFonts w:ascii="Cambria" w:hAnsi="Cambria"/>
          <w:sz w:val="20"/>
          <w:szCs w:val="20"/>
          <w:lang w:val="es-VE"/>
        </w:rPr>
        <w:t>Afirmó que en septiembre de 2017 se solicitó un seguimiento al Almacén de Evidencias para conocer el laboratorio que tiene a su cargo los indicios recolectados en la escena, entre los que se encuentran un preservativo aparentemente usado y una ojiva de bala. Indicó que en relación con el preservativo, este no ha sido analizado para saber si contiene material genético debido a que al abrir el embalaje y  manipular el indicio, si no se cuenta con algún sospechoso a la fecha, podría como consecuencia perderse el material genético. En relación con la ojiva, afirmó que lo que se busca es tener conocimiento del estado actual del análisis de la misma.</w:t>
      </w:r>
    </w:p>
    <w:p w14:paraId="691F1866" w14:textId="77777777" w:rsidR="004C3717" w:rsidRPr="003E616A" w:rsidRDefault="004C3717"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3C695A5D" w14:textId="052863CB" w:rsidR="008266A7" w:rsidRPr="009F4EDF" w:rsidRDefault="004C3717"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En cuanto a los </w:t>
      </w:r>
      <w:r w:rsidRPr="003E616A">
        <w:rPr>
          <w:rFonts w:ascii="Cambria" w:hAnsi="Cambria"/>
          <w:b/>
          <w:sz w:val="20"/>
          <w:szCs w:val="20"/>
          <w:lang w:val="es-VE"/>
        </w:rPr>
        <w:t>derechos a la vida y a la integridad personal</w:t>
      </w:r>
      <w:r w:rsidRPr="003E616A">
        <w:rPr>
          <w:rFonts w:ascii="Cambria" w:hAnsi="Cambria"/>
          <w:sz w:val="20"/>
          <w:szCs w:val="20"/>
          <w:lang w:val="es-VE"/>
        </w:rPr>
        <w:t xml:space="preserve">, señaló que no se ha acreditado que el Estado a través de sus agentes haya actuado en contravención de la Convención. Consideró que le corresponde a la parte peticionaria demostrar </w:t>
      </w:r>
      <w:r w:rsidR="00BF32FC">
        <w:rPr>
          <w:rFonts w:ascii="Cambria" w:hAnsi="Cambria"/>
          <w:sz w:val="20"/>
          <w:szCs w:val="20"/>
          <w:lang w:val="es-VE"/>
        </w:rPr>
        <w:t xml:space="preserve">la responsabilidad </w:t>
      </w:r>
      <w:r w:rsidR="00BA685F">
        <w:rPr>
          <w:rFonts w:ascii="Cambria" w:hAnsi="Cambria"/>
          <w:sz w:val="20"/>
          <w:szCs w:val="20"/>
          <w:lang w:val="es-VE"/>
        </w:rPr>
        <w:t xml:space="preserve">estatal </w:t>
      </w:r>
      <w:r w:rsidRPr="003E616A">
        <w:rPr>
          <w:rFonts w:ascii="Cambria" w:hAnsi="Cambria"/>
          <w:sz w:val="20"/>
          <w:szCs w:val="20"/>
          <w:lang w:val="es-VE"/>
        </w:rPr>
        <w:t>por la muerte</w:t>
      </w:r>
      <w:r w:rsidR="00BA685F">
        <w:rPr>
          <w:rFonts w:ascii="Cambria" w:hAnsi="Cambria"/>
          <w:sz w:val="20"/>
          <w:szCs w:val="20"/>
          <w:lang w:val="es-VE"/>
        </w:rPr>
        <w:t xml:space="preserve"> y que </w:t>
      </w:r>
      <w:r w:rsidRPr="003E616A">
        <w:rPr>
          <w:rFonts w:ascii="Cambria" w:hAnsi="Cambria"/>
          <w:sz w:val="20"/>
          <w:szCs w:val="20"/>
          <w:lang w:val="es-VE"/>
        </w:rPr>
        <w:t xml:space="preserve">el hecho de que la impunidad impida conocer los responsables </w:t>
      </w:r>
      <w:r w:rsidR="00BA685F">
        <w:rPr>
          <w:rFonts w:ascii="Cambria" w:hAnsi="Cambria"/>
          <w:sz w:val="20"/>
          <w:szCs w:val="20"/>
          <w:lang w:val="es-VE"/>
        </w:rPr>
        <w:t xml:space="preserve">no implica </w:t>
      </w:r>
      <w:r w:rsidRPr="003E616A">
        <w:rPr>
          <w:rFonts w:ascii="Cambria" w:hAnsi="Cambria"/>
          <w:sz w:val="20"/>
          <w:szCs w:val="20"/>
          <w:lang w:val="es-VE"/>
        </w:rPr>
        <w:t xml:space="preserve">que fueron agentes estatales y que “resulta imposible para el Estado controlar el libre albedrío de los particulares”. </w:t>
      </w:r>
      <w:r w:rsidRPr="00512AC2">
        <w:rPr>
          <w:rFonts w:ascii="Cambria" w:hAnsi="Cambria"/>
          <w:sz w:val="20"/>
          <w:szCs w:val="20"/>
          <w:lang w:val="es-VE"/>
        </w:rPr>
        <w:t xml:space="preserve">En cuanto a los </w:t>
      </w:r>
      <w:r w:rsidRPr="00512AC2">
        <w:rPr>
          <w:rFonts w:ascii="Cambria" w:hAnsi="Cambria"/>
          <w:b/>
          <w:sz w:val="20"/>
          <w:szCs w:val="20"/>
          <w:lang w:val="es-VE"/>
        </w:rPr>
        <w:t>derechos a las garantías y protección judicial</w:t>
      </w:r>
      <w:r w:rsidR="00072AAB">
        <w:rPr>
          <w:rFonts w:ascii="Cambria" w:hAnsi="Cambria"/>
          <w:b/>
          <w:sz w:val="20"/>
          <w:szCs w:val="20"/>
          <w:lang w:val="es-VE"/>
        </w:rPr>
        <w:t>es</w:t>
      </w:r>
      <w:r w:rsidRPr="00512AC2">
        <w:rPr>
          <w:rFonts w:ascii="Cambria" w:hAnsi="Cambria"/>
          <w:sz w:val="20"/>
          <w:szCs w:val="20"/>
          <w:lang w:val="es-VE"/>
        </w:rPr>
        <w:t xml:space="preserve">, el Estado señaló que cumplió con los estándares </w:t>
      </w:r>
      <w:r w:rsidR="002D7717" w:rsidRPr="00512AC2">
        <w:rPr>
          <w:rFonts w:ascii="Cambria" w:hAnsi="Cambria"/>
          <w:sz w:val="20"/>
          <w:szCs w:val="20"/>
          <w:lang w:val="es-VE"/>
        </w:rPr>
        <w:t xml:space="preserve">interamericanos </w:t>
      </w:r>
      <w:r w:rsidRPr="00512AC2">
        <w:rPr>
          <w:rFonts w:ascii="Cambria" w:hAnsi="Cambria"/>
          <w:sz w:val="20"/>
          <w:szCs w:val="20"/>
          <w:lang w:val="es-VE"/>
        </w:rPr>
        <w:t xml:space="preserve">en materia de investigación y que no debe considerarse su obligación incumplida por el solo hecho de que la investigación no haya ofrecido resultados satisfactorios. Indicó que existe una línea investigativa que busca individualizar </w:t>
      </w:r>
      <w:r w:rsidR="00512AC2">
        <w:rPr>
          <w:rFonts w:ascii="Cambria" w:hAnsi="Cambria"/>
          <w:sz w:val="20"/>
          <w:szCs w:val="20"/>
          <w:lang w:val="es-VE"/>
        </w:rPr>
        <w:t xml:space="preserve">a </w:t>
      </w:r>
      <w:r w:rsidRPr="00512AC2">
        <w:rPr>
          <w:rFonts w:ascii="Cambria" w:hAnsi="Cambria"/>
          <w:sz w:val="20"/>
          <w:szCs w:val="20"/>
          <w:lang w:val="es-VE"/>
        </w:rPr>
        <w:t xml:space="preserve">la persona que días antes de los hechos había amenazado a la víctima, conforme a la declaración de su madre. Señaló que no se sigue una línea de investigación de </w:t>
      </w:r>
      <w:r w:rsidR="006F4931" w:rsidRPr="00512AC2">
        <w:rPr>
          <w:rFonts w:ascii="Cambria" w:hAnsi="Cambria"/>
          <w:sz w:val="20"/>
          <w:szCs w:val="20"/>
          <w:lang w:val="es-VE"/>
        </w:rPr>
        <w:t xml:space="preserve">participación </w:t>
      </w:r>
      <w:r w:rsidRPr="00512AC2">
        <w:rPr>
          <w:rFonts w:ascii="Cambria" w:hAnsi="Cambria"/>
          <w:sz w:val="20"/>
          <w:szCs w:val="20"/>
          <w:lang w:val="es-VE"/>
        </w:rPr>
        <w:t>de cuerpos de seguridad del Estado.</w:t>
      </w:r>
      <w:r w:rsidR="001C1E77" w:rsidRPr="00512AC2">
        <w:rPr>
          <w:rFonts w:ascii="Cambria" w:hAnsi="Cambria"/>
          <w:sz w:val="20"/>
          <w:szCs w:val="20"/>
          <w:lang w:val="es-VE"/>
        </w:rPr>
        <w:t xml:space="preserve"> </w:t>
      </w:r>
      <w:r w:rsidRPr="00BA685F">
        <w:rPr>
          <w:rFonts w:ascii="Cambria" w:hAnsi="Cambria"/>
          <w:sz w:val="20"/>
          <w:szCs w:val="20"/>
          <w:lang w:val="es-VE"/>
        </w:rPr>
        <w:t xml:space="preserve">Finalmente, sobre el </w:t>
      </w:r>
      <w:r w:rsidRPr="00BA685F">
        <w:rPr>
          <w:rFonts w:ascii="Cambria" w:hAnsi="Cambria"/>
          <w:b/>
          <w:sz w:val="20"/>
          <w:szCs w:val="20"/>
          <w:lang w:val="es-VE"/>
        </w:rPr>
        <w:t>derecho a la igualdad ante la ley,</w:t>
      </w:r>
      <w:r w:rsidRPr="00BA685F">
        <w:rPr>
          <w:rFonts w:ascii="Cambria" w:hAnsi="Cambria"/>
          <w:sz w:val="20"/>
          <w:szCs w:val="20"/>
          <w:lang w:val="es-VE"/>
        </w:rPr>
        <w:t xml:space="preserve"> Honduras sostiene que en la investigación no hay suficiente indicio racional para considerar que este caso pudo ser un acto de odio contra una persona LGTBI por parte de agentes del Estado, y que además, en el transcurso del proceso se ha buscado el respeto a la identidad de género de la víctima, al referirse a ella por su nombre como mujer trans. </w:t>
      </w:r>
    </w:p>
    <w:p w14:paraId="48A628E5" w14:textId="0A539A2D" w:rsidR="007C756A" w:rsidRPr="009F4EDF" w:rsidRDefault="00D12193" w:rsidP="002D4C97">
      <w:pPr>
        <w:pStyle w:val="Heading1"/>
        <w:ind w:hanging="90"/>
        <w:rPr>
          <w:color w:val="auto"/>
          <w:sz w:val="20"/>
          <w:szCs w:val="20"/>
          <w:lang w:val="es-ES_tradnl"/>
        </w:rPr>
      </w:pPr>
      <w:bookmarkStart w:id="6" w:name="_Toc536451311"/>
      <w:r w:rsidRPr="009F4EDF">
        <w:rPr>
          <w:color w:val="auto"/>
          <w:sz w:val="20"/>
          <w:szCs w:val="20"/>
          <w:lang w:val="es-ES_tradnl"/>
        </w:rPr>
        <w:t>DETERMINACIONES DE HECHO</w:t>
      </w:r>
      <w:bookmarkEnd w:id="6"/>
    </w:p>
    <w:p w14:paraId="07D27FA1" w14:textId="574D9DC4" w:rsidR="00D222A3" w:rsidRPr="009F4EDF" w:rsidRDefault="00D222A3" w:rsidP="00094AFC">
      <w:pPr>
        <w:pStyle w:val="Heading2"/>
        <w:numPr>
          <w:ilvl w:val="0"/>
          <w:numId w:val="61"/>
        </w:numPr>
        <w:ind w:hanging="90"/>
        <w:rPr>
          <w:rFonts w:asciiTheme="majorHAnsi" w:hAnsiTheme="majorHAnsi"/>
          <w:i w:val="0"/>
          <w:sz w:val="20"/>
          <w:szCs w:val="20"/>
          <w:lang w:val="es-CO"/>
        </w:rPr>
      </w:pPr>
      <w:bookmarkStart w:id="7" w:name="_Toc536451312"/>
      <w:r w:rsidRPr="009F4EDF">
        <w:rPr>
          <w:rFonts w:asciiTheme="majorHAnsi" w:hAnsiTheme="majorHAnsi"/>
          <w:i w:val="0"/>
          <w:sz w:val="20"/>
          <w:szCs w:val="20"/>
          <w:lang w:val="es-CO"/>
        </w:rPr>
        <w:t>CONTEXTO</w:t>
      </w:r>
      <w:bookmarkEnd w:id="7"/>
    </w:p>
    <w:p w14:paraId="3176E91A" w14:textId="10CB0B22" w:rsidR="00D222A3" w:rsidRPr="009F4EDF" w:rsidRDefault="00D222A3" w:rsidP="00094AFC">
      <w:pPr>
        <w:pStyle w:val="Heading3"/>
        <w:numPr>
          <w:ilvl w:val="0"/>
          <w:numId w:val="62"/>
        </w:numPr>
        <w:ind w:hanging="90"/>
        <w:rPr>
          <w:rFonts w:asciiTheme="majorHAnsi" w:eastAsia="Cambria" w:hAnsiTheme="majorHAnsi"/>
          <w:sz w:val="20"/>
          <w:szCs w:val="20"/>
          <w:lang w:val="es-CO" w:eastAsia="es-ES"/>
        </w:rPr>
      </w:pPr>
      <w:bookmarkStart w:id="8" w:name="_Toc536451313"/>
      <w:r w:rsidRPr="009F4EDF">
        <w:rPr>
          <w:rFonts w:asciiTheme="majorHAnsi" w:eastAsia="Cambria" w:hAnsiTheme="majorHAnsi"/>
          <w:sz w:val="20"/>
          <w:szCs w:val="20"/>
          <w:lang w:val="es-CO" w:eastAsia="es-ES"/>
        </w:rPr>
        <w:t xml:space="preserve">Contexto general de discriminación y violencia contra personas </w:t>
      </w:r>
      <w:r w:rsidR="001678F8" w:rsidRPr="009F4EDF">
        <w:rPr>
          <w:rFonts w:asciiTheme="majorHAnsi" w:eastAsia="Cambria" w:hAnsiTheme="majorHAnsi"/>
          <w:sz w:val="20"/>
          <w:szCs w:val="20"/>
          <w:lang w:val="es-CO" w:eastAsia="es-ES"/>
        </w:rPr>
        <w:t>LGBT</w:t>
      </w:r>
      <w:r w:rsidRPr="009F4EDF">
        <w:rPr>
          <w:rFonts w:asciiTheme="majorHAnsi" w:eastAsia="Cambria" w:hAnsiTheme="majorHAnsi"/>
          <w:sz w:val="20"/>
          <w:szCs w:val="20"/>
          <w:lang w:val="es-CO" w:eastAsia="es-ES"/>
        </w:rPr>
        <w:t xml:space="preserve"> en Honduras</w:t>
      </w:r>
      <w:bookmarkEnd w:id="8"/>
    </w:p>
    <w:p w14:paraId="39D96B54" w14:textId="77777777" w:rsidR="00D222A3" w:rsidRPr="003E616A" w:rsidRDefault="00D222A3" w:rsidP="002D4C97">
      <w:pPr>
        <w:ind w:left="720"/>
        <w:jc w:val="both"/>
        <w:rPr>
          <w:rFonts w:ascii="Cambria" w:eastAsia="Cambria" w:hAnsi="Cambria" w:cs="Cambria"/>
          <w:b/>
          <w:color w:val="000000"/>
          <w:sz w:val="20"/>
          <w:szCs w:val="20"/>
          <w:lang w:val="es-CO" w:eastAsia="es-ES"/>
        </w:rPr>
      </w:pPr>
    </w:p>
    <w:p w14:paraId="64F74A08" w14:textId="522990DB" w:rsidR="00D222A3" w:rsidRPr="003D1B3F"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CIDH, la Relatoría Especial de N</w:t>
      </w:r>
      <w:r w:rsidR="00085A8D">
        <w:rPr>
          <w:rFonts w:ascii="Cambria" w:hAnsi="Cambria"/>
          <w:sz w:val="20"/>
          <w:szCs w:val="20"/>
          <w:lang w:val="es-VE"/>
        </w:rPr>
        <w:t>U</w:t>
      </w:r>
      <w:r w:rsidRPr="003E616A">
        <w:rPr>
          <w:rFonts w:ascii="Cambria" w:hAnsi="Cambria"/>
          <w:sz w:val="20"/>
          <w:szCs w:val="20"/>
          <w:lang w:val="es-VE"/>
        </w:rPr>
        <w:t xml:space="preserve"> sobre ejecuciones extrajudiciales, sumarias o arbitrarias y la Relatoría Especial de N</w:t>
      </w:r>
      <w:r w:rsidR="00085A8D">
        <w:rPr>
          <w:rFonts w:ascii="Cambria" w:hAnsi="Cambria"/>
          <w:sz w:val="20"/>
          <w:szCs w:val="20"/>
          <w:lang w:val="es-VE"/>
        </w:rPr>
        <w:t>U</w:t>
      </w:r>
      <w:r w:rsidRPr="003E616A">
        <w:rPr>
          <w:rFonts w:ascii="Cambria" w:hAnsi="Cambria"/>
          <w:sz w:val="20"/>
          <w:szCs w:val="20"/>
          <w:lang w:val="es-VE"/>
        </w:rPr>
        <w:t xml:space="preserve"> sobre violencia contra la mujer han señalado que la discriminación y violencia contra miembros de la comunidad </w:t>
      </w:r>
      <w:r w:rsidR="001678F8">
        <w:rPr>
          <w:rFonts w:ascii="Cambria" w:hAnsi="Cambria"/>
          <w:sz w:val="20"/>
          <w:szCs w:val="20"/>
          <w:lang w:val="es-VE"/>
        </w:rPr>
        <w:t>LGBT</w:t>
      </w:r>
      <w:r w:rsidRPr="003E616A">
        <w:rPr>
          <w:rFonts w:ascii="Cambria" w:hAnsi="Cambria"/>
          <w:sz w:val="20"/>
          <w:szCs w:val="20"/>
          <w:lang w:val="es-VE"/>
        </w:rPr>
        <w:t xml:space="preserve"> en Honduras ha sido materia de gran preocupación en los últimos años</w:t>
      </w:r>
      <w:r w:rsidRPr="00706C20">
        <w:rPr>
          <w:rFonts w:ascii="Cambria" w:hAnsi="Cambria"/>
          <w:sz w:val="20"/>
          <w:szCs w:val="20"/>
          <w:vertAlign w:val="superscript"/>
          <w:lang w:val="es-VE"/>
        </w:rPr>
        <w:footnoteReference w:id="5"/>
      </w:r>
      <w:r w:rsidRPr="003E616A">
        <w:rPr>
          <w:rFonts w:ascii="Cambria" w:hAnsi="Cambria"/>
          <w:sz w:val="20"/>
          <w:szCs w:val="20"/>
          <w:lang w:val="es-VE"/>
        </w:rPr>
        <w:t xml:space="preserve">. </w:t>
      </w:r>
      <w:r w:rsidR="0047590B">
        <w:rPr>
          <w:rFonts w:ascii="Cambria" w:hAnsi="Cambria"/>
          <w:sz w:val="20"/>
          <w:szCs w:val="20"/>
          <w:lang w:val="es-VE"/>
        </w:rPr>
        <w:t>O</w:t>
      </w:r>
      <w:r w:rsidRPr="003E616A">
        <w:rPr>
          <w:rFonts w:ascii="Cambria" w:hAnsi="Cambria"/>
          <w:sz w:val="20"/>
          <w:szCs w:val="20"/>
          <w:lang w:val="es-VE"/>
        </w:rPr>
        <w:t xml:space="preserve">rganizaciones de la sociedad civil han denunciado ante la CIDH el alto número de asesinatos contra personas lesbianas, gays, bisexuales y trans en el país, indicando que </w:t>
      </w:r>
      <w:r w:rsidRPr="00085327">
        <w:rPr>
          <w:rFonts w:ascii="Cambria" w:hAnsi="Cambria"/>
          <w:sz w:val="20"/>
          <w:szCs w:val="20"/>
          <w:lang w:val="es-VE"/>
        </w:rPr>
        <w:t>existe un “ambiente social de discriminación histórica contra personas LGBT que conlleva a la violencia motivada por prejuicio”</w:t>
      </w:r>
      <w:r w:rsidRPr="00085327">
        <w:rPr>
          <w:rFonts w:ascii="Cambria" w:hAnsi="Cambria"/>
          <w:sz w:val="20"/>
          <w:szCs w:val="20"/>
          <w:vertAlign w:val="superscript"/>
          <w:lang w:val="es-VE"/>
        </w:rPr>
        <w:footnoteReference w:id="6"/>
      </w:r>
      <w:r w:rsidRPr="00085327">
        <w:rPr>
          <w:rFonts w:ascii="Cambria" w:hAnsi="Cambria"/>
          <w:sz w:val="20"/>
          <w:szCs w:val="20"/>
          <w:lang w:val="es-VE"/>
        </w:rPr>
        <w:t>.</w:t>
      </w:r>
      <w:r w:rsidR="003D1B3F" w:rsidRPr="00085327">
        <w:rPr>
          <w:rFonts w:ascii="Cambria" w:hAnsi="Cambria"/>
          <w:sz w:val="20"/>
          <w:szCs w:val="20"/>
          <w:lang w:val="es-VE"/>
        </w:rPr>
        <w:t xml:space="preserve"> </w:t>
      </w:r>
      <w:r w:rsidRPr="00085327">
        <w:rPr>
          <w:rFonts w:ascii="Cambria" w:hAnsi="Cambria"/>
          <w:sz w:val="20"/>
          <w:szCs w:val="20"/>
          <w:lang w:val="es-VE"/>
        </w:rPr>
        <w:t>En enero de 2011 el Consejo de Derechos Humanos de las N</w:t>
      </w:r>
      <w:r w:rsidR="00085A8D">
        <w:rPr>
          <w:rFonts w:ascii="Cambria" w:hAnsi="Cambria"/>
          <w:sz w:val="20"/>
          <w:szCs w:val="20"/>
          <w:lang w:val="es-VE"/>
        </w:rPr>
        <w:t>U</w:t>
      </w:r>
      <w:r w:rsidRPr="00085327">
        <w:rPr>
          <w:rFonts w:ascii="Cambria" w:hAnsi="Cambria"/>
          <w:sz w:val="20"/>
          <w:szCs w:val="20"/>
          <w:lang w:val="es-VE"/>
        </w:rPr>
        <w:t xml:space="preserve">, en el marco del Examen Periódico Universal, hizo un llamado de atención al Estado para que respondiera por la situación, cada vez más recrudecida, de crímenes contra la población </w:t>
      </w:r>
      <w:r w:rsidR="001678F8">
        <w:rPr>
          <w:rFonts w:ascii="Cambria" w:hAnsi="Cambria"/>
          <w:sz w:val="20"/>
          <w:szCs w:val="20"/>
          <w:lang w:val="es-VE"/>
        </w:rPr>
        <w:t>LGBT</w:t>
      </w:r>
      <w:r w:rsidRPr="00085327">
        <w:rPr>
          <w:rFonts w:ascii="Cambria" w:hAnsi="Cambria"/>
          <w:sz w:val="20"/>
          <w:szCs w:val="20"/>
          <w:lang w:val="es-VE"/>
        </w:rPr>
        <w:t xml:space="preserve"> en el país</w:t>
      </w:r>
      <w:r w:rsidRPr="00085327">
        <w:rPr>
          <w:rFonts w:ascii="Cambria" w:hAnsi="Cambria"/>
          <w:sz w:val="20"/>
          <w:szCs w:val="20"/>
          <w:vertAlign w:val="superscript"/>
          <w:lang w:val="es-VE"/>
        </w:rPr>
        <w:footnoteReference w:id="7"/>
      </w:r>
      <w:r w:rsidRPr="00085327">
        <w:rPr>
          <w:rFonts w:ascii="Cambria" w:hAnsi="Cambria"/>
          <w:sz w:val="20"/>
          <w:szCs w:val="20"/>
          <w:lang w:val="es-VE"/>
        </w:rPr>
        <w:t>.</w:t>
      </w:r>
    </w:p>
    <w:p w14:paraId="7DE010E9"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A920D93" w14:textId="150DAE88" w:rsidR="00D222A3" w:rsidRPr="00D667EF"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Ante la CIDH se ha </w:t>
      </w:r>
      <w:r w:rsidRPr="004B3BA8">
        <w:rPr>
          <w:rFonts w:asciiTheme="majorHAnsi" w:hAnsiTheme="majorHAnsi"/>
          <w:sz w:val="20"/>
          <w:szCs w:val="20"/>
          <w:lang w:val="es-VE"/>
        </w:rPr>
        <w:t xml:space="preserve">reportado que desde el año 2009 a diciembre de 2014, se habría registrado 174 muertes violentas de personas </w:t>
      </w:r>
      <w:r w:rsidR="001678F8" w:rsidRPr="004B3BA8">
        <w:rPr>
          <w:rFonts w:asciiTheme="majorHAnsi" w:hAnsiTheme="majorHAnsi"/>
          <w:sz w:val="20"/>
          <w:szCs w:val="20"/>
          <w:lang w:val="es-VE"/>
        </w:rPr>
        <w:t>LGBT</w:t>
      </w:r>
      <w:r w:rsidRPr="004B3BA8">
        <w:rPr>
          <w:rFonts w:asciiTheme="majorHAnsi" w:hAnsiTheme="majorHAnsi"/>
          <w:sz w:val="20"/>
          <w:szCs w:val="20"/>
          <w:lang w:val="es-VE"/>
        </w:rPr>
        <w:t xml:space="preserve"> en el país, de las cuales 69 eran personas trans</w:t>
      </w:r>
      <w:r w:rsidRPr="004B3BA8">
        <w:rPr>
          <w:rFonts w:asciiTheme="majorHAnsi" w:hAnsiTheme="majorHAnsi"/>
          <w:sz w:val="20"/>
          <w:szCs w:val="20"/>
          <w:vertAlign w:val="superscript"/>
          <w:lang w:val="es-VE"/>
        </w:rPr>
        <w:footnoteReference w:id="8"/>
      </w:r>
      <w:r w:rsidRPr="004B3BA8">
        <w:rPr>
          <w:rFonts w:asciiTheme="majorHAnsi" w:hAnsiTheme="majorHAnsi"/>
          <w:sz w:val="20"/>
          <w:szCs w:val="20"/>
          <w:lang w:val="es-VE"/>
        </w:rPr>
        <w:t xml:space="preserve">. Entre mayo de 2003 y julio del 2012 </w:t>
      </w:r>
      <w:r w:rsidR="002D6034" w:rsidRPr="004B3BA8">
        <w:rPr>
          <w:rFonts w:asciiTheme="majorHAnsi" w:hAnsiTheme="majorHAnsi"/>
          <w:sz w:val="20"/>
          <w:szCs w:val="20"/>
          <w:lang w:val="es-VE"/>
        </w:rPr>
        <w:t xml:space="preserve">CEJIL </w:t>
      </w:r>
      <w:r w:rsidRPr="004B3BA8">
        <w:rPr>
          <w:rFonts w:asciiTheme="majorHAnsi" w:hAnsiTheme="majorHAnsi"/>
          <w:sz w:val="20"/>
          <w:szCs w:val="20"/>
          <w:lang w:val="es-VE"/>
        </w:rPr>
        <w:t xml:space="preserve">registró 214 crímenes contra personas </w:t>
      </w:r>
      <w:r w:rsidR="001678F8" w:rsidRPr="004B3BA8">
        <w:rPr>
          <w:rFonts w:asciiTheme="majorHAnsi" w:hAnsiTheme="majorHAnsi"/>
          <w:sz w:val="20"/>
          <w:szCs w:val="20"/>
          <w:lang w:val="es-VE"/>
        </w:rPr>
        <w:t>LGBT</w:t>
      </w:r>
      <w:r w:rsidRPr="004B3BA8">
        <w:rPr>
          <w:rFonts w:asciiTheme="majorHAnsi" w:hAnsiTheme="majorHAnsi"/>
          <w:sz w:val="20"/>
          <w:szCs w:val="20"/>
          <w:lang w:val="es-VE"/>
        </w:rPr>
        <w:t xml:space="preserve">, que incluyen violaciones al derecho a la vida, a la integridad física y sexual y a la libertad personal, y notó que las ciudades de Tegucigalpa y San Pedro Sula son </w:t>
      </w:r>
      <w:r w:rsidR="00930C72" w:rsidRPr="004B3BA8">
        <w:rPr>
          <w:rFonts w:asciiTheme="majorHAnsi" w:hAnsiTheme="majorHAnsi"/>
          <w:sz w:val="20"/>
          <w:szCs w:val="20"/>
          <w:lang w:val="es-VE"/>
        </w:rPr>
        <w:t xml:space="preserve">las más peligrosas </w:t>
      </w:r>
      <w:r w:rsidR="00930C72" w:rsidRPr="004B3BA8">
        <w:rPr>
          <w:rFonts w:asciiTheme="majorHAnsi" w:hAnsiTheme="majorHAnsi"/>
          <w:sz w:val="20"/>
          <w:szCs w:val="20"/>
          <w:lang w:val="es-VE"/>
        </w:rPr>
        <w:lastRenderedPageBreak/>
        <w:t xml:space="preserve">para las </w:t>
      </w:r>
      <w:r w:rsidR="001678F8" w:rsidRPr="004B3BA8">
        <w:rPr>
          <w:rFonts w:asciiTheme="majorHAnsi" w:hAnsiTheme="majorHAnsi"/>
          <w:sz w:val="20"/>
          <w:szCs w:val="20"/>
          <w:lang w:val="es-VE"/>
        </w:rPr>
        <w:t>LGBT</w:t>
      </w:r>
      <w:r w:rsidRPr="004B3BA8">
        <w:rPr>
          <w:rFonts w:asciiTheme="majorHAnsi" w:hAnsiTheme="majorHAnsi"/>
          <w:sz w:val="20"/>
          <w:szCs w:val="20"/>
          <w:vertAlign w:val="superscript"/>
          <w:lang w:val="es-VE"/>
        </w:rPr>
        <w:footnoteReference w:id="9"/>
      </w:r>
      <w:r w:rsidRPr="004B3BA8">
        <w:rPr>
          <w:rFonts w:asciiTheme="majorHAnsi" w:hAnsiTheme="majorHAnsi"/>
          <w:sz w:val="20"/>
          <w:szCs w:val="20"/>
          <w:lang w:val="es-VE"/>
        </w:rPr>
        <w:t xml:space="preserve">. De los 214 crímenes reportados, indicó que al menos 127 </w:t>
      </w:r>
      <w:r w:rsidR="002D6034" w:rsidRPr="004B3BA8">
        <w:rPr>
          <w:rFonts w:asciiTheme="majorHAnsi" w:hAnsiTheme="majorHAnsi"/>
          <w:sz w:val="20"/>
          <w:szCs w:val="20"/>
          <w:lang w:val="es-VE"/>
        </w:rPr>
        <w:t xml:space="preserve">fueron </w:t>
      </w:r>
      <w:r w:rsidRPr="004B3BA8">
        <w:rPr>
          <w:rFonts w:asciiTheme="majorHAnsi" w:hAnsiTheme="majorHAnsi"/>
          <w:sz w:val="20"/>
          <w:szCs w:val="20"/>
          <w:lang w:val="es-VE"/>
        </w:rPr>
        <w:t xml:space="preserve">en contra de personas </w:t>
      </w:r>
      <w:r w:rsidR="00A2456C" w:rsidRPr="004B3BA8">
        <w:rPr>
          <w:rFonts w:asciiTheme="majorHAnsi" w:hAnsiTheme="majorHAnsi"/>
          <w:sz w:val="20"/>
          <w:szCs w:val="20"/>
          <w:lang w:val="es-VE"/>
        </w:rPr>
        <w:t>“</w:t>
      </w:r>
      <w:proofErr w:type="spellStart"/>
      <w:r w:rsidRPr="004B3BA8">
        <w:rPr>
          <w:rFonts w:asciiTheme="majorHAnsi" w:hAnsiTheme="majorHAnsi"/>
          <w:sz w:val="20"/>
          <w:szCs w:val="20"/>
          <w:lang w:val="es-VE"/>
        </w:rPr>
        <w:t>trans</w:t>
      </w:r>
      <w:proofErr w:type="spellEnd"/>
      <w:r w:rsidRPr="004B3BA8">
        <w:rPr>
          <w:rFonts w:asciiTheme="majorHAnsi" w:hAnsiTheme="majorHAnsi"/>
          <w:sz w:val="20"/>
          <w:szCs w:val="20"/>
          <w:lang w:val="es-VE"/>
        </w:rPr>
        <w:t xml:space="preserve"> o travesti</w:t>
      </w:r>
      <w:r w:rsidR="00A2456C" w:rsidRPr="004B3BA8">
        <w:rPr>
          <w:rFonts w:asciiTheme="majorHAnsi" w:hAnsiTheme="majorHAnsi"/>
          <w:sz w:val="20"/>
          <w:szCs w:val="20"/>
          <w:lang w:val="es-VE"/>
        </w:rPr>
        <w:t>”</w:t>
      </w:r>
      <w:r w:rsidRPr="004B3BA8">
        <w:rPr>
          <w:rFonts w:asciiTheme="majorHAnsi" w:hAnsiTheme="majorHAnsi"/>
          <w:sz w:val="20"/>
          <w:szCs w:val="20"/>
          <w:lang w:val="es-VE"/>
        </w:rPr>
        <w:t xml:space="preserve">, y de esos, en 47 se señala que los responsables fueron </w:t>
      </w:r>
      <w:proofErr w:type="spellStart"/>
      <w:r w:rsidR="002D6034" w:rsidRPr="004B3BA8">
        <w:rPr>
          <w:rFonts w:asciiTheme="majorHAnsi" w:hAnsiTheme="majorHAnsi"/>
          <w:sz w:val="20"/>
          <w:szCs w:val="20"/>
          <w:lang w:val="es-VE"/>
        </w:rPr>
        <w:t>polic</w:t>
      </w:r>
      <w:r w:rsidR="002D6034" w:rsidRPr="004B3BA8">
        <w:rPr>
          <w:rFonts w:asciiTheme="majorHAnsi" w:hAnsiTheme="majorHAnsi"/>
          <w:sz w:val="20"/>
          <w:szCs w:val="20"/>
          <w:lang w:val="es-CO"/>
        </w:rPr>
        <w:t>ías</w:t>
      </w:r>
      <w:proofErr w:type="spellEnd"/>
      <w:r w:rsidRPr="004B3BA8">
        <w:rPr>
          <w:rFonts w:asciiTheme="majorHAnsi" w:hAnsiTheme="majorHAnsi"/>
          <w:sz w:val="20"/>
          <w:szCs w:val="20"/>
          <w:vertAlign w:val="superscript"/>
          <w:lang w:val="es-VE"/>
        </w:rPr>
        <w:footnoteReference w:id="10"/>
      </w:r>
      <w:r w:rsidRPr="004B3BA8">
        <w:rPr>
          <w:rFonts w:asciiTheme="majorHAnsi" w:hAnsiTheme="majorHAnsi"/>
          <w:sz w:val="20"/>
          <w:szCs w:val="20"/>
          <w:lang w:val="es-VE"/>
        </w:rPr>
        <w:t xml:space="preserve">. </w:t>
      </w:r>
      <w:r w:rsidR="001678F8" w:rsidRPr="004B3BA8">
        <w:rPr>
          <w:rFonts w:asciiTheme="majorHAnsi" w:hAnsiTheme="majorHAnsi"/>
          <w:sz w:val="20"/>
          <w:szCs w:val="20"/>
          <w:lang w:val="es-VE"/>
        </w:rPr>
        <w:t>Según otro reporte,</w:t>
      </w:r>
      <w:r w:rsidR="00994C9D" w:rsidRPr="004B3BA8">
        <w:rPr>
          <w:rFonts w:asciiTheme="majorHAnsi" w:hAnsiTheme="majorHAnsi"/>
          <w:sz w:val="20"/>
          <w:szCs w:val="20"/>
          <w:lang w:val="es-VE"/>
        </w:rPr>
        <w:t xml:space="preserve"> entre 2008-2016 se registraron </w:t>
      </w:r>
      <w:r w:rsidR="00994C9D" w:rsidRPr="004B3BA8">
        <w:rPr>
          <w:rFonts w:asciiTheme="majorHAnsi" w:hAnsiTheme="majorHAnsi"/>
          <w:sz w:val="20"/>
          <w:szCs w:val="20"/>
          <w:lang w:val="es-ES"/>
        </w:rPr>
        <w:t xml:space="preserve">89 muertes de personas </w:t>
      </w:r>
      <w:proofErr w:type="spellStart"/>
      <w:r w:rsidR="00994C9D" w:rsidRPr="004B3BA8">
        <w:rPr>
          <w:rFonts w:asciiTheme="majorHAnsi" w:hAnsiTheme="majorHAnsi"/>
          <w:sz w:val="20"/>
          <w:szCs w:val="20"/>
          <w:lang w:val="es-ES"/>
        </w:rPr>
        <w:t>trans</w:t>
      </w:r>
      <w:proofErr w:type="spellEnd"/>
      <w:r w:rsidR="00994C9D" w:rsidRPr="004B3BA8">
        <w:rPr>
          <w:rFonts w:asciiTheme="majorHAnsi" w:hAnsiTheme="majorHAnsi"/>
          <w:sz w:val="20"/>
          <w:szCs w:val="20"/>
          <w:lang w:val="es-ES"/>
        </w:rPr>
        <w:t xml:space="preserve">, siendo Honduras el país con el número relativo más alto del mundo de asesinatos de personas </w:t>
      </w:r>
      <w:proofErr w:type="spellStart"/>
      <w:r w:rsidR="00994C9D" w:rsidRPr="004B3BA8">
        <w:rPr>
          <w:rFonts w:asciiTheme="majorHAnsi" w:hAnsiTheme="majorHAnsi"/>
          <w:sz w:val="20"/>
          <w:szCs w:val="20"/>
          <w:lang w:val="es-ES"/>
        </w:rPr>
        <w:t>trans</w:t>
      </w:r>
      <w:proofErr w:type="spellEnd"/>
      <w:r w:rsidR="00994C9D" w:rsidRPr="004B3BA8">
        <w:rPr>
          <w:rFonts w:asciiTheme="majorHAnsi" w:hAnsiTheme="majorHAnsi"/>
          <w:sz w:val="20"/>
          <w:szCs w:val="20"/>
          <w:lang w:val="es-ES"/>
        </w:rPr>
        <w:t xml:space="preserve"> con 10.77 po</w:t>
      </w:r>
      <w:r w:rsidR="00CB17F7" w:rsidRPr="004B3BA8">
        <w:rPr>
          <w:rFonts w:asciiTheme="majorHAnsi" w:hAnsiTheme="majorHAnsi"/>
          <w:sz w:val="20"/>
          <w:szCs w:val="20"/>
          <w:lang w:val="es-ES"/>
        </w:rPr>
        <w:t>r un</w:t>
      </w:r>
      <w:r w:rsidR="00994C9D" w:rsidRPr="004B3BA8">
        <w:rPr>
          <w:rFonts w:asciiTheme="majorHAnsi" w:hAnsiTheme="majorHAnsi"/>
          <w:sz w:val="20"/>
          <w:szCs w:val="20"/>
          <w:lang w:val="es-ES"/>
        </w:rPr>
        <w:t xml:space="preserve"> </w:t>
      </w:r>
      <w:r w:rsidR="007A2F2F" w:rsidRPr="004B3BA8">
        <w:rPr>
          <w:rFonts w:asciiTheme="majorHAnsi" w:hAnsiTheme="majorHAnsi"/>
          <w:sz w:val="20"/>
          <w:szCs w:val="20"/>
          <w:lang w:val="es-ES"/>
        </w:rPr>
        <w:t>millón</w:t>
      </w:r>
      <w:r w:rsidR="00994C9D" w:rsidRPr="004B3BA8">
        <w:rPr>
          <w:rFonts w:asciiTheme="majorHAnsi" w:hAnsiTheme="majorHAnsi"/>
          <w:sz w:val="20"/>
          <w:szCs w:val="20"/>
          <w:lang w:val="es-ES"/>
        </w:rPr>
        <w:t xml:space="preserve"> de habitantes</w:t>
      </w:r>
      <w:r w:rsidR="007A2F2F">
        <w:rPr>
          <w:rStyle w:val="FootnoteReference"/>
          <w:rFonts w:asciiTheme="majorHAnsi" w:hAnsiTheme="majorHAnsi"/>
          <w:sz w:val="20"/>
          <w:szCs w:val="20"/>
          <w:lang w:val="es-ES"/>
        </w:rPr>
        <w:footnoteReference w:id="11"/>
      </w:r>
      <w:r w:rsidR="00994C9D" w:rsidRPr="004B3BA8">
        <w:rPr>
          <w:rFonts w:asciiTheme="majorHAnsi" w:hAnsiTheme="majorHAnsi"/>
          <w:sz w:val="20"/>
          <w:szCs w:val="20"/>
          <w:lang w:val="es-ES"/>
        </w:rPr>
        <w:t xml:space="preserve">. </w:t>
      </w:r>
      <w:r w:rsidRPr="004B3BA8">
        <w:rPr>
          <w:rFonts w:asciiTheme="majorHAnsi" w:hAnsiTheme="majorHAnsi"/>
          <w:sz w:val="20"/>
          <w:szCs w:val="20"/>
          <w:lang w:val="es-VE"/>
        </w:rPr>
        <w:t>Asimismo, CEJIL ha sostenido que “las mujeres trans, en particular, sufren una violencia doble y mayor cuando se las percibe como ejerciendo el trabajo sexual”</w:t>
      </w:r>
      <w:r w:rsidRPr="004B3BA8">
        <w:rPr>
          <w:rFonts w:asciiTheme="majorHAnsi" w:hAnsiTheme="majorHAnsi"/>
          <w:sz w:val="20"/>
          <w:szCs w:val="20"/>
          <w:vertAlign w:val="superscript"/>
          <w:lang w:val="es-VE"/>
        </w:rPr>
        <w:footnoteReference w:id="12"/>
      </w:r>
      <w:r w:rsidRPr="004B3BA8">
        <w:rPr>
          <w:rFonts w:asciiTheme="majorHAnsi" w:hAnsiTheme="majorHAnsi"/>
          <w:sz w:val="20"/>
          <w:szCs w:val="20"/>
          <w:lang w:val="es-VE"/>
        </w:rPr>
        <w:t>. Indicó que los cuerpos de las</w:t>
      </w:r>
      <w:r w:rsidR="005F615A" w:rsidRPr="004B3BA8">
        <w:rPr>
          <w:rFonts w:asciiTheme="majorHAnsi" w:hAnsiTheme="majorHAnsi"/>
          <w:sz w:val="20"/>
          <w:szCs w:val="20"/>
          <w:lang w:val="es-VE"/>
        </w:rPr>
        <w:t xml:space="preserve"> personas</w:t>
      </w:r>
      <w:r w:rsidRPr="00D667EF">
        <w:rPr>
          <w:rFonts w:ascii="Cambria" w:hAnsi="Cambria"/>
          <w:sz w:val="20"/>
          <w:szCs w:val="20"/>
          <w:lang w:val="es-VE"/>
        </w:rPr>
        <w:t xml:space="preserve"> </w:t>
      </w:r>
      <w:r w:rsidR="005F615A" w:rsidRPr="00D667EF">
        <w:rPr>
          <w:rFonts w:ascii="Cambria" w:hAnsi="Cambria"/>
          <w:sz w:val="20"/>
          <w:szCs w:val="20"/>
          <w:lang w:val="es-VE"/>
        </w:rPr>
        <w:t>“</w:t>
      </w:r>
      <w:r w:rsidRPr="00D667EF">
        <w:rPr>
          <w:rFonts w:ascii="Cambria" w:hAnsi="Cambria"/>
          <w:sz w:val="20"/>
          <w:szCs w:val="20"/>
          <w:lang w:val="es-VE"/>
        </w:rPr>
        <w:t>trans o travestis</w:t>
      </w:r>
      <w:r w:rsidR="005F615A" w:rsidRPr="00D667EF">
        <w:rPr>
          <w:rFonts w:ascii="Cambria" w:hAnsi="Cambria"/>
          <w:sz w:val="20"/>
          <w:szCs w:val="20"/>
          <w:lang w:val="es-VE"/>
        </w:rPr>
        <w:t>”</w:t>
      </w:r>
      <w:r w:rsidRPr="00D667EF">
        <w:rPr>
          <w:rFonts w:ascii="Cambria" w:hAnsi="Cambria"/>
          <w:sz w:val="20"/>
          <w:szCs w:val="20"/>
          <w:lang w:val="es-VE"/>
        </w:rPr>
        <w:t xml:space="preserve"> asesinadas en Honduras son comúnmente abandonados en lugares públicos, a plena vista de las personas y que “la mayoría de los casos documentados de agresiones y asesinatos fueron cometidos por medio arma de fuego”</w:t>
      </w:r>
      <w:r w:rsidRPr="00085327">
        <w:rPr>
          <w:rFonts w:ascii="Cambria" w:hAnsi="Cambria"/>
          <w:sz w:val="20"/>
          <w:szCs w:val="20"/>
          <w:vertAlign w:val="superscript"/>
          <w:lang w:val="es-VE"/>
        </w:rPr>
        <w:footnoteReference w:id="13"/>
      </w:r>
      <w:r w:rsidRPr="00D667EF">
        <w:rPr>
          <w:rFonts w:ascii="Cambria" w:hAnsi="Cambria"/>
          <w:sz w:val="20"/>
          <w:szCs w:val="20"/>
          <w:lang w:val="es-VE"/>
        </w:rPr>
        <w:t>.</w:t>
      </w:r>
    </w:p>
    <w:p w14:paraId="701F7E1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6855A250" w14:textId="63E07C4E" w:rsidR="00D222A3" w:rsidRPr="003D5CCC"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En relación con las investigaciones en casos de violencia contra personas </w:t>
      </w:r>
      <w:r w:rsidR="001678F8">
        <w:rPr>
          <w:rFonts w:ascii="Cambria" w:hAnsi="Cambria"/>
          <w:sz w:val="20"/>
          <w:szCs w:val="20"/>
          <w:lang w:val="es-VE"/>
        </w:rPr>
        <w:t>LGBT</w:t>
      </w:r>
      <w:r w:rsidRPr="003E616A">
        <w:rPr>
          <w:rFonts w:ascii="Cambria" w:hAnsi="Cambria"/>
          <w:sz w:val="20"/>
          <w:szCs w:val="20"/>
          <w:lang w:val="es-VE"/>
        </w:rPr>
        <w:t>, la CIDH ha recibido información que indica que los asesinatos</w:t>
      </w:r>
      <w:r w:rsidR="00AA1733">
        <w:rPr>
          <w:rFonts w:ascii="Cambria" w:hAnsi="Cambria"/>
          <w:sz w:val="20"/>
          <w:szCs w:val="20"/>
          <w:lang w:val="es-VE"/>
        </w:rPr>
        <w:t xml:space="preserve"> </w:t>
      </w:r>
      <w:r w:rsidRPr="003E616A">
        <w:rPr>
          <w:rFonts w:ascii="Cambria" w:hAnsi="Cambria"/>
          <w:sz w:val="20"/>
          <w:szCs w:val="20"/>
          <w:lang w:val="es-VE"/>
        </w:rPr>
        <w:t>suelen quedar impunes, y que desde un principio se encuentran viciados por prejuicios con base en la orientación sexual, identidad o expresión de género de las víctimas</w:t>
      </w:r>
      <w:r w:rsidRPr="003E616A">
        <w:rPr>
          <w:rFonts w:ascii="Cambria" w:hAnsi="Cambria"/>
          <w:sz w:val="20"/>
          <w:szCs w:val="20"/>
          <w:vertAlign w:val="superscript"/>
          <w:lang w:val="es-VE"/>
        </w:rPr>
        <w:footnoteReference w:id="14"/>
      </w:r>
      <w:r w:rsidRPr="003E616A">
        <w:rPr>
          <w:rFonts w:ascii="Cambria" w:hAnsi="Cambria"/>
          <w:sz w:val="20"/>
          <w:szCs w:val="20"/>
          <w:lang w:val="es-VE"/>
        </w:rPr>
        <w:t>. Según la información recibida</w:t>
      </w:r>
      <w:r w:rsidR="001A11CE">
        <w:rPr>
          <w:rFonts w:ascii="Cambria" w:hAnsi="Cambria"/>
          <w:sz w:val="20"/>
          <w:szCs w:val="20"/>
          <w:lang w:val="es-VE"/>
        </w:rPr>
        <w:t xml:space="preserve"> por la</w:t>
      </w:r>
      <w:r w:rsidRPr="003E616A">
        <w:rPr>
          <w:rFonts w:ascii="Cambria" w:hAnsi="Cambria"/>
          <w:sz w:val="20"/>
          <w:szCs w:val="20"/>
          <w:lang w:val="es-VE"/>
        </w:rPr>
        <w:t xml:space="preserve"> CIDH</w:t>
      </w:r>
      <w:r w:rsidR="00D55A84">
        <w:rPr>
          <w:rFonts w:ascii="Cambria" w:hAnsi="Cambria"/>
          <w:sz w:val="20"/>
          <w:szCs w:val="20"/>
          <w:lang w:val="es-VE"/>
        </w:rPr>
        <w:t xml:space="preserve">, </w:t>
      </w:r>
      <w:r w:rsidRPr="003E616A">
        <w:rPr>
          <w:rFonts w:ascii="Cambria" w:hAnsi="Cambria"/>
          <w:sz w:val="20"/>
          <w:szCs w:val="20"/>
          <w:lang w:val="es-VE"/>
        </w:rPr>
        <w:t>de 141 muertes violentas registradas entre 2010-2014, se habría judicializado sólo 30 casos</w:t>
      </w:r>
      <w:r w:rsidRPr="003E616A">
        <w:rPr>
          <w:rFonts w:ascii="Cambria" w:hAnsi="Cambria"/>
          <w:sz w:val="20"/>
          <w:szCs w:val="20"/>
          <w:vertAlign w:val="superscript"/>
          <w:lang w:val="es-VE"/>
        </w:rPr>
        <w:footnoteReference w:id="15"/>
      </w:r>
      <w:r w:rsidRPr="003E616A">
        <w:rPr>
          <w:rFonts w:ascii="Cambria" w:hAnsi="Cambria"/>
          <w:sz w:val="20"/>
          <w:szCs w:val="20"/>
          <w:lang w:val="es-VE"/>
        </w:rPr>
        <w:t>. El propio Estado informó a la CIDH que de los casos de homicidios contra personas LGBT entre 2009 y 2013, sólo en el 4% se dictó una decisión final</w:t>
      </w:r>
      <w:r w:rsidRPr="003E616A">
        <w:rPr>
          <w:rFonts w:ascii="Cambria" w:hAnsi="Cambria"/>
          <w:sz w:val="20"/>
          <w:szCs w:val="20"/>
          <w:vertAlign w:val="superscript"/>
          <w:lang w:val="es-VE"/>
        </w:rPr>
        <w:footnoteReference w:id="16"/>
      </w:r>
      <w:r w:rsidRPr="003E616A">
        <w:rPr>
          <w:rFonts w:ascii="Cambria" w:hAnsi="Cambria"/>
          <w:sz w:val="20"/>
          <w:szCs w:val="20"/>
          <w:lang w:val="es-VE"/>
        </w:rPr>
        <w:t xml:space="preserve">. </w:t>
      </w:r>
      <w:r w:rsidRPr="003D5CCC">
        <w:rPr>
          <w:rFonts w:ascii="Cambria" w:hAnsi="Cambria"/>
          <w:sz w:val="20"/>
          <w:szCs w:val="20"/>
          <w:lang w:val="es-VE"/>
        </w:rPr>
        <w:t xml:space="preserve">La organización Global Rights junto con la Clínica de Derechos Humanos de la Universidad de Virginia </w:t>
      </w:r>
      <w:r w:rsidR="008D0D41" w:rsidRPr="003D5CCC">
        <w:rPr>
          <w:rFonts w:ascii="Cambria" w:hAnsi="Cambria"/>
          <w:sz w:val="20"/>
          <w:szCs w:val="20"/>
          <w:lang w:val="es-VE"/>
        </w:rPr>
        <w:t>emitieron un</w:t>
      </w:r>
      <w:r w:rsidRPr="003D5CCC">
        <w:rPr>
          <w:rFonts w:ascii="Cambria" w:hAnsi="Cambria"/>
          <w:sz w:val="20"/>
          <w:szCs w:val="20"/>
          <w:lang w:val="es-VE"/>
        </w:rPr>
        <w:t xml:space="preserve"> informe</w:t>
      </w:r>
      <w:r w:rsidR="008D0D41" w:rsidRPr="003D5CCC">
        <w:rPr>
          <w:rFonts w:ascii="Cambria" w:hAnsi="Cambria"/>
          <w:sz w:val="20"/>
          <w:szCs w:val="20"/>
          <w:lang w:val="es-VE"/>
        </w:rPr>
        <w:t xml:space="preserve"> en el que </w:t>
      </w:r>
      <w:r w:rsidRPr="003D5CCC">
        <w:rPr>
          <w:rFonts w:ascii="Cambria" w:hAnsi="Cambria"/>
          <w:sz w:val="20"/>
          <w:szCs w:val="20"/>
          <w:lang w:val="es-VE"/>
        </w:rPr>
        <w:t xml:space="preserve">concluyeron que el sistema de justicia criminal discrimina y no protege a las personas </w:t>
      </w:r>
      <w:r w:rsidR="001678F8">
        <w:rPr>
          <w:rFonts w:ascii="Cambria" w:hAnsi="Cambria"/>
          <w:sz w:val="20"/>
          <w:szCs w:val="20"/>
          <w:lang w:val="es-VE"/>
        </w:rPr>
        <w:t>LGBT</w:t>
      </w:r>
      <w:r w:rsidRPr="003D5CCC">
        <w:rPr>
          <w:rFonts w:ascii="Cambria" w:hAnsi="Cambria"/>
          <w:sz w:val="20"/>
          <w:szCs w:val="20"/>
          <w:lang w:val="es-VE"/>
        </w:rPr>
        <w:t xml:space="preserve">. Sus muertes quedan sin ser investigadas y sin resolver y los perpetradores sin castigo. El referido informe también destacó las repetidas violaciones contra miembros de la comunidad </w:t>
      </w:r>
      <w:r w:rsidR="001678F8">
        <w:rPr>
          <w:rFonts w:ascii="Cambria" w:hAnsi="Cambria"/>
          <w:sz w:val="20"/>
          <w:szCs w:val="20"/>
          <w:lang w:val="es-VE"/>
        </w:rPr>
        <w:t>LGBT</w:t>
      </w:r>
      <w:r w:rsidRPr="003D5CCC">
        <w:rPr>
          <w:rFonts w:ascii="Cambria" w:hAnsi="Cambria"/>
          <w:sz w:val="20"/>
          <w:szCs w:val="20"/>
          <w:lang w:val="es-VE"/>
        </w:rPr>
        <w:t xml:space="preserve"> cometidas por miembros de la policía, particularmente detención ilegal y abuso de autoridad</w:t>
      </w:r>
      <w:r w:rsidRPr="003E616A">
        <w:rPr>
          <w:rFonts w:ascii="Cambria" w:hAnsi="Cambria"/>
          <w:sz w:val="20"/>
          <w:szCs w:val="20"/>
          <w:vertAlign w:val="superscript"/>
          <w:lang w:val="es-VE"/>
        </w:rPr>
        <w:footnoteReference w:id="17"/>
      </w:r>
      <w:r w:rsidRPr="003D5CCC">
        <w:rPr>
          <w:rFonts w:ascii="Cambria" w:hAnsi="Cambria"/>
          <w:sz w:val="20"/>
          <w:szCs w:val="20"/>
          <w:lang w:val="es-VE"/>
        </w:rPr>
        <w:t>.</w:t>
      </w:r>
    </w:p>
    <w:p w14:paraId="3840C559"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26A7BDBC" w14:textId="42276F71" w:rsidR="00D222A3" w:rsidRPr="00BC25A3" w:rsidRDefault="00054607"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L</w:t>
      </w:r>
      <w:r w:rsidR="00D222A3" w:rsidRPr="00085327">
        <w:rPr>
          <w:rFonts w:ascii="Cambria" w:hAnsi="Cambria"/>
          <w:sz w:val="20"/>
          <w:szCs w:val="20"/>
          <w:lang w:val="es-VE"/>
        </w:rPr>
        <w:t xml:space="preserve">a CIDH ha expresado preocupación </w:t>
      </w:r>
      <w:r w:rsidR="00BC25A3">
        <w:rPr>
          <w:rFonts w:ascii="Cambria" w:hAnsi="Cambria"/>
          <w:sz w:val="20"/>
          <w:szCs w:val="20"/>
          <w:lang w:val="es-VE"/>
        </w:rPr>
        <w:t>por</w:t>
      </w:r>
      <w:r w:rsidR="00D222A3" w:rsidRPr="00085327">
        <w:rPr>
          <w:rFonts w:ascii="Cambria" w:hAnsi="Cambria"/>
          <w:sz w:val="20"/>
          <w:szCs w:val="20"/>
          <w:lang w:val="es-VE"/>
        </w:rPr>
        <w:t xml:space="preserve"> </w:t>
      </w:r>
      <w:r>
        <w:rPr>
          <w:rFonts w:ascii="Cambria" w:hAnsi="Cambria"/>
          <w:sz w:val="20"/>
          <w:szCs w:val="20"/>
          <w:lang w:val="es-VE"/>
        </w:rPr>
        <w:t xml:space="preserve">el </w:t>
      </w:r>
      <w:r w:rsidR="00D222A3" w:rsidRPr="00085327">
        <w:rPr>
          <w:rFonts w:ascii="Cambria" w:hAnsi="Cambria"/>
          <w:sz w:val="20"/>
          <w:szCs w:val="20"/>
          <w:lang w:val="es-VE"/>
        </w:rPr>
        <w:t xml:space="preserve">abuso policial contra personas </w:t>
      </w:r>
      <w:r w:rsidR="001678F8">
        <w:rPr>
          <w:rFonts w:ascii="Cambria" w:hAnsi="Cambria"/>
          <w:sz w:val="20"/>
          <w:szCs w:val="20"/>
          <w:lang w:val="es-VE"/>
        </w:rPr>
        <w:t>LGBT</w:t>
      </w:r>
      <w:r w:rsidR="00BC25A3">
        <w:rPr>
          <w:rFonts w:ascii="Cambria" w:hAnsi="Cambria"/>
          <w:sz w:val="20"/>
          <w:szCs w:val="20"/>
          <w:lang w:val="es-VE"/>
        </w:rPr>
        <w:t xml:space="preserve"> indicando </w:t>
      </w:r>
      <w:r w:rsidR="00D222A3" w:rsidRPr="00085327">
        <w:rPr>
          <w:rFonts w:ascii="Cambria" w:hAnsi="Cambria"/>
          <w:sz w:val="20"/>
          <w:szCs w:val="20"/>
          <w:lang w:val="es-VE"/>
        </w:rPr>
        <w:t xml:space="preserve">que el involucramiento de la policía </w:t>
      </w:r>
      <w:r w:rsidR="00F9499B">
        <w:rPr>
          <w:rFonts w:ascii="Cambria" w:hAnsi="Cambria"/>
          <w:sz w:val="20"/>
          <w:szCs w:val="20"/>
          <w:lang w:val="es-VE"/>
        </w:rPr>
        <w:t>“</w:t>
      </w:r>
      <w:r w:rsidR="00D222A3" w:rsidRPr="00085327">
        <w:rPr>
          <w:rFonts w:ascii="Cambria" w:hAnsi="Cambria"/>
          <w:sz w:val="20"/>
          <w:szCs w:val="20"/>
          <w:lang w:val="es-VE"/>
        </w:rPr>
        <w:t>conduce a otros a creer que pueden hacer daño impunemente a personas con orientaciones sexuales e identidades de género no normativas”</w:t>
      </w:r>
      <w:r w:rsidR="00D222A3" w:rsidRPr="00085327">
        <w:rPr>
          <w:rFonts w:ascii="Cambria" w:hAnsi="Cambria"/>
          <w:sz w:val="20"/>
          <w:szCs w:val="20"/>
          <w:vertAlign w:val="superscript"/>
          <w:lang w:val="es-VE"/>
        </w:rPr>
        <w:footnoteReference w:id="18"/>
      </w:r>
      <w:r w:rsidR="00D222A3" w:rsidRPr="00085327">
        <w:rPr>
          <w:rFonts w:ascii="Cambria" w:hAnsi="Cambria"/>
          <w:sz w:val="20"/>
          <w:szCs w:val="20"/>
          <w:lang w:val="es-VE"/>
        </w:rPr>
        <w:t>. Ha sostenido que “numerosos informes señalan que mujeres trans y trabajadoras sexuales trans son particularmente vulnerables a abusos policiales y son sometidas con regularidad a tratos inhumanos cuando son detenidas por fuerzas de seguridad del Estado”</w:t>
      </w:r>
      <w:r w:rsidR="00D222A3" w:rsidRPr="00085327">
        <w:rPr>
          <w:rFonts w:ascii="Cambria" w:hAnsi="Cambria"/>
          <w:sz w:val="20"/>
          <w:szCs w:val="20"/>
          <w:vertAlign w:val="superscript"/>
          <w:lang w:val="es-VE"/>
        </w:rPr>
        <w:footnoteReference w:id="19"/>
      </w:r>
      <w:r w:rsidR="00D222A3" w:rsidRPr="00085327">
        <w:rPr>
          <w:rFonts w:ascii="Cambria" w:hAnsi="Cambria"/>
          <w:sz w:val="20"/>
          <w:szCs w:val="20"/>
          <w:lang w:val="es-VE"/>
        </w:rPr>
        <w:t>. La C</w:t>
      </w:r>
      <w:r w:rsidR="00BC25A3">
        <w:rPr>
          <w:rFonts w:ascii="Cambria" w:hAnsi="Cambria"/>
          <w:sz w:val="20"/>
          <w:szCs w:val="20"/>
          <w:lang w:val="es-VE"/>
        </w:rPr>
        <w:t>IDH</w:t>
      </w:r>
      <w:r w:rsidR="006319F2">
        <w:rPr>
          <w:rFonts w:ascii="Cambria" w:hAnsi="Cambria"/>
          <w:sz w:val="20"/>
          <w:szCs w:val="20"/>
          <w:lang w:val="es-VE"/>
        </w:rPr>
        <w:t xml:space="preserve"> </w:t>
      </w:r>
      <w:r w:rsidR="00D222A3" w:rsidRPr="00085327">
        <w:rPr>
          <w:rFonts w:ascii="Cambria" w:hAnsi="Cambria"/>
          <w:sz w:val="20"/>
          <w:szCs w:val="20"/>
          <w:lang w:val="es-VE"/>
        </w:rPr>
        <w:t>ha recibido información sobre intentos de ejecuciones extrajudiciales de personas trans por parte de miembros de la policía en Honduras</w:t>
      </w:r>
      <w:r w:rsidR="00D222A3" w:rsidRPr="00085327">
        <w:rPr>
          <w:rFonts w:ascii="Cambria" w:hAnsi="Cambria"/>
          <w:sz w:val="20"/>
          <w:szCs w:val="20"/>
          <w:vertAlign w:val="superscript"/>
          <w:lang w:val="es-VE"/>
        </w:rPr>
        <w:footnoteReference w:id="20"/>
      </w:r>
      <w:r w:rsidR="00D222A3" w:rsidRPr="00085327">
        <w:rPr>
          <w:rFonts w:ascii="Cambria" w:hAnsi="Cambria"/>
          <w:sz w:val="20"/>
          <w:szCs w:val="20"/>
          <w:lang w:val="es-VE"/>
        </w:rPr>
        <w:t xml:space="preserve">. </w:t>
      </w:r>
      <w:r w:rsidR="00BC25A3">
        <w:rPr>
          <w:rFonts w:ascii="Cambria" w:hAnsi="Cambria"/>
          <w:sz w:val="20"/>
          <w:szCs w:val="20"/>
          <w:lang w:val="es-VE"/>
        </w:rPr>
        <w:t>A</w:t>
      </w:r>
      <w:r w:rsidR="00D222A3" w:rsidRPr="00085327">
        <w:rPr>
          <w:rFonts w:ascii="Cambria" w:hAnsi="Cambria"/>
          <w:sz w:val="20"/>
          <w:szCs w:val="20"/>
          <w:lang w:val="es-VE"/>
        </w:rPr>
        <w:t>firmó que</w:t>
      </w:r>
      <w:r w:rsidR="00BC25A3">
        <w:rPr>
          <w:rFonts w:ascii="Cambria" w:hAnsi="Cambria"/>
          <w:sz w:val="20"/>
          <w:szCs w:val="20"/>
          <w:lang w:val="es-VE"/>
        </w:rPr>
        <w:t xml:space="preserve"> e</w:t>
      </w:r>
      <w:r w:rsidR="00D222A3" w:rsidRPr="00BC25A3">
        <w:rPr>
          <w:rFonts w:ascii="Cambria" w:hAnsi="Cambria"/>
          <w:sz w:val="20"/>
          <w:szCs w:val="20"/>
          <w:lang w:val="es-VE"/>
        </w:rPr>
        <w:t>ntre las formas de abuso más denunciadas se encuentran las extorsiones y demanda de favores sexuales; uso excesivo de la fuerza; palizas; uso de armas de fuego para herir o incapacitar a las víctimas; casos en los que las mujeres trans se ven obligadas a desnudarse completamente en público; así como constante hostilidad y actos de humillación como quitarles forzadamente sus pelucas; uso malintencionado o deliberado de un género distinto al cual se identifican para referirse a ellas (misgendering) y abusos verbales reiterados</w:t>
      </w:r>
      <w:r w:rsidR="00D222A3" w:rsidRPr="003E616A">
        <w:rPr>
          <w:rFonts w:ascii="Cambria" w:hAnsi="Cambria"/>
          <w:sz w:val="20"/>
          <w:szCs w:val="20"/>
          <w:vertAlign w:val="superscript"/>
          <w:lang w:val="es-VE"/>
        </w:rPr>
        <w:footnoteReference w:id="21"/>
      </w:r>
      <w:r w:rsidR="00D222A3" w:rsidRPr="00BC25A3">
        <w:rPr>
          <w:rFonts w:ascii="Cambria" w:hAnsi="Cambria"/>
          <w:sz w:val="20"/>
          <w:szCs w:val="20"/>
          <w:lang w:val="es-VE"/>
        </w:rPr>
        <w:t>.</w:t>
      </w:r>
    </w:p>
    <w:p w14:paraId="0C269F08"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0556C358" w14:textId="77777777" w:rsidR="00691D2E"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085327">
        <w:rPr>
          <w:rFonts w:ascii="Cambria" w:hAnsi="Cambria"/>
          <w:sz w:val="20"/>
          <w:szCs w:val="20"/>
          <w:lang w:val="es-VE"/>
        </w:rPr>
        <w:t>Según CEJIL, existe un patrón recurrente de detenciones arbitrarias y agresi</w:t>
      </w:r>
      <w:r w:rsidR="005C4D6F" w:rsidRPr="00085327">
        <w:rPr>
          <w:rFonts w:ascii="Cambria" w:hAnsi="Cambria"/>
          <w:sz w:val="20"/>
          <w:szCs w:val="20"/>
          <w:lang w:val="es-VE"/>
        </w:rPr>
        <w:t>ones</w:t>
      </w:r>
      <w:r w:rsidRPr="00085327">
        <w:rPr>
          <w:rFonts w:ascii="Cambria" w:hAnsi="Cambria"/>
          <w:sz w:val="20"/>
          <w:szCs w:val="20"/>
          <w:lang w:val="es-VE"/>
        </w:rPr>
        <w:t xml:space="preserve"> cometid</w:t>
      </w:r>
      <w:r w:rsidR="005C4D6F" w:rsidRPr="00085327">
        <w:rPr>
          <w:rFonts w:ascii="Cambria" w:hAnsi="Cambria"/>
          <w:sz w:val="20"/>
          <w:szCs w:val="20"/>
          <w:lang w:val="es-VE"/>
        </w:rPr>
        <w:t>a</w:t>
      </w:r>
      <w:r w:rsidRPr="00085327">
        <w:rPr>
          <w:rFonts w:ascii="Cambria" w:hAnsi="Cambria"/>
          <w:sz w:val="20"/>
          <w:szCs w:val="20"/>
          <w:lang w:val="es-VE"/>
        </w:rPr>
        <w:t>s por la policía contra las personas trans en Honduras</w:t>
      </w:r>
      <w:r w:rsidRPr="00085327">
        <w:rPr>
          <w:rFonts w:ascii="Cambria" w:hAnsi="Cambria"/>
          <w:sz w:val="20"/>
          <w:szCs w:val="20"/>
          <w:vertAlign w:val="superscript"/>
          <w:lang w:val="es-VE"/>
        </w:rPr>
        <w:footnoteReference w:id="22"/>
      </w:r>
      <w:r w:rsidRPr="00085327">
        <w:rPr>
          <w:rFonts w:ascii="Cambria" w:hAnsi="Cambria"/>
          <w:sz w:val="20"/>
          <w:szCs w:val="20"/>
          <w:lang w:val="es-VE"/>
        </w:rPr>
        <w:t>. La Red Lésbica C</w:t>
      </w:r>
      <w:r w:rsidR="005C6DB6" w:rsidRPr="00085327">
        <w:rPr>
          <w:rFonts w:ascii="Cambria" w:hAnsi="Cambria"/>
          <w:sz w:val="20"/>
          <w:szCs w:val="20"/>
          <w:lang w:val="es-VE"/>
        </w:rPr>
        <w:t>a</w:t>
      </w:r>
      <w:r w:rsidRPr="00085327">
        <w:rPr>
          <w:rFonts w:ascii="Cambria" w:hAnsi="Cambria"/>
          <w:sz w:val="20"/>
          <w:szCs w:val="20"/>
          <w:lang w:val="es-VE"/>
        </w:rPr>
        <w:t xml:space="preserve">ttrachas ha indicado que las mujeres trans son blancos fáciles para las autoridades hondureñas a causa de su situación de vulnerabilidad socio-económica; y que </w:t>
      </w:r>
      <w:r w:rsidRPr="00085327">
        <w:rPr>
          <w:rFonts w:ascii="Cambria" w:hAnsi="Cambria"/>
          <w:sz w:val="20"/>
          <w:szCs w:val="20"/>
          <w:lang w:val="es-VE"/>
        </w:rPr>
        <w:lastRenderedPageBreak/>
        <w:t>según la sociedad civil y entes internacionales, son “víctimas constantes de violencia por parte de la policía”</w:t>
      </w:r>
      <w:r w:rsidRPr="00085327">
        <w:rPr>
          <w:rFonts w:ascii="Cambria" w:hAnsi="Cambria"/>
          <w:sz w:val="20"/>
          <w:szCs w:val="20"/>
          <w:vertAlign w:val="superscript"/>
          <w:lang w:val="es-VE"/>
        </w:rPr>
        <w:footnoteReference w:id="23"/>
      </w:r>
      <w:r w:rsidRPr="00085327">
        <w:rPr>
          <w:rFonts w:ascii="Cambria" w:hAnsi="Cambria"/>
          <w:sz w:val="20"/>
          <w:szCs w:val="20"/>
          <w:lang w:val="es-VE"/>
        </w:rPr>
        <w:t>. CEJIL ha afirmado que es común la relación de las personas trans y travesti con el trabajo sexual callejero, debido a la dificultad para conseguir otro tipo de empleos, lo que, unido a los prejuicios ya existentes, “ha sido causa determinante para una mayor exposición a los crímenes, sea por parte de la propia policía o de miembros de la sociedad</w:t>
      </w:r>
      <w:r w:rsidRPr="003E616A">
        <w:rPr>
          <w:rFonts w:ascii="Cambria" w:hAnsi="Cambria"/>
          <w:sz w:val="20"/>
          <w:szCs w:val="20"/>
          <w:lang w:val="es-VE"/>
        </w:rPr>
        <w:t xml:space="preserve"> en general”</w:t>
      </w:r>
      <w:r w:rsidRPr="003E616A">
        <w:rPr>
          <w:rFonts w:ascii="Cambria" w:hAnsi="Cambria"/>
          <w:sz w:val="20"/>
          <w:szCs w:val="20"/>
          <w:vertAlign w:val="superscript"/>
          <w:lang w:val="es-VE"/>
        </w:rPr>
        <w:footnoteReference w:id="24"/>
      </w:r>
      <w:r w:rsidRPr="003E616A">
        <w:rPr>
          <w:rFonts w:ascii="Cambria" w:hAnsi="Cambria"/>
          <w:sz w:val="20"/>
          <w:szCs w:val="20"/>
          <w:lang w:val="es-VE"/>
        </w:rPr>
        <w:t>. Muchas de las detenciones arbitrarias realizadas a mujeres trans trabajadoras del sexo suceden durante encuentros con policías y militares que solicitan sus servicios de tipo sexual y luego se rehúsan a pagar por ellos</w:t>
      </w:r>
      <w:r w:rsidRPr="003E616A">
        <w:rPr>
          <w:rFonts w:ascii="Cambria" w:hAnsi="Cambria"/>
          <w:sz w:val="20"/>
          <w:szCs w:val="20"/>
          <w:vertAlign w:val="superscript"/>
          <w:lang w:val="es-VE"/>
        </w:rPr>
        <w:footnoteReference w:id="25"/>
      </w:r>
      <w:r w:rsidRPr="003E616A">
        <w:rPr>
          <w:rFonts w:ascii="Cambria" w:hAnsi="Cambria"/>
          <w:sz w:val="20"/>
          <w:szCs w:val="20"/>
          <w:lang w:val="es-VE"/>
        </w:rPr>
        <w:t xml:space="preserve">. </w:t>
      </w:r>
    </w:p>
    <w:p w14:paraId="6C90CBAD" w14:textId="77777777" w:rsidR="00691D2E" w:rsidRDefault="00691D2E" w:rsidP="002D4C97">
      <w:pPr>
        <w:pStyle w:val="ListParagraph"/>
        <w:rPr>
          <w:sz w:val="20"/>
          <w:szCs w:val="20"/>
          <w:lang w:val="es-VE"/>
        </w:rPr>
      </w:pPr>
    </w:p>
    <w:p w14:paraId="6B7E1DCF" w14:textId="2D05434B" w:rsidR="00D222A3" w:rsidRPr="0038155F" w:rsidRDefault="00691D2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La CIDH ha indicado que e</w:t>
      </w:r>
      <w:r w:rsidR="00D222A3" w:rsidRPr="00691D2E">
        <w:rPr>
          <w:rFonts w:ascii="Cambria" w:hAnsi="Cambria"/>
          <w:sz w:val="20"/>
          <w:szCs w:val="20"/>
          <w:lang w:val="es-VE"/>
        </w:rPr>
        <w:t>n la mayoría de los casos, la orientación sexual</w:t>
      </w:r>
      <w:r w:rsidR="00514E8F">
        <w:rPr>
          <w:rFonts w:ascii="Cambria" w:hAnsi="Cambria"/>
          <w:sz w:val="20"/>
          <w:szCs w:val="20"/>
          <w:lang w:val="es-VE"/>
        </w:rPr>
        <w:t>,</w:t>
      </w:r>
      <w:r w:rsidR="00D222A3" w:rsidRPr="00691D2E">
        <w:rPr>
          <w:rFonts w:ascii="Cambria" w:hAnsi="Cambria"/>
          <w:sz w:val="20"/>
          <w:szCs w:val="20"/>
          <w:lang w:val="es-VE"/>
        </w:rPr>
        <w:t xml:space="preserve"> la identidad </w:t>
      </w:r>
      <w:r w:rsidR="00514E8F">
        <w:rPr>
          <w:rFonts w:ascii="Cambria" w:hAnsi="Cambria"/>
          <w:sz w:val="20"/>
          <w:szCs w:val="20"/>
          <w:lang w:val="es-VE"/>
        </w:rPr>
        <w:t xml:space="preserve">o expresión </w:t>
      </w:r>
      <w:r w:rsidR="00D222A3" w:rsidRPr="00691D2E">
        <w:rPr>
          <w:rFonts w:ascii="Cambria" w:hAnsi="Cambria"/>
          <w:sz w:val="20"/>
          <w:szCs w:val="20"/>
          <w:lang w:val="es-VE"/>
        </w:rPr>
        <w:t>de género de la víctima es completamente ignorada en la investigación, a pesar de su posible utilidad en la identificación de posibles motivos o sospechosos. Por otro lado, los prejuicios discriminatorios pueden llevar a un abandono o archivo de la investigación, o incluso pueden conllevar a que haya una falta total de investigación de los crímenes</w:t>
      </w:r>
      <w:r w:rsidR="00D222A3" w:rsidRPr="00085327">
        <w:rPr>
          <w:rFonts w:ascii="Cambria" w:hAnsi="Cambria"/>
          <w:sz w:val="20"/>
          <w:szCs w:val="20"/>
          <w:vertAlign w:val="superscript"/>
          <w:lang w:val="es-VE"/>
        </w:rPr>
        <w:footnoteReference w:id="26"/>
      </w:r>
      <w:r w:rsidR="00D222A3" w:rsidRPr="00691D2E">
        <w:rPr>
          <w:rFonts w:ascii="Cambria" w:hAnsi="Cambria"/>
          <w:sz w:val="20"/>
          <w:szCs w:val="20"/>
          <w:lang w:val="es-VE"/>
        </w:rPr>
        <w:t>.</w:t>
      </w:r>
      <w:r w:rsidR="0038155F">
        <w:rPr>
          <w:rFonts w:ascii="Cambria" w:hAnsi="Cambria"/>
          <w:sz w:val="20"/>
          <w:szCs w:val="20"/>
          <w:lang w:val="es-VE"/>
        </w:rPr>
        <w:t xml:space="preserve"> </w:t>
      </w:r>
      <w:r w:rsidR="00D222A3" w:rsidRPr="0038155F">
        <w:rPr>
          <w:rFonts w:ascii="Cambria" w:hAnsi="Cambria"/>
          <w:sz w:val="20"/>
          <w:szCs w:val="20"/>
          <w:lang w:val="es-VE"/>
        </w:rPr>
        <w:t>Según Human Rights Watch, “los prejuicios de los organismos encargados de hacer cumplir las leyes pueden generar un trato discriminatorio en el transcurso de las investigaciones policiales sobre casos de violencia contra las personas transgénero. El carácter independiente de dichas investigaciones también puede ponerse en riesgo cuando los perpetradores son miembros de la fuerza policial”</w:t>
      </w:r>
      <w:r w:rsidR="00D222A3" w:rsidRPr="00085327">
        <w:rPr>
          <w:rFonts w:ascii="Cambria" w:hAnsi="Cambria"/>
          <w:sz w:val="20"/>
          <w:szCs w:val="20"/>
          <w:vertAlign w:val="superscript"/>
          <w:lang w:val="es-VE"/>
        </w:rPr>
        <w:footnoteReference w:id="27"/>
      </w:r>
      <w:r w:rsidR="00D222A3" w:rsidRPr="0038155F">
        <w:rPr>
          <w:rFonts w:ascii="Cambria" w:hAnsi="Cambria"/>
          <w:sz w:val="20"/>
          <w:szCs w:val="20"/>
          <w:lang w:val="es-VE"/>
        </w:rPr>
        <w:t>.</w:t>
      </w:r>
    </w:p>
    <w:p w14:paraId="604A72E7"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266798E0" w14:textId="24CE9378" w:rsidR="00D222A3" w:rsidRPr="009F4EDF"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CIDH notó que “las defensoras de derechos humanos de personas trans se encuentran en una situación de extrema vulnerabilidad a sufrir actos de violencia por parte de los agentes estatales y no estatales, en represalia por el activismo en materia de derechos humanos y el ejercicio del trabajo sexual. Las mujeres trans defensoras de derechos humanos son sometidas a detenciones arbitrarias, extorsión y amenazas por parte de agentes de la policía”</w:t>
      </w:r>
      <w:r w:rsidRPr="003E616A">
        <w:rPr>
          <w:rFonts w:ascii="Cambria" w:hAnsi="Cambria"/>
          <w:sz w:val="20"/>
          <w:szCs w:val="20"/>
          <w:vertAlign w:val="superscript"/>
          <w:lang w:val="es-VE"/>
        </w:rPr>
        <w:footnoteReference w:id="28"/>
      </w:r>
      <w:r w:rsidRPr="003E616A">
        <w:rPr>
          <w:rFonts w:ascii="Cambria" w:hAnsi="Cambria"/>
          <w:sz w:val="20"/>
          <w:szCs w:val="20"/>
          <w:lang w:val="es-VE"/>
        </w:rPr>
        <w:t>.</w:t>
      </w:r>
      <w:r w:rsidR="00F904D9">
        <w:rPr>
          <w:rFonts w:ascii="Cambria" w:hAnsi="Cambria"/>
          <w:sz w:val="20"/>
          <w:szCs w:val="20"/>
          <w:lang w:val="es-VE"/>
        </w:rPr>
        <w:t xml:space="preserve"> Este contexto es relevante, dado que, como se detalla más adelante, Vicky Hernández, era defensora de los derechos de las personas </w:t>
      </w:r>
      <w:proofErr w:type="spellStart"/>
      <w:r w:rsidR="00F904D9">
        <w:rPr>
          <w:rFonts w:ascii="Cambria" w:hAnsi="Cambria"/>
          <w:sz w:val="20"/>
          <w:szCs w:val="20"/>
          <w:lang w:val="es-VE"/>
        </w:rPr>
        <w:t>trans</w:t>
      </w:r>
      <w:proofErr w:type="spellEnd"/>
      <w:r w:rsidR="00F904D9">
        <w:rPr>
          <w:rFonts w:ascii="Cambria" w:hAnsi="Cambria"/>
          <w:sz w:val="20"/>
          <w:szCs w:val="20"/>
          <w:lang w:val="es-VE"/>
        </w:rPr>
        <w:t xml:space="preserve">. </w:t>
      </w:r>
    </w:p>
    <w:p w14:paraId="6F608132" w14:textId="4093E040" w:rsidR="00D222A3" w:rsidRPr="009F4EDF" w:rsidRDefault="00D222A3" w:rsidP="00094AFC">
      <w:pPr>
        <w:pStyle w:val="Heading3"/>
        <w:numPr>
          <w:ilvl w:val="0"/>
          <w:numId w:val="62"/>
        </w:numPr>
        <w:ind w:hanging="90"/>
        <w:rPr>
          <w:rFonts w:asciiTheme="majorHAnsi" w:eastAsia="Cambria" w:hAnsiTheme="majorHAnsi"/>
          <w:sz w:val="20"/>
          <w:szCs w:val="20"/>
          <w:lang w:val="es-CO" w:eastAsia="es-ES"/>
        </w:rPr>
      </w:pPr>
      <w:bookmarkStart w:id="9" w:name="_Toc536451314"/>
      <w:r w:rsidRPr="009F4EDF">
        <w:rPr>
          <w:rFonts w:asciiTheme="majorHAnsi" w:eastAsia="Cambria" w:hAnsiTheme="majorHAnsi"/>
          <w:sz w:val="20"/>
          <w:szCs w:val="20"/>
          <w:lang w:val="es-CO" w:eastAsia="es-ES"/>
        </w:rPr>
        <w:t xml:space="preserve">Contexto general del golpe de Estado y violaciones a derechos de personas </w:t>
      </w:r>
      <w:r w:rsidR="001678F8" w:rsidRPr="009F4EDF">
        <w:rPr>
          <w:rFonts w:asciiTheme="majorHAnsi" w:eastAsia="Cambria" w:hAnsiTheme="majorHAnsi"/>
          <w:sz w:val="20"/>
          <w:szCs w:val="20"/>
          <w:lang w:val="es-CO" w:eastAsia="es-ES"/>
        </w:rPr>
        <w:t>LGBT</w:t>
      </w:r>
      <w:bookmarkEnd w:id="9"/>
    </w:p>
    <w:p w14:paraId="6449415D" w14:textId="77777777" w:rsidR="00D222A3" w:rsidRPr="003E616A" w:rsidRDefault="00D222A3" w:rsidP="002D4C97">
      <w:pPr>
        <w:ind w:left="720"/>
        <w:jc w:val="both"/>
        <w:rPr>
          <w:rFonts w:ascii="Cambria" w:eastAsia="Cambria" w:hAnsi="Cambria" w:cs="Cambria"/>
          <w:b/>
          <w:color w:val="000000"/>
          <w:sz w:val="20"/>
          <w:szCs w:val="20"/>
          <w:lang w:val="es-CO" w:eastAsia="es-ES"/>
        </w:rPr>
      </w:pPr>
    </w:p>
    <w:p w14:paraId="69A5E27E" w14:textId="57CA4310" w:rsidR="00D222A3" w:rsidRPr="009419A0"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El 28 de junio de 2009 se produjo en Honduras el derrocamiento del Presidente democráticamente electo y la ruptura del orden constitucional</w:t>
      </w:r>
      <w:r w:rsidRPr="003E616A">
        <w:rPr>
          <w:rFonts w:ascii="Cambria" w:hAnsi="Cambria"/>
          <w:sz w:val="20"/>
          <w:szCs w:val="20"/>
          <w:vertAlign w:val="superscript"/>
          <w:lang w:val="es-VE"/>
        </w:rPr>
        <w:footnoteReference w:id="29"/>
      </w:r>
      <w:r w:rsidRPr="003E616A">
        <w:rPr>
          <w:rFonts w:ascii="Cambria" w:hAnsi="Cambria"/>
          <w:sz w:val="20"/>
          <w:szCs w:val="20"/>
          <w:lang w:val="es-VE"/>
        </w:rPr>
        <w:t>.</w:t>
      </w:r>
      <w:r w:rsidR="00D82B14">
        <w:rPr>
          <w:rFonts w:ascii="Cambria" w:hAnsi="Cambria"/>
          <w:sz w:val="20"/>
          <w:szCs w:val="20"/>
          <w:lang w:val="es-VE"/>
        </w:rPr>
        <w:t xml:space="preserve"> </w:t>
      </w:r>
      <w:r w:rsidRPr="00D82B14">
        <w:rPr>
          <w:rFonts w:ascii="Cambria" w:hAnsi="Cambria"/>
          <w:sz w:val="20"/>
          <w:szCs w:val="20"/>
          <w:lang w:val="es-VE"/>
        </w:rPr>
        <w:t>Al respecto, la CIDH señaló que “las violaciones a los derechos a la vida, integridad personal, asociación, libertad personal, garantías judiciales, libertad de expresión, a los derechos políticos, a los derechos de las mujeres y grupos minoritarios se vieron exacerbadas por la falta de una institucionalidad que permita canalizar las denuncias, investigar los hechos, sancionar a los responsables y reparar</w:t>
      </w:r>
      <w:r w:rsidR="00423F22">
        <w:rPr>
          <w:rFonts w:ascii="Cambria" w:hAnsi="Cambria"/>
          <w:sz w:val="20"/>
          <w:szCs w:val="20"/>
          <w:lang w:val="es-VE"/>
        </w:rPr>
        <w:t xml:space="preserve"> a las vícti</w:t>
      </w:r>
      <w:r w:rsidR="00A657C8">
        <w:rPr>
          <w:rFonts w:ascii="Cambria" w:hAnsi="Cambria"/>
          <w:sz w:val="20"/>
          <w:szCs w:val="20"/>
          <w:lang w:val="es-VE"/>
        </w:rPr>
        <w:t>m</w:t>
      </w:r>
      <w:r w:rsidR="00423F22">
        <w:rPr>
          <w:rFonts w:ascii="Cambria" w:hAnsi="Cambria"/>
          <w:sz w:val="20"/>
          <w:szCs w:val="20"/>
          <w:lang w:val="es-VE"/>
        </w:rPr>
        <w:t>as</w:t>
      </w:r>
      <w:r w:rsidRPr="00D82B14">
        <w:rPr>
          <w:rFonts w:ascii="Cambria" w:hAnsi="Cambria"/>
          <w:sz w:val="20"/>
          <w:szCs w:val="20"/>
          <w:lang w:val="es-VE"/>
        </w:rPr>
        <w:t>”</w:t>
      </w:r>
      <w:r w:rsidRPr="003E616A">
        <w:rPr>
          <w:rFonts w:ascii="Cambria" w:hAnsi="Cambria"/>
          <w:sz w:val="20"/>
          <w:szCs w:val="20"/>
          <w:vertAlign w:val="superscript"/>
          <w:lang w:val="es-VE"/>
        </w:rPr>
        <w:footnoteReference w:id="30"/>
      </w:r>
      <w:r w:rsidRPr="00D82B14">
        <w:rPr>
          <w:rFonts w:ascii="Cambria" w:hAnsi="Cambria"/>
          <w:sz w:val="20"/>
          <w:szCs w:val="20"/>
          <w:lang w:val="es-VE"/>
        </w:rPr>
        <w:t>.</w:t>
      </w:r>
      <w:r w:rsidR="009419A0">
        <w:rPr>
          <w:rFonts w:ascii="Cambria" w:hAnsi="Cambria"/>
          <w:sz w:val="20"/>
          <w:szCs w:val="20"/>
          <w:lang w:val="es-VE"/>
        </w:rPr>
        <w:t xml:space="preserve"> </w:t>
      </w:r>
      <w:r w:rsidR="00ED3AAC" w:rsidRPr="009419A0">
        <w:rPr>
          <w:rFonts w:ascii="Cambria" w:hAnsi="Cambria"/>
          <w:sz w:val="20"/>
          <w:szCs w:val="20"/>
          <w:lang w:val="es-VE"/>
        </w:rPr>
        <w:t>L</w:t>
      </w:r>
      <w:r w:rsidRPr="009419A0">
        <w:rPr>
          <w:rFonts w:ascii="Cambria" w:hAnsi="Cambria"/>
          <w:sz w:val="20"/>
          <w:szCs w:val="20"/>
          <w:lang w:val="es-VE"/>
        </w:rPr>
        <w:t>a ruptura del orden constitucional originada por el golpe de Estado “estaba acompañada de una fuerte presencia militar en distintos ámbitos de la vida civil, la suspensión de garantías mediante la implementación de un toque de queda y la irregularidad en la eficacia de los recursos judiciales para salvaguardar los derechos esenciales de las personas”</w:t>
      </w:r>
      <w:r w:rsidRPr="00085327">
        <w:rPr>
          <w:rFonts w:ascii="Cambria" w:hAnsi="Cambria"/>
          <w:sz w:val="20"/>
          <w:szCs w:val="20"/>
          <w:vertAlign w:val="superscript"/>
          <w:lang w:val="es-VE"/>
        </w:rPr>
        <w:footnoteReference w:id="31"/>
      </w:r>
      <w:r w:rsidRPr="009419A0">
        <w:rPr>
          <w:rFonts w:ascii="Cambria" w:hAnsi="Cambria"/>
          <w:sz w:val="20"/>
          <w:szCs w:val="20"/>
          <w:lang w:val="es-VE"/>
        </w:rPr>
        <w:t xml:space="preserve">. </w:t>
      </w:r>
      <w:r w:rsidR="00662CE8" w:rsidRPr="009419A0">
        <w:rPr>
          <w:rFonts w:ascii="Cambria" w:hAnsi="Cambria"/>
          <w:sz w:val="20"/>
          <w:szCs w:val="20"/>
          <w:lang w:val="es-VE"/>
        </w:rPr>
        <w:t>L</w:t>
      </w:r>
      <w:r w:rsidRPr="009419A0">
        <w:rPr>
          <w:rFonts w:ascii="Cambria" w:hAnsi="Cambria"/>
          <w:sz w:val="20"/>
          <w:szCs w:val="20"/>
          <w:lang w:val="es-VE"/>
        </w:rPr>
        <w:t>a</w:t>
      </w:r>
      <w:r w:rsidR="00662CE8" w:rsidRPr="009419A0">
        <w:rPr>
          <w:rFonts w:ascii="Cambria" w:hAnsi="Cambria"/>
          <w:sz w:val="20"/>
          <w:szCs w:val="20"/>
          <w:lang w:val="es-VE"/>
        </w:rPr>
        <w:t xml:space="preserve"> CIDH </w:t>
      </w:r>
      <w:r w:rsidRPr="009419A0">
        <w:rPr>
          <w:rFonts w:ascii="Cambria" w:hAnsi="Cambria"/>
          <w:sz w:val="20"/>
          <w:szCs w:val="20"/>
          <w:lang w:val="es-VE"/>
        </w:rPr>
        <w:t>concluyó que la subsistencia del toque de queda, la militarización, la primacía del poder militar sobre el civil y la deficiencia de los mecanismos judiciales pusieron a toda la población en una situación de indefensión, que generó un ambiente propicio para la comisión de violaciones de derechos humanos</w:t>
      </w:r>
      <w:r w:rsidRPr="00085327">
        <w:rPr>
          <w:rFonts w:ascii="Cambria" w:hAnsi="Cambria"/>
          <w:sz w:val="20"/>
          <w:szCs w:val="20"/>
          <w:vertAlign w:val="superscript"/>
          <w:lang w:val="es-VE"/>
        </w:rPr>
        <w:footnoteReference w:id="32"/>
      </w:r>
      <w:r w:rsidRPr="009419A0">
        <w:rPr>
          <w:rFonts w:ascii="Cambria" w:hAnsi="Cambria"/>
          <w:sz w:val="20"/>
          <w:szCs w:val="20"/>
          <w:lang w:val="es-VE"/>
        </w:rPr>
        <w:t xml:space="preserve">. </w:t>
      </w:r>
    </w:p>
    <w:p w14:paraId="1BEEDEE8"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48876E8E" w14:textId="0F854426" w:rsidR="00541494"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3E616A">
        <w:rPr>
          <w:rFonts w:ascii="Cambria" w:hAnsi="Cambria"/>
          <w:sz w:val="20"/>
          <w:szCs w:val="20"/>
          <w:lang w:val="es-VE"/>
        </w:rPr>
        <w:t xml:space="preserve">Desde el </w:t>
      </w:r>
      <w:r w:rsidR="00817E0C">
        <w:rPr>
          <w:rFonts w:ascii="Cambria" w:hAnsi="Cambria"/>
          <w:sz w:val="20"/>
          <w:szCs w:val="20"/>
          <w:lang w:val="es-VE"/>
        </w:rPr>
        <w:t>g</w:t>
      </w:r>
      <w:r w:rsidRPr="003E616A">
        <w:rPr>
          <w:rFonts w:ascii="Cambria" w:hAnsi="Cambria"/>
          <w:sz w:val="20"/>
          <w:szCs w:val="20"/>
          <w:lang w:val="es-VE"/>
        </w:rPr>
        <w:t>olpe de Estado en Honduras, la C</w:t>
      </w:r>
      <w:r w:rsidR="000E7186">
        <w:rPr>
          <w:rFonts w:ascii="Cambria" w:hAnsi="Cambria"/>
          <w:sz w:val="20"/>
          <w:szCs w:val="20"/>
          <w:lang w:val="es-VE"/>
        </w:rPr>
        <w:t>IDH</w:t>
      </w:r>
      <w:r w:rsidRPr="003E616A">
        <w:rPr>
          <w:rFonts w:ascii="Cambria" w:hAnsi="Cambria"/>
          <w:sz w:val="20"/>
          <w:szCs w:val="20"/>
          <w:vertAlign w:val="superscript"/>
          <w:lang w:val="es-VE"/>
        </w:rPr>
        <w:footnoteReference w:id="33"/>
      </w:r>
      <w:r w:rsidRPr="003E616A">
        <w:rPr>
          <w:rFonts w:ascii="Cambria" w:hAnsi="Cambria"/>
          <w:sz w:val="20"/>
          <w:szCs w:val="20"/>
          <w:lang w:val="es-VE"/>
        </w:rPr>
        <w:t xml:space="preserve"> y el Relator Especial de la</w:t>
      </w:r>
      <w:r w:rsidR="000E7186">
        <w:rPr>
          <w:rFonts w:ascii="Cambria" w:hAnsi="Cambria"/>
          <w:sz w:val="20"/>
          <w:szCs w:val="20"/>
          <w:lang w:val="es-VE"/>
        </w:rPr>
        <w:t>s NU</w:t>
      </w:r>
      <w:r w:rsidRPr="003E616A">
        <w:rPr>
          <w:rFonts w:ascii="Cambria" w:hAnsi="Cambria"/>
          <w:sz w:val="20"/>
          <w:szCs w:val="20"/>
          <w:lang w:val="es-VE"/>
        </w:rPr>
        <w:t xml:space="preserve"> sobre la situación de las y los defensores de derechos humanos</w:t>
      </w:r>
      <w:r w:rsidRPr="003E616A">
        <w:rPr>
          <w:rFonts w:ascii="Cambria" w:hAnsi="Cambria"/>
          <w:sz w:val="20"/>
          <w:szCs w:val="20"/>
          <w:vertAlign w:val="superscript"/>
          <w:lang w:val="es-VE"/>
        </w:rPr>
        <w:footnoteReference w:id="34"/>
      </w:r>
      <w:r w:rsidRPr="003E616A">
        <w:rPr>
          <w:rFonts w:ascii="Cambria" w:hAnsi="Cambria"/>
          <w:sz w:val="20"/>
          <w:szCs w:val="20"/>
          <w:lang w:val="es-VE"/>
        </w:rPr>
        <w:t xml:space="preserve"> han señalado que las personas LGBT se encuentran entre los grupos que enfrentan formas más graves de violencia</w:t>
      </w:r>
      <w:r w:rsidRPr="003E616A">
        <w:rPr>
          <w:rFonts w:ascii="Cambria" w:hAnsi="Cambria"/>
          <w:sz w:val="20"/>
          <w:szCs w:val="20"/>
          <w:vertAlign w:val="superscript"/>
          <w:lang w:val="es-VE"/>
        </w:rPr>
        <w:footnoteReference w:id="35"/>
      </w:r>
      <w:r w:rsidRPr="003E616A">
        <w:rPr>
          <w:rFonts w:ascii="Cambria" w:hAnsi="Cambria"/>
          <w:sz w:val="20"/>
          <w:szCs w:val="20"/>
          <w:lang w:val="es-VE"/>
        </w:rPr>
        <w:t xml:space="preserve">. </w:t>
      </w:r>
      <w:r w:rsidR="000E7186">
        <w:rPr>
          <w:rFonts w:ascii="Cambria" w:hAnsi="Cambria"/>
          <w:sz w:val="20"/>
          <w:szCs w:val="20"/>
          <w:lang w:val="es-VE"/>
        </w:rPr>
        <w:t>E</w:t>
      </w:r>
      <w:r w:rsidRPr="00085327">
        <w:rPr>
          <w:rFonts w:ascii="Cambria" w:hAnsi="Cambria"/>
          <w:sz w:val="20"/>
          <w:szCs w:val="20"/>
          <w:lang w:val="es-VE"/>
        </w:rPr>
        <w:t xml:space="preserve">l Relator señaló que la persistencia de tales actos podría indicar un </w:t>
      </w:r>
      <w:r w:rsidRPr="00085327">
        <w:rPr>
          <w:rFonts w:ascii="Cambria" w:hAnsi="Cambria"/>
          <w:sz w:val="20"/>
          <w:szCs w:val="20"/>
          <w:lang w:val="es-VE"/>
        </w:rPr>
        <w:lastRenderedPageBreak/>
        <w:t>patrón de crímenes de odio, perpetrados principalmente por la policía y guardias de seguridad privada</w:t>
      </w:r>
      <w:r w:rsidRPr="00085327">
        <w:rPr>
          <w:rFonts w:ascii="Cambria" w:hAnsi="Cambria"/>
          <w:sz w:val="20"/>
          <w:szCs w:val="20"/>
          <w:vertAlign w:val="superscript"/>
          <w:lang w:val="es-VE"/>
        </w:rPr>
        <w:footnoteReference w:id="36"/>
      </w:r>
      <w:r w:rsidRPr="00085327">
        <w:rPr>
          <w:rFonts w:ascii="Cambria" w:hAnsi="Cambria"/>
          <w:sz w:val="20"/>
          <w:szCs w:val="20"/>
          <w:lang w:val="es-VE"/>
        </w:rPr>
        <w:t xml:space="preserve">. </w:t>
      </w:r>
      <w:r w:rsidRPr="005B2E77">
        <w:rPr>
          <w:rFonts w:ascii="Cambria" w:hAnsi="Cambria"/>
          <w:sz w:val="20"/>
          <w:szCs w:val="20"/>
          <w:lang w:val="es-VE"/>
        </w:rPr>
        <w:t xml:space="preserve">En este sentido, CEJIL realizó un estudio en el que analizó el recrudecimiento de las muertes </w:t>
      </w:r>
      <w:r w:rsidR="005B2E77">
        <w:rPr>
          <w:rFonts w:ascii="Cambria" w:hAnsi="Cambria"/>
          <w:sz w:val="20"/>
          <w:szCs w:val="20"/>
          <w:lang w:val="es-VE"/>
        </w:rPr>
        <w:t>concluyendo</w:t>
      </w:r>
      <w:r w:rsidR="004B00F9">
        <w:rPr>
          <w:rFonts w:ascii="Cambria" w:hAnsi="Cambria"/>
          <w:sz w:val="20"/>
          <w:szCs w:val="20"/>
          <w:lang w:val="es-VE"/>
        </w:rPr>
        <w:t xml:space="preserve"> que el golpe de Estado </w:t>
      </w:r>
      <w:r w:rsidRPr="004B00F9">
        <w:rPr>
          <w:rFonts w:ascii="Cambria" w:hAnsi="Cambria"/>
          <w:sz w:val="20"/>
          <w:szCs w:val="20"/>
          <w:lang w:val="es-CO"/>
        </w:rPr>
        <w:t>generó un clima de violencia e inseguridad general</w:t>
      </w:r>
      <w:r w:rsidR="00A25D5D">
        <w:rPr>
          <w:rFonts w:ascii="Cambria" w:hAnsi="Cambria"/>
          <w:sz w:val="20"/>
          <w:szCs w:val="20"/>
          <w:lang w:val="es-CO"/>
        </w:rPr>
        <w:t xml:space="preserve"> y</w:t>
      </w:r>
      <w:r w:rsidRPr="004B00F9">
        <w:rPr>
          <w:rFonts w:ascii="Cambria" w:hAnsi="Cambria"/>
          <w:sz w:val="20"/>
          <w:szCs w:val="20"/>
          <w:lang w:val="es-CO"/>
        </w:rPr>
        <w:t xml:space="preserve"> representó un punto de inflexión en el recrudecimiento de los crímenes contra la vida de miembros de la población </w:t>
      </w:r>
      <w:r w:rsidR="001678F8">
        <w:rPr>
          <w:rFonts w:ascii="Cambria" w:hAnsi="Cambria"/>
          <w:sz w:val="20"/>
          <w:szCs w:val="20"/>
          <w:lang w:val="es-CO"/>
        </w:rPr>
        <w:t>LGBT</w:t>
      </w:r>
      <w:r w:rsidRPr="004B00F9">
        <w:rPr>
          <w:rFonts w:ascii="Cambria" w:hAnsi="Cambria"/>
          <w:sz w:val="20"/>
          <w:szCs w:val="20"/>
          <w:lang w:val="es-CO"/>
        </w:rPr>
        <w:t xml:space="preserve">. </w:t>
      </w:r>
      <w:r w:rsidR="004C01FA">
        <w:rPr>
          <w:rFonts w:ascii="Cambria" w:hAnsi="Cambria"/>
          <w:sz w:val="20"/>
          <w:szCs w:val="20"/>
          <w:lang w:val="es-CO"/>
        </w:rPr>
        <w:t>En cuanto a las cifras, señaló que p</w:t>
      </w:r>
      <w:r w:rsidRPr="004C01FA">
        <w:rPr>
          <w:rFonts w:ascii="Cambria" w:hAnsi="Cambria"/>
          <w:sz w:val="20"/>
          <w:szCs w:val="20"/>
          <w:lang w:val="es-CO"/>
        </w:rPr>
        <w:t xml:space="preserve">ara </w:t>
      </w:r>
      <w:r w:rsidR="004C01FA">
        <w:rPr>
          <w:rFonts w:ascii="Cambria" w:hAnsi="Cambria"/>
          <w:sz w:val="20"/>
          <w:szCs w:val="20"/>
          <w:lang w:val="es-CO"/>
        </w:rPr>
        <w:t>“</w:t>
      </w:r>
      <w:r w:rsidRPr="004C01FA">
        <w:rPr>
          <w:rFonts w:ascii="Cambria" w:hAnsi="Cambria"/>
          <w:sz w:val="20"/>
          <w:szCs w:val="20"/>
          <w:lang w:val="es-CO"/>
        </w:rPr>
        <w:t>finales de 2009, las cifras documentadas de este tipo de hechos duplicaron las de 2008, triplicaron las del 2007, y fueron exponencialmente superiores a las de años previos como el 2005 o 2006</w:t>
      </w:r>
      <w:r w:rsidR="004C01FA">
        <w:rPr>
          <w:rFonts w:ascii="Cambria" w:hAnsi="Cambria"/>
          <w:sz w:val="20"/>
          <w:szCs w:val="20"/>
          <w:lang w:val="es-CO"/>
        </w:rPr>
        <w:t xml:space="preserve"> (…) </w:t>
      </w:r>
      <w:r w:rsidRPr="004C01FA">
        <w:rPr>
          <w:rFonts w:ascii="Cambria" w:hAnsi="Cambria"/>
          <w:sz w:val="20"/>
          <w:szCs w:val="20"/>
          <w:lang w:val="es-CO"/>
        </w:rPr>
        <w:t xml:space="preserve">los crímenes contra la vida de personas </w:t>
      </w:r>
      <w:r w:rsidR="001678F8">
        <w:rPr>
          <w:rFonts w:ascii="Cambria" w:hAnsi="Cambria"/>
          <w:sz w:val="20"/>
          <w:szCs w:val="20"/>
          <w:lang w:val="es-CO"/>
        </w:rPr>
        <w:t>LGBT</w:t>
      </w:r>
      <w:r w:rsidRPr="004C01FA">
        <w:rPr>
          <w:rFonts w:ascii="Cambria" w:hAnsi="Cambria"/>
          <w:sz w:val="20"/>
          <w:szCs w:val="20"/>
          <w:lang w:val="es-CO"/>
        </w:rPr>
        <w:t xml:space="preserve"> entre los años 2009 y 2010 prácticamente alcanzaron en número el total documentado entre 2003 y 2008</w:t>
      </w:r>
      <w:r w:rsidR="004C01FA">
        <w:rPr>
          <w:rFonts w:ascii="Cambria" w:hAnsi="Cambria"/>
          <w:sz w:val="20"/>
          <w:szCs w:val="20"/>
          <w:lang w:val="es-CO"/>
        </w:rPr>
        <w:t>”</w:t>
      </w:r>
      <w:r w:rsidRPr="004C01FA">
        <w:rPr>
          <w:rFonts w:ascii="Cambria" w:hAnsi="Cambria"/>
          <w:sz w:val="20"/>
          <w:szCs w:val="20"/>
          <w:lang w:val="es-CO"/>
        </w:rPr>
        <w:t>.</w:t>
      </w:r>
      <w:r w:rsidR="00541494">
        <w:rPr>
          <w:rFonts w:ascii="Cambria" w:hAnsi="Cambria"/>
          <w:sz w:val="20"/>
          <w:szCs w:val="20"/>
          <w:lang w:val="es-CO"/>
        </w:rPr>
        <w:t xml:space="preserve"> Agregó:</w:t>
      </w:r>
    </w:p>
    <w:p w14:paraId="0A3C0805" w14:textId="77777777" w:rsidR="00541494" w:rsidRDefault="00541494"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O"/>
        </w:rPr>
      </w:pPr>
    </w:p>
    <w:p w14:paraId="6159FEFF" w14:textId="2B920439" w:rsidR="00D222A3" w:rsidRPr="006C35D0" w:rsidRDefault="00541494" w:rsidP="006C35D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567" w:right="709"/>
        <w:jc w:val="both"/>
        <w:rPr>
          <w:rFonts w:ascii="Cambria" w:hAnsi="Cambria"/>
          <w:sz w:val="20"/>
          <w:szCs w:val="20"/>
          <w:lang w:val="es-CO"/>
        </w:rPr>
      </w:pPr>
      <w:r>
        <w:rPr>
          <w:rFonts w:ascii="Cambria" w:hAnsi="Cambria"/>
          <w:sz w:val="20"/>
          <w:szCs w:val="20"/>
          <w:lang w:val="es-CO"/>
        </w:rPr>
        <w:t xml:space="preserve">(…) </w:t>
      </w:r>
      <w:r w:rsidR="00D222A3" w:rsidRPr="00541494">
        <w:rPr>
          <w:rFonts w:ascii="Cambria" w:hAnsi="Cambria"/>
          <w:sz w:val="20"/>
          <w:szCs w:val="20"/>
          <w:lang w:val="es-CO"/>
        </w:rPr>
        <w:t xml:space="preserve">durante el gobierno de facto de 7 meses de Roberto Micheletti, la incidencia de crímenes contra la vida de miembros de la población </w:t>
      </w:r>
      <w:r w:rsidR="001678F8">
        <w:rPr>
          <w:rFonts w:ascii="Cambria" w:hAnsi="Cambria"/>
          <w:sz w:val="20"/>
          <w:szCs w:val="20"/>
          <w:lang w:val="es-CO"/>
        </w:rPr>
        <w:t>LGBT</w:t>
      </w:r>
      <w:r w:rsidR="00D222A3" w:rsidRPr="00541494">
        <w:rPr>
          <w:rFonts w:ascii="Cambria" w:hAnsi="Cambria"/>
          <w:sz w:val="20"/>
          <w:szCs w:val="20"/>
          <w:lang w:val="es-CO"/>
        </w:rPr>
        <w:t xml:space="preserve"> por semestre se multiplicó en 5 (con 23 muertes en el semestre, es decir, más de 3 crímenes de este tipo al mes). Cabe destacar que durante los múltiples toques de queda realizados en los meses que sucedieron el golpe, las fuerzas de seguridad del Estado ejercieron un fuerte control y resguardo de las calles, y fue precisamente durante estos episodios que resultaron asesinadas las personas </w:t>
      </w:r>
      <w:r w:rsidR="001678F8">
        <w:rPr>
          <w:rFonts w:ascii="Cambria" w:hAnsi="Cambria"/>
          <w:sz w:val="20"/>
          <w:szCs w:val="20"/>
          <w:lang w:val="es-CO"/>
        </w:rPr>
        <w:t>LGBT</w:t>
      </w:r>
      <w:r w:rsidR="00D222A3" w:rsidRPr="00541494">
        <w:rPr>
          <w:rFonts w:ascii="Cambria" w:hAnsi="Cambria"/>
          <w:sz w:val="20"/>
          <w:szCs w:val="20"/>
          <w:lang w:val="es-CO"/>
        </w:rPr>
        <w:t xml:space="preserve"> (particularmente las </w:t>
      </w:r>
      <w:proofErr w:type="spellStart"/>
      <w:r w:rsidR="00D222A3" w:rsidRPr="00541494">
        <w:rPr>
          <w:rFonts w:ascii="Cambria" w:hAnsi="Cambria"/>
          <w:sz w:val="20"/>
          <w:szCs w:val="20"/>
          <w:lang w:val="es-CO"/>
        </w:rPr>
        <w:t>trans</w:t>
      </w:r>
      <w:proofErr w:type="spellEnd"/>
      <w:r w:rsidR="00D222A3" w:rsidRPr="00541494">
        <w:rPr>
          <w:rFonts w:ascii="Cambria" w:hAnsi="Cambria"/>
          <w:sz w:val="20"/>
          <w:szCs w:val="20"/>
          <w:lang w:val="es-CO"/>
        </w:rPr>
        <w:t>/travesti que ejercen el trabajo sexual) quienes además fueron encontradas en lugares o calles públicas. Dada esta situación, algunos activistas consideran que existe una fuerte probabilidad de que muchos de los asesinatos cometidos durante este contexto pudieron ser atribuidos a las fuerzas de seguridad del Estado</w:t>
      </w:r>
      <w:r w:rsidR="00D222A3" w:rsidRPr="00085327">
        <w:rPr>
          <w:rFonts w:ascii="Cambria" w:hAnsi="Cambria"/>
          <w:sz w:val="20"/>
          <w:szCs w:val="20"/>
          <w:vertAlign w:val="superscript"/>
          <w:lang w:val="es-CO"/>
        </w:rPr>
        <w:footnoteReference w:id="37"/>
      </w:r>
      <w:r w:rsidR="00D222A3" w:rsidRPr="00541494">
        <w:rPr>
          <w:rFonts w:ascii="Cambria" w:hAnsi="Cambria"/>
          <w:sz w:val="20"/>
          <w:szCs w:val="20"/>
          <w:lang w:val="es-CO"/>
        </w:rPr>
        <w:t xml:space="preserve">. </w:t>
      </w:r>
    </w:p>
    <w:p w14:paraId="549863E3" w14:textId="17170715" w:rsidR="00D222A3" w:rsidRPr="006C35D0" w:rsidRDefault="00D222A3" w:rsidP="00094AFC">
      <w:pPr>
        <w:pStyle w:val="Heading2"/>
        <w:numPr>
          <w:ilvl w:val="0"/>
          <w:numId w:val="61"/>
        </w:numPr>
        <w:ind w:hanging="90"/>
        <w:rPr>
          <w:rFonts w:asciiTheme="majorHAnsi" w:hAnsiTheme="majorHAnsi"/>
          <w:i w:val="0"/>
          <w:sz w:val="20"/>
          <w:szCs w:val="20"/>
          <w:lang w:val="es-CO"/>
        </w:rPr>
      </w:pPr>
      <w:bookmarkStart w:id="10" w:name="_Toc536451315"/>
      <w:r w:rsidRPr="006C35D0">
        <w:rPr>
          <w:rFonts w:asciiTheme="majorHAnsi" w:hAnsiTheme="majorHAnsi"/>
          <w:i w:val="0"/>
          <w:sz w:val="20"/>
          <w:szCs w:val="20"/>
          <w:lang w:val="es-CO"/>
        </w:rPr>
        <w:t>SOBRE</w:t>
      </w:r>
      <w:r w:rsidR="00F64535" w:rsidRPr="006C35D0">
        <w:rPr>
          <w:rFonts w:asciiTheme="majorHAnsi" w:hAnsiTheme="majorHAnsi"/>
          <w:i w:val="0"/>
          <w:sz w:val="20"/>
          <w:szCs w:val="20"/>
          <w:lang w:val="es-CO"/>
        </w:rPr>
        <w:t xml:space="preserve"> VICKY HERNANDEZ Y SU NUCLEO FAMILIAR</w:t>
      </w:r>
      <w:bookmarkEnd w:id="10"/>
    </w:p>
    <w:p w14:paraId="753CE0D7" w14:textId="77777777" w:rsidR="00D222A3" w:rsidRPr="003E616A" w:rsidRDefault="00D222A3" w:rsidP="002D4C97">
      <w:pPr>
        <w:jc w:val="both"/>
        <w:rPr>
          <w:rFonts w:ascii="Cambria" w:eastAsia="Cambria" w:hAnsi="Cambria" w:cs="Cambria"/>
          <w:b/>
          <w:sz w:val="20"/>
          <w:szCs w:val="20"/>
          <w:lang w:val="es-CO" w:eastAsia="es-ES"/>
        </w:rPr>
      </w:pPr>
    </w:p>
    <w:p w14:paraId="2E435CC7" w14:textId="79D9B1EA" w:rsidR="00D222A3" w:rsidRPr="006C35D0"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Vicky Hernández nació el 21 de septiembre del 1983 en San Pedro Sula en Honduras, y fue registrada al nacer co</w:t>
      </w:r>
      <w:r w:rsidR="002B7240">
        <w:rPr>
          <w:rFonts w:ascii="Cambria" w:hAnsi="Cambria"/>
          <w:sz w:val="20"/>
          <w:szCs w:val="20"/>
          <w:lang w:val="es-VE"/>
        </w:rPr>
        <w:t xml:space="preserve">mo </w:t>
      </w:r>
      <w:r w:rsidRPr="003E616A">
        <w:rPr>
          <w:rFonts w:ascii="Cambria" w:hAnsi="Cambria"/>
          <w:sz w:val="20"/>
          <w:szCs w:val="20"/>
          <w:lang w:val="es-VE"/>
        </w:rPr>
        <w:t>Jonhy Emilson Hernández</w:t>
      </w:r>
      <w:r w:rsidRPr="003E616A">
        <w:rPr>
          <w:rFonts w:ascii="Cambria" w:hAnsi="Cambria"/>
          <w:sz w:val="20"/>
          <w:szCs w:val="20"/>
          <w:vertAlign w:val="superscript"/>
          <w:lang w:val="es-VE"/>
        </w:rPr>
        <w:footnoteReference w:id="38"/>
      </w:r>
      <w:r w:rsidRPr="003E616A">
        <w:rPr>
          <w:rFonts w:ascii="Cambria" w:hAnsi="Cambria"/>
          <w:sz w:val="20"/>
          <w:szCs w:val="20"/>
          <w:lang w:val="es-VE"/>
        </w:rPr>
        <w:t xml:space="preserve">. </w:t>
      </w:r>
      <w:r w:rsidR="002B7240">
        <w:rPr>
          <w:rFonts w:ascii="Cambria" w:hAnsi="Cambria"/>
          <w:sz w:val="20"/>
          <w:szCs w:val="20"/>
          <w:lang w:val="es-VE"/>
        </w:rPr>
        <w:t>E</w:t>
      </w:r>
      <w:r w:rsidRPr="003E616A">
        <w:rPr>
          <w:rFonts w:ascii="Cambria" w:hAnsi="Cambria"/>
          <w:sz w:val="20"/>
          <w:szCs w:val="20"/>
          <w:lang w:val="es-VE"/>
        </w:rPr>
        <w:t>studió hasta el sexto año de educación primaria antes de verse obligada a dejar sus estudios para empezar a trabajar y apoyar económicamente a su madre y contribuir con los gastos educativos de su sobrina</w:t>
      </w:r>
      <w:r w:rsidRPr="003E616A">
        <w:rPr>
          <w:rFonts w:ascii="Cambria" w:hAnsi="Cambria"/>
          <w:sz w:val="20"/>
          <w:szCs w:val="20"/>
          <w:vertAlign w:val="superscript"/>
          <w:lang w:val="es-VE"/>
        </w:rPr>
        <w:footnoteReference w:id="39"/>
      </w:r>
      <w:r w:rsidRPr="003E616A">
        <w:rPr>
          <w:rFonts w:ascii="Cambria" w:hAnsi="Cambria"/>
          <w:sz w:val="20"/>
          <w:szCs w:val="20"/>
          <w:lang w:val="es-VE"/>
        </w:rPr>
        <w:t xml:space="preserve">. </w:t>
      </w:r>
      <w:r w:rsidR="00C20E15">
        <w:rPr>
          <w:rFonts w:ascii="Cambria" w:hAnsi="Cambria"/>
          <w:sz w:val="20"/>
          <w:szCs w:val="20"/>
          <w:lang w:val="es-VE"/>
        </w:rPr>
        <w:t xml:space="preserve">La parte peticionaria señaló que </w:t>
      </w:r>
      <w:r w:rsidRPr="003E616A">
        <w:rPr>
          <w:rFonts w:ascii="Cambria" w:hAnsi="Cambria"/>
          <w:sz w:val="20"/>
          <w:szCs w:val="20"/>
          <w:lang w:val="es-VE"/>
        </w:rPr>
        <w:t>Vicky era trabajadora sexual y reconocida activista dentro del colectivo Unidad Color Rosa, Colectivo TTT, organización que defiende los derechos humanos de las personas</w:t>
      </w:r>
      <w:r w:rsidR="001368EB">
        <w:rPr>
          <w:rFonts w:ascii="Cambria" w:hAnsi="Cambria"/>
          <w:sz w:val="20"/>
          <w:szCs w:val="20"/>
          <w:lang w:val="es-VE"/>
        </w:rPr>
        <w:t xml:space="preserve"> </w:t>
      </w:r>
      <w:proofErr w:type="spellStart"/>
      <w:r w:rsidR="001368EB">
        <w:rPr>
          <w:rFonts w:ascii="Cambria" w:hAnsi="Cambria"/>
          <w:sz w:val="20"/>
          <w:szCs w:val="20"/>
          <w:lang w:val="es-VE"/>
        </w:rPr>
        <w:t>trans</w:t>
      </w:r>
      <w:proofErr w:type="spellEnd"/>
      <w:r w:rsidR="001368EB">
        <w:rPr>
          <w:rFonts w:ascii="Cambria" w:hAnsi="Cambria"/>
          <w:sz w:val="20"/>
          <w:szCs w:val="20"/>
          <w:lang w:val="es-VE"/>
        </w:rPr>
        <w:t xml:space="preserve"> </w:t>
      </w:r>
      <w:r w:rsidRPr="003E616A">
        <w:rPr>
          <w:rFonts w:ascii="Cambria" w:hAnsi="Cambria"/>
          <w:sz w:val="20"/>
          <w:szCs w:val="20"/>
          <w:lang w:val="es-VE"/>
        </w:rPr>
        <w:t>en Honduras</w:t>
      </w:r>
      <w:r w:rsidRPr="003E616A">
        <w:rPr>
          <w:rFonts w:ascii="Cambria" w:hAnsi="Cambria"/>
          <w:sz w:val="20"/>
          <w:szCs w:val="20"/>
          <w:vertAlign w:val="superscript"/>
          <w:lang w:val="es-VE"/>
        </w:rPr>
        <w:footnoteReference w:id="40"/>
      </w:r>
      <w:r w:rsidRPr="003E616A">
        <w:rPr>
          <w:rFonts w:ascii="Cambria" w:hAnsi="Cambria"/>
          <w:sz w:val="20"/>
          <w:szCs w:val="20"/>
          <w:lang w:val="es-VE"/>
        </w:rPr>
        <w:t xml:space="preserve">. </w:t>
      </w:r>
      <w:r w:rsidR="00B32C96">
        <w:rPr>
          <w:rFonts w:ascii="Cambria" w:hAnsi="Cambria"/>
          <w:sz w:val="20"/>
          <w:szCs w:val="20"/>
          <w:lang w:val="es-VE"/>
        </w:rPr>
        <w:t>I</w:t>
      </w:r>
      <w:r w:rsidRPr="003E616A">
        <w:rPr>
          <w:rFonts w:ascii="Cambria" w:hAnsi="Cambria"/>
          <w:sz w:val="20"/>
          <w:szCs w:val="20"/>
          <w:lang w:val="es-VE"/>
        </w:rPr>
        <w:t>ndicó que al momento de los hechos, Vicky tenía 26 años y vivía con su madre Rosa Argelia Hernández Martínez, su prima Tatiana Rápalo Hernández</w:t>
      </w:r>
      <w:r w:rsidR="006363E2">
        <w:rPr>
          <w:rStyle w:val="FootnoteReference"/>
          <w:rFonts w:ascii="Cambria" w:hAnsi="Cambria"/>
          <w:sz w:val="20"/>
          <w:szCs w:val="20"/>
          <w:lang w:val="es-VE"/>
        </w:rPr>
        <w:footnoteReference w:id="41"/>
      </w:r>
      <w:r w:rsidRPr="003E616A">
        <w:rPr>
          <w:rFonts w:ascii="Cambria" w:hAnsi="Cambria"/>
          <w:sz w:val="20"/>
          <w:szCs w:val="20"/>
          <w:lang w:val="es-VE"/>
        </w:rPr>
        <w:t xml:space="preserve"> y su sobrina</w:t>
      </w:r>
      <w:r w:rsidR="006E1677">
        <w:rPr>
          <w:rFonts w:ascii="Cambria" w:hAnsi="Cambria"/>
          <w:sz w:val="20"/>
          <w:szCs w:val="20"/>
          <w:lang w:val="es-VE"/>
        </w:rPr>
        <w:t xml:space="preserve"> de entonces tres años,</w:t>
      </w:r>
      <w:r w:rsidRPr="003E616A">
        <w:rPr>
          <w:rFonts w:ascii="Cambria" w:hAnsi="Cambria"/>
          <w:sz w:val="20"/>
          <w:szCs w:val="20"/>
          <w:lang w:val="es-VE"/>
        </w:rPr>
        <w:t xml:space="preserve"> Argelia Johana Reyes Ríos en San Pedro Sula</w:t>
      </w:r>
      <w:r w:rsidRPr="003E616A">
        <w:rPr>
          <w:rFonts w:ascii="Cambria" w:hAnsi="Cambria"/>
          <w:sz w:val="20"/>
          <w:szCs w:val="20"/>
          <w:vertAlign w:val="superscript"/>
          <w:lang w:val="es-VE"/>
        </w:rPr>
        <w:footnoteReference w:id="42"/>
      </w:r>
      <w:r w:rsidRPr="003E616A">
        <w:rPr>
          <w:rFonts w:ascii="Cambria" w:hAnsi="Cambria"/>
          <w:sz w:val="20"/>
          <w:szCs w:val="20"/>
          <w:lang w:val="es-VE"/>
        </w:rPr>
        <w:t xml:space="preserve">. </w:t>
      </w:r>
      <w:r w:rsidR="006C7A75" w:rsidRPr="006C7A75">
        <w:rPr>
          <w:rFonts w:ascii="Cambria" w:hAnsi="Cambria"/>
          <w:sz w:val="20"/>
          <w:szCs w:val="20"/>
          <w:lang w:val="es-VE"/>
        </w:rPr>
        <w:t>La parte peticionaria afirmó que Vicky tenía buena relación con sus demás hermanos y hermanas y una relación muy cercana con sus parientes en específico con una sobrina de nombre Andrea Ríos</w:t>
      </w:r>
      <w:r w:rsidR="006C7A75" w:rsidRPr="003E616A">
        <w:rPr>
          <w:rFonts w:ascii="Cambria" w:hAnsi="Cambria"/>
          <w:sz w:val="20"/>
          <w:szCs w:val="20"/>
          <w:vertAlign w:val="superscript"/>
          <w:lang w:val="es-VE"/>
        </w:rPr>
        <w:footnoteReference w:id="43"/>
      </w:r>
      <w:r w:rsidR="006C7A75" w:rsidRPr="006C7A75">
        <w:rPr>
          <w:rFonts w:ascii="Cambria" w:hAnsi="Cambria"/>
          <w:sz w:val="20"/>
          <w:szCs w:val="20"/>
          <w:lang w:val="es-VE"/>
        </w:rPr>
        <w:t>.</w:t>
      </w:r>
      <w:r w:rsidR="006C7A75">
        <w:rPr>
          <w:rFonts w:ascii="Cambria" w:hAnsi="Cambria"/>
          <w:sz w:val="20"/>
          <w:szCs w:val="20"/>
          <w:lang w:val="es-VE"/>
        </w:rPr>
        <w:t xml:space="preserve"> </w:t>
      </w:r>
      <w:r w:rsidRPr="003E616A">
        <w:rPr>
          <w:rFonts w:ascii="Cambria" w:hAnsi="Cambria"/>
          <w:sz w:val="20"/>
          <w:szCs w:val="20"/>
          <w:lang w:val="es-VE"/>
        </w:rPr>
        <w:t>Según informe socio económico</w:t>
      </w:r>
      <w:r w:rsidR="00202384">
        <w:rPr>
          <w:rFonts w:ascii="Cambria" w:hAnsi="Cambria"/>
          <w:sz w:val="20"/>
          <w:szCs w:val="20"/>
          <w:lang w:val="es-VE"/>
        </w:rPr>
        <w:t xml:space="preserve">, </w:t>
      </w:r>
      <w:r w:rsidRPr="003E616A">
        <w:rPr>
          <w:rFonts w:ascii="Cambria" w:hAnsi="Cambria"/>
          <w:sz w:val="20"/>
          <w:szCs w:val="20"/>
          <w:lang w:val="es-VE"/>
        </w:rPr>
        <w:t xml:space="preserve">Vicky </w:t>
      </w:r>
      <w:r w:rsidR="007B7E6F">
        <w:rPr>
          <w:rFonts w:ascii="Cambria" w:hAnsi="Cambria"/>
          <w:sz w:val="20"/>
          <w:szCs w:val="20"/>
          <w:lang w:val="es-VE"/>
        </w:rPr>
        <w:t xml:space="preserve">vivía con </w:t>
      </w:r>
      <w:r w:rsidRPr="003E616A">
        <w:rPr>
          <w:rFonts w:ascii="Cambria" w:hAnsi="Cambria"/>
          <w:sz w:val="20"/>
          <w:szCs w:val="20"/>
          <w:lang w:val="es-VE"/>
        </w:rPr>
        <w:t xml:space="preserve">VIH. </w:t>
      </w:r>
      <w:r w:rsidR="006C7A75">
        <w:rPr>
          <w:rFonts w:ascii="Cambria" w:hAnsi="Cambria"/>
          <w:sz w:val="20"/>
          <w:szCs w:val="20"/>
          <w:lang w:val="es-VE"/>
        </w:rPr>
        <w:t xml:space="preserve">En el mismo documento, </w:t>
      </w:r>
      <w:r w:rsidR="006C7A75" w:rsidRPr="006C7A75">
        <w:rPr>
          <w:rFonts w:ascii="Cambria" w:hAnsi="Cambria"/>
          <w:sz w:val="20"/>
          <w:szCs w:val="20"/>
          <w:lang w:val="es-VE"/>
        </w:rPr>
        <w:t>consta que la señora Rosa Argelia refirió que dos meses antes de su asesinato, su hija fue víctima de una agresión por parte de un guardia de seguridad que le dio un machetazo en la cabeza. Indicó que Vicky acudió inmediatamente a la posta policial</w:t>
      </w:r>
      <w:r w:rsidR="00202384">
        <w:rPr>
          <w:rFonts w:ascii="Cambria" w:hAnsi="Cambria"/>
          <w:sz w:val="20"/>
          <w:szCs w:val="20"/>
          <w:lang w:val="es-VE"/>
        </w:rPr>
        <w:t xml:space="preserve"> y que </w:t>
      </w:r>
      <w:r w:rsidR="006C7A75" w:rsidRPr="006C7A75">
        <w:rPr>
          <w:rFonts w:ascii="Cambria" w:hAnsi="Cambria"/>
          <w:sz w:val="20"/>
          <w:szCs w:val="20"/>
          <w:lang w:val="es-VE"/>
        </w:rPr>
        <w:t>los agentes le dijeron “por nosotros te podes morir”, y que posteriormente fue llevada al hospital por un amigo</w:t>
      </w:r>
      <w:r w:rsidR="006C7A75" w:rsidRPr="00085327">
        <w:rPr>
          <w:rStyle w:val="FootnoteReference"/>
          <w:rFonts w:ascii="Cambria" w:hAnsi="Cambria"/>
          <w:sz w:val="20"/>
          <w:szCs w:val="20"/>
          <w:lang w:val="es-VE"/>
        </w:rPr>
        <w:footnoteReference w:id="44"/>
      </w:r>
      <w:r w:rsidR="006C7A75">
        <w:rPr>
          <w:rFonts w:ascii="Cambria" w:hAnsi="Cambria"/>
          <w:sz w:val="20"/>
          <w:szCs w:val="20"/>
          <w:lang w:val="es-VE"/>
        </w:rPr>
        <w:t xml:space="preserve">. </w:t>
      </w:r>
    </w:p>
    <w:p w14:paraId="694AFC7B" w14:textId="77777777" w:rsidR="00D222A3" w:rsidRPr="006C35D0" w:rsidRDefault="00D222A3" w:rsidP="00094AFC">
      <w:pPr>
        <w:pStyle w:val="Heading2"/>
        <w:numPr>
          <w:ilvl w:val="0"/>
          <w:numId w:val="61"/>
        </w:numPr>
        <w:ind w:hanging="90"/>
        <w:rPr>
          <w:rFonts w:asciiTheme="majorHAnsi" w:hAnsiTheme="majorHAnsi"/>
          <w:i w:val="0"/>
          <w:sz w:val="20"/>
          <w:szCs w:val="20"/>
          <w:lang w:val="es-CO"/>
        </w:rPr>
      </w:pPr>
      <w:bookmarkStart w:id="11" w:name="_Toc536451316"/>
      <w:r w:rsidRPr="006C35D0">
        <w:rPr>
          <w:rFonts w:asciiTheme="majorHAnsi" w:hAnsiTheme="majorHAnsi"/>
          <w:i w:val="0"/>
          <w:sz w:val="20"/>
          <w:szCs w:val="20"/>
          <w:lang w:val="es-CO"/>
        </w:rPr>
        <w:t>HECHOS DEL CASO</w:t>
      </w:r>
      <w:bookmarkEnd w:id="11"/>
    </w:p>
    <w:p w14:paraId="7CC4F1BE" w14:textId="77777777" w:rsidR="00D222A3" w:rsidRPr="003E616A" w:rsidRDefault="00D222A3" w:rsidP="002D4C97">
      <w:pPr>
        <w:jc w:val="both"/>
        <w:rPr>
          <w:rFonts w:ascii="Cambria" w:hAnsi="Cambria"/>
          <w:sz w:val="20"/>
          <w:szCs w:val="20"/>
          <w:lang w:val="es-CO"/>
        </w:rPr>
      </w:pPr>
    </w:p>
    <w:p w14:paraId="2A7AF7EB" w14:textId="26264F73" w:rsidR="00D222A3" w:rsidRPr="003E616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noche del 28 de junio del 2009 el presidente de facto, Roberto Micheletti declaró un toque de queda en el contexto del golpe de Estado, durante una rueda de prensa ofrecida en las instalaciones del Congreso Nacional. La m</w:t>
      </w:r>
      <w:r w:rsidR="009150AB">
        <w:rPr>
          <w:rFonts w:ascii="Cambria" w:hAnsi="Cambria"/>
          <w:sz w:val="20"/>
          <w:szCs w:val="20"/>
          <w:lang w:val="es-VE"/>
        </w:rPr>
        <w:t xml:space="preserve">edida </w:t>
      </w:r>
      <w:r w:rsidR="003E0945">
        <w:rPr>
          <w:rFonts w:ascii="Cambria" w:hAnsi="Cambria"/>
          <w:sz w:val="20"/>
          <w:szCs w:val="20"/>
          <w:lang w:val="es-VE"/>
        </w:rPr>
        <w:t>regía entre las 9 pm y las 6 am</w:t>
      </w:r>
      <w:r w:rsidRPr="003E616A">
        <w:rPr>
          <w:rFonts w:ascii="Cambria" w:hAnsi="Cambria"/>
          <w:sz w:val="20"/>
          <w:szCs w:val="20"/>
          <w:lang w:val="es-VE"/>
        </w:rPr>
        <w:t xml:space="preserve"> por un plazo de 48 horas. La CIDH ha indicado que no se tiene información sobre el instrumento jurídico que fundamentó el toque de queda</w:t>
      </w:r>
      <w:r w:rsidRPr="003E616A">
        <w:rPr>
          <w:rFonts w:ascii="Cambria" w:hAnsi="Cambria"/>
          <w:sz w:val="20"/>
          <w:szCs w:val="20"/>
          <w:vertAlign w:val="superscript"/>
          <w:lang w:val="es-VE"/>
        </w:rPr>
        <w:footnoteReference w:id="45"/>
      </w:r>
      <w:r w:rsidRPr="003E616A">
        <w:rPr>
          <w:rFonts w:ascii="Cambria" w:hAnsi="Cambria"/>
          <w:sz w:val="20"/>
          <w:szCs w:val="20"/>
          <w:lang w:val="es-VE"/>
        </w:rPr>
        <w:t>.</w:t>
      </w:r>
    </w:p>
    <w:p w14:paraId="4A85A97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30850A93" w14:textId="436BDE42" w:rsidR="00D222A3" w:rsidRPr="00A12BD9" w:rsidRDefault="002108DC"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L</w:t>
      </w:r>
      <w:r w:rsidR="00D222A3" w:rsidRPr="003E616A">
        <w:rPr>
          <w:rFonts w:ascii="Cambria" w:hAnsi="Cambria"/>
          <w:sz w:val="20"/>
          <w:szCs w:val="20"/>
          <w:lang w:val="es-VE"/>
        </w:rPr>
        <w:t>a madre de Vicky</w:t>
      </w:r>
      <w:r>
        <w:rPr>
          <w:rFonts w:ascii="Cambria" w:hAnsi="Cambria"/>
          <w:sz w:val="20"/>
          <w:szCs w:val="20"/>
          <w:lang w:val="es-VE"/>
        </w:rPr>
        <w:t xml:space="preserve"> declaró que </w:t>
      </w:r>
      <w:r w:rsidR="00D222A3" w:rsidRPr="003E616A">
        <w:rPr>
          <w:rFonts w:ascii="Cambria" w:hAnsi="Cambria"/>
          <w:sz w:val="20"/>
          <w:szCs w:val="20"/>
          <w:lang w:val="es-VE"/>
        </w:rPr>
        <w:t>el 27 de junio de 2009 en horas de la mañan</w:t>
      </w:r>
      <w:r w:rsidR="003E1504">
        <w:rPr>
          <w:rFonts w:ascii="Cambria" w:hAnsi="Cambria"/>
          <w:sz w:val="20"/>
          <w:szCs w:val="20"/>
          <w:lang w:val="es-VE"/>
        </w:rPr>
        <w:t xml:space="preserve">a Vicky le pidió 100 lémpiras, luego </w:t>
      </w:r>
      <w:r w:rsidR="00D222A3" w:rsidRPr="003E616A">
        <w:rPr>
          <w:rFonts w:ascii="Cambria" w:hAnsi="Cambria"/>
          <w:sz w:val="20"/>
          <w:szCs w:val="20"/>
          <w:lang w:val="es-VE"/>
        </w:rPr>
        <w:t>se fue y no la volvió a ver</w:t>
      </w:r>
      <w:r w:rsidR="00D222A3" w:rsidRPr="003E616A">
        <w:rPr>
          <w:rFonts w:ascii="Cambria" w:hAnsi="Cambria"/>
          <w:sz w:val="20"/>
          <w:szCs w:val="20"/>
          <w:vertAlign w:val="superscript"/>
          <w:lang w:val="es-VE"/>
        </w:rPr>
        <w:footnoteReference w:id="46"/>
      </w:r>
      <w:r w:rsidR="00D222A3" w:rsidRPr="003E616A">
        <w:rPr>
          <w:rFonts w:ascii="Cambria" w:hAnsi="Cambria"/>
          <w:sz w:val="20"/>
          <w:szCs w:val="20"/>
          <w:lang w:val="es-VE"/>
        </w:rPr>
        <w:t>. La parte peticionaria señaló que de acuerdo con información dada por la señora Rosa Argelia a Cattrachas, en la tarde del 28 de junio del 2009 Vicky fu</w:t>
      </w:r>
      <w:r w:rsidR="003E1504">
        <w:rPr>
          <w:rFonts w:ascii="Cambria" w:hAnsi="Cambria"/>
          <w:sz w:val="20"/>
          <w:szCs w:val="20"/>
          <w:lang w:val="es-VE"/>
        </w:rPr>
        <w:t xml:space="preserve">e a la casa de una amiga </w:t>
      </w:r>
      <w:r w:rsidR="00D222A3" w:rsidRPr="003E616A">
        <w:rPr>
          <w:rFonts w:ascii="Cambria" w:hAnsi="Cambria"/>
          <w:sz w:val="20"/>
          <w:szCs w:val="20"/>
          <w:lang w:val="es-VE"/>
        </w:rPr>
        <w:t>trans y trabajadora sexual, lla</w:t>
      </w:r>
      <w:r w:rsidR="003E1504">
        <w:rPr>
          <w:rFonts w:ascii="Cambria" w:hAnsi="Cambria"/>
          <w:sz w:val="20"/>
          <w:szCs w:val="20"/>
          <w:lang w:val="es-VE"/>
        </w:rPr>
        <w:t xml:space="preserve">mada Marimar, y </w:t>
      </w:r>
      <w:r w:rsidR="00D222A3" w:rsidRPr="003E616A">
        <w:rPr>
          <w:rFonts w:ascii="Cambria" w:hAnsi="Cambria"/>
          <w:sz w:val="20"/>
          <w:szCs w:val="20"/>
          <w:lang w:val="es-VE"/>
        </w:rPr>
        <w:t>que después abandonó el lugar y no se supo nada más de ella</w:t>
      </w:r>
      <w:r w:rsidR="00D222A3" w:rsidRPr="003E616A">
        <w:rPr>
          <w:rFonts w:ascii="Cambria" w:hAnsi="Cambria"/>
          <w:sz w:val="20"/>
          <w:szCs w:val="20"/>
          <w:vertAlign w:val="superscript"/>
          <w:lang w:val="es-VE"/>
        </w:rPr>
        <w:footnoteReference w:id="47"/>
      </w:r>
      <w:r w:rsidR="00D222A3" w:rsidRPr="003E616A">
        <w:rPr>
          <w:rFonts w:ascii="Cambria" w:hAnsi="Cambria"/>
          <w:sz w:val="20"/>
          <w:szCs w:val="20"/>
          <w:lang w:val="es-VE"/>
        </w:rPr>
        <w:t>.</w:t>
      </w:r>
      <w:r w:rsidR="00A12BD9">
        <w:rPr>
          <w:rFonts w:ascii="Cambria" w:hAnsi="Cambria"/>
          <w:sz w:val="20"/>
          <w:szCs w:val="20"/>
          <w:lang w:val="es-VE"/>
        </w:rPr>
        <w:t xml:space="preserve"> </w:t>
      </w:r>
      <w:r w:rsidR="00D222A3" w:rsidRPr="00A12BD9">
        <w:rPr>
          <w:rFonts w:ascii="Cambria" w:hAnsi="Cambria"/>
          <w:sz w:val="20"/>
          <w:szCs w:val="20"/>
          <w:lang w:val="es-VE"/>
        </w:rPr>
        <w:t xml:space="preserve">El 29 de junio de 2009 a las 7:30 </w:t>
      </w:r>
      <w:r w:rsidR="00322BF6" w:rsidRPr="00A12BD9">
        <w:rPr>
          <w:rFonts w:ascii="Cambria" w:hAnsi="Cambria"/>
          <w:sz w:val="20"/>
          <w:szCs w:val="20"/>
          <w:lang w:val="es-VE"/>
        </w:rPr>
        <w:t>am</w:t>
      </w:r>
      <w:r w:rsidR="00D222A3" w:rsidRPr="00A12BD9">
        <w:rPr>
          <w:rFonts w:ascii="Cambria" w:hAnsi="Cambria"/>
          <w:sz w:val="20"/>
          <w:szCs w:val="20"/>
          <w:lang w:val="es-VE"/>
        </w:rPr>
        <w:t>, después del toque de queda, se notificó a los agentes de investigación de la Dirección Nacional de Investigación Criminal (en adelante “</w:t>
      </w:r>
      <w:r w:rsidR="00A12BD9">
        <w:rPr>
          <w:rFonts w:ascii="Cambria" w:hAnsi="Cambria"/>
          <w:sz w:val="20"/>
          <w:szCs w:val="20"/>
          <w:lang w:val="es-VE"/>
        </w:rPr>
        <w:t xml:space="preserve">la </w:t>
      </w:r>
      <w:r w:rsidR="00D222A3" w:rsidRPr="00A12BD9">
        <w:rPr>
          <w:rFonts w:ascii="Cambria" w:hAnsi="Cambria"/>
          <w:sz w:val="20"/>
          <w:szCs w:val="20"/>
          <w:lang w:val="es-VE"/>
        </w:rPr>
        <w:t>DNIC”) el hallazgo del cuerpo sin vida de Vicky Hernández en vía pública, en la 3 calle 7 y 8, Avenida Colonia Ruiz en San Pedro Sula. A las 9:15 de la mañana, un equipo de la DNIC llegó a la escena del crimen para realizar el levantamiento del cuerpo</w:t>
      </w:r>
      <w:r w:rsidR="00D222A3" w:rsidRPr="0086321C">
        <w:rPr>
          <w:rFonts w:ascii="Cambria" w:hAnsi="Cambria"/>
          <w:sz w:val="20"/>
          <w:szCs w:val="20"/>
          <w:vertAlign w:val="superscript"/>
          <w:lang w:val="es-VE"/>
        </w:rPr>
        <w:footnoteReference w:id="48"/>
      </w:r>
      <w:r w:rsidR="00D222A3" w:rsidRPr="00A12BD9">
        <w:rPr>
          <w:rFonts w:ascii="Cambria" w:hAnsi="Cambria"/>
          <w:sz w:val="20"/>
          <w:szCs w:val="20"/>
          <w:lang w:val="es-VE"/>
        </w:rPr>
        <w:t>. En el acta de levantamiento del cadáver se reportó que en el lugar de los hechos “se encontraba una gran cantidad de curiosos, y periodistas”</w:t>
      </w:r>
      <w:r w:rsidR="00D222A3" w:rsidRPr="0086321C">
        <w:rPr>
          <w:rFonts w:ascii="Cambria" w:hAnsi="Cambria"/>
          <w:sz w:val="20"/>
          <w:szCs w:val="20"/>
          <w:vertAlign w:val="superscript"/>
          <w:lang w:val="es-VE"/>
        </w:rPr>
        <w:footnoteReference w:id="49"/>
      </w:r>
      <w:r w:rsidR="00D222A3" w:rsidRPr="00A12BD9">
        <w:rPr>
          <w:rFonts w:ascii="Cambria" w:hAnsi="Cambria"/>
          <w:sz w:val="20"/>
          <w:szCs w:val="20"/>
          <w:lang w:val="es-VE"/>
        </w:rPr>
        <w:t>.</w:t>
      </w:r>
    </w:p>
    <w:p w14:paraId="7AF3659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46D3DB0" w14:textId="2B904F35" w:rsidR="00171FCD" w:rsidRPr="00784196"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El médico forense en la escena del crimen notó en el cuerpo de Vicky una herida irregular en su ojo izquierdo, una herida irregular en la región frontal izquierda y equimosis en su región palpebral. El forense concluyó que Vicky fue</w:t>
      </w:r>
      <w:r w:rsidR="0063313E">
        <w:rPr>
          <w:rFonts w:ascii="Cambria" w:hAnsi="Cambria"/>
          <w:sz w:val="20"/>
          <w:szCs w:val="20"/>
          <w:lang w:val="es-VE"/>
        </w:rPr>
        <w:t xml:space="preserve"> asesinada </w:t>
      </w:r>
      <w:r w:rsidRPr="003E616A">
        <w:rPr>
          <w:rFonts w:ascii="Cambria" w:hAnsi="Cambria"/>
          <w:sz w:val="20"/>
          <w:szCs w:val="20"/>
          <w:lang w:val="es-VE"/>
        </w:rPr>
        <w:t>por arma de fuego, identificando un interval</w:t>
      </w:r>
      <w:r w:rsidR="00EC17FF">
        <w:rPr>
          <w:rFonts w:ascii="Cambria" w:hAnsi="Cambria"/>
          <w:sz w:val="20"/>
          <w:szCs w:val="20"/>
          <w:lang w:val="es-VE"/>
        </w:rPr>
        <w:t>o</w:t>
      </w:r>
      <w:r w:rsidRPr="003E616A">
        <w:rPr>
          <w:rFonts w:ascii="Cambria" w:hAnsi="Cambria"/>
          <w:sz w:val="20"/>
          <w:szCs w:val="20"/>
          <w:lang w:val="es-VE"/>
        </w:rPr>
        <w:t xml:space="preserve"> postmortem de 8 a 10 horas desde el hallazgo del cuerpo de Vicky a las 9:10 de la mañana. </w:t>
      </w:r>
      <w:r w:rsidRPr="001606A3">
        <w:rPr>
          <w:rFonts w:ascii="Cambria" w:hAnsi="Cambria"/>
          <w:sz w:val="20"/>
          <w:szCs w:val="20"/>
          <w:lang w:val="es-VE"/>
        </w:rPr>
        <w:t>Su identidad fue registrada como “</w:t>
      </w:r>
      <w:r w:rsidRPr="0086321C">
        <w:rPr>
          <w:rFonts w:ascii="Cambria" w:hAnsi="Cambria"/>
          <w:sz w:val="20"/>
          <w:szCs w:val="20"/>
          <w:lang w:val="es-VE"/>
        </w:rPr>
        <w:t>desconocido (sexo masculino)”</w:t>
      </w:r>
      <w:r w:rsidRPr="0086321C">
        <w:rPr>
          <w:rFonts w:ascii="Cambria" w:hAnsi="Cambria"/>
          <w:sz w:val="20"/>
          <w:szCs w:val="20"/>
          <w:vertAlign w:val="superscript"/>
          <w:lang w:val="es-VE"/>
        </w:rPr>
        <w:footnoteReference w:id="50"/>
      </w:r>
      <w:r w:rsidRPr="0086321C">
        <w:rPr>
          <w:rFonts w:ascii="Cambria" w:hAnsi="Cambria"/>
          <w:sz w:val="20"/>
          <w:szCs w:val="20"/>
          <w:lang w:val="es-VE"/>
        </w:rPr>
        <w:t>.</w:t>
      </w:r>
      <w:r w:rsidR="00784196">
        <w:rPr>
          <w:rFonts w:ascii="Cambria" w:hAnsi="Cambria"/>
          <w:sz w:val="20"/>
          <w:szCs w:val="20"/>
          <w:lang w:val="es-VE"/>
        </w:rPr>
        <w:t xml:space="preserve"> </w:t>
      </w:r>
      <w:r w:rsidRPr="00784196">
        <w:rPr>
          <w:rFonts w:ascii="Cambria" w:hAnsi="Cambria"/>
          <w:sz w:val="20"/>
          <w:szCs w:val="20"/>
          <w:lang w:val="es-VE"/>
        </w:rPr>
        <w:t>Asimismo, se reportó en el acta el hallazgo de una ojiva de bala y de un preservativo aparentemente usado al lado del cuerpo</w:t>
      </w:r>
      <w:r w:rsidRPr="0086321C">
        <w:rPr>
          <w:rFonts w:ascii="Cambria" w:hAnsi="Cambria"/>
          <w:sz w:val="20"/>
          <w:szCs w:val="20"/>
          <w:vertAlign w:val="superscript"/>
          <w:lang w:val="es-VE"/>
        </w:rPr>
        <w:footnoteReference w:id="51"/>
      </w:r>
      <w:r w:rsidRPr="00784196">
        <w:rPr>
          <w:rFonts w:ascii="Cambria" w:hAnsi="Cambria"/>
          <w:sz w:val="20"/>
          <w:szCs w:val="20"/>
          <w:lang w:val="es-VE"/>
        </w:rPr>
        <w:t xml:space="preserve">. </w:t>
      </w:r>
      <w:r w:rsidR="00784196" w:rsidRPr="00784196">
        <w:rPr>
          <w:rFonts w:ascii="Cambria" w:hAnsi="Cambria"/>
          <w:sz w:val="20"/>
          <w:szCs w:val="20"/>
          <w:lang w:val="es-VE"/>
        </w:rPr>
        <w:t>E</w:t>
      </w:r>
      <w:r w:rsidRPr="00784196">
        <w:rPr>
          <w:rFonts w:ascii="Cambria" w:hAnsi="Cambria"/>
          <w:sz w:val="20"/>
          <w:szCs w:val="20"/>
          <w:lang w:val="es-VE"/>
        </w:rPr>
        <w:t xml:space="preserve">n el expediente de la investigación no se indica si se realizó análisis alguno o se encontró en el cuerpo de Vicky algún indicio </w:t>
      </w:r>
      <w:r w:rsidR="00171FCD" w:rsidRPr="00784196">
        <w:rPr>
          <w:rFonts w:ascii="Cambria" w:hAnsi="Cambria"/>
          <w:sz w:val="20"/>
          <w:szCs w:val="20"/>
          <w:lang w:val="es-VE"/>
        </w:rPr>
        <w:t>de violencia sexual.</w:t>
      </w:r>
    </w:p>
    <w:p w14:paraId="77F71FCA" w14:textId="77777777" w:rsidR="00171FCD" w:rsidRPr="0086321C" w:rsidRDefault="00171FCD" w:rsidP="002D4C97">
      <w:pPr>
        <w:pStyle w:val="ListParagraph"/>
        <w:rPr>
          <w:sz w:val="20"/>
          <w:szCs w:val="20"/>
          <w:lang w:val="es-VE"/>
        </w:rPr>
      </w:pPr>
    </w:p>
    <w:p w14:paraId="758AEB41" w14:textId="1B1CF7D1" w:rsidR="00D222A3" w:rsidRPr="003E616A" w:rsidRDefault="009A1A10"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6321C">
        <w:rPr>
          <w:rFonts w:ascii="Cambria" w:hAnsi="Cambria"/>
          <w:sz w:val="20"/>
          <w:szCs w:val="20"/>
          <w:lang w:val="es-VE"/>
        </w:rPr>
        <w:t>Luego de los hechos, organizaciones de derechos humanos denunciaron que las autoridades forenses se negaron a realizar</w:t>
      </w:r>
      <w:r>
        <w:rPr>
          <w:rFonts w:ascii="Cambria" w:hAnsi="Cambria"/>
          <w:sz w:val="20"/>
          <w:szCs w:val="20"/>
          <w:lang w:val="es-VE"/>
        </w:rPr>
        <w:t xml:space="preserve"> el dictamen de autopsia con la excusa de suponer que la víctima</w:t>
      </w:r>
      <w:r w:rsidR="00784196">
        <w:rPr>
          <w:rFonts w:ascii="Cambria" w:hAnsi="Cambria"/>
          <w:sz w:val="20"/>
          <w:szCs w:val="20"/>
          <w:lang w:val="es-VE"/>
        </w:rPr>
        <w:t xml:space="preserve"> vivía con </w:t>
      </w:r>
      <w:r>
        <w:rPr>
          <w:rFonts w:ascii="Cambria" w:hAnsi="Cambria"/>
          <w:sz w:val="20"/>
          <w:szCs w:val="20"/>
          <w:lang w:val="es-VE"/>
        </w:rPr>
        <w:t>VIH</w:t>
      </w:r>
      <w:r>
        <w:rPr>
          <w:rStyle w:val="FootnoteReference"/>
          <w:rFonts w:ascii="Cambria" w:hAnsi="Cambria"/>
          <w:sz w:val="20"/>
          <w:szCs w:val="20"/>
          <w:lang w:val="es-VE"/>
        </w:rPr>
        <w:footnoteReference w:id="52"/>
      </w:r>
      <w:r>
        <w:rPr>
          <w:rFonts w:ascii="Cambria" w:hAnsi="Cambria"/>
          <w:sz w:val="20"/>
          <w:szCs w:val="20"/>
          <w:lang w:val="es-VE"/>
        </w:rPr>
        <w:t>.</w:t>
      </w:r>
      <w:r w:rsidR="00D56050">
        <w:rPr>
          <w:rFonts w:ascii="Cambria" w:hAnsi="Cambria"/>
          <w:sz w:val="20"/>
          <w:szCs w:val="20"/>
          <w:lang w:val="es-VE"/>
        </w:rPr>
        <w:t xml:space="preserve"> </w:t>
      </w:r>
      <w:r w:rsidR="00171FCD" w:rsidRPr="00171FCD">
        <w:rPr>
          <w:rFonts w:ascii="Cambria" w:hAnsi="Cambria"/>
          <w:sz w:val="20"/>
          <w:szCs w:val="20"/>
          <w:lang w:val="es-VE"/>
        </w:rPr>
        <w:t>Según información aportada por el Estado en diciembre de 2015, en el expediente investigativo del caso consta la transcripción del d</w:t>
      </w:r>
      <w:r w:rsidR="00171FCD">
        <w:rPr>
          <w:rFonts w:ascii="Cambria" w:hAnsi="Cambria"/>
          <w:sz w:val="20"/>
          <w:szCs w:val="20"/>
          <w:lang w:val="es-VE"/>
        </w:rPr>
        <w:t>ictamen de autopsia</w:t>
      </w:r>
      <w:r w:rsidR="00171FCD" w:rsidRPr="00171FCD">
        <w:rPr>
          <w:rFonts w:ascii="Cambria" w:hAnsi="Cambria"/>
          <w:sz w:val="20"/>
          <w:szCs w:val="20"/>
          <w:lang w:val="es-VE"/>
        </w:rPr>
        <w:t xml:space="preserve"> realizada por la doctora Itpsa Suyem Rosales, “el cual determina como causa de muerte Laceración Cerebral, describiendo las lesiones encontradas producidas por proyectil de arma de fuego, con el orificio de entrada y de salida”</w:t>
      </w:r>
      <w:r w:rsidR="00171FCD" w:rsidRPr="00171FCD">
        <w:rPr>
          <w:rFonts w:ascii="Cambria" w:hAnsi="Cambria"/>
          <w:sz w:val="20"/>
          <w:szCs w:val="20"/>
          <w:vertAlign w:val="superscript"/>
          <w:lang w:val="es-VE"/>
        </w:rPr>
        <w:footnoteReference w:id="53"/>
      </w:r>
      <w:r w:rsidR="00171FCD" w:rsidRPr="00171FCD">
        <w:rPr>
          <w:rFonts w:ascii="Cambria" w:hAnsi="Cambria"/>
          <w:sz w:val="20"/>
          <w:szCs w:val="20"/>
          <w:lang w:val="es-VE"/>
        </w:rPr>
        <w:t xml:space="preserve">. </w:t>
      </w:r>
      <w:r w:rsidR="00E47899">
        <w:rPr>
          <w:rFonts w:ascii="Cambria" w:hAnsi="Cambria"/>
          <w:sz w:val="20"/>
          <w:szCs w:val="20"/>
          <w:lang w:val="es-VE"/>
        </w:rPr>
        <w:t>E</w:t>
      </w:r>
      <w:r w:rsidR="00171FCD">
        <w:rPr>
          <w:rFonts w:ascii="Cambria" w:hAnsi="Cambria"/>
          <w:sz w:val="20"/>
          <w:szCs w:val="20"/>
          <w:lang w:val="es-VE"/>
        </w:rPr>
        <w:t>n el expediente allegado por la parte peticionaria no se encuentra el dictamen.</w:t>
      </w:r>
    </w:p>
    <w:p w14:paraId="6D7013F9"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7FBB1EEE" w14:textId="12ACEB26" w:rsidR="00D222A3" w:rsidRPr="0086321C"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Según la declaración rendida por la señora Rosa Argelia, el 29</w:t>
      </w:r>
      <w:r w:rsidR="003B25F1">
        <w:rPr>
          <w:rFonts w:ascii="Cambria" w:hAnsi="Cambria"/>
          <w:sz w:val="20"/>
          <w:szCs w:val="20"/>
          <w:lang w:val="es-VE"/>
        </w:rPr>
        <w:t xml:space="preserve"> de ju</w:t>
      </w:r>
      <w:r w:rsidR="00700F36">
        <w:rPr>
          <w:rFonts w:ascii="Cambria" w:hAnsi="Cambria"/>
          <w:sz w:val="20"/>
          <w:szCs w:val="20"/>
          <w:lang w:val="es-VE"/>
        </w:rPr>
        <w:t>nio en horas de la tarde</w:t>
      </w:r>
      <w:r w:rsidR="003B25F1">
        <w:rPr>
          <w:rFonts w:ascii="Cambria" w:hAnsi="Cambria"/>
          <w:sz w:val="20"/>
          <w:szCs w:val="20"/>
          <w:lang w:val="es-VE"/>
        </w:rPr>
        <w:t xml:space="preserve"> una mujer trans llamada</w:t>
      </w:r>
      <w:r w:rsidRPr="003E616A">
        <w:rPr>
          <w:rFonts w:ascii="Cambria" w:hAnsi="Cambria"/>
          <w:sz w:val="20"/>
          <w:szCs w:val="20"/>
          <w:lang w:val="es-VE"/>
        </w:rPr>
        <w:t xml:space="preserve"> Alicia</w:t>
      </w:r>
      <w:r w:rsidR="003B25F1">
        <w:rPr>
          <w:rFonts w:ascii="Cambria" w:hAnsi="Cambria"/>
          <w:sz w:val="20"/>
          <w:szCs w:val="20"/>
          <w:lang w:val="es-VE"/>
        </w:rPr>
        <w:t>, quien fue asesinada tiempo después,</w:t>
      </w:r>
      <w:r w:rsidRPr="003E616A">
        <w:rPr>
          <w:rFonts w:ascii="Cambria" w:hAnsi="Cambria"/>
          <w:sz w:val="20"/>
          <w:szCs w:val="20"/>
          <w:lang w:val="es-VE"/>
        </w:rPr>
        <w:t xml:space="preserve"> la llamó para informarle que su hija había sido encontrada muerta. Señaló que al recibir la noticia creyó que se trataba de una broma y pidió a uno de sus hijos que investigara lo ocurrido y luego le confirmaron el hallazgo del cuerpo de Vicky</w:t>
      </w:r>
      <w:r w:rsidRPr="003E616A">
        <w:rPr>
          <w:rFonts w:ascii="Cambria" w:hAnsi="Cambria"/>
          <w:sz w:val="20"/>
          <w:szCs w:val="20"/>
          <w:vertAlign w:val="superscript"/>
          <w:lang w:val="es-VE"/>
        </w:rPr>
        <w:footnoteReference w:id="54"/>
      </w:r>
      <w:r w:rsidRPr="003E616A">
        <w:rPr>
          <w:rFonts w:ascii="Cambria" w:hAnsi="Cambria"/>
          <w:sz w:val="20"/>
          <w:szCs w:val="20"/>
          <w:lang w:val="es-VE"/>
        </w:rPr>
        <w:t xml:space="preserve">. Según el informe socio </w:t>
      </w:r>
      <w:r w:rsidRPr="0086321C">
        <w:rPr>
          <w:rFonts w:ascii="Cambria" w:hAnsi="Cambria"/>
          <w:sz w:val="20"/>
          <w:szCs w:val="20"/>
          <w:lang w:val="es-VE"/>
        </w:rPr>
        <w:t>económico, la señora Rosa Argelia se trasladó a la morgue del Ministerio Público en compañía de Fredy, un amigo de Vicky que vivía con ellas en ese momento, para identificar el cuerpo</w:t>
      </w:r>
      <w:r w:rsidRPr="0086321C">
        <w:rPr>
          <w:rFonts w:ascii="Cambria" w:hAnsi="Cambria"/>
          <w:sz w:val="20"/>
          <w:szCs w:val="20"/>
          <w:vertAlign w:val="superscript"/>
          <w:lang w:val="es-VE"/>
        </w:rPr>
        <w:footnoteReference w:id="55"/>
      </w:r>
      <w:r w:rsidRPr="0086321C">
        <w:rPr>
          <w:rFonts w:ascii="Cambria" w:hAnsi="Cambria"/>
          <w:sz w:val="20"/>
          <w:szCs w:val="20"/>
          <w:lang w:val="es-VE"/>
        </w:rPr>
        <w:t xml:space="preserve">. </w:t>
      </w:r>
    </w:p>
    <w:p w14:paraId="489E8AD2" w14:textId="77777777" w:rsidR="00D222A3" w:rsidRPr="0086321C"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05406599" w14:textId="4BBB9A10" w:rsidR="00D222A3" w:rsidRPr="0086321C" w:rsidRDefault="00763D47"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Según reporte de la declaración de l</w:t>
      </w:r>
      <w:r w:rsidR="00D222A3" w:rsidRPr="0086321C">
        <w:rPr>
          <w:rFonts w:ascii="Cambria" w:hAnsi="Cambria"/>
          <w:sz w:val="20"/>
          <w:szCs w:val="20"/>
          <w:lang w:val="es-VE"/>
        </w:rPr>
        <w:t>a señora Rosa Argelia</w:t>
      </w:r>
      <w:r>
        <w:rPr>
          <w:rFonts w:ascii="Cambria" w:hAnsi="Cambria"/>
          <w:sz w:val="20"/>
          <w:szCs w:val="20"/>
          <w:lang w:val="es-VE"/>
        </w:rPr>
        <w:t xml:space="preserve">, ésta </w:t>
      </w:r>
      <w:r w:rsidR="00D222A3" w:rsidRPr="0086321C">
        <w:rPr>
          <w:rFonts w:ascii="Cambria" w:hAnsi="Cambria"/>
          <w:sz w:val="20"/>
          <w:szCs w:val="20"/>
          <w:lang w:val="es-VE"/>
        </w:rPr>
        <w:t>indicó que “una semana antes de que mataran a su hijo este le había contado que otro travesti de quien no recuerda el nombre lo había asaltado y que después lo había amenazado diciéndole que si lo volvía a ver lo iba a matar. Según la señora Hernández, ella no tiene las características físicas ni el nombre o alias del travesti”</w:t>
      </w:r>
      <w:r w:rsidR="00D222A3" w:rsidRPr="0086321C">
        <w:rPr>
          <w:rFonts w:ascii="Cambria" w:hAnsi="Cambria"/>
          <w:sz w:val="20"/>
          <w:szCs w:val="20"/>
          <w:vertAlign w:val="superscript"/>
          <w:lang w:val="es-VE"/>
        </w:rPr>
        <w:footnoteReference w:id="56"/>
      </w:r>
      <w:r w:rsidR="00D222A3" w:rsidRPr="0086321C">
        <w:rPr>
          <w:rFonts w:ascii="Cambria" w:hAnsi="Cambria"/>
          <w:sz w:val="20"/>
          <w:szCs w:val="20"/>
          <w:lang w:val="es-VE"/>
        </w:rPr>
        <w:t xml:space="preserve">. </w:t>
      </w:r>
    </w:p>
    <w:p w14:paraId="128640C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0E8780E9" w14:textId="5790077F" w:rsidR="00D222A3"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lastRenderedPageBreak/>
        <w:t>Vicky fue velada en la sede del colectivo Unidad Color Rosa, Colectivo TTT de San Pedro Sula y enterrada en el cementerio La Puerta</w:t>
      </w:r>
      <w:r w:rsidRPr="003E616A">
        <w:rPr>
          <w:rFonts w:ascii="Cambria" w:hAnsi="Cambria"/>
          <w:sz w:val="20"/>
          <w:szCs w:val="20"/>
          <w:vertAlign w:val="superscript"/>
          <w:lang w:val="es-VE"/>
        </w:rPr>
        <w:footnoteReference w:id="57"/>
      </w:r>
      <w:r w:rsidRPr="003E616A">
        <w:rPr>
          <w:rFonts w:ascii="Cambria" w:hAnsi="Cambria"/>
          <w:sz w:val="20"/>
          <w:szCs w:val="20"/>
          <w:lang w:val="es-VE"/>
        </w:rPr>
        <w:t>. Según consta en el expediente, no se registró la defunción de Vicky en el Registro Civil Nacional sino hasta el 2013</w:t>
      </w:r>
      <w:r w:rsidRPr="003E616A">
        <w:rPr>
          <w:rFonts w:ascii="Cambria" w:hAnsi="Cambria"/>
          <w:sz w:val="20"/>
          <w:szCs w:val="20"/>
          <w:vertAlign w:val="superscript"/>
          <w:lang w:val="es-VE"/>
        </w:rPr>
        <w:footnoteReference w:id="58"/>
      </w:r>
      <w:r w:rsidRPr="003E616A">
        <w:rPr>
          <w:rFonts w:ascii="Cambria" w:hAnsi="Cambria"/>
          <w:sz w:val="20"/>
          <w:szCs w:val="20"/>
          <w:lang w:val="es-VE"/>
        </w:rPr>
        <w:t>.</w:t>
      </w:r>
    </w:p>
    <w:p w14:paraId="00001DE7" w14:textId="77777777" w:rsidR="006C35D0" w:rsidRDefault="006C35D0" w:rsidP="006C35D0">
      <w:pPr>
        <w:pStyle w:val="ListParagraph"/>
        <w:rPr>
          <w:sz w:val="20"/>
          <w:szCs w:val="20"/>
          <w:lang w:val="es-VE"/>
        </w:rPr>
      </w:pPr>
    </w:p>
    <w:p w14:paraId="4B7C70CC" w14:textId="77777777" w:rsidR="006C35D0" w:rsidRPr="006C35D0" w:rsidRDefault="006C35D0" w:rsidP="006C35D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7F692F0D" w14:textId="77777777" w:rsidR="00D222A3" w:rsidRPr="006C35D0" w:rsidRDefault="00D222A3" w:rsidP="00094AFC">
      <w:pPr>
        <w:pStyle w:val="Heading2"/>
        <w:numPr>
          <w:ilvl w:val="0"/>
          <w:numId w:val="61"/>
        </w:numPr>
        <w:ind w:hanging="90"/>
        <w:rPr>
          <w:rFonts w:asciiTheme="majorHAnsi" w:hAnsiTheme="majorHAnsi"/>
          <w:i w:val="0"/>
          <w:sz w:val="20"/>
          <w:szCs w:val="20"/>
          <w:lang w:val="es-CO"/>
        </w:rPr>
      </w:pPr>
      <w:bookmarkStart w:id="12" w:name="_Toc536451317"/>
      <w:r w:rsidRPr="006C35D0">
        <w:rPr>
          <w:rFonts w:asciiTheme="majorHAnsi" w:hAnsiTheme="majorHAnsi"/>
          <w:i w:val="0"/>
          <w:sz w:val="20"/>
          <w:szCs w:val="20"/>
          <w:lang w:val="es-CO"/>
        </w:rPr>
        <w:t>PROCESOS INTERNOS</w:t>
      </w:r>
      <w:bookmarkEnd w:id="12"/>
    </w:p>
    <w:p w14:paraId="013EFFB6" w14:textId="77777777" w:rsidR="00D222A3" w:rsidRPr="003E616A" w:rsidRDefault="00D222A3" w:rsidP="002D4C97">
      <w:pPr>
        <w:jc w:val="both"/>
        <w:rPr>
          <w:rFonts w:ascii="Cambria" w:hAnsi="Cambria"/>
          <w:b/>
          <w:sz w:val="20"/>
          <w:szCs w:val="20"/>
          <w:lang w:val="es-CO"/>
        </w:rPr>
      </w:pPr>
    </w:p>
    <w:p w14:paraId="70121573" w14:textId="1A5CBBAB" w:rsidR="00B9073F" w:rsidRPr="00280B80"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El expediente del Ministerio Público fue registrado como causa en contra de desconocidos por el delito de homicidio en perjuicio de Jhony Emilson Hernández Martínez</w:t>
      </w:r>
      <w:r w:rsidRPr="003E616A">
        <w:rPr>
          <w:rFonts w:ascii="Cambria" w:hAnsi="Cambria"/>
          <w:sz w:val="20"/>
          <w:szCs w:val="20"/>
          <w:vertAlign w:val="superscript"/>
          <w:lang w:val="es-VE"/>
        </w:rPr>
        <w:footnoteReference w:id="59"/>
      </w:r>
      <w:r w:rsidRPr="003E616A">
        <w:rPr>
          <w:rFonts w:ascii="Cambria" w:hAnsi="Cambria"/>
          <w:sz w:val="20"/>
          <w:szCs w:val="20"/>
          <w:lang w:val="es-VE"/>
        </w:rPr>
        <w:t>. El Estado indicó que el caso</w:t>
      </w:r>
      <w:r w:rsidR="00280B80">
        <w:rPr>
          <w:rFonts w:ascii="Cambria" w:hAnsi="Cambria"/>
          <w:sz w:val="20"/>
          <w:szCs w:val="20"/>
          <w:lang w:val="es-VE"/>
        </w:rPr>
        <w:t xml:space="preserve"> está </w:t>
      </w:r>
      <w:r w:rsidRPr="003E616A">
        <w:rPr>
          <w:rFonts w:ascii="Cambria" w:hAnsi="Cambria"/>
          <w:sz w:val="20"/>
          <w:szCs w:val="20"/>
          <w:lang w:val="es-VE"/>
        </w:rPr>
        <w:t>bajo la competencia de la Fiscalía Especial de Delitos contra la Vida y desde 2013 en la Unidad de Muertes de Impacto Social</w:t>
      </w:r>
      <w:r w:rsidRPr="003E616A">
        <w:rPr>
          <w:rFonts w:ascii="Cambria" w:hAnsi="Cambria"/>
          <w:sz w:val="20"/>
          <w:szCs w:val="20"/>
          <w:vertAlign w:val="superscript"/>
          <w:lang w:val="es-VE"/>
        </w:rPr>
        <w:footnoteReference w:id="60"/>
      </w:r>
      <w:r w:rsidRPr="003E616A">
        <w:rPr>
          <w:rFonts w:ascii="Cambria" w:hAnsi="Cambria"/>
          <w:sz w:val="20"/>
          <w:szCs w:val="20"/>
          <w:lang w:val="es-VE"/>
        </w:rPr>
        <w:t>.</w:t>
      </w:r>
      <w:r w:rsidR="00280B80">
        <w:rPr>
          <w:rFonts w:ascii="Cambria" w:hAnsi="Cambria"/>
          <w:sz w:val="20"/>
          <w:szCs w:val="20"/>
          <w:lang w:val="es-VE"/>
        </w:rPr>
        <w:t xml:space="preserve"> </w:t>
      </w:r>
      <w:r w:rsidRPr="00280B80">
        <w:rPr>
          <w:rFonts w:ascii="Cambria" w:hAnsi="Cambria"/>
          <w:sz w:val="20"/>
          <w:szCs w:val="20"/>
          <w:lang w:val="es-VE"/>
        </w:rPr>
        <w:t>El 29 de junio de 2009 se realizó la diligencia preliminar de levantamiento y el acta de levantamiento de cadáver</w:t>
      </w:r>
      <w:r w:rsidRPr="003E616A">
        <w:rPr>
          <w:rFonts w:ascii="Cambria" w:hAnsi="Cambria"/>
          <w:sz w:val="20"/>
          <w:szCs w:val="20"/>
          <w:vertAlign w:val="superscript"/>
          <w:lang w:val="es-VE"/>
        </w:rPr>
        <w:footnoteReference w:id="61"/>
      </w:r>
      <w:r w:rsidRPr="00280B80">
        <w:rPr>
          <w:rFonts w:ascii="Cambria" w:hAnsi="Cambria"/>
          <w:sz w:val="20"/>
          <w:szCs w:val="20"/>
          <w:lang w:val="es-VE"/>
        </w:rPr>
        <w:t>.</w:t>
      </w:r>
      <w:r w:rsidR="00B9073F" w:rsidRPr="00280B80">
        <w:rPr>
          <w:rFonts w:ascii="Cambria" w:hAnsi="Cambria"/>
          <w:sz w:val="20"/>
          <w:szCs w:val="20"/>
          <w:lang w:val="es-VE"/>
        </w:rPr>
        <w:t xml:space="preserve"> </w:t>
      </w:r>
      <w:r w:rsidRPr="00280B80">
        <w:rPr>
          <w:rFonts w:ascii="Cambria" w:hAnsi="Cambria"/>
          <w:sz w:val="20"/>
          <w:szCs w:val="20"/>
          <w:lang w:val="es-VE"/>
        </w:rPr>
        <w:t>El 24 de julio de 2009 la CIDH solicitó información sobre el caso a la Corte Suprema de Justicia de Honduras en el marco del artículo 41 de la Convención Americana</w:t>
      </w:r>
      <w:r w:rsidRPr="003E616A">
        <w:rPr>
          <w:rFonts w:ascii="Cambria" w:hAnsi="Cambria"/>
          <w:sz w:val="20"/>
          <w:szCs w:val="20"/>
          <w:vertAlign w:val="superscript"/>
          <w:lang w:val="es-VE"/>
        </w:rPr>
        <w:footnoteReference w:id="62"/>
      </w:r>
      <w:r w:rsidRPr="00280B80">
        <w:rPr>
          <w:rFonts w:ascii="Cambria" w:hAnsi="Cambria"/>
          <w:sz w:val="20"/>
          <w:szCs w:val="20"/>
          <w:lang w:val="es-VE"/>
        </w:rPr>
        <w:t xml:space="preserve">. Según lo advertido por la CIDH en su informe Honduras: Derechos Humanos y Golpe de Estado, la Corte Suprema respondió lo siguiente: </w:t>
      </w:r>
    </w:p>
    <w:p w14:paraId="00CDCE99" w14:textId="77777777" w:rsidR="00B9073F" w:rsidRDefault="00B9073F" w:rsidP="002D4C97">
      <w:pPr>
        <w:pStyle w:val="ListParagraph"/>
        <w:rPr>
          <w:sz w:val="20"/>
          <w:szCs w:val="20"/>
          <w:lang w:val="es-VE"/>
        </w:rPr>
      </w:pPr>
    </w:p>
    <w:p w14:paraId="727B73C2" w14:textId="50B8293B" w:rsidR="00D222A3" w:rsidRPr="00B9073F"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ascii="Cambria" w:hAnsi="Cambria"/>
          <w:sz w:val="20"/>
          <w:szCs w:val="20"/>
          <w:lang w:val="es-VE"/>
        </w:rPr>
      </w:pPr>
      <w:r w:rsidRPr="00B9073F">
        <w:rPr>
          <w:rFonts w:ascii="Cambria" w:hAnsi="Cambria"/>
          <w:sz w:val="20"/>
          <w:szCs w:val="20"/>
          <w:lang w:val="es-VE"/>
        </w:rPr>
        <w:t>En el caso de la muerte de Johny Emilson Hernández Martínez alias “Vicky Hernández Castillo” miembro de la comunidad LGTTB, con identidad 0501198308333, originario y residente en el Barrio Sunsery de San Pedro Sula, Cortés, de 26 años de edad. Se determina que la causa de la muerte fue por estrangulamiento, actualmente se encuentra en proceso investigativo, hasta el momento se desconoce el móvil del hecho, aunque la hipótesis más probable es por crimen pasional</w:t>
      </w:r>
      <w:r w:rsidRPr="003E616A">
        <w:rPr>
          <w:rFonts w:ascii="Cambria" w:hAnsi="Cambria"/>
          <w:sz w:val="20"/>
          <w:szCs w:val="20"/>
          <w:vertAlign w:val="superscript"/>
          <w:lang w:val="es-VE"/>
        </w:rPr>
        <w:footnoteReference w:id="63"/>
      </w:r>
      <w:r w:rsidRPr="00B9073F">
        <w:rPr>
          <w:rFonts w:ascii="Cambria" w:hAnsi="Cambria"/>
          <w:sz w:val="20"/>
          <w:szCs w:val="20"/>
          <w:lang w:val="es-VE"/>
        </w:rPr>
        <w:t>.</w:t>
      </w:r>
    </w:p>
    <w:p w14:paraId="0514D1D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0AC1F301" w14:textId="4714E486" w:rsidR="00D222A3" w:rsidRPr="009334D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334DA">
        <w:rPr>
          <w:rFonts w:ascii="Cambria" w:hAnsi="Cambria"/>
          <w:sz w:val="20"/>
          <w:szCs w:val="20"/>
          <w:lang w:val="es-VE"/>
        </w:rPr>
        <w:t>El 16 de marzo de 2011 la Unidad de Delitos Contra la Vida de la Fiscalía solicitó a la Directora Regional de Medicina Forense que le comunicara el dictamen de autopsia de al menos otros seis casos de homicidio de mujeres trans, incluyendo el caso de Vicky Hernández</w:t>
      </w:r>
      <w:r w:rsidRPr="009334DA">
        <w:rPr>
          <w:rFonts w:ascii="Cambria" w:hAnsi="Cambria"/>
          <w:sz w:val="20"/>
          <w:szCs w:val="20"/>
          <w:vertAlign w:val="superscript"/>
          <w:lang w:val="es-VE"/>
        </w:rPr>
        <w:footnoteReference w:id="64"/>
      </w:r>
      <w:r w:rsidR="00CA0105" w:rsidRPr="009334DA">
        <w:rPr>
          <w:rFonts w:ascii="Cambria" w:hAnsi="Cambria"/>
          <w:sz w:val="20"/>
          <w:szCs w:val="20"/>
          <w:lang w:val="es-VE"/>
        </w:rPr>
        <w:t>.</w:t>
      </w:r>
      <w:r w:rsidRPr="009334DA">
        <w:rPr>
          <w:rFonts w:ascii="Cambria" w:hAnsi="Cambria"/>
          <w:sz w:val="20"/>
          <w:szCs w:val="20"/>
          <w:lang w:val="es-VE"/>
        </w:rPr>
        <w:t xml:space="preserve"> </w:t>
      </w:r>
      <w:r w:rsidR="0022452C">
        <w:rPr>
          <w:rFonts w:ascii="Cambria" w:hAnsi="Cambria"/>
          <w:sz w:val="20"/>
          <w:szCs w:val="20"/>
          <w:lang w:val="es-VE"/>
        </w:rPr>
        <w:t>E</w:t>
      </w:r>
      <w:r w:rsidR="002F2E3A" w:rsidRPr="009334DA">
        <w:rPr>
          <w:rFonts w:ascii="Cambria" w:hAnsi="Cambria"/>
          <w:sz w:val="20"/>
          <w:szCs w:val="20"/>
          <w:lang w:val="es-VE"/>
        </w:rPr>
        <w:t>n el expediente no consta respuesta a esta solicitud.</w:t>
      </w:r>
    </w:p>
    <w:p w14:paraId="4D942A0E"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481E39DF" w14:textId="77777777" w:rsidR="00D222A3" w:rsidRPr="003E616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334DA">
        <w:rPr>
          <w:rFonts w:ascii="Cambria" w:hAnsi="Cambria"/>
          <w:sz w:val="20"/>
          <w:szCs w:val="20"/>
          <w:lang w:val="es-VE"/>
        </w:rPr>
        <w:t>El 30 de marzo de 2011 el Fiscal de Instrucción de la Unidad de Delitos Contra la Vida solicitó a la DNIC que se realizaran más diligencias investigativas en el caso de Vicky Hernández como</w:t>
      </w:r>
      <w:r w:rsidRPr="003E616A">
        <w:rPr>
          <w:rFonts w:ascii="Cambria" w:hAnsi="Cambria"/>
          <w:sz w:val="20"/>
          <w:szCs w:val="20"/>
          <w:lang w:val="es-VE"/>
        </w:rPr>
        <w:t>:</w:t>
      </w:r>
    </w:p>
    <w:p w14:paraId="4A9EF13C" w14:textId="77777777" w:rsidR="00F122DE" w:rsidRPr="003E616A" w:rsidRDefault="00F122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4E9960BD"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283" w:right="340"/>
        <w:jc w:val="both"/>
        <w:rPr>
          <w:rFonts w:ascii="Cambria" w:hAnsi="Cambria"/>
          <w:sz w:val="20"/>
          <w:szCs w:val="20"/>
          <w:lang w:val="es-VE"/>
        </w:rPr>
      </w:pPr>
      <w:r w:rsidRPr="003E616A">
        <w:rPr>
          <w:rFonts w:ascii="Cambria" w:hAnsi="Cambria"/>
          <w:sz w:val="20"/>
          <w:szCs w:val="20"/>
          <w:lang w:val="es-VE"/>
        </w:rPr>
        <w:t>1. Individualizar a los sospechosos con sus generales de ley. 2. Proceder a remitir los padrones fotográficos de los sospechosos. 3. Solicitar al Dpto. de Patología Forense el Dictamen de Autopsia de la víctima. 4. Solicitar constancia de antecedentes policiales de los sospechosos y la víctima. 5. Proceder a tomar declaración a los testigos del hecho criminal. 6. Proceder a tomar declaración a los ofendidos (parientes de la víctima). 7. Que se proceda a investigar si se levantaron líquido seminal del indicio No. 1 “preservativo supuestamente usado con su envoltorio…” con el propósito que se pueda realizar el respectivo análisis forense. 8. Establecer el móvil de la muerte del occiso. 9. Cualquier otra diligencia necesaria para la constatación del hecho delictivo. Las mismas deben ser enviadas a esta fiscalía, de carácter urgente</w:t>
      </w:r>
      <w:r w:rsidRPr="003E616A">
        <w:rPr>
          <w:rFonts w:ascii="Cambria" w:hAnsi="Cambria"/>
          <w:sz w:val="20"/>
          <w:szCs w:val="20"/>
          <w:vertAlign w:val="superscript"/>
          <w:lang w:val="es-VE"/>
        </w:rPr>
        <w:footnoteReference w:id="65"/>
      </w:r>
      <w:r w:rsidRPr="003E616A">
        <w:rPr>
          <w:rFonts w:ascii="Cambria" w:hAnsi="Cambria"/>
          <w:sz w:val="20"/>
          <w:szCs w:val="20"/>
          <w:lang w:val="es-VE"/>
        </w:rPr>
        <w:t>.</w:t>
      </w:r>
    </w:p>
    <w:p w14:paraId="6D21199C"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VE"/>
        </w:rPr>
      </w:pPr>
    </w:p>
    <w:p w14:paraId="29E0658B" w14:textId="67841875" w:rsidR="00D222A3" w:rsidRPr="0086321C"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6321C">
        <w:rPr>
          <w:rFonts w:ascii="Cambria" w:hAnsi="Cambria"/>
          <w:sz w:val="20"/>
          <w:szCs w:val="20"/>
          <w:lang w:val="es-VE"/>
        </w:rPr>
        <w:t xml:space="preserve">El 3 de mayo de 2011 la DNIC </w:t>
      </w:r>
      <w:r w:rsidR="00A43FA3" w:rsidRPr="0086321C">
        <w:rPr>
          <w:rFonts w:ascii="Cambria" w:hAnsi="Cambria"/>
          <w:sz w:val="20"/>
          <w:szCs w:val="20"/>
          <w:lang w:val="es-VE"/>
        </w:rPr>
        <w:t xml:space="preserve">tomó </w:t>
      </w:r>
      <w:r w:rsidRPr="0086321C">
        <w:rPr>
          <w:rFonts w:ascii="Cambria" w:hAnsi="Cambria"/>
          <w:sz w:val="20"/>
          <w:szCs w:val="20"/>
          <w:lang w:val="es-VE"/>
        </w:rPr>
        <w:t xml:space="preserve">el testimonio de la </w:t>
      </w:r>
      <w:r w:rsidR="008673DC" w:rsidRPr="0086321C">
        <w:rPr>
          <w:rFonts w:ascii="Cambria" w:hAnsi="Cambria"/>
          <w:sz w:val="20"/>
          <w:szCs w:val="20"/>
          <w:lang w:val="es-VE"/>
        </w:rPr>
        <w:t>madre de Vicky Hernández</w:t>
      </w:r>
      <w:r w:rsidRPr="0086321C">
        <w:rPr>
          <w:rFonts w:ascii="Cambria" w:hAnsi="Cambria"/>
          <w:sz w:val="20"/>
          <w:szCs w:val="20"/>
          <w:vertAlign w:val="superscript"/>
          <w:lang w:val="es-VE"/>
        </w:rPr>
        <w:footnoteReference w:id="66"/>
      </w:r>
      <w:r w:rsidRPr="0086321C">
        <w:rPr>
          <w:rFonts w:ascii="Cambria" w:hAnsi="Cambria"/>
          <w:sz w:val="20"/>
          <w:szCs w:val="20"/>
          <w:lang w:val="es-VE"/>
        </w:rPr>
        <w:t>. La Comisión observa que en la diligencia preliminar de levantamiento, bajo la rúbrica “Testigos y Familiares”, se indica además de la dirección de la casa de la señora Rosa Argelia Hernández, los datos de dos amigos de Vicky y</w:t>
      </w:r>
      <w:r w:rsidR="00BA690E" w:rsidRPr="0086321C">
        <w:rPr>
          <w:rFonts w:ascii="Cambria" w:hAnsi="Cambria"/>
          <w:sz w:val="20"/>
          <w:szCs w:val="20"/>
          <w:lang w:val="es-VE"/>
        </w:rPr>
        <w:t xml:space="preserve"> la</w:t>
      </w:r>
      <w:r w:rsidRPr="0086321C">
        <w:rPr>
          <w:rFonts w:ascii="Cambria" w:hAnsi="Cambria"/>
          <w:sz w:val="20"/>
          <w:szCs w:val="20"/>
          <w:lang w:val="es-VE"/>
        </w:rPr>
        <w:t xml:space="preserve"> dirección del colectivo </w:t>
      </w:r>
      <w:r w:rsidRPr="0086321C">
        <w:rPr>
          <w:rFonts w:ascii="Cambria" w:hAnsi="Cambria"/>
          <w:sz w:val="20"/>
          <w:szCs w:val="20"/>
          <w:lang w:val="es-VE"/>
        </w:rPr>
        <w:lastRenderedPageBreak/>
        <w:t>Unidad Color Rosa</w:t>
      </w:r>
      <w:r w:rsidRPr="0086321C">
        <w:rPr>
          <w:rFonts w:ascii="Cambria" w:hAnsi="Cambria"/>
          <w:sz w:val="20"/>
          <w:szCs w:val="20"/>
          <w:vertAlign w:val="superscript"/>
          <w:lang w:val="es-VE"/>
        </w:rPr>
        <w:footnoteReference w:id="67"/>
      </w:r>
      <w:r w:rsidRPr="0086321C">
        <w:rPr>
          <w:rFonts w:ascii="Cambria" w:hAnsi="Cambria"/>
          <w:sz w:val="20"/>
          <w:szCs w:val="20"/>
          <w:lang w:val="es-VE"/>
        </w:rPr>
        <w:t xml:space="preserve">. </w:t>
      </w:r>
      <w:r w:rsidR="00176F2C">
        <w:rPr>
          <w:rFonts w:ascii="Cambria" w:hAnsi="Cambria"/>
          <w:sz w:val="20"/>
          <w:szCs w:val="20"/>
          <w:lang w:val="es-VE"/>
        </w:rPr>
        <w:t xml:space="preserve">Quien se indica como </w:t>
      </w:r>
      <w:r w:rsidRPr="0086321C">
        <w:rPr>
          <w:rFonts w:ascii="Cambria" w:hAnsi="Cambria"/>
          <w:sz w:val="20"/>
          <w:szCs w:val="20"/>
          <w:lang w:val="es-VE"/>
        </w:rPr>
        <w:t xml:space="preserve">Milton Torres, era una mujer trans de nombre Michelle Torres y fue </w:t>
      </w:r>
      <w:r w:rsidR="00BA690E" w:rsidRPr="0086321C">
        <w:rPr>
          <w:rFonts w:ascii="Cambria" w:hAnsi="Cambria"/>
          <w:sz w:val="20"/>
          <w:szCs w:val="20"/>
          <w:lang w:val="es-VE"/>
        </w:rPr>
        <w:t>asesinada</w:t>
      </w:r>
      <w:r w:rsidRPr="0086321C">
        <w:rPr>
          <w:rFonts w:ascii="Cambria" w:hAnsi="Cambria"/>
          <w:sz w:val="20"/>
          <w:szCs w:val="20"/>
          <w:lang w:val="es-VE"/>
        </w:rPr>
        <w:t xml:space="preserve"> por arma de fuego el 30 de agosto de 2009 en San Pedro Sula sin que se le hubiera entrevistado</w:t>
      </w:r>
      <w:r w:rsidRPr="0086321C">
        <w:rPr>
          <w:rFonts w:ascii="Cambria" w:hAnsi="Cambria"/>
          <w:sz w:val="20"/>
          <w:szCs w:val="20"/>
          <w:vertAlign w:val="superscript"/>
          <w:lang w:val="es-VE"/>
        </w:rPr>
        <w:footnoteReference w:id="68"/>
      </w:r>
      <w:r w:rsidRPr="0086321C">
        <w:rPr>
          <w:rFonts w:ascii="Cambria" w:hAnsi="Cambria"/>
          <w:sz w:val="20"/>
          <w:szCs w:val="20"/>
          <w:lang w:val="es-VE"/>
        </w:rPr>
        <w:t xml:space="preserve">. </w:t>
      </w:r>
    </w:p>
    <w:p w14:paraId="20A4405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58442D74" w14:textId="60249ED1" w:rsidR="00D222A3" w:rsidRPr="00D41D24"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1606A3">
        <w:rPr>
          <w:rFonts w:ascii="Cambria" w:hAnsi="Cambria"/>
          <w:sz w:val="20"/>
          <w:szCs w:val="20"/>
          <w:lang w:val="es-VE"/>
        </w:rPr>
        <w:t>En mayo de 2011 se solicitó a la DNIC los antecedentes policiales de Vicky Hernández</w:t>
      </w:r>
      <w:r w:rsidRPr="001606A3">
        <w:rPr>
          <w:rFonts w:ascii="Cambria" w:hAnsi="Cambria"/>
          <w:sz w:val="20"/>
          <w:szCs w:val="20"/>
          <w:vertAlign w:val="superscript"/>
          <w:lang w:val="es-VE"/>
        </w:rPr>
        <w:footnoteReference w:id="69"/>
      </w:r>
      <w:r w:rsidRPr="001606A3">
        <w:rPr>
          <w:rFonts w:ascii="Cambria" w:hAnsi="Cambria"/>
          <w:sz w:val="20"/>
          <w:szCs w:val="20"/>
          <w:lang w:val="es-VE"/>
        </w:rPr>
        <w:t>.</w:t>
      </w:r>
      <w:r w:rsidR="00700F36">
        <w:rPr>
          <w:rFonts w:ascii="Cambria" w:hAnsi="Cambria"/>
          <w:sz w:val="20"/>
          <w:szCs w:val="20"/>
          <w:lang w:val="es-VE"/>
        </w:rPr>
        <w:t xml:space="preserve"> </w:t>
      </w:r>
      <w:r w:rsidRPr="009334DA">
        <w:rPr>
          <w:rFonts w:ascii="Cambria" w:hAnsi="Cambria"/>
          <w:sz w:val="20"/>
          <w:szCs w:val="20"/>
          <w:lang w:val="es-VE"/>
        </w:rPr>
        <w:t>El 8 de marzo de 2013 la Fiscalía de Delitos Contra la Vida solicitó de manera urgente a la DNIC que se enviara el álbum fotográfico y croquis de la escena del caso de Vicky Hernández a la Unidad de Muertes de Diversidad Sexual e Impacto Social</w:t>
      </w:r>
      <w:r w:rsidRPr="009334DA">
        <w:rPr>
          <w:rFonts w:ascii="Cambria" w:hAnsi="Cambria"/>
          <w:sz w:val="20"/>
          <w:szCs w:val="20"/>
          <w:vertAlign w:val="superscript"/>
          <w:lang w:val="es-VE"/>
        </w:rPr>
        <w:footnoteReference w:id="70"/>
      </w:r>
      <w:r w:rsidRPr="009334DA">
        <w:rPr>
          <w:rFonts w:ascii="Cambria" w:hAnsi="Cambria"/>
          <w:sz w:val="20"/>
          <w:szCs w:val="20"/>
          <w:lang w:val="es-VE"/>
        </w:rPr>
        <w:t>.</w:t>
      </w:r>
      <w:r w:rsidRPr="00D41D24">
        <w:rPr>
          <w:rFonts w:ascii="Cambria" w:hAnsi="Cambria"/>
          <w:sz w:val="20"/>
          <w:szCs w:val="20"/>
          <w:lang w:val="es-VE"/>
        </w:rPr>
        <w:t xml:space="preserve"> </w:t>
      </w:r>
      <w:r w:rsidR="00D41D24">
        <w:rPr>
          <w:rFonts w:ascii="Cambria" w:hAnsi="Cambria"/>
          <w:sz w:val="20"/>
          <w:szCs w:val="20"/>
          <w:lang w:val="es-VE"/>
        </w:rPr>
        <w:t xml:space="preserve">De la información disponible, </w:t>
      </w:r>
      <w:r w:rsidRPr="00D41D24">
        <w:rPr>
          <w:rFonts w:ascii="Cambria" w:hAnsi="Cambria"/>
          <w:sz w:val="20"/>
          <w:szCs w:val="20"/>
          <w:lang w:val="es-VE"/>
        </w:rPr>
        <w:t>no</w:t>
      </w:r>
      <w:r w:rsidR="00D41D24">
        <w:rPr>
          <w:rFonts w:ascii="Cambria" w:hAnsi="Cambria"/>
          <w:sz w:val="20"/>
          <w:szCs w:val="20"/>
          <w:lang w:val="es-VE"/>
        </w:rPr>
        <w:t xml:space="preserve"> se conoce </w:t>
      </w:r>
      <w:r w:rsidRPr="00D41D24">
        <w:rPr>
          <w:rFonts w:ascii="Cambria" w:hAnsi="Cambria"/>
          <w:sz w:val="20"/>
          <w:szCs w:val="20"/>
          <w:lang w:val="es-VE"/>
        </w:rPr>
        <w:t xml:space="preserve">si se le dio seguimiento a esta solicitud. En esa misma fecha, </w:t>
      </w:r>
      <w:r w:rsidRPr="001606A3">
        <w:rPr>
          <w:rFonts w:ascii="Cambria" w:hAnsi="Cambria"/>
          <w:sz w:val="20"/>
          <w:szCs w:val="20"/>
          <w:lang w:val="es-VE"/>
        </w:rPr>
        <w:t>la Fiscalía Especial de Delitos Contra la Vida solicitó a la Dirección de Migración y Extranjería que le comunicara urgentemente los movimientos migratorios</w:t>
      </w:r>
      <w:r w:rsidRPr="00D41D24">
        <w:rPr>
          <w:rFonts w:ascii="Cambria" w:hAnsi="Cambria"/>
          <w:sz w:val="20"/>
          <w:szCs w:val="20"/>
          <w:lang w:val="es-VE"/>
        </w:rPr>
        <w:t xml:space="preserve"> de Vicky Hernández</w:t>
      </w:r>
      <w:r w:rsidRPr="003E616A">
        <w:rPr>
          <w:rFonts w:ascii="Cambria" w:hAnsi="Cambria"/>
          <w:sz w:val="20"/>
          <w:szCs w:val="20"/>
          <w:vertAlign w:val="superscript"/>
          <w:lang w:val="es-VE"/>
        </w:rPr>
        <w:footnoteReference w:id="71"/>
      </w:r>
      <w:r w:rsidRPr="00D41D24">
        <w:rPr>
          <w:rFonts w:ascii="Cambria" w:hAnsi="Cambria"/>
          <w:sz w:val="20"/>
          <w:szCs w:val="20"/>
          <w:lang w:val="es-VE"/>
        </w:rPr>
        <w:t xml:space="preserve">. </w:t>
      </w:r>
    </w:p>
    <w:p w14:paraId="4A90A6AA"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2A569456" w14:textId="307FF4D6" w:rsidR="00D222A3" w:rsidRPr="003E616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El </w:t>
      </w:r>
      <w:r w:rsidRPr="001606A3">
        <w:rPr>
          <w:rFonts w:ascii="Cambria" w:hAnsi="Cambria"/>
          <w:sz w:val="20"/>
          <w:szCs w:val="20"/>
          <w:lang w:val="es-VE"/>
        </w:rPr>
        <w:t>23 de julio de 2013 un analista de investigación criminal de la Unidad de Muertes de Diversidad Sexual e Impacto Social realizó un informe dentro del cual hizo una lista de las diligencias realizadas</w:t>
      </w:r>
      <w:r w:rsidR="009C448E" w:rsidRPr="001606A3">
        <w:rPr>
          <w:rFonts w:ascii="Cambria" w:hAnsi="Cambria"/>
          <w:sz w:val="20"/>
          <w:szCs w:val="20"/>
          <w:lang w:val="es-VE"/>
        </w:rPr>
        <w:t xml:space="preserve">, reportando </w:t>
      </w:r>
      <w:r w:rsidRPr="001606A3">
        <w:rPr>
          <w:rFonts w:ascii="Cambria" w:hAnsi="Cambria"/>
          <w:sz w:val="20"/>
          <w:szCs w:val="20"/>
          <w:lang w:val="es-VE"/>
        </w:rPr>
        <w:t>que la autopsia había sido realizada por la doctora Dixiana Rosales bajo el número A-1384-09</w:t>
      </w:r>
      <w:r w:rsidR="00687B17" w:rsidRPr="001606A3">
        <w:rPr>
          <w:rFonts w:ascii="Cambria" w:hAnsi="Cambria"/>
          <w:sz w:val="20"/>
          <w:szCs w:val="20"/>
          <w:lang w:val="es-VE"/>
        </w:rPr>
        <w:t xml:space="preserve"> quien ya no </w:t>
      </w:r>
      <w:r w:rsidRPr="001606A3">
        <w:rPr>
          <w:rFonts w:ascii="Cambria" w:hAnsi="Cambria"/>
          <w:sz w:val="20"/>
          <w:szCs w:val="20"/>
          <w:lang w:val="es-VE"/>
        </w:rPr>
        <w:t>trabaja</w:t>
      </w:r>
      <w:r w:rsidR="00687B17" w:rsidRPr="001606A3">
        <w:rPr>
          <w:rFonts w:ascii="Cambria" w:hAnsi="Cambria"/>
          <w:sz w:val="20"/>
          <w:szCs w:val="20"/>
          <w:lang w:val="es-VE"/>
        </w:rPr>
        <w:t>ba</w:t>
      </w:r>
      <w:r w:rsidRPr="001606A3">
        <w:rPr>
          <w:rFonts w:ascii="Cambria" w:hAnsi="Cambria"/>
          <w:sz w:val="20"/>
          <w:szCs w:val="20"/>
          <w:lang w:val="es-VE"/>
        </w:rPr>
        <w:t xml:space="preserve"> para la Dirección de Medicina Forense por lo que está pendiente su ubicación para tomar la declaración correspondiente</w:t>
      </w:r>
      <w:r w:rsidRPr="001606A3">
        <w:rPr>
          <w:rFonts w:ascii="Cambria" w:hAnsi="Cambria"/>
          <w:sz w:val="20"/>
          <w:szCs w:val="20"/>
          <w:vertAlign w:val="superscript"/>
          <w:lang w:val="es-VE"/>
        </w:rPr>
        <w:footnoteReference w:id="72"/>
      </w:r>
      <w:r w:rsidRPr="001606A3">
        <w:rPr>
          <w:rFonts w:ascii="Cambria" w:hAnsi="Cambria"/>
          <w:sz w:val="20"/>
          <w:szCs w:val="20"/>
          <w:lang w:val="es-VE"/>
        </w:rPr>
        <w:t>.</w:t>
      </w:r>
    </w:p>
    <w:p w14:paraId="56857325"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589F2C5B" w14:textId="5D631BB7" w:rsidR="00D222A3" w:rsidRPr="003E616A" w:rsidRDefault="00560C5F"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El </w:t>
      </w:r>
      <w:r w:rsidR="00700F36">
        <w:rPr>
          <w:rFonts w:ascii="Cambria" w:hAnsi="Cambria"/>
          <w:sz w:val="20"/>
          <w:szCs w:val="20"/>
          <w:lang w:val="es-VE"/>
        </w:rPr>
        <w:t xml:space="preserve">17 y 18 de mayo, 6, 10 y </w:t>
      </w:r>
      <w:r w:rsidR="00D222A3" w:rsidRPr="003E616A">
        <w:rPr>
          <w:rFonts w:ascii="Cambria" w:hAnsi="Cambria"/>
          <w:sz w:val="20"/>
          <w:szCs w:val="20"/>
          <w:lang w:val="es-VE"/>
        </w:rPr>
        <w:t>23 de junio de 2013 la parte peticionaria realizó múltiples diligencias a</w:t>
      </w:r>
      <w:r w:rsidR="00700F36">
        <w:rPr>
          <w:rFonts w:ascii="Cambria" w:hAnsi="Cambria"/>
          <w:sz w:val="20"/>
          <w:szCs w:val="20"/>
          <w:lang w:val="es-VE"/>
        </w:rPr>
        <w:t xml:space="preserve">nte la </w:t>
      </w:r>
      <w:r w:rsidR="00D222A3" w:rsidRPr="003E616A">
        <w:rPr>
          <w:rFonts w:ascii="Cambria" w:hAnsi="Cambria"/>
          <w:sz w:val="20"/>
          <w:szCs w:val="20"/>
          <w:lang w:val="es-VE"/>
        </w:rPr>
        <w:t>Coordinadora General de Fiscales, la Coordinadora Regional de Fiscales Zona N</w:t>
      </w:r>
      <w:r w:rsidR="00700F36">
        <w:rPr>
          <w:rFonts w:ascii="Cambria" w:hAnsi="Cambria"/>
          <w:sz w:val="20"/>
          <w:szCs w:val="20"/>
          <w:lang w:val="es-VE"/>
        </w:rPr>
        <w:t xml:space="preserve">orte y la </w:t>
      </w:r>
      <w:r w:rsidR="00D222A3" w:rsidRPr="003E616A">
        <w:rPr>
          <w:rFonts w:ascii="Cambria" w:hAnsi="Cambria"/>
          <w:sz w:val="20"/>
          <w:szCs w:val="20"/>
          <w:lang w:val="es-VE"/>
        </w:rPr>
        <w:t xml:space="preserve">Fiscal Especial de Delitos Comunes Tegucigalpa, con el fin de </w:t>
      </w:r>
      <w:r w:rsidR="00176F2C">
        <w:rPr>
          <w:rFonts w:ascii="Cambria" w:hAnsi="Cambria"/>
          <w:sz w:val="20"/>
          <w:szCs w:val="20"/>
          <w:lang w:val="es-VE"/>
        </w:rPr>
        <w:t>contar con</w:t>
      </w:r>
      <w:r w:rsidR="00D222A3" w:rsidRPr="003E616A">
        <w:rPr>
          <w:rFonts w:ascii="Cambria" w:hAnsi="Cambria"/>
          <w:sz w:val="20"/>
          <w:szCs w:val="20"/>
          <w:lang w:val="es-VE"/>
        </w:rPr>
        <w:t xml:space="preserve"> una copia del expediente judicial, sin obtener respuesta</w:t>
      </w:r>
      <w:r w:rsidR="00D222A3" w:rsidRPr="003E616A">
        <w:rPr>
          <w:rFonts w:ascii="Cambria" w:hAnsi="Cambria"/>
          <w:sz w:val="20"/>
          <w:szCs w:val="20"/>
          <w:vertAlign w:val="superscript"/>
          <w:lang w:val="es-VE"/>
        </w:rPr>
        <w:footnoteReference w:id="73"/>
      </w:r>
      <w:r w:rsidR="00D222A3" w:rsidRPr="003E616A">
        <w:rPr>
          <w:rFonts w:ascii="Cambria" w:hAnsi="Cambria"/>
          <w:sz w:val="20"/>
          <w:szCs w:val="20"/>
          <w:lang w:val="es-VE"/>
        </w:rPr>
        <w:t xml:space="preserve">. </w:t>
      </w:r>
    </w:p>
    <w:p w14:paraId="6D7577B2" w14:textId="77777777" w:rsidR="00F122DE" w:rsidRPr="003E616A" w:rsidRDefault="00F122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4E7DE34C" w14:textId="787938BC" w:rsidR="00D222A3" w:rsidRPr="003E616A" w:rsidRDefault="00A92B6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En octubre de 2013 </w:t>
      </w:r>
      <w:r w:rsidR="00D222A3" w:rsidRPr="003E616A">
        <w:rPr>
          <w:rFonts w:ascii="Cambria" w:hAnsi="Cambria"/>
          <w:sz w:val="20"/>
          <w:szCs w:val="20"/>
          <w:lang w:val="es-VE"/>
        </w:rPr>
        <w:t>la abogada Rita Isabel Romero</w:t>
      </w:r>
      <w:r w:rsidR="00BE1F9A">
        <w:rPr>
          <w:rFonts w:ascii="Cambria" w:hAnsi="Cambria"/>
          <w:sz w:val="20"/>
          <w:szCs w:val="20"/>
          <w:lang w:val="es-VE"/>
        </w:rPr>
        <w:t xml:space="preserve"> </w:t>
      </w:r>
      <w:r>
        <w:rPr>
          <w:rFonts w:ascii="Cambria" w:hAnsi="Cambria"/>
          <w:sz w:val="20"/>
          <w:szCs w:val="20"/>
          <w:lang w:val="es-VE"/>
        </w:rPr>
        <w:t>se constituyó como</w:t>
      </w:r>
      <w:r w:rsidR="00D222A3" w:rsidRPr="003E616A">
        <w:rPr>
          <w:rFonts w:ascii="Cambria" w:hAnsi="Cambria"/>
          <w:sz w:val="20"/>
          <w:szCs w:val="20"/>
          <w:lang w:val="es-VE"/>
        </w:rPr>
        <w:t xml:space="preserve"> apoderada</w:t>
      </w:r>
      <w:r>
        <w:rPr>
          <w:rFonts w:ascii="Cambria" w:hAnsi="Cambria"/>
          <w:sz w:val="20"/>
          <w:szCs w:val="20"/>
          <w:lang w:val="es-VE"/>
        </w:rPr>
        <w:t xml:space="preserve"> de la señora Rosa Argelia Herández</w:t>
      </w:r>
      <w:r w:rsidR="00D222A3" w:rsidRPr="003E616A">
        <w:rPr>
          <w:rFonts w:ascii="Cambria" w:hAnsi="Cambria"/>
          <w:sz w:val="20"/>
          <w:szCs w:val="20"/>
          <w:lang w:val="es-VE"/>
        </w:rPr>
        <w:t xml:space="preserve"> en el proceso interno</w:t>
      </w:r>
      <w:r w:rsidR="00D222A3" w:rsidRPr="003E616A">
        <w:rPr>
          <w:rFonts w:ascii="Cambria" w:hAnsi="Cambria"/>
          <w:sz w:val="20"/>
          <w:szCs w:val="20"/>
          <w:vertAlign w:val="superscript"/>
          <w:lang w:val="es-VE"/>
        </w:rPr>
        <w:footnoteReference w:id="74"/>
      </w:r>
      <w:r w:rsidR="00D222A3" w:rsidRPr="003E616A">
        <w:rPr>
          <w:rFonts w:ascii="Cambria" w:hAnsi="Cambria"/>
          <w:sz w:val="20"/>
          <w:szCs w:val="20"/>
          <w:lang w:val="es-VE"/>
        </w:rPr>
        <w:t xml:space="preserve">. En entrevista con la madre y las familiares de Vicky Hernández </w:t>
      </w:r>
      <w:r w:rsidR="00D222A3" w:rsidRPr="00D3485F">
        <w:rPr>
          <w:rFonts w:ascii="Cambria" w:hAnsi="Cambria"/>
          <w:sz w:val="20"/>
          <w:szCs w:val="20"/>
          <w:lang w:val="es-VE"/>
        </w:rPr>
        <w:t xml:space="preserve">de 14 de octubre de 2013, ellas le informaron a la abogada Romero que “ellas mismas prepararon el cuerpo </w:t>
      </w:r>
      <w:r w:rsidRPr="00D3485F">
        <w:rPr>
          <w:rFonts w:ascii="Cambria" w:hAnsi="Cambria"/>
          <w:sz w:val="20"/>
          <w:szCs w:val="20"/>
          <w:lang w:val="es-VE"/>
        </w:rPr>
        <w:t xml:space="preserve">[de Vicky] </w:t>
      </w:r>
      <w:r w:rsidR="00D222A3" w:rsidRPr="00D3485F">
        <w:rPr>
          <w:rFonts w:ascii="Cambria" w:hAnsi="Cambria"/>
          <w:sz w:val="20"/>
          <w:szCs w:val="20"/>
          <w:lang w:val="es-VE"/>
        </w:rPr>
        <w:t>para el entierro y les consta que no tenía marca alguna  en su cuello, pecho o cualquier otra parte del cuerpo de haber sido sometido a una autopsia”</w:t>
      </w:r>
      <w:r w:rsidR="00D222A3" w:rsidRPr="00D3485F">
        <w:rPr>
          <w:rFonts w:ascii="Cambria" w:hAnsi="Cambria"/>
          <w:sz w:val="20"/>
          <w:szCs w:val="20"/>
          <w:vertAlign w:val="superscript"/>
          <w:lang w:val="es-VE"/>
        </w:rPr>
        <w:footnoteReference w:id="75"/>
      </w:r>
      <w:r w:rsidR="00D222A3" w:rsidRPr="00D3485F">
        <w:rPr>
          <w:rFonts w:ascii="Cambria" w:hAnsi="Cambria"/>
          <w:sz w:val="20"/>
          <w:szCs w:val="20"/>
          <w:lang w:val="es-VE"/>
        </w:rPr>
        <w:t>.</w:t>
      </w:r>
      <w:r w:rsidR="00D222A3" w:rsidRPr="003E616A">
        <w:rPr>
          <w:rFonts w:ascii="Cambria" w:hAnsi="Cambria"/>
          <w:sz w:val="20"/>
          <w:szCs w:val="20"/>
          <w:lang w:val="es-VE"/>
        </w:rPr>
        <w:t xml:space="preserve">  Asimismo, la abogada Romero descubrió que no se había registrado la defunción de Vicky Hernández en el Registro Civil y </w:t>
      </w:r>
      <w:r>
        <w:rPr>
          <w:rFonts w:ascii="Cambria" w:hAnsi="Cambria"/>
          <w:sz w:val="20"/>
          <w:szCs w:val="20"/>
          <w:lang w:val="es-VE"/>
        </w:rPr>
        <w:t>realizó los trámites necesarios para el registro de</w:t>
      </w:r>
      <w:r w:rsidR="00D222A3" w:rsidRPr="003E616A">
        <w:rPr>
          <w:rFonts w:ascii="Cambria" w:hAnsi="Cambria"/>
          <w:sz w:val="20"/>
          <w:szCs w:val="20"/>
          <w:lang w:val="es-VE"/>
        </w:rPr>
        <w:t xml:space="preserve"> su defunción</w:t>
      </w:r>
      <w:r w:rsidR="00D222A3" w:rsidRPr="003E616A">
        <w:rPr>
          <w:rFonts w:ascii="Cambria" w:hAnsi="Cambria"/>
          <w:sz w:val="20"/>
          <w:szCs w:val="20"/>
          <w:vertAlign w:val="superscript"/>
          <w:lang w:val="es-VE"/>
        </w:rPr>
        <w:footnoteReference w:id="76"/>
      </w:r>
      <w:r w:rsidR="00D222A3" w:rsidRPr="003E616A">
        <w:rPr>
          <w:rFonts w:ascii="Cambria" w:hAnsi="Cambria"/>
          <w:sz w:val="20"/>
          <w:szCs w:val="20"/>
          <w:lang w:val="es-VE"/>
        </w:rPr>
        <w:t xml:space="preserve">.  </w:t>
      </w:r>
    </w:p>
    <w:p w14:paraId="4E85A95C"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78BF0496" w14:textId="6605714E" w:rsidR="00D222A3" w:rsidRPr="00A92B63"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El 16 de octubre de 2013 la abogada Romero, visitó al Ministerio P</w:t>
      </w:r>
      <w:r w:rsidR="00BD15E0">
        <w:rPr>
          <w:rFonts w:ascii="Cambria" w:hAnsi="Cambria"/>
          <w:sz w:val="20"/>
          <w:szCs w:val="20"/>
          <w:lang w:val="es-VE"/>
        </w:rPr>
        <w:t>ú</w:t>
      </w:r>
      <w:r w:rsidRPr="003E616A">
        <w:rPr>
          <w:rFonts w:ascii="Cambria" w:hAnsi="Cambria"/>
          <w:sz w:val="20"/>
          <w:szCs w:val="20"/>
          <w:lang w:val="es-VE"/>
        </w:rPr>
        <w:t>blico para obtener una copia integral del expediente y obtuvo la autorización para revisarlo a la vista</w:t>
      </w:r>
      <w:r w:rsidRPr="003E616A">
        <w:rPr>
          <w:rFonts w:ascii="Cambria" w:hAnsi="Cambria"/>
          <w:sz w:val="20"/>
          <w:szCs w:val="20"/>
          <w:vertAlign w:val="superscript"/>
          <w:lang w:val="es-VE"/>
        </w:rPr>
        <w:footnoteReference w:id="77"/>
      </w:r>
      <w:r w:rsidRPr="003E616A">
        <w:rPr>
          <w:rFonts w:ascii="Cambria" w:hAnsi="Cambria"/>
          <w:sz w:val="20"/>
          <w:szCs w:val="20"/>
          <w:lang w:val="es-VE"/>
        </w:rPr>
        <w:t xml:space="preserve">. </w:t>
      </w:r>
      <w:r w:rsidR="00A92B63">
        <w:rPr>
          <w:rFonts w:ascii="Cambria" w:hAnsi="Cambria"/>
          <w:sz w:val="20"/>
          <w:szCs w:val="20"/>
          <w:lang w:val="es-VE"/>
        </w:rPr>
        <w:t xml:space="preserve"> </w:t>
      </w:r>
      <w:r w:rsidRPr="00A92B63">
        <w:rPr>
          <w:rFonts w:ascii="Cambria" w:hAnsi="Cambria"/>
          <w:sz w:val="20"/>
          <w:szCs w:val="20"/>
          <w:lang w:val="es-VE"/>
        </w:rPr>
        <w:t>El 17 de octubre de 2013 la abogada Romero solicitó formalmente una copia fotostática del expediente</w:t>
      </w:r>
      <w:r w:rsidRPr="003E616A">
        <w:rPr>
          <w:rFonts w:ascii="Cambria" w:hAnsi="Cambria"/>
          <w:sz w:val="20"/>
          <w:szCs w:val="20"/>
          <w:vertAlign w:val="superscript"/>
          <w:lang w:val="es-VE"/>
        </w:rPr>
        <w:footnoteReference w:id="78"/>
      </w:r>
      <w:r w:rsidRPr="00A92B63">
        <w:rPr>
          <w:rFonts w:ascii="Cambria" w:hAnsi="Cambria"/>
          <w:sz w:val="20"/>
          <w:szCs w:val="20"/>
          <w:lang w:val="es-VE"/>
        </w:rPr>
        <w:t xml:space="preserve">. Asimismo, solicitó al Director Regional de Medicina Forense que, teniendo en cuenta el informe de fecha 23 de julio del mismo año, se corroborara si la </w:t>
      </w:r>
      <w:r w:rsidRPr="001606A3">
        <w:rPr>
          <w:rFonts w:ascii="Cambria" w:hAnsi="Cambria"/>
          <w:sz w:val="20"/>
          <w:szCs w:val="20"/>
          <w:lang w:val="es-VE"/>
        </w:rPr>
        <w:t>doctora que realizó la autopsia en el caso de Vicky Hernández era la doctora Dixiana Ferrufino o la doctora Itpsa Rosales</w:t>
      </w:r>
      <w:r w:rsidRPr="001606A3">
        <w:rPr>
          <w:rFonts w:ascii="Cambria" w:hAnsi="Cambria"/>
          <w:sz w:val="20"/>
          <w:szCs w:val="20"/>
          <w:vertAlign w:val="superscript"/>
          <w:lang w:val="es-VE"/>
        </w:rPr>
        <w:footnoteReference w:id="79"/>
      </w:r>
      <w:r w:rsidRPr="001606A3">
        <w:rPr>
          <w:rFonts w:ascii="Cambria" w:hAnsi="Cambria"/>
          <w:sz w:val="20"/>
          <w:szCs w:val="20"/>
          <w:lang w:val="es-VE"/>
        </w:rPr>
        <w:t xml:space="preserve">. Finalmente, pidió que se diera cumplimiento a la solicitud de 16 de marzo de 2011 de la Unidad de Delitos contra la </w:t>
      </w:r>
      <w:r w:rsidRPr="001606A3">
        <w:rPr>
          <w:rFonts w:ascii="Cambria" w:hAnsi="Cambria"/>
          <w:sz w:val="20"/>
          <w:szCs w:val="20"/>
          <w:lang w:val="es-VE"/>
        </w:rPr>
        <w:lastRenderedPageBreak/>
        <w:t>Vida de la Fiscalía, poniendo de manifiesto que a 16 de octubre de 2013 no constaba en el expediente el dictamen de autopsia que se había requerido hacía dos años</w:t>
      </w:r>
      <w:r w:rsidRPr="001606A3">
        <w:rPr>
          <w:rFonts w:ascii="Cambria" w:hAnsi="Cambria"/>
          <w:sz w:val="20"/>
          <w:szCs w:val="20"/>
          <w:vertAlign w:val="superscript"/>
          <w:lang w:val="es-VE"/>
        </w:rPr>
        <w:footnoteReference w:id="80"/>
      </w:r>
      <w:r w:rsidRPr="001606A3">
        <w:rPr>
          <w:rFonts w:ascii="Cambria" w:hAnsi="Cambria"/>
          <w:sz w:val="20"/>
          <w:szCs w:val="20"/>
          <w:lang w:val="es-VE"/>
        </w:rPr>
        <w:t>.</w:t>
      </w:r>
      <w:r w:rsidRPr="00A92B63">
        <w:rPr>
          <w:rFonts w:ascii="Cambria" w:hAnsi="Cambria"/>
          <w:sz w:val="20"/>
          <w:szCs w:val="20"/>
          <w:lang w:val="es-VE"/>
        </w:rPr>
        <w:t xml:space="preserve">  </w:t>
      </w:r>
    </w:p>
    <w:p w14:paraId="531FEA59"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53A85697" w14:textId="66521C14" w:rsidR="00D222A3" w:rsidRPr="00A06E8D"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334DA">
        <w:rPr>
          <w:rFonts w:ascii="Cambria" w:hAnsi="Cambria"/>
          <w:sz w:val="20"/>
          <w:szCs w:val="20"/>
          <w:lang w:val="es-VE"/>
        </w:rPr>
        <w:t>El 18 de octubre de 2013 el Coordinador Regional de Medicina Forense informó a la Fiscal Especial de Delitos Contra la Vida que se había enviado el dictamen de autopsia elaborado por la Dra. Itpsa Rosales en el caso de Vicky Hernández a la Fiscalía de Homicidios el día 13 de julio del 2013</w:t>
      </w:r>
      <w:r w:rsidRPr="009334DA">
        <w:rPr>
          <w:rFonts w:ascii="Cambria" w:hAnsi="Cambria"/>
          <w:sz w:val="20"/>
          <w:szCs w:val="20"/>
          <w:vertAlign w:val="superscript"/>
          <w:lang w:val="es-VE"/>
        </w:rPr>
        <w:footnoteReference w:id="81"/>
      </w:r>
      <w:r w:rsidRPr="009334DA">
        <w:rPr>
          <w:rFonts w:ascii="Cambria" w:hAnsi="Cambria"/>
          <w:sz w:val="20"/>
          <w:szCs w:val="20"/>
          <w:lang w:val="es-VE"/>
        </w:rPr>
        <w:t xml:space="preserve">. </w:t>
      </w:r>
      <w:r w:rsidRPr="00A23D5A">
        <w:rPr>
          <w:rFonts w:ascii="Cambria" w:hAnsi="Cambria"/>
          <w:sz w:val="20"/>
          <w:szCs w:val="20"/>
          <w:lang w:val="es-VE"/>
        </w:rPr>
        <w:t>El 28 de octubre de 2013 la Fiscalía de Unidad de Muerte de Impacto Social solicitó por segunda vez al Director Regional de Medicina Forense que le remitiera de manera urgente el dictamen y álbum fotográfico de la autopsia realizada por la doctora Rosales</w:t>
      </w:r>
      <w:r w:rsidRPr="009334DA">
        <w:rPr>
          <w:rFonts w:ascii="Cambria" w:hAnsi="Cambria"/>
          <w:sz w:val="20"/>
          <w:szCs w:val="20"/>
          <w:vertAlign w:val="superscript"/>
          <w:lang w:val="es-VE"/>
        </w:rPr>
        <w:footnoteReference w:id="82"/>
      </w:r>
      <w:r w:rsidRPr="00A23D5A">
        <w:rPr>
          <w:rFonts w:ascii="Cambria" w:hAnsi="Cambria"/>
          <w:sz w:val="20"/>
          <w:szCs w:val="20"/>
          <w:lang w:val="es-VE"/>
        </w:rPr>
        <w:t xml:space="preserve">. </w:t>
      </w:r>
      <w:r w:rsidRPr="00A06E8D">
        <w:rPr>
          <w:rFonts w:ascii="Cambria" w:hAnsi="Cambria"/>
          <w:sz w:val="20"/>
          <w:szCs w:val="20"/>
          <w:lang w:val="es-VE"/>
        </w:rPr>
        <w:t>En un auto motivado de la misma fecha, la Fiscalía de Delitos Contra la Vida re</w:t>
      </w:r>
      <w:r w:rsidR="00C20315" w:rsidRPr="00A06E8D">
        <w:rPr>
          <w:rFonts w:ascii="Cambria" w:hAnsi="Cambria"/>
          <w:sz w:val="20"/>
          <w:szCs w:val="20"/>
          <w:lang w:val="es-VE"/>
        </w:rPr>
        <w:t xml:space="preserve">chazó la solicitud </w:t>
      </w:r>
      <w:r w:rsidRPr="00A06E8D">
        <w:rPr>
          <w:rFonts w:ascii="Cambria" w:hAnsi="Cambria"/>
          <w:sz w:val="20"/>
          <w:szCs w:val="20"/>
          <w:lang w:val="es-VE"/>
        </w:rPr>
        <w:t xml:space="preserve">de la abogada Romero para obtener una copia fotostática del expediente, indicando que el caso se encontraba en </w:t>
      </w:r>
      <w:r w:rsidR="00C20315" w:rsidRPr="00A06E8D">
        <w:rPr>
          <w:rFonts w:ascii="Cambria" w:hAnsi="Cambria"/>
          <w:sz w:val="20"/>
          <w:szCs w:val="20"/>
          <w:lang w:val="es-VE"/>
        </w:rPr>
        <w:t>etapa investigativa y por ende “</w:t>
      </w:r>
      <w:r w:rsidRPr="00A06E8D">
        <w:rPr>
          <w:rFonts w:ascii="Cambria" w:hAnsi="Cambria"/>
          <w:sz w:val="20"/>
          <w:szCs w:val="20"/>
          <w:lang w:val="es-VE"/>
        </w:rPr>
        <w:t>se estaría poniendo en riesgo la investigación del mismo”</w:t>
      </w:r>
      <w:r w:rsidRPr="003E616A">
        <w:rPr>
          <w:rFonts w:ascii="Cambria" w:hAnsi="Cambria"/>
          <w:sz w:val="20"/>
          <w:szCs w:val="20"/>
          <w:vertAlign w:val="superscript"/>
          <w:lang w:val="es-VE"/>
        </w:rPr>
        <w:footnoteReference w:id="83"/>
      </w:r>
      <w:r w:rsidRPr="00A06E8D">
        <w:rPr>
          <w:rFonts w:ascii="Cambria" w:hAnsi="Cambria"/>
          <w:sz w:val="20"/>
          <w:szCs w:val="20"/>
          <w:lang w:val="es-VE"/>
        </w:rPr>
        <w:t>. El 30 de octubre de 2013 la abogada Romero solicitó nuevamente copia del e</w:t>
      </w:r>
      <w:r w:rsidR="00C20315" w:rsidRPr="00A06E8D">
        <w:rPr>
          <w:rFonts w:ascii="Cambria" w:hAnsi="Cambria"/>
          <w:sz w:val="20"/>
          <w:szCs w:val="20"/>
          <w:lang w:val="es-VE"/>
        </w:rPr>
        <w:t xml:space="preserve">xpediente investigativo ante la </w:t>
      </w:r>
      <w:r w:rsidRPr="00A06E8D">
        <w:rPr>
          <w:rFonts w:ascii="Cambria" w:hAnsi="Cambria"/>
          <w:sz w:val="20"/>
          <w:szCs w:val="20"/>
          <w:lang w:val="es-VE"/>
        </w:rPr>
        <w:t>Fiscal Espe</w:t>
      </w:r>
      <w:r w:rsidR="00C20315" w:rsidRPr="00A06E8D">
        <w:rPr>
          <w:rFonts w:ascii="Cambria" w:hAnsi="Cambria"/>
          <w:sz w:val="20"/>
          <w:szCs w:val="20"/>
          <w:lang w:val="es-VE"/>
        </w:rPr>
        <w:t>cial de Delitos contra la Vida como superior jerárquico</w:t>
      </w:r>
      <w:r w:rsidRPr="003E616A">
        <w:rPr>
          <w:rFonts w:ascii="Cambria" w:hAnsi="Cambria"/>
          <w:sz w:val="20"/>
          <w:szCs w:val="20"/>
          <w:vertAlign w:val="superscript"/>
          <w:lang w:val="es-VE"/>
        </w:rPr>
        <w:footnoteReference w:id="84"/>
      </w:r>
      <w:r w:rsidRPr="00A06E8D">
        <w:rPr>
          <w:rFonts w:ascii="Cambria" w:hAnsi="Cambria"/>
          <w:sz w:val="20"/>
          <w:szCs w:val="20"/>
          <w:lang w:val="es-VE"/>
        </w:rPr>
        <w:t>. En esa misma fecha, solicitó formalmente ante la misma fiscal que se localizara e integrara el dictamen de autopsia en el caso de Vicky Hernández al expediente investigativo</w:t>
      </w:r>
      <w:r w:rsidRPr="0086321C">
        <w:rPr>
          <w:rFonts w:ascii="Cambria" w:hAnsi="Cambria"/>
          <w:sz w:val="20"/>
          <w:szCs w:val="20"/>
          <w:vertAlign w:val="superscript"/>
          <w:lang w:val="es-VE"/>
        </w:rPr>
        <w:footnoteReference w:id="85"/>
      </w:r>
      <w:r w:rsidRPr="00A06E8D">
        <w:rPr>
          <w:rFonts w:ascii="Cambria" w:hAnsi="Cambria"/>
          <w:sz w:val="20"/>
          <w:szCs w:val="20"/>
          <w:lang w:val="es-VE"/>
        </w:rPr>
        <w:t>.</w:t>
      </w:r>
    </w:p>
    <w:p w14:paraId="7C0EB193" w14:textId="77777777" w:rsidR="00D222A3" w:rsidRPr="0086321C"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5ABF429F" w14:textId="3531E373" w:rsidR="00D222A3" w:rsidRPr="0086321C"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6321C">
        <w:rPr>
          <w:rFonts w:ascii="Cambria" w:hAnsi="Cambria"/>
          <w:sz w:val="20"/>
          <w:szCs w:val="20"/>
          <w:lang w:val="es-VE"/>
        </w:rPr>
        <w:t>El 4 de noviembre de 2013 un analista de investigación criminal de la Unidad de Muertes de Diversidad Sexual e Impacto Social realizó un informe para la Fiscal de la Unidad de Muertes de Diversidad Sexual e Impacto Social sobre las diligencias realizadas en la investigación</w:t>
      </w:r>
      <w:r w:rsidR="00B74256" w:rsidRPr="0086321C">
        <w:rPr>
          <w:rFonts w:ascii="Cambria" w:hAnsi="Cambria"/>
          <w:sz w:val="20"/>
          <w:szCs w:val="20"/>
          <w:lang w:val="es-VE"/>
        </w:rPr>
        <w:t xml:space="preserve">, reportando </w:t>
      </w:r>
      <w:r w:rsidRPr="0086321C">
        <w:rPr>
          <w:rFonts w:ascii="Cambria" w:hAnsi="Cambria"/>
          <w:sz w:val="20"/>
          <w:szCs w:val="20"/>
          <w:lang w:val="es-VE"/>
        </w:rPr>
        <w:t>que se realizaron varias llamadas al número telefónico de la madre de Vicky pero que la persona que contestó no dio información de ella</w:t>
      </w:r>
      <w:r w:rsidRPr="0086321C">
        <w:rPr>
          <w:rFonts w:ascii="Cambria" w:hAnsi="Cambria"/>
          <w:sz w:val="20"/>
          <w:szCs w:val="20"/>
          <w:vertAlign w:val="superscript"/>
          <w:lang w:val="es-VE"/>
        </w:rPr>
        <w:footnoteReference w:id="86"/>
      </w:r>
      <w:r w:rsidRPr="0086321C">
        <w:rPr>
          <w:rFonts w:ascii="Cambria" w:hAnsi="Cambria"/>
          <w:sz w:val="20"/>
          <w:szCs w:val="20"/>
          <w:lang w:val="es-VE"/>
        </w:rPr>
        <w:t>. La CIDH toma nota de que la parte peticionaria afirmó que la señora Rosa Argelia continúa viviendo en la misma dirección que aparece reportada en el expediente de la investigación</w:t>
      </w:r>
      <w:r w:rsidRPr="0086321C">
        <w:rPr>
          <w:rFonts w:ascii="Cambria" w:hAnsi="Cambria"/>
          <w:sz w:val="20"/>
          <w:szCs w:val="20"/>
          <w:vertAlign w:val="superscript"/>
          <w:lang w:val="es-VE"/>
        </w:rPr>
        <w:footnoteReference w:id="87"/>
      </w:r>
      <w:r w:rsidRPr="0086321C">
        <w:rPr>
          <w:rFonts w:ascii="Cambria" w:hAnsi="Cambria"/>
          <w:sz w:val="20"/>
          <w:szCs w:val="20"/>
          <w:lang w:val="es-VE"/>
        </w:rPr>
        <w:t>.</w:t>
      </w:r>
      <w:r w:rsidR="00A90B08" w:rsidRPr="0086321C">
        <w:rPr>
          <w:rFonts w:ascii="Cambria" w:hAnsi="Cambria"/>
          <w:sz w:val="20"/>
          <w:szCs w:val="20"/>
          <w:lang w:val="es-VE"/>
        </w:rPr>
        <w:t xml:space="preserve"> </w:t>
      </w:r>
      <w:r w:rsidRPr="0086321C">
        <w:rPr>
          <w:rFonts w:ascii="Cambria" w:hAnsi="Cambria"/>
          <w:sz w:val="20"/>
          <w:szCs w:val="20"/>
          <w:lang w:val="es-VE"/>
        </w:rPr>
        <w:t>En acta de dili</w:t>
      </w:r>
      <w:r w:rsidR="00A90B08" w:rsidRPr="0086321C">
        <w:rPr>
          <w:rFonts w:ascii="Cambria" w:hAnsi="Cambria"/>
          <w:sz w:val="20"/>
          <w:szCs w:val="20"/>
          <w:lang w:val="es-VE"/>
        </w:rPr>
        <w:t>gencia de la misma fecha</w:t>
      </w:r>
      <w:r w:rsidRPr="0086321C">
        <w:rPr>
          <w:rFonts w:ascii="Cambria" w:hAnsi="Cambria"/>
          <w:sz w:val="20"/>
          <w:szCs w:val="20"/>
          <w:lang w:val="es-VE"/>
        </w:rPr>
        <w:t>, la Fiscalía de Delitos contra la Vida indicó que intentó llamar por teléfono a Oscar Almendazez, al Ministerio Episcopal y al colectivo Unidad Color Rosa pero que los números telefónicos sonaron “desconectados”</w:t>
      </w:r>
      <w:r w:rsidRPr="0086321C">
        <w:rPr>
          <w:rFonts w:ascii="Cambria" w:hAnsi="Cambria"/>
          <w:sz w:val="20"/>
          <w:szCs w:val="20"/>
          <w:vertAlign w:val="superscript"/>
          <w:lang w:val="es-VE"/>
        </w:rPr>
        <w:footnoteReference w:id="88"/>
      </w:r>
      <w:r w:rsidRPr="0086321C">
        <w:rPr>
          <w:rFonts w:ascii="Cambria" w:hAnsi="Cambria"/>
          <w:sz w:val="20"/>
          <w:szCs w:val="20"/>
          <w:lang w:val="es-VE"/>
        </w:rPr>
        <w:t xml:space="preserve">. </w:t>
      </w:r>
    </w:p>
    <w:p w14:paraId="766BAF17" w14:textId="77777777" w:rsidR="00D222A3" w:rsidRPr="0086321C"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C2903B0" w14:textId="14547B28" w:rsidR="00D222A3" w:rsidRPr="00A90B08" w:rsidRDefault="00A90B08"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6321C">
        <w:rPr>
          <w:rFonts w:ascii="Cambria" w:hAnsi="Cambria"/>
          <w:sz w:val="20"/>
          <w:szCs w:val="20"/>
          <w:lang w:val="es-VE"/>
        </w:rPr>
        <w:t>El 12 de noviembre de 2013 l</w:t>
      </w:r>
      <w:r w:rsidR="00D222A3" w:rsidRPr="0086321C">
        <w:rPr>
          <w:rFonts w:ascii="Cambria" w:hAnsi="Cambria"/>
          <w:sz w:val="20"/>
          <w:szCs w:val="20"/>
          <w:lang w:val="es-VE"/>
        </w:rPr>
        <w:t>a Unidad de Muertes de Impacto Social envió el expediente a la Unidad Especial de Delitos Contra la Vida</w:t>
      </w:r>
      <w:r w:rsidR="00D222A3" w:rsidRPr="003E616A">
        <w:rPr>
          <w:rFonts w:ascii="Cambria" w:hAnsi="Cambria"/>
          <w:sz w:val="20"/>
          <w:szCs w:val="20"/>
          <w:lang w:val="es-VE"/>
        </w:rPr>
        <w:t xml:space="preserve"> para su estudio</w:t>
      </w:r>
      <w:r w:rsidR="00D222A3" w:rsidRPr="003E616A">
        <w:rPr>
          <w:rFonts w:ascii="Cambria" w:hAnsi="Cambria"/>
          <w:sz w:val="20"/>
          <w:szCs w:val="20"/>
          <w:vertAlign w:val="superscript"/>
          <w:lang w:val="es-VE"/>
        </w:rPr>
        <w:footnoteReference w:id="89"/>
      </w:r>
      <w:r>
        <w:rPr>
          <w:rFonts w:ascii="Cambria" w:hAnsi="Cambria"/>
          <w:sz w:val="20"/>
          <w:szCs w:val="20"/>
          <w:lang w:val="es-VE"/>
        </w:rPr>
        <w:t xml:space="preserve">. </w:t>
      </w:r>
      <w:r w:rsidR="00D222A3" w:rsidRPr="00A90B08">
        <w:rPr>
          <w:rFonts w:ascii="Cambria" w:hAnsi="Cambria"/>
          <w:sz w:val="20"/>
          <w:szCs w:val="20"/>
          <w:lang w:val="es-VE"/>
        </w:rPr>
        <w:t>El 20 de nov</w:t>
      </w:r>
      <w:r w:rsidR="008D5C44">
        <w:rPr>
          <w:rFonts w:ascii="Cambria" w:hAnsi="Cambria"/>
          <w:sz w:val="20"/>
          <w:szCs w:val="20"/>
          <w:lang w:val="es-VE"/>
        </w:rPr>
        <w:t>iembre de 2013 en auto motivado</w:t>
      </w:r>
      <w:r w:rsidR="00D222A3" w:rsidRPr="00A90B08">
        <w:rPr>
          <w:rFonts w:ascii="Cambria" w:hAnsi="Cambria"/>
          <w:sz w:val="20"/>
          <w:szCs w:val="20"/>
          <w:lang w:val="es-VE"/>
        </w:rPr>
        <w:t xml:space="preserve"> la Fiscal Especial de la Fiscalía de Delitos Contra la Vida reconoció el derecho de la madre</w:t>
      </w:r>
      <w:r w:rsidR="002E112E">
        <w:rPr>
          <w:rFonts w:ascii="Cambria" w:hAnsi="Cambria"/>
          <w:sz w:val="20"/>
          <w:szCs w:val="20"/>
          <w:lang w:val="es-VE"/>
        </w:rPr>
        <w:t xml:space="preserve"> de</w:t>
      </w:r>
      <w:r w:rsidR="00D222A3" w:rsidRPr="00A90B08">
        <w:rPr>
          <w:rFonts w:ascii="Cambria" w:hAnsi="Cambria"/>
          <w:sz w:val="20"/>
          <w:szCs w:val="20"/>
          <w:lang w:val="es-VE"/>
        </w:rPr>
        <w:t xml:space="preserve"> obtener copia del expediente</w:t>
      </w:r>
      <w:r w:rsidR="00D222A3" w:rsidRPr="003E616A">
        <w:rPr>
          <w:rFonts w:ascii="Cambria" w:hAnsi="Cambria"/>
          <w:sz w:val="20"/>
          <w:szCs w:val="20"/>
          <w:vertAlign w:val="superscript"/>
          <w:lang w:val="es-VE"/>
        </w:rPr>
        <w:footnoteReference w:id="90"/>
      </w:r>
      <w:r w:rsidR="00D222A3" w:rsidRPr="00A90B08">
        <w:rPr>
          <w:rFonts w:ascii="Cambria" w:hAnsi="Cambria"/>
          <w:sz w:val="20"/>
          <w:szCs w:val="20"/>
          <w:lang w:val="es-VE"/>
        </w:rPr>
        <w:t>.</w:t>
      </w:r>
    </w:p>
    <w:p w14:paraId="6C7F3400"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66FAE5A0" w14:textId="2DF55153" w:rsidR="00D222A3" w:rsidRPr="003E616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En marzo de 2015 la abogada Romero pudo tener acceso nuevamente a la vista del expediente y constató que no existía evidencia alguna de que las autoridades siguieran practicando diligencias de investigación</w:t>
      </w:r>
      <w:r w:rsidRPr="003E616A">
        <w:rPr>
          <w:rFonts w:ascii="Cambria" w:hAnsi="Cambria"/>
          <w:sz w:val="20"/>
          <w:szCs w:val="20"/>
          <w:vertAlign w:val="superscript"/>
          <w:lang w:val="es-VE"/>
        </w:rPr>
        <w:footnoteReference w:id="91"/>
      </w:r>
      <w:r w:rsidRPr="003E616A">
        <w:rPr>
          <w:rFonts w:ascii="Cambria" w:hAnsi="Cambria"/>
          <w:sz w:val="20"/>
          <w:szCs w:val="20"/>
          <w:lang w:val="es-VE"/>
        </w:rPr>
        <w:t xml:space="preserve">. </w:t>
      </w:r>
      <w:r w:rsidRPr="001606A3">
        <w:rPr>
          <w:rFonts w:ascii="Cambria" w:hAnsi="Cambria"/>
          <w:sz w:val="20"/>
          <w:szCs w:val="20"/>
          <w:lang w:val="es-VE"/>
        </w:rPr>
        <w:t>Asimismo, observó que no se habían integrado al expediente los siguientes documentos: i) el dictamen de autopsia, ii) la nota de fecha 18 de octubre del 2013 enviada por Medicina Forense a la Fiscalía especial Delitos contra la Vida, informando que dicha autopsia “se envió a la Fiscalía de Homicidios el 13 de julio, 2013”, y iii) las solicitudes presentadas por ella el 17 y el 30 de octubre de 2013</w:t>
      </w:r>
      <w:r w:rsidRPr="003E616A">
        <w:rPr>
          <w:rFonts w:ascii="Cambria" w:hAnsi="Cambria"/>
          <w:sz w:val="20"/>
          <w:szCs w:val="20"/>
          <w:vertAlign w:val="superscript"/>
          <w:lang w:val="es-VE"/>
        </w:rPr>
        <w:footnoteReference w:id="92"/>
      </w:r>
      <w:r w:rsidRPr="003E616A">
        <w:rPr>
          <w:rFonts w:ascii="Cambria" w:hAnsi="Cambria"/>
          <w:sz w:val="20"/>
          <w:szCs w:val="20"/>
          <w:lang w:val="es-VE"/>
        </w:rPr>
        <w:t>. Por este motivo, el 12 de marzo de 2015 la abogada Romero reiteró la petición formal de que se integrara el dictamen de autopsia en el expediente</w:t>
      </w:r>
      <w:r w:rsidRPr="003E616A">
        <w:rPr>
          <w:rFonts w:ascii="Cambria" w:hAnsi="Cambria"/>
          <w:sz w:val="20"/>
          <w:szCs w:val="20"/>
          <w:vertAlign w:val="superscript"/>
          <w:lang w:val="es-VE"/>
        </w:rPr>
        <w:footnoteReference w:id="93"/>
      </w:r>
      <w:r w:rsidRPr="003E616A">
        <w:rPr>
          <w:rFonts w:ascii="Cambria" w:hAnsi="Cambria"/>
          <w:sz w:val="20"/>
          <w:szCs w:val="20"/>
          <w:lang w:val="es-VE"/>
        </w:rPr>
        <w:t>.</w:t>
      </w:r>
    </w:p>
    <w:p w14:paraId="42480E41"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2A022592" w14:textId="32312257" w:rsidR="003A1D90" w:rsidRPr="00275C5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parte peticionaria indicó que posteriormente, el 22 de febrero y el 2 de marzo de 2017 se realizaron solicitudes formales por parte de las representantes de la señora Rosa Argelia para tener acceso a copia del expediente actualizad</w:t>
      </w:r>
      <w:r w:rsidR="00A76508">
        <w:rPr>
          <w:rFonts w:ascii="Cambria" w:hAnsi="Cambria"/>
          <w:sz w:val="20"/>
          <w:szCs w:val="20"/>
          <w:lang w:val="es-VE"/>
        </w:rPr>
        <w:t>o</w:t>
      </w:r>
      <w:r w:rsidR="00171FCD">
        <w:rPr>
          <w:rFonts w:ascii="Cambria" w:hAnsi="Cambria"/>
          <w:sz w:val="20"/>
          <w:szCs w:val="20"/>
          <w:lang w:val="es-VE"/>
        </w:rPr>
        <w:t xml:space="preserve"> y</w:t>
      </w:r>
      <w:r w:rsidRPr="003E616A">
        <w:rPr>
          <w:rFonts w:ascii="Cambria" w:hAnsi="Cambria"/>
          <w:sz w:val="20"/>
          <w:szCs w:val="20"/>
          <w:lang w:val="es-VE"/>
        </w:rPr>
        <w:t xml:space="preserve"> el Estado se ha negado sistemáticamente a permitirles el acceso al mismo</w:t>
      </w:r>
      <w:r w:rsidRPr="003E616A">
        <w:rPr>
          <w:rFonts w:ascii="Cambria" w:hAnsi="Cambria"/>
          <w:sz w:val="20"/>
          <w:szCs w:val="20"/>
          <w:vertAlign w:val="superscript"/>
          <w:lang w:val="es-VE"/>
        </w:rPr>
        <w:footnoteReference w:id="94"/>
      </w:r>
      <w:r w:rsidRPr="003E616A">
        <w:rPr>
          <w:rFonts w:ascii="Cambria" w:hAnsi="Cambria"/>
          <w:sz w:val="20"/>
          <w:szCs w:val="20"/>
          <w:lang w:val="es-VE"/>
        </w:rPr>
        <w:t xml:space="preserve">. El Estado </w:t>
      </w:r>
      <w:r w:rsidR="005B2E06">
        <w:rPr>
          <w:rFonts w:ascii="Cambria" w:hAnsi="Cambria"/>
          <w:sz w:val="20"/>
          <w:szCs w:val="20"/>
          <w:lang w:val="es-VE"/>
        </w:rPr>
        <w:t>argumentó</w:t>
      </w:r>
      <w:r w:rsidRPr="003E616A">
        <w:rPr>
          <w:rFonts w:ascii="Cambria" w:hAnsi="Cambria"/>
          <w:sz w:val="20"/>
          <w:szCs w:val="20"/>
          <w:lang w:val="es-VE"/>
        </w:rPr>
        <w:t xml:space="preserve"> que “no se puede permitir a particulares el acceso a las diligencias investigativas en virtud que estos pueden entorpecer las mismas”</w:t>
      </w:r>
      <w:r w:rsidRPr="003E616A">
        <w:rPr>
          <w:rFonts w:ascii="Cambria" w:hAnsi="Cambria"/>
          <w:sz w:val="20"/>
          <w:szCs w:val="20"/>
          <w:vertAlign w:val="superscript"/>
          <w:lang w:val="es-VE"/>
        </w:rPr>
        <w:footnoteReference w:id="95"/>
      </w:r>
      <w:r w:rsidRPr="003E616A">
        <w:rPr>
          <w:rFonts w:ascii="Cambria" w:hAnsi="Cambria"/>
          <w:sz w:val="20"/>
          <w:szCs w:val="20"/>
          <w:lang w:val="es-VE"/>
        </w:rPr>
        <w:t xml:space="preserve">. </w:t>
      </w:r>
      <w:r w:rsidR="005719D6" w:rsidRPr="00275C5A">
        <w:rPr>
          <w:rFonts w:ascii="Cambria" w:hAnsi="Cambria"/>
          <w:sz w:val="20"/>
          <w:szCs w:val="20"/>
          <w:lang w:val="es-VE"/>
        </w:rPr>
        <w:t>El Estado indicó</w:t>
      </w:r>
      <w:r w:rsidR="003A1D90" w:rsidRPr="00275C5A">
        <w:rPr>
          <w:rFonts w:ascii="Cambria" w:hAnsi="Cambria"/>
          <w:sz w:val="20"/>
          <w:szCs w:val="20"/>
          <w:lang w:val="es-VE"/>
        </w:rPr>
        <w:t xml:space="preserve"> que el 13 de septiembre de 2017 se solicitó al “Almacén de Evidencias un informe sobre los indicios recolectados en la escena y así poder conocer la ubicación de cada uno de ellos y el laboratorio a cargo de quien se puedan encontrar”. Señaló que con esto se pretendía redireccionar las solicitudes de dictámenes e informes periciales</w:t>
      </w:r>
      <w:r w:rsidR="003A1D90" w:rsidRPr="003E616A">
        <w:rPr>
          <w:rFonts w:ascii="Cambria" w:hAnsi="Cambria"/>
          <w:sz w:val="20"/>
          <w:szCs w:val="20"/>
          <w:vertAlign w:val="superscript"/>
          <w:lang w:val="es-VE"/>
        </w:rPr>
        <w:footnoteReference w:id="96"/>
      </w:r>
      <w:r w:rsidR="003A1D90" w:rsidRPr="00275C5A">
        <w:rPr>
          <w:rFonts w:ascii="Cambria" w:hAnsi="Cambria"/>
          <w:sz w:val="20"/>
          <w:szCs w:val="20"/>
          <w:lang w:val="es-VE"/>
        </w:rPr>
        <w:t>.</w:t>
      </w:r>
    </w:p>
    <w:p w14:paraId="2F680F1B"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VE"/>
        </w:rPr>
      </w:pPr>
    </w:p>
    <w:p w14:paraId="51649AB2" w14:textId="07D844CC" w:rsidR="00D222A3" w:rsidRPr="00275C5A"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parte peticionaria indicó que a la fecha de presentación de sus observaciones sobre el fondo del asunto en abril de 2017, no contaba con copia íntegra y actualizada del expediente investigativo</w:t>
      </w:r>
      <w:r w:rsidRPr="003E616A">
        <w:rPr>
          <w:rFonts w:ascii="Cambria" w:hAnsi="Cambria"/>
          <w:sz w:val="20"/>
          <w:szCs w:val="20"/>
          <w:vertAlign w:val="superscript"/>
          <w:lang w:val="es-VE"/>
        </w:rPr>
        <w:footnoteReference w:id="97"/>
      </w:r>
      <w:r w:rsidRPr="003E616A">
        <w:rPr>
          <w:rFonts w:ascii="Cambria" w:hAnsi="Cambria"/>
          <w:sz w:val="20"/>
          <w:szCs w:val="20"/>
          <w:lang w:val="es-VE"/>
        </w:rPr>
        <w:t>.</w:t>
      </w:r>
    </w:p>
    <w:p w14:paraId="1B8F743C" w14:textId="77777777" w:rsidR="00D222A3" w:rsidRPr="00C137B0"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 xml:space="preserve">La parte peticionaria afirmó que el homicidio de Vicky ocasionó un choque emocional terrible para </w:t>
      </w:r>
      <w:r w:rsidR="00E35469">
        <w:rPr>
          <w:rFonts w:ascii="Cambria" w:hAnsi="Cambria"/>
          <w:sz w:val="20"/>
          <w:szCs w:val="20"/>
          <w:lang w:val="es-VE"/>
        </w:rPr>
        <w:t>su</w:t>
      </w:r>
      <w:r w:rsidRPr="003E616A">
        <w:rPr>
          <w:rFonts w:ascii="Cambria" w:hAnsi="Cambria"/>
          <w:sz w:val="20"/>
          <w:szCs w:val="20"/>
          <w:lang w:val="es-VE"/>
        </w:rPr>
        <w:t xml:space="preserve"> madre, quien a la fecha sigue sufriendo la pérdida de su hija</w:t>
      </w:r>
      <w:r w:rsidRPr="003E616A">
        <w:rPr>
          <w:rFonts w:ascii="Cambria" w:hAnsi="Cambria"/>
          <w:sz w:val="20"/>
          <w:szCs w:val="20"/>
          <w:vertAlign w:val="superscript"/>
          <w:lang w:val="es-VE"/>
        </w:rPr>
        <w:footnoteReference w:id="98"/>
      </w:r>
      <w:r w:rsidRPr="003E616A">
        <w:rPr>
          <w:rFonts w:ascii="Cambria" w:hAnsi="Cambria"/>
          <w:sz w:val="20"/>
          <w:szCs w:val="20"/>
          <w:lang w:val="es-VE"/>
        </w:rPr>
        <w:t>. Señaló que más allá de la estrecha relación que la señora Rosa Argelia tenía con su hija, el homicidio de Vicky agravó su situación económica puesto que Vicky aportaba para la crianza y educación de su sobrina Argelia Johanna Reyes, quien continúa bajo la tutoría de su abuela Rosa Argelia</w:t>
      </w:r>
      <w:r w:rsidRPr="003E616A">
        <w:rPr>
          <w:rFonts w:ascii="Cambria" w:hAnsi="Cambria"/>
          <w:sz w:val="20"/>
          <w:szCs w:val="20"/>
          <w:vertAlign w:val="superscript"/>
          <w:lang w:val="es-VE"/>
        </w:rPr>
        <w:footnoteReference w:id="99"/>
      </w:r>
      <w:r w:rsidR="00C137B0">
        <w:rPr>
          <w:rFonts w:ascii="Cambria" w:hAnsi="Cambria"/>
          <w:sz w:val="20"/>
          <w:szCs w:val="20"/>
          <w:lang w:val="es-VE"/>
        </w:rPr>
        <w:t>.</w:t>
      </w:r>
      <w:r w:rsidR="00C137B0" w:rsidRPr="00C137B0">
        <w:rPr>
          <w:rFonts w:ascii="Cambria" w:hAnsi="Cambria"/>
          <w:sz w:val="20"/>
          <w:szCs w:val="20"/>
          <w:lang w:val="es-VE"/>
        </w:rPr>
        <w:t xml:space="preserve"> </w:t>
      </w:r>
      <w:r w:rsidRPr="00C137B0">
        <w:rPr>
          <w:rFonts w:ascii="Cambria" w:hAnsi="Cambria"/>
          <w:sz w:val="20"/>
          <w:szCs w:val="20"/>
          <w:lang w:val="es-VE"/>
        </w:rPr>
        <w:t>La parte peticionaria indicó a la fecha las tres siguen sufriendo del daño emocional provocado por las circunstancias violentas del transfemicidio de Vicky</w:t>
      </w:r>
      <w:r w:rsidRPr="003E616A">
        <w:rPr>
          <w:rFonts w:ascii="Cambria" w:hAnsi="Cambria"/>
          <w:sz w:val="20"/>
          <w:szCs w:val="20"/>
          <w:vertAlign w:val="superscript"/>
          <w:lang w:val="es-VE"/>
        </w:rPr>
        <w:footnoteReference w:id="100"/>
      </w:r>
      <w:r w:rsidRPr="00C137B0">
        <w:rPr>
          <w:rFonts w:ascii="Cambria" w:hAnsi="Cambria"/>
          <w:sz w:val="20"/>
          <w:szCs w:val="20"/>
          <w:lang w:val="es-VE"/>
        </w:rPr>
        <w:t>. Señaló que ese sentimiento se ha visto agravado por la obstaculización por parte de las autoridades durante la investigación, y que la señora Rosa Argelia afirma que los responsables del homicidio de su hija fueron agentes estatales</w:t>
      </w:r>
      <w:r w:rsidRPr="003E616A">
        <w:rPr>
          <w:rFonts w:ascii="Cambria" w:hAnsi="Cambria"/>
          <w:sz w:val="20"/>
          <w:szCs w:val="20"/>
          <w:vertAlign w:val="superscript"/>
          <w:lang w:val="es-VE"/>
        </w:rPr>
        <w:footnoteReference w:id="101"/>
      </w:r>
      <w:r w:rsidRPr="00C137B0">
        <w:rPr>
          <w:rFonts w:ascii="Cambria" w:hAnsi="Cambria"/>
          <w:sz w:val="20"/>
          <w:szCs w:val="20"/>
          <w:lang w:val="es-VE"/>
        </w:rPr>
        <w:t xml:space="preserve">. </w:t>
      </w:r>
    </w:p>
    <w:p w14:paraId="696AE5E8" w14:textId="77777777" w:rsidR="00D222A3" w:rsidRPr="003E616A" w:rsidRDefault="00D222A3"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8748291" w14:textId="0EFE967F" w:rsidR="004D2720" w:rsidRDefault="00D222A3"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E616A">
        <w:rPr>
          <w:rFonts w:ascii="Cambria" w:hAnsi="Cambria"/>
          <w:sz w:val="20"/>
          <w:szCs w:val="20"/>
          <w:lang w:val="es-VE"/>
        </w:rPr>
        <w:t>La parte peticionaria indicó que el transfemicidio de Vicky generó un fuerte impacto en la comunidad de la diversidad sexual en Honduras. Afirmó que las compañeras activistas de Vicky siguen luchando para que se esclarezcan las circunstancias de su muerte y fueron quienes ayudaron a la madre de Vicky a obtener representación legal en el 2013 con el fin de revisar el caso y promover el acceso a la justicia de Vicky y sus familiares</w:t>
      </w:r>
      <w:r w:rsidRPr="003E616A">
        <w:rPr>
          <w:rFonts w:ascii="Cambria" w:hAnsi="Cambria"/>
          <w:sz w:val="20"/>
          <w:szCs w:val="20"/>
          <w:vertAlign w:val="superscript"/>
          <w:lang w:val="es-VE"/>
        </w:rPr>
        <w:footnoteReference w:id="102"/>
      </w:r>
      <w:r w:rsidRPr="003E616A">
        <w:rPr>
          <w:rFonts w:ascii="Cambria" w:hAnsi="Cambria"/>
          <w:sz w:val="20"/>
          <w:szCs w:val="20"/>
          <w:lang w:val="es-VE"/>
        </w:rPr>
        <w:t>. Seis de las sietes mujeres que fundaron el Colectivo Unidad Color Rosa, Colectivo TTT, al cual Vicky pertenecía, han sido asesinadas; y de las 27 mujeres trans asesinadas en Honduras entre el 2009 y el 2012, 15 eran activistas de dicho colectivo</w:t>
      </w:r>
      <w:r w:rsidRPr="003E616A">
        <w:rPr>
          <w:rFonts w:ascii="Cambria" w:hAnsi="Cambria"/>
          <w:sz w:val="20"/>
          <w:szCs w:val="20"/>
          <w:vertAlign w:val="superscript"/>
          <w:lang w:val="es-VE"/>
        </w:rPr>
        <w:footnoteReference w:id="103"/>
      </w:r>
      <w:r w:rsidRPr="003E616A">
        <w:rPr>
          <w:rFonts w:ascii="Cambria" w:hAnsi="Cambria"/>
          <w:sz w:val="20"/>
          <w:szCs w:val="20"/>
          <w:lang w:val="es-VE"/>
        </w:rPr>
        <w:t>.</w:t>
      </w:r>
    </w:p>
    <w:p w14:paraId="5A5B3762" w14:textId="18B43EA6" w:rsidR="003C3ADE" w:rsidRPr="006C35D0" w:rsidRDefault="00D12193" w:rsidP="006C35D0">
      <w:pPr>
        <w:pStyle w:val="Heading1"/>
        <w:ind w:hanging="90"/>
        <w:rPr>
          <w:color w:val="auto"/>
          <w:sz w:val="20"/>
          <w:szCs w:val="20"/>
          <w:lang w:val="es-ES_tradnl"/>
        </w:rPr>
      </w:pPr>
      <w:bookmarkStart w:id="13" w:name="_Toc536451318"/>
      <w:r w:rsidRPr="006C35D0">
        <w:rPr>
          <w:color w:val="auto"/>
          <w:sz w:val="20"/>
          <w:szCs w:val="20"/>
          <w:lang w:val="es-ES_tradnl"/>
        </w:rPr>
        <w:lastRenderedPageBreak/>
        <w:t>ANÁLISIS DE DERECHO</w:t>
      </w:r>
      <w:bookmarkEnd w:id="13"/>
    </w:p>
    <w:p w14:paraId="23F8B059" w14:textId="763D77DB" w:rsidR="006C35D0" w:rsidRPr="006C35D0" w:rsidRDefault="003C3ADE" w:rsidP="00094AFC">
      <w:pPr>
        <w:pStyle w:val="Heading2"/>
        <w:numPr>
          <w:ilvl w:val="0"/>
          <w:numId w:val="63"/>
        </w:numPr>
        <w:ind w:hanging="90"/>
        <w:rPr>
          <w:rFonts w:asciiTheme="majorHAnsi" w:eastAsia="Calibri" w:hAnsiTheme="majorHAnsi"/>
          <w:i w:val="0"/>
          <w:sz w:val="20"/>
          <w:szCs w:val="20"/>
          <w:lang w:val="es-CO"/>
        </w:rPr>
      </w:pPr>
      <w:bookmarkStart w:id="14" w:name="_Toc536451319"/>
      <w:r w:rsidRPr="006C35D0">
        <w:rPr>
          <w:rFonts w:asciiTheme="majorHAnsi" w:eastAsia="Calibri" w:hAnsiTheme="majorHAnsi"/>
          <w:i w:val="0"/>
          <w:sz w:val="20"/>
          <w:szCs w:val="20"/>
          <w:lang w:val="es-CO"/>
        </w:rPr>
        <w:t>Derechos a la vida</w:t>
      </w:r>
      <w:r w:rsidRPr="006C35D0">
        <w:rPr>
          <w:rFonts w:asciiTheme="majorHAnsi" w:eastAsia="Batang" w:hAnsiTheme="majorHAnsi"/>
          <w:i w:val="0"/>
          <w:sz w:val="20"/>
          <w:szCs w:val="20"/>
          <w:vertAlign w:val="superscript"/>
          <w:lang w:val="es-CO"/>
        </w:rPr>
        <w:footnoteReference w:id="104"/>
      </w:r>
      <w:r w:rsidRPr="006C35D0">
        <w:rPr>
          <w:rFonts w:asciiTheme="majorHAnsi" w:eastAsia="Calibri" w:hAnsiTheme="majorHAnsi"/>
          <w:i w:val="0"/>
          <w:sz w:val="20"/>
          <w:szCs w:val="20"/>
          <w:lang w:val="es-CO"/>
        </w:rPr>
        <w:t>, integridad personal</w:t>
      </w:r>
      <w:r w:rsidRPr="006C35D0">
        <w:rPr>
          <w:rFonts w:asciiTheme="majorHAnsi" w:eastAsia="Batang" w:hAnsiTheme="majorHAnsi"/>
          <w:i w:val="0"/>
          <w:sz w:val="20"/>
          <w:szCs w:val="20"/>
          <w:vertAlign w:val="superscript"/>
          <w:lang w:val="es-CO"/>
        </w:rPr>
        <w:footnoteReference w:id="105"/>
      </w:r>
      <w:r w:rsidRPr="006C35D0">
        <w:rPr>
          <w:rFonts w:asciiTheme="majorHAnsi" w:eastAsia="Calibri" w:hAnsiTheme="majorHAnsi"/>
          <w:i w:val="0"/>
          <w:sz w:val="20"/>
          <w:szCs w:val="20"/>
          <w:lang w:val="es-CO"/>
        </w:rPr>
        <w:t>, vida privada</w:t>
      </w:r>
      <w:r w:rsidRPr="006C35D0">
        <w:rPr>
          <w:rFonts w:asciiTheme="majorHAnsi" w:eastAsia="Calibri" w:hAnsiTheme="majorHAnsi"/>
          <w:i w:val="0"/>
          <w:sz w:val="20"/>
          <w:szCs w:val="20"/>
          <w:vertAlign w:val="superscript"/>
        </w:rPr>
        <w:footnoteReference w:id="106"/>
      </w:r>
      <w:r w:rsidRPr="006C35D0">
        <w:rPr>
          <w:rFonts w:asciiTheme="majorHAnsi" w:eastAsia="Calibri" w:hAnsiTheme="majorHAnsi"/>
          <w:i w:val="0"/>
          <w:sz w:val="20"/>
          <w:szCs w:val="20"/>
          <w:lang w:val="es-CO"/>
        </w:rPr>
        <w:t>, libertad de expresión</w:t>
      </w:r>
      <w:r w:rsidRPr="006C35D0">
        <w:rPr>
          <w:rFonts w:asciiTheme="majorHAnsi" w:eastAsia="Calibri" w:hAnsiTheme="majorHAnsi"/>
          <w:i w:val="0"/>
          <w:sz w:val="20"/>
          <w:szCs w:val="20"/>
          <w:vertAlign w:val="superscript"/>
          <w:lang w:val="es-CO"/>
        </w:rPr>
        <w:footnoteReference w:id="107"/>
      </w:r>
      <w:r w:rsidRPr="006C35D0">
        <w:rPr>
          <w:rFonts w:asciiTheme="majorHAnsi" w:eastAsia="Calibri" w:hAnsiTheme="majorHAnsi"/>
          <w:i w:val="0"/>
          <w:sz w:val="20"/>
          <w:szCs w:val="20"/>
          <w:lang w:val="es-CO"/>
        </w:rPr>
        <w:t>, igualdad y no discriminación</w:t>
      </w:r>
      <w:r w:rsidRPr="006C35D0">
        <w:rPr>
          <w:rFonts w:asciiTheme="majorHAnsi" w:eastAsia="Batang" w:hAnsiTheme="majorHAnsi"/>
          <w:i w:val="0"/>
          <w:sz w:val="20"/>
          <w:szCs w:val="20"/>
          <w:vertAlign w:val="superscript"/>
          <w:lang w:val="es-CO"/>
        </w:rPr>
        <w:footnoteReference w:id="108"/>
      </w:r>
      <w:r w:rsidRPr="006C35D0">
        <w:rPr>
          <w:rFonts w:asciiTheme="majorHAnsi" w:eastAsia="Calibri" w:hAnsiTheme="majorHAnsi"/>
          <w:i w:val="0"/>
          <w:sz w:val="20"/>
          <w:szCs w:val="20"/>
          <w:lang w:val="es-CO"/>
        </w:rPr>
        <w:t xml:space="preserve"> y a vivir libre de violencia</w:t>
      </w:r>
      <w:r w:rsidRPr="006C35D0">
        <w:rPr>
          <w:rFonts w:asciiTheme="majorHAnsi" w:eastAsia="Calibri" w:hAnsiTheme="majorHAnsi"/>
          <w:i w:val="0"/>
          <w:sz w:val="20"/>
          <w:szCs w:val="20"/>
          <w:vertAlign w:val="superscript"/>
          <w:lang w:val="es-US"/>
        </w:rPr>
        <w:footnoteReference w:id="109"/>
      </w:r>
      <w:r w:rsidRPr="006C35D0">
        <w:rPr>
          <w:rFonts w:asciiTheme="majorHAnsi" w:eastAsia="Calibri" w:hAnsiTheme="majorHAnsi"/>
          <w:i w:val="0"/>
          <w:sz w:val="20"/>
          <w:szCs w:val="20"/>
          <w:lang w:val="es-CO"/>
        </w:rPr>
        <w:t xml:space="preserve"> (Artículos 4.1, 5.1, 11, 13, 24 y 1.1 de la Convención Americana y 7 a) y b) de la Convención de Belém do Pará)</w:t>
      </w:r>
      <w:bookmarkEnd w:id="14"/>
    </w:p>
    <w:p w14:paraId="2F1DFB0E" w14:textId="65880A19" w:rsidR="003C3ADE" w:rsidRPr="006C35D0" w:rsidRDefault="003C3ADE" w:rsidP="00094AFC">
      <w:pPr>
        <w:pStyle w:val="Heading3"/>
        <w:numPr>
          <w:ilvl w:val="0"/>
          <w:numId w:val="64"/>
        </w:numPr>
        <w:ind w:hanging="90"/>
        <w:rPr>
          <w:rFonts w:asciiTheme="majorHAnsi" w:eastAsia="Calibri" w:hAnsiTheme="majorHAnsi"/>
          <w:sz w:val="20"/>
          <w:szCs w:val="20"/>
          <w:lang w:val="es-CO"/>
        </w:rPr>
      </w:pPr>
      <w:bookmarkStart w:id="15" w:name="_Toc536451320"/>
      <w:r w:rsidRPr="006C35D0">
        <w:rPr>
          <w:rFonts w:asciiTheme="majorHAnsi" w:eastAsia="Calibri" w:hAnsiTheme="majorHAnsi"/>
          <w:sz w:val="20"/>
          <w:szCs w:val="20"/>
          <w:lang w:val="es-CO"/>
        </w:rPr>
        <w:t>Consideraciones generales sobre derecho a la vida y deberes de respeto y garantía</w:t>
      </w:r>
      <w:bookmarkEnd w:id="15"/>
    </w:p>
    <w:p w14:paraId="2BFEC822"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b/>
          <w:sz w:val="20"/>
          <w:szCs w:val="20"/>
          <w:bdr w:val="none" w:sz="0" w:space="0" w:color="auto"/>
          <w:lang w:val="es-CO"/>
        </w:rPr>
      </w:pPr>
    </w:p>
    <w:p w14:paraId="0D54F36B" w14:textId="03A15BD5"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_tradnl"/>
        </w:rPr>
        <w:t>La Comisión recuerda que el derecho a la vida es prerrequisito del disfrute de todos los demás derechos humanos y sin cuyo respeto todos los demás carecen de sentido</w:t>
      </w:r>
      <w:r w:rsidRPr="003C3ADE">
        <w:rPr>
          <w:rFonts w:ascii="Cambria" w:eastAsia="Calibri" w:hAnsi="Cambria"/>
          <w:sz w:val="20"/>
          <w:szCs w:val="20"/>
          <w:bdr w:val="none" w:sz="0" w:space="0" w:color="auto"/>
          <w:vertAlign w:val="superscript"/>
          <w:lang w:val="es-ES_tradnl"/>
        </w:rPr>
        <w:footnoteReference w:id="110"/>
      </w:r>
      <w:r w:rsidRPr="003C3ADE">
        <w:rPr>
          <w:rFonts w:ascii="Cambria" w:eastAsia="Calibri" w:hAnsi="Cambria"/>
          <w:sz w:val="20"/>
          <w:szCs w:val="20"/>
          <w:bdr w:val="none" w:sz="0" w:space="0" w:color="auto"/>
          <w:vertAlign w:val="superscript"/>
          <w:lang w:val="es-ES_tradnl"/>
        </w:rPr>
        <w:t>.</w:t>
      </w:r>
      <w:r w:rsidRPr="003C3ADE">
        <w:rPr>
          <w:rFonts w:ascii="Cambria" w:eastAsia="Calibri" w:hAnsi="Cambria"/>
          <w:sz w:val="20"/>
          <w:szCs w:val="20"/>
          <w:bdr w:val="none" w:sz="0" w:space="0" w:color="auto"/>
          <w:lang w:val="es-ES_tradnl"/>
        </w:rPr>
        <w:t xml:space="preserve">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3C3ADE">
        <w:rPr>
          <w:rFonts w:ascii="Cambria" w:eastAsia="Calibri" w:hAnsi="Cambria"/>
          <w:sz w:val="20"/>
          <w:szCs w:val="20"/>
          <w:bdr w:val="none" w:sz="0" w:space="0" w:color="auto"/>
          <w:vertAlign w:val="superscript"/>
          <w:lang w:val="es-ES_tradnl"/>
        </w:rPr>
        <w:footnoteReference w:id="111"/>
      </w:r>
      <w:r>
        <w:rPr>
          <w:rFonts w:ascii="Cambria" w:eastAsia="Calibri" w:hAnsi="Cambria"/>
          <w:sz w:val="20"/>
          <w:szCs w:val="20"/>
          <w:bdr w:val="none" w:sz="0" w:space="0" w:color="auto"/>
          <w:lang w:val="es-ES_tradnl"/>
        </w:rPr>
        <w:t>.</w:t>
      </w:r>
    </w:p>
    <w:p w14:paraId="760A490D"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ES"/>
        </w:rPr>
      </w:pPr>
    </w:p>
    <w:p w14:paraId="37917C37" w14:textId="01FCB316"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PE"/>
        </w:rPr>
      </w:pPr>
      <w:r w:rsidRPr="003C3ADE">
        <w:rPr>
          <w:rFonts w:ascii="Cambria" w:eastAsia="Calibri" w:hAnsi="Cambria"/>
          <w:sz w:val="20"/>
          <w:szCs w:val="20"/>
          <w:bdr w:val="none" w:sz="0" w:space="0" w:color="auto"/>
          <w:lang w:val="es-PE"/>
        </w:rPr>
        <w:t xml:space="preserve">Desde </w:t>
      </w:r>
      <w:r w:rsidRPr="003C3ADE">
        <w:rPr>
          <w:rFonts w:ascii="Cambria" w:eastAsia="Calibri" w:hAnsi="Cambria"/>
          <w:sz w:val="20"/>
          <w:szCs w:val="20"/>
          <w:bdr w:val="none" w:sz="0" w:space="0" w:color="auto"/>
          <w:lang w:val="es-CO"/>
        </w:rPr>
        <w:t>su</w:t>
      </w:r>
      <w:r w:rsidRPr="003C3ADE">
        <w:rPr>
          <w:rFonts w:ascii="Cambria" w:eastAsia="Calibri" w:hAnsi="Cambria"/>
          <w:sz w:val="20"/>
          <w:szCs w:val="20"/>
          <w:bdr w:val="none" w:sz="0" w:space="0" w:color="auto"/>
          <w:lang w:val="es-PE"/>
        </w:rPr>
        <w:t xml:space="preserve"> primera sentencia en un caso contencioso, la Corte Interamericana indicó que: </w:t>
      </w:r>
    </w:p>
    <w:p w14:paraId="604CA14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PE"/>
        </w:rPr>
      </w:pPr>
    </w:p>
    <w:p w14:paraId="218D1AE3" w14:textId="566F14EE" w:rsid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810"/>
        <w:jc w:val="both"/>
        <w:rPr>
          <w:rFonts w:ascii="Cambria" w:eastAsia="Calibri" w:hAnsi="Cambria" w:cs="Verdana"/>
          <w:sz w:val="20"/>
          <w:szCs w:val="20"/>
          <w:bdr w:val="none" w:sz="0" w:space="0" w:color="auto"/>
          <w:lang w:val="es-US" w:eastAsia="es-ES"/>
        </w:rPr>
      </w:pPr>
      <w:r w:rsidRPr="003C3ADE">
        <w:rPr>
          <w:rFonts w:ascii="Cambria" w:eastAsia="Calibri" w:hAnsi="Cambria" w:cs="Verdana"/>
          <w:sz w:val="20"/>
          <w:szCs w:val="20"/>
          <w:bdr w:val="none" w:sz="0" w:space="0" w:color="auto"/>
          <w:lang w:val="es-US" w:eastAsia="es-ES"/>
        </w:rPr>
        <w:t>El artículo 1.1 es fundamental para determinar si una violación de los derechos humanos reconocidos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w:t>
      </w:r>
      <w:r w:rsidRPr="003C3ADE">
        <w:rPr>
          <w:rFonts w:ascii="Cambria" w:eastAsia="Calibri" w:hAnsi="Cambria"/>
          <w:sz w:val="20"/>
          <w:szCs w:val="20"/>
          <w:bdr w:val="none" w:sz="0" w:space="0" w:color="auto"/>
          <w:vertAlign w:val="superscript"/>
          <w:lang w:val="es-US"/>
        </w:rPr>
        <w:footnoteReference w:id="112"/>
      </w:r>
      <w:r w:rsidRPr="003C3ADE">
        <w:rPr>
          <w:rFonts w:ascii="Cambria" w:eastAsia="Calibri" w:hAnsi="Cambria" w:cs="Verdana"/>
          <w:sz w:val="20"/>
          <w:szCs w:val="20"/>
          <w:bdr w:val="none" w:sz="0" w:space="0" w:color="auto"/>
          <w:lang w:val="es-US" w:eastAsia="es-ES"/>
        </w:rPr>
        <w:t>.</w:t>
      </w:r>
    </w:p>
    <w:p w14:paraId="2D933F31"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810"/>
        <w:jc w:val="both"/>
        <w:rPr>
          <w:rFonts w:ascii="Cambria" w:eastAsia="Calibri" w:hAnsi="Cambria" w:cs="Verdana"/>
          <w:bCs/>
          <w:sz w:val="20"/>
          <w:szCs w:val="20"/>
          <w:lang w:val="es-US" w:eastAsia="es-ES"/>
        </w:rPr>
      </w:pPr>
    </w:p>
    <w:p w14:paraId="53F5B83B" w14:textId="7D5E0825"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PE"/>
        </w:rPr>
        <w:t xml:space="preserve">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w:t>
      </w:r>
      <w:r w:rsidRPr="003C3ADE">
        <w:rPr>
          <w:rFonts w:ascii="Cambria" w:eastAsia="Calibri" w:hAnsi="Cambria"/>
          <w:sz w:val="20"/>
          <w:szCs w:val="20"/>
          <w:bdr w:val="none" w:sz="0" w:space="0" w:color="auto"/>
          <w:lang w:val="es-ES"/>
        </w:rPr>
        <w:t>sus</w:t>
      </w:r>
      <w:r w:rsidRPr="003C3ADE">
        <w:rPr>
          <w:rFonts w:ascii="Cambria" w:eastAsia="Calibri" w:hAnsi="Cambria"/>
          <w:sz w:val="20"/>
          <w:szCs w:val="20"/>
          <w:bdr w:val="none" w:sz="0" w:space="0" w:color="auto"/>
          <w:lang w:val="es-PE"/>
        </w:rPr>
        <w:t xml:space="preserve"> autores o su intencionalidad, tampoco es preciso identificar individualmente a los agentes a los cuales se atribuyen los hechos violatorios. </w:t>
      </w:r>
      <w:r w:rsidRPr="003C3ADE">
        <w:rPr>
          <w:rFonts w:ascii="Cambria" w:eastAsia="Calibri" w:hAnsi="Cambria"/>
          <w:sz w:val="20"/>
          <w:szCs w:val="20"/>
          <w:bdr w:val="none" w:sz="0" w:space="0" w:color="auto"/>
          <w:lang w:val="es-VE"/>
        </w:rPr>
        <w:t>Es suficiente demostrar “que se han verificado acciones u omisiones que hayan permitido la perpetración de esas violaciones o que exista una obligación del Estado que haya sido incumplida por éste”</w:t>
      </w:r>
      <w:r w:rsidRPr="003C3ADE">
        <w:rPr>
          <w:rFonts w:ascii="Cambria" w:eastAsia="Calibri" w:hAnsi="Cambria"/>
          <w:sz w:val="20"/>
          <w:szCs w:val="20"/>
          <w:bdr w:val="none" w:sz="0" w:space="0" w:color="auto"/>
          <w:vertAlign w:val="superscript"/>
        </w:rPr>
        <w:footnoteReference w:id="113"/>
      </w:r>
      <w:r w:rsidRPr="003C3ADE">
        <w:rPr>
          <w:rFonts w:ascii="Cambria" w:eastAsia="Calibri" w:hAnsi="Cambria"/>
          <w:sz w:val="20"/>
          <w:szCs w:val="20"/>
          <w:bdr w:val="none" w:sz="0" w:space="0" w:color="auto"/>
          <w:lang w:val="es-VE"/>
        </w:rPr>
        <w:t>.</w:t>
      </w:r>
    </w:p>
    <w:p w14:paraId="04EC16E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VE"/>
        </w:rPr>
      </w:pPr>
    </w:p>
    <w:p w14:paraId="48D89F05" w14:textId="0B1841DE"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PE"/>
        </w:rPr>
      </w:pPr>
      <w:r w:rsidRPr="003C3ADE">
        <w:rPr>
          <w:rFonts w:ascii="Cambria" w:eastAsia="Calibri" w:hAnsi="Cambria"/>
          <w:sz w:val="20"/>
          <w:szCs w:val="20"/>
          <w:bdr w:val="none" w:sz="0" w:space="0" w:color="auto"/>
          <w:lang w:val="es-VE"/>
        </w:rPr>
        <w:t xml:space="preserve">A lo largo del trabajo de la Comisión y la Corte, se han definido los contenidos de las obligaciones de respeto y de garantía conforme al artículo 1.1 de la Convención. </w:t>
      </w:r>
      <w:r w:rsidRPr="003C3ADE">
        <w:rPr>
          <w:rFonts w:ascii="Cambria" w:eastAsia="Calibri" w:hAnsi="Cambria"/>
          <w:sz w:val="20"/>
          <w:szCs w:val="20"/>
          <w:bdr w:val="none" w:sz="0" w:space="0" w:color="auto"/>
          <w:lang w:val="es-PE"/>
        </w:rPr>
        <w:t xml:space="preserve">Sobre la obligación de respeto, la Corte indicó que </w:t>
      </w:r>
      <w:r w:rsidRPr="003C3ADE">
        <w:rPr>
          <w:rFonts w:ascii="Cambria" w:eastAsia="Calibri" w:hAnsi="Cambria"/>
          <w:sz w:val="20"/>
          <w:szCs w:val="20"/>
          <w:bdr w:val="none" w:sz="0" w:space="0" w:color="auto"/>
          <w:lang w:val="es-PE"/>
        </w:rPr>
        <w:lastRenderedPageBreak/>
        <w:t>“conforme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3C3ADE">
        <w:rPr>
          <w:rFonts w:ascii="Cambria" w:eastAsia="Calibri" w:hAnsi="Cambria"/>
          <w:sz w:val="20"/>
          <w:szCs w:val="20"/>
          <w:bdr w:val="none" w:sz="0" w:space="0" w:color="auto"/>
          <w:vertAlign w:val="superscript"/>
        </w:rPr>
        <w:footnoteReference w:id="114"/>
      </w:r>
      <w:r w:rsidRPr="003C3ADE">
        <w:rPr>
          <w:rFonts w:ascii="Cambria" w:eastAsia="Calibri" w:hAnsi="Cambria"/>
          <w:sz w:val="20"/>
          <w:szCs w:val="20"/>
          <w:bdr w:val="none" w:sz="0" w:space="0" w:color="auto"/>
          <w:lang w:val="es-PE"/>
        </w:rPr>
        <w:t xml:space="preserve">. </w:t>
      </w:r>
    </w:p>
    <w:p w14:paraId="7036E55E"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PE"/>
        </w:rPr>
      </w:pPr>
    </w:p>
    <w:p w14:paraId="3704AB05" w14:textId="20FB3E34"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US"/>
        </w:rPr>
      </w:pPr>
      <w:r w:rsidRPr="003C3ADE">
        <w:rPr>
          <w:rFonts w:ascii="Cambria" w:eastAsia="Calibri" w:hAnsi="Cambria" w:cs="Verdana"/>
          <w:sz w:val="20"/>
          <w:szCs w:val="20"/>
          <w:bdr w:val="none" w:sz="0" w:space="0" w:color="auto"/>
          <w:lang w:val="es-US"/>
        </w:rPr>
        <w:t xml:space="preserve">En </w:t>
      </w:r>
      <w:r w:rsidRPr="003C3ADE">
        <w:rPr>
          <w:rFonts w:ascii="Cambria" w:eastAsia="Calibri" w:hAnsi="Cambria"/>
          <w:sz w:val="20"/>
          <w:szCs w:val="20"/>
          <w:bdr w:val="none" w:sz="0" w:space="0" w:color="auto"/>
          <w:lang w:val="es-VE"/>
        </w:rPr>
        <w:t>palabras</w:t>
      </w:r>
      <w:r w:rsidRPr="003C3ADE">
        <w:rPr>
          <w:rFonts w:ascii="Cambria" w:eastAsia="Calibri" w:hAnsi="Cambria" w:cs="Verdana"/>
          <w:sz w:val="20"/>
          <w:szCs w:val="20"/>
          <w:bdr w:val="none" w:sz="0" w:space="0" w:color="auto"/>
          <w:lang w:val="es-US"/>
        </w:rPr>
        <w:t xml:space="preserve"> de la Corte, esta conclusión es independiente de que el órgano o funcionario haya actuado en contravención de disposiciones del derecho interno o desbordado los límites de su propia competencia, puesto que es un principio de Derecho Internacional que el Estado responde por los actos de sus agentes realizados al </w:t>
      </w:r>
      <w:r w:rsidRPr="003C3ADE">
        <w:rPr>
          <w:rFonts w:ascii="Cambria" w:eastAsia="Calibri" w:hAnsi="Cambria"/>
          <w:sz w:val="20"/>
          <w:szCs w:val="20"/>
          <w:bdr w:val="none" w:sz="0" w:space="0" w:color="auto"/>
          <w:lang w:val="es-VE"/>
        </w:rPr>
        <w:t>amparo</w:t>
      </w:r>
      <w:r w:rsidRPr="003C3ADE">
        <w:rPr>
          <w:rFonts w:ascii="Cambria" w:eastAsia="Calibri" w:hAnsi="Cambria" w:cs="Verdana"/>
          <w:sz w:val="20"/>
          <w:szCs w:val="20"/>
          <w:bdr w:val="none" w:sz="0" w:space="0" w:color="auto"/>
          <w:lang w:val="es-US"/>
        </w:rPr>
        <w:t xml:space="preserve"> de su carácter oficial y por las omisiones de los mismos aun si actúan fuera de los límites de su competencia o en violación del derecho interno</w:t>
      </w:r>
      <w:r w:rsidRPr="003C3ADE">
        <w:rPr>
          <w:rFonts w:ascii="Cambria" w:eastAsia="Calibri" w:hAnsi="Cambria"/>
          <w:sz w:val="20"/>
          <w:szCs w:val="20"/>
          <w:bdr w:val="none" w:sz="0" w:space="0" w:color="auto"/>
          <w:vertAlign w:val="superscript"/>
          <w:lang w:val="es-US"/>
        </w:rPr>
        <w:footnoteReference w:id="115"/>
      </w:r>
      <w:r w:rsidRPr="003C3ADE">
        <w:rPr>
          <w:rFonts w:ascii="Cambria" w:eastAsia="Calibri" w:hAnsi="Cambria" w:cs="Verdana"/>
          <w:sz w:val="20"/>
          <w:szCs w:val="20"/>
          <w:bdr w:val="none" w:sz="0" w:space="0" w:color="auto"/>
          <w:lang w:val="es-US"/>
        </w:rPr>
        <w:t xml:space="preserve">. </w:t>
      </w:r>
    </w:p>
    <w:p w14:paraId="750728F5"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US"/>
        </w:rPr>
      </w:pPr>
    </w:p>
    <w:p w14:paraId="2BD00C90" w14:textId="2335676B"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US"/>
        </w:rPr>
      </w:pPr>
      <w:r w:rsidRPr="003C3ADE">
        <w:rPr>
          <w:rFonts w:ascii="Cambria" w:eastAsia="Calibri" w:hAnsi="Cambria" w:cs="Verdana"/>
          <w:sz w:val="20"/>
          <w:szCs w:val="20"/>
          <w:bdr w:val="none" w:sz="0" w:space="0" w:color="auto"/>
          <w:lang w:val="es-US"/>
        </w:rPr>
        <w:t xml:space="preserve">Por su parte la Comisión ha indicado que una violación de los derechos humanos </w:t>
      </w:r>
      <w:r w:rsidRPr="003C3ADE">
        <w:rPr>
          <w:rFonts w:ascii="Cambria" w:eastAsia="Calibri" w:hAnsi="Cambria"/>
          <w:sz w:val="20"/>
          <w:szCs w:val="20"/>
          <w:bdr w:val="none" w:sz="0" w:space="0" w:color="auto"/>
          <w:lang w:val="es-UY"/>
        </w:rPr>
        <w:t>protegidos por la Convención puede comprometer la responsabilidad internacional de un Estado parte sea porque la violación es perpetrada por sus propios agentes o bien</w:t>
      </w:r>
      <w:r w:rsidRPr="003C3ADE">
        <w:rPr>
          <w:rFonts w:ascii="Cambria" w:eastAsia="Calibri" w:hAnsi="Cambria"/>
          <w:b/>
          <w:sz w:val="20"/>
          <w:szCs w:val="20"/>
          <w:bdr w:val="none" w:sz="0" w:space="0" w:color="auto"/>
          <w:lang w:val="es-UY"/>
        </w:rPr>
        <w:t xml:space="preserve"> </w:t>
      </w:r>
      <w:r w:rsidRPr="003C3ADE">
        <w:rPr>
          <w:rFonts w:ascii="Cambria" w:eastAsia="Calibri" w:hAnsi="Cambria"/>
          <w:sz w:val="20"/>
          <w:szCs w:val="20"/>
          <w:bdr w:val="none" w:sz="0" w:space="0" w:color="auto"/>
          <w:lang w:val="es-UY"/>
        </w:rPr>
        <w:t xml:space="preserve">-aunque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w:t>
      </w:r>
      <w:r w:rsidRPr="003C3ADE">
        <w:rPr>
          <w:rFonts w:ascii="Cambria" w:eastAsia="Calibri" w:hAnsi="Cambria" w:cs="Verdana"/>
          <w:sz w:val="20"/>
          <w:szCs w:val="20"/>
          <w:bdr w:val="none" w:sz="0" w:space="0" w:color="auto"/>
          <w:lang w:val="es-US"/>
        </w:rPr>
        <w:t>obligación</w:t>
      </w:r>
      <w:r w:rsidRPr="003C3ADE">
        <w:rPr>
          <w:rFonts w:ascii="Cambria" w:eastAsia="Calibri" w:hAnsi="Cambria"/>
          <w:sz w:val="20"/>
          <w:szCs w:val="20"/>
          <w:bdr w:val="none" w:sz="0" w:space="0" w:color="auto"/>
          <w:lang w:val="es-UY"/>
        </w:rPr>
        <w:t xml:space="preserve"> de prevenir razonablemente las violaciones de los derechos humanos, de investigar seriamente a efecto de identificar y sancionar a los responsables y reparar adecuadamente a la víctima o sus familiares por los perjuicios causados</w:t>
      </w:r>
      <w:r w:rsidRPr="003C3ADE">
        <w:rPr>
          <w:rFonts w:ascii="Cambria" w:eastAsia="Calibri" w:hAnsi="Cambria"/>
          <w:sz w:val="20"/>
          <w:szCs w:val="20"/>
          <w:bdr w:val="none" w:sz="0" w:space="0" w:color="auto"/>
          <w:vertAlign w:val="superscript"/>
          <w:lang w:val="es-UY"/>
        </w:rPr>
        <w:footnoteReference w:id="116"/>
      </w:r>
      <w:r w:rsidRPr="003C3ADE">
        <w:rPr>
          <w:rFonts w:ascii="Cambria" w:eastAsia="Calibri" w:hAnsi="Cambria"/>
          <w:sz w:val="20"/>
          <w:szCs w:val="20"/>
          <w:bdr w:val="none" w:sz="0" w:space="0" w:color="auto"/>
          <w:lang w:val="es-UY"/>
        </w:rPr>
        <w:t>.</w:t>
      </w:r>
    </w:p>
    <w:p w14:paraId="60CDC211"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US"/>
        </w:rPr>
      </w:pPr>
    </w:p>
    <w:p w14:paraId="0130249E" w14:textId="54C4B1DF"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US"/>
        </w:rPr>
      </w:pPr>
      <w:r w:rsidRPr="003C3ADE">
        <w:rPr>
          <w:rFonts w:ascii="Cambria" w:eastAsia="Calibri" w:hAnsi="Cambria" w:cs="Verdana"/>
          <w:sz w:val="20"/>
          <w:szCs w:val="20"/>
          <w:bdr w:val="none" w:sz="0" w:space="0" w:color="auto"/>
          <w:lang w:val="es-US"/>
        </w:rPr>
        <w:t xml:space="preserve">En cuanto a la obligación de garantía, la Corte señaló que la misma  implica el deber de los Estados Partes de organizar todo el aparato gubernamental y, en general, todas las estructuras a través de las cuales se manifiesta el ejercicio del poder público, de manera tal que sean capaces de asegurar jurídicamente el libre y pleno ejercicio de </w:t>
      </w:r>
      <w:r w:rsidRPr="003C3ADE">
        <w:rPr>
          <w:rFonts w:ascii="Cambria" w:eastAsia="Calibri" w:hAnsi="Cambria"/>
          <w:sz w:val="20"/>
          <w:szCs w:val="20"/>
          <w:bdr w:val="none" w:sz="0" w:space="0" w:color="auto"/>
          <w:lang w:val="es-UY"/>
        </w:rPr>
        <w:t>los</w:t>
      </w:r>
      <w:r w:rsidRPr="003C3ADE">
        <w:rPr>
          <w:rFonts w:ascii="Cambria" w:eastAsia="Calibri" w:hAnsi="Cambria" w:cs="Verdana"/>
          <w:sz w:val="20"/>
          <w:szCs w:val="20"/>
          <w:bdr w:val="none" w:sz="0" w:space="0" w:color="auto"/>
          <w:lang w:val="es-US"/>
        </w:rPr>
        <w:t xml:space="preserve">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3C3ADE">
        <w:rPr>
          <w:rFonts w:ascii="Cambria" w:eastAsia="Calibri" w:hAnsi="Cambria"/>
          <w:sz w:val="20"/>
          <w:szCs w:val="20"/>
          <w:bdr w:val="none" w:sz="0" w:space="0" w:color="auto"/>
          <w:vertAlign w:val="superscript"/>
          <w:lang w:val="es-US"/>
        </w:rPr>
        <w:footnoteReference w:id="117"/>
      </w:r>
      <w:r w:rsidRPr="003C3ADE">
        <w:rPr>
          <w:rFonts w:ascii="Cambria" w:eastAsia="Calibri" w:hAnsi="Cambria" w:cs="Verdana"/>
          <w:sz w:val="20"/>
          <w:szCs w:val="20"/>
          <w:bdr w:val="none" w:sz="0" w:space="0" w:color="auto"/>
          <w:lang w:val="es-US"/>
        </w:rPr>
        <w:t xml:space="preserve">. </w:t>
      </w:r>
    </w:p>
    <w:p w14:paraId="60B069B3"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US"/>
        </w:rPr>
      </w:pPr>
    </w:p>
    <w:p w14:paraId="33DD1D5A" w14:textId="1C960193"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US"/>
        </w:rPr>
      </w:pPr>
      <w:r w:rsidRPr="003C3ADE">
        <w:rPr>
          <w:rFonts w:ascii="Cambria" w:eastAsia="Calibri" w:hAnsi="Cambria" w:cs="Verdana"/>
          <w:sz w:val="20"/>
          <w:szCs w:val="20"/>
          <w:bdr w:val="none" w:sz="0" w:space="0" w:color="auto"/>
          <w:lang w:val="es-US"/>
        </w:rPr>
        <w:t xml:space="preserve">Estas obligaciones resultan aplicables también frente a posibles actos de actores no estatales. Específicamente, </w:t>
      </w:r>
      <w:r w:rsidRPr="003C3ADE">
        <w:rPr>
          <w:rFonts w:ascii="Cambria" w:eastAsia="Calibri" w:hAnsi="Cambria" w:cs="Arial"/>
          <w:sz w:val="20"/>
          <w:szCs w:val="20"/>
          <w:bdr w:val="none" w:sz="0" w:space="0" w:color="auto"/>
          <w:lang w:val="es-PE"/>
        </w:rPr>
        <w:t>la Corte Interamericana ha indicado que “</w:t>
      </w:r>
      <w:r w:rsidRPr="003C3ADE">
        <w:rPr>
          <w:rFonts w:ascii="Cambria" w:eastAsia="Calibri" w:hAnsi="Cambria"/>
          <w:sz w:val="20"/>
          <w:szCs w:val="20"/>
          <w:bdr w:val="none" w:sz="0" w:space="0" w:color="auto"/>
          <w:lang w:val="es-ES"/>
        </w:rPr>
        <w:t>puede generarse</w:t>
      </w:r>
      <w:r w:rsidRPr="003C3ADE">
        <w:rPr>
          <w:rFonts w:ascii="Cambria" w:eastAsia="Calibri" w:hAnsi="Cambria"/>
          <w:b/>
          <w:sz w:val="20"/>
          <w:szCs w:val="20"/>
          <w:bdr w:val="none" w:sz="0" w:space="0" w:color="auto"/>
          <w:lang w:val="es-ES"/>
        </w:rPr>
        <w:t xml:space="preserve"> </w:t>
      </w:r>
      <w:r w:rsidRPr="003C3ADE">
        <w:rPr>
          <w:rFonts w:ascii="Cambria" w:eastAsia="Calibri" w:hAnsi="Cambria"/>
          <w:sz w:val="20"/>
          <w:szCs w:val="20"/>
          <w:bdr w:val="none" w:sz="0" w:space="0" w:color="auto"/>
          <w:lang w:val="es-ES"/>
        </w:rPr>
        <w:t>responsabilidad internacional</w:t>
      </w:r>
      <w:r w:rsidRPr="003C3ADE">
        <w:rPr>
          <w:rFonts w:ascii="Cambria" w:eastAsia="Calibri" w:hAnsi="Cambria"/>
          <w:b/>
          <w:sz w:val="20"/>
          <w:szCs w:val="20"/>
          <w:bdr w:val="none" w:sz="0" w:space="0" w:color="auto"/>
          <w:lang w:val="es-ES"/>
        </w:rPr>
        <w:t xml:space="preserve"> </w:t>
      </w:r>
      <w:r w:rsidRPr="003C3ADE">
        <w:rPr>
          <w:rFonts w:ascii="Cambria" w:eastAsia="Calibri" w:hAnsi="Cambria"/>
          <w:sz w:val="20"/>
          <w:szCs w:val="20"/>
          <w:bdr w:val="none" w:sz="0" w:space="0" w:color="auto"/>
          <w:lang w:val="es-ES"/>
        </w:rPr>
        <w:t>del Estado por atribución a éste de actos violatorios de derechos humanos</w:t>
      </w:r>
      <w:r w:rsidRPr="003C3ADE">
        <w:rPr>
          <w:rFonts w:ascii="Cambria" w:eastAsia="Calibri" w:hAnsi="Cambria"/>
          <w:b/>
          <w:sz w:val="20"/>
          <w:szCs w:val="20"/>
          <w:bdr w:val="none" w:sz="0" w:space="0" w:color="auto"/>
          <w:lang w:val="es-ES"/>
        </w:rPr>
        <w:t xml:space="preserve"> </w:t>
      </w:r>
      <w:r w:rsidRPr="003C3ADE">
        <w:rPr>
          <w:rFonts w:ascii="Cambria" w:eastAsia="Calibri" w:hAnsi="Cambria"/>
          <w:sz w:val="20"/>
          <w:szCs w:val="20"/>
          <w:bdr w:val="none" w:sz="0" w:space="0" w:color="auto"/>
          <w:lang w:val="es-ES"/>
        </w:rPr>
        <w:t>cometidos por</w:t>
      </w:r>
      <w:r w:rsidRPr="003C3ADE">
        <w:rPr>
          <w:rFonts w:ascii="Cambria" w:eastAsia="Calibri" w:hAnsi="Cambria"/>
          <w:b/>
          <w:sz w:val="20"/>
          <w:szCs w:val="20"/>
          <w:bdr w:val="none" w:sz="0" w:space="0" w:color="auto"/>
          <w:lang w:val="es-ES"/>
        </w:rPr>
        <w:t xml:space="preserve"> </w:t>
      </w:r>
      <w:r w:rsidRPr="003C3ADE">
        <w:rPr>
          <w:rFonts w:ascii="Cambria" w:eastAsia="Calibri" w:hAnsi="Cambria"/>
          <w:sz w:val="20"/>
          <w:szCs w:val="20"/>
          <w:bdr w:val="none" w:sz="0" w:space="0" w:color="auto"/>
          <w:lang w:val="es-ES"/>
        </w:rPr>
        <w:t xml:space="preserve">terceros o particulares, en el </w:t>
      </w:r>
      <w:r w:rsidRPr="003C3ADE">
        <w:rPr>
          <w:rFonts w:ascii="Cambria" w:eastAsia="Calibri" w:hAnsi="Cambria" w:cs="Verdana"/>
          <w:sz w:val="20"/>
          <w:szCs w:val="20"/>
          <w:bdr w:val="none" w:sz="0" w:space="0" w:color="auto"/>
          <w:lang w:val="es-US"/>
        </w:rPr>
        <w:t>marco</w:t>
      </w:r>
      <w:r w:rsidRPr="003C3ADE">
        <w:rPr>
          <w:rFonts w:ascii="Cambria" w:eastAsia="Calibri" w:hAnsi="Cambria"/>
          <w:sz w:val="20"/>
          <w:szCs w:val="20"/>
          <w:bdr w:val="none" w:sz="0" w:space="0" w:color="auto"/>
          <w:lang w:val="es-ES"/>
        </w:rPr>
        <w:t xml:space="preserve"> de las obligaciones del Estado de garantizar el respeto a esos derechos entre individuos</w:t>
      </w:r>
      <w:r w:rsidRPr="003C3ADE">
        <w:rPr>
          <w:rFonts w:ascii="Cambria" w:eastAsia="Calibri" w:hAnsi="Cambria"/>
          <w:sz w:val="20"/>
          <w:szCs w:val="20"/>
          <w:bdr w:val="none" w:sz="0" w:space="0" w:color="auto"/>
          <w:vertAlign w:val="superscript"/>
        </w:rPr>
        <w:footnoteReference w:id="118"/>
      </w:r>
      <w:r w:rsidRPr="003C3ADE">
        <w:rPr>
          <w:rFonts w:ascii="Cambria" w:eastAsia="Calibri" w:hAnsi="Cambria"/>
          <w:sz w:val="20"/>
          <w:szCs w:val="20"/>
          <w:bdr w:val="none" w:sz="0" w:space="0" w:color="auto"/>
          <w:lang w:val="es-ES"/>
        </w:rPr>
        <w:t xml:space="preserve"> (…) las obligaciones </w:t>
      </w:r>
      <w:r w:rsidRPr="003C3ADE">
        <w:rPr>
          <w:rFonts w:ascii="Cambria" w:eastAsia="Calibri" w:hAnsi="Cambria"/>
          <w:i/>
          <w:sz w:val="20"/>
          <w:szCs w:val="20"/>
          <w:bdr w:val="none" w:sz="0" w:space="0" w:color="auto"/>
          <w:lang w:val="es-ES"/>
        </w:rPr>
        <w:t>erga omnes</w:t>
      </w:r>
      <w:r w:rsidRPr="003C3ADE">
        <w:rPr>
          <w:rFonts w:ascii="Cambria" w:eastAsia="Calibri" w:hAnsi="Cambria"/>
          <w:sz w:val="20"/>
          <w:szCs w:val="20"/>
          <w:bdr w:val="none" w:sz="0" w:space="0" w:color="auto"/>
          <w:lang w:val="es-ES"/>
        </w:rPr>
        <w:t xml:space="preserve"> de respetar y hacer respetar las normas de protección, a cargo de los Estados </w:t>
      </w:r>
      <w:r w:rsidRPr="003C3ADE">
        <w:rPr>
          <w:rFonts w:ascii="Cambria" w:eastAsia="Calibri" w:hAnsi="Cambria"/>
          <w:sz w:val="20"/>
          <w:szCs w:val="20"/>
          <w:bdr w:val="none" w:sz="0" w:space="0" w:color="auto"/>
          <w:lang w:val="es-UY"/>
        </w:rPr>
        <w:t>Partes</w:t>
      </w:r>
      <w:r w:rsidRPr="003C3ADE">
        <w:rPr>
          <w:rFonts w:ascii="Cambria" w:eastAsia="Calibri" w:hAnsi="Cambria"/>
          <w:sz w:val="20"/>
          <w:szCs w:val="20"/>
          <w:bdr w:val="none" w:sz="0" w:space="0" w:color="auto"/>
          <w:lang w:val="es-ES"/>
        </w:rPr>
        <w:t xml:space="preserve"> en la Convención, proyectan sus efectos más allá de la relación entre sus agentes y las personas sometidas a su jurisdicción, pues se manifiestan también</w:t>
      </w:r>
      <w:r w:rsidRPr="003C3ADE">
        <w:rPr>
          <w:rFonts w:ascii="Cambria" w:eastAsia="Calibri" w:hAnsi="Cambria"/>
          <w:b/>
          <w:sz w:val="20"/>
          <w:szCs w:val="20"/>
          <w:bdr w:val="none" w:sz="0" w:space="0" w:color="auto"/>
          <w:lang w:val="es-ES"/>
        </w:rPr>
        <w:t xml:space="preserve"> </w:t>
      </w:r>
      <w:r w:rsidRPr="003C3ADE">
        <w:rPr>
          <w:rFonts w:ascii="Cambria" w:eastAsia="Calibri" w:hAnsi="Cambria"/>
          <w:sz w:val="20"/>
          <w:szCs w:val="20"/>
          <w:bdr w:val="none" w:sz="0" w:space="0" w:color="auto"/>
          <w:lang w:val="es-ES"/>
        </w:rPr>
        <w:t>en la obligación positiva del Estado de adoptar las medidas necesarias para asegurar la efectiva protección de los derechos humanos en las relaciones inter – individuales”</w:t>
      </w:r>
      <w:r w:rsidRPr="003C3ADE">
        <w:rPr>
          <w:rFonts w:ascii="Cambria" w:eastAsia="Calibri" w:hAnsi="Cambria"/>
          <w:sz w:val="20"/>
          <w:szCs w:val="20"/>
          <w:bdr w:val="none" w:sz="0" w:space="0" w:color="auto"/>
          <w:vertAlign w:val="superscript"/>
        </w:rPr>
        <w:footnoteReference w:id="119"/>
      </w:r>
      <w:r w:rsidRPr="003C3ADE">
        <w:rPr>
          <w:rFonts w:ascii="Cambria" w:eastAsia="Calibri" w:hAnsi="Cambria"/>
          <w:sz w:val="20"/>
          <w:szCs w:val="20"/>
          <w:bdr w:val="none" w:sz="0" w:space="0" w:color="auto"/>
          <w:lang w:val="es-ES"/>
        </w:rPr>
        <w:t>. Dichas obligaciones incumben a todos los sujetos del Derecho Internacional y los supuestos de incumplimiento deberán determinarse en cada caso en función de las necesidades de protección, para cada caso en particular”</w:t>
      </w:r>
      <w:r w:rsidRPr="003C3ADE">
        <w:rPr>
          <w:rFonts w:ascii="Cambria" w:eastAsia="Calibri" w:hAnsi="Cambria"/>
          <w:sz w:val="20"/>
          <w:szCs w:val="20"/>
          <w:bdr w:val="none" w:sz="0" w:space="0" w:color="auto"/>
          <w:vertAlign w:val="superscript"/>
        </w:rPr>
        <w:footnoteReference w:id="120"/>
      </w:r>
      <w:r w:rsidRPr="003C3ADE">
        <w:rPr>
          <w:rFonts w:ascii="Cambria" w:eastAsia="Calibri" w:hAnsi="Cambria"/>
          <w:sz w:val="20"/>
          <w:szCs w:val="20"/>
          <w:bdr w:val="none" w:sz="0" w:space="0" w:color="auto"/>
          <w:lang w:val="es-ES"/>
        </w:rPr>
        <w:t>.</w:t>
      </w:r>
    </w:p>
    <w:p w14:paraId="5FCA2DE8"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US"/>
        </w:rPr>
      </w:pPr>
    </w:p>
    <w:p w14:paraId="72103F54" w14:textId="25C2E3C0"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US"/>
        </w:rPr>
      </w:pPr>
      <w:r w:rsidRPr="003C3ADE">
        <w:rPr>
          <w:rFonts w:ascii="Cambria" w:eastAsia="Calibri" w:hAnsi="Cambria"/>
          <w:sz w:val="20"/>
          <w:szCs w:val="20"/>
          <w:bdr w:val="none" w:sz="0" w:space="0" w:color="auto"/>
          <w:lang w:val="es-ES_tradnl"/>
        </w:rPr>
        <w:t xml:space="preserve">Específicamente, sobre el deber de prevenir la Corte ha indicado que “un Estado no puede ser responsable por cualquier violación de derechos humanos cometida entre particulares dentro de su jurisdicción. En efecto, el carácter </w:t>
      </w:r>
      <w:r w:rsidRPr="003C3ADE">
        <w:rPr>
          <w:rFonts w:ascii="Cambria" w:eastAsia="Calibri" w:hAnsi="Cambria"/>
          <w:i/>
          <w:sz w:val="20"/>
          <w:szCs w:val="20"/>
          <w:bdr w:val="none" w:sz="0" w:space="0" w:color="auto"/>
          <w:lang w:val="es-ES_tradnl"/>
        </w:rPr>
        <w:t xml:space="preserve">erga omnes </w:t>
      </w:r>
      <w:r w:rsidRPr="003C3ADE">
        <w:rPr>
          <w:rFonts w:ascii="Cambria" w:eastAsia="Calibri" w:hAnsi="Cambria" w:cs="Arial"/>
          <w:sz w:val="20"/>
          <w:szCs w:val="20"/>
          <w:bdr w:val="none" w:sz="0" w:space="0" w:color="auto"/>
          <w:lang w:val="es-PE"/>
        </w:rPr>
        <w:t>de</w:t>
      </w:r>
      <w:r w:rsidRPr="003C3ADE">
        <w:rPr>
          <w:rFonts w:ascii="Cambria" w:eastAsia="Calibri" w:hAnsi="Cambria"/>
          <w:sz w:val="20"/>
          <w:szCs w:val="20"/>
          <w:bdr w:val="none" w:sz="0" w:space="0" w:color="auto"/>
          <w:lang w:val="es-ES_tradnl"/>
        </w:rPr>
        <w:t xml:space="preserve"> las obligaciones convencionales de garantía a cargo de los Estados no implica una </w:t>
      </w:r>
      <w:r w:rsidRPr="003C3ADE">
        <w:rPr>
          <w:rFonts w:ascii="Cambria" w:eastAsia="Calibri" w:hAnsi="Cambria" w:cs="Verdana"/>
          <w:sz w:val="20"/>
          <w:szCs w:val="20"/>
          <w:bdr w:val="none" w:sz="0" w:space="0" w:color="auto"/>
          <w:lang w:val="es-US"/>
        </w:rPr>
        <w:t>responsabilidad</w:t>
      </w:r>
      <w:r w:rsidRPr="003C3ADE">
        <w:rPr>
          <w:rFonts w:ascii="Cambria" w:eastAsia="Calibri" w:hAnsi="Cambria"/>
          <w:sz w:val="20"/>
          <w:szCs w:val="20"/>
          <w:bdr w:val="none" w:sz="0" w:space="0" w:color="auto"/>
          <w:lang w:val="es-ES_tradnl"/>
        </w:rPr>
        <w:t xml:space="preserve"> ilimitada de los Estados frente a cualquier acto o hecho de particulares</w:t>
      </w:r>
      <w:r w:rsidRPr="003C3ADE">
        <w:rPr>
          <w:rFonts w:ascii="Cambria" w:eastAsia="Calibri" w:hAnsi="Cambria"/>
          <w:sz w:val="20"/>
          <w:szCs w:val="20"/>
          <w:bdr w:val="none" w:sz="0" w:space="0" w:color="auto"/>
          <w:vertAlign w:val="superscript"/>
        </w:rPr>
        <w:footnoteReference w:id="121"/>
      </w:r>
      <w:r w:rsidRPr="003C3ADE">
        <w:rPr>
          <w:rFonts w:ascii="Cambria" w:eastAsia="Calibri" w:hAnsi="Cambria"/>
          <w:sz w:val="20"/>
          <w:szCs w:val="20"/>
          <w:bdr w:val="none" w:sz="0" w:space="0" w:color="auto"/>
          <w:lang w:val="es-ES_tradnl"/>
        </w:rPr>
        <w:t>, pues sus deberes de adoptar medidas de prevención y protección en sus relaciones entre sí</w:t>
      </w:r>
      <w:r w:rsidRPr="003C3ADE">
        <w:rPr>
          <w:rFonts w:ascii="Cambria" w:eastAsia="Calibri" w:hAnsi="Cambria"/>
          <w:b/>
          <w:sz w:val="20"/>
          <w:szCs w:val="20"/>
          <w:bdr w:val="none" w:sz="0" w:space="0" w:color="auto"/>
          <w:lang w:val="es-ES_tradnl"/>
        </w:rPr>
        <w:t xml:space="preserve"> </w:t>
      </w:r>
      <w:r w:rsidRPr="003C3ADE">
        <w:rPr>
          <w:rFonts w:ascii="Cambria" w:eastAsia="Calibri" w:hAnsi="Cambria"/>
          <w:sz w:val="20"/>
          <w:szCs w:val="20"/>
          <w:bdr w:val="none" w:sz="0" w:space="0" w:color="auto"/>
          <w:lang w:val="es-ES_tradnl"/>
        </w:rPr>
        <w:t xml:space="preserve">se encuentran </w:t>
      </w:r>
      <w:r w:rsidRPr="003C3ADE">
        <w:rPr>
          <w:rFonts w:ascii="Cambria" w:eastAsia="Calibri" w:hAnsi="Cambria"/>
          <w:sz w:val="20"/>
          <w:szCs w:val="20"/>
          <w:bdr w:val="none" w:sz="0" w:space="0" w:color="auto"/>
          <w:lang w:val="es-UY"/>
        </w:rPr>
        <w:t>condicionados</w:t>
      </w:r>
      <w:r w:rsidRPr="003C3ADE">
        <w:rPr>
          <w:rFonts w:ascii="Cambria" w:eastAsia="Calibri" w:hAnsi="Cambria"/>
          <w:sz w:val="20"/>
          <w:szCs w:val="20"/>
          <w:bdr w:val="none" w:sz="0" w:space="0" w:color="auto"/>
          <w:lang w:val="es-ES_tradnl"/>
        </w:rPr>
        <w:t xml:space="preserve"> a </w:t>
      </w:r>
      <w:r w:rsidRPr="003C3ADE">
        <w:rPr>
          <w:rFonts w:ascii="Cambria" w:eastAsia="Calibri" w:hAnsi="Cambria"/>
          <w:sz w:val="20"/>
          <w:szCs w:val="20"/>
          <w:bdr w:val="none" w:sz="0" w:space="0" w:color="auto"/>
          <w:lang w:val="es-US"/>
        </w:rPr>
        <w:t xml:space="preserve">i) si el Estado tenía o </w:t>
      </w:r>
      <w:r w:rsidRPr="003C3ADE">
        <w:rPr>
          <w:rFonts w:ascii="Cambria" w:eastAsia="Calibri" w:hAnsi="Cambria"/>
          <w:sz w:val="20"/>
          <w:szCs w:val="20"/>
          <w:bdr w:val="none" w:sz="0" w:space="0" w:color="auto"/>
          <w:lang w:val="es-US"/>
        </w:rPr>
        <w:lastRenderedPageBreak/>
        <w:t>debía tener conocimiento de una situación de riesgo; ii) si dicho riesgo era real e inmediato; y iii) si el Estado adoptó las medidas que razonablemente se esperaban para evitar que dicho riesgo se verificara</w:t>
      </w:r>
      <w:r w:rsidRPr="003C3ADE">
        <w:rPr>
          <w:rFonts w:ascii="Cambria" w:eastAsia="Calibri" w:hAnsi="Cambria" w:cs="Arial"/>
          <w:sz w:val="20"/>
          <w:szCs w:val="20"/>
          <w:bdr w:val="none" w:sz="0" w:space="0" w:color="auto"/>
          <w:vertAlign w:val="superscript"/>
          <w:lang w:val="es-CR"/>
        </w:rPr>
        <w:footnoteReference w:id="122"/>
      </w:r>
      <w:r w:rsidRPr="003C3ADE">
        <w:rPr>
          <w:rFonts w:ascii="Cambria" w:eastAsia="Calibri" w:hAnsi="Cambria"/>
          <w:sz w:val="20"/>
          <w:szCs w:val="20"/>
          <w:bdr w:val="none" w:sz="0" w:space="0" w:color="auto"/>
          <w:lang w:val="es-US"/>
        </w:rPr>
        <w:t>.</w:t>
      </w:r>
    </w:p>
    <w:p w14:paraId="1C60088D"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US"/>
        </w:rPr>
      </w:pPr>
    </w:p>
    <w:p w14:paraId="24BE8818" w14:textId="1199E197" w:rsidR="003C3ADE" w:rsidRPr="006C35D0"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US"/>
        </w:rPr>
      </w:pPr>
      <w:r w:rsidRPr="003C3ADE">
        <w:rPr>
          <w:rFonts w:ascii="Cambria" w:eastAsia="Calibri" w:hAnsi="Cambria" w:cs="Verdana"/>
          <w:sz w:val="20"/>
          <w:szCs w:val="20"/>
          <w:bdr w:val="none" w:sz="0" w:space="0" w:color="auto"/>
          <w:lang w:val="es-US"/>
        </w:rPr>
        <w:t xml:space="preserve">En suma, a efectos de determinar la responsabilidad internacional del Estado, lo decisivo es dilucidar si una determinada violación a los derechos humanos reconocidos por la Convención ha tenido lugar con el apoyo o la </w:t>
      </w:r>
      <w:r w:rsidRPr="003C3ADE">
        <w:rPr>
          <w:rFonts w:ascii="Cambria" w:eastAsia="Calibri" w:hAnsi="Cambria"/>
          <w:sz w:val="20"/>
          <w:szCs w:val="20"/>
          <w:bdr w:val="none" w:sz="0" w:space="0" w:color="auto"/>
          <w:lang w:val="es-UY"/>
        </w:rPr>
        <w:t>tolerancia</w:t>
      </w:r>
      <w:r w:rsidRPr="003C3ADE">
        <w:rPr>
          <w:rFonts w:ascii="Cambria" w:eastAsia="Calibri" w:hAnsi="Cambria" w:cs="Verdana"/>
          <w:sz w:val="20"/>
          <w:szCs w:val="20"/>
          <w:bdr w:val="none" w:sz="0" w:space="0" w:color="auto"/>
          <w:lang w:val="es-US"/>
        </w:rPr>
        <w:t xml:space="preserve"> del </w:t>
      </w:r>
      <w:r w:rsidRPr="003C3ADE">
        <w:rPr>
          <w:rFonts w:ascii="Cambria" w:eastAsia="Calibri" w:hAnsi="Cambria" w:cs="Arial"/>
          <w:sz w:val="20"/>
          <w:szCs w:val="20"/>
          <w:bdr w:val="none" w:sz="0" w:space="0" w:color="auto"/>
          <w:lang w:val="es-PE"/>
        </w:rPr>
        <w:t>poder</w:t>
      </w:r>
      <w:r w:rsidRPr="003C3ADE">
        <w:rPr>
          <w:rFonts w:ascii="Cambria" w:eastAsia="Calibri" w:hAnsi="Cambria" w:cs="Verdana"/>
          <w:sz w:val="20"/>
          <w:szCs w:val="20"/>
          <w:bdr w:val="none" w:sz="0" w:space="0" w:color="auto"/>
          <w:lang w:val="es-US"/>
        </w:rPr>
        <w:t xml:space="preserve"> público o si éste ha actuado de manera que la trasgresión se haya cumplido en defecto de toda prevención o impunemente. En definitiva, de lo que se trata es de determinar si la violación a los derechos humanos resulta de la inobservancia por parte de un Estado de sus deberes de respetar y de garantizar dichos derechos, que le impone el artículo 1.1 de la Convención</w:t>
      </w:r>
      <w:r w:rsidRPr="003C3ADE">
        <w:rPr>
          <w:rFonts w:ascii="Cambria" w:eastAsia="Calibri" w:hAnsi="Cambria"/>
          <w:sz w:val="20"/>
          <w:szCs w:val="20"/>
          <w:bdr w:val="none" w:sz="0" w:space="0" w:color="auto"/>
          <w:vertAlign w:val="superscript"/>
          <w:lang w:val="es-US"/>
        </w:rPr>
        <w:footnoteReference w:id="123"/>
      </w:r>
      <w:r w:rsidRPr="003C3ADE">
        <w:rPr>
          <w:rFonts w:ascii="Cambria" w:eastAsia="Calibri" w:hAnsi="Cambria" w:cs="Verdana"/>
          <w:sz w:val="20"/>
          <w:szCs w:val="20"/>
          <w:bdr w:val="none" w:sz="0" w:space="0" w:color="auto"/>
          <w:lang w:val="es-US"/>
        </w:rPr>
        <w:t>.</w:t>
      </w:r>
    </w:p>
    <w:p w14:paraId="2809B320" w14:textId="04A77E73" w:rsidR="003C3ADE" w:rsidRPr="006C35D0" w:rsidRDefault="003C3ADE" w:rsidP="00094AFC">
      <w:pPr>
        <w:pStyle w:val="Heading3"/>
        <w:numPr>
          <w:ilvl w:val="0"/>
          <w:numId w:val="64"/>
        </w:numPr>
        <w:ind w:hanging="90"/>
        <w:rPr>
          <w:rFonts w:ascii="Cambria" w:eastAsia="Calibri" w:hAnsi="Cambria"/>
          <w:sz w:val="20"/>
          <w:szCs w:val="20"/>
          <w:lang w:val="es-CO"/>
        </w:rPr>
      </w:pPr>
      <w:bookmarkStart w:id="16" w:name="_Toc536451321"/>
      <w:r w:rsidRPr="006C35D0">
        <w:rPr>
          <w:rFonts w:ascii="Cambria" w:eastAsia="Calibri" w:hAnsi="Cambria"/>
          <w:sz w:val="20"/>
          <w:szCs w:val="20"/>
          <w:lang w:val="es-CO"/>
        </w:rPr>
        <w:t>Consideraciones generales sobre la violencia por prejuicio respecto de la identidad y expresión de género de una persona</w:t>
      </w:r>
      <w:bookmarkEnd w:id="16"/>
    </w:p>
    <w:p w14:paraId="58C422C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b/>
          <w:sz w:val="20"/>
          <w:szCs w:val="20"/>
          <w:bdr w:val="none" w:sz="0" w:space="0" w:color="auto"/>
          <w:lang w:val="es-CO"/>
        </w:rPr>
      </w:pPr>
    </w:p>
    <w:p w14:paraId="33BBEF0F" w14:textId="6D2A0939"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ES_tradnl"/>
        </w:rPr>
        <w:t>La</w:t>
      </w:r>
      <w:r w:rsidRPr="003C3ADE">
        <w:rPr>
          <w:rFonts w:ascii="Cambria" w:eastAsia="Calibri" w:hAnsi="Cambria"/>
          <w:sz w:val="20"/>
          <w:szCs w:val="20"/>
          <w:bdr w:val="none" w:sz="0" w:space="0" w:color="auto"/>
          <w:lang w:val="es-VE"/>
        </w:rPr>
        <w:t xml:space="preserve"> Comisión ha enfatizado el vínculo entre discriminación y violencia contra las personas lesbianas, gay, bisexuales y trans (</w:t>
      </w:r>
      <w:r w:rsidRPr="003C3ADE">
        <w:rPr>
          <w:rFonts w:ascii="Cambria" w:eastAsia="Calibri" w:hAnsi="Cambria" w:cs="Verdana"/>
          <w:sz w:val="20"/>
          <w:szCs w:val="20"/>
          <w:bdr w:val="none" w:sz="0" w:space="0" w:color="auto"/>
          <w:lang w:val="es-US"/>
        </w:rPr>
        <w:t>LGBT</w:t>
      </w:r>
      <w:r w:rsidRPr="003C3ADE">
        <w:rPr>
          <w:rFonts w:ascii="Cambria" w:eastAsia="Calibri" w:hAnsi="Cambria"/>
          <w:sz w:val="20"/>
          <w:szCs w:val="20"/>
          <w:bdr w:val="none" w:sz="0" w:space="0" w:color="auto"/>
          <w:lang w:val="es-VE"/>
        </w:rPr>
        <w:t>) señalando que el concepto de prejuicio</w:t>
      </w:r>
      <w:r w:rsidRPr="003C3ADE">
        <w:rPr>
          <w:rFonts w:ascii="Cambria" w:eastAsia="Calibri" w:hAnsi="Cambria"/>
          <w:sz w:val="20"/>
          <w:szCs w:val="20"/>
          <w:bdr w:val="none" w:sz="0" w:space="0" w:color="auto"/>
          <w:vertAlign w:val="superscript"/>
          <w:lang w:val="es-VE"/>
        </w:rPr>
        <w:footnoteReference w:id="124"/>
      </w:r>
      <w:r w:rsidRPr="003C3ADE">
        <w:rPr>
          <w:rFonts w:ascii="Cambria" w:eastAsia="Calibri" w:hAnsi="Cambria"/>
          <w:sz w:val="20"/>
          <w:szCs w:val="20"/>
          <w:bdr w:val="none" w:sz="0" w:space="0" w:color="auto"/>
          <w:lang w:val="es-VE"/>
        </w:rPr>
        <w:t xml:space="preserve"> por orientación sexual, identidad de género o expresión de género constituye una herramienta para la comprensión de la violencia contra las personas LGBT, ya que permite identificar el contexto social en el que se manifiesta dicha violencia</w:t>
      </w:r>
      <w:r w:rsidRPr="003C3ADE">
        <w:rPr>
          <w:rFonts w:ascii="Cambria" w:eastAsia="Calibri" w:hAnsi="Cambria"/>
          <w:sz w:val="20"/>
          <w:szCs w:val="20"/>
          <w:bdr w:val="none" w:sz="0" w:space="0" w:color="auto"/>
          <w:vertAlign w:val="superscript"/>
          <w:lang w:val="es-VE"/>
        </w:rPr>
        <w:footnoteReference w:id="125"/>
      </w:r>
      <w:r w:rsidRPr="003C3ADE">
        <w:rPr>
          <w:rFonts w:ascii="Cambria" w:eastAsia="Calibri" w:hAnsi="Cambria"/>
          <w:sz w:val="20"/>
          <w:szCs w:val="20"/>
          <w:bdr w:val="none" w:sz="0" w:space="0" w:color="auto"/>
          <w:lang w:val="es-VE"/>
        </w:rPr>
        <w:t xml:space="preserve">. </w:t>
      </w:r>
    </w:p>
    <w:p w14:paraId="77768BB2"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VE"/>
        </w:rPr>
      </w:pPr>
    </w:p>
    <w:p w14:paraId="4BCEEF96" w14:textId="2A286C4D" w:rsidR="003C3ADE" w:rsidRPr="00540D36"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18"/>
          <w:szCs w:val="20"/>
          <w:bdr w:val="none" w:sz="0" w:space="0" w:color="auto"/>
          <w:lang w:val="es-VE"/>
        </w:rPr>
      </w:pPr>
      <w:r w:rsidRPr="003C3ADE">
        <w:rPr>
          <w:rFonts w:ascii="Cambria" w:eastAsia="Calibri" w:hAnsi="Cambria"/>
          <w:sz w:val="20"/>
          <w:szCs w:val="22"/>
          <w:bdr w:val="none" w:sz="0" w:space="0" w:color="auto"/>
          <w:lang w:val="es-VE"/>
        </w:rPr>
        <w:t xml:space="preserve">En este sentido, la Comisión ha hecho especial énfasis en la violencia por prejuicio respecto de la identidad y expresión de género de las personas trans, y en particular las mujeres trans. </w:t>
      </w:r>
      <w:r w:rsidRPr="003C3ADE">
        <w:rPr>
          <w:rFonts w:ascii="Cambria" w:eastAsia="Calibri" w:hAnsi="Cambria"/>
          <w:sz w:val="20"/>
          <w:szCs w:val="22"/>
          <w:bdr w:val="none" w:sz="0" w:space="0" w:color="auto"/>
          <w:lang w:val="es-ES"/>
        </w:rPr>
        <w:t xml:space="preserve">Ha reiterado que la mayoría de las mujeres trans se encuentran inmersas en un ciclo de violencia, discriminación y criminalización que generalmente comienza desde muy temprana edad, por la exclusión y violencia sufrida en sus hogares, comunidades y centros educativos. </w:t>
      </w:r>
      <w:r w:rsidR="004506AD" w:rsidRPr="006D619B">
        <w:rPr>
          <w:lang w:val="es-ES"/>
        </w:rPr>
        <w:t xml:space="preserve">Según </w:t>
      </w:r>
      <w:r w:rsidR="004506AD" w:rsidRPr="00540D36">
        <w:rPr>
          <w:rFonts w:asciiTheme="majorHAnsi" w:hAnsiTheme="majorHAnsi"/>
          <w:lang w:val="es-ES"/>
        </w:rPr>
        <w:t xml:space="preserve">los datos recopilados por la </w:t>
      </w:r>
      <w:r w:rsidR="003E39B1" w:rsidRPr="00540D36">
        <w:rPr>
          <w:rFonts w:asciiTheme="majorHAnsi" w:hAnsiTheme="majorHAnsi"/>
          <w:lang w:val="es-ES"/>
        </w:rPr>
        <w:t>C</w:t>
      </w:r>
      <w:r w:rsidR="004506AD" w:rsidRPr="00540D36">
        <w:rPr>
          <w:rFonts w:asciiTheme="majorHAnsi" w:hAnsiTheme="majorHAnsi"/>
          <w:lang w:val="es-ES"/>
        </w:rPr>
        <w:t xml:space="preserve">IDH, el 80% de las personas </w:t>
      </w:r>
      <w:proofErr w:type="spellStart"/>
      <w:r w:rsidR="004506AD" w:rsidRPr="00540D36">
        <w:rPr>
          <w:rFonts w:asciiTheme="majorHAnsi" w:hAnsiTheme="majorHAnsi"/>
          <w:lang w:val="es-ES"/>
        </w:rPr>
        <w:t>trans</w:t>
      </w:r>
      <w:proofErr w:type="spellEnd"/>
      <w:r w:rsidR="004506AD" w:rsidRPr="00540D36">
        <w:rPr>
          <w:rFonts w:asciiTheme="majorHAnsi" w:hAnsiTheme="majorHAnsi"/>
          <w:lang w:val="es-ES"/>
        </w:rPr>
        <w:t xml:space="preserve"> asesinadas tenía menos de 35 años de edad</w:t>
      </w:r>
      <w:r w:rsidR="006B1D52" w:rsidRPr="00540D36">
        <w:rPr>
          <w:rFonts w:asciiTheme="majorHAnsi" w:eastAsia="Calibri" w:hAnsiTheme="majorHAnsi"/>
          <w:sz w:val="20"/>
          <w:szCs w:val="22"/>
          <w:bdr w:val="none" w:sz="0" w:space="0" w:color="auto"/>
          <w:vertAlign w:val="superscript"/>
          <w:lang w:val="es-ES"/>
        </w:rPr>
        <w:footnoteReference w:id="126"/>
      </w:r>
      <w:r w:rsidR="005B7FAE" w:rsidRPr="00540D36">
        <w:rPr>
          <w:rFonts w:asciiTheme="majorHAnsi" w:hAnsiTheme="majorHAnsi"/>
          <w:lang w:val="es-ES"/>
        </w:rPr>
        <w:t>. Asimismo, se indicó que</w:t>
      </w:r>
      <w:r w:rsidRPr="00540D36">
        <w:rPr>
          <w:rFonts w:asciiTheme="majorHAnsi" w:eastAsia="Calibri" w:hAnsiTheme="majorHAnsi"/>
          <w:sz w:val="20"/>
          <w:szCs w:val="22"/>
          <w:bdr w:val="none" w:sz="0" w:space="0" w:color="auto"/>
          <w:lang w:val="es-ES"/>
        </w:rPr>
        <w:t xml:space="preserve"> son particularmente vulnerables a la violencia por parte de fuerzas de seguridad del Estado, encargadas de hacer cumplir la ley</w:t>
      </w:r>
      <w:r w:rsidRPr="00540D36">
        <w:rPr>
          <w:rFonts w:asciiTheme="majorHAnsi" w:eastAsia="Calibri" w:hAnsiTheme="majorHAnsi"/>
          <w:sz w:val="20"/>
          <w:szCs w:val="22"/>
          <w:bdr w:val="none" w:sz="0" w:space="0" w:color="auto"/>
          <w:vertAlign w:val="superscript"/>
          <w:lang w:val="es-ES"/>
        </w:rPr>
        <w:footnoteReference w:id="127"/>
      </w:r>
      <w:r w:rsidRPr="00540D36">
        <w:rPr>
          <w:rFonts w:asciiTheme="majorHAnsi" w:eastAsia="Calibri" w:hAnsiTheme="majorHAnsi"/>
          <w:sz w:val="20"/>
          <w:szCs w:val="22"/>
          <w:bdr w:val="none" w:sz="0" w:space="0" w:color="auto"/>
          <w:lang w:val="es-ES"/>
        </w:rPr>
        <w:t>.</w:t>
      </w:r>
    </w:p>
    <w:p w14:paraId="5CCA1EDD" w14:textId="77777777" w:rsidR="003C3ADE" w:rsidRPr="00540D36"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eastAsia="Calibri" w:hAnsiTheme="majorHAnsi"/>
          <w:sz w:val="20"/>
          <w:szCs w:val="20"/>
          <w:bdr w:val="none" w:sz="0" w:space="0" w:color="auto"/>
          <w:lang w:val="es-VE"/>
        </w:rPr>
      </w:pPr>
    </w:p>
    <w:p w14:paraId="43ED71F8" w14:textId="3532B556"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540D36">
        <w:rPr>
          <w:rFonts w:asciiTheme="majorHAnsi" w:eastAsia="Calibri" w:hAnsiTheme="majorHAnsi" w:cs="Verdana"/>
          <w:sz w:val="20"/>
          <w:szCs w:val="20"/>
          <w:bdr w:val="none" w:sz="0" w:space="0" w:color="auto"/>
          <w:lang w:val="es-VE"/>
        </w:rPr>
        <w:t>L</w:t>
      </w:r>
      <w:r w:rsidRPr="00540D36">
        <w:rPr>
          <w:rFonts w:asciiTheme="majorHAnsi" w:eastAsia="Calibri" w:hAnsiTheme="majorHAnsi"/>
          <w:sz w:val="20"/>
          <w:szCs w:val="20"/>
          <w:bdr w:val="none" w:sz="0" w:space="0" w:color="auto"/>
          <w:lang w:val="es-VE"/>
        </w:rPr>
        <w:t>a Comisión ha señalado que cuando una persona lesbiana, gay, bisexual o trans, o una persona que sea percibida como tal, es agredida o asesinada, el Estado debe llevar a cabo una investigación encaminada a determinar si el delito fue cometido con base en la orientación sexual o la identidad de género, real o percibida, de la víctima</w:t>
      </w:r>
      <w:r w:rsidRPr="00540D36">
        <w:rPr>
          <w:rFonts w:asciiTheme="majorHAnsi" w:eastAsia="Calibri" w:hAnsiTheme="majorHAnsi"/>
          <w:sz w:val="20"/>
          <w:szCs w:val="20"/>
          <w:bdr w:val="none" w:sz="0" w:space="0" w:color="auto"/>
          <w:vertAlign w:val="superscript"/>
          <w:lang w:val="es-VE"/>
        </w:rPr>
        <w:footnoteReference w:id="128"/>
      </w:r>
      <w:r w:rsidRPr="00540D36">
        <w:rPr>
          <w:rFonts w:asciiTheme="majorHAnsi" w:eastAsia="Calibri" w:hAnsiTheme="majorHAnsi"/>
          <w:sz w:val="20"/>
          <w:szCs w:val="20"/>
          <w:bdr w:val="none" w:sz="0" w:space="0" w:color="auto"/>
          <w:lang w:val="es-VE"/>
        </w:rPr>
        <w:t>. La determinación de si los actos de</w:t>
      </w:r>
      <w:r w:rsidRPr="003C3ADE">
        <w:rPr>
          <w:rFonts w:ascii="Cambria" w:eastAsia="Calibri" w:hAnsi="Cambria"/>
          <w:sz w:val="20"/>
          <w:szCs w:val="20"/>
          <w:bdr w:val="none" w:sz="0" w:space="0" w:color="auto"/>
          <w:lang w:val="es-VE"/>
        </w:rPr>
        <w:t xml:space="preserve"> violencia contra las personas LGBT son motivados por el prejuicio, requiere de una investigación exhaustiva de las razones que motivaron la violencia, llevada a cabo en cumplimiento del deber de debida diligencia</w:t>
      </w:r>
      <w:r w:rsidRPr="003C3ADE">
        <w:rPr>
          <w:rFonts w:ascii="Cambria" w:eastAsia="Calibri" w:hAnsi="Cambria"/>
          <w:sz w:val="20"/>
          <w:szCs w:val="20"/>
          <w:bdr w:val="none" w:sz="0" w:space="0" w:color="auto"/>
          <w:vertAlign w:val="superscript"/>
          <w:lang w:val="es-VE"/>
        </w:rPr>
        <w:footnoteReference w:id="129"/>
      </w:r>
      <w:r w:rsidRPr="003C3ADE">
        <w:rPr>
          <w:rFonts w:ascii="Cambria" w:eastAsia="Calibri" w:hAnsi="Cambria"/>
          <w:sz w:val="20"/>
          <w:szCs w:val="20"/>
          <w:bdr w:val="none" w:sz="0" w:space="0" w:color="auto"/>
          <w:lang w:val="es-VE"/>
        </w:rPr>
        <w:t xml:space="preserve">. </w:t>
      </w:r>
    </w:p>
    <w:p w14:paraId="19DA2B58"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VE"/>
        </w:rPr>
      </w:pPr>
    </w:p>
    <w:p w14:paraId="57528D65" w14:textId="46E34A35"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VE"/>
        </w:rPr>
        <w:t>Sin que se trate de un listado exhaustivo, la Comisión ha señalado que los siguientes elementos, entre otros, podrían ser indicativos de un crimen por prejuicio, particularmente cuando aparecen en combinación: i)</w:t>
      </w:r>
      <w:r w:rsidRPr="003C3ADE">
        <w:rPr>
          <w:rFonts w:ascii="Calibri" w:eastAsia="Calibri" w:hAnsi="Calibri"/>
          <w:sz w:val="22"/>
          <w:szCs w:val="22"/>
          <w:bdr w:val="none" w:sz="0" w:space="0" w:color="auto"/>
          <w:lang w:val="es-ES"/>
        </w:rPr>
        <w:t xml:space="preserve"> </w:t>
      </w:r>
      <w:r w:rsidRPr="003C3ADE">
        <w:rPr>
          <w:rFonts w:ascii="Cambria" w:eastAsia="Calibri" w:hAnsi="Cambria"/>
          <w:sz w:val="20"/>
          <w:szCs w:val="20"/>
          <w:bdr w:val="none" w:sz="0" w:space="0" w:color="auto"/>
          <w:lang w:val="es-ES"/>
        </w:rPr>
        <w:t xml:space="preserve">la presencia de un prejuicio conocido contra personas LGBT en el perpetrador, o si el perpetrador forma parte de un </w:t>
      </w:r>
      <w:r w:rsidRPr="003C3ADE">
        <w:rPr>
          <w:rFonts w:ascii="Cambria" w:eastAsia="Calibri" w:hAnsi="Cambria"/>
          <w:sz w:val="20"/>
          <w:szCs w:val="20"/>
          <w:bdr w:val="none" w:sz="0" w:space="0" w:color="auto"/>
          <w:lang w:val="es-ES"/>
        </w:rPr>
        <w:lastRenderedPageBreak/>
        <w:t>grupo que tiene prejuicios contra personas LGBT</w:t>
      </w:r>
      <w:r w:rsidRPr="003C3ADE">
        <w:rPr>
          <w:rFonts w:ascii="Cambria" w:eastAsia="Calibri" w:hAnsi="Cambria"/>
          <w:sz w:val="20"/>
          <w:szCs w:val="20"/>
          <w:bdr w:val="none" w:sz="0" w:space="0" w:color="auto"/>
          <w:lang w:val="es-VE"/>
        </w:rPr>
        <w:t xml:space="preserve">; ii) la brutalidad del crimen y signos de ensañamiento; iii) </w:t>
      </w:r>
      <w:r w:rsidRPr="003C3ADE">
        <w:rPr>
          <w:rFonts w:ascii="Cambria" w:eastAsia="Calibri" w:hAnsi="Cambria"/>
          <w:sz w:val="20"/>
          <w:szCs w:val="20"/>
          <w:bdr w:val="none" w:sz="0" w:space="0" w:color="auto"/>
          <w:lang w:val="es-ES"/>
        </w:rPr>
        <w:t>el estatus de la víctima como activista de temas LGBT o como defensor/a de las personas LGBT y sus derechos; y iv) la naturaleza o significado del lugar donde se desarrolló la violencia, o desde donde las víctimas fueron atraídas (por ejemplo, un lugar conocido por ser frecuentado por personas LGBT, o un área frecuentada por personas trans que ejercen el trabajo sexual)</w:t>
      </w:r>
      <w:r w:rsidRPr="003C3ADE">
        <w:rPr>
          <w:rFonts w:ascii="Cambria" w:eastAsia="Calibri" w:hAnsi="Cambria"/>
          <w:sz w:val="20"/>
          <w:szCs w:val="20"/>
          <w:bdr w:val="none" w:sz="0" w:space="0" w:color="auto"/>
          <w:vertAlign w:val="superscript"/>
          <w:lang w:val="es-VE"/>
        </w:rPr>
        <w:footnoteReference w:id="130"/>
      </w:r>
      <w:r w:rsidRPr="003C3ADE">
        <w:rPr>
          <w:rFonts w:ascii="Cambria" w:eastAsia="Calibri" w:hAnsi="Cambria"/>
          <w:sz w:val="20"/>
          <w:szCs w:val="20"/>
          <w:bdr w:val="none" w:sz="0" w:space="0" w:color="auto"/>
          <w:lang w:val="es-US"/>
        </w:rPr>
        <w:t>. La Comisión también ha enfatizado que lo determinante a los efectos de establecer el alcance de la obligación del Estado, es que se garantice desde el inicio de la investigación que se realice un examen sobre los motivos, y que en ese examen se considere la relevancia de la orientación sexual</w:t>
      </w:r>
      <w:r w:rsidR="00205A1D">
        <w:rPr>
          <w:rFonts w:ascii="Cambria" w:eastAsia="Calibri" w:hAnsi="Cambria"/>
          <w:sz w:val="20"/>
          <w:szCs w:val="20"/>
          <w:bdr w:val="none" w:sz="0" w:space="0" w:color="auto"/>
          <w:lang w:val="es-US"/>
        </w:rPr>
        <w:t>,</w:t>
      </w:r>
      <w:r w:rsidRPr="003C3ADE">
        <w:rPr>
          <w:rFonts w:ascii="Cambria" w:eastAsia="Calibri" w:hAnsi="Cambria"/>
          <w:sz w:val="20"/>
          <w:szCs w:val="20"/>
          <w:bdr w:val="none" w:sz="0" w:space="0" w:color="auto"/>
          <w:lang w:val="es-US"/>
        </w:rPr>
        <w:t xml:space="preserve"> identidad </w:t>
      </w:r>
      <w:r w:rsidR="00205A1D">
        <w:rPr>
          <w:rFonts w:ascii="Cambria" w:eastAsia="Calibri" w:hAnsi="Cambria"/>
          <w:sz w:val="20"/>
          <w:szCs w:val="20"/>
          <w:bdr w:val="none" w:sz="0" w:space="0" w:color="auto"/>
          <w:lang w:val="es-US"/>
        </w:rPr>
        <w:t xml:space="preserve">o expresión </w:t>
      </w:r>
      <w:r w:rsidRPr="003C3ADE">
        <w:rPr>
          <w:rFonts w:ascii="Cambria" w:eastAsia="Calibri" w:hAnsi="Cambria"/>
          <w:sz w:val="20"/>
          <w:szCs w:val="20"/>
          <w:bdr w:val="none" w:sz="0" w:space="0" w:color="auto"/>
          <w:lang w:val="es-US"/>
        </w:rPr>
        <w:t>de género, real o percibida, de la víctima. De este modo, la hipótesis de que el crimen estuvo motivado por prejuicio se puede confirmar o descartar durante el curso de la investigación</w:t>
      </w:r>
      <w:r w:rsidRPr="003C3ADE">
        <w:rPr>
          <w:rFonts w:ascii="Cambria" w:eastAsia="Calibri" w:hAnsi="Cambria"/>
          <w:sz w:val="20"/>
          <w:szCs w:val="20"/>
          <w:bdr w:val="none" w:sz="0" w:space="0" w:color="auto"/>
          <w:vertAlign w:val="superscript"/>
          <w:lang w:val="es-VE"/>
        </w:rPr>
        <w:footnoteReference w:id="131"/>
      </w:r>
      <w:r w:rsidRPr="003C3ADE">
        <w:rPr>
          <w:rFonts w:ascii="Cambria" w:eastAsia="Calibri" w:hAnsi="Cambria"/>
          <w:sz w:val="20"/>
          <w:szCs w:val="20"/>
          <w:bdr w:val="none" w:sz="0" w:space="0" w:color="auto"/>
          <w:lang w:val="es-US"/>
        </w:rPr>
        <w:t xml:space="preserve">. La Comisión determinó que en los casos de asesinatos de personas LGBT o percibidas como tales, </w:t>
      </w:r>
      <w:r w:rsidRPr="003C3ADE">
        <w:rPr>
          <w:rFonts w:ascii="Cambria" w:eastAsia="Calibri" w:hAnsi="Cambria"/>
          <w:sz w:val="20"/>
          <w:szCs w:val="20"/>
          <w:bdr w:val="none" w:sz="0" w:space="0" w:color="auto"/>
          <w:lang w:val="es-ES"/>
        </w:rPr>
        <w:t>las mujeres trans y las personas trans con expresión de género femenina son más propensas a ser asesinadas con armas de fuego, y sus cuerpos tienden a ser encontrados en las calles u otros espacios públicos, y en ocasiones, en situaciones vinculadas con el trabajo sexual</w:t>
      </w:r>
      <w:r w:rsidRPr="003C3ADE">
        <w:rPr>
          <w:rFonts w:ascii="Cambria" w:eastAsia="Calibri" w:hAnsi="Cambria"/>
          <w:sz w:val="20"/>
          <w:szCs w:val="20"/>
          <w:bdr w:val="none" w:sz="0" w:space="0" w:color="auto"/>
          <w:vertAlign w:val="superscript"/>
          <w:lang w:val="es-ES"/>
        </w:rPr>
        <w:footnoteReference w:id="132"/>
      </w:r>
      <w:r w:rsidRPr="003C3ADE">
        <w:rPr>
          <w:rFonts w:ascii="Cambria" w:eastAsia="Calibri" w:hAnsi="Cambria"/>
          <w:sz w:val="20"/>
          <w:szCs w:val="20"/>
          <w:bdr w:val="none" w:sz="0" w:space="0" w:color="auto"/>
          <w:lang w:val="es-ES"/>
        </w:rPr>
        <w:t>.</w:t>
      </w:r>
    </w:p>
    <w:p w14:paraId="4138FEF2"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VE"/>
        </w:rPr>
      </w:pPr>
    </w:p>
    <w:p w14:paraId="52861E18" w14:textId="4DD48B3A"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VE"/>
        </w:rPr>
        <w:t xml:space="preserve">A la luz de lo anterior, la Comisión considera que resulta plenamente aplicable al análisis de casos de violencia por prejuicio en los términos del concepto antes descrito, lo desarrollado por la jurisprudencia interamericana en casos como </w:t>
      </w:r>
      <w:r w:rsidRPr="003C3ADE">
        <w:rPr>
          <w:rFonts w:ascii="Cambria" w:eastAsia="Calibri" w:hAnsi="Cambria"/>
          <w:i/>
          <w:sz w:val="20"/>
          <w:szCs w:val="20"/>
          <w:bdr w:val="none" w:sz="0" w:space="0" w:color="auto"/>
          <w:lang w:val="es-VE"/>
        </w:rPr>
        <w:t>Campo Algodonero vs. México</w:t>
      </w:r>
      <w:r w:rsidRPr="003C3ADE">
        <w:rPr>
          <w:rFonts w:ascii="Cambria" w:eastAsia="Calibri" w:hAnsi="Cambria"/>
          <w:sz w:val="20"/>
          <w:szCs w:val="20"/>
          <w:bdr w:val="none" w:sz="0" w:space="0" w:color="auto"/>
          <w:vertAlign w:val="superscript"/>
          <w:lang w:val="es-VE"/>
        </w:rPr>
        <w:footnoteReference w:id="133"/>
      </w:r>
      <w:r w:rsidRPr="003C3ADE">
        <w:rPr>
          <w:rFonts w:ascii="Cambria" w:eastAsia="Calibri" w:hAnsi="Cambria"/>
          <w:sz w:val="20"/>
          <w:szCs w:val="20"/>
          <w:bdr w:val="none" w:sz="0" w:space="0" w:color="auto"/>
          <w:lang w:val="es-VE"/>
        </w:rPr>
        <w:t xml:space="preserve"> y </w:t>
      </w:r>
      <w:r w:rsidRPr="003C3ADE">
        <w:rPr>
          <w:rFonts w:ascii="Cambria" w:eastAsia="Calibri" w:hAnsi="Cambria"/>
          <w:i/>
          <w:sz w:val="20"/>
          <w:szCs w:val="20"/>
          <w:bdr w:val="none" w:sz="0" w:space="0" w:color="auto"/>
          <w:lang w:val="es-VE"/>
        </w:rPr>
        <w:t>Velásquez Paiz vs. Guatemala</w:t>
      </w:r>
      <w:r w:rsidRPr="003C3ADE">
        <w:rPr>
          <w:rFonts w:ascii="Cambria" w:eastAsia="Calibri" w:hAnsi="Cambria"/>
          <w:sz w:val="20"/>
          <w:szCs w:val="20"/>
          <w:bdr w:val="none" w:sz="0" w:space="0" w:color="auto"/>
          <w:lang w:val="es-VE"/>
        </w:rPr>
        <w:t>, en cuanto a que el esclarecimiento de hechos de violencia o agresión presuntamente motivados por razón de género, y conforme al presente análisis, por prejuicio, deben considerarse especialmente las posibles “connotaciones discriminatorias” que pudo motivar dicha violencia</w:t>
      </w:r>
      <w:r w:rsidRPr="003C3ADE">
        <w:rPr>
          <w:rFonts w:ascii="Cambria" w:eastAsia="Calibri" w:hAnsi="Cambria"/>
          <w:sz w:val="20"/>
          <w:szCs w:val="20"/>
          <w:bdr w:val="none" w:sz="0" w:space="0" w:color="auto"/>
          <w:vertAlign w:val="superscript"/>
          <w:lang w:val="es-VE"/>
        </w:rPr>
        <w:footnoteReference w:id="134"/>
      </w:r>
      <w:r w:rsidRPr="003C3ADE">
        <w:rPr>
          <w:rFonts w:ascii="Cambria" w:eastAsia="Calibri" w:hAnsi="Cambria"/>
          <w:sz w:val="20"/>
          <w:szCs w:val="20"/>
          <w:bdr w:val="none" w:sz="0" w:space="0" w:color="auto"/>
          <w:lang w:val="es-VE"/>
        </w:rPr>
        <w:t>. En efecto, la CIDH ya ha tenido en cuenta lo señalado en el ámbito internacional en cuanto a que la violencia contra las personas LGBT constituye una “forma de violencia de género, impulsada por el deseo de castigar a quienes se considera que desafían las normas de género”</w:t>
      </w:r>
      <w:r w:rsidRPr="003C3ADE">
        <w:rPr>
          <w:rFonts w:ascii="Cambria" w:eastAsia="Calibri" w:hAnsi="Cambria"/>
          <w:sz w:val="20"/>
          <w:szCs w:val="20"/>
          <w:bdr w:val="none" w:sz="0" w:space="0" w:color="auto"/>
          <w:vertAlign w:val="superscript"/>
          <w:lang w:val="es-VE"/>
        </w:rPr>
        <w:footnoteReference w:id="135"/>
      </w:r>
      <w:r w:rsidRPr="003C3ADE">
        <w:rPr>
          <w:rFonts w:ascii="Cambria" w:eastAsia="Calibri" w:hAnsi="Cambria"/>
          <w:sz w:val="20"/>
          <w:szCs w:val="20"/>
          <w:bdr w:val="none" w:sz="0" w:space="0" w:color="auto"/>
          <w:lang w:val="es-VE"/>
        </w:rPr>
        <w:t>. Adicionalmente, la CIDH ha señalado que la violencia sexual puede adquirir un significado particular al ser perpetrada contra personas LGBT, dado que puede ser utilizada para sancionar y degradar a las víctimas por ser quiénes son</w:t>
      </w:r>
      <w:r w:rsidRPr="003C3ADE">
        <w:rPr>
          <w:rFonts w:ascii="Cambria" w:eastAsia="Calibri" w:hAnsi="Cambria"/>
          <w:sz w:val="20"/>
          <w:szCs w:val="20"/>
          <w:bdr w:val="none" w:sz="0" w:space="0" w:color="auto"/>
          <w:vertAlign w:val="superscript"/>
          <w:lang w:val="es-VE"/>
        </w:rPr>
        <w:footnoteReference w:id="136"/>
      </w:r>
      <w:r w:rsidRPr="003C3ADE">
        <w:rPr>
          <w:rFonts w:ascii="Cambria" w:eastAsia="Calibri" w:hAnsi="Cambria"/>
          <w:sz w:val="20"/>
          <w:szCs w:val="20"/>
          <w:bdr w:val="none" w:sz="0" w:space="0" w:color="auto"/>
          <w:lang w:val="es-VE"/>
        </w:rPr>
        <w:t xml:space="preserve">. </w:t>
      </w:r>
    </w:p>
    <w:p w14:paraId="4299558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VE"/>
        </w:rPr>
      </w:pPr>
    </w:p>
    <w:p w14:paraId="10E8C9BB" w14:textId="67BCAD3E"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VE"/>
        </w:rPr>
        <w:t>El Relator Especial sobre la tortura y otros tratos o penas crueles, inhumanos o degradantes también ha señalado que en una parte considerable de los casos de tortura a personas LGBT hay indicaciones de que se les somete con frecuencia a “actos de violencia de índole sexual, como violaciones o agresiones sexuales, a fin de “castigarlos” por traspasar las barreras del género o por cuestionar ideas predominantes con respecto al papel de cada sexo”</w:t>
      </w:r>
      <w:r w:rsidRPr="003C3ADE">
        <w:rPr>
          <w:rFonts w:ascii="Cambria" w:eastAsia="Calibri" w:hAnsi="Cambria"/>
          <w:sz w:val="20"/>
          <w:szCs w:val="20"/>
          <w:bdr w:val="none" w:sz="0" w:space="0" w:color="auto"/>
          <w:vertAlign w:val="superscript"/>
          <w:lang w:val="es-VE"/>
        </w:rPr>
        <w:footnoteReference w:id="137"/>
      </w:r>
      <w:r w:rsidRPr="003C3ADE">
        <w:rPr>
          <w:rFonts w:ascii="Cambria" w:eastAsia="Calibri" w:hAnsi="Cambria"/>
          <w:sz w:val="20"/>
          <w:szCs w:val="20"/>
          <w:bdr w:val="none" w:sz="0" w:space="0" w:color="auto"/>
          <w:lang w:val="es-VE"/>
        </w:rPr>
        <w:t>. De igual forma, se ha considerado que “los elementos del propósito y la intención de la definición de tortura […] se reúnen siempre que un acto está motivado por el género o se ha cometido contra determinadas personas en razón de su sexo, su identidad de género, su orientación sexual real o aparente, o su incumplimiento de las normas sociales relativas al género y la sexualidad”</w:t>
      </w:r>
      <w:r w:rsidRPr="003C3ADE">
        <w:rPr>
          <w:rFonts w:ascii="Cambria" w:eastAsia="Calibri" w:hAnsi="Cambria"/>
          <w:sz w:val="20"/>
          <w:szCs w:val="20"/>
          <w:bdr w:val="none" w:sz="0" w:space="0" w:color="auto"/>
          <w:vertAlign w:val="superscript"/>
          <w:lang w:val="es-VE"/>
        </w:rPr>
        <w:footnoteReference w:id="138"/>
      </w:r>
      <w:r w:rsidRPr="003C3ADE">
        <w:rPr>
          <w:rFonts w:ascii="Cambria" w:eastAsia="Calibri" w:hAnsi="Cambria"/>
          <w:sz w:val="20"/>
          <w:szCs w:val="20"/>
          <w:bdr w:val="none" w:sz="0" w:space="0" w:color="auto"/>
          <w:lang w:val="es-VE"/>
        </w:rPr>
        <w:t>. En un informe más reciente, el Relator actual sobre la tortura y otros tratos o penas crueles, inhumanos o degradantes recalcó que “los estereotipos de género influyen cuando se quita importancia al dolor y el sufrimiento que ciertas prácticas generan en las mujeres, las niñas y las personas [LGBT]. Además, el género se combina con otros factores e identidades, como la orientación sexual, la discapacidad y la edad, que pueden hacer más vulnerables a las personas frente a la tortura y los malos tratos”</w:t>
      </w:r>
      <w:r w:rsidRPr="003C3ADE">
        <w:rPr>
          <w:rFonts w:ascii="Cambria" w:eastAsia="Calibri" w:hAnsi="Cambria"/>
          <w:sz w:val="20"/>
          <w:szCs w:val="20"/>
          <w:bdr w:val="none" w:sz="0" w:space="0" w:color="auto"/>
          <w:vertAlign w:val="superscript"/>
          <w:lang w:val="es-VE"/>
        </w:rPr>
        <w:footnoteReference w:id="139"/>
      </w:r>
      <w:r w:rsidRPr="003C3ADE">
        <w:rPr>
          <w:rFonts w:ascii="Cambria" w:eastAsia="Calibri" w:hAnsi="Cambria"/>
          <w:sz w:val="20"/>
          <w:szCs w:val="20"/>
          <w:bdr w:val="none" w:sz="0" w:space="0" w:color="auto"/>
          <w:lang w:val="es-VE"/>
        </w:rPr>
        <w:t xml:space="preserve">. </w:t>
      </w:r>
    </w:p>
    <w:p w14:paraId="38A5C52F"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VE"/>
        </w:rPr>
      </w:pPr>
    </w:p>
    <w:p w14:paraId="4A8A6FD8" w14:textId="08C71A9E" w:rsidR="003C3ADE" w:rsidRPr="006C35D0"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VE"/>
        </w:rPr>
      </w:pPr>
      <w:r w:rsidRPr="003C3ADE">
        <w:rPr>
          <w:rFonts w:ascii="Cambria" w:eastAsia="Calibri" w:hAnsi="Cambria"/>
          <w:sz w:val="20"/>
          <w:szCs w:val="20"/>
          <w:bdr w:val="none" w:sz="0" w:space="0" w:color="auto"/>
          <w:lang w:val="es-VE"/>
        </w:rPr>
        <w:t xml:space="preserve">A la luz de lo anterior, la Comisión recuerda que la identidad </w:t>
      </w:r>
      <w:r w:rsidR="00205A1D">
        <w:rPr>
          <w:rFonts w:ascii="Cambria" w:eastAsia="Calibri" w:hAnsi="Cambria"/>
          <w:sz w:val="20"/>
          <w:szCs w:val="20"/>
          <w:bdr w:val="none" w:sz="0" w:space="0" w:color="auto"/>
          <w:lang w:val="es-VE"/>
        </w:rPr>
        <w:t xml:space="preserve">y la expresión </w:t>
      </w:r>
      <w:r w:rsidRPr="003C3ADE">
        <w:rPr>
          <w:rFonts w:ascii="Cambria" w:eastAsia="Calibri" w:hAnsi="Cambria"/>
          <w:sz w:val="20"/>
          <w:szCs w:val="20"/>
          <w:bdr w:val="none" w:sz="0" w:space="0" w:color="auto"/>
          <w:lang w:val="es-VE"/>
        </w:rPr>
        <w:t>de género, así como la orientación sexual, constituye</w:t>
      </w:r>
      <w:r w:rsidR="00205A1D">
        <w:rPr>
          <w:rFonts w:ascii="Cambria" w:eastAsia="Calibri" w:hAnsi="Cambria"/>
          <w:sz w:val="20"/>
          <w:szCs w:val="20"/>
          <w:bdr w:val="none" w:sz="0" w:space="0" w:color="auto"/>
          <w:lang w:val="es-VE"/>
        </w:rPr>
        <w:t>n</w:t>
      </w:r>
      <w:r w:rsidRPr="003C3ADE">
        <w:rPr>
          <w:rFonts w:ascii="Cambria" w:eastAsia="Calibri" w:hAnsi="Cambria"/>
          <w:sz w:val="20"/>
          <w:szCs w:val="20"/>
          <w:bdr w:val="none" w:sz="0" w:space="0" w:color="auto"/>
          <w:lang w:val="es-VE"/>
        </w:rPr>
        <w:t xml:space="preserve"> un componente fundamental de la vida privada de una persona</w:t>
      </w:r>
      <w:r w:rsidRPr="003C3ADE">
        <w:rPr>
          <w:rFonts w:ascii="Cambria" w:eastAsia="Calibri" w:hAnsi="Cambria"/>
          <w:sz w:val="20"/>
          <w:szCs w:val="20"/>
          <w:bdr w:val="none" w:sz="0" w:space="0" w:color="auto"/>
          <w:vertAlign w:val="superscript"/>
          <w:lang w:val="es-VE"/>
        </w:rPr>
        <w:footnoteReference w:id="140"/>
      </w:r>
      <w:r w:rsidRPr="003C3ADE">
        <w:rPr>
          <w:rFonts w:ascii="Cambria" w:eastAsia="Calibri" w:hAnsi="Cambria"/>
          <w:sz w:val="20"/>
          <w:szCs w:val="20"/>
          <w:bdr w:val="none" w:sz="0" w:space="0" w:color="auto"/>
          <w:lang w:val="es-VE"/>
        </w:rPr>
        <w:t xml:space="preserve">, lo cual </w:t>
      </w:r>
      <w:r w:rsidRPr="003C3ADE">
        <w:rPr>
          <w:rFonts w:ascii="Cambria" w:eastAsia="MS Mincho" w:hAnsi="Cambria"/>
          <w:sz w:val="20"/>
          <w:szCs w:val="20"/>
          <w:bdr w:val="none" w:sz="0" w:space="0" w:color="auto"/>
          <w:lang w:val="es-ES" w:eastAsia="ar-SA"/>
        </w:rPr>
        <w:t xml:space="preserve">conlleva necesariamente el respeto al derecho de expresar libremente </w:t>
      </w:r>
      <w:r w:rsidRPr="003C3ADE">
        <w:rPr>
          <w:rFonts w:ascii="Cambria" w:eastAsia="Calibri" w:hAnsi="Cambria"/>
          <w:sz w:val="20"/>
          <w:szCs w:val="20"/>
          <w:bdr w:val="none" w:sz="0" w:space="0" w:color="auto"/>
          <w:lang w:val="es-VE"/>
        </w:rPr>
        <w:t>dicha</w:t>
      </w:r>
      <w:r w:rsidRPr="003C3ADE">
        <w:rPr>
          <w:rFonts w:ascii="Cambria" w:eastAsia="MS Mincho" w:hAnsi="Cambria"/>
          <w:sz w:val="20"/>
          <w:szCs w:val="20"/>
          <w:bdr w:val="none" w:sz="0" w:space="0" w:color="auto"/>
          <w:lang w:val="es-ES" w:eastAsia="ar-SA"/>
        </w:rPr>
        <w:t xml:space="preserve"> identidad de género, como parte del libre desarrollo de la personalidad, esencial en el proyecto de vida de una persona, su dignidad y su libertad</w:t>
      </w:r>
      <w:r w:rsidRPr="003C3ADE">
        <w:rPr>
          <w:rFonts w:ascii="Cambria" w:eastAsia="MS Mincho" w:hAnsi="Cambria"/>
          <w:sz w:val="20"/>
          <w:szCs w:val="20"/>
          <w:bdr w:val="none" w:sz="0" w:space="0" w:color="auto"/>
          <w:vertAlign w:val="superscript"/>
          <w:lang w:val="es-ES" w:eastAsia="ar-SA"/>
        </w:rPr>
        <w:footnoteReference w:id="141"/>
      </w:r>
      <w:r w:rsidRPr="003C3ADE">
        <w:rPr>
          <w:rFonts w:ascii="Cambria" w:eastAsia="MS Mincho" w:hAnsi="Cambria"/>
          <w:sz w:val="20"/>
          <w:szCs w:val="20"/>
          <w:bdr w:val="none" w:sz="0" w:space="0" w:color="auto"/>
          <w:lang w:val="es-ES" w:eastAsia="ar-SA"/>
        </w:rPr>
        <w:t>. En ese sentido, cuando el motivo que subyace a la violencia es el prejuicio por identidad de género, esto constituye igualmente una afrenta al derecho de toda persona de “auto-determinarse y escoger libremente las opciones y circunstancias que le dan sentido a su existencia, conforme a sus propias opciones y convicciones”</w:t>
      </w:r>
      <w:r w:rsidRPr="003C3ADE">
        <w:rPr>
          <w:rFonts w:ascii="Cambria" w:eastAsia="MS Mincho" w:hAnsi="Cambria"/>
          <w:sz w:val="20"/>
          <w:szCs w:val="20"/>
          <w:bdr w:val="none" w:sz="0" w:space="0" w:color="auto"/>
          <w:vertAlign w:val="superscript"/>
          <w:lang w:val="es-ES" w:eastAsia="ar-SA"/>
        </w:rPr>
        <w:footnoteReference w:id="142"/>
      </w:r>
      <w:r w:rsidRPr="003C3ADE">
        <w:rPr>
          <w:rFonts w:ascii="Cambria" w:eastAsia="MS Mincho" w:hAnsi="Cambria"/>
          <w:sz w:val="20"/>
          <w:szCs w:val="20"/>
          <w:bdr w:val="none" w:sz="0" w:space="0" w:color="auto"/>
          <w:lang w:val="es-ES" w:eastAsia="ar-SA"/>
        </w:rPr>
        <w:t>.</w:t>
      </w:r>
    </w:p>
    <w:p w14:paraId="380DFEE5" w14:textId="61DCF521" w:rsidR="003C3ADE" w:rsidRPr="006C35D0" w:rsidRDefault="003C3ADE" w:rsidP="00094AFC">
      <w:pPr>
        <w:pStyle w:val="Heading3"/>
        <w:numPr>
          <w:ilvl w:val="0"/>
          <w:numId w:val="64"/>
        </w:numPr>
        <w:ind w:hanging="90"/>
        <w:rPr>
          <w:rFonts w:ascii="Cambria" w:eastAsia="Calibri" w:hAnsi="Cambria"/>
          <w:sz w:val="20"/>
          <w:szCs w:val="20"/>
          <w:lang w:val="es-CO"/>
        </w:rPr>
      </w:pPr>
      <w:bookmarkStart w:id="17" w:name="_Toc536451322"/>
      <w:r w:rsidRPr="003C3ADE">
        <w:rPr>
          <w:rFonts w:ascii="Cambria" w:eastAsia="Calibri" w:hAnsi="Cambria"/>
          <w:sz w:val="20"/>
          <w:szCs w:val="20"/>
          <w:lang w:val="es-CO"/>
        </w:rPr>
        <w:t>Análisis del caso</w:t>
      </w:r>
      <w:bookmarkEnd w:id="17"/>
      <w:r w:rsidRPr="003C3ADE">
        <w:rPr>
          <w:rFonts w:ascii="Cambria" w:eastAsia="Calibri" w:hAnsi="Cambria"/>
          <w:sz w:val="20"/>
          <w:szCs w:val="20"/>
          <w:lang w:val="es-CO"/>
        </w:rPr>
        <w:t xml:space="preserve"> </w:t>
      </w:r>
    </w:p>
    <w:p w14:paraId="3CE76275"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b/>
          <w:sz w:val="20"/>
          <w:szCs w:val="20"/>
          <w:bdr w:val="none" w:sz="0" w:space="0" w:color="auto"/>
          <w:lang w:val="es-CO"/>
        </w:rPr>
      </w:pPr>
    </w:p>
    <w:p w14:paraId="560686B7" w14:textId="10AA83D5" w:rsidR="003C3ADE" w:rsidRDefault="004D7714"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 xml:space="preserve">En este punto, la Comisión analizará, en primer lugar, si de los hechos de caso se desprenden elementos que permiten caracterizar los hechos como </w:t>
      </w:r>
      <w:r w:rsidR="003C3ADE" w:rsidRPr="003C3ADE">
        <w:rPr>
          <w:rFonts w:ascii="Cambria" w:eastAsia="Calibri" w:hAnsi="Cambria"/>
          <w:sz w:val="20"/>
          <w:szCs w:val="20"/>
          <w:bdr w:val="none" w:sz="0" w:space="0" w:color="auto"/>
          <w:lang w:val="es-CO"/>
        </w:rPr>
        <w:t>violencia por prejuicio respecto de la identidad y expresión de género de Vicky Hernández</w:t>
      </w:r>
      <w:r>
        <w:rPr>
          <w:rFonts w:ascii="Cambria" w:eastAsia="Calibri" w:hAnsi="Cambria"/>
          <w:sz w:val="20"/>
          <w:szCs w:val="20"/>
          <w:bdr w:val="none" w:sz="0" w:space="0" w:color="auto"/>
          <w:lang w:val="es-CO"/>
        </w:rPr>
        <w:t>. En segundo lugar, la CIDH analizará si el Estado hondureño es internacionalmente responsable por su muerte.</w:t>
      </w:r>
      <w:r w:rsidR="003C3ADE" w:rsidRPr="003C3ADE">
        <w:rPr>
          <w:rFonts w:ascii="Cambria" w:eastAsia="Calibri" w:hAnsi="Cambria"/>
          <w:sz w:val="20"/>
          <w:szCs w:val="20"/>
          <w:bdr w:val="none" w:sz="0" w:space="0" w:color="auto"/>
          <w:lang w:val="es-CO"/>
        </w:rPr>
        <w:t xml:space="preserve"> </w:t>
      </w:r>
    </w:p>
    <w:p w14:paraId="13B8F8C0"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48F801CA" w14:textId="1A7A0B3D" w:rsidR="003C3ADE" w:rsidRDefault="00C3263F"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En cuanto al primer aspecto, c</w:t>
      </w:r>
      <w:r w:rsidR="003C3ADE" w:rsidRPr="003C3ADE">
        <w:rPr>
          <w:rFonts w:ascii="Cambria" w:eastAsia="Calibri" w:hAnsi="Cambria"/>
          <w:sz w:val="20"/>
          <w:szCs w:val="20"/>
          <w:bdr w:val="none" w:sz="0" w:space="0" w:color="auto"/>
          <w:lang w:val="es-CO"/>
        </w:rPr>
        <w:t xml:space="preserve">omo fue referido anteriormente, ciertos elementos analizados en conjunto son indicativos de que un crimen fue cometido por prejuicio. En este sentido, algunos de los elementos que han sido estudiados por la Comisión como recurrentes en casos de violencia por prejuicio en contra de personas trans, particularmente mujeres trans, son los relacionados con el ejercicio de violencia sexual sobre las víctimas como una forma de castigo por su identidad y expresión de género que </w:t>
      </w:r>
      <w:r w:rsidR="003C3ADE" w:rsidRPr="003C3ADE">
        <w:rPr>
          <w:rFonts w:ascii="Cambria" w:eastAsia="Calibri" w:hAnsi="Cambria"/>
          <w:sz w:val="20"/>
          <w:szCs w:val="20"/>
          <w:bdr w:val="none" w:sz="0" w:space="0" w:color="auto"/>
          <w:lang w:val="es-VE"/>
        </w:rPr>
        <w:t>incumple las normas sociales relativas al género y la sexualidad</w:t>
      </w:r>
      <w:r w:rsidR="003C3ADE" w:rsidRPr="003C3ADE">
        <w:rPr>
          <w:rFonts w:ascii="Cambria" w:eastAsia="Calibri" w:hAnsi="Cambria"/>
          <w:sz w:val="20"/>
          <w:szCs w:val="20"/>
          <w:bdr w:val="none" w:sz="0" w:space="0" w:color="auto"/>
          <w:lang w:val="es-CO"/>
        </w:rPr>
        <w:t xml:space="preserve">, y el modus operandi de quienes cometen estos crímenes. En el presente caso la Comisión observa que en el acta de levantamiento del cadáver se reportó el hallazgo, al lado del cuerpo, de un preservativo aparentemente usado. La Comisión entiende que este hecho podría ser indicativo de violencia sexual, pese a lo cual observa que no consta información en el expediente sobre la realización de análisis respectivos para descartar que Vicky Hernández haya sido víctima de esta. Asimismo, la Comisión observa que Vicky Hernández fue asesinada por arma de fuego y que su cuerpo fue hallado en vía pública; elementos concordantes con lo encontrado por la CIDH en relación con cómo se cometen la mayoría de los crímenes por prejuicio en contra de las mujeres trans, en varias ocasiones en situaciones vinculadas con el trabajo sexual como ocurre en el presente caso. </w:t>
      </w:r>
    </w:p>
    <w:p w14:paraId="3A2B93D9"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025C6D8E" w14:textId="3CF889C1" w:rsidR="003C3ADE" w:rsidRDefault="00855260"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Además, l</w:t>
      </w:r>
      <w:r w:rsidR="003C3ADE" w:rsidRPr="003C3ADE">
        <w:rPr>
          <w:rFonts w:ascii="Cambria" w:eastAsia="Calibri" w:hAnsi="Cambria"/>
          <w:sz w:val="20"/>
          <w:szCs w:val="20"/>
          <w:bdr w:val="none" w:sz="0" w:space="0" w:color="auto"/>
          <w:lang w:val="es-CO"/>
        </w:rPr>
        <w:t xml:space="preserve">a Comisión advierte que los hechos del presente caso se enmarcan en un contexto de violencia y discriminación en contra de las personas </w:t>
      </w:r>
      <w:r w:rsidR="001678F8">
        <w:rPr>
          <w:rFonts w:ascii="Cambria" w:eastAsia="Calibri" w:hAnsi="Cambria"/>
          <w:sz w:val="20"/>
          <w:szCs w:val="20"/>
          <w:bdr w:val="none" w:sz="0" w:space="0" w:color="auto"/>
          <w:lang w:val="es-CO"/>
        </w:rPr>
        <w:t>LGBT</w:t>
      </w:r>
      <w:r w:rsidR="003C3ADE" w:rsidRPr="003C3ADE">
        <w:rPr>
          <w:rFonts w:ascii="Cambria" w:eastAsia="Calibri" w:hAnsi="Cambria"/>
          <w:sz w:val="20"/>
          <w:szCs w:val="20"/>
          <w:bdr w:val="none" w:sz="0" w:space="0" w:color="auto"/>
          <w:lang w:val="es-CO"/>
        </w:rPr>
        <w:t xml:space="preserve"> en el Estado hondureño. Como fue descrito en la sección de hechos probados, dicho contexto ha sido reconocido por la CIDH, el Consejo de Derechos Humanos de las Naciones Unidas y diversas organizaciones de la sociedad civil. </w:t>
      </w:r>
      <w:r w:rsidR="00482E78">
        <w:rPr>
          <w:rFonts w:ascii="Cambria" w:eastAsia="Calibri" w:hAnsi="Cambria"/>
          <w:sz w:val="20"/>
          <w:szCs w:val="20"/>
          <w:bdr w:val="none" w:sz="0" w:space="0" w:color="auto"/>
          <w:lang w:val="es-CO"/>
        </w:rPr>
        <w:t xml:space="preserve">Como se estableció, dentro de dicho contexto, para la fecha de la muerte de Vicky Hernández, se empezó a registrar un incremento alarmante de muertes asociadas a la identidad y expresión de género de las víctimas. La CIDH </w:t>
      </w:r>
      <w:r w:rsidR="00D41A95">
        <w:rPr>
          <w:rFonts w:ascii="Cambria" w:eastAsia="Calibri" w:hAnsi="Cambria"/>
          <w:sz w:val="20"/>
          <w:szCs w:val="20"/>
          <w:bdr w:val="none" w:sz="0" w:space="0" w:color="auto"/>
          <w:lang w:val="es-CO"/>
        </w:rPr>
        <w:t xml:space="preserve">reitera lo indicado en la sección de contexto en cuanto a que </w:t>
      </w:r>
      <w:r w:rsidR="00482E78">
        <w:rPr>
          <w:rFonts w:ascii="Cambria" w:eastAsia="Calibri" w:hAnsi="Cambria"/>
          <w:sz w:val="20"/>
          <w:szCs w:val="20"/>
          <w:bdr w:val="none" w:sz="0" w:space="0" w:color="auto"/>
          <w:lang w:val="es-CO"/>
        </w:rPr>
        <w:t xml:space="preserve">justamente </w:t>
      </w:r>
      <w:r w:rsidR="003C3ADE" w:rsidRPr="003C3ADE">
        <w:rPr>
          <w:rFonts w:ascii="Cambria" w:eastAsia="Calibri" w:hAnsi="Cambria"/>
          <w:sz w:val="20"/>
          <w:szCs w:val="20"/>
          <w:bdr w:val="none" w:sz="0" w:space="0" w:color="auto"/>
          <w:lang w:val="es-CO"/>
        </w:rPr>
        <w:t xml:space="preserve">la ciudad de San Pedro Sula, en donde ocurrieron los hechos, es una de las más peligrosas para las personas </w:t>
      </w:r>
      <w:r w:rsidR="001678F8">
        <w:rPr>
          <w:rFonts w:ascii="Cambria" w:eastAsia="Calibri" w:hAnsi="Cambria"/>
          <w:sz w:val="20"/>
          <w:szCs w:val="20"/>
          <w:bdr w:val="none" w:sz="0" w:space="0" w:color="auto"/>
          <w:lang w:val="es-CO"/>
        </w:rPr>
        <w:t>LGBT</w:t>
      </w:r>
      <w:r w:rsidR="00482E78">
        <w:rPr>
          <w:rFonts w:ascii="Cambria" w:eastAsia="Calibri" w:hAnsi="Cambria"/>
          <w:sz w:val="20"/>
          <w:szCs w:val="20"/>
          <w:bdr w:val="none" w:sz="0" w:space="0" w:color="auto"/>
          <w:lang w:val="es-CO"/>
        </w:rPr>
        <w:t xml:space="preserve"> y tiene especial incidencia en el registro de estos crímenes.</w:t>
      </w:r>
      <w:r w:rsidR="003C3ADE" w:rsidRPr="003C3ADE">
        <w:rPr>
          <w:rFonts w:ascii="Cambria" w:eastAsia="Calibri" w:hAnsi="Cambria"/>
          <w:sz w:val="20"/>
          <w:szCs w:val="20"/>
          <w:bdr w:val="none" w:sz="0" w:space="0" w:color="auto"/>
          <w:lang w:val="es-CO"/>
        </w:rPr>
        <w:t xml:space="preserve"> Asimismo, dentro de este contexto, ha sido ampliamente documentado un patrón recurrente de violencia policial.</w:t>
      </w:r>
      <w:r w:rsidR="00482E78">
        <w:rPr>
          <w:rFonts w:ascii="Cambria" w:eastAsia="Calibri" w:hAnsi="Cambria"/>
          <w:sz w:val="20"/>
          <w:szCs w:val="20"/>
          <w:bdr w:val="none" w:sz="0" w:space="0" w:color="auto"/>
          <w:lang w:val="es-CO"/>
        </w:rPr>
        <w:t xml:space="preserve"> Otro elemento relevante para este análisis se relaciona con el trabajo sexual que ejercía Vicky Hernández y con su calidad de activista en tales temas. </w:t>
      </w:r>
      <w:r w:rsidR="003C3ADE" w:rsidRPr="003C3ADE">
        <w:rPr>
          <w:rFonts w:ascii="Cambria" w:eastAsia="Calibri" w:hAnsi="Cambria"/>
          <w:sz w:val="20"/>
          <w:szCs w:val="20"/>
          <w:bdr w:val="none" w:sz="0" w:space="0" w:color="auto"/>
          <w:lang w:val="es-CO"/>
        </w:rPr>
        <w:t xml:space="preserve"> </w:t>
      </w:r>
    </w:p>
    <w:p w14:paraId="34D3CB37"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6D5D6858" w14:textId="71ED7042"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CO"/>
        </w:rPr>
        <w:t xml:space="preserve">A la luz de </w:t>
      </w:r>
      <w:r w:rsidR="00FB061B">
        <w:rPr>
          <w:rFonts w:ascii="Cambria" w:eastAsia="Calibri" w:hAnsi="Cambria"/>
          <w:sz w:val="20"/>
          <w:szCs w:val="20"/>
          <w:bdr w:val="none" w:sz="0" w:space="0" w:color="auto"/>
          <w:lang w:val="es-CO"/>
        </w:rPr>
        <w:t xml:space="preserve">los anteriores elementos tomados en su conjunto, </w:t>
      </w:r>
      <w:r w:rsidRPr="003C3ADE">
        <w:rPr>
          <w:rFonts w:ascii="Cambria" w:eastAsia="Calibri" w:hAnsi="Cambria"/>
          <w:sz w:val="20"/>
          <w:szCs w:val="20"/>
          <w:bdr w:val="none" w:sz="0" w:space="0" w:color="auto"/>
          <w:lang w:val="es-CO"/>
        </w:rPr>
        <w:t xml:space="preserve">la Comisión considera que conforme a los estándares citados con anterioridad, por la naturaleza y forma en que la violencia fue ejercida en contra de Vicky Hernández, y teniendo en cuenta el indicio adicional que se desprende de las consideraciones del contexto en el que ocurrieron los hechos, es posible caracterizar lo sucedido a Vicky Hernández </w:t>
      </w:r>
      <w:r w:rsidR="00FB061B">
        <w:rPr>
          <w:rFonts w:ascii="Cambria" w:eastAsia="Calibri" w:hAnsi="Cambria"/>
          <w:sz w:val="20"/>
          <w:szCs w:val="20"/>
          <w:bdr w:val="none" w:sz="0" w:space="0" w:color="auto"/>
          <w:lang w:val="es-CO"/>
        </w:rPr>
        <w:t>como un asesinato por prejuicio</w:t>
      </w:r>
      <w:r w:rsidR="00A40D5F">
        <w:rPr>
          <w:rFonts w:ascii="Cambria" w:eastAsia="Calibri" w:hAnsi="Cambria"/>
          <w:sz w:val="20"/>
          <w:szCs w:val="20"/>
          <w:bdr w:val="none" w:sz="0" w:space="0" w:color="auto"/>
          <w:lang w:val="es-CO"/>
        </w:rPr>
        <w:t xml:space="preserve"> sobre identidad y expresión de género como mujer </w:t>
      </w:r>
      <w:proofErr w:type="spellStart"/>
      <w:r w:rsidR="00A40D5F">
        <w:rPr>
          <w:rFonts w:ascii="Cambria" w:eastAsia="Calibri" w:hAnsi="Cambria"/>
          <w:sz w:val="20"/>
          <w:szCs w:val="20"/>
          <w:bdr w:val="none" w:sz="0" w:space="0" w:color="auto"/>
          <w:lang w:val="es-CO"/>
        </w:rPr>
        <w:t>trans</w:t>
      </w:r>
      <w:proofErr w:type="spellEnd"/>
      <w:r w:rsidR="00A40D5F">
        <w:rPr>
          <w:rFonts w:ascii="Cambria" w:eastAsia="Calibri" w:hAnsi="Cambria"/>
          <w:sz w:val="20"/>
          <w:szCs w:val="20"/>
          <w:bdr w:val="none" w:sz="0" w:space="0" w:color="auto"/>
          <w:lang w:val="es-CO"/>
        </w:rPr>
        <w:t xml:space="preserve"> y, </w:t>
      </w:r>
      <w:r w:rsidR="00FA6452">
        <w:rPr>
          <w:rFonts w:ascii="Cambria" w:eastAsia="Calibri" w:hAnsi="Cambria"/>
          <w:sz w:val="20"/>
          <w:szCs w:val="20"/>
          <w:bdr w:val="none" w:sz="0" w:space="0" w:color="auto"/>
          <w:lang w:val="es-CO"/>
        </w:rPr>
        <w:t xml:space="preserve">por lo tanto, un </w:t>
      </w:r>
      <w:proofErr w:type="spellStart"/>
      <w:r w:rsidR="00FA6452">
        <w:rPr>
          <w:rFonts w:ascii="Cambria" w:eastAsia="Calibri" w:hAnsi="Cambria"/>
          <w:sz w:val="20"/>
          <w:szCs w:val="20"/>
          <w:bdr w:val="none" w:sz="0" w:space="0" w:color="auto"/>
          <w:lang w:val="es-CO"/>
        </w:rPr>
        <w:t>transfemicidio</w:t>
      </w:r>
      <w:proofErr w:type="spellEnd"/>
      <w:r w:rsidR="00FA6452">
        <w:rPr>
          <w:rFonts w:ascii="Cambria" w:eastAsia="Calibri" w:hAnsi="Cambria"/>
          <w:sz w:val="20"/>
          <w:szCs w:val="20"/>
          <w:bdr w:val="none" w:sz="0" w:space="0" w:color="auto"/>
          <w:lang w:val="es-CO"/>
        </w:rPr>
        <w:t>.</w:t>
      </w:r>
    </w:p>
    <w:p w14:paraId="60B958D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410C7638" w14:textId="1F1C1346" w:rsidR="003C3ADE" w:rsidRDefault="00244B12"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En cuanto al segundo aspecto, a continuación</w:t>
      </w:r>
      <w:r w:rsidR="001E6832">
        <w:rPr>
          <w:rFonts w:ascii="Cambria" w:eastAsia="Calibri" w:hAnsi="Cambria"/>
          <w:sz w:val="20"/>
          <w:szCs w:val="20"/>
          <w:bdr w:val="none" w:sz="0" w:space="0" w:color="auto"/>
          <w:lang w:val="es-CO"/>
        </w:rPr>
        <w:t>,</w:t>
      </w:r>
      <w:r>
        <w:rPr>
          <w:rFonts w:ascii="Cambria" w:eastAsia="Calibri" w:hAnsi="Cambria"/>
          <w:sz w:val="20"/>
          <w:szCs w:val="20"/>
          <w:bdr w:val="none" w:sz="0" w:space="0" w:color="auto"/>
          <w:lang w:val="es-CO"/>
        </w:rPr>
        <w:t xml:space="preserve"> la CIDH pasa </w:t>
      </w:r>
      <w:r w:rsidR="003C3ADE" w:rsidRPr="003C3ADE">
        <w:rPr>
          <w:rFonts w:ascii="Cambria" w:eastAsia="Calibri" w:hAnsi="Cambria"/>
          <w:sz w:val="20"/>
          <w:szCs w:val="20"/>
          <w:bdr w:val="none" w:sz="0" w:space="0" w:color="auto"/>
          <w:lang w:val="es-CO"/>
        </w:rPr>
        <w:t xml:space="preserve">a determinar si el asesinato de Vicky Hernández </w:t>
      </w:r>
      <w:r w:rsidR="00805F22">
        <w:rPr>
          <w:rFonts w:ascii="Cambria" w:eastAsia="Calibri" w:hAnsi="Cambria"/>
          <w:sz w:val="20"/>
          <w:szCs w:val="20"/>
          <w:bdr w:val="none" w:sz="0" w:space="0" w:color="auto"/>
          <w:lang w:val="es-CO"/>
        </w:rPr>
        <w:t xml:space="preserve">es atribuible al Estado, a la luz de sus deberes de respeto y garantía. </w:t>
      </w:r>
    </w:p>
    <w:p w14:paraId="0BBF256E"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694AA438" w14:textId="7E55FB7C" w:rsidR="003C3ADE" w:rsidRDefault="00D802E0"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 xml:space="preserve">Así, con relación al deber de respeto, </w:t>
      </w:r>
      <w:r w:rsidR="003C3ADE" w:rsidRPr="003C3ADE">
        <w:rPr>
          <w:rFonts w:ascii="Cambria" w:eastAsia="Calibri" w:hAnsi="Cambria"/>
          <w:sz w:val="20"/>
          <w:szCs w:val="20"/>
          <w:bdr w:val="none" w:sz="0" w:space="0" w:color="auto"/>
          <w:lang w:val="es-CO"/>
        </w:rPr>
        <w:t xml:space="preserve">la Comisión encuentra que el referido contexto de violencia por prejuicio en Honduras se vio intensificado en el marco del golpe de Estado de 2009, caracterizado por una fuerte presencia militar en distintos ámbitos de la vida civil y la suspensión de garantías mediante la implementación de toques de queda en los que las fuerzas de seguridad del Estado ejercieron un fuerte control y resguardo de las calles. Asimismo, se ha concluido que los toques de queda, la militarización del territorio, la primacía del poder militar sobre el civil y la deficiencia de los mecanismos judiciales pusieron a toda la población en una situación de indefensión, “que generó un ambiente propicio para la comisión de violaciones de derechos humanos”. La Comisión no deja de notar que de acuerdo con la información recolectada por diversas organizaciones de la sociedad civil, durante los múltiples toques de queda que ocurrieron en el golpe, resultaron asesinadas personas de la comunidad </w:t>
      </w:r>
      <w:r w:rsidR="001678F8">
        <w:rPr>
          <w:rFonts w:ascii="Cambria" w:eastAsia="Calibri" w:hAnsi="Cambria"/>
          <w:sz w:val="20"/>
          <w:szCs w:val="20"/>
          <w:bdr w:val="none" w:sz="0" w:space="0" w:color="auto"/>
          <w:lang w:val="es-CO"/>
        </w:rPr>
        <w:t>LGBT</w:t>
      </w:r>
      <w:r w:rsidR="003C3ADE" w:rsidRPr="003C3ADE">
        <w:rPr>
          <w:rFonts w:ascii="Cambria" w:eastAsia="Calibri" w:hAnsi="Cambria"/>
          <w:sz w:val="20"/>
          <w:szCs w:val="20"/>
          <w:bdr w:val="none" w:sz="0" w:space="0" w:color="auto"/>
          <w:lang w:val="es-CO"/>
        </w:rPr>
        <w:t xml:space="preserve">, particularmente personas </w:t>
      </w:r>
      <w:proofErr w:type="spellStart"/>
      <w:r w:rsidR="003C3ADE" w:rsidRPr="003C3ADE">
        <w:rPr>
          <w:rFonts w:ascii="Cambria" w:eastAsia="Calibri" w:hAnsi="Cambria"/>
          <w:sz w:val="20"/>
          <w:szCs w:val="20"/>
          <w:bdr w:val="none" w:sz="0" w:space="0" w:color="auto"/>
          <w:lang w:val="es-CO"/>
        </w:rPr>
        <w:t>trans</w:t>
      </w:r>
      <w:proofErr w:type="spellEnd"/>
      <w:r w:rsidR="003C3ADE" w:rsidRPr="003C3ADE">
        <w:rPr>
          <w:rFonts w:ascii="Cambria" w:eastAsia="Calibri" w:hAnsi="Cambria"/>
          <w:sz w:val="20"/>
          <w:szCs w:val="20"/>
          <w:bdr w:val="none" w:sz="0" w:space="0" w:color="auto"/>
          <w:lang w:val="es-CO"/>
        </w:rPr>
        <w:t xml:space="preserve"> trabajadoras sexuales, quienes según se reportó, fueron encontradas en lugares y calles públicas.</w:t>
      </w:r>
    </w:p>
    <w:p w14:paraId="40D082FD" w14:textId="77777777" w:rsidR="001A2C25" w:rsidRDefault="001A2C25" w:rsidP="001A2C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38DD3C77" w14:textId="146AD4DA" w:rsidR="001A2C25" w:rsidRPr="003C3ADE" w:rsidRDefault="001A2C25"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 xml:space="preserve">En virtud de lo anterior, la CIDH considera que el contexto de violencia contra personas </w:t>
      </w:r>
      <w:r w:rsidR="001678F8">
        <w:rPr>
          <w:rFonts w:ascii="Cambria" w:eastAsia="Calibri" w:hAnsi="Cambria"/>
          <w:sz w:val="20"/>
          <w:szCs w:val="20"/>
          <w:bdr w:val="none" w:sz="0" w:space="0" w:color="auto"/>
          <w:lang w:val="es-CO"/>
        </w:rPr>
        <w:t>LGBT</w:t>
      </w:r>
      <w:r>
        <w:rPr>
          <w:rFonts w:ascii="Cambria" w:eastAsia="Calibri" w:hAnsi="Cambria"/>
          <w:sz w:val="20"/>
          <w:szCs w:val="20"/>
          <w:bdr w:val="none" w:sz="0" w:space="0" w:color="auto"/>
          <w:lang w:val="es-CO"/>
        </w:rPr>
        <w:t xml:space="preserve"> en Honduras con una alta incidencia de participación de agentes de seguridad en dicha violencia, el incremento de la misma a raíz del golpe de Estado</w:t>
      </w:r>
      <w:r w:rsidR="00F03B89">
        <w:rPr>
          <w:rFonts w:ascii="Cambria" w:eastAsia="Calibri" w:hAnsi="Cambria"/>
          <w:sz w:val="20"/>
          <w:szCs w:val="20"/>
          <w:bdr w:val="none" w:sz="0" w:space="0" w:color="auto"/>
          <w:lang w:val="es-CO"/>
        </w:rPr>
        <w:t xml:space="preserve">, el ambiente general de militarización que se generó tras dicho golpe con el consecuente control de las fuerzas de seguridad del Estado y el hecho de que el asesinato de Vicky Hernández tuvo lugar justamente en el marco de un toque de queda en el cual existía para las horas exactas de su muerte un control y resguardo de las calles por parte de agentes de seguridad del Estado, constituyen fuertes indicios de involucramiento estatal directo en los hechos. </w:t>
      </w:r>
    </w:p>
    <w:p w14:paraId="1DD774D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6F8ADAF2" w14:textId="4C89288D"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CO"/>
        </w:rPr>
        <w:t>En casos en los cuales se encuentra en controversia la participación estatal en graves violaciones de derechos humanos</w:t>
      </w:r>
      <w:r w:rsidR="00976546">
        <w:rPr>
          <w:rFonts w:ascii="Cambria" w:eastAsia="Calibri" w:hAnsi="Cambria"/>
          <w:sz w:val="20"/>
          <w:szCs w:val="20"/>
          <w:bdr w:val="none" w:sz="0" w:space="0" w:color="auto"/>
          <w:lang w:val="es-CO"/>
        </w:rPr>
        <w:t xml:space="preserve"> como lo es la muerte violenta de una persona,</w:t>
      </w:r>
      <w:r w:rsidRPr="003C3ADE">
        <w:rPr>
          <w:rFonts w:ascii="Cambria" w:eastAsia="Calibri" w:hAnsi="Cambria"/>
          <w:sz w:val="20"/>
          <w:szCs w:val="20"/>
          <w:bdr w:val="none" w:sz="0" w:space="0" w:color="auto"/>
          <w:lang w:val="es-CO"/>
        </w:rPr>
        <w:t xml:space="preserve"> la Comisión ha indicado </w:t>
      </w:r>
      <w:r w:rsidRPr="003C3ADE">
        <w:rPr>
          <w:rFonts w:ascii="Cambria" w:eastAsia="Calibri" w:hAnsi="Cambria"/>
          <w:sz w:val="20"/>
          <w:szCs w:val="20"/>
          <w:bdr w:val="none" w:sz="0" w:space="0" w:color="auto"/>
          <w:lang w:val="es-ES"/>
        </w:rPr>
        <w:t>que, ante indicios de esta naturaleza que implicarían una atribución directa de responsabilidad internacional al Estado, correspondía a las autoridades a cargo de la investigación desplegar todos los esfuerzos necesarios para esclarecer las posibles responsabilidades o vínculos de autoridades estatales en una violación del derecho a la vida</w:t>
      </w:r>
      <w:r w:rsidRPr="003C3ADE">
        <w:rPr>
          <w:rFonts w:ascii="Cambria" w:eastAsia="Calibri" w:hAnsi="Cambria"/>
          <w:sz w:val="20"/>
          <w:szCs w:val="20"/>
          <w:bdr w:val="none" w:sz="0" w:space="0" w:color="auto"/>
          <w:vertAlign w:val="superscript"/>
          <w:lang w:val="es-ES"/>
        </w:rPr>
        <w:footnoteReference w:id="143"/>
      </w:r>
      <w:r w:rsidRPr="003C3ADE">
        <w:rPr>
          <w:rFonts w:ascii="Cambria" w:eastAsia="Calibri" w:hAnsi="Cambria"/>
          <w:sz w:val="20"/>
          <w:szCs w:val="20"/>
          <w:bdr w:val="none" w:sz="0" w:space="0" w:color="auto"/>
          <w:lang w:val="es-ES"/>
        </w:rPr>
        <w:t xml:space="preserve">. De esta manera, recae sobre el Estado la obligación de efectuar una investigación minuciosa, seria y diligente para determinar la veracidad o desvirtuar los indicios de participación de agentes estatales. De lo contrario, la Comisión ha otorgado fuerza probatoria a dichos indicios no investigados adecuadamente. </w:t>
      </w:r>
    </w:p>
    <w:p w14:paraId="3CFE779E"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6AB8961C" w14:textId="733DE8AF"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ES"/>
        </w:rPr>
        <w:t xml:space="preserve">En la misma línea y tras establecer que la diligencia en la investigación de indicios de participación </w:t>
      </w:r>
      <w:r w:rsidRPr="003C3ADE">
        <w:rPr>
          <w:rFonts w:ascii="Cambria" w:eastAsia="Calibri" w:hAnsi="Cambria"/>
          <w:sz w:val="20"/>
          <w:szCs w:val="20"/>
          <w:bdr w:val="none" w:sz="0" w:space="0" w:color="auto"/>
          <w:lang w:val="es-CO"/>
        </w:rPr>
        <w:t>estatal</w:t>
      </w:r>
      <w:r w:rsidRPr="003C3ADE">
        <w:rPr>
          <w:rFonts w:ascii="Cambria" w:eastAsia="Calibri" w:hAnsi="Cambria"/>
          <w:sz w:val="20"/>
          <w:szCs w:val="20"/>
          <w:bdr w:val="none" w:sz="0" w:space="0" w:color="auto"/>
          <w:lang w:val="es-ES"/>
        </w:rPr>
        <w:t>, no se cumple, la Corte Interamericana ha señalado que es:</w:t>
      </w:r>
    </w:p>
    <w:p w14:paraId="6DA9A2A2"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7835F2C5" w14:textId="291485D3" w:rsid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3C3ADE">
        <w:rPr>
          <w:rFonts w:ascii="Cambria" w:eastAsia="Calibri" w:hAnsi="Cambria"/>
          <w:sz w:val="20"/>
          <w:szCs w:val="20"/>
          <w:bdr w:val="none" w:sz="0" w:space="0" w:color="auto"/>
          <w:vertAlign w:val="superscript"/>
          <w:lang w:val="es-ES"/>
        </w:rPr>
        <w:footnoteReference w:id="144"/>
      </w:r>
      <w:r w:rsidRPr="003C3ADE">
        <w:rPr>
          <w:rFonts w:ascii="Cambria" w:eastAsia="Calibri" w:hAnsi="Cambria"/>
          <w:sz w:val="20"/>
          <w:szCs w:val="20"/>
          <w:bdr w:val="none" w:sz="0" w:space="0" w:color="auto"/>
          <w:lang w:val="es-ES"/>
        </w:rPr>
        <w:t xml:space="preserve">. </w:t>
      </w:r>
    </w:p>
    <w:p w14:paraId="33195CD7"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eastAsia="Calibri" w:hAnsi="Cambria"/>
          <w:sz w:val="20"/>
          <w:szCs w:val="20"/>
          <w:bdr w:val="none" w:sz="0" w:space="0" w:color="auto"/>
          <w:lang w:val="es-ES"/>
        </w:rPr>
      </w:pPr>
    </w:p>
    <w:p w14:paraId="0C403740" w14:textId="176F2FEE"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 xml:space="preserve">Igualmente, la Corte ha reiterado que la falta de investigación de alegadas violaciones cometidas a una persona cuando existen indicios de participación de agentes estatales, “impide que el </w:t>
      </w:r>
      <w:r w:rsidRPr="003C3ADE">
        <w:rPr>
          <w:rFonts w:ascii="Cambria" w:eastAsia="Calibri" w:hAnsi="Cambria"/>
          <w:sz w:val="20"/>
          <w:szCs w:val="20"/>
          <w:bdr w:val="none" w:sz="0" w:space="0" w:color="auto"/>
          <w:lang w:val="es-CO"/>
        </w:rPr>
        <w:t>Estado</w:t>
      </w:r>
      <w:r w:rsidRPr="003C3ADE">
        <w:rPr>
          <w:rFonts w:ascii="Cambria" w:eastAsia="Calibri" w:hAnsi="Cambria"/>
          <w:sz w:val="20"/>
          <w:szCs w:val="20"/>
          <w:bdr w:val="none" w:sz="0" w:space="0" w:color="auto"/>
          <w:lang w:val="es-ES"/>
        </w:rPr>
        <w:t xml:space="preserve"> presente una explicación satisfactoria y convincente de los </w:t>
      </w:r>
      <w:r w:rsidRPr="003C3ADE">
        <w:rPr>
          <w:rFonts w:ascii="Cambria" w:eastAsia="Calibri" w:hAnsi="Cambria" w:cs="Arial"/>
          <w:sz w:val="20"/>
          <w:szCs w:val="20"/>
          <w:bdr w:val="none" w:sz="0" w:space="0" w:color="auto"/>
          <w:lang w:val="es-ES"/>
        </w:rPr>
        <w:t>[hechos]</w:t>
      </w:r>
      <w:r w:rsidRPr="003C3ADE">
        <w:rPr>
          <w:rFonts w:ascii="Cambria" w:eastAsia="Calibri" w:hAnsi="Cambria"/>
          <w:sz w:val="20"/>
          <w:szCs w:val="20"/>
          <w:bdr w:val="none" w:sz="0" w:space="0" w:color="auto"/>
          <w:lang w:val="es-ES"/>
        </w:rPr>
        <w:t xml:space="preserve"> alegados y desvirtuar las alegaciones sobre su responsabilidad, mediante elementos probatorios adecuados”</w:t>
      </w:r>
      <w:r w:rsidRPr="003C3ADE">
        <w:rPr>
          <w:rFonts w:ascii="Cambria" w:eastAsia="Calibri" w:hAnsi="Cambria"/>
          <w:sz w:val="20"/>
          <w:szCs w:val="20"/>
          <w:bdr w:val="none" w:sz="0" w:space="0" w:color="auto"/>
          <w:vertAlign w:val="superscript"/>
          <w:lang w:val="es-ES"/>
        </w:rPr>
        <w:footnoteReference w:id="145"/>
      </w:r>
      <w:r w:rsidRPr="003C3ADE">
        <w:rPr>
          <w:rFonts w:ascii="Cambria" w:eastAsia="Calibri" w:hAnsi="Cambria"/>
          <w:sz w:val="20"/>
          <w:szCs w:val="20"/>
          <w:bdr w:val="none" w:sz="0" w:space="0" w:color="auto"/>
          <w:lang w:val="es-ES"/>
        </w:rPr>
        <w:t>. De esta forma, la Corte ha tomado dicha falta de esclarecimiento como un factor a tomar en cuenta para acreditar la alegada afectación y la consecuente responsabilidad internacional</w:t>
      </w:r>
      <w:r w:rsidRPr="003C3ADE">
        <w:rPr>
          <w:rFonts w:ascii="Cambria" w:eastAsia="Calibri" w:hAnsi="Cambria"/>
          <w:sz w:val="20"/>
          <w:szCs w:val="20"/>
          <w:bdr w:val="none" w:sz="0" w:space="0" w:color="auto"/>
          <w:vertAlign w:val="superscript"/>
          <w:lang w:val="es-ES"/>
        </w:rPr>
        <w:footnoteReference w:id="146"/>
      </w:r>
      <w:r w:rsidRPr="003C3ADE">
        <w:rPr>
          <w:rFonts w:ascii="Cambria" w:eastAsia="Calibri" w:hAnsi="Cambria"/>
          <w:sz w:val="20"/>
          <w:szCs w:val="20"/>
          <w:bdr w:val="none" w:sz="0" w:space="0" w:color="auto"/>
          <w:lang w:val="es-ES"/>
        </w:rPr>
        <w:t>.</w:t>
      </w:r>
    </w:p>
    <w:p w14:paraId="6F0B6AAF"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ES"/>
        </w:rPr>
      </w:pPr>
    </w:p>
    <w:p w14:paraId="50C26810" w14:textId="515E9006"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En el presente caso, y como se analizará en detalle más adelante, la Comisión observa que el Estado no ha realizado una investigación minuciosa, seria y diligente para determinar o desvirtuar los indicios de participación de agentes del Estado</w:t>
      </w:r>
      <w:r w:rsidR="005C3508">
        <w:rPr>
          <w:rFonts w:ascii="Cambria" w:eastAsia="Calibri" w:hAnsi="Cambria"/>
          <w:sz w:val="20"/>
          <w:szCs w:val="20"/>
          <w:bdr w:val="none" w:sz="0" w:space="0" w:color="auto"/>
          <w:lang w:val="es-ES"/>
        </w:rPr>
        <w:t xml:space="preserve"> </w:t>
      </w:r>
      <w:r w:rsidRPr="003C3ADE">
        <w:rPr>
          <w:rFonts w:ascii="Cambria" w:eastAsia="Calibri" w:hAnsi="Cambria"/>
          <w:sz w:val="20"/>
          <w:szCs w:val="20"/>
          <w:bdr w:val="none" w:sz="0" w:space="0" w:color="auto"/>
          <w:lang w:val="es-ES"/>
        </w:rPr>
        <w:t xml:space="preserve">en el asesinato de Vicky Hernández. La Comisión toma nota de que el Estado hondureño no ha diseñado ni agotado líneas de investigación que tomen en cuenta el contexto de violencia por prejuicio en contra de mujeres trans trabajadoras sexuales en Honduras y el patrón de violencia policial en contra de las mismas. En este </w:t>
      </w:r>
      <w:r w:rsidRPr="003C3ADE">
        <w:rPr>
          <w:rFonts w:ascii="Cambria" w:eastAsia="Calibri" w:hAnsi="Cambria"/>
          <w:sz w:val="20"/>
          <w:szCs w:val="20"/>
          <w:bdr w:val="none" w:sz="0" w:space="0" w:color="auto"/>
          <w:lang w:val="es-ES"/>
        </w:rPr>
        <w:lastRenderedPageBreak/>
        <w:t xml:space="preserve">sentido, del expediente se desprende que no se ha </w:t>
      </w:r>
      <w:r w:rsidR="0092746A">
        <w:rPr>
          <w:rFonts w:ascii="Cambria" w:eastAsia="Calibri" w:hAnsi="Cambria"/>
          <w:sz w:val="20"/>
          <w:szCs w:val="20"/>
          <w:bdr w:val="none" w:sz="0" w:space="0" w:color="auto"/>
          <w:lang w:val="es-ES"/>
        </w:rPr>
        <w:t xml:space="preserve">si quiera diseñado o considerado </w:t>
      </w:r>
      <w:r w:rsidRPr="003C3ADE">
        <w:rPr>
          <w:rFonts w:ascii="Cambria" w:eastAsia="Calibri" w:hAnsi="Cambria"/>
          <w:sz w:val="20"/>
          <w:szCs w:val="20"/>
          <w:bdr w:val="none" w:sz="0" w:space="0" w:color="auto"/>
          <w:lang w:val="es-ES"/>
        </w:rPr>
        <w:t xml:space="preserve">la hipótesis de la posible participación de agentes estatales en los hechos atendiendo al contexto en el que se enmarcaron, específicamente en relación con que los mismos ocurrieron durante un toque de queda en el que se ha comprobado la fuerte presencia y control militar de las calles. </w:t>
      </w:r>
    </w:p>
    <w:p w14:paraId="2408BFD3"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
        </w:rPr>
      </w:pPr>
    </w:p>
    <w:p w14:paraId="396FCF1C" w14:textId="3015A787"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 xml:space="preserve">La Comisión encuentra que en todo caso, la única línea de investigación que fue abierta por el Estado, tendiente a demostrar que los hechos ocurrieron en el marco de un conflicto entre particulares, no ha arrojado ningún resultado que permita desvirtuar los indicios de participación de agentes estatales. </w:t>
      </w:r>
    </w:p>
    <w:p w14:paraId="52A81D16"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
        </w:rPr>
      </w:pPr>
    </w:p>
    <w:p w14:paraId="0C47576A" w14:textId="4FCB9476"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A la luz de lo anterior, la Comisión encuentra que la falta de una investigación diligente</w:t>
      </w:r>
      <w:r w:rsidR="0092746A">
        <w:rPr>
          <w:rFonts w:ascii="Cambria" w:eastAsia="Calibri" w:hAnsi="Cambria"/>
          <w:sz w:val="20"/>
          <w:szCs w:val="20"/>
          <w:bdr w:val="none" w:sz="0" w:space="0" w:color="auto"/>
          <w:lang w:val="es-ES"/>
        </w:rPr>
        <w:t xml:space="preserve"> – como se analizará más adelante – </w:t>
      </w:r>
      <w:r w:rsidRPr="003C3ADE">
        <w:rPr>
          <w:rFonts w:ascii="Cambria" w:eastAsia="Calibri" w:hAnsi="Cambria"/>
          <w:sz w:val="20"/>
          <w:szCs w:val="20"/>
          <w:bdr w:val="none" w:sz="0" w:space="0" w:color="auto"/>
          <w:lang w:val="es-ES"/>
        </w:rPr>
        <w:t>impidió</w:t>
      </w:r>
      <w:r w:rsidR="0092746A">
        <w:rPr>
          <w:rFonts w:ascii="Cambria" w:eastAsia="Calibri" w:hAnsi="Cambria"/>
          <w:sz w:val="20"/>
          <w:szCs w:val="20"/>
          <w:bdr w:val="none" w:sz="0" w:space="0" w:color="auto"/>
          <w:lang w:val="es-ES"/>
        </w:rPr>
        <w:t xml:space="preserve"> </w:t>
      </w:r>
      <w:r w:rsidRPr="003C3ADE">
        <w:rPr>
          <w:rFonts w:ascii="Cambria" w:eastAsia="Calibri" w:hAnsi="Cambria"/>
          <w:sz w:val="20"/>
          <w:szCs w:val="20"/>
          <w:bdr w:val="none" w:sz="0" w:space="0" w:color="auto"/>
          <w:lang w:val="es-ES"/>
        </w:rPr>
        <w:t>que el Estado presentara una explicación satisfactoria y convincente que desvirtuara las alegaciones sobre la responsabilidad de sus agentes en los hechos del presente caso, mediante elementos probatorios adecuados. Debido a las falencias en la investigación, la Comisión no cuenta con elementos que permitan contrarrestar los</w:t>
      </w:r>
      <w:r w:rsidR="0092746A">
        <w:rPr>
          <w:rFonts w:ascii="Cambria" w:eastAsia="Calibri" w:hAnsi="Cambria"/>
          <w:sz w:val="20"/>
          <w:szCs w:val="20"/>
          <w:bdr w:val="none" w:sz="0" w:space="0" w:color="auto"/>
          <w:lang w:val="es-ES"/>
        </w:rPr>
        <w:t xml:space="preserve"> fuertes</w:t>
      </w:r>
      <w:r w:rsidRPr="003C3ADE">
        <w:rPr>
          <w:rFonts w:ascii="Cambria" w:eastAsia="Calibri" w:hAnsi="Cambria"/>
          <w:sz w:val="20"/>
          <w:szCs w:val="20"/>
          <w:bdr w:val="none" w:sz="0" w:space="0" w:color="auto"/>
          <w:lang w:val="es-ES"/>
        </w:rPr>
        <w:t xml:space="preserve"> indicios</w:t>
      </w:r>
      <w:r w:rsidR="0092746A">
        <w:rPr>
          <w:rFonts w:ascii="Cambria" w:eastAsia="Calibri" w:hAnsi="Cambria"/>
          <w:sz w:val="20"/>
          <w:szCs w:val="20"/>
          <w:bdr w:val="none" w:sz="0" w:space="0" w:color="auto"/>
          <w:lang w:val="es-ES"/>
        </w:rPr>
        <w:t xml:space="preserve"> ya referidos</w:t>
      </w:r>
      <w:r w:rsidRPr="003C3ADE">
        <w:rPr>
          <w:rFonts w:ascii="Cambria" w:eastAsia="Calibri" w:hAnsi="Cambria"/>
          <w:sz w:val="20"/>
          <w:szCs w:val="20"/>
          <w:bdr w:val="none" w:sz="0" w:space="0" w:color="auto"/>
          <w:lang w:val="es-ES"/>
        </w:rPr>
        <w:t xml:space="preserve"> y, por lo tanto, concluye que el Estado incumplió su deber de </w:t>
      </w:r>
      <w:r w:rsidR="00904702">
        <w:rPr>
          <w:rFonts w:ascii="Cambria" w:eastAsia="Calibri" w:hAnsi="Cambria"/>
          <w:sz w:val="20"/>
          <w:szCs w:val="20"/>
          <w:bdr w:val="none" w:sz="0" w:space="0" w:color="auto"/>
          <w:lang w:val="es-ES"/>
        </w:rPr>
        <w:t>respeto del derecho a la vida</w:t>
      </w:r>
      <w:r w:rsidR="001363E6">
        <w:rPr>
          <w:rFonts w:ascii="Cambria" w:eastAsia="Calibri" w:hAnsi="Cambria"/>
          <w:sz w:val="20"/>
          <w:szCs w:val="20"/>
          <w:bdr w:val="none" w:sz="0" w:space="0" w:color="auto"/>
          <w:lang w:val="es-ES"/>
        </w:rPr>
        <w:t xml:space="preserve"> </w:t>
      </w:r>
      <w:r w:rsidR="000A107A">
        <w:rPr>
          <w:rFonts w:ascii="Cambria" w:eastAsia="Calibri" w:hAnsi="Cambria"/>
          <w:sz w:val="20"/>
          <w:szCs w:val="20"/>
          <w:bdr w:val="none" w:sz="0" w:space="0" w:color="auto"/>
          <w:lang w:val="es-ES"/>
        </w:rPr>
        <w:t xml:space="preserve">y a la integridad personal </w:t>
      </w:r>
      <w:r w:rsidR="001363E6">
        <w:rPr>
          <w:rFonts w:ascii="Cambria" w:eastAsia="Calibri" w:hAnsi="Cambria"/>
          <w:sz w:val="20"/>
          <w:szCs w:val="20"/>
          <w:bdr w:val="none" w:sz="0" w:space="0" w:color="auto"/>
          <w:lang w:val="es-ES"/>
        </w:rPr>
        <w:t>de Vicky Hernández. Asimismo, al haberse calificado el hecho como uno de violencia por prejuicio</w:t>
      </w:r>
      <w:r w:rsidR="000338B0">
        <w:rPr>
          <w:rFonts w:ascii="Cambria" w:eastAsia="Calibri" w:hAnsi="Cambria"/>
          <w:sz w:val="20"/>
          <w:szCs w:val="20"/>
          <w:bdr w:val="none" w:sz="0" w:space="0" w:color="auto"/>
          <w:lang w:val="es-ES"/>
        </w:rPr>
        <w:t xml:space="preserve"> por la identidad y expresión de género de la víctima,</w:t>
      </w:r>
      <w:r w:rsidR="001363E6">
        <w:rPr>
          <w:rFonts w:ascii="Cambria" w:eastAsia="Calibri" w:hAnsi="Cambria"/>
          <w:sz w:val="20"/>
          <w:szCs w:val="20"/>
          <w:bdr w:val="none" w:sz="0" w:space="0" w:color="auto"/>
          <w:lang w:val="es-ES"/>
        </w:rPr>
        <w:t xml:space="preserve"> la Comisión considera que este incumplimiento se extendió también a los derechos a la honra y dignidad y a </w:t>
      </w:r>
      <w:r w:rsidR="000338B0">
        <w:rPr>
          <w:rFonts w:ascii="Cambria" w:eastAsia="Calibri" w:hAnsi="Cambria"/>
          <w:sz w:val="20"/>
          <w:szCs w:val="20"/>
          <w:bdr w:val="none" w:sz="0" w:space="0" w:color="auto"/>
          <w:lang w:val="es-ES"/>
        </w:rPr>
        <w:t xml:space="preserve">la libertad </w:t>
      </w:r>
      <w:r w:rsidR="009C32A1">
        <w:rPr>
          <w:rFonts w:ascii="Cambria" w:eastAsia="Calibri" w:hAnsi="Cambria"/>
          <w:sz w:val="20"/>
          <w:szCs w:val="20"/>
          <w:bdr w:val="none" w:sz="0" w:space="0" w:color="auto"/>
          <w:lang w:val="es-ES"/>
        </w:rPr>
        <w:t>de expresión</w:t>
      </w:r>
      <w:r w:rsidR="00513066">
        <w:rPr>
          <w:rFonts w:ascii="Cambria" w:eastAsia="Calibri" w:hAnsi="Cambria"/>
          <w:sz w:val="20"/>
          <w:szCs w:val="20"/>
          <w:bdr w:val="none" w:sz="0" w:space="0" w:color="auto"/>
          <w:lang w:val="es-ES"/>
        </w:rPr>
        <w:t xml:space="preserve">, así como al principio de igualdad y no discriminación. </w:t>
      </w:r>
      <w:r w:rsidRPr="003C3ADE">
        <w:rPr>
          <w:rFonts w:ascii="Cambria" w:eastAsia="Calibri" w:hAnsi="Cambria"/>
          <w:sz w:val="20"/>
          <w:szCs w:val="20"/>
          <w:bdr w:val="none" w:sz="0" w:space="0" w:color="auto"/>
          <w:lang w:val="es-ES"/>
        </w:rPr>
        <w:t xml:space="preserve"> </w:t>
      </w:r>
    </w:p>
    <w:p w14:paraId="7C9C6B4A"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
        </w:rPr>
      </w:pPr>
    </w:p>
    <w:p w14:paraId="193A6384" w14:textId="52519C7E" w:rsidR="005A6E73" w:rsidRPr="00BC0B6C" w:rsidRDefault="00392544"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eastAsia="Calibri" w:hAnsiTheme="majorHAnsi"/>
          <w:sz w:val="20"/>
          <w:szCs w:val="20"/>
          <w:bdr w:val="none" w:sz="0" w:space="0" w:color="auto"/>
          <w:lang w:val="es-ES"/>
        </w:rPr>
      </w:pPr>
      <w:r>
        <w:rPr>
          <w:rFonts w:ascii="Cambria" w:eastAsia="Calibri" w:hAnsi="Cambria"/>
          <w:sz w:val="20"/>
          <w:szCs w:val="20"/>
          <w:bdr w:val="none" w:sz="0" w:space="0" w:color="auto"/>
          <w:lang w:val="es-ES"/>
        </w:rPr>
        <w:t xml:space="preserve">Adicionalmente, por las circunstancias y contexto del presente caso, la CIDH considera que en el mismo confluyen tanto el incumplimiento del deber de respeto como del deber de garantía. Sobre este último, </w:t>
      </w:r>
      <w:r w:rsidR="003C3ADE" w:rsidRPr="003C3ADE">
        <w:rPr>
          <w:rFonts w:ascii="Cambria" w:eastAsia="Calibri" w:hAnsi="Cambria"/>
          <w:sz w:val="20"/>
          <w:szCs w:val="20"/>
          <w:bdr w:val="none" w:sz="0" w:space="0" w:color="auto"/>
          <w:lang w:val="es-ES"/>
        </w:rPr>
        <w:t xml:space="preserve">la Comisión advierte que el Estado hondureño conocía de la existencia del contexto de discriminación histórica en contra de las personas </w:t>
      </w:r>
      <w:r w:rsidR="001678F8">
        <w:rPr>
          <w:rFonts w:ascii="Cambria" w:eastAsia="Calibri" w:hAnsi="Cambria"/>
          <w:sz w:val="20"/>
          <w:szCs w:val="20"/>
          <w:bdr w:val="none" w:sz="0" w:space="0" w:color="auto"/>
          <w:lang w:val="es-ES"/>
        </w:rPr>
        <w:t>LGBT</w:t>
      </w:r>
      <w:r w:rsidR="003C3ADE" w:rsidRPr="003C3ADE">
        <w:rPr>
          <w:rFonts w:ascii="Cambria" w:eastAsia="Calibri" w:hAnsi="Cambria"/>
          <w:sz w:val="20"/>
          <w:szCs w:val="20"/>
          <w:bdr w:val="none" w:sz="0" w:space="0" w:color="auto"/>
          <w:lang w:val="es-ES"/>
        </w:rPr>
        <w:t xml:space="preserve">, particularmente en contra de las personas trans, que ha conllevado a la violencia motivada por prejuicio en </w:t>
      </w:r>
      <w:r w:rsidR="003C3ADE" w:rsidRPr="00BC0B6C">
        <w:rPr>
          <w:rFonts w:asciiTheme="majorHAnsi" w:eastAsia="Calibri" w:hAnsiTheme="majorHAnsi"/>
          <w:sz w:val="20"/>
          <w:szCs w:val="20"/>
          <w:bdr w:val="none" w:sz="0" w:space="0" w:color="auto"/>
          <w:lang w:val="es-ES"/>
        </w:rPr>
        <w:t>Honduras, el cual que ha sido documentado desde hace varios años por organizaciones de la sociedad civil</w:t>
      </w:r>
      <w:r w:rsidR="003C3ADE" w:rsidRPr="00BC0B6C">
        <w:rPr>
          <w:rFonts w:asciiTheme="majorHAnsi" w:eastAsia="Calibri" w:hAnsiTheme="majorHAnsi"/>
          <w:sz w:val="20"/>
          <w:szCs w:val="20"/>
          <w:bdr w:val="none" w:sz="0" w:space="0" w:color="auto"/>
          <w:vertAlign w:val="superscript"/>
          <w:lang w:val="es-ES"/>
        </w:rPr>
        <w:footnoteReference w:id="147"/>
      </w:r>
      <w:r w:rsidR="003C3ADE" w:rsidRPr="00BC0B6C">
        <w:rPr>
          <w:rFonts w:asciiTheme="majorHAnsi" w:eastAsia="Calibri" w:hAnsiTheme="majorHAnsi"/>
          <w:sz w:val="20"/>
          <w:szCs w:val="20"/>
          <w:bdr w:val="none" w:sz="0" w:space="0" w:color="auto"/>
          <w:lang w:val="es-ES"/>
        </w:rPr>
        <w:t xml:space="preserve"> y por las Naciones Unidas</w:t>
      </w:r>
      <w:r w:rsidR="003C3ADE" w:rsidRPr="00BC0B6C">
        <w:rPr>
          <w:rFonts w:asciiTheme="majorHAnsi" w:eastAsia="Calibri" w:hAnsiTheme="majorHAnsi"/>
          <w:sz w:val="20"/>
          <w:szCs w:val="20"/>
          <w:bdr w:val="none" w:sz="0" w:space="0" w:color="auto"/>
          <w:vertAlign w:val="superscript"/>
          <w:lang w:val="es-ES"/>
        </w:rPr>
        <w:footnoteReference w:id="148"/>
      </w:r>
      <w:r w:rsidR="003C3ADE" w:rsidRPr="00BC0B6C">
        <w:rPr>
          <w:rFonts w:asciiTheme="majorHAnsi" w:eastAsia="Calibri" w:hAnsiTheme="majorHAnsi"/>
          <w:sz w:val="20"/>
          <w:szCs w:val="20"/>
          <w:bdr w:val="none" w:sz="0" w:space="0" w:color="auto"/>
          <w:lang w:val="es-ES"/>
        </w:rPr>
        <w:t xml:space="preserve">. </w:t>
      </w:r>
      <w:r w:rsidR="0059072F" w:rsidRPr="00BC0B6C">
        <w:rPr>
          <w:rFonts w:asciiTheme="majorHAnsi" w:eastAsia="Calibri" w:hAnsiTheme="majorHAnsi"/>
          <w:sz w:val="20"/>
          <w:szCs w:val="20"/>
          <w:bdr w:val="none" w:sz="0" w:space="0" w:color="auto"/>
          <w:lang w:val="es-ES"/>
        </w:rPr>
        <w:t>A pesar de ello,</w:t>
      </w:r>
      <w:r w:rsidR="00985431" w:rsidRPr="00BC0B6C">
        <w:rPr>
          <w:rFonts w:asciiTheme="majorHAnsi" w:eastAsia="Calibri" w:hAnsiTheme="majorHAnsi"/>
          <w:sz w:val="20"/>
          <w:szCs w:val="20"/>
          <w:bdr w:val="none" w:sz="0" w:space="0" w:color="auto"/>
          <w:lang w:val="es-ES"/>
        </w:rPr>
        <w:t xml:space="preserve"> el Estado </w:t>
      </w:r>
      <w:r w:rsidR="003C3ADE" w:rsidRPr="00BC0B6C">
        <w:rPr>
          <w:rFonts w:asciiTheme="majorHAnsi" w:eastAsia="Calibri" w:hAnsiTheme="majorHAnsi"/>
          <w:sz w:val="20"/>
          <w:szCs w:val="20"/>
          <w:bdr w:val="none" w:sz="0" w:space="0" w:color="auto"/>
          <w:lang w:val="es-ES"/>
        </w:rPr>
        <w:t xml:space="preserve">no aportó información en relación con las medidas adoptadas para </w:t>
      </w:r>
      <w:r w:rsidR="000D38C2" w:rsidRPr="00BC0B6C">
        <w:rPr>
          <w:rFonts w:asciiTheme="majorHAnsi" w:eastAsia="Calibri" w:hAnsiTheme="majorHAnsi"/>
          <w:sz w:val="20"/>
          <w:szCs w:val="20"/>
          <w:bdr w:val="none" w:sz="0" w:space="0" w:color="auto"/>
          <w:lang w:val="es-ES"/>
        </w:rPr>
        <w:t xml:space="preserve">enfrentar dicho contexto y prevenir su continuidad. </w:t>
      </w:r>
      <w:r w:rsidR="005A6E73" w:rsidRPr="00BC0B6C">
        <w:rPr>
          <w:rFonts w:asciiTheme="majorHAnsi" w:eastAsia="Calibri" w:hAnsiTheme="majorHAnsi"/>
          <w:sz w:val="20"/>
          <w:szCs w:val="20"/>
          <w:bdr w:val="none" w:sz="0" w:space="0" w:color="auto"/>
          <w:lang w:val="es-ES"/>
        </w:rPr>
        <w:t xml:space="preserve">De hecho, las personas </w:t>
      </w:r>
      <w:proofErr w:type="spellStart"/>
      <w:r w:rsidR="005A6E73" w:rsidRPr="00BC0B6C">
        <w:rPr>
          <w:rFonts w:asciiTheme="majorHAnsi" w:eastAsia="Calibri" w:hAnsiTheme="majorHAnsi"/>
          <w:sz w:val="20"/>
          <w:szCs w:val="20"/>
          <w:bdr w:val="none" w:sz="0" w:space="0" w:color="auto"/>
          <w:lang w:val="es-ES"/>
        </w:rPr>
        <w:t>trans</w:t>
      </w:r>
      <w:proofErr w:type="spellEnd"/>
      <w:r w:rsidR="005A6E73" w:rsidRPr="00BC0B6C">
        <w:rPr>
          <w:rFonts w:asciiTheme="majorHAnsi" w:eastAsia="Calibri" w:hAnsiTheme="majorHAnsi"/>
          <w:sz w:val="20"/>
          <w:szCs w:val="20"/>
          <w:bdr w:val="none" w:sz="0" w:space="0" w:color="auto"/>
          <w:lang w:val="es-ES"/>
        </w:rPr>
        <w:t xml:space="preserve"> en Honduras continúan sin ser reconocidas conforme a su identidad y expresión de género. Al respecto, la Comisión destaca que la</w:t>
      </w:r>
      <w:r w:rsidR="005A6E73" w:rsidRPr="00BC0B6C">
        <w:rPr>
          <w:rFonts w:asciiTheme="majorHAnsi" w:hAnsiTheme="majorHAnsi"/>
          <w:sz w:val="20"/>
          <w:szCs w:val="20"/>
          <w:lang w:val="es-ES"/>
        </w:rPr>
        <w:t xml:space="preserve"> falta de reconocimiento legal de la identidad y expresión de géne</w:t>
      </w:r>
      <w:r w:rsidR="004611F6" w:rsidRPr="00BC0B6C">
        <w:rPr>
          <w:rFonts w:asciiTheme="majorHAnsi" w:hAnsiTheme="majorHAnsi"/>
          <w:sz w:val="20"/>
          <w:szCs w:val="20"/>
          <w:lang w:val="es-ES"/>
        </w:rPr>
        <w:t xml:space="preserve">ro de las personas </w:t>
      </w:r>
      <w:proofErr w:type="spellStart"/>
      <w:r w:rsidR="004611F6" w:rsidRPr="00BC0B6C">
        <w:rPr>
          <w:rFonts w:asciiTheme="majorHAnsi" w:hAnsiTheme="majorHAnsi"/>
          <w:sz w:val="20"/>
          <w:szCs w:val="20"/>
          <w:lang w:val="es-ES"/>
        </w:rPr>
        <w:t>trans</w:t>
      </w:r>
      <w:proofErr w:type="spellEnd"/>
      <w:r w:rsidR="004611F6" w:rsidRPr="00BC0B6C">
        <w:rPr>
          <w:rFonts w:asciiTheme="majorHAnsi" w:hAnsiTheme="majorHAnsi"/>
          <w:sz w:val="20"/>
          <w:szCs w:val="20"/>
          <w:lang w:val="es-ES"/>
        </w:rPr>
        <w:t xml:space="preserve"> niega su</w:t>
      </w:r>
      <w:r w:rsidR="005A6E73" w:rsidRPr="00BC0B6C">
        <w:rPr>
          <w:rFonts w:asciiTheme="majorHAnsi" w:hAnsiTheme="majorHAnsi"/>
          <w:sz w:val="20"/>
          <w:szCs w:val="20"/>
          <w:lang w:val="es-ES"/>
        </w:rPr>
        <w:t xml:space="preserve"> propia</w:t>
      </w:r>
      <w:r w:rsidR="004611F6" w:rsidRPr="00BC0B6C">
        <w:rPr>
          <w:rFonts w:asciiTheme="majorHAnsi" w:hAnsiTheme="majorHAnsi"/>
          <w:sz w:val="20"/>
          <w:szCs w:val="20"/>
          <w:lang w:val="es-ES"/>
        </w:rPr>
        <w:t xml:space="preserve"> existencia</w:t>
      </w:r>
      <w:r w:rsidR="005A6E73" w:rsidRPr="00BC0B6C">
        <w:rPr>
          <w:rFonts w:asciiTheme="majorHAnsi" w:hAnsiTheme="majorHAnsi"/>
          <w:sz w:val="20"/>
          <w:szCs w:val="20"/>
          <w:lang w:val="es-ES"/>
        </w:rPr>
        <w:t xml:space="preserve">. Como lo expresó el Experto Independiente sobre la protección contra la violencia y la discriminación por motivos de orientación sexual o identidad de género de Naciones Unidas, la gran mayoría de las personas </w:t>
      </w:r>
      <w:proofErr w:type="spellStart"/>
      <w:r w:rsidR="005A6E73" w:rsidRPr="00BC0B6C">
        <w:rPr>
          <w:rFonts w:asciiTheme="majorHAnsi" w:hAnsiTheme="majorHAnsi"/>
          <w:sz w:val="20"/>
          <w:szCs w:val="20"/>
          <w:lang w:val="es-ES"/>
        </w:rPr>
        <w:t>trans</w:t>
      </w:r>
      <w:proofErr w:type="spellEnd"/>
      <w:r w:rsidR="005A6E73" w:rsidRPr="00BC0B6C">
        <w:rPr>
          <w:rFonts w:asciiTheme="majorHAnsi" w:hAnsiTheme="majorHAnsi"/>
          <w:sz w:val="20"/>
          <w:szCs w:val="20"/>
          <w:lang w:val="es-ES"/>
        </w:rPr>
        <w:t xml:space="preserve"> y personas con diversidad de género en el mundo no tienen acceso al reconocimiento de género por parte del Estado. Viven en un vacío legal, en cuyo caso el estigma y los prejuicios crían un clima que tácitamente permite, alienta y premia con impunidad los actos de violencia y discriminación contra ellos, y lleva a una situación de criminalización de facto</w:t>
      </w:r>
      <w:r w:rsidR="0061399F" w:rsidRPr="00BC0B6C">
        <w:rPr>
          <w:rStyle w:val="FootnoteReference"/>
          <w:rFonts w:asciiTheme="majorHAnsi" w:hAnsiTheme="majorHAnsi"/>
          <w:sz w:val="20"/>
          <w:szCs w:val="20"/>
          <w:lang w:val="es-ES"/>
        </w:rPr>
        <w:footnoteReference w:id="149"/>
      </w:r>
      <w:r w:rsidR="00A568A6" w:rsidRPr="00BC0B6C">
        <w:rPr>
          <w:rFonts w:asciiTheme="majorHAnsi" w:hAnsiTheme="majorHAnsi"/>
          <w:sz w:val="20"/>
          <w:szCs w:val="20"/>
          <w:lang w:val="es-ES"/>
        </w:rPr>
        <w:t xml:space="preserve">. </w:t>
      </w:r>
      <w:r w:rsidR="005A6E73" w:rsidRPr="00BC0B6C">
        <w:rPr>
          <w:rFonts w:asciiTheme="majorHAnsi" w:hAnsiTheme="majorHAnsi"/>
          <w:sz w:val="20"/>
          <w:szCs w:val="20"/>
          <w:lang w:val="es-ES"/>
        </w:rPr>
        <w:t xml:space="preserve"> </w:t>
      </w:r>
    </w:p>
    <w:p w14:paraId="2F5C4A31" w14:textId="77777777" w:rsidR="005A6E73" w:rsidRPr="00BC0B6C" w:rsidRDefault="005A6E73" w:rsidP="005A6E7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eastAsia="Calibri" w:hAnsiTheme="majorHAnsi"/>
          <w:sz w:val="20"/>
          <w:szCs w:val="20"/>
          <w:bdr w:val="none" w:sz="0" w:space="0" w:color="auto"/>
          <w:lang w:val="es-ES"/>
        </w:rPr>
      </w:pPr>
    </w:p>
    <w:p w14:paraId="6ADCE61F" w14:textId="3569D25E" w:rsidR="003C3ADE" w:rsidRDefault="000D38C2"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Pr>
          <w:rFonts w:ascii="Cambria" w:eastAsia="Calibri" w:hAnsi="Cambria"/>
          <w:sz w:val="20"/>
          <w:szCs w:val="20"/>
          <w:bdr w:val="none" w:sz="0" w:space="0" w:color="auto"/>
          <w:lang w:val="es-ES"/>
        </w:rPr>
        <w:t xml:space="preserve">Tampoco se cuenta con información sobre medidas preventivas puntuales </w:t>
      </w:r>
      <w:r w:rsidR="003C3ADE" w:rsidRPr="003C3ADE">
        <w:rPr>
          <w:rFonts w:ascii="Cambria" w:eastAsia="Calibri" w:hAnsi="Cambria"/>
          <w:sz w:val="20"/>
          <w:szCs w:val="20"/>
          <w:bdr w:val="none" w:sz="0" w:space="0" w:color="auto"/>
          <w:lang w:val="es-ES"/>
        </w:rPr>
        <w:t xml:space="preserve">en el marco del toque de queda decretado con ocasión del golpe de Estado, aun cuando tenía conocimiento del contexto de desprotección en el que se encontraban las personas </w:t>
      </w:r>
      <w:r w:rsidR="001678F8">
        <w:rPr>
          <w:rFonts w:ascii="Cambria" w:eastAsia="Calibri" w:hAnsi="Cambria"/>
          <w:sz w:val="20"/>
          <w:szCs w:val="20"/>
          <w:bdr w:val="none" w:sz="0" w:space="0" w:color="auto"/>
          <w:lang w:val="es-ES"/>
        </w:rPr>
        <w:t>LGBT</w:t>
      </w:r>
      <w:r>
        <w:rPr>
          <w:rFonts w:ascii="Cambria" w:eastAsia="Calibri" w:hAnsi="Cambria"/>
          <w:sz w:val="20"/>
          <w:szCs w:val="20"/>
          <w:bdr w:val="none" w:sz="0" w:space="0" w:color="auto"/>
          <w:lang w:val="es-ES"/>
        </w:rPr>
        <w:t xml:space="preserve"> conforme a las determinaciones de contexto. </w:t>
      </w:r>
      <w:r w:rsidR="00A268AC">
        <w:rPr>
          <w:rFonts w:ascii="Cambria" w:eastAsia="Calibri" w:hAnsi="Cambria"/>
          <w:sz w:val="20"/>
          <w:szCs w:val="20"/>
          <w:bdr w:val="none" w:sz="0" w:space="0" w:color="auto"/>
          <w:lang w:val="es-ES"/>
        </w:rPr>
        <w:t xml:space="preserve">Al contrario, el caso de Vicky Hernández se enmarcó más bien en un incremento de la violencia por prejuicio contra mujeres trans e Honduras en el referido contexto, lo que denota un clima generalizado de desprotección. </w:t>
      </w:r>
    </w:p>
    <w:p w14:paraId="2A68DA01"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
        </w:rPr>
      </w:pPr>
    </w:p>
    <w:p w14:paraId="725485FA" w14:textId="77777777" w:rsidR="00A268AC"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 xml:space="preserve">Aunado a lo anterior, la Comisión destaca que, según información aportada por la parte peticionaria y no controvertida por el Estado, dos meses antes del asesinato de Vicky Hernández, ella acudió a una estación de policía a denunciar que había sido víctima de una agresión por parte de un guardia de seguridad que le propinó un machetazo en la cabeza, ante lo cual los agentes respondieron “por nosotros te podes morir”. </w:t>
      </w:r>
      <w:r w:rsidR="008556DC">
        <w:rPr>
          <w:rFonts w:ascii="Cambria" w:eastAsia="Calibri" w:hAnsi="Cambria"/>
          <w:sz w:val="20"/>
          <w:szCs w:val="20"/>
          <w:bdr w:val="none" w:sz="0" w:space="0" w:color="auto"/>
          <w:lang w:val="es-ES"/>
        </w:rPr>
        <w:t xml:space="preserve">Esta información resulta consistente con el contexto descrito en el presente informe, </w:t>
      </w:r>
      <w:r w:rsidR="00A268AC">
        <w:rPr>
          <w:rFonts w:ascii="Cambria" w:eastAsia="Calibri" w:hAnsi="Cambria"/>
          <w:sz w:val="20"/>
          <w:szCs w:val="20"/>
          <w:bdr w:val="none" w:sz="0" w:space="0" w:color="auto"/>
          <w:lang w:val="es-ES"/>
        </w:rPr>
        <w:t xml:space="preserve">tanto en lo relativo a la violencia como en lo relativo a la falta de respuesta efectiva frente a denuncias y la consecuente impunidad y repetición. </w:t>
      </w:r>
    </w:p>
    <w:p w14:paraId="2FA4B238" w14:textId="77777777" w:rsidR="00A268AC" w:rsidRDefault="00A268AC" w:rsidP="00A268AC">
      <w:pPr>
        <w:pStyle w:val="ListParagraph"/>
        <w:rPr>
          <w:rFonts w:eastAsia="Calibri"/>
          <w:sz w:val="20"/>
          <w:szCs w:val="20"/>
          <w:bdr w:val="none" w:sz="0" w:space="0" w:color="auto"/>
          <w:lang w:val="es-ES"/>
        </w:rPr>
      </w:pPr>
    </w:p>
    <w:p w14:paraId="24C5DF41" w14:textId="2AB0CE56" w:rsidR="003C3ADE" w:rsidRPr="00A268AC" w:rsidRDefault="00A268AC"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Pr>
          <w:rFonts w:ascii="Cambria" w:eastAsia="Calibri" w:hAnsi="Cambria"/>
          <w:sz w:val="20"/>
          <w:szCs w:val="20"/>
          <w:bdr w:val="none" w:sz="0" w:space="0" w:color="auto"/>
          <w:lang w:val="es-ES"/>
        </w:rPr>
        <w:lastRenderedPageBreak/>
        <w:t>De los anteriores elementos, la Comisión</w:t>
      </w:r>
      <w:r w:rsidR="005B160A">
        <w:rPr>
          <w:rFonts w:ascii="Cambria" w:eastAsia="Calibri" w:hAnsi="Cambria"/>
          <w:sz w:val="20"/>
          <w:szCs w:val="20"/>
          <w:bdr w:val="none" w:sz="0" w:space="0" w:color="auto"/>
          <w:lang w:val="es-ES"/>
        </w:rPr>
        <w:t xml:space="preserve"> considera que la muerte de Vicky Hernández ocurrió </w:t>
      </w:r>
      <w:r w:rsidR="003C3ADE" w:rsidRPr="00A268AC">
        <w:rPr>
          <w:rFonts w:ascii="Cambria" w:eastAsia="Calibri" w:hAnsi="Cambria"/>
          <w:sz w:val="20"/>
          <w:szCs w:val="20"/>
          <w:bdr w:val="none" w:sz="0" w:space="0" w:color="auto"/>
          <w:lang w:val="es-ES"/>
        </w:rPr>
        <w:t xml:space="preserve">en una clara situación de indefensión </w:t>
      </w:r>
      <w:r w:rsidR="006B5244">
        <w:rPr>
          <w:rFonts w:ascii="Cambria" w:eastAsia="Calibri" w:hAnsi="Cambria"/>
          <w:sz w:val="20"/>
          <w:szCs w:val="20"/>
          <w:bdr w:val="none" w:sz="0" w:space="0" w:color="auto"/>
          <w:lang w:val="es-ES"/>
        </w:rPr>
        <w:t xml:space="preserve">y desprotección frente a las amenazas de violencia en su contra como mujer trans y trabajadora sexual en el contexto ya analizado, lo que resulta también en un incumplimiento del deber de garantía. </w:t>
      </w:r>
    </w:p>
    <w:p w14:paraId="34165479"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
        </w:rPr>
      </w:pPr>
    </w:p>
    <w:p w14:paraId="1CEF9EA3" w14:textId="5E472CDC" w:rsidR="003C3ADE" w:rsidRPr="006C35D0"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 xml:space="preserve"> Atendiendo a las consideraciones vertidas en la presente sección, la Comisión concluye que el Estado hondureño es responsable por la violación de los derechos a la vida, integridad personal, vida privada</w:t>
      </w:r>
      <w:r w:rsidR="0021712E">
        <w:rPr>
          <w:rFonts w:ascii="Cambria" w:eastAsia="Calibri" w:hAnsi="Cambria"/>
          <w:sz w:val="20"/>
          <w:szCs w:val="20"/>
          <w:bdr w:val="none" w:sz="0" w:space="0" w:color="auto"/>
          <w:lang w:val="es-ES"/>
        </w:rPr>
        <w:t>, autonomía de dignidad</w:t>
      </w:r>
      <w:r w:rsidRPr="003C3ADE">
        <w:rPr>
          <w:rFonts w:ascii="Cambria" w:eastAsia="Calibri" w:hAnsi="Cambria"/>
          <w:sz w:val="20"/>
          <w:szCs w:val="20"/>
          <w:bdr w:val="none" w:sz="0" w:space="0" w:color="auto"/>
          <w:lang w:val="es-ES"/>
        </w:rPr>
        <w:t>, libertad de expresión, igualdad y no discriminación y a vivir libre de violencia, establecidos en los artículos 4.1, 5.1, 11, 13 y 24 de la Convención Americana en relación con las obligaciones</w:t>
      </w:r>
      <w:r w:rsidR="00C50964">
        <w:rPr>
          <w:rFonts w:ascii="Cambria" w:eastAsia="Calibri" w:hAnsi="Cambria"/>
          <w:sz w:val="20"/>
          <w:szCs w:val="20"/>
          <w:bdr w:val="none" w:sz="0" w:space="0" w:color="auto"/>
          <w:lang w:val="es-ES"/>
        </w:rPr>
        <w:t xml:space="preserve"> tanto de respeto como de garantía</w:t>
      </w:r>
      <w:r w:rsidRPr="003C3ADE">
        <w:rPr>
          <w:rFonts w:ascii="Cambria" w:eastAsia="Calibri" w:hAnsi="Cambria"/>
          <w:sz w:val="20"/>
          <w:szCs w:val="20"/>
          <w:bdr w:val="none" w:sz="0" w:space="0" w:color="auto"/>
          <w:lang w:val="es-ES"/>
        </w:rPr>
        <w:t xml:space="preserve"> establecidas en el artículo 1.1 del mismo instrumento, así como el artículo 7</w:t>
      </w:r>
      <w:r w:rsidR="00DD373C">
        <w:rPr>
          <w:rFonts w:ascii="Cambria" w:eastAsia="Calibri" w:hAnsi="Cambria"/>
          <w:sz w:val="20"/>
          <w:szCs w:val="20"/>
          <w:bdr w:val="none" w:sz="0" w:space="0" w:color="auto"/>
          <w:lang w:val="es-ES"/>
        </w:rPr>
        <w:t xml:space="preserve"> </w:t>
      </w:r>
      <w:r w:rsidRPr="003C3ADE">
        <w:rPr>
          <w:rFonts w:ascii="Cambria" w:eastAsia="Calibri" w:hAnsi="Cambria"/>
          <w:sz w:val="20"/>
          <w:szCs w:val="20"/>
          <w:bdr w:val="none" w:sz="0" w:space="0" w:color="auto"/>
          <w:lang w:val="es-ES"/>
        </w:rPr>
        <w:t>de la Convención de Belém do Pará en perjuicio de Vicky Hernández Martínez.</w:t>
      </w:r>
    </w:p>
    <w:p w14:paraId="7D71D75B" w14:textId="73180D7A" w:rsidR="003C3ADE" w:rsidRPr="006C35D0" w:rsidRDefault="003C3ADE" w:rsidP="00094AFC">
      <w:pPr>
        <w:pStyle w:val="Heading2"/>
        <w:numPr>
          <w:ilvl w:val="0"/>
          <w:numId w:val="63"/>
        </w:numPr>
        <w:ind w:hanging="90"/>
        <w:rPr>
          <w:rFonts w:ascii="Cambria" w:eastAsia="Calibri" w:hAnsi="Cambria"/>
          <w:b w:val="0"/>
          <w:i w:val="0"/>
          <w:sz w:val="20"/>
          <w:szCs w:val="20"/>
          <w:lang w:val="es-CO"/>
        </w:rPr>
      </w:pPr>
      <w:bookmarkStart w:id="18" w:name="_Toc536451323"/>
      <w:r w:rsidRPr="006C35D0">
        <w:rPr>
          <w:rFonts w:ascii="Cambria" w:eastAsia="Calibri" w:hAnsi="Cambria"/>
          <w:i w:val="0"/>
          <w:sz w:val="20"/>
          <w:szCs w:val="20"/>
          <w:lang w:val="es-CO"/>
        </w:rPr>
        <w:t>Derechos a las garantías judiciales, a la igualdad y no discriminación y a la protección judicial (Artículos 8.1</w:t>
      </w:r>
      <w:r w:rsidRPr="006C35D0">
        <w:rPr>
          <w:rFonts w:ascii="Cambria" w:eastAsia="Calibri" w:hAnsi="Cambria"/>
          <w:i w:val="0"/>
          <w:sz w:val="20"/>
          <w:szCs w:val="20"/>
          <w:vertAlign w:val="superscript"/>
        </w:rPr>
        <w:footnoteReference w:id="150"/>
      </w:r>
      <w:r w:rsidRPr="006C35D0">
        <w:rPr>
          <w:rFonts w:ascii="Cambria" w:eastAsia="Calibri" w:hAnsi="Cambria"/>
          <w:i w:val="0"/>
          <w:sz w:val="20"/>
          <w:szCs w:val="20"/>
          <w:lang w:val="es-CO"/>
        </w:rPr>
        <w:t>, 24 y 25.1</w:t>
      </w:r>
      <w:r w:rsidRPr="006C35D0">
        <w:rPr>
          <w:rFonts w:ascii="Cambria" w:eastAsia="Calibri" w:hAnsi="Cambria"/>
          <w:i w:val="0"/>
          <w:sz w:val="20"/>
          <w:szCs w:val="20"/>
          <w:vertAlign w:val="superscript"/>
        </w:rPr>
        <w:footnoteReference w:id="151"/>
      </w:r>
      <w:r w:rsidRPr="006C35D0">
        <w:rPr>
          <w:rFonts w:ascii="Cambria" w:eastAsia="Calibri" w:hAnsi="Cambria"/>
          <w:i w:val="0"/>
          <w:sz w:val="20"/>
          <w:szCs w:val="20"/>
          <w:lang w:val="es-CO"/>
        </w:rPr>
        <w:t xml:space="preserve"> de la Convención Americana y 7 de la Convención de Belém do Pará)</w:t>
      </w:r>
      <w:bookmarkEnd w:id="18"/>
    </w:p>
    <w:p w14:paraId="52F6A893" w14:textId="0507D262" w:rsidR="003C3ADE" w:rsidRPr="006C35D0" w:rsidRDefault="003C3ADE" w:rsidP="00094AFC">
      <w:pPr>
        <w:pStyle w:val="Heading3"/>
        <w:numPr>
          <w:ilvl w:val="0"/>
          <w:numId w:val="65"/>
        </w:numPr>
        <w:ind w:hanging="90"/>
        <w:rPr>
          <w:rFonts w:asciiTheme="majorHAnsi" w:eastAsia="Calibri" w:hAnsiTheme="majorHAnsi"/>
          <w:sz w:val="20"/>
          <w:szCs w:val="20"/>
          <w:lang w:val="es-CO"/>
        </w:rPr>
      </w:pPr>
      <w:bookmarkStart w:id="19" w:name="_Toc536451324"/>
      <w:r w:rsidRPr="006C35D0">
        <w:rPr>
          <w:rFonts w:asciiTheme="majorHAnsi" w:eastAsia="Calibri" w:hAnsiTheme="majorHAnsi"/>
          <w:sz w:val="20"/>
          <w:szCs w:val="20"/>
          <w:lang w:val="es-CO"/>
        </w:rPr>
        <w:t>Consideraciones generales</w:t>
      </w:r>
      <w:bookmarkEnd w:id="19"/>
      <w:r w:rsidRPr="006C35D0">
        <w:rPr>
          <w:rFonts w:asciiTheme="majorHAnsi" w:eastAsia="Calibri" w:hAnsiTheme="majorHAnsi"/>
          <w:sz w:val="20"/>
          <w:szCs w:val="20"/>
          <w:lang w:val="es-CO"/>
        </w:rPr>
        <w:t xml:space="preserve"> </w:t>
      </w:r>
    </w:p>
    <w:p w14:paraId="135FB87F"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eastAsia="Calibri" w:hAnsi="Cambria"/>
          <w:b/>
          <w:sz w:val="20"/>
          <w:szCs w:val="20"/>
          <w:bdr w:val="none" w:sz="0" w:space="0" w:color="auto"/>
          <w:lang w:val="es-CO"/>
        </w:rPr>
      </w:pPr>
    </w:p>
    <w:p w14:paraId="3A1EBE18" w14:textId="0D350E8F"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_tradnl"/>
        </w:rPr>
      </w:pPr>
      <w:r w:rsidRPr="003C3ADE">
        <w:rPr>
          <w:rFonts w:ascii="Cambria" w:eastAsia="Calibri" w:hAnsi="Cambria"/>
          <w:sz w:val="20"/>
          <w:szCs w:val="20"/>
          <w:bdr w:val="none" w:sz="0" w:space="0" w:color="auto"/>
          <w:lang w:val="es-US"/>
        </w:rPr>
        <w:t>Conforme</w:t>
      </w:r>
      <w:r w:rsidRPr="003C3ADE">
        <w:rPr>
          <w:rFonts w:ascii="Cambria" w:eastAsia="Calibri" w:hAnsi="Cambria"/>
          <w:spacing w:val="-2"/>
          <w:sz w:val="20"/>
          <w:szCs w:val="20"/>
          <w:bdr w:val="none" w:sz="0" w:space="0" w:color="auto"/>
          <w:lang w:val="es-ES_tradnl"/>
        </w:rPr>
        <w:t xml:space="preserve"> a la jurisprudencia reiterada de los órganos del sistema interamericano, en virtud de la protección otorgada por </w:t>
      </w:r>
      <w:r w:rsidRPr="003C3ADE">
        <w:rPr>
          <w:rFonts w:ascii="Cambria" w:eastAsia="Calibri" w:hAnsi="Cambria"/>
          <w:sz w:val="20"/>
          <w:szCs w:val="20"/>
          <w:bdr w:val="none" w:sz="0" w:space="0" w:color="auto"/>
          <w:lang w:val="es-ES"/>
        </w:rPr>
        <w:t>los</w:t>
      </w:r>
      <w:r w:rsidRPr="003C3ADE">
        <w:rPr>
          <w:rFonts w:ascii="Cambria" w:eastAsia="Calibri" w:hAnsi="Cambria"/>
          <w:spacing w:val="-2"/>
          <w:sz w:val="20"/>
          <w:szCs w:val="20"/>
          <w:bdr w:val="none" w:sz="0" w:space="0" w:color="auto"/>
          <w:lang w:val="es-ES_tradnl"/>
        </w:rPr>
        <w:t xml:space="preserve"> artículos 8 y 25 de la Convención y las obligaciones generales de su artículo 1.1, los </w:t>
      </w:r>
      <w:r w:rsidRPr="003C3ADE">
        <w:rPr>
          <w:rFonts w:ascii="Cambria" w:eastAsia="Calibri" w:hAnsi="Cambria"/>
          <w:sz w:val="20"/>
          <w:szCs w:val="20"/>
          <w:bdr w:val="none" w:sz="0" w:space="0" w:color="auto"/>
          <w:lang w:val="es-US"/>
        </w:rPr>
        <w:t>Estados</w:t>
      </w:r>
      <w:r w:rsidRPr="003C3ADE">
        <w:rPr>
          <w:rFonts w:ascii="Cambria" w:eastAsia="Calibri" w:hAnsi="Cambria"/>
          <w:spacing w:val="-2"/>
          <w:sz w:val="20"/>
          <w:szCs w:val="20"/>
          <w:bdr w:val="none" w:sz="0" w:space="0" w:color="auto"/>
          <w:lang w:val="es-ES_tradnl"/>
        </w:rPr>
        <w:t xml:space="preserve"> tienen el deber de suministrar recursos judiciales efectivos a las </w:t>
      </w:r>
      <w:r w:rsidRPr="003C3ADE">
        <w:rPr>
          <w:rFonts w:ascii="Cambria" w:eastAsia="Calibri" w:hAnsi="Cambria"/>
          <w:sz w:val="20"/>
          <w:szCs w:val="20"/>
          <w:bdr w:val="none" w:sz="0" w:space="0" w:color="auto"/>
          <w:lang w:val="es-ES"/>
        </w:rPr>
        <w:t>víctimas</w:t>
      </w:r>
      <w:r w:rsidRPr="003C3ADE">
        <w:rPr>
          <w:rFonts w:ascii="Cambria" w:eastAsia="Calibri" w:hAnsi="Cambria"/>
          <w:spacing w:val="-2"/>
          <w:sz w:val="20"/>
          <w:szCs w:val="20"/>
          <w:bdr w:val="none" w:sz="0" w:space="0" w:color="auto"/>
          <w:lang w:val="es-ES_tradnl"/>
        </w:rPr>
        <w:t xml:space="preserve"> de violaciones de los derechos humanos, que deben ser sustanciados de conformidad con las reglas del debido proceso legal</w:t>
      </w:r>
      <w:r w:rsidRPr="003C3ADE">
        <w:rPr>
          <w:rFonts w:ascii="Cambria" w:eastAsia="Calibri" w:hAnsi="Cambria"/>
          <w:spacing w:val="-2"/>
          <w:sz w:val="20"/>
          <w:szCs w:val="20"/>
          <w:bdr w:val="none" w:sz="0" w:space="0" w:color="auto"/>
          <w:vertAlign w:val="superscript"/>
          <w:lang w:val="es-ES_tradnl"/>
        </w:rPr>
        <w:footnoteReference w:id="152"/>
      </w:r>
      <w:r w:rsidRPr="003C3ADE">
        <w:rPr>
          <w:rFonts w:ascii="Cambria" w:eastAsia="Calibri" w:hAnsi="Cambria"/>
          <w:spacing w:val="-2"/>
          <w:sz w:val="20"/>
          <w:szCs w:val="20"/>
          <w:bdr w:val="none" w:sz="0" w:space="0" w:color="auto"/>
          <w:lang w:val="es-ES_tradnl"/>
        </w:rPr>
        <w:t xml:space="preserve">. Esta obligación, que es de medios y no de resultado, </w:t>
      </w:r>
      <w:r w:rsidRPr="003C3ADE">
        <w:rPr>
          <w:rFonts w:ascii="Cambria" w:eastAsia="Calibri" w:hAnsi="Cambria"/>
          <w:sz w:val="20"/>
          <w:szCs w:val="20"/>
          <w:bdr w:val="none" w:sz="0" w:space="0" w:color="auto"/>
          <w:lang w:val="es-ES"/>
        </w:rPr>
        <w:t>debe ser asumida por el Estado como una obligación jurídica propia y no como una simple formalidad condenada de antemano a ser infructuosa</w:t>
      </w:r>
      <w:r w:rsidRPr="003C3ADE">
        <w:rPr>
          <w:rFonts w:ascii="Cambria" w:eastAsia="Calibri" w:hAnsi="Cambria"/>
          <w:sz w:val="20"/>
          <w:szCs w:val="20"/>
          <w:bdr w:val="none" w:sz="0" w:space="0" w:color="auto"/>
          <w:vertAlign w:val="superscript"/>
          <w:lang w:val="es-ES_tradnl"/>
        </w:rPr>
        <w:footnoteReference w:id="153"/>
      </w:r>
      <w:r w:rsidRPr="003C3ADE">
        <w:rPr>
          <w:rFonts w:ascii="Cambria" w:eastAsia="Calibri" w:hAnsi="Cambria"/>
          <w:sz w:val="20"/>
          <w:szCs w:val="20"/>
          <w:bdr w:val="none" w:sz="0" w:space="0" w:color="auto"/>
          <w:lang w:val="es-ES_tradnl"/>
        </w:rPr>
        <w:t xml:space="preserve">. </w:t>
      </w:r>
    </w:p>
    <w:p w14:paraId="5A358C1E"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ES_tradnl"/>
        </w:rPr>
      </w:pPr>
    </w:p>
    <w:p w14:paraId="740CBEAD" w14:textId="656E0392"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_tradnl"/>
        </w:rPr>
      </w:pPr>
      <w:r w:rsidRPr="003C3ADE">
        <w:rPr>
          <w:rFonts w:ascii="Cambria" w:eastAsia="Calibri" w:hAnsi="Cambria" w:cs="Verdana"/>
          <w:sz w:val="20"/>
          <w:szCs w:val="20"/>
          <w:bdr w:val="none" w:sz="0" w:space="0" w:color="auto"/>
          <w:lang w:val="es-ES"/>
        </w:rPr>
        <w:t xml:space="preserve">Asimismo, la Corte Interamericana ha establecido que cuando se trata de la investigación de la muerte violenta de una persona, las autoridades correspondientes tienen el deber de iniciar </w:t>
      </w:r>
      <w:r w:rsidRPr="003C3ADE">
        <w:rPr>
          <w:rFonts w:ascii="Cambria" w:eastAsia="Calibri" w:hAnsi="Cambria" w:cs="Verdana"/>
          <w:i/>
          <w:sz w:val="20"/>
          <w:szCs w:val="20"/>
          <w:bdr w:val="none" w:sz="0" w:space="0" w:color="auto"/>
          <w:lang w:val="es-ES"/>
        </w:rPr>
        <w:t>ex officio</w:t>
      </w:r>
      <w:r w:rsidRPr="003C3ADE">
        <w:rPr>
          <w:rFonts w:ascii="Cambria" w:eastAsia="Calibri" w:hAnsi="Cambria" w:cs="Verdana"/>
          <w:sz w:val="20"/>
          <w:szCs w:val="20"/>
          <w:bdr w:val="none" w:sz="0" w:space="0" w:color="auto"/>
          <w:lang w:val="es-ES"/>
        </w:rPr>
        <w:t xml:space="preserve"> y sin dilación, una investigación seria, imparcial y efectiva. De acuerdo con su jurisprudencia “e</w:t>
      </w:r>
      <w:r w:rsidRPr="003C3ADE">
        <w:rPr>
          <w:rFonts w:ascii="Cambria" w:eastAsia="Calibri" w:hAnsi="Cambria"/>
          <w:sz w:val="20"/>
          <w:szCs w:val="20"/>
          <w:bdr w:val="none" w:sz="0" w:space="0" w:color="auto"/>
          <w:lang w:val="es-ES"/>
        </w:rPr>
        <w:t>sta investigación debe ser realizada a través de todos los medios legales disponibles para la determinación de la verdad y la investigación, enjuiciamiento y castigo de todos los responsables de los hechos, especialmente cuando están o puedan estar involucrados agentes estatales”</w:t>
      </w:r>
      <w:r w:rsidRPr="003C3ADE">
        <w:rPr>
          <w:rFonts w:ascii="Cambria" w:eastAsia="Calibri" w:hAnsi="Cambria"/>
          <w:sz w:val="20"/>
          <w:szCs w:val="20"/>
          <w:bdr w:val="none" w:sz="0" w:space="0" w:color="auto"/>
          <w:vertAlign w:val="superscript"/>
          <w:lang w:val="es-ES"/>
        </w:rPr>
        <w:footnoteReference w:id="154"/>
      </w:r>
      <w:r w:rsidRPr="003C3ADE">
        <w:rPr>
          <w:rFonts w:ascii="Cambria" w:eastAsia="Calibri" w:hAnsi="Cambria"/>
          <w:sz w:val="20"/>
          <w:szCs w:val="20"/>
          <w:bdr w:val="none" w:sz="0" w:space="0" w:color="auto"/>
          <w:lang w:val="es-ES"/>
        </w:rPr>
        <w:t>. En esta línea, el deber de investigar debe cumplirse con seriedad y debe tener un sentido y ser asumida por los Estados como un deber jurídico propio y no como una simple gestión de intereses</w:t>
      </w:r>
      <w:r w:rsidRPr="003C3ADE">
        <w:rPr>
          <w:rFonts w:ascii="Cambria" w:eastAsia="Calibri" w:hAnsi="Cambria"/>
          <w:sz w:val="20"/>
          <w:szCs w:val="20"/>
          <w:bdr w:val="none" w:sz="0" w:space="0" w:color="auto"/>
          <w:vertAlign w:val="superscript"/>
          <w:lang w:val="es-ES"/>
        </w:rPr>
        <w:footnoteReference w:id="155"/>
      </w:r>
      <w:r w:rsidRPr="003C3ADE">
        <w:rPr>
          <w:rFonts w:ascii="Cambria" w:eastAsia="Calibri" w:hAnsi="Cambria"/>
          <w:sz w:val="20"/>
          <w:szCs w:val="20"/>
          <w:bdr w:val="none" w:sz="0" w:space="0" w:color="auto"/>
          <w:lang w:val="es-ES"/>
        </w:rPr>
        <w:t>.</w:t>
      </w:r>
    </w:p>
    <w:p w14:paraId="534D4CA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_tradnl"/>
        </w:rPr>
      </w:pPr>
    </w:p>
    <w:p w14:paraId="0460B13D" w14:textId="19D0E2ED"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ES"/>
        </w:rPr>
      </w:pPr>
      <w:r w:rsidRPr="003C3ADE">
        <w:rPr>
          <w:rFonts w:ascii="Cambria" w:eastAsia="Calibri" w:hAnsi="Cambria" w:cs="Verdana"/>
          <w:sz w:val="20"/>
          <w:szCs w:val="20"/>
          <w:bdr w:val="none" w:sz="0" w:space="0" w:color="auto"/>
          <w:lang w:val="es-ES"/>
        </w:rPr>
        <w:t xml:space="preserve">En esta misma línea, con la finalidad de garantizar la debida diligencia en la realización de una investigación exhaustiva e imparcial de una muerte violenta, incluyendo situaciones que puedan involucrar a agentes estatales, la Comisión destaca algunos estándares del Protocolo de Minnesota </w:t>
      </w:r>
      <w:r w:rsidRPr="003C3ADE">
        <w:rPr>
          <w:rFonts w:ascii="Cambria" w:eastAsia="Calibri" w:hAnsi="Cambria" w:cs="Tahoma"/>
          <w:sz w:val="20"/>
          <w:szCs w:val="20"/>
          <w:bdr w:val="none" w:sz="0" w:space="0" w:color="auto"/>
          <w:lang w:val="es-MX"/>
        </w:rPr>
        <w:t>instrumento que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3C3ADE">
        <w:rPr>
          <w:rFonts w:ascii="Cambria" w:eastAsia="Calibri" w:hAnsi="Cambria"/>
          <w:sz w:val="20"/>
          <w:szCs w:val="20"/>
          <w:bdr w:val="none" w:sz="0" w:space="0" w:color="auto"/>
          <w:vertAlign w:val="superscript"/>
        </w:rPr>
        <w:footnoteReference w:id="156"/>
      </w:r>
      <w:r w:rsidRPr="003C3ADE">
        <w:rPr>
          <w:rFonts w:ascii="Cambria" w:eastAsia="Calibri" w:hAnsi="Cambria"/>
          <w:sz w:val="20"/>
          <w:szCs w:val="20"/>
          <w:bdr w:val="none" w:sz="0" w:space="0" w:color="auto"/>
          <w:lang w:val="es-ES"/>
        </w:rPr>
        <w:t xml:space="preserve">. </w:t>
      </w:r>
    </w:p>
    <w:p w14:paraId="31237164"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ES"/>
        </w:rPr>
      </w:pPr>
    </w:p>
    <w:p w14:paraId="0EED118A" w14:textId="0AF640CD"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ES"/>
        </w:rPr>
      </w:pPr>
      <w:r w:rsidRPr="003C3ADE">
        <w:rPr>
          <w:rFonts w:ascii="Cambria" w:eastAsia="Calibri" w:hAnsi="Cambria" w:cs="Verdana"/>
          <w:sz w:val="20"/>
          <w:szCs w:val="20"/>
          <w:bdr w:val="none" w:sz="0" w:space="0" w:color="auto"/>
          <w:lang w:val="es-ES"/>
        </w:rPr>
        <w:lastRenderedPageBreak/>
        <w:t>Asimismo, de acuerdo con los estándares del mencionado Protocolo, se establece como principio general de las autopsias, en casos de muertes sospechosas, que la labor del personal forense, entre otras, es ayudar a asegurar que las causas y circunstancias de la muerte sean reveladas de modo tal que se cumpla con presentar conclusiones sobre la causa de muerte y las circunstancias que contribuyeron a ella. En esta línea, el Protocolo reconoce que son pocos los casos en que la causa de la muerte puede ser determinada solamente a partir de la autopsia sin otra información adicional sobre la muerte, por lo que el reporte de autopsia, debe contener la lista de hallazgos de las lesiones y brindar una interpretación respecto de las mismas. Finalmente, el Protocolo establece la particular importancia en este tipo de autopsias de la conformación de un registro en imágenes de la misma, tanto mediante la toma de fotografías adecuadas para la documentación y revisión independiente, como la toma de rayos-x de todo el cuerpo</w:t>
      </w:r>
      <w:r w:rsidRPr="003C3ADE">
        <w:rPr>
          <w:rFonts w:ascii="Cambria" w:eastAsia="Calibri" w:hAnsi="Cambria" w:cs="Verdana"/>
          <w:sz w:val="20"/>
          <w:szCs w:val="20"/>
          <w:bdr w:val="none" w:sz="0" w:space="0" w:color="auto"/>
          <w:vertAlign w:val="superscript"/>
          <w:lang w:val="es-ES"/>
        </w:rPr>
        <w:footnoteReference w:id="157"/>
      </w:r>
      <w:r w:rsidRPr="003C3ADE">
        <w:rPr>
          <w:rFonts w:ascii="Cambria" w:eastAsia="Calibri" w:hAnsi="Cambria" w:cs="Verdana"/>
          <w:sz w:val="20"/>
          <w:szCs w:val="20"/>
          <w:bdr w:val="none" w:sz="0" w:space="0" w:color="auto"/>
          <w:lang w:val="es-ES"/>
        </w:rPr>
        <w:t xml:space="preserve">. </w:t>
      </w:r>
    </w:p>
    <w:p w14:paraId="2320C6B6"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ES"/>
        </w:rPr>
      </w:pPr>
    </w:p>
    <w:p w14:paraId="59EC0ABA" w14:textId="2A8A1F53"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cs="Verdana"/>
          <w:sz w:val="20"/>
          <w:szCs w:val="20"/>
          <w:bdr w:val="none" w:sz="0" w:space="0" w:color="auto"/>
          <w:lang w:val="es-ES"/>
        </w:rPr>
      </w:pPr>
      <w:r w:rsidRPr="003C3ADE">
        <w:rPr>
          <w:rFonts w:ascii="Cambria" w:eastAsia="Calibri" w:hAnsi="Cambria" w:cs="Verdana"/>
          <w:sz w:val="20"/>
          <w:szCs w:val="20"/>
          <w:bdr w:val="none" w:sz="0" w:space="0" w:color="auto"/>
          <w:lang w:val="es-ES"/>
        </w:rPr>
        <w:t>Con respecto al principio de plazo razonable contemplado en el artículo 8.1 de la Convención Americana, la Corte Interamericana ha establecido que es preciso tomar en cuenta tres elementos para determinar la razonabilidad del plazo en el que se desarrolla un proceso: a) la complejidad del asunto, b) la actividad procesal del interesado, y c) la conducta de las autoridades judiciales</w:t>
      </w:r>
      <w:r w:rsidRPr="003C3ADE">
        <w:rPr>
          <w:rFonts w:ascii="Cambria" w:eastAsia="Calibri" w:hAnsi="Cambria" w:cs="Verdana"/>
          <w:sz w:val="20"/>
          <w:szCs w:val="20"/>
          <w:bdr w:val="none" w:sz="0" w:space="0" w:color="auto"/>
          <w:vertAlign w:val="superscript"/>
        </w:rPr>
        <w:footnoteReference w:id="158"/>
      </w:r>
      <w:r w:rsidRPr="003C3ADE">
        <w:rPr>
          <w:rFonts w:ascii="Cambria" w:eastAsia="Calibri" w:hAnsi="Cambria" w:cs="Verdana"/>
          <w:sz w:val="20"/>
          <w:szCs w:val="20"/>
          <w:bdr w:val="none" w:sz="0" w:space="0" w:color="auto"/>
          <w:lang w:val="es-ES"/>
        </w:rPr>
        <w:t>. Asimismo, la Comisión y la Corte han considerado que también es necesario que se tome en consideración el interés afectado</w:t>
      </w:r>
      <w:r w:rsidRPr="003C3ADE">
        <w:rPr>
          <w:rFonts w:ascii="Cambria" w:eastAsia="Calibri" w:hAnsi="Cambria" w:cs="Verdana"/>
          <w:sz w:val="20"/>
          <w:szCs w:val="20"/>
          <w:bdr w:val="none" w:sz="0" w:space="0" w:color="auto"/>
          <w:vertAlign w:val="superscript"/>
          <w:lang w:val="es-ES"/>
        </w:rPr>
        <w:footnoteReference w:id="159"/>
      </w:r>
      <w:r w:rsidRPr="003C3ADE">
        <w:rPr>
          <w:rFonts w:ascii="Cambria" w:eastAsia="Calibri" w:hAnsi="Cambria" w:cs="Verdana"/>
          <w:sz w:val="20"/>
          <w:szCs w:val="20"/>
          <w:bdr w:val="none" w:sz="0" w:space="0" w:color="auto"/>
          <w:lang w:val="es-ES"/>
        </w:rPr>
        <w:t>.</w:t>
      </w:r>
    </w:p>
    <w:p w14:paraId="6A432FF9"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lang w:val="es-ES"/>
        </w:rPr>
      </w:pPr>
    </w:p>
    <w:p w14:paraId="5A4FA314" w14:textId="4A8BC7B4"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_tradnl"/>
        </w:rPr>
      </w:pPr>
      <w:r w:rsidRPr="003C3ADE">
        <w:rPr>
          <w:rFonts w:ascii="Cambria" w:eastAsia="Batang" w:hAnsi="Cambria"/>
          <w:spacing w:val="-2"/>
          <w:sz w:val="20"/>
          <w:szCs w:val="20"/>
          <w:bdr w:val="none" w:sz="0" w:space="0" w:color="auto"/>
          <w:lang w:val="es-US"/>
        </w:rPr>
        <w:t xml:space="preserve">Por otra parte, </w:t>
      </w:r>
      <w:r w:rsidRPr="003C3ADE">
        <w:rPr>
          <w:rFonts w:ascii="Cambria" w:eastAsia="Calibri" w:hAnsi="Cambria"/>
          <w:sz w:val="20"/>
          <w:szCs w:val="20"/>
          <w:bdr w:val="none" w:sz="0" w:space="0" w:color="auto"/>
          <w:lang w:val="es-VE"/>
        </w:rPr>
        <w:t>los altos niveles de impunidad y los altos índices de violencia por prejuicio requieren que los crímenes cometidos contra personas LGBT reciban una investigación completa e imparcial</w:t>
      </w:r>
      <w:r w:rsidRPr="003C3ADE">
        <w:rPr>
          <w:rFonts w:ascii="Cambria" w:eastAsia="Calibri" w:hAnsi="Cambria"/>
          <w:sz w:val="20"/>
          <w:szCs w:val="20"/>
          <w:bdr w:val="none" w:sz="0" w:space="0" w:color="auto"/>
          <w:vertAlign w:val="superscript"/>
          <w:lang w:val="es-VE"/>
        </w:rPr>
        <w:footnoteReference w:id="160"/>
      </w:r>
      <w:r w:rsidRPr="003C3ADE">
        <w:rPr>
          <w:rFonts w:ascii="Cambria" w:eastAsia="Calibri" w:hAnsi="Cambria"/>
          <w:sz w:val="20"/>
          <w:szCs w:val="20"/>
          <w:bdr w:val="none" w:sz="0" w:space="0" w:color="auto"/>
          <w:lang w:val="es-VE"/>
        </w:rPr>
        <w:t>. Los Estados tienen un deber reforzado de combatir dicha violencia e impunidad generalizada. En vista de esto, la CIDH considera que, en estos casos, el deber de debida diligencia debe tener una rigurosidad especial debido a la discriminación histórica y estructural que este grupo ha sufrido</w:t>
      </w:r>
      <w:r w:rsidRPr="003C3ADE">
        <w:rPr>
          <w:rFonts w:ascii="Cambria" w:eastAsia="Calibri" w:hAnsi="Cambria"/>
          <w:sz w:val="20"/>
          <w:szCs w:val="20"/>
          <w:bdr w:val="none" w:sz="0" w:space="0" w:color="auto"/>
          <w:vertAlign w:val="superscript"/>
          <w:lang w:val="es-VE"/>
        </w:rPr>
        <w:footnoteReference w:id="161"/>
      </w:r>
      <w:r w:rsidRPr="003C3ADE">
        <w:rPr>
          <w:rFonts w:ascii="Cambria" w:eastAsia="Calibri" w:hAnsi="Cambria"/>
          <w:sz w:val="20"/>
          <w:szCs w:val="20"/>
          <w:bdr w:val="none" w:sz="0" w:space="0" w:color="auto"/>
          <w:lang w:val="es-VE"/>
        </w:rPr>
        <w:t>, y que guarda también una estrecha relación con la violencia que les afecta de forma particular</w:t>
      </w:r>
      <w:r w:rsidRPr="003C3ADE">
        <w:rPr>
          <w:rFonts w:ascii="Cambria" w:eastAsia="Calibri" w:hAnsi="Cambria"/>
          <w:sz w:val="20"/>
          <w:szCs w:val="20"/>
          <w:bdr w:val="none" w:sz="0" w:space="0" w:color="auto"/>
          <w:vertAlign w:val="superscript"/>
          <w:lang w:val="es-VE"/>
        </w:rPr>
        <w:footnoteReference w:id="162"/>
      </w:r>
      <w:r w:rsidRPr="003C3ADE">
        <w:rPr>
          <w:rFonts w:ascii="Cambria" w:eastAsia="Calibri" w:hAnsi="Cambria"/>
          <w:sz w:val="20"/>
          <w:szCs w:val="20"/>
          <w:bdr w:val="none" w:sz="0" w:space="0" w:color="auto"/>
          <w:lang w:val="es-VE"/>
        </w:rPr>
        <w:t xml:space="preserve">. </w:t>
      </w:r>
    </w:p>
    <w:p w14:paraId="0A8FC0CC"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ES_tradnl"/>
        </w:rPr>
      </w:pPr>
    </w:p>
    <w:p w14:paraId="1E6A6501" w14:textId="18A2A8E6"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US"/>
        </w:rPr>
      </w:pPr>
      <w:r w:rsidRPr="003C3ADE">
        <w:rPr>
          <w:rFonts w:ascii="Cambria" w:eastAsia="Calibri" w:hAnsi="Cambria"/>
          <w:sz w:val="20"/>
          <w:szCs w:val="20"/>
          <w:bdr w:val="none" w:sz="0" w:space="0" w:color="auto"/>
          <w:lang w:val="es-VE"/>
        </w:rPr>
        <w:t xml:space="preserve">Al respecto, la CIDH ha identificado que los problemas con la investigación de crímenes contra personas </w:t>
      </w:r>
      <w:r w:rsidR="001678F8">
        <w:rPr>
          <w:rFonts w:ascii="Cambria" w:eastAsia="Calibri" w:hAnsi="Cambria"/>
          <w:sz w:val="20"/>
          <w:szCs w:val="20"/>
          <w:bdr w:val="none" w:sz="0" w:space="0" w:color="auto"/>
          <w:lang w:val="es-VE"/>
        </w:rPr>
        <w:t>LGBT</w:t>
      </w:r>
      <w:r w:rsidRPr="003C3ADE">
        <w:rPr>
          <w:rFonts w:ascii="Cambria" w:eastAsia="Calibri" w:hAnsi="Cambria"/>
          <w:sz w:val="20"/>
          <w:szCs w:val="20"/>
          <w:bdr w:val="none" w:sz="0" w:space="0" w:color="auto"/>
          <w:lang w:val="es-VE"/>
        </w:rPr>
        <w:t xml:space="preserve"> están vinculados, en parte con la falta de investigación para determinar si el crimen se cometió en razón de la orientación sexual</w:t>
      </w:r>
      <w:r w:rsidR="00842E61">
        <w:rPr>
          <w:rFonts w:ascii="Cambria" w:eastAsia="Calibri" w:hAnsi="Cambria"/>
          <w:sz w:val="20"/>
          <w:szCs w:val="20"/>
          <w:bdr w:val="none" w:sz="0" w:space="0" w:color="auto"/>
          <w:lang w:val="es-VE"/>
        </w:rPr>
        <w:t>,</w:t>
      </w:r>
      <w:r w:rsidRPr="003C3ADE">
        <w:rPr>
          <w:rFonts w:ascii="Cambria" w:eastAsia="Calibri" w:hAnsi="Cambria"/>
          <w:sz w:val="20"/>
          <w:szCs w:val="20"/>
          <w:bdr w:val="none" w:sz="0" w:space="0" w:color="auto"/>
          <w:lang w:val="es-VE"/>
        </w:rPr>
        <w:t xml:space="preserve"> la identidad</w:t>
      </w:r>
      <w:r w:rsidR="00842E61">
        <w:rPr>
          <w:rFonts w:ascii="Cambria" w:eastAsia="Calibri" w:hAnsi="Cambria"/>
          <w:sz w:val="20"/>
          <w:szCs w:val="20"/>
          <w:bdr w:val="none" w:sz="0" w:space="0" w:color="auto"/>
          <w:lang w:val="es-VE"/>
        </w:rPr>
        <w:t xml:space="preserve"> o expresión</w:t>
      </w:r>
      <w:r w:rsidRPr="003C3ADE">
        <w:rPr>
          <w:rFonts w:ascii="Cambria" w:eastAsia="Calibri" w:hAnsi="Cambria"/>
          <w:sz w:val="20"/>
          <w:szCs w:val="20"/>
          <w:bdr w:val="none" w:sz="0" w:space="0" w:color="auto"/>
          <w:lang w:val="es-VE"/>
        </w:rPr>
        <w:t xml:space="preserve"> de género de las víctimas</w:t>
      </w:r>
      <w:r w:rsidRPr="003C3ADE">
        <w:rPr>
          <w:rFonts w:ascii="Cambria" w:eastAsia="Calibri" w:hAnsi="Cambria"/>
          <w:sz w:val="20"/>
          <w:szCs w:val="20"/>
          <w:bdr w:val="none" w:sz="0" w:space="0" w:color="auto"/>
          <w:vertAlign w:val="superscript"/>
          <w:lang w:val="es-VE"/>
        </w:rPr>
        <w:footnoteReference w:id="163"/>
      </w:r>
      <w:r w:rsidRPr="003C3ADE">
        <w:rPr>
          <w:rFonts w:ascii="Cambria" w:eastAsia="Calibri" w:hAnsi="Cambria"/>
          <w:sz w:val="20"/>
          <w:szCs w:val="20"/>
          <w:bdr w:val="none" w:sz="0" w:space="0" w:color="auto"/>
          <w:lang w:val="es-VE"/>
        </w:rPr>
        <w:t xml:space="preserve">. Asimismo, ha señalado que cuando los crímenes se encuentran genuinamente motivados por prejuicio pero no se clasifican como tales, se invierte </w:t>
      </w:r>
      <w:r w:rsidRPr="003C3ADE">
        <w:rPr>
          <w:rFonts w:ascii="Cambria" w:eastAsia="Batang" w:hAnsi="Cambria"/>
          <w:spacing w:val="-2"/>
          <w:sz w:val="20"/>
          <w:szCs w:val="20"/>
          <w:bdr w:val="none" w:sz="0" w:space="0" w:color="auto"/>
          <w:lang w:val="es-US"/>
        </w:rPr>
        <w:t>la</w:t>
      </w:r>
      <w:r w:rsidRPr="003C3ADE">
        <w:rPr>
          <w:rFonts w:ascii="Cambria" w:eastAsia="Calibri" w:hAnsi="Cambria"/>
          <w:sz w:val="20"/>
          <w:szCs w:val="20"/>
          <w:bdr w:val="none" w:sz="0" w:space="0" w:color="auto"/>
          <w:lang w:val="es-VE"/>
        </w:rPr>
        <w:t xml:space="preserve"> culpa hacia la víctima (por ejemplo, el prejuicio puede resultar en que el crimen sea entendido como “justificado” o menos grave por las acciones o conductas de la víctima). Esta manera de proceder invisibiliza las estructuras de poder que reproducen los que forman la base del prejuicio</w:t>
      </w:r>
      <w:r w:rsidRPr="003C3ADE">
        <w:rPr>
          <w:rFonts w:ascii="Cambria" w:eastAsia="Calibri" w:hAnsi="Cambria"/>
          <w:sz w:val="20"/>
          <w:szCs w:val="20"/>
          <w:bdr w:val="none" w:sz="0" w:space="0" w:color="auto"/>
          <w:vertAlign w:val="superscript"/>
          <w:lang w:val="es-VE"/>
        </w:rPr>
        <w:footnoteReference w:id="164"/>
      </w:r>
      <w:r w:rsidRPr="003C3ADE">
        <w:rPr>
          <w:rFonts w:ascii="Cambria" w:eastAsia="Calibri" w:hAnsi="Cambria"/>
          <w:sz w:val="20"/>
          <w:szCs w:val="20"/>
          <w:bdr w:val="none" w:sz="0" w:space="0" w:color="auto"/>
          <w:lang w:val="es-VE"/>
        </w:rPr>
        <w:t>. En este sentido, la Comisión considera que la falta de debida diligencia en estos casos puede constituir una forma de discriminación en perjuicio de las víctimas y una violación al derecho a la igualdad ante la ley</w:t>
      </w:r>
      <w:r w:rsidRPr="003C3ADE">
        <w:rPr>
          <w:rFonts w:ascii="Cambria" w:eastAsia="Calibri" w:hAnsi="Cambria"/>
          <w:sz w:val="20"/>
          <w:szCs w:val="20"/>
          <w:bdr w:val="none" w:sz="0" w:space="0" w:color="auto"/>
          <w:vertAlign w:val="superscript"/>
          <w:lang w:val="es-VE"/>
        </w:rPr>
        <w:footnoteReference w:id="165"/>
      </w:r>
      <w:r w:rsidRPr="003C3ADE">
        <w:rPr>
          <w:rFonts w:ascii="Cambria" w:eastAsia="Calibri" w:hAnsi="Cambria"/>
          <w:sz w:val="20"/>
          <w:szCs w:val="20"/>
          <w:bdr w:val="none" w:sz="0" w:space="0" w:color="auto"/>
          <w:lang w:val="es-VE"/>
        </w:rPr>
        <w:t xml:space="preserve">. </w:t>
      </w:r>
    </w:p>
    <w:p w14:paraId="14913C51"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US"/>
        </w:rPr>
      </w:pPr>
    </w:p>
    <w:p w14:paraId="2241B398" w14:textId="75A124A8" w:rsidR="003C3ADE" w:rsidRPr="00094AFC"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_tradnl"/>
        </w:rPr>
      </w:pPr>
      <w:r w:rsidRPr="003C3ADE">
        <w:rPr>
          <w:rFonts w:ascii="Cambria" w:eastAsia="Calibri" w:hAnsi="Cambria"/>
          <w:sz w:val="20"/>
          <w:szCs w:val="20"/>
          <w:bdr w:val="none" w:sz="0" w:space="0" w:color="auto"/>
          <w:lang w:val="es-VE"/>
        </w:rPr>
        <w:t xml:space="preserve">Al respecto, la CIDH subraya que, además de abrir líneas de investigación que desde el inicio de las investigaciones en las cuales existan indicios relevantes, tomen en cuenta la posibilidad de que la motivación haya </w:t>
      </w:r>
      <w:r w:rsidRPr="003C3ADE">
        <w:rPr>
          <w:rFonts w:ascii="Cambria" w:eastAsia="Calibri" w:hAnsi="Cambria"/>
          <w:sz w:val="20"/>
          <w:szCs w:val="20"/>
          <w:bdr w:val="none" w:sz="0" w:space="0" w:color="auto"/>
          <w:lang w:val="es-VE"/>
        </w:rPr>
        <w:lastRenderedPageBreak/>
        <w:t xml:space="preserve">estado basada en prejuicios, y de conducir investigaciones libres de estereotipos relacionados con </w:t>
      </w:r>
      <w:r w:rsidRPr="003C3ADE">
        <w:rPr>
          <w:rFonts w:ascii="Cambria" w:eastAsia="Batang" w:hAnsi="Cambria"/>
          <w:spacing w:val="-2"/>
          <w:sz w:val="20"/>
          <w:szCs w:val="20"/>
          <w:bdr w:val="none" w:sz="0" w:space="0" w:color="auto"/>
          <w:lang w:val="es-US"/>
        </w:rPr>
        <w:t>orientaciones</w:t>
      </w:r>
      <w:r w:rsidRPr="003C3ADE">
        <w:rPr>
          <w:rFonts w:ascii="Cambria" w:eastAsia="Calibri" w:hAnsi="Cambria"/>
          <w:sz w:val="20"/>
          <w:szCs w:val="20"/>
          <w:bdr w:val="none" w:sz="0" w:space="0" w:color="auto"/>
          <w:lang w:val="es-VE"/>
        </w:rPr>
        <w:t xml:space="preserve"> sexuales</w:t>
      </w:r>
      <w:r w:rsidR="00842E61">
        <w:rPr>
          <w:rFonts w:ascii="Cambria" w:eastAsia="Calibri" w:hAnsi="Cambria"/>
          <w:sz w:val="20"/>
          <w:szCs w:val="20"/>
          <w:bdr w:val="none" w:sz="0" w:space="0" w:color="auto"/>
          <w:lang w:val="es-VE"/>
        </w:rPr>
        <w:t>,</w:t>
      </w:r>
      <w:r w:rsidRPr="003C3ADE">
        <w:rPr>
          <w:rFonts w:ascii="Cambria" w:eastAsia="Calibri" w:hAnsi="Cambria"/>
          <w:sz w:val="20"/>
          <w:szCs w:val="20"/>
          <w:bdr w:val="none" w:sz="0" w:space="0" w:color="auto"/>
          <w:lang w:val="es-VE"/>
        </w:rPr>
        <w:t xml:space="preserve"> identidades</w:t>
      </w:r>
      <w:r w:rsidR="00842E61">
        <w:rPr>
          <w:rFonts w:ascii="Cambria" w:eastAsia="Calibri" w:hAnsi="Cambria"/>
          <w:sz w:val="20"/>
          <w:szCs w:val="20"/>
          <w:bdr w:val="none" w:sz="0" w:space="0" w:color="auto"/>
          <w:lang w:val="es-VE"/>
        </w:rPr>
        <w:t xml:space="preserve"> y expresiones</w:t>
      </w:r>
      <w:r w:rsidRPr="003C3ADE">
        <w:rPr>
          <w:rFonts w:ascii="Cambria" w:eastAsia="Calibri" w:hAnsi="Cambria"/>
          <w:sz w:val="20"/>
          <w:szCs w:val="20"/>
          <w:bdr w:val="none" w:sz="0" w:space="0" w:color="auto"/>
          <w:lang w:val="es-VE"/>
        </w:rPr>
        <w:t xml:space="preserve"> de género diversas, los Estados deben tomar en consideración el contexto general de estereotipos, prejuicios y violencia contra las personas </w:t>
      </w:r>
      <w:r w:rsidR="001678F8">
        <w:rPr>
          <w:rFonts w:ascii="Cambria" w:eastAsia="Calibri" w:hAnsi="Cambria"/>
          <w:sz w:val="20"/>
          <w:szCs w:val="20"/>
          <w:bdr w:val="none" w:sz="0" w:space="0" w:color="auto"/>
          <w:lang w:val="es-VE"/>
        </w:rPr>
        <w:t>LGBT</w:t>
      </w:r>
      <w:r w:rsidRPr="003C3ADE">
        <w:rPr>
          <w:rFonts w:ascii="Cambria" w:eastAsia="Calibri" w:hAnsi="Cambria"/>
          <w:sz w:val="20"/>
          <w:szCs w:val="20"/>
          <w:bdr w:val="none" w:sz="0" w:space="0" w:color="auto"/>
          <w:lang w:val="es-VE"/>
        </w:rPr>
        <w:t xml:space="preserve"> en sus países, los cuales pueden estar más arraigados en lugares del interior de los países o fuera de las principales ciudades. Además, al conducir las investigaciones, las autoridades del Estado deben basarse en testimonios de peritos, expertos y expertas capaces de identificar la discriminación y los prejuicios contra las personas </w:t>
      </w:r>
      <w:r w:rsidR="001678F8">
        <w:rPr>
          <w:rFonts w:ascii="Cambria" w:eastAsia="Calibri" w:hAnsi="Cambria"/>
          <w:sz w:val="20"/>
          <w:szCs w:val="20"/>
          <w:bdr w:val="none" w:sz="0" w:space="0" w:color="auto"/>
          <w:lang w:val="es-VE"/>
        </w:rPr>
        <w:t>LGBT</w:t>
      </w:r>
      <w:r w:rsidRPr="003C3ADE">
        <w:rPr>
          <w:rFonts w:ascii="Cambria" w:eastAsia="Calibri" w:hAnsi="Cambria"/>
          <w:sz w:val="20"/>
          <w:szCs w:val="20"/>
          <w:bdr w:val="none" w:sz="0" w:space="0" w:color="auto"/>
          <w:lang w:val="es-VE"/>
        </w:rPr>
        <w:t>, que están arraigados en las sociedades de la región</w:t>
      </w:r>
      <w:r w:rsidRPr="003C3ADE">
        <w:rPr>
          <w:rFonts w:ascii="Cambria" w:eastAsia="Calibri" w:hAnsi="Cambria"/>
          <w:sz w:val="20"/>
          <w:szCs w:val="20"/>
          <w:bdr w:val="none" w:sz="0" w:space="0" w:color="auto"/>
          <w:vertAlign w:val="superscript"/>
          <w:lang w:val="es-VE"/>
        </w:rPr>
        <w:footnoteReference w:id="166"/>
      </w:r>
      <w:r w:rsidRPr="003C3ADE">
        <w:rPr>
          <w:rFonts w:ascii="Cambria" w:eastAsia="Calibri" w:hAnsi="Cambria"/>
          <w:sz w:val="20"/>
          <w:szCs w:val="20"/>
          <w:bdr w:val="none" w:sz="0" w:space="0" w:color="auto"/>
          <w:lang w:val="es-VE"/>
        </w:rPr>
        <w:t>.</w:t>
      </w:r>
    </w:p>
    <w:p w14:paraId="4A581B08" w14:textId="06E4933D" w:rsidR="003C3ADE" w:rsidRDefault="003C3ADE" w:rsidP="00094AFC">
      <w:pPr>
        <w:pStyle w:val="Heading3"/>
        <w:numPr>
          <w:ilvl w:val="0"/>
          <w:numId w:val="65"/>
        </w:numPr>
        <w:ind w:hanging="90"/>
        <w:rPr>
          <w:rFonts w:asciiTheme="majorHAnsi" w:eastAsia="Calibri" w:hAnsiTheme="majorHAnsi"/>
          <w:sz w:val="20"/>
          <w:szCs w:val="20"/>
          <w:lang w:val="es-CO"/>
        </w:rPr>
      </w:pPr>
      <w:bookmarkStart w:id="20" w:name="_Toc536451325"/>
      <w:r w:rsidRPr="00094AFC">
        <w:rPr>
          <w:rFonts w:asciiTheme="majorHAnsi" w:eastAsia="Calibri" w:hAnsiTheme="majorHAnsi"/>
          <w:sz w:val="20"/>
          <w:szCs w:val="20"/>
          <w:lang w:val="es-CO"/>
        </w:rPr>
        <w:t>Análisis del caso</w:t>
      </w:r>
      <w:bookmarkEnd w:id="20"/>
    </w:p>
    <w:p w14:paraId="09F137F9" w14:textId="77777777" w:rsidR="00094AFC" w:rsidRPr="00094AFC" w:rsidRDefault="00094AFC" w:rsidP="00094AFC">
      <w:pPr>
        <w:rPr>
          <w:lang w:val="es-CO"/>
        </w:rPr>
      </w:pPr>
    </w:p>
    <w:p w14:paraId="03B27D93" w14:textId="122D12EE" w:rsidR="003C3ADE" w:rsidRDefault="00155A31"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En primer lugar, y c</w:t>
      </w:r>
      <w:r w:rsidR="003C3ADE" w:rsidRPr="003C3ADE">
        <w:rPr>
          <w:rFonts w:ascii="Cambria" w:eastAsia="Calibri" w:hAnsi="Cambria"/>
          <w:sz w:val="20"/>
          <w:szCs w:val="20"/>
          <w:bdr w:val="none" w:sz="0" w:space="0" w:color="auto"/>
          <w:lang w:val="es-CO"/>
        </w:rPr>
        <w:t>omo fue referido previamente,</w:t>
      </w:r>
      <w:r w:rsidR="00960D11">
        <w:rPr>
          <w:rFonts w:ascii="Cambria" w:eastAsia="Calibri" w:hAnsi="Cambria"/>
          <w:sz w:val="20"/>
          <w:szCs w:val="20"/>
          <w:bdr w:val="none" w:sz="0" w:space="0" w:color="auto"/>
          <w:lang w:val="es-CO"/>
        </w:rPr>
        <w:t xml:space="preserve"> </w:t>
      </w:r>
      <w:r w:rsidR="003C3ADE" w:rsidRPr="003C3ADE">
        <w:rPr>
          <w:rFonts w:ascii="Cambria" w:eastAsia="Calibri" w:hAnsi="Cambria"/>
          <w:sz w:val="20"/>
          <w:szCs w:val="20"/>
          <w:bdr w:val="none" w:sz="0" w:space="0" w:color="auto"/>
          <w:lang w:val="es-CO"/>
        </w:rPr>
        <w:t xml:space="preserve">la Comisión </w:t>
      </w:r>
      <w:r w:rsidR="00960D11">
        <w:rPr>
          <w:rFonts w:ascii="Cambria" w:eastAsia="Calibri" w:hAnsi="Cambria"/>
          <w:sz w:val="20"/>
          <w:szCs w:val="20"/>
          <w:bdr w:val="none" w:sz="0" w:space="0" w:color="auto"/>
          <w:lang w:val="es-CO"/>
        </w:rPr>
        <w:t>resalta que</w:t>
      </w:r>
      <w:r w:rsidR="003C3ADE" w:rsidRPr="003C3ADE">
        <w:rPr>
          <w:rFonts w:ascii="Cambria" w:eastAsia="Calibri" w:hAnsi="Cambria"/>
          <w:sz w:val="20"/>
          <w:szCs w:val="20"/>
          <w:bdr w:val="none" w:sz="0" w:space="0" w:color="auto"/>
          <w:lang w:val="es-CO"/>
        </w:rPr>
        <w:t xml:space="preserve"> el Estado no diseñó ni implementó líneas</w:t>
      </w:r>
      <w:r w:rsidR="00960D11">
        <w:rPr>
          <w:rFonts w:ascii="Cambria" w:eastAsia="Calibri" w:hAnsi="Cambria"/>
          <w:sz w:val="20"/>
          <w:szCs w:val="20"/>
          <w:bdr w:val="none" w:sz="0" w:space="0" w:color="auto"/>
          <w:lang w:val="es-CO"/>
        </w:rPr>
        <w:t xml:space="preserve"> lógicas </w:t>
      </w:r>
      <w:r w:rsidR="003C3ADE" w:rsidRPr="003C3ADE">
        <w:rPr>
          <w:rFonts w:ascii="Cambria" w:eastAsia="Calibri" w:hAnsi="Cambria"/>
          <w:sz w:val="20"/>
          <w:szCs w:val="20"/>
          <w:bdr w:val="none" w:sz="0" w:space="0" w:color="auto"/>
          <w:lang w:val="es-CO"/>
        </w:rPr>
        <w:t xml:space="preserve">de investigación derivadas de los elementos de prueba y contexto que rodearon los hechos del caso. En este sentido, la única línea de investigación adoptada por Honduras fue la tendiente a individualizar a la persona relacionada con el supuesto hecho de amenaza que sufrió Vicky Hernández, y cuya única prueba se desprende de una declaración tomada a la madre de la víctima dos años después de ocurridos los hechos. </w:t>
      </w:r>
    </w:p>
    <w:p w14:paraId="16F9AB1C"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0D59D17C" w14:textId="226B00F1"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CO"/>
        </w:rPr>
        <w:t xml:space="preserve">La Comisión encuentra que el Estado omitió por completo de la investigación el análisis de los múltiples elementos que indicaban que el hecho podría enmarcarse dentro del concepto de crimen por prejuicio y la posible participación de agentes estatales, esto es, que i) murió de una lesión en la cabeza por arma de fuego; ii) el cuerpo fue abandonado en un lugar público; iii) se encontró un preservativo aparentemente usado en la escena; iv) ocurrió en horas de la noche durante la vigencia de un toque de queda en el que las calles se encontraban militarizadas; y v) se enmarcó en un contexto de discriminación por prejuicio que incluye entre otros, violencia policial en contra de personas LGBT particularmente mujeres trans trabajadoras sexuales. El Estado no realizó ninguna diligencia tendiente a confirmar o excluir el involucramiento de las fuerzas de seguridad y la posibilidad de que el crimen hubiera sido motivado por prejuicios. Tampoco profundizó en alguna línea de investigación relacionada con las labores de activista de Vicky Hernández dentro del </w:t>
      </w:r>
      <w:r>
        <w:rPr>
          <w:rFonts w:ascii="Cambria" w:eastAsia="Calibri" w:hAnsi="Cambria"/>
          <w:sz w:val="20"/>
          <w:szCs w:val="20"/>
          <w:bdr w:val="none" w:sz="0" w:space="0" w:color="auto"/>
          <w:lang w:val="es-CO"/>
        </w:rPr>
        <w:t>colectivo trans Color Rosa TTT</w:t>
      </w:r>
      <w:r w:rsidR="00960D11">
        <w:rPr>
          <w:rFonts w:ascii="Cambria" w:eastAsia="Calibri" w:hAnsi="Cambria"/>
          <w:sz w:val="20"/>
          <w:szCs w:val="20"/>
          <w:bdr w:val="none" w:sz="0" w:space="0" w:color="auto"/>
          <w:lang w:val="es-CO"/>
        </w:rPr>
        <w:t xml:space="preserve">, a pesar de la información posterior sobre la continuidad de muerte de personas asociadas al mismo colectivo. </w:t>
      </w:r>
    </w:p>
    <w:p w14:paraId="507AD869"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54FD1BF8" w14:textId="088AB961" w:rsidR="003C3ADE" w:rsidRPr="003C3ADE" w:rsidRDefault="00816D12"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En segundo lugar, y</w:t>
      </w:r>
      <w:r w:rsidR="003C3ADE" w:rsidRPr="003C3ADE">
        <w:rPr>
          <w:rFonts w:ascii="Cambria" w:eastAsia="Calibri" w:hAnsi="Cambria"/>
          <w:sz w:val="20"/>
          <w:szCs w:val="20"/>
          <w:bdr w:val="none" w:sz="0" w:space="0" w:color="auto"/>
          <w:lang w:val="es-CO"/>
        </w:rPr>
        <w:t xml:space="preserve"> en relación con las diligencias llevadas a cabo en el marco de la única línea de investigación adoptada por el Estado, la Comisión considera que el proceso investigativo interno ha sido deficiente</w:t>
      </w:r>
      <w:r w:rsidR="004A2908">
        <w:rPr>
          <w:rFonts w:ascii="Cambria" w:eastAsia="Calibri" w:hAnsi="Cambria"/>
          <w:sz w:val="20"/>
          <w:szCs w:val="20"/>
          <w:bdr w:val="none" w:sz="0" w:space="0" w:color="auto"/>
          <w:lang w:val="es-CO"/>
        </w:rPr>
        <w:t xml:space="preserve"> y la actividad probatoria ha sido mínima</w:t>
      </w:r>
      <w:r>
        <w:rPr>
          <w:rFonts w:ascii="Cambria" w:eastAsia="Calibri" w:hAnsi="Cambria"/>
          <w:sz w:val="20"/>
          <w:szCs w:val="20"/>
          <w:bdr w:val="none" w:sz="0" w:space="0" w:color="auto"/>
          <w:lang w:val="es-CO"/>
        </w:rPr>
        <w:t>, separada en el tiempo de manera injustificable</w:t>
      </w:r>
      <w:r w:rsidR="004A2908">
        <w:rPr>
          <w:rFonts w:ascii="Cambria" w:eastAsia="Calibri" w:hAnsi="Cambria"/>
          <w:sz w:val="20"/>
          <w:szCs w:val="20"/>
          <w:bdr w:val="none" w:sz="0" w:space="0" w:color="auto"/>
          <w:lang w:val="es-CO"/>
        </w:rPr>
        <w:t xml:space="preserve"> y desco</w:t>
      </w:r>
      <w:r>
        <w:rPr>
          <w:rFonts w:ascii="Cambria" w:eastAsia="Calibri" w:hAnsi="Cambria"/>
          <w:sz w:val="20"/>
          <w:szCs w:val="20"/>
          <w:bdr w:val="none" w:sz="0" w:space="0" w:color="auto"/>
          <w:lang w:val="es-CO"/>
        </w:rPr>
        <w:t>o</w:t>
      </w:r>
      <w:r w:rsidR="004A2908">
        <w:rPr>
          <w:rFonts w:ascii="Cambria" w:eastAsia="Calibri" w:hAnsi="Cambria"/>
          <w:sz w:val="20"/>
          <w:szCs w:val="20"/>
          <w:bdr w:val="none" w:sz="0" w:space="0" w:color="auto"/>
          <w:lang w:val="es-CO"/>
        </w:rPr>
        <w:t>rdinada.</w:t>
      </w:r>
      <w:r w:rsidR="003C3ADE" w:rsidRPr="003C3ADE">
        <w:rPr>
          <w:rFonts w:ascii="Cambria" w:eastAsia="Calibri" w:hAnsi="Cambria"/>
          <w:sz w:val="20"/>
          <w:szCs w:val="20"/>
          <w:bdr w:val="none" w:sz="0" w:space="0" w:color="auto"/>
          <w:lang w:val="es-CO"/>
        </w:rPr>
        <w:t xml:space="preserve"> </w:t>
      </w:r>
      <w:r w:rsidR="004A2908">
        <w:rPr>
          <w:rFonts w:ascii="Cambria" w:eastAsia="Calibri" w:hAnsi="Cambria"/>
          <w:sz w:val="20"/>
          <w:szCs w:val="20"/>
          <w:bdr w:val="none" w:sz="0" w:space="0" w:color="auto"/>
          <w:lang w:val="es-CO"/>
        </w:rPr>
        <w:t>L</w:t>
      </w:r>
      <w:r w:rsidR="003C3ADE" w:rsidRPr="003C3ADE">
        <w:rPr>
          <w:rFonts w:ascii="Cambria" w:eastAsia="Calibri" w:hAnsi="Cambria"/>
          <w:sz w:val="20"/>
          <w:szCs w:val="20"/>
          <w:bdr w:val="none" w:sz="0" w:space="0" w:color="auto"/>
          <w:lang w:val="es-CO"/>
        </w:rPr>
        <w:t xml:space="preserve">a </w:t>
      </w:r>
      <w:r w:rsidR="004A2908">
        <w:rPr>
          <w:rFonts w:ascii="Cambria" w:eastAsia="Calibri" w:hAnsi="Cambria"/>
          <w:sz w:val="20"/>
          <w:szCs w:val="20"/>
          <w:bdr w:val="none" w:sz="0" w:space="0" w:color="auto"/>
          <w:lang w:val="es-CO"/>
        </w:rPr>
        <w:t>C</w:t>
      </w:r>
      <w:r w:rsidR="003C3ADE" w:rsidRPr="003C3ADE">
        <w:rPr>
          <w:rFonts w:ascii="Cambria" w:eastAsia="Calibri" w:hAnsi="Cambria"/>
          <w:sz w:val="20"/>
          <w:szCs w:val="20"/>
          <w:bdr w:val="none" w:sz="0" w:space="0" w:color="auto"/>
          <w:lang w:val="es-CO"/>
        </w:rPr>
        <w:t xml:space="preserve">omisión toma nota de que las únicas diligencias que se realizaron el mismo año en que ocurrieron los hechos fueron </w:t>
      </w:r>
      <w:r w:rsidR="003C3ADE" w:rsidRPr="003C3ADE">
        <w:rPr>
          <w:rFonts w:ascii="Cambria" w:eastAsia="Calibri" w:hAnsi="Cambria"/>
          <w:sz w:val="20"/>
          <w:szCs w:val="20"/>
          <w:bdr w:val="none" w:sz="0" w:space="0" w:color="auto"/>
          <w:lang w:val="es-VE"/>
        </w:rPr>
        <w:t xml:space="preserve">la diligencia preliminar de levantamiento y el acta de levantamiento de cadáver. Los hechos del caso evidencian que sólo hasta 2011, después de dos años de los hechos, las autoridades reiniciaron las actuaciones investigativas. </w:t>
      </w:r>
    </w:p>
    <w:p w14:paraId="18138F0E"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lang w:val="es-CO"/>
        </w:rPr>
      </w:pPr>
    </w:p>
    <w:p w14:paraId="288A8910" w14:textId="40CCBDC8" w:rsidR="003C3ADE" w:rsidRDefault="00701862"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L</w:t>
      </w:r>
      <w:r w:rsidR="003C3ADE" w:rsidRPr="003C3ADE">
        <w:rPr>
          <w:rFonts w:ascii="Cambria" w:eastAsia="Calibri" w:hAnsi="Cambria"/>
          <w:sz w:val="20"/>
          <w:szCs w:val="20"/>
          <w:bdr w:val="none" w:sz="0" w:space="0" w:color="auto"/>
          <w:lang w:val="es-CO"/>
        </w:rPr>
        <w:t xml:space="preserve">a Comisión observa que existe una controversia fáctica entre el Estado y la parte peticionaria en relación con el dictamen de autopsia de Vicky Hernández y si el mismo se encuentra o no debidamente agregado al expediente investigativo interno. Al respecto, debe destacarse que en el expediente allegado a la Comisión, actualizado a 20 de noviembre de 2013, no consta dicho dictamen. Asimismo, la Comisión advierte que de los hechos del caso se desprende que el 12 de marzo de 2015 la parte peticionaria presentó por segunda vez solicitud formal a la Fiscalía Especial de Delitos contra la Vida para que se integrara el dictamen de autopsia en el expediente, indicando esto que para esa fecha el dictamen de autopsia todavía no había sido integrado al expediente. La Comisión toma nota de que el Estado no ha aportado prueba suficiente que demuestre que el dictamen efectivamente se encuentra agregado en el expediente, ni ha ofrecido una explicación satisfactoria sobre por qué a 2013 </w:t>
      </w:r>
      <w:r>
        <w:rPr>
          <w:rFonts w:ascii="Cambria" w:eastAsia="Calibri" w:hAnsi="Cambria"/>
          <w:sz w:val="20"/>
          <w:szCs w:val="20"/>
          <w:bdr w:val="none" w:sz="0" w:space="0" w:color="auto"/>
          <w:lang w:val="es-CO"/>
        </w:rPr>
        <w:t>esto no había ocurrido.</w:t>
      </w:r>
      <w:r w:rsidR="003C3ADE" w:rsidRPr="003C3ADE">
        <w:rPr>
          <w:rFonts w:ascii="Cambria" w:eastAsia="Calibri" w:hAnsi="Cambria"/>
          <w:sz w:val="20"/>
          <w:szCs w:val="20"/>
          <w:bdr w:val="none" w:sz="0" w:space="0" w:color="auto"/>
          <w:lang w:val="es-CO"/>
        </w:rPr>
        <w:t xml:space="preserve"> </w:t>
      </w:r>
    </w:p>
    <w:p w14:paraId="08ADA9F2" w14:textId="77777777" w:rsidR="00CC61DB" w:rsidRDefault="00CC61DB" w:rsidP="00CC61DB">
      <w:pPr>
        <w:pStyle w:val="ListParagraph"/>
        <w:rPr>
          <w:rFonts w:eastAsia="Calibri"/>
          <w:sz w:val="20"/>
          <w:szCs w:val="20"/>
          <w:bdr w:val="none" w:sz="0" w:space="0" w:color="auto"/>
          <w:lang w:val="es-CO"/>
        </w:rPr>
      </w:pPr>
    </w:p>
    <w:p w14:paraId="02007B2A" w14:textId="77777777" w:rsidR="00D779F9" w:rsidRDefault="00CC61DB"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 xml:space="preserve">Por otra parte, </w:t>
      </w:r>
      <w:r w:rsidR="002D5C70">
        <w:rPr>
          <w:rFonts w:ascii="Cambria" w:eastAsia="Calibri" w:hAnsi="Cambria"/>
          <w:sz w:val="20"/>
          <w:szCs w:val="20"/>
          <w:bdr w:val="none" w:sz="0" w:space="0" w:color="auto"/>
          <w:lang w:val="es-CO"/>
        </w:rPr>
        <w:t xml:space="preserve">en cuanto a la </w:t>
      </w:r>
      <w:r>
        <w:rPr>
          <w:rFonts w:ascii="Cambria" w:eastAsia="Calibri" w:hAnsi="Cambria"/>
          <w:sz w:val="20"/>
          <w:szCs w:val="20"/>
          <w:bdr w:val="none" w:sz="0" w:space="0" w:color="auto"/>
          <w:lang w:val="es-CO"/>
        </w:rPr>
        <w:t xml:space="preserve">indicación que aparece en el expediente sobre la calificación del asesinato como un posible crimen pasional, </w:t>
      </w:r>
      <w:r w:rsidR="00D779F9">
        <w:rPr>
          <w:rFonts w:ascii="Cambria" w:eastAsia="Calibri" w:hAnsi="Cambria"/>
          <w:sz w:val="20"/>
          <w:szCs w:val="20"/>
          <w:bdr w:val="none" w:sz="0" w:space="0" w:color="auto"/>
          <w:lang w:val="es-CO"/>
        </w:rPr>
        <w:t xml:space="preserve">la Comisión recuerda lo señalado en los casos </w:t>
      </w:r>
      <w:r w:rsidR="00D779F9">
        <w:rPr>
          <w:rFonts w:ascii="Cambria" w:eastAsia="Calibri" w:hAnsi="Cambria"/>
          <w:i/>
          <w:sz w:val="20"/>
          <w:szCs w:val="20"/>
          <w:bdr w:val="none" w:sz="0" w:space="0" w:color="auto"/>
          <w:lang w:val="es-CO"/>
        </w:rPr>
        <w:t xml:space="preserve">Velásquez </w:t>
      </w:r>
      <w:proofErr w:type="spellStart"/>
      <w:r w:rsidR="00D779F9">
        <w:rPr>
          <w:rFonts w:ascii="Cambria" w:eastAsia="Calibri" w:hAnsi="Cambria"/>
          <w:i/>
          <w:sz w:val="20"/>
          <w:szCs w:val="20"/>
          <w:bdr w:val="none" w:sz="0" w:space="0" w:color="auto"/>
          <w:lang w:val="es-CO"/>
        </w:rPr>
        <w:t>Paiz</w:t>
      </w:r>
      <w:proofErr w:type="spellEnd"/>
      <w:r w:rsidR="00D779F9">
        <w:rPr>
          <w:rFonts w:ascii="Cambria" w:eastAsia="Calibri" w:hAnsi="Cambria"/>
          <w:i/>
          <w:sz w:val="20"/>
          <w:szCs w:val="20"/>
          <w:bdr w:val="none" w:sz="0" w:space="0" w:color="auto"/>
          <w:lang w:val="es-CO"/>
        </w:rPr>
        <w:t xml:space="preserve"> y Gutiérrez Hernández, </w:t>
      </w:r>
      <w:r w:rsidR="00D779F9">
        <w:rPr>
          <w:rFonts w:ascii="Cambria" w:eastAsia="Calibri" w:hAnsi="Cambria"/>
          <w:sz w:val="20"/>
          <w:szCs w:val="20"/>
          <w:bdr w:val="none" w:sz="0" w:space="0" w:color="auto"/>
          <w:lang w:val="es-CO"/>
        </w:rPr>
        <w:t>en los siguientes términos:</w:t>
      </w:r>
    </w:p>
    <w:p w14:paraId="3DC62F36" w14:textId="77777777" w:rsidR="00D779F9" w:rsidRDefault="00D779F9" w:rsidP="00D8374B">
      <w:pPr>
        <w:pStyle w:val="PrrafodeSentencia"/>
        <w:numPr>
          <w:ilvl w:val="0"/>
          <w:numId w:val="0"/>
        </w:numPr>
        <w:tabs>
          <w:tab w:val="clear" w:pos="567"/>
          <w:tab w:val="left" w:pos="360"/>
        </w:tabs>
        <w:ind w:left="720" w:right="563"/>
        <w:rPr>
          <w:rFonts w:ascii="Cambria" w:eastAsia="Calibri" w:hAnsi="Cambria" w:cs="Cambria"/>
          <w:color w:val="000000"/>
          <w:u w:color="000000"/>
          <w:lang w:val="es-CO" w:eastAsia="es-ES"/>
        </w:rPr>
      </w:pPr>
    </w:p>
    <w:p w14:paraId="5D19694C" w14:textId="39320127" w:rsidR="00D779F9" w:rsidRPr="0078145A" w:rsidRDefault="00D779F9" w:rsidP="00D8374B">
      <w:pPr>
        <w:pStyle w:val="PrrafodeSentencia"/>
        <w:numPr>
          <w:ilvl w:val="0"/>
          <w:numId w:val="0"/>
        </w:numPr>
        <w:tabs>
          <w:tab w:val="clear" w:pos="567"/>
          <w:tab w:val="left" w:pos="360"/>
        </w:tabs>
        <w:ind w:left="720" w:right="563"/>
        <w:rPr>
          <w:rFonts w:asciiTheme="majorHAnsi" w:eastAsia="Calibri" w:hAnsiTheme="majorHAnsi"/>
          <w:lang w:val="es-CR" w:eastAsia="de-DE"/>
        </w:rPr>
      </w:pPr>
      <w:r w:rsidRPr="0078145A">
        <w:rPr>
          <w:rFonts w:asciiTheme="majorHAnsi" w:hAnsiTheme="majorHAnsi"/>
          <w:lang w:val="es-CR"/>
        </w:rPr>
        <w:t xml:space="preserve">(…) el concepto de crimen pasional es parte de un estereotipo que justifica la violencia contra la mujer. El calificativo ‘pasional’ pone el acento en justificar la conducta del agresor”. Por ejemplo, “‘la mató por celos’, ‘en un ataque de furia’, son expresiones que promueven la condena a la mujer que sufrió </w:t>
      </w:r>
      <w:r w:rsidRPr="0078145A">
        <w:rPr>
          <w:rFonts w:asciiTheme="majorHAnsi" w:hAnsiTheme="majorHAnsi"/>
          <w:lang w:val="es-CR"/>
        </w:rPr>
        <w:lastRenderedPageBreak/>
        <w:t>violencia. Se culpabiliza a la víctima y se respalda la acción violenta del agresor”</w:t>
      </w:r>
      <w:r w:rsidRPr="0078145A">
        <w:rPr>
          <w:rStyle w:val="FootnoteReference"/>
          <w:rFonts w:asciiTheme="majorHAnsi" w:hAnsiTheme="majorHAnsi"/>
          <w:lang w:val="es-CR"/>
        </w:rPr>
        <w:footnoteReference w:id="167"/>
      </w:r>
      <w:r w:rsidRPr="0078145A">
        <w:rPr>
          <w:rFonts w:asciiTheme="majorHAnsi" w:hAnsiTheme="majorHAnsi"/>
          <w:lang w:val="es-CR"/>
        </w:rPr>
        <w:t>. En este sentido, el Tribunal rechaza toda práctica estatal mediante la cual se justifica la violencia contra la mujer y se le culpabiliza de ésta, toda vez que valoraciones</w:t>
      </w:r>
      <w:r w:rsidRPr="0078145A">
        <w:rPr>
          <w:rFonts w:asciiTheme="majorHAnsi" w:eastAsia="Calibri" w:hAnsiTheme="majorHAnsi"/>
          <w:lang w:val="es-CR"/>
        </w:rPr>
        <w:t xml:space="preserve"> de esta naturaleza muestran un criterio discrecional y discriminatorio con base en </w:t>
      </w:r>
      <w:r w:rsidRPr="0078145A">
        <w:rPr>
          <w:rFonts w:asciiTheme="majorHAnsi" w:hAnsiTheme="majorHAnsi"/>
          <w:lang w:val="es-CR"/>
        </w:rPr>
        <w:t>el comportamiento de la víctima</w:t>
      </w:r>
      <w:r w:rsidRPr="0078145A">
        <w:rPr>
          <w:rFonts w:asciiTheme="majorHAnsi" w:eastAsia="Calibri" w:hAnsiTheme="majorHAnsi"/>
          <w:lang w:val="es-CR"/>
        </w:rPr>
        <w:t xml:space="preserve"> por el solo hecho de ser mujer</w:t>
      </w:r>
      <w:r w:rsidRPr="0078145A">
        <w:rPr>
          <w:rFonts w:asciiTheme="majorHAnsi" w:hAnsiTheme="majorHAnsi"/>
          <w:lang w:val="es-CR"/>
        </w:rPr>
        <w:t>. Consecuentemente, considera que estos</w:t>
      </w:r>
      <w:r w:rsidRPr="0078145A">
        <w:rPr>
          <w:rFonts w:asciiTheme="majorHAnsi" w:eastAsia="Calibri" w:hAnsiTheme="majorHAnsi"/>
          <w:lang w:val="es-CR" w:eastAsia="de-DE"/>
        </w:rPr>
        <w:t xml:space="preserve"> estereotipos de género son incompatibles </w:t>
      </w:r>
      <w:r w:rsidRPr="0078145A">
        <w:rPr>
          <w:rFonts w:asciiTheme="majorHAnsi" w:hAnsiTheme="majorHAnsi"/>
          <w:lang w:val="es-CR"/>
        </w:rPr>
        <w:t>con</w:t>
      </w:r>
      <w:r w:rsidRPr="0078145A">
        <w:rPr>
          <w:rFonts w:asciiTheme="majorHAnsi" w:eastAsia="Calibri" w:hAnsiTheme="majorHAnsi"/>
          <w:lang w:val="es-CR" w:eastAsia="de-DE"/>
        </w:rPr>
        <w:t xml:space="preserve"> el derecho internacional de los derechos humanos y se deben tomar medidas para erradicarlos donde se presenten</w:t>
      </w:r>
      <w:r w:rsidR="009357BA" w:rsidRPr="0078145A">
        <w:rPr>
          <w:rStyle w:val="FootnoteReference"/>
          <w:rFonts w:asciiTheme="majorHAnsi" w:eastAsia="Calibri" w:hAnsiTheme="majorHAnsi"/>
          <w:lang w:val="es-CR" w:eastAsia="de-DE"/>
        </w:rPr>
        <w:footnoteReference w:id="168"/>
      </w:r>
      <w:r w:rsidRPr="0078145A">
        <w:rPr>
          <w:rFonts w:asciiTheme="majorHAnsi" w:eastAsia="Calibri" w:hAnsiTheme="majorHAnsi"/>
          <w:lang w:val="es-CR" w:eastAsia="de-DE"/>
        </w:rPr>
        <w:t>.</w:t>
      </w:r>
    </w:p>
    <w:p w14:paraId="349419A8" w14:textId="77777777" w:rsidR="00D779F9" w:rsidRPr="0078145A" w:rsidRDefault="00D779F9" w:rsidP="00D779F9">
      <w:pPr>
        <w:pStyle w:val="ListParagraph"/>
        <w:rPr>
          <w:rFonts w:asciiTheme="majorHAnsi" w:eastAsia="Calibri" w:hAnsiTheme="majorHAnsi"/>
          <w:sz w:val="20"/>
          <w:szCs w:val="20"/>
          <w:bdr w:val="none" w:sz="0" w:space="0" w:color="auto"/>
          <w:lang w:val="es-CR"/>
        </w:rPr>
      </w:pPr>
    </w:p>
    <w:p w14:paraId="4905FBC0" w14:textId="1DA5BC89" w:rsidR="00D8374B" w:rsidRPr="00D779F9" w:rsidRDefault="00D8374B"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sz w:val="20"/>
          <w:szCs w:val="20"/>
          <w:bdr w:val="none" w:sz="0" w:space="0" w:color="auto"/>
          <w:lang w:val="es-CR"/>
        </w:rPr>
      </w:pPr>
      <w:r w:rsidRPr="0078145A">
        <w:rPr>
          <w:rFonts w:asciiTheme="majorHAnsi" w:eastAsia="Calibri" w:hAnsiTheme="majorHAnsi"/>
          <w:sz w:val="20"/>
          <w:szCs w:val="20"/>
          <w:bdr w:val="none" w:sz="0" w:space="0" w:color="auto"/>
          <w:lang w:val="es-CR"/>
        </w:rPr>
        <w:t>Este mismo razonamiento</w:t>
      </w:r>
      <w:r>
        <w:rPr>
          <w:rFonts w:eastAsia="Calibri"/>
          <w:sz w:val="20"/>
          <w:szCs w:val="20"/>
          <w:bdr w:val="none" w:sz="0" w:space="0" w:color="auto"/>
          <w:lang w:val="es-CR"/>
        </w:rPr>
        <w:t xml:space="preserve"> resulta aplicable al presente caso en el cual, mediante la calificación del hecho como un </w:t>
      </w:r>
      <w:r w:rsidRPr="00D8374B">
        <w:rPr>
          <w:rFonts w:ascii="Cambria" w:eastAsia="Calibri" w:hAnsi="Cambria"/>
          <w:sz w:val="20"/>
          <w:szCs w:val="20"/>
          <w:bdr w:val="none" w:sz="0" w:space="0" w:color="auto"/>
          <w:lang w:val="es-CO"/>
        </w:rPr>
        <w:t>crimen</w:t>
      </w:r>
      <w:r>
        <w:rPr>
          <w:rFonts w:eastAsia="Calibri"/>
          <w:sz w:val="20"/>
          <w:szCs w:val="20"/>
          <w:bdr w:val="none" w:sz="0" w:space="0" w:color="auto"/>
          <w:lang w:val="es-CR"/>
        </w:rPr>
        <w:t xml:space="preserve"> pasional, implicó la justificación de la violencia contra una mujer </w:t>
      </w:r>
      <w:proofErr w:type="spellStart"/>
      <w:r>
        <w:rPr>
          <w:rFonts w:eastAsia="Calibri"/>
          <w:sz w:val="20"/>
          <w:szCs w:val="20"/>
          <w:bdr w:val="none" w:sz="0" w:space="0" w:color="auto"/>
          <w:lang w:val="es-CR"/>
        </w:rPr>
        <w:t>trans</w:t>
      </w:r>
      <w:proofErr w:type="spellEnd"/>
      <w:r>
        <w:rPr>
          <w:rFonts w:eastAsia="Calibri"/>
          <w:sz w:val="20"/>
          <w:szCs w:val="20"/>
          <w:bdr w:val="none" w:sz="0" w:space="0" w:color="auto"/>
          <w:lang w:val="es-CR"/>
        </w:rPr>
        <w:t xml:space="preserve">. </w:t>
      </w:r>
    </w:p>
    <w:p w14:paraId="30A92443" w14:textId="77777777" w:rsidR="00D779F9" w:rsidRDefault="00D779F9" w:rsidP="00D779F9">
      <w:pPr>
        <w:pStyle w:val="ListParagraph"/>
        <w:rPr>
          <w:rFonts w:eastAsia="Calibri"/>
          <w:sz w:val="20"/>
          <w:szCs w:val="20"/>
          <w:bdr w:val="none" w:sz="0" w:space="0" w:color="auto"/>
          <w:lang w:val="es-CO"/>
        </w:rPr>
      </w:pPr>
    </w:p>
    <w:p w14:paraId="71E098D9" w14:textId="77777777" w:rsidR="00726CCB" w:rsidRDefault="00825E25"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Igualmente, la C</w:t>
      </w:r>
      <w:r w:rsidR="003C3ADE" w:rsidRPr="003C3ADE">
        <w:rPr>
          <w:rFonts w:ascii="Cambria" w:eastAsia="Calibri" w:hAnsi="Cambria"/>
          <w:sz w:val="20"/>
          <w:szCs w:val="20"/>
          <w:bdr w:val="none" w:sz="0" w:space="0" w:color="auto"/>
          <w:lang w:val="es-CO"/>
        </w:rPr>
        <w:t xml:space="preserve">omisión encuentra que el Estado ha omitido llevar a cabo actuaciones </w:t>
      </w:r>
      <w:r>
        <w:rPr>
          <w:rFonts w:ascii="Cambria" w:eastAsia="Calibri" w:hAnsi="Cambria"/>
          <w:sz w:val="20"/>
          <w:szCs w:val="20"/>
          <w:bdr w:val="none" w:sz="0" w:space="0" w:color="auto"/>
          <w:lang w:val="es-CO"/>
        </w:rPr>
        <w:t xml:space="preserve">fundamentales </w:t>
      </w:r>
      <w:r w:rsidR="003C3ADE" w:rsidRPr="003C3ADE">
        <w:rPr>
          <w:rFonts w:ascii="Cambria" w:eastAsia="Calibri" w:hAnsi="Cambria"/>
          <w:sz w:val="20"/>
          <w:szCs w:val="20"/>
          <w:bdr w:val="none" w:sz="0" w:space="0" w:color="auto"/>
          <w:lang w:val="es-CO"/>
        </w:rPr>
        <w:t>para la investigación. Consta en el acta de levantamiento que en el lugar de los hechos se encontraron un preservativo aparentemente usado y una ojiva de bala. Como fue señalado previamente, la Comisión observa que no consta en el expediente que se hayan realizado los estudios correspondientes para determinar si Vicky Hernández fue víctima de violencia sexual, ni se ha realizado un análisis científico de los residuos encontrados en el preservativo</w:t>
      </w:r>
      <w:r>
        <w:rPr>
          <w:rFonts w:ascii="Cambria" w:eastAsia="Calibri" w:hAnsi="Cambria"/>
          <w:sz w:val="20"/>
          <w:szCs w:val="20"/>
          <w:bdr w:val="none" w:sz="0" w:space="0" w:color="auto"/>
          <w:lang w:val="es-CO"/>
        </w:rPr>
        <w:t>, con las medidas necesarias para preservar la prueba de cara a futuras confrontaciones por posibles responsables.</w:t>
      </w:r>
      <w:r w:rsidR="003C3ADE" w:rsidRPr="003C3ADE">
        <w:rPr>
          <w:rFonts w:ascii="Cambria" w:eastAsia="Calibri" w:hAnsi="Cambria"/>
          <w:sz w:val="20"/>
          <w:szCs w:val="20"/>
          <w:bdr w:val="none" w:sz="0" w:space="0" w:color="auto"/>
          <w:lang w:val="es-CO"/>
        </w:rPr>
        <w:t xml:space="preserve"> Tampoco consta que se haya realizado algún estudio a la ojiva encontrada en la escena del crimen para determinar, por ejemplo, su calibre y si éste correspondía a algún tipo de arma utilizada por las fuerzas de seguridad del Estado. Según información aportada por el propio Estado, apenas hasta el mes de septiembre de 2017</w:t>
      </w:r>
      <w:r>
        <w:rPr>
          <w:rFonts w:ascii="Cambria" w:eastAsia="Calibri" w:hAnsi="Cambria"/>
          <w:sz w:val="20"/>
          <w:szCs w:val="20"/>
          <w:bdr w:val="none" w:sz="0" w:space="0" w:color="auto"/>
          <w:lang w:val="es-CO"/>
        </w:rPr>
        <w:t>, ocho años después de ocurridos los hechos</w:t>
      </w:r>
      <w:r w:rsidR="003C3ADE" w:rsidRPr="003C3ADE">
        <w:rPr>
          <w:rFonts w:ascii="Cambria" w:eastAsia="Calibri" w:hAnsi="Cambria"/>
          <w:sz w:val="20"/>
          <w:szCs w:val="20"/>
          <w:bdr w:val="none" w:sz="0" w:space="0" w:color="auto"/>
          <w:lang w:val="es-CO"/>
        </w:rPr>
        <w:t xml:space="preserve"> se solicitó un seguimiento al almacén de evidencias sobre estos dos elementos probatorios.</w:t>
      </w:r>
      <w:r w:rsidR="00CF2131">
        <w:rPr>
          <w:rFonts w:ascii="Cambria" w:eastAsia="Calibri" w:hAnsi="Cambria"/>
          <w:sz w:val="20"/>
          <w:szCs w:val="20"/>
          <w:bdr w:val="none" w:sz="0" w:space="0" w:color="auto"/>
          <w:lang w:val="es-CO"/>
        </w:rPr>
        <w:t xml:space="preserve"> En la misma línea, no consta diligencia alguna tendiente a determinar los agentes de seguridad estatales que estaban asignados a la zona en la cual fue encontrado el cuerpo de Vicky Hernández en el marco del toque de queda.</w:t>
      </w:r>
      <w:r w:rsidR="003C3ADE" w:rsidRPr="003C3ADE">
        <w:rPr>
          <w:rFonts w:ascii="Cambria" w:eastAsia="Calibri" w:hAnsi="Cambria"/>
          <w:sz w:val="20"/>
          <w:szCs w:val="20"/>
          <w:bdr w:val="none" w:sz="0" w:space="0" w:color="auto"/>
          <w:lang w:val="es-CO"/>
        </w:rPr>
        <w:t xml:space="preserve"> </w:t>
      </w:r>
    </w:p>
    <w:p w14:paraId="5BF66A42" w14:textId="77777777" w:rsidR="00726CCB" w:rsidRDefault="00726CCB" w:rsidP="00726C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0364E9D5" w14:textId="5054B025" w:rsidR="003C3ADE" w:rsidRP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CO"/>
        </w:rPr>
        <w:t>Por otra parte, el único testimonio tomado por la DNIC en el caso, fue el de la madre de Vicky Hernández, dos años después de</w:t>
      </w:r>
      <w:r w:rsidR="00CF2131">
        <w:rPr>
          <w:rFonts w:ascii="Cambria" w:eastAsia="Calibri" w:hAnsi="Cambria"/>
          <w:sz w:val="20"/>
          <w:szCs w:val="20"/>
          <w:bdr w:val="none" w:sz="0" w:space="0" w:color="auto"/>
          <w:lang w:val="es-CO"/>
        </w:rPr>
        <w:t xml:space="preserve"> la muerte</w:t>
      </w:r>
      <w:r w:rsidRPr="003C3ADE">
        <w:rPr>
          <w:rFonts w:ascii="Cambria" w:eastAsia="Calibri" w:hAnsi="Cambria"/>
          <w:sz w:val="20"/>
          <w:szCs w:val="20"/>
          <w:bdr w:val="none" w:sz="0" w:space="0" w:color="auto"/>
          <w:lang w:val="es-CO"/>
        </w:rPr>
        <w:t xml:space="preserve">. La CIDH encuentra que en </w:t>
      </w:r>
      <w:r w:rsidRPr="003C3ADE">
        <w:rPr>
          <w:rFonts w:ascii="Cambria" w:eastAsia="Calibri" w:hAnsi="Cambria"/>
          <w:sz w:val="20"/>
          <w:szCs w:val="20"/>
          <w:bdr w:val="none" w:sz="0" w:space="0" w:color="auto"/>
          <w:lang w:val="es-VE"/>
        </w:rPr>
        <w:t xml:space="preserve">la diligencia preliminar de levantamiento, bajo la rúbrica “Testigos y Familiares” se encuentran los datos de dos amigos de Vicky que nunca fueron entrevistados. Finalmente, pese a que en el acta de levantamiento constaba que al momento de la diligencia estaba presente una “gran cantidad de curiosos y de periodistas”, no se desprende del expediente que se haya tomado declaración de las personas presentes para identificar posibles testigos. </w:t>
      </w:r>
    </w:p>
    <w:p w14:paraId="0F8937C6"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181A5CA2" w14:textId="750E77B0" w:rsidR="003C3ADE" w:rsidRPr="003C3ADE" w:rsidRDefault="00825E25"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Pr>
          <w:rFonts w:ascii="Cambria" w:eastAsia="Calibri" w:hAnsi="Cambria"/>
          <w:sz w:val="20"/>
          <w:szCs w:val="20"/>
          <w:bdr w:val="none" w:sz="0" w:space="0" w:color="auto"/>
          <w:lang w:val="es-CO"/>
        </w:rPr>
        <w:t>En tercer lugar, y e</w:t>
      </w:r>
      <w:r w:rsidR="003C3ADE" w:rsidRPr="003C3ADE">
        <w:rPr>
          <w:rFonts w:ascii="Cambria" w:eastAsia="Calibri" w:hAnsi="Cambria"/>
          <w:sz w:val="20"/>
          <w:szCs w:val="20"/>
          <w:bdr w:val="none" w:sz="0" w:space="0" w:color="auto"/>
          <w:lang w:val="es-CO"/>
        </w:rPr>
        <w:t xml:space="preserve">n relación con el plazo razonable, la Comisión observa que después de 9 años de los hechos las autoridades no han identificado a los responsables ni han presentado avances significativos en relación con la determinación de las circunstancias en que ocurrió el asesinato de Vicky Hernández. Considera que contrario a lo argumentado por el Estado, el presente </w:t>
      </w:r>
      <w:r w:rsidR="00726CCB">
        <w:rPr>
          <w:rFonts w:ascii="Cambria" w:eastAsia="Calibri" w:hAnsi="Cambria"/>
          <w:sz w:val="20"/>
          <w:szCs w:val="20"/>
          <w:bdr w:val="none" w:sz="0" w:space="0" w:color="auto"/>
          <w:lang w:val="es-CO"/>
        </w:rPr>
        <w:t xml:space="preserve">caso </w:t>
      </w:r>
      <w:r w:rsidR="003C3ADE" w:rsidRPr="003C3ADE">
        <w:rPr>
          <w:rFonts w:ascii="Cambria" w:eastAsia="Calibri" w:hAnsi="Cambria"/>
          <w:sz w:val="20"/>
          <w:szCs w:val="20"/>
          <w:bdr w:val="none" w:sz="0" w:space="0" w:color="auto"/>
          <w:lang w:val="es-CO"/>
        </w:rPr>
        <w:t xml:space="preserve">no puede caratularse como un caso complejo, puesto que se trata de una sola víctima y el </w:t>
      </w:r>
      <w:r w:rsidR="003C3ADE" w:rsidRPr="003C3ADE">
        <w:rPr>
          <w:rFonts w:ascii="Cambria" w:eastAsia="Calibri" w:hAnsi="Cambria"/>
          <w:sz w:val="20"/>
          <w:szCs w:val="20"/>
          <w:bdr w:val="none" w:sz="0" w:space="0" w:color="auto"/>
          <w:lang w:val="es-VE"/>
        </w:rPr>
        <w:t>expediente</w:t>
      </w:r>
      <w:r w:rsidR="003C3ADE" w:rsidRPr="003C3ADE">
        <w:rPr>
          <w:rFonts w:ascii="Cambria" w:eastAsia="Calibri" w:hAnsi="Cambria"/>
          <w:sz w:val="20"/>
          <w:szCs w:val="20"/>
          <w:bdr w:val="none" w:sz="0" w:space="0" w:color="auto"/>
          <w:lang w:val="es-CO"/>
        </w:rPr>
        <w:t xml:space="preserve"> confirma la existencia de testigos, la presencia de pruebas materiales y de un contexto conocido de toque de queda sumado al contexto de violencia contra las personas trans, como </w:t>
      </w:r>
      <w:r w:rsidR="00726CCB">
        <w:rPr>
          <w:rFonts w:ascii="Cambria" w:eastAsia="Calibri" w:hAnsi="Cambria"/>
          <w:sz w:val="20"/>
          <w:szCs w:val="20"/>
          <w:bdr w:val="none" w:sz="0" w:space="0" w:color="auto"/>
          <w:lang w:val="es-CO"/>
        </w:rPr>
        <w:t>indicadores que debieron activar líneas de investigación</w:t>
      </w:r>
      <w:r w:rsidR="003C3ADE" w:rsidRPr="003C3ADE">
        <w:rPr>
          <w:rFonts w:ascii="Cambria" w:eastAsia="Calibri" w:hAnsi="Cambria"/>
          <w:sz w:val="20"/>
          <w:szCs w:val="20"/>
          <w:bdr w:val="none" w:sz="0" w:space="0" w:color="auto"/>
          <w:lang w:val="es-CO"/>
        </w:rPr>
        <w:t>.</w:t>
      </w:r>
      <w:r w:rsidR="00726CCB">
        <w:rPr>
          <w:rFonts w:ascii="Cambria" w:eastAsia="Calibri" w:hAnsi="Cambria"/>
          <w:sz w:val="20"/>
          <w:szCs w:val="20"/>
          <w:bdr w:val="none" w:sz="0" w:space="0" w:color="auto"/>
          <w:lang w:val="es-CO"/>
        </w:rPr>
        <w:t xml:space="preserve"> En todo caso, el Estado no aportó argumentos concretos que permitan justificar la demora en general y los retrasos e inactividad particular en diversos momentos de la investigación, a la luz de la supuesta complejidad. Para la Comisión </w:t>
      </w:r>
      <w:r w:rsidR="003C3ADE" w:rsidRPr="003C3ADE">
        <w:rPr>
          <w:rFonts w:ascii="Cambria" w:eastAsia="Calibri" w:hAnsi="Cambria"/>
          <w:sz w:val="20"/>
          <w:szCs w:val="20"/>
          <w:bdr w:val="none" w:sz="0" w:space="0" w:color="auto"/>
          <w:lang w:val="es-CO"/>
        </w:rPr>
        <w:t xml:space="preserve">resulta más bien evidente que el retardo y ausencia de avances en la investigación se debe a la omisión del Estado de investigar con la debida diligencia </w:t>
      </w:r>
      <w:r w:rsidR="00726CCB">
        <w:rPr>
          <w:rFonts w:ascii="Cambria" w:eastAsia="Calibri" w:hAnsi="Cambria"/>
          <w:sz w:val="20"/>
          <w:szCs w:val="20"/>
          <w:bdr w:val="none" w:sz="0" w:space="0" w:color="auto"/>
          <w:lang w:val="es-CO"/>
        </w:rPr>
        <w:t xml:space="preserve">que le era exigible en el presente caso tanto por la existencia de indicios de violencia por prejuicio, de posible involucramiento estatal, y por el contexto en que se enmarcó. </w:t>
      </w:r>
    </w:p>
    <w:p w14:paraId="1E2D7229"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CO"/>
        </w:rPr>
      </w:pPr>
    </w:p>
    <w:p w14:paraId="50815075" w14:textId="20AE8B16" w:rsidR="003C3ADE" w:rsidRPr="00907ABA" w:rsidRDefault="003C3ADE" w:rsidP="002D4C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CO"/>
        </w:rPr>
      </w:pPr>
      <w:r w:rsidRPr="003C3ADE">
        <w:rPr>
          <w:rFonts w:ascii="Cambria" w:eastAsia="Calibri" w:hAnsi="Cambria"/>
          <w:sz w:val="20"/>
          <w:szCs w:val="20"/>
          <w:bdr w:val="none" w:sz="0" w:space="0" w:color="auto"/>
          <w:lang w:val="es-CO"/>
        </w:rPr>
        <w:t xml:space="preserve">A la luz de las anteriores consideraciones, la Comisión concluye que el Estado de Honduras es responsable por la violación de los derechos a las garantías judiciales, a la igualdad y no discriminación y a la protección judicial contemplados en los artículos 8.1, 24 y 25.1 de la Convención Americana en relación con las obligaciones establecidas en el artículo 1.1. del mismo instrumento, así como el artículo 7 de la Convención de Belém do Pará, en perjuicio de </w:t>
      </w:r>
      <w:r w:rsidR="0059098A">
        <w:rPr>
          <w:rFonts w:ascii="Cambria" w:eastAsia="Calibri" w:hAnsi="Cambria"/>
          <w:sz w:val="20"/>
          <w:szCs w:val="20"/>
          <w:bdr w:val="none" w:sz="0" w:space="0" w:color="auto"/>
          <w:lang w:val="es-CO"/>
        </w:rPr>
        <w:t xml:space="preserve">los familiares de </w:t>
      </w:r>
      <w:r w:rsidRPr="003C3ADE">
        <w:rPr>
          <w:rFonts w:ascii="Cambria" w:eastAsia="Calibri" w:hAnsi="Cambria"/>
          <w:sz w:val="20"/>
          <w:szCs w:val="20"/>
          <w:bdr w:val="none" w:sz="0" w:space="0" w:color="auto"/>
          <w:lang w:val="es-CO"/>
        </w:rPr>
        <w:t>Vicky Hernández</w:t>
      </w:r>
      <w:r w:rsidR="0059098A">
        <w:rPr>
          <w:rFonts w:ascii="Cambria" w:eastAsia="Calibri" w:hAnsi="Cambria"/>
          <w:sz w:val="20"/>
          <w:szCs w:val="20"/>
          <w:bdr w:val="none" w:sz="0" w:space="0" w:color="auto"/>
          <w:lang w:val="es-CO"/>
        </w:rPr>
        <w:t xml:space="preserve"> individualizados en el presente informe. </w:t>
      </w:r>
    </w:p>
    <w:p w14:paraId="031715B7" w14:textId="0BF56B4B" w:rsidR="003C3ADE" w:rsidRPr="00907ABA" w:rsidRDefault="003C3ADE" w:rsidP="00907ABA">
      <w:pPr>
        <w:pStyle w:val="Heading2"/>
        <w:numPr>
          <w:ilvl w:val="0"/>
          <w:numId w:val="63"/>
        </w:numPr>
        <w:ind w:hanging="90"/>
        <w:rPr>
          <w:rFonts w:ascii="Cambria" w:eastAsia="Calibri" w:hAnsi="Cambria"/>
          <w:i w:val="0"/>
          <w:sz w:val="20"/>
          <w:szCs w:val="20"/>
          <w:lang w:val="es-CO"/>
        </w:rPr>
      </w:pPr>
      <w:bookmarkStart w:id="21" w:name="_Toc536451326"/>
      <w:r w:rsidRPr="00907ABA">
        <w:rPr>
          <w:rFonts w:ascii="Cambria" w:eastAsia="Calibri" w:hAnsi="Cambria"/>
          <w:i w:val="0"/>
          <w:sz w:val="20"/>
          <w:szCs w:val="20"/>
          <w:lang w:val="es-CO"/>
        </w:rPr>
        <w:lastRenderedPageBreak/>
        <w:t>Derecho a la integridad personal respecto de los familiares (Artículo 5.1 de la Convención Americana)</w:t>
      </w:r>
      <w:bookmarkEnd w:id="21"/>
      <w:r w:rsidRPr="00907ABA">
        <w:rPr>
          <w:rFonts w:ascii="Cambria" w:eastAsia="Calibri" w:hAnsi="Cambria"/>
          <w:i w:val="0"/>
          <w:sz w:val="20"/>
          <w:szCs w:val="20"/>
          <w:lang w:val="es-CO"/>
        </w:rPr>
        <w:t xml:space="preserve"> </w:t>
      </w:r>
    </w:p>
    <w:p w14:paraId="54E88FE8"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b/>
          <w:sz w:val="20"/>
          <w:szCs w:val="20"/>
          <w:bdr w:val="none" w:sz="0" w:space="0" w:color="auto"/>
          <w:lang w:val="es-CO"/>
        </w:rPr>
      </w:pPr>
    </w:p>
    <w:p w14:paraId="122A0FB9" w14:textId="4BC7CF61" w:rsidR="003C3ADE"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3C3ADE">
        <w:rPr>
          <w:rFonts w:ascii="Cambria" w:eastAsia="Calibri" w:hAnsi="Cambria"/>
          <w:sz w:val="20"/>
          <w:szCs w:val="20"/>
          <w:bdr w:val="none" w:sz="0" w:space="0" w:color="auto"/>
          <w:lang w:val="es-ES"/>
        </w:rPr>
        <w:t>Con respecto a los familiares de víctimas de ciertas violaciones de derechos humanos, la Comisión y la Corte Interamericana han indicado que éstos pueden ser considerados, a su vez, como víctimas</w:t>
      </w:r>
      <w:r w:rsidRPr="003C3ADE">
        <w:rPr>
          <w:rFonts w:ascii="Cambria" w:eastAsia="Calibri" w:hAnsi="Cambria"/>
          <w:sz w:val="20"/>
          <w:szCs w:val="20"/>
          <w:bdr w:val="none" w:sz="0" w:space="0" w:color="auto"/>
          <w:vertAlign w:val="superscript"/>
          <w:lang w:val="es-ES"/>
        </w:rPr>
        <w:footnoteReference w:id="169"/>
      </w:r>
      <w:r w:rsidRPr="003C3ADE">
        <w:rPr>
          <w:rFonts w:ascii="Cambria" w:eastAsia="Calibri" w:hAnsi="Cambria"/>
          <w:sz w:val="20"/>
          <w:szCs w:val="20"/>
          <w:bdr w:val="none" w:sz="0" w:space="0" w:color="auto"/>
          <w:lang w:val="es-ES"/>
        </w:rPr>
        <w:t xml:space="preserve">. Al respecto, la Corte ha dispuesto que pueden verse afectados en su integridad psíquica y moral como consecuencia de las </w:t>
      </w:r>
      <w:r w:rsidRPr="003C3ADE">
        <w:rPr>
          <w:rFonts w:ascii="Cambria" w:eastAsia="Calibri" w:hAnsi="Cambria"/>
          <w:sz w:val="20"/>
          <w:szCs w:val="20"/>
          <w:bdr w:val="none" w:sz="0" w:space="0" w:color="auto"/>
          <w:lang w:val="es-VE"/>
        </w:rPr>
        <w:t>situaciones</w:t>
      </w:r>
      <w:r w:rsidRPr="003C3ADE">
        <w:rPr>
          <w:rFonts w:ascii="Cambria" w:eastAsia="Calibri" w:hAnsi="Cambria"/>
          <w:sz w:val="20"/>
          <w:szCs w:val="20"/>
          <w:bdr w:val="none" w:sz="0" w:space="0" w:color="auto"/>
          <w:lang w:val="es-ES"/>
        </w:rPr>
        <w:t xml:space="preserve"> particulares que padecieron las víctimas, así como de las posteriores actuaciones u omisiones de las autoridades internas frente a estos hechos</w:t>
      </w:r>
      <w:r w:rsidRPr="003C3ADE">
        <w:rPr>
          <w:rFonts w:ascii="Cambria" w:eastAsia="Calibri" w:hAnsi="Cambria"/>
          <w:sz w:val="20"/>
          <w:szCs w:val="20"/>
          <w:bdr w:val="none" w:sz="0" w:space="0" w:color="auto"/>
          <w:vertAlign w:val="superscript"/>
          <w:lang w:val="es-ES"/>
        </w:rPr>
        <w:footnoteReference w:id="170"/>
      </w:r>
      <w:r w:rsidRPr="003C3ADE">
        <w:rPr>
          <w:rFonts w:ascii="Cambria" w:eastAsia="Calibri" w:hAnsi="Cambria"/>
          <w:sz w:val="20"/>
          <w:szCs w:val="20"/>
          <w:bdr w:val="none" w:sz="0" w:space="0" w:color="auto"/>
          <w:lang w:val="es-ES"/>
        </w:rPr>
        <w:t>.</w:t>
      </w:r>
    </w:p>
    <w:p w14:paraId="78E5A593" w14:textId="77777777" w:rsidR="003C3ADE" w:rsidRPr="003C3ADE" w:rsidRDefault="003C3ADE" w:rsidP="002D4C9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lang w:val="es-ES"/>
        </w:rPr>
      </w:pPr>
    </w:p>
    <w:p w14:paraId="358FC45E" w14:textId="74F9CD5A" w:rsidR="003C3ADE" w:rsidRPr="00997A53" w:rsidRDefault="003C3ADE"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lang w:val="es-ES"/>
        </w:rPr>
      </w:pPr>
      <w:r w:rsidRPr="00997A53">
        <w:rPr>
          <w:rFonts w:ascii="Cambria" w:eastAsia="Calibri" w:hAnsi="Cambria"/>
          <w:sz w:val="20"/>
          <w:szCs w:val="22"/>
          <w:bdr w:val="none" w:sz="0" w:space="0" w:color="auto"/>
          <w:lang w:val="es-ES"/>
        </w:rPr>
        <w:t xml:space="preserve">En el presente caso </w:t>
      </w:r>
      <w:r w:rsidR="00997A53">
        <w:rPr>
          <w:rFonts w:ascii="Cambria" w:eastAsia="Calibri" w:hAnsi="Cambria"/>
          <w:sz w:val="20"/>
          <w:szCs w:val="20"/>
          <w:bdr w:val="none" w:sz="0" w:space="0" w:color="auto"/>
          <w:lang w:val="es-ES"/>
        </w:rPr>
        <w:t>l</w:t>
      </w:r>
      <w:r w:rsidRPr="00997A53">
        <w:rPr>
          <w:rFonts w:ascii="Cambria" w:eastAsia="Calibri" w:hAnsi="Cambria"/>
          <w:sz w:val="20"/>
          <w:szCs w:val="22"/>
          <w:bdr w:val="none" w:sz="0" w:space="0" w:color="auto"/>
          <w:lang w:val="es-ES"/>
        </w:rPr>
        <w:t xml:space="preserve">a Comisión considera razonable establecer que </w:t>
      </w:r>
      <w:r w:rsidR="00997A53">
        <w:rPr>
          <w:rFonts w:ascii="Cambria" w:eastAsia="Calibri" w:hAnsi="Cambria"/>
          <w:sz w:val="20"/>
          <w:szCs w:val="22"/>
          <w:bdr w:val="none" w:sz="0" w:space="0" w:color="auto"/>
          <w:lang w:val="es-ES"/>
        </w:rPr>
        <w:t xml:space="preserve">por la pérdida de su ser querido, </w:t>
      </w:r>
      <w:r w:rsidRPr="00997A53">
        <w:rPr>
          <w:rFonts w:ascii="Cambria" w:eastAsia="Calibri" w:hAnsi="Cambria"/>
          <w:sz w:val="20"/>
          <w:szCs w:val="22"/>
          <w:bdr w:val="none" w:sz="0" w:space="0" w:color="auto"/>
          <w:lang w:val="es-ES"/>
        </w:rPr>
        <w:t>la gravedad de los hechos ocurridos</w:t>
      </w:r>
      <w:r w:rsidR="00997A53">
        <w:rPr>
          <w:rFonts w:ascii="Cambria" w:eastAsia="Calibri" w:hAnsi="Cambria"/>
          <w:sz w:val="20"/>
          <w:szCs w:val="22"/>
          <w:bdr w:val="none" w:sz="0" w:space="0" w:color="auto"/>
          <w:lang w:val="es-ES"/>
        </w:rPr>
        <w:t xml:space="preserve"> a la luz de todo lo analizado en el presente informe</w:t>
      </w:r>
      <w:r w:rsidRPr="00997A53">
        <w:rPr>
          <w:rFonts w:ascii="Cambria" w:eastAsia="Calibri" w:hAnsi="Cambria"/>
          <w:sz w:val="20"/>
          <w:szCs w:val="22"/>
          <w:bdr w:val="none" w:sz="0" w:space="0" w:color="auto"/>
          <w:lang w:val="es-ES"/>
        </w:rPr>
        <w:t>, sumad</w:t>
      </w:r>
      <w:r w:rsidR="00997A53">
        <w:rPr>
          <w:rFonts w:ascii="Cambria" w:eastAsia="Calibri" w:hAnsi="Cambria"/>
          <w:sz w:val="20"/>
          <w:szCs w:val="22"/>
          <w:bdr w:val="none" w:sz="0" w:space="0" w:color="auto"/>
          <w:lang w:val="es-ES"/>
        </w:rPr>
        <w:t>o</w:t>
      </w:r>
      <w:r w:rsidRPr="00997A53">
        <w:rPr>
          <w:rFonts w:ascii="Cambria" w:eastAsia="Calibri" w:hAnsi="Cambria"/>
          <w:sz w:val="20"/>
          <w:szCs w:val="22"/>
          <w:bdr w:val="none" w:sz="0" w:space="0" w:color="auto"/>
          <w:lang w:val="es-ES"/>
        </w:rPr>
        <w:t xml:space="preserve"> a la ausencia de un</w:t>
      </w:r>
      <w:r w:rsidR="00997A53">
        <w:rPr>
          <w:rFonts w:ascii="Cambria" w:eastAsia="Calibri" w:hAnsi="Cambria"/>
          <w:sz w:val="20"/>
          <w:szCs w:val="22"/>
          <w:bdr w:val="none" w:sz="0" w:space="0" w:color="auto"/>
          <w:lang w:val="es-ES"/>
        </w:rPr>
        <w:t xml:space="preserve"> esclarecimiento y</w:t>
      </w:r>
      <w:r w:rsidRPr="00997A53">
        <w:rPr>
          <w:rFonts w:ascii="Cambria" w:eastAsia="Calibri" w:hAnsi="Cambria"/>
          <w:sz w:val="20"/>
          <w:szCs w:val="22"/>
          <w:bdr w:val="none" w:sz="0" w:space="0" w:color="auto"/>
          <w:lang w:val="es-ES"/>
        </w:rPr>
        <w:t xml:space="preserve"> respuesta judicial adecuada y oportuna, ha generado efectos que van más allá de la víctima directa</w:t>
      </w:r>
      <w:r w:rsidR="00997A53">
        <w:rPr>
          <w:rFonts w:ascii="Cambria" w:eastAsia="Calibri" w:hAnsi="Cambria"/>
          <w:sz w:val="20"/>
          <w:szCs w:val="22"/>
          <w:bdr w:val="none" w:sz="0" w:space="0" w:color="auto"/>
          <w:lang w:val="es-ES"/>
        </w:rPr>
        <w:t xml:space="preserve">, extendiéndose a sus familiares individualizados en el presente informe. En consecuencia, </w:t>
      </w:r>
      <w:r w:rsidRPr="00997A53">
        <w:rPr>
          <w:rFonts w:ascii="Cambria" w:eastAsia="Calibri" w:hAnsi="Cambria"/>
          <w:sz w:val="20"/>
          <w:szCs w:val="22"/>
          <w:bdr w:val="none" w:sz="0" w:space="0" w:color="auto"/>
          <w:lang w:val="es-ES"/>
        </w:rPr>
        <w:t>la Comisión considera que</w:t>
      </w:r>
      <w:r w:rsidR="00997A53">
        <w:rPr>
          <w:rFonts w:ascii="Cambria" w:eastAsia="Calibri" w:hAnsi="Cambria"/>
          <w:sz w:val="20"/>
          <w:szCs w:val="22"/>
          <w:bdr w:val="none" w:sz="0" w:space="0" w:color="auto"/>
          <w:lang w:val="es-ES"/>
        </w:rPr>
        <w:t xml:space="preserve"> el Estado también violó el derecho a la integridad psíquica y moral establecido en el </w:t>
      </w:r>
      <w:r w:rsidRPr="00997A53">
        <w:rPr>
          <w:rFonts w:ascii="Cambria" w:eastAsia="Calibri" w:hAnsi="Cambria"/>
          <w:sz w:val="20"/>
          <w:szCs w:val="22"/>
          <w:bdr w:val="none" w:sz="0" w:space="0" w:color="auto"/>
          <w:lang w:val="es-ES"/>
        </w:rPr>
        <w:t>artículo 5.1 de la Convención</w:t>
      </w:r>
      <w:r w:rsidR="00997A53">
        <w:rPr>
          <w:rFonts w:ascii="Cambria" w:eastAsia="Calibri" w:hAnsi="Cambria"/>
          <w:sz w:val="20"/>
          <w:szCs w:val="22"/>
          <w:bdr w:val="none" w:sz="0" w:space="0" w:color="auto"/>
          <w:lang w:val="es-ES"/>
        </w:rPr>
        <w:t xml:space="preserve">, en perjuicio de dichas personas, en relación con las obligaciones establecidas en el artículo 1.1 del mismo instrumento. </w:t>
      </w:r>
    </w:p>
    <w:p w14:paraId="47965AC3" w14:textId="77777777" w:rsidR="007C756A" w:rsidRDefault="007C756A" w:rsidP="002D4C97">
      <w:pPr>
        <w:suppressAutoHyphens/>
        <w:rPr>
          <w:rFonts w:asciiTheme="majorHAnsi" w:hAnsiTheme="majorHAnsi"/>
          <w:b/>
          <w:sz w:val="20"/>
          <w:szCs w:val="20"/>
          <w:lang w:val="es-ES_tradnl"/>
        </w:rPr>
      </w:pPr>
    </w:p>
    <w:p w14:paraId="461D11FA" w14:textId="77777777" w:rsidR="00D12193" w:rsidRPr="00907ABA" w:rsidRDefault="00D12193" w:rsidP="00907ABA">
      <w:pPr>
        <w:pStyle w:val="Heading1"/>
        <w:ind w:hanging="90"/>
        <w:rPr>
          <w:color w:val="auto"/>
          <w:sz w:val="20"/>
          <w:szCs w:val="20"/>
          <w:lang w:val="es-ES_tradnl"/>
        </w:rPr>
      </w:pPr>
      <w:bookmarkStart w:id="22" w:name="_Toc536451327"/>
      <w:r w:rsidRPr="00907ABA">
        <w:rPr>
          <w:color w:val="auto"/>
          <w:sz w:val="20"/>
          <w:szCs w:val="20"/>
          <w:lang w:val="es-ES_tradnl"/>
        </w:rPr>
        <w:t>CONCLUSIONES Y RECOMENDACIONES</w:t>
      </w:r>
      <w:bookmarkEnd w:id="22"/>
      <w:r w:rsidRPr="00907ABA">
        <w:rPr>
          <w:color w:val="auto"/>
          <w:sz w:val="20"/>
          <w:szCs w:val="20"/>
          <w:lang w:val="es-ES_tradnl"/>
        </w:rPr>
        <w:t xml:space="preserve"> </w:t>
      </w:r>
    </w:p>
    <w:p w14:paraId="644776EB" w14:textId="77777777" w:rsidR="00D12193" w:rsidRDefault="00D12193" w:rsidP="002D4C97">
      <w:pPr>
        <w:suppressAutoHyphens/>
        <w:rPr>
          <w:rFonts w:asciiTheme="majorHAnsi" w:hAnsiTheme="majorHAnsi"/>
          <w:b/>
          <w:sz w:val="20"/>
          <w:szCs w:val="20"/>
          <w:lang w:val="es-ES_tradnl"/>
        </w:rPr>
      </w:pPr>
    </w:p>
    <w:p w14:paraId="43D95BB6" w14:textId="39AB7E67" w:rsidR="00006896" w:rsidRPr="00671540" w:rsidRDefault="00132AFA" w:rsidP="00094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132AFA">
        <w:rPr>
          <w:rFonts w:ascii="Cambria" w:eastAsia="Calibri" w:hAnsi="Cambria"/>
          <w:sz w:val="20"/>
          <w:szCs w:val="22"/>
          <w:bdr w:val="none" w:sz="0" w:space="0" w:color="auto"/>
          <w:lang w:val="es-ES"/>
        </w:rPr>
        <w:t>Con</w:t>
      </w:r>
      <w:r w:rsidRPr="00917C42">
        <w:rPr>
          <w:rFonts w:ascii="Cambria" w:hAnsi="Cambria"/>
          <w:color w:val="000000" w:themeColor="text1"/>
          <w:sz w:val="20"/>
          <w:szCs w:val="20"/>
          <w:lang w:val="es-VE"/>
        </w:rPr>
        <w:t xml:space="preserve"> base en las determinaciones de hecho y de derecho, la Comisión Interamericana concluy</w:t>
      </w:r>
      <w:r w:rsidR="00FE7E01">
        <w:rPr>
          <w:rFonts w:ascii="Cambria" w:hAnsi="Cambria"/>
          <w:color w:val="000000" w:themeColor="text1"/>
          <w:sz w:val="20"/>
          <w:szCs w:val="20"/>
          <w:lang w:val="es-VE"/>
        </w:rPr>
        <w:t>e</w:t>
      </w:r>
      <w:r w:rsidRPr="00917C42">
        <w:rPr>
          <w:rFonts w:ascii="Cambria" w:hAnsi="Cambria"/>
          <w:color w:val="000000" w:themeColor="text1"/>
          <w:sz w:val="20"/>
          <w:szCs w:val="20"/>
          <w:lang w:val="es-VE"/>
        </w:rPr>
        <w:t xml:space="preserve"> que el Estado es responsable por la violación de los artículos 4.1, (derecho a la vida), 5.1 (derecho a la integridad personal), 8.1 (garantías judiciales)</w:t>
      </w:r>
      <w:r>
        <w:rPr>
          <w:rFonts w:ascii="Cambria" w:hAnsi="Cambria"/>
          <w:color w:val="000000" w:themeColor="text1"/>
          <w:sz w:val="20"/>
          <w:szCs w:val="20"/>
          <w:lang w:val="es-VE"/>
        </w:rPr>
        <w:t>,</w:t>
      </w:r>
      <w:r w:rsidRPr="00917C42">
        <w:rPr>
          <w:rFonts w:ascii="Cambria" w:hAnsi="Cambria"/>
          <w:color w:val="000000" w:themeColor="text1"/>
          <w:sz w:val="20"/>
          <w:szCs w:val="20"/>
          <w:lang w:val="es-VE"/>
        </w:rPr>
        <w:t xml:space="preserve"> 11 (derecho a la honra y dignidad), 13 (libertad de expresión), 24 (derecho a la igualdad y no </w:t>
      </w:r>
      <w:r w:rsidRPr="00917C42">
        <w:rPr>
          <w:rFonts w:ascii="Cambria" w:hAnsi="Cambria"/>
          <w:sz w:val="20"/>
          <w:szCs w:val="20"/>
          <w:lang w:val="es-VE"/>
        </w:rPr>
        <w:t xml:space="preserve">discriminación) y 25.1 (protección judicial) de la Convención Americana sobre Derechos Humanos, en relación con las obligaciones establecidas en el artículo 1.1 </w:t>
      </w:r>
      <w:r w:rsidRPr="00917C42">
        <w:rPr>
          <w:rFonts w:ascii="Cambria" w:hAnsi="Cambria"/>
          <w:color w:val="000000" w:themeColor="text1"/>
          <w:sz w:val="20"/>
          <w:szCs w:val="20"/>
          <w:lang w:val="es-VE"/>
        </w:rPr>
        <w:t>del mismo instrumento.</w:t>
      </w:r>
      <w:r>
        <w:rPr>
          <w:rFonts w:ascii="Cambria" w:hAnsi="Cambria"/>
          <w:color w:val="000000" w:themeColor="text1"/>
          <w:sz w:val="20"/>
          <w:szCs w:val="20"/>
          <w:lang w:val="es-VE"/>
        </w:rPr>
        <w:t xml:space="preserve"> Asimismo, la Comisión declaró la violación del artículo 7 de la Convención Interamericana para Prevenir, Sancionar y Erradicar la Violencia contra la Mujer. </w:t>
      </w:r>
    </w:p>
    <w:p w14:paraId="4A44EC3E" w14:textId="77777777" w:rsidR="008C6292" w:rsidRPr="00175716" w:rsidRDefault="008C6292" w:rsidP="002D4C97">
      <w:pPr>
        <w:suppressAutoHyphens/>
        <w:jc w:val="both"/>
        <w:rPr>
          <w:rFonts w:asciiTheme="majorHAnsi" w:hAnsiTheme="majorHAnsi"/>
          <w:sz w:val="20"/>
          <w:szCs w:val="20"/>
          <w:lang w:val="es-ES_tradnl"/>
        </w:rPr>
      </w:pPr>
    </w:p>
    <w:p w14:paraId="04A0272B" w14:textId="737D5D4B" w:rsidR="00006896" w:rsidRPr="00CB025A" w:rsidRDefault="00006896" w:rsidP="002D4C97">
      <w:pPr>
        <w:ind w:firstLine="720"/>
        <w:jc w:val="both"/>
        <w:rPr>
          <w:rFonts w:ascii="Cambria" w:hAnsi="Cambria"/>
          <w:b/>
          <w:sz w:val="20"/>
          <w:szCs w:val="20"/>
          <w:lang w:val="es-ES_tradnl"/>
        </w:rPr>
      </w:pPr>
      <w:r w:rsidRPr="00CB025A">
        <w:rPr>
          <w:rFonts w:ascii="Cambria" w:hAnsi="Cambria"/>
          <w:b/>
          <w:sz w:val="20"/>
          <w:szCs w:val="20"/>
          <w:lang w:val="es-ES_tradnl"/>
        </w:rPr>
        <w:tab/>
        <w:t xml:space="preserve">LA COMISIÓN INTERAMERICANA DE DERECHOS HUMANOS, RECOMIENDA AL ESTADO DE </w:t>
      </w:r>
      <w:r w:rsidR="00671540">
        <w:rPr>
          <w:rFonts w:ascii="Cambria" w:hAnsi="Cambria"/>
          <w:b/>
          <w:sz w:val="20"/>
          <w:szCs w:val="20"/>
          <w:lang w:val="es-ES_tradnl"/>
        </w:rPr>
        <w:t>HONDURAS</w:t>
      </w:r>
      <w:r w:rsidRPr="00CB025A">
        <w:rPr>
          <w:rFonts w:ascii="Cambria" w:hAnsi="Cambria"/>
          <w:b/>
          <w:sz w:val="20"/>
          <w:szCs w:val="20"/>
          <w:lang w:val="es-ES_tradnl"/>
        </w:rPr>
        <w:t>,</w:t>
      </w:r>
    </w:p>
    <w:p w14:paraId="0F0B4C21" w14:textId="77777777" w:rsidR="00006896" w:rsidRPr="00CB025A" w:rsidRDefault="00006896" w:rsidP="002D4C97">
      <w:pPr>
        <w:ind w:firstLine="720"/>
        <w:jc w:val="both"/>
        <w:rPr>
          <w:rFonts w:ascii="Cambria" w:hAnsi="Cambria"/>
          <w:b/>
          <w:sz w:val="20"/>
          <w:szCs w:val="20"/>
          <w:lang w:val="es-ES_tradnl"/>
        </w:rPr>
      </w:pPr>
    </w:p>
    <w:p w14:paraId="79C7B957" w14:textId="2B19D0C0" w:rsidR="005F309E" w:rsidRPr="00671540" w:rsidRDefault="00006896" w:rsidP="006715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lang w:val="es-US"/>
        </w:rPr>
      </w:pPr>
      <w:r w:rsidRPr="00CB025A">
        <w:rPr>
          <w:rFonts w:ascii="Helvetica" w:eastAsia="Times New Roman" w:hAnsi="Helvetica"/>
          <w:color w:val="666666"/>
          <w:sz w:val="15"/>
          <w:szCs w:val="15"/>
          <w:bdr w:val="none" w:sz="0" w:space="0" w:color="auto"/>
          <w:lang w:val="es-US"/>
        </w:rPr>
        <w:t> </w:t>
      </w:r>
    </w:p>
    <w:p w14:paraId="7E1E2B9F" w14:textId="77777777" w:rsidR="005F309E" w:rsidRDefault="005F309E" w:rsidP="00094AF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5F309E">
        <w:rPr>
          <w:rFonts w:eastAsia="Times New Roman" w:cs="Tahoma"/>
          <w:sz w:val="20"/>
          <w:szCs w:val="20"/>
          <w:bdr w:val="none" w:sz="0" w:space="0" w:color="auto"/>
          <w:lang w:val="es-ES"/>
        </w:rPr>
        <w:t>Reparar integralmente las violaciones de derechos humanos declaradas en el presente informe tanto e</w:t>
      </w:r>
      <w:r>
        <w:rPr>
          <w:rFonts w:eastAsia="Times New Roman" w:cs="Tahoma"/>
          <w:sz w:val="20"/>
          <w:szCs w:val="20"/>
          <w:bdr w:val="none" w:sz="0" w:space="0" w:color="auto"/>
          <w:lang w:val="es-ES"/>
        </w:rPr>
        <w:t>n el aspecto material como inmaterial</w:t>
      </w:r>
      <w:r w:rsidRPr="005F309E">
        <w:rPr>
          <w:rFonts w:eastAsia="Times New Roman" w:cs="Tahoma"/>
          <w:sz w:val="20"/>
          <w:szCs w:val="20"/>
          <w:bdr w:val="none" w:sz="0" w:space="0" w:color="auto"/>
          <w:lang w:val="es-ES"/>
        </w:rPr>
        <w:t xml:space="preserve">. El Estado deberá adoptar las medidas de compensación </w:t>
      </w:r>
      <w:r>
        <w:rPr>
          <w:rFonts w:eastAsia="Times New Roman" w:cs="Tahoma"/>
          <w:sz w:val="20"/>
          <w:szCs w:val="20"/>
          <w:bdr w:val="none" w:sz="0" w:space="0" w:color="auto"/>
          <w:lang w:val="es-ES"/>
        </w:rPr>
        <w:t>económica y satisfacción.</w:t>
      </w:r>
      <w:r w:rsidRPr="005F309E">
        <w:rPr>
          <w:rFonts w:eastAsia="Times New Roman" w:cs="Tahoma"/>
          <w:sz w:val="20"/>
          <w:szCs w:val="20"/>
          <w:bdr w:val="none" w:sz="0" w:space="0" w:color="auto"/>
          <w:lang w:val="es-ES"/>
        </w:rPr>
        <w:t xml:space="preserve"> </w:t>
      </w:r>
    </w:p>
    <w:p w14:paraId="667C7E0D" w14:textId="77777777" w:rsidR="005F309E" w:rsidRPr="005F309E" w:rsidRDefault="005F309E" w:rsidP="002D4C97">
      <w:pPr>
        <w:pStyle w:val="ListParagraph"/>
        <w:rPr>
          <w:rFonts w:eastAsia="Times New Roman" w:cs="Tahoma"/>
          <w:sz w:val="20"/>
          <w:szCs w:val="20"/>
          <w:bdr w:val="none" w:sz="0" w:space="0" w:color="auto"/>
          <w:lang w:val="es-ES"/>
        </w:rPr>
      </w:pPr>
    </w:p>
    <w:p w14:paraId="50FCAC56" w14:textId="521E7535" w:rsidR="0033028D" w:rsidRPr="0033028D" w:rsidRDefault="005F309E" w:rsidP="00094AF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sz w:val="20"/>
          <w:szCs w:val="20"/>
          <w:bdr w:val="none" w:sz="0" w:space="0" w:color="auto"/>
          <w:lang w:val="es-ES"/>
        </w:rPr>
        <w:t>Disponer las medidas de atención en salud física y mental necesarias para la rehabilitación</w:t>
      </w:r>
      <w:r w:rsidR="0033028D">
        <w:rPr>
          <w:rFonts w:eastAsia="Times New Roman" w:cs="Tahoma"/>
          <w:sz w:val="20"/>
          <w:szCs w:val="20"/>
          <w:bdr w:val="none" w:sz="0" w:space="0" w:color="auto"/>
          <w:lang w:val="es-ES"/>
        </w:rPr>
        <w:t xml:space="preserve"> de </w:t>
      </w:r>
      <w:r w:rsidR="00671540">
        <w:rPr>
          <w:rFonts w:eastAsia="Times New Roman" w:cs="Tahoma"/>
          <w:sz w:val="20"/>
          <w:szCs w:val="20"/>
          <w:bdr w:val="none" w:sz="0" w:space="0" w:color="auto"/>
          <w:lang w:val="es-ES"/>
        </w:rPr>
        <w:t xml:space="preserve">los familiares de Vicky Hernández, </w:t>
      </w:r>
      <w:r>
        <w:rPr>
          <w:rFonts w:eastAsia="Times New Roman" w:cs="Tahoma"/>
          <w:sz w:val="20"/>
          <w:szCs w:val="20"/>
          <w:bdr w:val="none" w:sz="0" w:space="0" w:color="auto"/>
          <w:lang w:val="es-ES"/>
        </w:rPr>
        <w:t>de ser su voluntad y de manera concertada.</w:t>
      </w:r>
    </w:p>
    <w:p w14:paraId="38D85E2A" w14:textId="77777777" w:rsidR="0033028D" w:rsidRPr="00F81477" w:rsidRDefault="0033028D" w:rsidP="00DB1811">
      <w:pPr>
        <w:rPr>
          <w:rFonts w:eastAsia="Times New Roman" w:cs="Tahoma"/>
          <w:sz w:val="20"/>
          <w:szCs w:val="20"/>
          <w:bdr w:val="none" w:sz="0" w:space="0" w:color="auto"/>
          <w:lang w:val="es-ES"/>
        </w:rPr>
      </w:pPr>
    </w:p>
    <w:p w14:paraId="5FA14D31" w14:textId="536A86B7" w:rsidR="0033028D" w:rsidRPr="0033028D" w:rsidRDefault="00006896" w:rsidP="00094AF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sidRPr="00F81477">
        <w:rPr>
          <w:rFonts w:eastAsia="Times New Roman" w:cs="Tahoma"/>
          <w:color w:val="auto"/>
          <w:sz w:val="20"/>
          <w:szCs w:val="20"/>
          <w:bdr w:val="none" w:sz="0" w:space="0" w:color="auto"/>
          <w:lang w:val="es-AR"/>
        </w:rPr>
        <w:t>Continuar</w:t>
      </w:r>
      <w:r w:rsidR="0033028D" w:rsidRPr="00F81477">
        <w:rPr>
          <w:rFonts w:eastAsia="Times New Roman" w:cs="Tahoma"/>
          <w:color w:val="auto"/>
          <w:sz w:val="20"/>
          <w:szCs w:val="20"/>
          <w:bdr w:val="none" w:sz="0" w:space="0" w:color="auto"/>
          <w:lang w:val="es-AR"/>
        </w:rPr>
        <w:t xml:space="preserve"> </w:t>
      </w:r>
      <w:r w:rsidRPr="00F81477">
        <w:rPr>
          <w:rFonts w:eastAsia="Times New Roman" w:cs="Tahoma"/>
          <w:color w:val="auto"/>
          <w:sz w:val="20"/>
          <w:szCs w:val="20"/>
          <w:bdr w:val="none" w:sz="0" w:space="0" w:color="auto"/>
          <w:lang w:val="es-AR"/>
        </w:rPr>
        <w:t xml:space="preserve">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w:t>
      </w:r>
      <w:r w:rsidRPr="0033028D">
        <w:rPr>
          <w:rFonts w:eastAsia="Times New Roman" w:cs="Tahoma"/>
          <w:sz w:val="20"/>
          <w:szCs w:val="20"/>
          <w:bdr w:val="none" w:sz="0" w:space="0" w:color="auto"/>
          <w:lang w:val="es-AR"/>
        </w:rPr>
        <w:t xml:space="preserve">en el presente informe. </w:t>
      </w:r>
      <w:r w:rsidR="00F81477">
        <w:rPr>
          <w:rFonts w:eastAsia="Times New Roman" w:cs="Tahoma"/>
          <w:sz w:val="20"/>
          <w:szCs w:val="20"/>
          <w:bdr w:val="none" w:sz="0" w:space="0" w:color="auto"/>
          <w:lang w:val="es-AR"/>
        </w:rPr>
        <w:t xml:space="preserve">En el cumplimiento de esta recomendación, el Estado deberá tomar en consideración las múltiples falencias establecidas en el presente informe, incluyendo el diseño de líneas lógicas de investigación referidas en el mismo. </w:t>
      </w:r>
    </w:p>
    <w:p w14:paraId="4A1B4C22" w14:textId="77777777" w:rsidR="0033028D" w:rsidRPr="0033028D" w:rsidRDefault="0033028D" w:rsidP="002D4C97">
      <w:pPr>
        <w:pStyle w:val="ListParagraph"/>
        <w:rPr>
          <w:rFonts w:eastAsia="Times New Roman" w:cs="Tahoma"/>
          <w:sz w:val="20"/>
          <w:szCs w:val="20"/>
          <w:bdr w:val="none" w:sz="0" w:space="0" w:color="auto"/>
          <w:lang w:val="es-US"/>
        </w:rPr>
      </w:pPr>
    </w:p>
    <w:p w14:paraId="7C34D57D" w14:textId="19CB9049" w:rsidR="00D03DDE" w:rsidRPr="00D03DDE" w:rsidRDefault="00006896" w:rsidP="00094AF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sidRPr="0033028D">
        <w:rPr>
          <w:rFonts w:eastAsia="Times New Roman" w:cs="Tahoma"/>
          <w:sz w:val="20"/>
          <w:szCs w:val="20"/>
          <w:bdr w:val="none" w:sz="0" w:space="0" w:color="auto"/>
          <w:lang w:val="es-US"/>
        </w:rPr>
        <w:t xml:space="preserve">Disponer mecanismos de no repetición que incluyan: </w:t>
      </w:r>
      <w:r w:rsidR="00D03DDE" w:rsidRPr="00D03DDE">
        <w:rPr>
          <w:rFonts w:eastAsia="Times New Roman"/>
          <w:sz w:val="20"/>
          <w:szCs w:val="20"/>
          <w:lang w:val="es-ES"/>
        </w:rPr>
        <w:t xml:space="preserve">i) </w:t>
      </w:r>
      <w:r w:rsidR="00AA13F6" w:rsidRPr="00D03DDE">
        <w:rPr>
          <w:rFonts w:eastAsia="Times New Roman"/>
          <w:sz w:val="20"/>
          <w:szCs w:val="20"/>
          <w:lang w:val="es-ES"/>
        </w:rPr>
        <w:t xml:space="preserve">adoptar medidas legislativas, administrativas o de otra índole para </w:t>
      </w:r>
      <w:r w:rsidR="00AA13F6">
        <w:rPr>
          <w:rFonts w:eastAsia="Times New Roman"/>
          <w:sz w:val="20"/>
          <w:szCs w:val="20"/>
          <w:lang w:val="es-ES"/>
        </w:rPr>
        <w:t xml:space="preserve">lograr el reconocimiento de la identidad de género </w:t>
      </w:r>
      <w:proofErr w:type="spellStart"/>
      <w:r w:rsidR="00AA13F6">
        <w:rPr>
          <w:rFonts w:eastAsia="Times New Roman"/>
          <w:sz w:val="20"/>
          <w:szCs w:val="20"/>
          <w:lang w:val="es-ES"/>
        </w:rPr>
        <w:t>autopercibida</w:t>
      </w:r>
      <w:proofErr w:type="spellEnd"/>
      <w:r w:rsidR="00AA13F6">
        <w:rPr>
          <w:rFonts w:eastAsia="Times New Roman"/>
          <w:sz w:val="20"/>
          <w:szCs w:val="20"/>
          <w:lang w:val="es-ES"/>
        </w:rPr>
        <w:t xml:space="preserve"> de las personas </w:t>
      </w:r>
      <w:proofErr w:type="spellStart"/>
      <w:r w:rsidR="00AA13F6">
        <w:rPr>
          <w:rFonts w:eastAsia="Times New Roman"/>
          <w:sz w:val="20"/>
          <w:szCs w:val="20"/>
          <w:lang w:val="es-ES"/>
        </w:rPr>
        <w:t>trans</w:t>
      </w:r>
      <w:proofErr w:type="spellEnd"/>
      <w:r w:rsidR="00AA13F6">
        <w:rPr>
          <w:rFonts w:eastAsia="Times New Roman"/>
          <w:sz w:val="20"/>
          <w:szCs w:val="20"/>
          <w:lang w:val="es-ES"/>
        </w:rPr>
        <w:t xml:space="preserve"> </w:t>
      </w:r>
      <w:r w:rsidR="00A779FF">
        <w:rPr>
          <w:rFonts w:eastAsia="Times New Roman"/>
          <w:sz w:val="20"/>
          <w:szCs w:val="20"/>
          <w:lang w:val="es-ES"/>
        </w:rPr>
        <w:t>tomando en cuenta los estándares interamericanos en la materia; ii)</w:t>
      </w:r>
      <w:r w:rsidR="00AA13F6">
        <w:rPr>
          <w:rFonts w:eastAsia="Times New Roman"/>
          <w:sz w:val="20"/>
          <w:szCs w:val="20"/>
          <w:lang w:val="es-ES"/>
        </w:rPr>
        <w:t xml:space="preserve"> </w:t>
      </w:r>
      <w:r w:rsidR="00D03DDE" w:rsidRPr="00D03DDE">
        <w:rPr>
          <w:rFonts w:eastAsia="Times New Roman"/>
          <w:sz w:val="20"/>
          <w:szCs w:val="20"/>
          <w:lang w:val="es-ES"/>
        </w:rPr>
        <w:t xml:space="preserve">adoptar medidas </w:t>
      </w:r>
      <w:r w:rsidR="00D03DDE" w:rsidRPr="00D03DDE">
        <w:rPr>
          <w:rFonts w:eastAsia="Times New Roman"/>
          <w:sz w:val="20"/>
          <w:szCs w:val="20"/>
          <w:lang w:val="es-ES"/>
        </w:rPr>
        <w:lastRenderedPageBreak/>
        <w:t xml:space="preserve">legislativas, administrativas o de otra índole para </w:t>
      </w:r>
      <w:r w:rsidR="00D03DDE">
        <w:rPr>
          <w:rFonts w:eastAsia="Times New Roman"/>
          <w:sz w:val="20"/>
          <w:szCs w:val="20"/>
          <w:lang w:val="es-ES"/>
        </w:rPr>
        <w:t>efectuar un diagnóstico adecuado sobre el contexto de violencia que enfrentan las personas LGBT en Honduras y disponer una política integral de prevención y erradicación efectiva del mismo, atendiendo a sus causas estructurales;</w:t>
      </w:r>
      <w:r w:rsidR="00ED3621">
        <w:rPr>
          <w:rFonts w:eastAsia="Times New Roman"/>
          <w:sz w:val="20"/>
          <w:szCs w:val="20"/>
          <w:lang w:val="es-ES"/>
        </w:rPr>
        <w:t xml:space="preserve"> ii) </w:t>
      </w:r>
      <w:r w:rsidR="00D03DDE" w:rsidRPr="00D03DDE">
        <w:rPr>
          <w:rFonts w:eastAsia="Times New Roman"/>
          <w:sz w:val="20"/>
          <w:szCs w:val="20"/>
          <w:lang w:val="es-ES"/>
        </w:rPr>
        <w:t xml:space="preserve"> ii) diseñar programas de formación</w:t>
      </w:r>
      <w:r w:rsidR="00D03DDE">
        <w:rPr>
          <w:rFonts w:eastAsia="Times New Roman"/>
          <w:sz w:val="20"/>
          <w:szCs w:val="20"/>
          <w:lang w:val="es-ES"/>
        </w:rPr>
        <w:t>, sensibilización</w:t>
      </w:r>
      <w:r w:rsidR="00D03DDE" w:rsidRPr="00D03DDE">
        <w:rPr>
          <w:rFonts w:eastAsia="Times New Roman"/>
          <w:sz w:val="20"/>
          <w:szCs w:val="20"/>
          <w:lang w:val="es-ES"/>
        </w:rPr>
        <w:t xml:space="preserve"> y capacitación para </w:t>
      </w:r>
      <w:r w:rsidR="00D03DDE">
        <w:rPr>
          <w:rFonts w:eastAsia="Times New Roman"/>
          <w:sz w:val="20"/>
          <w:szCs w:val="20"/>
          <w:lang w:val="es-ES"/>
        </w:rPr>
        <w:t>los cuerpos de seguridad del Estado en materia de violencia por prejuicio contra personas LGBT; i</w:t>
      </w:r>
      <w:r w:rsidR="000E648B">
        <w:rPr>
          <w:rFonts w:eastAsia="Times New Roman"/>
          <w:sz w:val="20"/>
          <w:szCs w:val="20"/>
          <w:lang w:val="es-ES"/>
        </w:rPr>
        <w:t>ii</w:t>
      </w:r>
      <w:r w:rsidR="00D03DDE">
        <w:rPr>
          <w:rFonts w:eastAsia="Times New Roman"/>
          <w:sz w:val="20"/>
          <w:szCs w:val="20"/>
          <w:lang w:val="es-ES"/>
        </w:rPr>
        <w:t xml:space="preserve">) establecer mecanismos adecuados de rendición de cuentas por parte de cuerpos de seguridad del Estado frente a supuestos de violencia por prejuicio contra personas </w:t>
      </w:r>
      <w:r w:rsidR="001678F8">
        <w:rPr>
          <w:rFonts w:eastAsia="Times New Roman"/>
          <w:sz w:val="20"/>
          <w:szCs w:val="20"/>
          <w:lang w:val="es-ES"/>
        </w:rPr>
        <w:t>LGBT</w:t>
      </w:r>
      <w:r w:rsidR="00D03DDE">
        <w:rPr>
          <w:rFonts w:eastAsia="Times New Roman"/>
          <w:sz w:val="20"/>
          <w:szCs w:val="20"/>
          <w:lang w:val="es-ES"/>
        </w:rPr>
        <w:t>;</w:t>
      </w:r>
      <w:r w:rsidR="000E648B">
        <w:rPr>
          <w:sz w:val="20"/>
          <w:lang w:val="es-CO"/>
        </w:rPr>
        <w:t xml:space="preserve"> y </w:t>
      </w:r>
      <w:r w:rsidR="000E648B">
        <w:rPr>
          <w:rFonts w:eastAsia="Times New Roman"/>
          <w:sz w:val="20"/>
          <w:szCs w:val="20"/>
          <w:lang w:val="es-ES"/>
        </w:rPr>
        <w:t>i</w:t>
      </w:r>
      <w:r w:rsidR="008D4F67">
        <w:rPr>
          <w:rFonts w:eastAsia="Times New Roman"/>
          <w:sz w:val="20"/>
          <w:szCs w:val="20"/>
          <w:lang w:val="es-ES"/>
        </w:rPr>
        <w:t>v</w:t>
      </w:r>
      <w:r w:rsidR="000E648B">
        <w:rPr>
          <w:rFonts w:eastAsia="Times New Roman"/>
          <w:sz w:val="20"/>
          <w:szCs w:val="20"/>
          <w:lang w:val="es-ES"/>
        </w:rPr>
        <w:t xml:space="preserve">) adoptar todas las medidas necesarias para </w:t>
      </w:r>
      <w:r w:rsidR="000E648B" w:rsidRPr="00D03DDE">
        <w:rPr>
          <w:rFonts w:eastAsia="Times New Roman"/>
          <w:sz w:val="20"/>
          <w:szCs w:val="20"/>
          <w:lang w:val="es-ES"/>
        </w:rPr>
        <w:t>garantizar el acceso a la justicia en casos de violencia contra personas LGBT</w:t>
      </w:r>
      <w:r w:rsidR="000E648B">
        <w:rPr>
          <w:rFonts w:eastAsia="Times New Roman"/>
          <w:sz w:val="20"/>
          <w:szCs w:val="20"/>
          <w:lang w:val="es-ES"/>
        </w:rPr>
        <w:t xml:space="preserve"> con base en los estándares descritos en el presente informe de fondo.</w:t>
      </w:r>
    </w:p>
    <w:p w14:paraId="13032F28" w14:textId="69D9C108" w:rsidR="00D03DDE" w:rsidRPr="00B37F55" w:rsidRDefault="00D03DDE" w:rsidP="002D4C97">
      <w:pPr>
        <w:ind w:firstLine="720"/>
        <w:jc w:val="both"/>
        <w:rPr>
          <w:rFonts w:asciiTheme="majorHAnsi" w:hAnsiTheme="majorHAnsi"/>
          <w:b/>
          <w:sz w:val="20"/>
          <w:szCs w:val="20"/>
          <w:lang w:val="es-ES"/>
        </w:rPr>
      </w:pPr>
    </w:p>
    <w:p w14:paraId="10BF262E" w14:textId="77777777" w:rsidR="00B37F55" w:rsidRPr="00B37F55" w:rsidRDefault="00B37F55" w:rsidP="00B37F55">
      <w:pPr>
        <w:ind w:firstLine="720"/>
        <w:jc w:val="both"/>
        <w:rPr>
          <w:rFonts w:asciiTheme="majorHAnsi" w:hAnsiTheme="majorHAnsi"/>
          <w:spacing w:val="-2"/>
          <w:sz w:val="20"/>
          <w:szCs w:val="20"/>
          <w:lang w:val="es-CL"/>
        </w:rPr>
      </w:pPr>
      <w:r w:rsidRPr="00B37F55">
        <w:rPr>
          <w:rFonts w:asciiTheme="majorHAnsi" w:hAnsiTheme="majorHAnsi"/>
          <w:spacing w:val="-2"/>
          <w:sz w:val="20"/>
          <w:szCs w:val="20"/>
          <w:lang w:val="es-CL"/>
        </w:rPr>
        <w:t xml:space="preserve">Aprobado por la Comisión Interamericana de Derechos Humanos en la ciudad de Washington, D.C. a los 7 días del mes de diciembre de 2018.  (Firmado): </w:t>
      </w:r>
      <w:proofErr w:type="spellStart"/>
      <w:r w:rsidRPr="00B37F55">
        <w:rPr>
          <w:rFonts w:asciiTheme="majorHAnsi" w:hAnsiTheme="majorHAnsi"/>
          <w:spacing w:val="-2"/>
          <w:sz w:val="20"/>
          <w:szCs w:val="20"/>
          <w:lang w:val="es-CL"/>
        </w:rPr>
        <w:t>Margarette</w:t>
      </w:r>
      <w:proofErr w:type="spellEnd"/>
      <w:r w:rsidRPr="00B37F55">
        <w:rPr>
          <w:rFonts w:asciiTheme="majorHAnsi" w:hAnsiTheme="majorHAnsi"/>
          <w:spacing w:val="-2"/>
          <w:sz w:val="20"/>
          <w:szCs w:val="20"/>
          <w:lang w:val="es-CL"/>
        </w:rPr>
        <w:t xml:space="preserve"> </w:t>
      </w:r>
      <w:proofErr w:type="spellStart"/>
      <w:r w:rsidRPr="00B37F55">
        <w:rPr>
          <w:rFonts w:asciiTheme="majorHAnsi" w:hAnsiTheme="majorHAnsi"/>
          <w:spacing w:val="-2"/>
          <w:sz w:val="20"/>
          <w:szCs w:val="20"/>
          <w:lang w:val="es-CL"/>
        </w:rPr>
        <w:t>May</w:t>
      </w:r>
      <w:proofErr w:type="spellEnd"/>
      <w:r w:rsidRPr="00B37F55">
        <w:rPr>
          <w:rFonts w:asciiTheme="majorHAnsi" w:hAnsiTheme="majorHAnsi"/>
          <w:spacing w:val="-2"/>
          <w:sz w:val="20"/>
          <w:szCs w:val="20"/>
          <w:lang w:val="es-CL"/>
        </w:rPr>
        <w:t xml:space="preserve"> </w:t>
      </w:r>
      <w:proofErr w:type="spellStart"/>
      <w:r w:rsidRPr="00B37F55">
        <w:rPr>
          <w:rFonts w:asciiTheme="majorHAnsi" w:hAnsiTheme="majorHAnsi"/>
          <w:spacing w:val="-2"/>
          <w:sz w:val="20"/>
          <w:szCs w:val="20"/>
          <w:lang w:val="es-CL"/>
        </w:rPr>
        <w:t>Macaulay</w:t>
      </w:r>
      <w:proofErr w:type="spellEnd"/>
      <w:r w:rsidRPr="00B37F55">
        <w:rPr>
          <w:rFonts w:asciiTheme="majorHAnsi" w:hAnsiTheme="majorHAnsi"/>
          <w:spacing w:val="-2"/>
          <w:sz w:val="20"/>
          <w:szCs w:val="20"/>
          <w:lang w:val="es-CL"/>
        </w:rPr>
        <w:t xml:space="preserve">, Presidenta; Esmeralda Arosemena de </w:t>
      </w:r>
      <w:proofErr w:type="spellStart"/>
      <w:r w:rsidRPr="00B37F55">
        <w:rPr>
          <w:rFonts w:asciiTheme="majorHAnsi" w:hAnsiTheme="majorHAnsi"/>
          <w:spacing w:val="-2"/>
          <w:sz w:val="20"/>
          <w:szCs w:val="20"/>
          <w:lang w:val="es-CL"/>
        </w:rPr>
        <w:t>Troitiño</w:t>
      </w:r>
      <w:proofErr w:type="spellEnd"/>
      <w:r w:rsidRPr="00B37F55">
        <w:rPr>
          <w:rFonts w:asciiTheme="majorHAnsi" w:hAnsiTheme="majorHAnsi"/>
          <w:spacing w:val="-2"/>
          <w:sz w:val="20"/>
          <w:szCs w:val="20"/>
          <w:lang w:val="es-CL"/>
        </w:rPr>
        <w:t xml:space="preserve">, Primera Vicepresidenta; Francisco José Eguiguren </w:t>
      </w:r>
      <w:proofErr w:type="spellStart"/>
      <w:r w:rsidRPr="00B37F55">
        <w:rPr>
          <w:rFonts w:asciiTheme="majorHAnsi" w:hAnsiTheme="majorHAnsi"/>
          <w:spacing w:val="-2"/>
          <w:sz w:val="20"/>
          <w:szCs w:val="20"/>
          <w:lang w:val="es-CL"/>
        </w:rPr>
        <w:t>Praeli</w:t>
      </w:r>
      <w:proofErr w:type="spellEnd"/>
      <w:r w:rsidRPr="00B37F55">
        <w:rPr>
          <w:rFonts w:asciiTheme="majorHAnsi" w:hAnsiTheme="majorHAnsi"/>
          <w:spacing w:val="-2"/>
          <w:sz w:val="20"/>
          <w:szCs w:val="20"/>
          <w:lang w:val="es-CL"/>
        </w:rPr>
        <w:t xml:space="preserve">, Joel Hernández García y Antonia </w:t>
      </w:r>
      <w:proofErr w:type="spellStart"/>
      <w:r w:rsidRPr="00B37F55">
        <w:rPr>
          <w:rFonts w:asciiTheme="majorHAnsi" w:hAnsiTheme="majorHAnsi"/>
          <w:spacing w:val="-2"/>
          <w:sz w:val="20"/>
          <w:szCs w:val="20"/>
          <w:lang w:val="es-CL"/>
        </w:rPr>
        <w:t>Urrejola</w:t>
      </w:r>
      <w:proofErr w:type="spellEnd"/>
      <w:r w:rsidRPr="00B37F55">
        <w:rPr>
          <w:rFonts w:asciiTheme="majorHAnsi" w:hAnsiTheme="majorHAnsi"/>
          <w:spacing w:val="-2"/>
          <w:sz w:val="20"/>
          <w:szCs w:val="20"/>
          <w:lang w:val="es-CL"/>
        </w:rPr>
        <w:t>, Miembros de la Comisión.</w:t>
      </w:r>
      <w:r w:rsidRPr="00B37F55">
        <w:rPr>
          <w:rFonts w:asciiTheme="majorHAnsi" w:hAnsiTheme="majorHAnsi"/>
          <w:sz w:val="20"/>
          <w:szCs w:val="20"/>
          <w:lang w:val="es-CL"/>
        </w:rPr>
        <w:t xml:space="preserve"> </w:t>
      </w:r>
    </w:p>
    <w:p w14:paraId="102874CD" w14:textId="77777777" w:rsidR="00B37F55" w:rsidRPr="00B37F55" w:rsidRDefault="00B37F55" w:rsidP="00B37F55">
      <w:pPr>
        <w:ind w:firstLine="720"/>
        <w:jc w:val="both"/>
        <w:rPr>
          <w:rFonts w:asciiTheme="majorHAnsi" w:hAnsiTheme="majorHAnsi"/>
          <w:spacing w:val="-2"/>
          <w:sz w:val="20"/>
          <w:szCs w:val="20"/>
          <w:lang w:val="es-CL"/>
        </w:rPr>
      </w:pPr>
    </w:p>
    <w:p w14:paraId="7B1597E3" w14:textId="77777777" w:rsidR="00B37F55" w:rsidRPr="00B37F55" w:rsidRDefault="00B37F55" w:rsidP="00B37F55">
      <w:pPr>
        <w:ind w:firstLine="720"/>
        <w:jc w:val="both"/>
        <w:rPr>
          <w:rFonts w:asciiTheme="majorHAnsi" w:hAnsiTheme="majorHAnsi"/>
          <w:sz w:val="20"/>
          <w:szCs w:val="20"/>
          <w:lang w:val="es-CL"/>
        </w:rPr>
      </w:pPr>
      <w:r w:rsidRPr="00B37F55">
        <w:rPr>
          <w:rFonts w:asciiTheme="majorHAnsi" w:hAnsiTheme="majorHAnsi"/>
          <w:sz w:val="20"/>
          <w:szCs w:val="20"/>
          <w:lang w:val="es-CL"/>
        </w:rPr>
        <w:t xml:space="preserve">El que suscribe, </w:t>
      </w:r>
      <w:r w:rsidRPr="00B37F55">
        <w:rPr>
          <w:rFonts w:asciiTheme="majorHAnsi" w:hAnsiTheme="majorHAnsi" w:cs="Arial"/>
          <w:sz w:val="20"/>
          <w:szCs w:val="20"/>
          <w:lang w:val="es-PE"/>
        </w:rPr>
        <w:t xml:space="preserve">Paulo </w:t>
      </w:r>
      <w:proofErr w:type="spellStart"/>
      <w:r w:rsidRPr="00B37F55">
        <w:rPr>
          <w:rFonts w:asciiTheme="majorHAnsi" w:hAnsiTheme="majorHAnsi" w:cs="Arial"/>
          <w:sz w:val="20"/>
          <w:szCs w:val="20"/>
          <w:lang w:val="es-PE"/>
        </w:rPr>
        <w:t>Abrão</w:t>
      </w:r>
      <w:proofErr w:type="spellEnd"/>
      <w:r w:rsidRPr="00B37F55">
        <w:rPr>
          <w:rFonts w:asciiTheme="majorHAnsi" w:hAnsiTheme="majorHAnsi"/>
          <w:sz w:val="20"/>
          <w:szCs w:val="20"/>
          <w:lang w:val="es-CL"/>
        </w:rPr>
        <w:t>, Secretario Ejecutivo, de conformidad con el artículo 49 del Reglamento de la Comisión, certifica que es copia fiel del original depositado en los archivos de la Secretaría de la CIDH.</w:t>
      </w:r>
    </w:p>
    <w:p w14:paraId="0670E13F" w14:textId="77777777" w:rsidR="00B37F55" w:rsidRPr="00B37F55" w:rsidRDefault="00B37F55" w:rsidP="00B37F55">
      <w:pPr>
        <w:rPr>
          <w:rFonts w:asciiTheme="majorHAnsi" w:hAnsiTheme="majorHAnsi"/>
          <w:sz w:val="20"/>
          <w:szCs w:val="20"/>
          <w:lang w:val="es-PE"/>
        </w:rPr>
      </w:pPr>
    </w:p>
    <w:p w14:paraId="337DD214" w14:textId="77777777" w:rsidR="00B37F55" w:rsidRPr="00B37F55" w:rsidRDefault="00B37F55" w:rsidP="00B37F55">
      <w:pPr>
        <w:rPr>
          <w:rFonts w:asciiTheme="majorHAnsi" w:hAnsiTheme="majorHAnsi"/>
          <w:sz w:val="20"/>
          <w:szCs w:val="20"/>
          <w:lang w:val="es-PE"/>
        </w:rPr>
      </w:pPr>
    </w:p>
    <w:p w14:paraId="7CF118D6" w14:textId="77777777" w:rsidR="00B37F55" w:rsidRPr="00B37F55" w:rsidRDefault="00B37F55" w:rsidP="00B37F55">
      <w:pPr>
        <w:rPr>
          <w:rFonts w:asciiTheme="majorHAnsi" w:hAnsiTheme="majorHAnsi"/>
          <w:sz w:val="20"/>
          <w:szCs w:val="20"/>
          <w:lang w:val="es-PE"/>
        </w:rPr>
      </w:pPr>
    </w:p>
    <w:p w14:paraId="4852C633" w14:textId="77777777" w:rsidR="00B37F55" w:rsidRPr="00B37F55" w:rsidRDefault="00B37F55" w:rsidP="00B37F55">
      <w:pPr>
        <w:rPr>
          <w:rFonts w:asciiTheme="majorHAnsi" w:hAnsiTheme="majorHAnsi"/>
          <w:sz w:val="20"/>
          <w:szCs w:val="20"/>
          <w:lang w:val="es-PE"/>
        </w:rPr>
      </w:pPr>
    </w:p>
    <w:p w14:paraId="2A8A6121" w14:textId="77777777" w:rsidR="00B37F55" w:rsidRPr="00B37F55" w:rsidRDefault="00B37F55" w:rsidP="00B37F55">
      <w:pPr>
        <w:rPr>
          <w:rFonts w:asciiTheme="majorHAnsi" w:hAnsiTheme="majorHAnsi"/>
          <w:sz w:val="20"/>
          <w:szCs w:val="20"/>
          <w:lang w:val="es-PE"/>
        </w:rPr>
      </w:pPr>
    </w:p>
    <w:p w14:paraId="19BCF739" w14:textId="77777777" w:rsidR="00B37F55" w:rsidRPr="00B37F55" w:rsidRDefault="00B37F55" w:rsidP="00B37F55">
      <w:pPr>
        <w:ind w:left="2160" w:firstLine="720"/>
        <w:jc w:val="center"/>
        <w:rPr>
          <w:rFonts w:asciiTheme="majorHAnsi" w:hAnsiTheme="majorHAnsi"/>
          <w:sz w:val="20"/>
          <w:szCs w:val="20"/>
        </w:rPr>
      </w:pPr>
      <w:r w:rsidRPr="00B37F55">
        <w:rPr>
          <w:rFonts w:asciiTheme="majorHAnsi" w:hAnsiTheme="majorHAnsi" w:cs="Arial"/>
          <w:sz w:val="20"/>
          <w:szCs w:val="20"/>
        </w:rPr>
        <w:t xml:space="preserve">Paulo </w:t>
      </w:r>
      <w:proofErr w:type="spellStart"/>
      <w:r w:rsidRPr="00B37F55">
        <w:rPr>
          <w:rFonts w:asciiTheme="majorHAnsi" w:hAnsiTheme="majorHAnsi" w:cs="Arial"/>
          <w:sz w:val="20"/>
          <w:szCs w:val="20"/>
        </w:rPr>
        <w:t>Abrão</w:t>
      </w:r>
      <w:proofErr w:type="spellEnd"/>
    </w:p>
    <w:p w14:paraId="0164FD15" w14:textId="77777777" w:rsidR="00B37F55" w:rsidRPr="00B37F55" w:rsidRDefault="00B37F55" w:rsidP="00B37F55">
      <w:pPr>
        <w:ind w:left="2160" w:firstLine="720"/>
        <w:jc w:val="center"/>
        <w:rPr>
          <w:rFonts w:asciiTheme="majorHAnsi" w:hAnsiTheme="majorHAnsi"/>
          <w:sz w:val="20"/>
          <w:szCs w:val="20"/>
        </w:rPr>
      </w:pPr>
      <w:proofErr w:type="spellStart"/>
      <w:r w:rsidRPr="00B37F55">
        <w:rPr>
          <w:rFonts w:asciiTheme="majorHAnsi" w:hAnsiTheme="majorHAnsi"/>
          <w:sz w:val="20"/>
          <w:szCs w:val="20"/>
        </w:rPr>
        <w:t>Secretario</w:t>
      </w:r>
      <w:proofErr w:type="spellEnd"/>
      <w:r w:rsidRPr="00B37F55">
        <w:rPr>
          <w:rFonts w:asciiTheme="majorHAnsi" w:hAnsiTheme="majorHAnsi"/>
          <w:sz w:val="20"/>
          <w:szCs w:val="20"/>
        </w:rPr>
        <w:t xml:space="preserve"> </w:t>
      </w:r>
      <w:proofErr w:type="spellStart"/>
      <w:r w:rsidRPr="00B37F55">
        <w:rPr>
          <w:rFonts w:asciiTheme="majorHAnsi" w:hAnsiTheme="majorHAnsi"/>
          <w:sz w:val="20"/>
          <w:szCs w:val="20"/>
        </w:rPr>
        <w:t>Ejecutivo</w:t>
      </w:r>
      <w:proofErr w:type="spellEnd"/>
    </w:p>
    <w:p w14:paraId="1A4DCB06" w14:textId="77777777" w:rsidR="00B37F55" w:rsidRPr="00B37F55" w:rsidRDefault="00B37F55" w:rsidP="00B37F55">
      <w:pPr>
        <w:ind w:firstLine="720"/>
        <w:jc w:val="both"/>
        <w:rPr>
          <w:rFonts w:asciiTheme="majorHAnsi" w:hAnsiTheme="majorHAnsi"/>
          <w:sz w:val="20"/>
          <w:szCs w:val="20"/>
          <w:lang w:val="es-ES"/>
        </w:rPr>
      </w:pPr>
    </w:p>
    <w:p w14:paraId="6907966E" w14:textId="77777777" w:rsidR="00B37F55" w:rsidRPr="00B37F55" w:rsidRDefault="00B37F55" w:rsidP="002D4C97">
      <w:pPr>
        <w:ind w:firstLine="720"/>
        <w:jc w:val="both"/>
        <w:rPr>
          <w:rFonts w:asciiTheme="majorHAnsi" w:hAnsiTheme="majorHAnsi"/>
          <w:b/>
          <w:sz w:val="20"/>
          <w:szCs w:val="20"/>
          <w:lang w:val="es-ES"/>
        </w:rPr>
      </w:pPr>
    </w:p>
    <w:sectPr w:rsidR="00B37F55" w:rsidRPr="00B37F55" w:rsidSect="00960219">
      <w:type w:val="oddPage"/>
      <w:pgSz w:w="12240" w:h="15840"/>
      <w:pgMar w:top="1440" w:right="990" w:bottom="1440" w:left="1080" w:header="720" w:footer="720"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440F5" w15:done="0"/>
  <w15:commentEx w15:paraId="7B29ED00" w15:paraIdParent="65444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440F5" w16cid:durableId="1F81BD20"/>
  <w16cid:commentId w16cid:paraId="7B29ED00" w16cid:durableId="1F81BD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7C975" w14:textId="77777777" w:rsidR="006C35D0" w:rsidRDefault="006C35D0">
      <w:r>
        <w:separator/>
      </w:r>
    </w:p>
  </w:endnote>
  <w:endnote w:type="continuationSeparator" w:id="0">
    <w:p w14:paraId="6E524EB1" w14:textId="77777777" w:rsidR="006C35D0" w:rsidRDefault="006C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21A8AC0" w14:textId="77777777" w:rsidR="006C35D0" w:rsidRPr="00934A2C" w:rsidRDefault="006C35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56E1">
          <w:rPr>
            <w:noProof/>
            <w:sz w:val="16"/>
            <w:szCs w:val="22"/>
          </w:rPr>
          <w:t>3</w:t>
        </w:r>
        <w:r w:rsidRPr="00934A2C">
          <w:rPr>
            <w:noProof/>
            <w:sz w:val="16"/>
            <w:szCs w:val="22"/>
          </w:rPr>
          <w:fldChar w:fldCharType="end"/>
        </w:r>
      </w:p>
    </w:sdtContent>
  </w:sdt>
  <w:p w14:paraId="4F49A50A" w14:textId="77777777" w:rsidR="006C35D0" w:rsidRDefault="006C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8618" w14:textId="77777777" w:rsidR="006C35D0" w:rsidRPr="00934A2C" w:rsidRDefault="006C35D0">
    <w:pPr>
      <w:pStyle w:val="Footer"/>
      <w:jc w:val="center"/>
      <w:rPr>
        <w:sz w:val="16"/>
        <w:szCs w:val="22"/>
      </w:rPr>
    </w:pPr>
  </w:p>
  <w:p w14:paraId="40301698" w14:textId="77777777" w:rsidR="006C35D0" w:rsidRDefault="006C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39E0F" w14:textId="77777777" w:rsidR="006C35D0" w:rsidRPr="000F35ED" w:rsidRDefault="006C35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C2F6F1" w14:textId="77777777" w:rsidR="006C35D0" w:rsidRPr="000F35ED" w:rsidRDefault="006C35D0" w:rsidP="000F35ED">
      <w:pPr>
        <w:rPr>
          <w:rFonts w:asciiTheme="majorHAnsi" w:hAnsiTheme="majorHAnsi"/>
          <w:sz w:val="16"/>
          <w:szCs w:val="16"/>
        </w:rPr>
      </w:pPr>
      <w:r w:rsidRPr="000F35ED">
        <w:rPr>
          <w:rFonts w:asciiTheme="majorHAnsi" w:hAnsiTheme="majorHAnsi"/>
          <w:sz w:val="16"/>
          <w:szCs w:val="16"/>
        </w:rPr>
        <w:separator/>
      </w:r>
    </w:p>
    <w:p w14:paraId="2D882E6E" w14:textId="77777777" w:rsidR="006C35D0" w:rsidRPr="000F35ED" w:rsidRDefault="006C35D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77F553E" w14:textId="77777777" w:rsidR="006C35D0" w:rsidRPr="000F35ED" w:rsidRDefault="006C35D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74A235E" w14:textId="31AEE1AE"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En escrito de 30 de marzo de 2015 el CDM renunció a la representación en el presente caso. </w:t>
      </w:r>
    </w:p>
  </w:footnote>
  <w:footnote w:id="3">
    <w:p w14:paraId="623B8352" w14:textId="7D39A3AE" w:rsidR="006C35D0" w:rsidRPr="006D4387" w:rsidRDefault="006C35D0" w:rsidP="009E1C43">
      <w:pPr>
        <w:pStyle w:val="FootnoteText"/>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Con posterioridad Robert F. Kennedy Human Rights se incorporó como </w:t>
      </w:r>
      <w:proofErr w:type="spellStart"/>
      <w:r w:rsidRPr="006D4387">
        <w:rPr>
          <w:rFonts w:asciiTheme="majorHAnsi" w:hAnsiTheme="majorHAnsi"/>
          <w:sz w:val="16"/>
          <w:szCs w:val="16"/>
          <w:lang w:val="es-US"/>
        </w:rPr>
        <w:t>co</w:t>
      </w:r>
      <w:proofErr w:type="spellEnd"/>
      <w:r w:rsidRPr="006D4387">
        <w:rPr>
          <w:rFonts w:asciiTheme="majorHAnsi" w:hAnsiTheme="majorHAnsi"/>
          <w:sz w:val="16"/>
          <w:szCs w:val="16"/>
          <w:lang w:val="es-US"/>
        </w:rPr>
        <w:t xml:space="preserve">-peticionaria. </w:t>
      </w:r>
    </w:p>
  </w:footnote>
  <w:footnote w:id="4">
    <w:p w14:paraId="2029C725" w14:textId="77777777" w:rsidR="006C35D0" w:rsidRPr="006D4387" w:rsidRDefault="006C35D0" w:rsidP="009E1C43">
      <w:pPr>
        <w:pStyle w:val="FootnoteText"/>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color w:val="auto"/>
          <w:sz w:val="16"/>
          <w:szCs w:val="16"/>
          <w:lang w:val="es-CO"/>
        </w:rPr>
        <w:t xml:space="preserve">CIDH. Informe No. 64/16. </w:t>
      </w:r>
      <w:r w:rsidRPr="006D4387">
        <w:rPr>
          <w:rFonts w:asciiTheme="majorHAnsi" w:hAnsiTheme="majorHAnsi"/>
          <w:color w:val="auto"/>
          <w:sz w:val="16"/>
          <w:szCs w:val="16"/>
          <w:lang w:val="es-US"/>
        </w:rPr>
        <w:t xml:space="preserve"> Petición 2332-12. Admisibilidad. Vicky Hernández y familia. Honduras. 6 de diciembre de 2016. Los artículos declarados admisibles fueron 4, 5, 8, 13, 24, 25 en concordancia con el artículo 1.1 de la Convención Americana, y el artículo 7 de la Convención de Belém do Pará. </w:t>
      </w:r>
    </w:p>
  </w:footnote>
  <w:footnote w:id="5">
    <w:p w14:paraId="7DC98E8F" w14:textId="54E7323A" w:rsidR="006C35D0" w:rsidRPr="006D4387" w:rsidRDefault="006C35D0" w:rsidP="009E1C43">
      <w:pPr>
        <w:pStyle w:val="FootnoteText"/>
        <w:jc w:val="both"/>
        <w:rPr>
          <w:rFonts w:asciiTheme="majorHAnsi" w:hAnsiTheme="majorHAnsi"/>
          <w:i/>
          <w:sz w:val="16"/>
          <w:szCs w:val="16"/>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CIDH. Situación de derechos humanos en Honduras.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 xml:space="preserve">/V/II. 31 de diciembre de 2015. </w:t>
      </w:r>
      <w:proofErr w:type="spellStart"/>
      <w:r w:rsidRPr="006D4387">
        <w:rPr>
          <w:rFonts w:asciiTheme="majorHAnsi" w:hAnsiTheme="majorHAnsi"/>
          <w:sz w:val="16"/>
          <w:szCs w:val="16"/>
          <w:lang w:val="es-CO"/>
        </w:rPr>
        <w:t>Párrs</w:t>
      </w:r>
      <w:proofErr w:type="spellEnd"/>
      <w:r w:rsidRPr="006D4387">
        <w:rPr>
          <w:rFonts w:asciiTheme="majorHAnsi" w:hAnsiTheme="majorHAnsi"/>
          <w:sz w:val="16"/>
          <w:szCs w:val="16"/>
          <w:lang w:val="es-CO"/>
        </w:rPr>
        <w:t xml:space="preserve">. 130; ONU. AG. </w:t>
      </w:r>
      <w:r w:rsidRPr="006D4387">
        <w:rPr>
          <w:rFonts w:asciiTheme="majorHAnsi" w:hAnsiTheme="majorHAnsi"/>
          <w:i/>
          <w:sz w:val="16"/>
          <w:szCs w:val="16"/>
          <w:lang w:val="es-CO"/>
        </w:rPr>
        <w:t>Ejecuciones extrajudiciales, sumarias o arbitrarias. Nota del Secretario General.</w:t>
      </w:r>
      <w:r w:rsidRPr="006D4387">
        <w:rPr>
          <w:rFonts w:asciiTheme="majorHAnsi" w:hAnsiTheme="majorHAnsi"/>
          <w:sz w:val="16"/>
          <w:szCs w:val="16"/>
          <w:lang w:val="es-CO"/>
        </w:rPr>
        <w:t xml:space="preserve"> Doc. A/57/138. 2 de julio de 2002; ONU. </w:t>
      </w:r>
      <w:r w:rsidRPr="006D4387">
        <w:rPr>
          <w:rFonts w:asciiTheme="majorHAnsi" w:hAnsiTheme="majorHAnsi"/>
          <w:i/>
          <w:sz w:val="16"/>
          <w:szCs w:val="16"/>
          <w:lang w:val="es-CO"/>
        </w:rPr>
        <w:t xml:space="preserve">Consejo Económico y Social. Informe Relatora Especial, </w:t>
      </w:r>
      <w:proofErr w:type="spellStart"/>
      <w:r w:rsidRPr="006D4387">
        <w:rPr>
          <w:rFonts w:asciiTheme="majorHAnsi" w:hAnsiTheme="majorHAnsi"/>
          <w:i/>
          <w:sz w:val="16"/>
          <w:szCs w:val="16"/>
          <w:lang w:val="es-CO"/>
        </w:rPr>
        <w:t>Yakin</w:t>
      </w:r>
      <w:proofErr w:type="spellEnd"/>
      <w:r w:rsidRPr="006D4387">
        <w:rPr>
          <w:rFonts w:asciiTheme="majorHAnsi" w:hAnsiTheme="majorHAnsi"/>
          <w:i/>
          <w:sz w:val="16"/>
          <w:szCs w:val="16"/>
          <w:lang w:val="es-CO"/>
        </w:rPr>
        <w:t xml:space="preserve"> </w:t>
      </w:r>
      <w:proofErr w:type="spellStart"/>
      <w:r w:rsidRPr="006D4387">
        <w:rPr>
          <w:rFonts w:asciiTheme="majorHAnsi" w:hAnsiTheme="majorHAnsi"/>
          <w:i/>
          <w:sz w:val="16"/>
          <w:szCs w:val="16"/>
          <w:lang w:val="es-CO"/>
        </w:rPr>
        <w:t>Ertürk</w:t>
      </w:r>
      <w:proofErr w:type="spellEnd"/>
      <w:r w:rsidRPr="006D4387">
        <w:rPr>
          <w:rFonts w:asciiTheme="majorHAnsi" w:hAnsiTheme="majorHAnsi"/>
          <w:i/>
          <w:sz w:val="16"/>
          <w:szCs w:val="16"/>
          <w:lang w:val="es-CO"/>
        </w:rPr>
        <w:t>, sobre violencia contra la mujer, sus causas y consecuencia</w:t>
      </w:r>
      <w:r w:rsidRPr="006D4387">
        <w:rPr>
          <w:rFonts w:asciiTheme="majorHAnsi" w:hAnsiTheme="majorHAnsi"/>
          <w:sz w:val="16"/>
          <w:szCs w:val="16"/>
          <w:lang w:val="es-CO"/>
        </w:rPr>
        <w:t xml:space="preserve">. </w:t>
      </w:r>
      <w:proofErr w:type="gramStart"/>
      <w:r w:rsidRPr="006D4387">
        <w:rPr>
          <w:rFonts w:asciiTheme="majorHAnsi" w:hAnsiTheme="majorHAnsi"/>
          <w:sz w:val="16"/>
          <w:szCs w:val="16"/>
        </w:rPr>
        <w:t>Doc. E/CN.4/2005/72/Add.1.</w:t>
      </w:r>
      <w:proofErr w:type="gramEnd"/>
      <w:r w:rsidRPr="006D4387">
        <w:rPr>
          <w:rFonts w:asciiTheme="majorHAnsi" w:hAnsiTheme="majorHAnsi"/>
          <w:sz w:val="16"/>
          <w:szCs w:val="16"/>
        </w:rPr>
        <w:t xml:space="preserve"> 18 de </w:t>
      </w:r>
      <w:proofErr w:type="spellStart"/>
      <w:r w:rsidRPr="006D4387">
        <w:rPr>
          <w:rFonts w:asciiTheme="majorHAnsi" w:hAnsiTheme="majorHAnsi"/>
          <w:sz w:val="16"/>
          <w:szCs w:val="16"/>
        </w:rPr>
        <w:t>marzo</w:t>
      </w:r>
      <w:proofErr w:type="spellEnd"/>
      <w:r w:rsidRPr="006D4387">
        <w:rPr>
          <w:rFonts w:asciiTheme="majorHAnsi" w:hAnsiTheme="majorHAnsi"/>
          <w:sz w:val="16"/>
          <w:szCs w:val="16"/>
        </w:rPr>
        <w:t xml:space="preserve"> de 2005; A/HRC/37/3/Add.2: Annual report of the United Nations High Commissioner for Human Rights on the situatio</w:t>
      </w:r>
      <w:r w:rsidR="00BE2ED7">
        <w:rPr>
          <w:rFonts w:asciiTheme="majorHAnsi" w:hAnsiTheme="majorHAnsi"/>
          <w:sz w:val="16"/>
          <w:szCs w:val="16"/>
        </w:rPr>
        <w:t xml:space="preserve">n of human rights in Honduras, </w:t>
      </w:r>
      <w:proofErr w:type="spellStart"/>
      <w:r w:rsidR="00BE2ED7">
        <w:rPr>
          <w:rFonts w:asciiTheme="majorHAnsi" w:hAnsiTheme="majorHAnsi"/>
          <w:sz w:val="16"/>
          <w:szCs w:val="16"/>
        </w:rPr>
        <w:t>m</w:t>
      </w:r>
      <w:r w:rsidRPr="006D4387">
        <w:rPr>
          <w:rFonts w:asciiTheme="majorHAnsi" w:hAnsiTheme="majorHAnsi"/>
          <w:sz w:val="16"/>
          <w:szCs w:val="16"/>
        </w:rPr>
        <w:t>arzo</w:t>
      </w:r>
      <w:proofErr w:type="spellEnd"/>
      <w:r w:rsidRPr="006D4387">
        <w:rPr>
          <w:rFonts w:asciiTheme="majorHAnsi" w:hAnsiTheme="majorHAnsi"/>
          <w:sz w:val="16"/>
          <w:szCs w:val="16"/>
        </w:rPr>
        <w:t xml:space="preserve"> 2018.</w:t>
      </w:r>
    </w:p>
  </w:footnote>
  <w:footnote w:id="6">
    <w:p w14:paraId="386F0607" w14:textId="53CB295E"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Situación de derechos humanos en Honduras.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 xml:space="preserve">/V/II. 31 de diciembre de 2015. </w:t>
      </w:r>
      <w:proofErr w:type="spellStart"/>
      <w:r w:rsidRPr="006D4387">
        <w:rPr>
          <w:rFonts w:asciiTheme="majorHAnsi" w:hAnsiTheme="majorHAnsi"/>
          <w:sz w:val="16"/>
          <w:szCs w:val="16"/>
          <w:lang w:val="es-CO"/>
        </w:rPr>
        <w:t>Párrs</w:t>
      </w:r>
      <w:proofErr w:type="spellEnd"/>
      <w:r w:rsidRPr="006D4387">
        <w:rPr>
          <w:rFonts w:asciiTheme="majorHAnsi" w:hAnsiTheme="majorHAnsi"/>
          <w:sz w:val="16"/>
          <w:szCs w:val="16"/>
          <w:lang w:val="es-CO"/>
        </w:rPr>
        <w:t xml:space="preserve">. 130 y 132; CIDH. </w:t>
      </w:r>
      <w:r w:rsidRPr="006D4387">
        <w:rPr>
          <w:rFonts w:asciiTheme="majorHAnsi" w:hAnsiTheme="majorHAnsi"/>
          <w:i/>
          <w:sz w:val="16"/>
          <w:szCs w:val="16"/>
          <w:lang w:val="es-CO"/>
        </w:rPr>
        <w:t>Comunica</w:t>
      </w:r>
      <w:r w:rsidR="00BE2ED7">
        <w:rPr>
          <w:rFonts w:asciiTheme="majorHAnsi" w:hAnsiTheme="majorHAnsi"/>
          <w:i/>
          <w:sz w:val="16"/>
          <w:szCs w:val="16"/>
          <w:lang w:val="es-CO"/>
        </w:rPr>
        <w:t>do de prensa: Observaciones pre</w:t>
      </w:r>
      <w:r w:rsidRPr="006D4387">
        <w:rPr>
          <w:rFonts w:asciiTheme="majorHAnsi" w:hAnsiTheme="majorHAnsi"/>
          <w:i/>
          <w:sz w:val="16"/>
          <w:szCs w:val="16"/>
          <w:lang w:val="es-CO"/>
        </w:rPr>
        <w:t>liminares sobre la situación de los derechos humanos en Honduras.</w:t>
      </w:r>
      <w:r w:rsidRPr="006D4387">
        <w:rPr>
          <w:rFonts w:asciiTheme="majorHAnsi" w:hAnsiTheme="majorHAnsi"/>
          <w:sz w:val="16"/>
          <w:szCs w:val="16"/>
          <w:lang w:val="es-CO"/>
        </w:rPr>
        <w:t>5 de diciembre de 2004.</w:t>
      </w:r>
    </w:p>
  </w:footnote>
  <w:footnote w:id="7">
    <w:p w14:paraId="1646FA9C" w14:textId="77777777" w:rsidR="006C35D0" w:rsidRPr="006D4387" w:rsidRDefault="006C35D0" w:rsidP="009E1C43">
      <w:pPr>
        <w:pStyle w:val="FootnoteText"/>
        <w:jc w:val="both"/>
        <w:rPr>
          <w:rFonts w:asciiTheme="majorHAnsi" w:hAnsiTheme="majorHAnsi"/>
          <w:i/>
          <w:sz w:val="16"/>
          <w:szCs w:val="16"/>
          <w:highlight w:val="yellow"/>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ONU. AG</w:t>
      </w:r>
      <w:r w:rsidRPr="006D4387">
        <w:rPr>
          <w:rFonts w:asciiTheme="majorHAnsi" w:hAnsiTheme="majorHAnsi"/>
          <w:i/>
          <w:sz w:val="16"/>
          <w:szCs w:val="16"/>
          <w:lang w:val="es-CO"/>
        </w:rPr>
        <w:t>. Informe del Grupo de Trabajo sobre el Examen Periódico Universal Honduras</w:t>
      </w:r>
      <w:r w:rsidRPr="006D4387">
        <w:rPr>
          <w:rFonts w:asciiTheme="majorHAnsi" w:hAnsiTheme="majorHAnsi"/>
          <w:sz w:val="16"/>
          <w:szCs w:val="16"/>
          <w:lang w:val="es-CO"/>
        </w:rPr>
        <w:t>. Doc. A/HRC/16/10. 4 de enero de 2011.</w:t>
      </w:r>
    </w:p>
  </w:footnote>
  <w:footnote w:id="8">
    <w:p w14:paraId="3C08F1C3" w14:textId="77777777" w:rsidR="006C35D0" w:rsidRPr="006D4387" w:rsidRDefault="006C35D0" w:rsidP="009E1C43">
      <w:pPr>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 xml:space="preserve">Situación de derechos humanos en Honduras. </w:t>
      </w:r>
      <w:r w:rsidRPr="006D4387">
        <w:rPr>
          <w:rFonts w:asciiTheme="majorHAnsi" w:hAnsiTheme="majorHAnsi"/>
          <w:sz w:val="16"/>
          <w:szCs w:val="16"/>
          <w:lang w:val="es-CO"/>
        </w:rPr>
        <w:t>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31 de diciembre de 2015. Párr. 130.</w:t>
      </w:r>
    </w:p>
  </w:footnote>
  <w:footnote w:id="9">
    <w:p w14:paraId="3E2F9D6E" w14:textId="77777777" w:rsidR="006C35D0" w:rsidRPr="006D4387" w:rsidRDefault="006C35D0" w:rsidP="009E1C43">
      <w:pPr>
        <w:jc w:val="both"/>
        <w:rPr>
          <w:rFonts w:asciiTheme="majorHAnsi" w:hAnsiTheme="majorHAnsi"/>
          <w:sz w:val="16"/>
          <w:szCs w:val="16"/>
          <w:lang w:val="uz-Cyrl-UZ"/>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ES"/>
        </w:rPr>
        <w:t xml:space="preserve"> CEJIL</w:t>
      </w:r>
      <w:r w:rsidRPr="006D4387">
        <w:rPr>
          <w:rFonts w:asciiTheme="majorHAnsi" w:hAnsiTheme="majorHAnsi"/>
          <w:sz w:val="16"/>
          <w:szCs w:val="16"/>
          <w:lang w:val="uz-Cyrl-UZ"/>
        </w:rPr>
        <w:t xml:space="preserve">, </w:t>
      </w:r>
      <w:hyperlink r:id="rId1" w:history="1">
        <w:r w:rsidRPr="006D4387">
          <w:rPr>
            <w:rStyle w:val="Hyperlink"/>
            <w:rFonts w:asciiTheme="majorHAnsi" w:hAnsiTheme="majorHAnsi"/>
            <w:i/>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ES"/>
        </w:rPr>
        <w:t>P</w:t>
      </w:r>
      <w:proofErr w:type="spellStart"/>
      <w:r w:rsidRPr="006D4387">
        <w:rPr>
          <w:rFonts w:asciiTheme="majorHAnsi" w:hAnsiTheme="majorHAnsi"/>
          <w:sz w:val="16"/>
          <w:szCs w:val="16"/>
          <w:lang w:val="es-CO"/>
        </w:rPr>
        <w:t>ág</w:t>
      </w:r>
      <w:proofErr w:type="spellEnd"/>
      <w:r w:rsidRPr="006D4387">
        <w:rPr>
          <w:rFonts w:asciiTheme="majorHAnsi" w:hAnsiTheme="majorHAnsi"/>
          <w:sz w:val="16"/>
          <w:szCs w:val="16"/>
          <w:lang w:val="es-CO"/>
        </w:rPr>
        <w:t>. 128.</w:t>
      </w:r>
    </w:p>
  </w:footnote>
  <w:footnote w:id="10">
    <w:p w14:paraId="43B76BC3"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2" w:history="1">
        <w:r w:rsidRPr="006D4387">
          <w:rPr>
            <w:rStyle w:val="Hyperlink"/>
            <w:rFonts w:asciiTheme="majorHAnsi" w:hAnsiTheme="majorHAnsi"/>
            <w:i/>
            <w:color w:val="auto"/>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proofErr w:type="spellStart"/>
      <w:r w:rsidRPr="006D4387">
        <w:rPr>
          <w:rFonts w:asciiTheme="majorHAnsi" w:hAnsiTheme="majorHAnsi"/>
          <w:sz w:val="16"/>
          <w:szCs w:val="16"/>
          <w:lang w:val="es-ES"/>
        </w:rPr>
        <w:t>Pág</w:t>
      </w:r>
      <w:proofErr w:type="spellEnd"/>
      <w:r w:rsidRPr="006D4387">
        <w:rPr>
          <w:rFonts w:asciiTheme="majorHAnsi" w:hAnsiTheme="majorHAnsi"/>
          <w:sz w:val="16"/>
          <w:szCs w:val="16"/>
          <w:lang w:val="es-CO"/>
        </w:rPr>
        <w:t>. 120.</w:t>
      </w:r>
    </w:p>
  </w:footnote>
  <w:footnote w:id="11">
    <w:p w14:paraId="48ED5752" w14:textId="542EC125"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Ver. </w:t>
      </w:r>
      <w:hyperlink r:id="rId3" w:history="1">
        <w:r w:rsidRPr="006D4387">
          <w:rPr>
            <w:rStyle w:val="Hyperlink"/>
            <w:rFonts w:asciiTheme="majorHAnsi" w:hAnsiTheme="majorHAnsi"/>
            <w:sz w:val="16"/>
            <w:szCs w:val="16"/>
            <w:lang w:val="es-ES"/>
          </w:rPr>
          <w:t>https://transrespect.org/wp-content/uploads/2017/03/TvT_TMM_TDoV2017_PR_EN.pdf</w:t>
        </w:r>
      </w:hyperlink>
      <w:r w:rsidRPr="006D4387">
        <w:rPr>
          <w:rFonts w:asciiTheme="majorHAnsi" w:hAnsiTheme="majorHAnsi"/>
          <w:sz w:val="16"/>
          <w:szCs w:val="16"/>
          <w:lang w:val="es-ES"/>
        </w:rPr>
        <w:t xml:space="preserve">. </w:t>
      </w:r>
    </w:p>
  </w:footnote>
  <w:footnote w:id="12">
    <w:p w14:paraId="2353E3EB" w14:textId="77777777" w:rsidR="006C35D0" w:rsidRPr="006D4387" w:rsidRDefault="006C35D0" w:rsidP="009E1C43">
      <w:pPr>
        <w:jc w:val="both"/>
        <w:rPr>
          <w:rFonts w:asciiTheme="majorHAnsi" w:hAnsiTheme="majorHAnsi"/>
          <w: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4" w:history="1">
        <w:r w:rsidRPr="006D4387">
          <w:rPr>
            <w:rStyle w:val="Hyperlink"/>
            <w:rFonts w:asciiTheme="majorHAnsi" w:hAnsiTheme="majorHAnsi"/>
            <w:i/>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ES"/>
        </w:rPr>
        <w:t>P</w:t>
      </w:r>
      <w:proofErr w:type="spellStart"/>
      <w:r w:rsidRPr="006D4387">
        <w:rPr>
          <w:rFonts w:asciiTheme="majorHAnsi" w:hAnsiTheme="majorHAnsi"/>
          <w:sz w:val="16"/>
          <w:szCs w:val="16"/>
          <w:lang w:val="es-CO"/>
        </w:rPr>
        <w:t>ág</w:t>
      </w:r>
      <w:proofErr w:type="spellEnd"/>
      <w:r w:rsidRPr="006D4387">
        <w:rPr>
          <w:rFonts w:asciiTheme="majorHAnsi" w:hAnsiTheme="majorHAnsi"/>
          <w:sz w:val="16"/>
          <w:szCs w:val="16"/>
          <w:lang w:val="es-CO"/>
        </w:rPr>
        <w:t>. 126</w:t>
      </w:r>
      <w:r w:rsidRPr="006D4387">
        <w:rPr>
          <w:rFonts w:asciiTheme="majorHAnsi" w:hAnsiTheme="majorHAnsi"/>
          <w:sz w:val="16"/>
          <w:szCs w:val="16"/>
          <w:lang w:val="es-ES"/>
        </w:rPr>
        <w:t>.</w:t>
      </w:r>
      <w:r w:rsidRPr="006D4387">
        <w:rPr>
          <w:rFonts w:asciiTheme="majorHAnsi" w:hAnsiTheme="majorHAnsi"/>
          <w:sz w:val="16"/>
          <w:szCs w:val="16"/>
          <w:lang w:val="es-CO"/>
        </w:rPr>
        <w:t xml:space="preserve"> </w:t>
      </w:r>
    </w:p>
  </w:footnote>
  <w:footnote w:id="13">
    <w:p w14:paraId="645B70D5"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5" w:history="1">
        <w:r w:rsidRPr="006D4387">
          <w:rPr>
            <w:rStyle w:val="Hyperlink"/>
            <w:rFonts w:asciiTheme="majorHAnsi" w:hAnsiTheme="majorHAnsi"/>
            <w:i/>
            <w:color w:val="auto"/>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CO"/>
        </w:rPr>
        <w:t xml:space="preserve">Pág. 119. Véase también: Anexo XX. Red Lésbica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xml:space="preserve">. </w:t>
      </w:r>
      <w:r w:rsidRPr="006D4387">
        <w:rPr>
          <w:rFonts w:asciiTheme="majorHAnsi" w:hAnsiTheme="majorHAnsi"/>
          <w:i/>
          <w:sz w:val="16"/>
          <w:szCs w:val="16"/>
          <w:lang w:val="es-CO"/>
        </w:rPr>
        <w:t>Informe sobre muertes violentas de la comunidad LGTTBI</w:t>
      </w:r>
      <w:r w:rsidRPr="006D4387">
        <w:rPr>
          <w:rFonts w:asciiTheme="majorHAnsi" w:hAnsiTheme="majorHAnsi"/>
          <w:sz w:val="16"/>
          <w:szCs w:val="16"/>
          <w:lang w:val="es-CO"/>
        </w:rPr>
        <w:t>. Octubre de 2016. Anexo al escrito de la parte peticionaria de 21 de abril de 2017.</w:t>
      </w:r>
    </w:p>
  </w:footnote>
  <w:footnote w:id="14">
    <w:p w14:paraId="230479A4"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 xml:space="preserve">Situación de derechos humanos en Honduras. </w:t>
      </w:r>
      <w:r w:rsidRPr="006D4387">
        <w:rPr>
          <w:rFonts w:asciiTheme="majorHAnsi" w:hAnsiTheme="majorHAnsi"/>
          <w:sz w:val="16"/>
          <w:szCs w:val="16"/>
          <w:lang w:val="es-CO"/>
        </w:rPr>
        <w:t>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31 de diciembre de 2015. Párr. 137.</w:t>
      </w:r>
    </w:p>
  </w:footnote>
  <w:footnote w:id="15">
    <w:p w14:paraId="7DBB4F62" w14:textId="77777777" w:rsidR="006C35D0" w:rsidRPr="006D4387" w:rsidRDefault="006C35D0" w:rsidP="009E1C43">
      <w:pPr>
        <w:pStyle w:val="FootnoteText"/>
        <w:jc w:val="both"/>
        <w:rPr>
          <w:rFonts w:asciiTheme="majorHAnsi" w:hAnsiTheme="majorHAnsi"/>
          <w:sz w:val="16"/>
          <w:szCs w:val="16"/>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 xml:space="preserve">Situación de derechos humanos en Honduras. </w:t>
      </w:r>
      <w:r w:rsidRPr="006D4387">
        <w:rPr>
          <w:rFonts w:asciiTheme="majorHAnsi" w:hAnsiTheme="majorHAnsi"/>
          <w:sz w:val="16"/>
          <w:szCs w:val="16"/>
          <w:lang w:val="es-CO"/>
        </w:rPr>
        <w:t>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 xml:space="preserve">/V/II. 31 de diciembre de 2015. </w:t>
      </w:r>
      <w:proofErr w:type="spellStart"/>
      <w:proofErr w:type="gramStart"/>
      <w:r w:rsidRPr="006D4387">
        <w:rPr>
          <w:rFonts w:asciiTheme="majorHAnsi" w:hAnsiTheme="majorHAnsi"/>
          <w:sz w:val="16"/>
          <w:szCs w:val="16"/>
        </w:rPr>
        <w:t>Párr</w:t>
      </w:r>
      <w:proofErr w:type="spellEnd"/>
      <w:r w:rsidRPr="006D4387">
        <w:rPr>
          <w:rFonts w:asciiTheme="majorHAnsi" w:hAnsiTheme="majorHAnsi"/>
          <w:sz w:val="16"/>
          <w:szCs w:val="16"/>
        </w:rPr>
        <w:t>.</w:t>
      </w:r>
      <w:proofErr w:type="gramEnd"/>
      <w:r w:rsidRPr="006D4387">
        <w:rPr>
          <w:rFonts w:asciiTheme="majorHAnsi" w:hAnsiTheme="majorHAnsi"/>
          <w:sz w:val="16"/>
          <w:szCs w:val="16"/>
        </w:rPr>
        <w:t xml:space="preserve"> 138.</w:t>
      </w:r>
    </w:p>
  </w:footnote>
  <w:footnote w:id="16">
    <w:p w14:paraId="0095C1A9" w14:textId="64D6406A" w:rsidR="006C35D0" w:rsidRPr="006D4387" w:rsidRDefault="006C35D0" w:rsidP="009E1C43">
      <w:pPr>
        <w:pStyle w:val="FootnoteText"/>
        <w:jc w:val="both"/>
        <w:rPr>
          <w:rFonts w:asciiTheme="majorHAnsi" w:hAnsiTheme="majorHAnsi"/>
          <w:sz w:val="16"/>
          <w:szCs w:val="16"/>
        </w:rPr>
      </w:pPr>
      <w:r w:rsidRPr="006D4387">
        <w:rPr>
          <w:rStyle w:val="FootnoteReference"/>
          <w:rFonts w:asciiTheme="majorHAnsi" w:hAnsiTheme="majorHAnsi"/>
          <w:sz w:val="16"/>
          <w:szCs w:val="16"/>
        </w:rPr>
        <w:footnoteRef/>
      </w:r>
      <w:r w:rsidRPr="006D4387">
        <w:rPr>
          <w:rFonts w:asciiTheme="majorHAnsi" w:hAnsiTheme="majorHAnsi"/>
          <w:sz w:val="16"/>
          <w:szCs w:val="16"/>
        </w:rPr>
        <w:t xml:space="preserve"> </w:t>
      </w:r>
      <w:proofErr w:type="gramStart"/>
      <w:r w:rsidRPr="006D4387">
        <w:rPr>
          <w:rFonts w:asciiTheme="majorHAnsi" w:hAnsiTheme="majorHAnsi"/>
          <w:sz w:val="16"/>
          <w:szCs w:val="16"/>
        </w:rPr>
        <w:t>CIDH.</w:t>
      </w:r>
      <w:proofErr w:type="gramEnd"/>
      <w:r w:rsidRPr="006D4387">
        <w:rPr>
          <w:rFonts w:asciiTheme="majorHAnsi" w:hAnsiTheme="majorHAnsi"/>
          <w:sz w:val="16"/>
          <w:szCs w:val="16"/>
        </w:rPr>
        <w:t xml:space="preserve"> </w:t>
      </w:r>
      <w:proofErr w:type="spellStart"/>
      <w:proofErr w:type="gramStart"/>
      <w:r w:rsidRPr="006D4387">
        <w:rPr>
          <w:rFonts w:asciiTheme="majorHAnsi" w:hAnsiTheme="majorHAnsi"/>
          <w:i/>
          <w:sz w:val="16"/>
          <w:szCs w:val="16"/>
        </w:rPr>
        <w:t>Violencia</w:t>
      </w:r>
      <w:proofErr w:type="spellEnd"/>
      <w:r w:rsidRPr="006D4387">
        <w:rPr>
          <w:rFonts w:asciiTheme="majorHAnsi" w:hAnsiTheme="majorHAnsi"/>
          <w:i/>
          <w:sz w:val="16"/>
          <w:szCs w:val="16"/>
        </w:rPr>
        <w:t xml:space="preserve"> contra personas LGBT</w:t>
      </w:r>
      <w:r w:rsidRPr="006D4387">
        <w:rPr>
          <w:rFonts w:asciiTheme="majorHAnsi" w:hAnsiTheme="majorHAnsi"/>
          <w:sz w:val="16"/>
          <w:szCs w:val="16"/>
        </w:rPr>
        <w:t>.</w:t>
      </w:r>
      <w:proofErr w:type="gramEnd"/>
      <w:r w:rsidRPr="006D4387">
        <w:rPr>
          <w:rFonts w:asciiTheme="majorHAnsi" w:hAnsiTheme="majorHAnsi"/>
          <w:sz w:val="16"/>
          <w:szCs w:val="16"/>
        </w:rPr>
        <w:t xml:space="preserve"> OAS/</w:t>
      </w:r>
      <w:proofErr w:type="spellStart"/>
      <w:r w:rsidRPr="006D4387">
        <w:rPr>
          <w:rFonts w:asciiTheme="majorHAnsi" w:hAnsiTheme="majorHAnsi"/>
          <w:sz w:val="16"/>
          <w:szCs w:val="16"/>
        </w:rPr>
        <w:t>Ser.L</w:t>
      </w:r>
      <w:proofErr w:type="spellEnd"/>
      <w:r w:rsidRPr="006D4387">
        <w:rPr>
          <w:rFonts w:asciiTheme="majorHAnsi" w:hAnsiTheme="majorHAnsi"/>
          <w:sz w:val="16"/>
          <w:szCs w:val="16"/>
        </w:rPr>
        <w:t xml:space="preserve">/V/II.rev.2. </w:t>
      </w:r>
      <w:proofErr w:type="gramStart"/>
      <w:r w:rsidRPr="006D4387">
        <w:rPr>
          <w:rFonts w:asciiTheme="majorHAnsi" w:hAnsiTheme="majorHAnsi"/>
          <w:sz w:val="16"/>
          <w:szCs w:val="16"/>
        </w:rPr>
        <w:t xml:space="preserve">12 de </w:t>
      </w:r>
      <w:proofErr w:type="spellStart"/>
      <w:r w:rsidRPr="006D4387">
        <w:rPr>
          <w:rFonts w:asciiTheme="majorHAnsi" w:hAnsiTheme="majorHAnsi"/>
          <w:sz w:val="16"/>
          <w:szCs w:val="16"/>
        </w:rPr>
        <w:t>noviembre</w:t>
      </w:r>
      <w:proofErr w:type="spellEnd"/>
      <w:r w:rsidRPr="006D4387">
        <w:rPr>
          <w:rFonts w:asciiTheme="majorHAnsi" w:hAnsiTheme="majorHAnsi"/>
          <w:sz w:val="16"/>
          <w:szCs w:val="16"/>
        </w:rPr>
        <w:t xml:space="preserve"> de 2015.</w:t>
      </w:r>
      <w:proofErr w:type="gramEnd"/>
      <w:r w:rsidRPr="006D4387">
        <w:rPr>
          <w:rFonts w:asciiTheme="majorHAnsi" w:hAnsiTheme="majorHAnsi"/>
          <w:sz w:val="16"/>
          <w:szCs w:val="16"/>
        </w:rPr>
        <w:t xml:space="preserve"> </w:t>
      </w:r>
      <w:proofErr w:type="spellStart"/>
      <w:proofErr w:type="gramStart"/>
      <w:r w:rsidRPr="006D4387">
        <w:rPr>
          <w:rFonts w:asciiTheme="majorHAnsi" w:hAnsiTheme="majorHAnsi"/>
          <w:sz w:val="16"/>
          <w:szCs w:val="16"/>
        </w:rPr>
        <w:t>Párr</w:t>
      </w:r>
      <w:proofErr w:type="spellEnd"/>
      <w:r w:rsidRPr="006D4387">
        <w:rPr>
          <w:rFonts w:asciiTheme="majorHAnsi" w:hAnsiTheme="majorHAnsi"/>
          <w:sz w:val="16"/>
          <w:szCs w:val="16"/>
        </w:rPr>
        <w:t>.</w:t>
      </w:r>
      <w:proofErr w:type="gramEnd"/>
      <w:r w:rsidRPr="006D4387">
        <w:rPr>
          <w:rFonts w:asciiTheme="majorHAnsi" w:hAnsiTheme="majorHAnsi"/>
          <w:sz w:val="16"/>
          <w:szCs w:val="16"/>
        </w:rPr>
        <w:t xml:space="preserve"> 447.</w:t>
      </w:r>
    </w:p>
  </w:footnote>
  <w:footnote w:id="17">
    <w:p w14:paraId="22330555" w14:textId="492BE049" w:rsidR="006C35D0" w:rsidRPr="006D4387" w:rsidRDefault="006C35D0" w:rsidP="009E1C43">
      <w:pPr>
        <w:pStyle w:val="FootnoteText"/>
        <w:jc w:val="both"/>
        <w:rPr>
          <w:rFonts w:asciiTheme="majorHAnsi" w:hAnsiTheme="majorHAnsi"/>
          <w:sz w:val="16"/>
          <w:szCs w:val="16"/>
        </w:rPr>
      </w:pPr>
      <w:r w:rsidRPr="006D4387">
        <w:rPr>
          <w:rStyle w:val="FootnoteReference"/>
          <w:rFonts w:asciiTheme="majorHAnsi" w:hAnsiTheme="majorHAnsi"/>
          <w:sz w:val="16"/>
          <w:szCs w:val="16"/>
        </w:rPr>
        <w:footnoteRef/>
      </w:r>
      <w:r w:rsidR="00BE2ED7">
        <w:rPr>
          <w:rFonts w:asciiTheme="majorHAnsi" w:hAnsiTheme="majorHAnsi"/>
          <w:sz w:val="16"/>
          <w:szCs w:val="16"/>
        </w:rPr>
        <w:t xml:space="preserve"> </w:t>
      </w:r>
      <w:proofErr w:type="gramStart"/>
      <w:r w:rsidR="00BE2ED7">
        <w:rPr>
          <w:rFonts w:asciiTheme="majorHAnsi" w:hAnsiTheme="majorHAnsi"/>
          <w:sz w:val="16"/>
          <w:szCs w:val="16"/>
        </w:rPr>
        <w:t>Global Rig</w:t>
      </w:r>
      <w:r w:rsidRPr="006D4387">
        <w:rPr>
          <w:rFonts w:asciiTheme="majorHAnsi" w:hAnsiTheme="majorHAnsi"/>
          <w:sz w:val="16"/>
          <w:szCs w:val="16"/>
        </w:rPr>
        <w:t>h</w:t>
      </w:r>
      <w:r w:rsidR="00BE2ED7">
        <w:rPr>
          <w:rFonts w:asciiTheme="majorHAnsi" w:hAnsiTheme="majorHAnsi"/>
          <w:sz w:val="16"/>
          <w:szCs w:val="16"/>
        </w:rPr>
        <w:t>t</w:t>
      </w:r>
      <w:r w:rsidRPr="006D4387">
        <w:rPr>
          <w:rFonts w:asciiTheme="majorHAnsi" w:hAnsiTheme="majorHAnsi"/>
          <w:sz w:val="16"/>
          <w:szCs w:val="16"/>
        </w:rPr>
        <w:t>s &amp; International Human Rights Clinic at the University of Virginia School of Law.</w:t>
      </w:r>
      <w:proofErr w:type="gramEnd"/>
      <w:r w:rsidRPr="006D4387">
        <w:rPr>
          <w:rFonts w:asciiTheme="majorHAnsi" w:hAnsiTheme="majorHAnsi"/>
          <w:sz w:val="16"/>
          <w:szCs w:val="16"/>
        </w:rPr>
        <w:t xml:space="preserve"> </w:t>
      </w:r>
      <w:proofErr w:type="gramStart"/>
      <w:r w:rsidRPr="006D4387">
        <w:rPr>
          <w:rFonts w:asciiTheme="majorHAnsi" w:hAnsiTheme="majorHAnsi"/>
          <w:i/>
          <w:sz w:val="16"/>
          <w:szCs w:val="16"/>
        </w:rPr>
        <w:t>Violations of the Rights of Lesbian, Gay, Bisexual and Transgender Persons in HONDURAS.</w:t>
      </w:r>
      <w:proofErr w:type="gramEnd"/>
      <w:r w:rsidRPr="006D4387">
        <w:rPr>
          <w:rFonts w:asciiTheme="majorHAnsi" w:hAnsiTheme="majorHAnsi"/>
          <w:sz w:val="16"/>
          <w:szCs w:val="16"/>
        </w:rPr>
        <w:t xml:space="preserve"> 2006.</w:t>
      </w:r>
    </w:p>
  </w:footnote>
  <w:footnote w:id="18">
    <w:p w14:paraId="1A604F55" w14:textId="53606331" w:rsidR="006C35D0" w:rsidRPr="006D4387" w:rsidRDefault="006C35D0" w:rsidP="009E1C43">
      <w:pPr>
        <w:pStyle w:val="FootnoteText"/>
        <w:jc w:val="both"/>
        <w:rPr>
          <w:rFonts w:asciiTheme="majorHAnsi" w:hAnsiTheme="majorHAnsi"/>
          <w:sz w:val="16"/>
          <w:szCs w:val="16"/>
        </w:rPr>
      </w:pPr>
      <w:r w:rsidRPr="006D4387">
        <w:rPr>
          <w:rStyle w:val="FootnoteReference"/>
          <w:rFonts w:asciiTheme="majorHAnsi" w:hAnsiTheme="majorHAnsi"/>
          <w:sz w:val="16"/>
          <w:szCs w:val="16"/>
        </w:rPr>
        <w:footnoteRef/>
      </w:r>
      <w:r w:rsidRPr="006D4387">
        <w:rPr>
          <w:rFonts w:asciiTheme="majorHAnsi" w:hAnsiTheme="majorHAnsi"/>
          <w:sz w:val="16"/>
          <w:szCs w:val="16"/>
        </w:rPr>
        <w:t xml:space="preserve"> </w:t>
      </w:r>
      <w:proofErr w:type="gramStart"/>
      <w:r w:rsidRPr="006D4387">
        <w:rPr>
          <w:rFonts w:asciiTheme="majorHAnsi" w:hAnsiTheme="majorHAnsi"/>
          <w:sz w:val="16"/>
          <w:szCs w:val="16"/>
        </w:rPr>
        <w:t>CIDH.</w:t>
      </w:r>
      <w:proofErr w:type="gramEnd"/>
      <w:r w:rsidRPr="006D4387">
        <w:rPr>
          <w:rFonts w:asciiTheme="majorHAnsi" w:hAnsiTheme="majorHAnsi"/>
          <w:sz w:val="16"/>
          <w:szCs w:val="16"/>
        </w:rPr>
        <w:t xml:space="preserve"> </w:t>
      </w:r>
      <w:proofErr w:type="spellStart"/>
      <w:proofErr w:type="gramStart"/>
      <w:r w:rsidRPr="006D4387">
        <w:rPr>
          <w:rFonts w:asciiTheme="majorHAnsi" w:hAnsiTheme="majorHAnsi"/>
          <w:i/>
          <w:sz w:val="16"/>
          <w:szCs w:val="16"/>
        </w:rPr>
        <w:t>Violencia</w:t>
      </w:r>
      <w:proofErr w:type="spellEnd"/>
      <w:r w:rsidRPr="006D4387">
        <w:rPr>
          <w:rFonts w:asciiTheme="majorHAnsi" w:hAnsiTheme="majorHAnsi"/>
          <w:i/>
          <w:sz w:val="16"/>
          <w:szCs w:val="16"/>
        </w:rPr>
        <w:t xml:space="preserve"> contra personas LGBT.</w:t>
      </w:r>
      <w:proofErr w:type="gramEnd"/>
      <w:r w:rsidRPr="006D4387">
        <w:rPr>
          <w:rFonts w:asciiTheme="majorHAnsi" w:hAnsiTheme="majorHAnsi"/>
          <w:sz w:val="16"/>
          <w:szCs w:val="16"/>
        </w:rPr>
        <w:t xml:space="preserve"> OAS/</w:t>
      </w:r>
      <w:proofErr w:type="spellStart"/>
      <w:r w:rsidRPr="006D4387">
        <w:rPr>
          <w:rFonts w:asciiTheme="majorHAnsi" w:hAnsiTheme="majorHAnsi"/>
          <w:sz w:val="16"/>
          <w:szCs w:val="16"/>
        </w:rPr>
        <w:t>Ser.L</w:t>
      </w:r>
      <w:proofErr w:type="spellEnd"/>
      <w:r w:rsidRPr="006D4387">
        <w:rPr>
          <w:rFonts w:asciiTheme="majorHAnsi" w:hAnsiTheme="majorHAnsi"/>
          <w:sz w:val="16"/>
          <w:szCs w:val="16"/>
        </w:rPr>
        <w:t xml:space="preserve">/V/II.rev.2. </w:t>
      </w:r>
      <w:proofErr w:type="gramStart"/>
      <w:r w:rsidRPr="006D4387">
        <w:rPr>
          <w:rFonts w:asciiTheme="majorHAnsi" w:hAnsiTheme="majorHAnsi"/>
          <w:sz w:val="16"/>
          <w:szCs w:val="16"/>
        </w:rPr>
        <w:t xml:space="preserve">12 de </w:t>
      </w:r>
      <w:proofErr w:type="spellStart"/>
      <w:r w:rsidRPr="006D4387">
        <w:rPr>
          <w:rFonts w:asciiTheme="majorHAnsi" w:hAnsiTheme="majorHAnsi"/>
          <w:sz w:val="16"/>
          <w:szCs w:val="16"/>
        </w:rPr>
        <w:t>noviembre</w:t>
      </w:r>
      <w:proofErr w:type="spellEnd"/>
      <w:r w:rsidRPr="006D4387">
        <w:rPr>
          <w:rFonts w:asciiTheme="majorHAnsi" w:hAnsiTheme="majorHAnsi"/>
          <w:sz w:val="16"/>
          <w:szCs w:val="16"/>
        </w:rPr>
        <w:t xml:space="preserve"> de 2015.</w:t>
      </w:r>
      <w:proofErr w:type="gramEnd"/>
    </w:p>
  </w:footnote>
  <w:footnote w:id="19">
    <w:p w14:paraId="7BD0299C" w14:textId="6DA86BB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rPr>
        <w:t xml:space="preserve"> </w:t>
      </w:r>
      <w:proofErr w:type="gramStart"/>
      <w:r w:rsidRPr="006D4387">
        <w:rPr>
          <w:rFonts w:asciiTheme="majorHAnsi" w:hAnsiTheme="majorHAnsi"/>
          <w:sz w:val="16"/>
          <w:szCs w:val="16"/>
        </w:rPr>
        <w:t>CIDH.</w:t>
      </w:r>
      <w:proofErr w:type="gramEnd"/>
      <w:r w:rsidRPr="006D4387">
        <w:rPr>
          <w:rFonts w:asciiTheme="majorHAnsi" w:hAnsiTheme="majorHAnsi"/>
          <w:sz w:val="16"/>
          <w:szCs w:val="16"/>
        </w:rPr>
        <w:t xml:space="preserve"> </w:t>
      </w:r>
      <w:proofErr w:type="spellStart"/>
      <w:proofErr w:type="gramStart"/>
      <w:r w:rsidRPr="006D4387">
        <w:rPr>
          <w:rFonts w:asciiTheme="majorHAnsi" w:hAnsiTheme="majorHAnsi"/>
          <w:i/>
          <w:sz w:val="16"/>
          <w:szCs w:val="16"/>
        </w:rPr>
        <w:t>Violencia</w:t>
      </w:r>
      <w:proofErr w:type="spellEnd"/>
      <w:r w:rsidRPr="006D4387">
        <w:rPr>
          <w:rFonts w:asciiTheme="majorHAnsi" w:hAnsiTheme="majorHAnsi"/>
          <w:i/>
          <w:sz w:val="16"/>
          <w:szCs w:val="16"/>
        </w:rPr>
        <w:t xml:space="preserve"> contra personas LGBT.</w:t>
      </w:r>
      <w:proofErr w:type="gramEnd"/>
      <w:r w:rsidRPr="006D4387">
        <w:rPr>
          <w:rFonts w:asciiTheme="majorHAnsi" w:hAnsiTheme="majorHAnsi"/>
          <w:sz w:val="16"/>
          <w:szCs w:val="16"/>
        </w:rPr>
        <w:t xml:space="preserve"> OAS/</w:t>
      </w:r>
      <w:proofErr w:type="spellStart"/>
      <w:r w:rsidRPr="006D4387">
        <w:rPr>
          <w:rFonts w:asciiTheme="majorHAnsi" w:hAnsiTheme="majorHAnsi"/>
          <w:sz w:val="16"/>
          <w:szCs w:val="16"/>
        </w:rPr>
        <w:t>Ser.L</w:t>
      </w:r>
      <w:proofErr w:type="spellEnd"/>
      <w:r w:rsidRPr="006D4387">
        <w:rPr>
          <w:rFonts w:asciiTheme="majorHAnsi" w:hAnsiTheme="majorHAnsi"/>
          <w:sz w:val="16"/>
          <w:szCs w:val="16"/>
        </w:rPr>
        <w:t xml:space="preserve">/V/II.rev.2. </w:t>
      </w:r>
      <w:r w:rsidRPr="006D4387">
        <w:rPr>
          <w:rFonts w:asciiTheme="majorHAnsi" w:hAnsiTheme="majorHAnsi"/>
          <w:sz w:val="16"/>
          <w:szCs w:val="16"/>
          <w:lang w:val="es-CO"/>
        </w:rPr>
        <w:t xml:space="preserve">12 de noviembre de 2015. Párr. 131, CIDH. </w:t>
      </w:r>
      <w:r w:rsidRPr="006D4387">
        <w:rPr>
          <w:rFonts w:asciiTheme="majorHAnsi" w:hAnsiTheme="majorHAnsi"/>
          <w:i/>
          <w:sz w:val="16"/>
          <w:szCs w:val="16"/>
          <w:lang w:val="es-CO"/>
        </w:rPr>
        <w:t xml:space="preserve">Comunicado de prensa: La CIDH expresa su preocupación por los ataques de grupos violentos, abuso policial y otras formas de violencia contra las personas LGTBI. </w:t>
      </w:r>
      <w:r w:rsidRPr="006D4387">
        <w:rPr>
          <w:rFonts w:asciiTheme="majorHAnsi" w:hAnsiTheme="majorHAnsi"/>
          <w:sz w:val="16"/>
          <w:szCs w:val="16"/>
          <w:lang w:val="es-CO"/>
        </w:rPr>
        <w:t>24 de octubre de 2013.</w:t>
      </w:r>
    </w:p>
  </w:footnote>
  <w:footnote w:id="20">
    <w:p w14:paraId="7BD930EE" w14:textId="1F9FE950"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Violencia contra personas LGBT.</w:t>
      </w:r>
      <w:r w:rsidRPr="006D4387">
        <w:rPr>
          <w:rFonts w:asciiTheme="majorHAnsi" w:hAnsiTheme="majorHAnsi"/>
          <w:sz w:val="16"/>
          <w:szCs w:val="16"/>
          <w:lang w:val="es-CO"/>
        </w:rPr>
        <w:t xml:space="preserve"> OAS/</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/V/II.rev.2. 12 de noviembre de 2015. Párr. 116.</w:t>
      </w:r>
    </w:p>
  </w:footnote>
  <w:footnote w:id="21">
    <w:p w14:paraId="5637083B" w14:textId="5BE8717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Violencia contra personas LGBT.</w:t>
      </w:r>
      <w:r w:rsidRPr="006D4387">
        <w:rPr>
          <w:rFonts w:asciiTheme="majorHAnsi" w:hAnsiTheme="majorHAnsi"/>
          <w:sz w:val="16"/>
          <w:szCs w:val="16"/>
          <w:lang w:val="es-CO"/>
        </w:rPr>
        <w:t xml:space="preserve"> </w:t>
      </w:r>
      <w:r w:rsidRPr="006D4387">
        <w:rPr>
          <w:rFonts w:asciiTheme="majorHAnsi" w:hAnsiTheme="majorHAnsi"/>
          <w:sz w:val="16"/>
          <w:szCs w:val="16"/>
          <w:lang w:val="pt-BR"/>
        </w:rPr>
        <w:t xml:space="preserve">OAS/Ser.L/V/II.rev.2. </w:t>
      </w:r>
      <w:r w:rsidRPr="006D4387">
        <w:rPr>
          <w:rFonts w:asciiTheme="majorHAnsi" w:hAnsiTheme="majorHAnsi"/>
          <w:sz w:val="16"/>
          <w:szCs w:val="16"/>
          <w:lang w:val="es-CO"/>
        </w:rPr>
        <w:t>12 de noviembre de 2015. Párr. 132.</w:t>
      </w:r>
    </w:p>
  </w:footnote>
  <w:footnote w:id="22">
    <w:p w14:paraId="18439D52" w14:textId="77777777"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6" w:history="1">
        <w:r w:rsidRPr="006D4387">
          <w:rPr>
            <w:rStyle w:val="Hyperlink"/>
            <w:rFonts w:asciiTheme="majorHAnsi" w:hAnsiTheme="majorHAnsi"/>
            <w:i/>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CO"/>
        </w:rPr>
        <w:t>Pág. 124.</w:t>
      </w:r>
    </w:p>
  </w:footnote>
  <w:footnote w:id="23">
    <w:p w14:paraId="74F71D1D" w14:textId="77777777" w:rsidR="006C35D0" w:rsidRPr="006D4387" w:rsidRDefault="006C35D0" w:rsidP="009E1C43">
      <w:pPr>
        <w:jc w:val="both"/>
        <w:rPr>
          <w:rFonts w:asciiTheme="majorHAnsi" w:hAnsiTheme="majorHAnsi"/>
          <w: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 xml:space="preserve">Human </w:t>
      </w:r>
      <w:proofErr w:type="spellStart"/>
      <w:r w:rsidRPr="006D4387">
        <w:rPr>
          <w:rFonts w:asciiTheme="majorHAnsi" w:hAnsiTheme="majorHAnsi"/>
          <w:sz w:val="16"/>
          <w:szCs w:val="16"/>
          <w:lang w:val="es-ES"/>
        </w:rPr>
        <w:t>Rights</w:t>
      </w:r>
      <w:proofErr w:type="spellEnd"/>
      <w:r w:rsidRPr="006D4387">
        <w:rPr>
          <w:rFonts w:asciiTheme="majorHAnsi" w:hAnsiTheme="majorHAnsi"/>
          <w:sz w:val="16"/>
          <w:szCs w:val="16"/>
          <w:lang w:val="es-ES"/>
        </w:rPr>
        <w:t xml:space="preserve"> </w:t>
      </w:r>
      <w:proofErr w:type="spellStart"/>
      <w:r w:rsidRPr="006D4387">
        <w:rPr>
          <w:rFonts w:asciiTheme="majorHAnsi" w:hAnsiTheme="majorHAnsi"/>
          <w:sz w:val="16"/>
          <w:szCs w:val="16"/>
          <w:lang w:val="es-ES"/>
        </w:rPr>
        <w:t>Watch</w:t>
      </w:r>
      <w:proofErr w:type="spellEnd"/>
      <w:r w:rsidRPr="006D4387">
        <w:rPr>
          <w:rFonts w:asciiTheme="majorHAnsi" w:hAnsiTheme="majorHAnsi"/>
          <w:sz w:val="16"/>
          <w:szCs w:val="16"/>
          <w:lang w:val="es-ES"/>
        </w:rPr>
        <w:t xml:space="preserve">. </w:t>
      </w:r>
      <w:r w:rsidRPr="006D4387">
        <w:rPr>
          <w:rFonts w:asciiTheme="majorHAnsi" w:hAnsiTheme="majorHAnsi"/>
          <w:i/>
          <w:sz w:val="16"/>
          <w:szCs w:val="16"/>
          <w:lang w:val="es-ES"/>
        </w:rPr>
        <w:t xml:space="preserve">“No vales un centavo” Abusos de Derechos Humanos en contra de las Personas </w:t>
      </w:r>
      <w:proofErr w:type="spellStart"/>
      <w:r w:rsidRPr="006D4387">
        <w:rPr>
          <w:rFonts w:asciiTheme="majorHAnsi" w:hAnsiTheme="majorHAnsi"/>
          <w:i/>
          <w:sz w:val="16"/>
          <w:szCs w:val="16"/>
          <w:lang w:val="es-ES"/>
        </w:rPr>
        <w:t>Transgénero</w:t>
      </w:r>
      <w:proofErr w:type="spellEnd"/>
      <w:r w:rsidRPr="006D4387">
        <w:rPr>
          <w:rFonts w:asciiTheme="majorHAnsi" w:hAnsiTheme="majorHAnsi"/>
          <w:i/>
          <w:sz w:val="16"/>
          <w:szCs w:val="16"/>
          <w:lang w:val="es-ES"/>
        </w:rPr>
        <w:t xml:space="preserve"> en Honduras.</w:t>
      </w:r>
      <w:r w:rsidRPr="006D4387">
        <w:rPr>
          <w:rFonts w:asciiTheme="majorHAnsi" w:hAnsiTheme="majorHAnsi"/>
          <w:sz w:val="16"/>
          <w:szCs w:val="16"/>
          <w:lang w:val="es-ES"/>
        </w:rPr>
        <w:t xml:space="preserve"> 2009. Pág. 10.</w:t>
      </w:r>
    </w:p>
  </w:footnote>
  <w:footnote w:id="24">
    <w:p w14:paraId="4724E8EE"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7" w:history="1">
        <w:r w:rsidRPr="006D4387">
          <w:rPr>
            <w:rStyle w:val="Hyperlink"/>
            <w:rFonts w:asciiTheme="majorHAnsi" w:hAnsiTheme="majorHAnsi"/>
            <w:i/>
            <w:color w:val="auto"/>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ES"/>
        </w:rPr>
        <w:t>P</w:t>
      </w:r>
      <w:proofErr w:type="spellStart"/>
      <w:r w:rsidRPr="006D4387">
        <w:rPr>
          <w:rFonts w:asciiTheme="majorHAnsi" w:hAnsiTheme="majorHAnsi"/>
          <w:sz w:val="16"/>
          <w:szCs w:val="16"/>
          <w:lang w:val="es-CO"/>
        </w:rPr>
        <w:t>ág</w:t>
      </w:r>
      <w:proofErr w:type="spellEnd"/>
      <w:r w:rsidRPr="006D4387">
        <w:rPr>
          <w:rFonts w:asciiTheme="majorHAnsi" w:hAnsiTheme="majorHAnsi"/>
          <w:sz w:val="16"/>
          <w:szCs w:val="16"/>
          <w:lang w:val="es-CO"/>
        </w:rPr>
        <w:t>. 120.</w:t>
      </w:r>
    </w:p>
  </w:footnote>
  <w:footnote w:id="25">
    <w:p w14:paraId="6E08D4FD"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 xml:space="preserve">Human </w:t>
      </w:r>
      <w:proofErr w:type="spellStart"/>
      <w:r w:rsidRPr="006D4387">
        <w:rPr>
          <w:rFonts w:asciiTheme="majorHAnsi" w:hAnsiTheme="majorHAnsi"/>
          <w:sz w:val="16"/>
          <w:szCs w:val="16"/>
          <w:lang w:val="es-ES"/>
        </w:rPr>
        <w:t>Rights</w:t>
      </w:r>
      <w:proofErr w:type="spellEnd"/>
      <w:r w:rsidRPr="006D4387">
        <w:rPr>
          <w:rFonts w:asciiTheme="majorHAnsi" w:hAnsiTheme="majorHAnsi"/>
          <w:sz w:val="16"/>
          <w:szCs w:val="16"/>
          <w:lang w:val="es-ES"/>
        </w:rPr>
        <w:t xml:space="preserve"> </w:t>
      </w:r>
      <w:proofErr w:type="spellStart"/>
      <w:r w:rsidRPr="006D4387">
        <w:rPr>
          <w:rFonts w:asciiTheme="majorHAnsi" w:hAnsiTheme="majorHAnsi"/>
          <w:sz w:val="16"/>
          <w:szCs w:val="16"/>
          <w:lang w:val="es-ES"/>
        </w:rPr>
        <w:t>Watch</w:t>
      </w:r>
      <w:proofErr w:type="spellEnd"/>
      <w:r w:rsidRPr="006D4387">
        <w:rPr>
          <w:rFonts w:asciiTheme="majorHAnsi" w:hAnsiTheme="majorHAnsi"/>
          <w:sz w:val="16"/>
          <w:szCs w:val="16"/>
          <w:lang w:val="es-ES"/>
        </w:rPr>
        <w:t xml:space="preserve">. </w:t>
      </w:r>
      <w:r w:rsidRPr="006D4387">
        <w:rPr>
          <w:rFonts w:asciiTheme="majorHAnsi" w:hAnsiTheme="majorHAnsi"/>
          <w:i/>
          <w:sz w:val="16"/>
          <w:szCs w:val="16"/>
          <w:lang w:val="es-ES"/>
        </w:rPr>
        <w:t xml:space="preserve">“No vales un centavo” Abusos de Derechos Humanos en contra de las Personas </w:t>
      </w:r>
      <w:proofErr w:type="spellStart"/>
      <w:r w:rsidRPr="006D4387">
        <w:rPr>
          <w:rFonts w:asciiTheme="majorHAnsi" w:hAnsiTheme="majorHAnsi"/>
          <w:i/>
          <w:sz w:val="16"/>
          <w:szCs w:val="16"/>
          <w:lang w:val="es-ES"/>
        </w:rPr>
        <w:t>Transgénero</w:t>
      </w:r>
      <w:proofErr w:type="spellEnd"/>
      <w:r w:rsidRPr="006D4387">
        <w:rPr>
          <w:rFonts w:asciiTheme="majorHAnsi" w:hAnsiTheme="majorHAnsi"/>
          <w:i/>
          <w:sz w:val="16"/>
          <w:szCs w:val="16"/>
          <w:lang w:val="es-ES"/>
        </w:rPr>
        <w:t xml:space="preserve"> en Honduras.</w:t>
      </w:r>
      <w:r w:rsidRPr="006D4387">
        <w:rPr>
          <w:rFonts w:asciiTheme="majorHAnsi" w:hAnsiTheme="majorHAnsi"/>
          <w:sz w:val="16"/>
          <w:szCs w:val="16"/>
          <w:lang w:val="es-ES"/>
        </w:rPr>
        <w:t xml:space="preserve"> 2009. Pág. 10.</w:t>
      </w:r>
    </w:p>
  </w:footnote>
  <w:footnote w:id="26">
    <w:p w14:paraId="1FECC9CD" w14:textId="20B96183"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rPr>
        <w:footnoteRef/>
      </w:r>
      <w:r w:rsidRPr="006D4387">
        <w:rPr>
          <w:rFonts w:asciiTheme="majorHAnsi" w:hAnsiTheme="majorHAnsi"/>
          <w:sz w:val="16"/>
          <w:szCs w:val="16"/>
          <w:lang w:val="uz-Cyrl-UZ"/>
        </w:rPr>
        <w:t xml:space="preserve"> CIDH. </w:t>
      </w:r>
      <w:r w:rsidRPr="006D4387">
        <w:rPr>
          <w:rFonts w:asciiTheme="majorHAnsi" w:hAnsiTheme="majorHAnsi"/>
          <w:i/>
          <w:sz w:val="16"/>
          <w:szCs w:val="16"/>
          <w:lang w:val="uz-Cyrl-UZ"/>
        </w:rPr>
        <w:t>Violencia contra personas LGBT.</w:t>
      </w:r>
      <w:r w:rsidRPr="006D4387">
        <w:rPr>
          <w:rFonts w:asciiTheme="majorHAnsi" w:hAnsiTheme="majorHAnsi"/>
          <w:sz w:val="16"/>
          <w:szCs w:val="16"/>
          <w:lang w:val="uz-Cyrl-UZ"/>
        </w:rPr>
        <w:t xml:space="preserve"> OAS/Ser.L/V/II.rev.2. 12 de noviembre de 2015. Párr. 484.</w:t>
      </w:r>
    </w:p>
  </w:footnote>
  <w:footnote w:id="27">
    <w:p w14:paraId="5A06785D"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 xml:space="preserve">Human </w:t>
      </w:r>
      <w:proofErr w:type="spellStart"/>
      <w:r w:rsidRPr="006D4387">
        <w:rPr>
          <w:rFonts w:asciiTheme="majorHAnsi" w:hAnsiTheme="majorHAnsi"/>
          <w:sz w:val="16"/>
          <w:szCs w:val="16"/>
          <w:lang w:val="es-ES"/>
        </w:rPr>
        <w:t>Rights</w:t>
      </w:r>
      <w:proofErr w:type="spellEnd"/>
      <w:r w:rsidRPr="006D4387">
        <w:rPr>
          <w:rFonts w:asciiTheme="majorHAnsi" w:hAnsiTheme="majorHAnsi"/>
          <w:sz w:val="16"/>
          <w:szCs w:val="16"/>
          <w:lang w:val="es-ES"/>
        </w:rPr>
        <w:t xml:space="preserve"> </w:t>
      </w:r>
      <w:proofErr w:type="spellStart"/>
      <w:r w:rsidRPr="006D4387">
        <w:rPr>
          <w:rFonts w:asciiTheme="majorHAnsi" w:hAnsiTheme="majorHAnsi"/>
          <w:sz w:val="16"/>
          <w:szCs w:val="16"/>
          <w:lang w:val="es-ES"/>
        </w:rPr>
        <w:t>Watch</w:t>
      </w:r>
      <w:proofErr w:type="spellEnd"/>
      <w:r w:rsidRPr="006D4387">
        <w:rPr>
          <w:rFonts w:asciiTheme="majorHAnsi" w:hAnsiTheme="majorHAnsi"/>
          <w:sz w:val="16"/>
          <w:szCs w:val="16"/>
          <w:lang w:val="es-ES"/>
        </w:rPr>
        <w:t xml:space="preserve">. </w:t>
      </w:r>
      <w:r w:rsidRPr="006D4387">
        <w:rPr>
          <w:rFonts w:asciiTheme="majorHAnsi" w:hAnsiTheme="majorHAnsi"/>
          <w:i/>
          <w:sz w:val="16"/>
          <w:szCs w:val="16"/>
          <w:lang w:val="es-ES"/>
        </w:rPr>
        <w:t xml:space="preserve">“No vales un centavo” Abusos de Derechos Humanos en contra de las Personas </w:t>
      </w:r>
      <w:proofErr w:type="spellStart"/>
      <w:r w:rsidRPr="006D4387">
        <w:rPr>
          <w:rFonts w:asciiTheme="majorHAnsi" w:hAnsiTheme="majorHAnsi"/>
          <w:i/>
          <w:sz w:val="16"/>
          <w:szCs w:val="16"/>
          <w:lang w:val="es-ES"/>
        </w:rPr>
        <w:t>Transgénero</w:t>
      </w:r>
      <w:proofErr w:type="spellEnd"/>
      <w:r w:rsidRPr="006D4387">
        <w:rPr>
          <w:rFonts w:asciiTheme="majorHAnsi" w:hAnsiTheme="majorHAnsi"/>
          <w:i/>
          <w:sz w:val="16"/>
          <w:szCs w:val="16"/>
          <w:lang w:val="es-ES"/>
        </w:rPr>
        <w:t xml:space="preserve"> en Honduras.</w:t>
      </w:r>
      <w:r w:rsidRPr="006D4387">
        <w:rPr>
          <w:rFonts w:asciiTheme="majorHAnsi" w:hAnsiTheme="majorHAnsi"/>
          <w:sz w:val="16"/>
          <w:szCs w:val="16"/>
          <w:lang w:val="es-ES"/>
        </w:rPr>
        <w:t xml:space="preserve"> 2009. </w:t>
      </w:r>
    </w:p>
  </w:footnote>
  <w:footnote w:id="28">
    <w:p w14:paraId="45447F25" w14:textId="77777777"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Observaciones Preliminares de la Comisión Interamericana de Derechos Humanos sobre la situación de los derechos humanos en Honduras</w:t>
      </w:r>
      <w:r w:rsidRPr="006D4387">
        <w:rPr>
          <w:rFonts w:asciiTheme="majorHAnsi" w:hAnsiTheme="majorHAnsi"/>
          <w:sz w:val="16"/>
          <w:szCs w:val="16"/>
          <w:lang w:val="es-CO"/>
        </w:rPr>
        <w:t>, 5 de diciembre de 2014</w:t>
      </w:r>
    </w:p>
  </w:footnote>
  <w:footnote w:id="29">
    <w:p w14:paraId="6FCE95D7"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golpe de Estado.</w:t>
      </w:r>
      <w:r w:rsidRPr="006D4387">
        <w:rPr>
          <w:rFonts w:asciiTheme="majorHAnsi" w:hAnsiTheme="majorHAnsi"/>
          <w:sz w:val="16"/>
          <w:szCs w:val="16"/>
          <w:lang w:val="es-CO"/>
        </w:rPr>
        <w:t xml:space="preserve">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w:t>
      </w:r>
    </w:p>
  </w:footnote>
  <w:footnote w:id="30">
    <w:p w14:paraId="63574C6B"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golpe de Estado.</w:t>
      </w:r>
      <w:r w:rsidRPr="006D4387">
        <w:rPr>
          <w:rFonts w:asciiTheme="majorHAnsi" w:hAnsiTheme="majorHAnsi"/>
          <w:sz w:val="16"/>
          <w:szCs w:val="16"/>
          <w:lang w:val="es-CO"/>
        </w:rPr>
        <w:t xml:space="preserve">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14.</w:t>
      </w:r>
    </w:p>
  </w:footnote>
  <w:footnote w:id="31">
    <w:p w14:paraId="271B93B1"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golpe de Estado.</w:t>
      </w:r>
      <w:r w:rsidRPr="006D4387">
        <w:rPr>
          <w:rFonts w:asciiTheme="majorHAnsi" w:hAnsiTheme="majorHAnsi"/>
          <w:sz w:val="16"/>
          <w:szCs w:val="16"/>
          <w:lang w:val="es-CO"/>
        </w:rPr>
        <w:t xml:space="preserve">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22.</w:t>
      </w:r>
    </w:p>
  </w:footnote>
  <w:footnote w:id="32">
    <w:p w14:paraId="67FDB993" w14:textId="77777777"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golpe de Estado.</w:t>
      </w:r>
      <w:r w:rsidRPr="006D4387">
        <w:rPr>
          <w:rFonts w:asciiTheme="majorHAnsi" w:hAnsiTheme="majorHAnsi"/>
          <w:sz w:val="16"/>
          <w:szCs w:val="16"/>
          <w:lang w:val="es-CO"/>
        </w:rPr>
        <w:t xml:space="preserve">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164.</w:t>
      </w:r>
    </w:p>
  </w:footnote>
  <w:footnote w:id="33">
    <w:p w14:paraId="0BC53929"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el Golpe de Estado</w:t>
      </w:r>
      <w:r w:rsidRPr="006D4387">
        <w:rPr>
          <w:rFonts w:asciiTheme="majorHAnsi" w:hAnsiTheme="majorHAnsi"/>
          <w:sz w:val="16"/>
          <w:szCs w:val="16"/>
          <w:lang w:val="es-CO"/>
        </w:rPr>
        <w:t xml:space="preserve">. </w:t>
      </w:r>
      <w:r w:rsidRPr="006D4387">
        <w:rPr>
          <w:rFonts w:asciiTheme="majorHAnsi" w:hAnsiTheme="majorHAnsi"/>
          <w:sz w:val="16"/>
          <w:szCs w:val="16"/>
          <w:lang w:val="pt-BR"/>
        </w:rPr>
        <w:t xml:space="preserve">OEA/Ser.L/V/II. Doc. 55. </w:t>
      </w:r>
      <w:r w:rsidRPr="006D4387">
        <w:rPr>
          <w:rFonts w:asciiTheme="majorHAnsi" w:hAnsiTheme="majorHAnsi"/>
          <w:sz w:val="16"/>
          <w:szCs w:val="16"/>
          <w:lang w:val="es-CO"/>
        </w:rPr>
        <w:t xml:space="preserve">30 de diciembre de 2009. </w:t>
      </w:r>
      <w:proofErr w:type="spellStart"/>
      <w:r w:rsidRPr="006D4387">
        <w:rPr>
          <w:rFonts w:asciiTheme="majorHAnsi" w:hAnsiTheme="majorHAnsi"/>
          <w:sz w:val="16"/>
          <w:szCs w:val="16"/>
          <w:lang w:val="es-CO"/>
        </w:rPr>
        <w:t>Párrs</w:t>
      </w:r>
      <w:proofErr w:type="spellEnd"/>
      <w:r w:rsidRPr="006D4387">
        <w:rPr>
          <w:rFonts w:asciiTheme="majorHAnsi" w:hAnsiTheme="majorHAnsi"/>
          <w:sz w:val="16"/>
          <w:szCs w:val="16"/>
          <w:lang w:val="es-CO"/>
        </w:rPr>
        <w:t>. 10, 198, 206 y 265.</w:t>
      </w:r>
    </w:p>
  </w:footnote>
  <w:footnote w:id="34">
    <w:p w14:paraId="282E9DEE"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ONU. </w:t>
      </w:r>
      <w:r w:rsidRPr="006D4387">
        <w:rPr>
          <w:rFonts w:asciiTheme="majorHAnsi" w:hAnsiTheme="majorHAnsi"/>
          <w:i/>
          <w:sz w:val="16"/>
          <w:szCs w:val="16"/>
          <w:lang w:val="es-CO"/>
        </w:rPr>
        <w:t xml:space="preserve">Informe del Relator Especial sobre la situación de los defensores de derechos humanos. </w:t>
      </w:r>
      <w:proofErr w:type="spellStart"/>
      <w:r w:rsidRPr="006D4387">
        <w:rPr>
          <w:rFonts w:asciiTheme="majorHAnsi" w:hAnsiTheme="majorHAnsi"/>
          <w:i/>
          <w:sz w:val="16"/>
          <w:szCs w:val="16"/>
          <w:lang w:val="es-CO"/>
        </w:rPr>
        <w:t>Addendum</w:t>
      </w:r>
      <w:proofErr w:type="spellEnd"/>
      <w:r w:rsidRPr="006D4387">
        <w:rPr>
          <w:rFonts w:asciiTheme="majorHAnsi" w:hAnsiTheme="majorHAnsi"/>
          <w:i/>
          <w:sz w:val="16"/>
          <w:szCs w:val="16"/>
          <w:lang w:val="es-CO"/>
        </w:rPr>
        <w:t>: Misión a Honduras</w:t>
      </w:r>
      <w:r w:rsidRPr="006D4387">
        <w:rPr>
          <w:rFonts w:asciiTheme="majorHAnsi" w:hAnsiTheme="majorHAnsi"/>
          <w:sz w:val="16"/>
          <w:szCs w:val="16"/>
          <w:lang w:val="es-CO"/>
        </w:rPr>
        <w:t>, A/HRC/22/47/Add.1. 13 de diciembre de 2012. Párr. 90.</w:t>
      </w:r>
    </w:p>
  </w:footnote>
  <w:footnote w:id="35">
    <w:p w14:paraId="1F6D8A9B" w14:textId="2FCA2585"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Violencia contra personas LGBT.</w:t>
      </w:r>
      <w:r w:rsidRPr="006D4387">
        <w:rPr>
          <w:rFonts w:asciiTheme="majorHAnsi" w:hAnsiTheme="majorHAnsi"/>
          <w:sz w:val="16"/>
          <w:szCs w:val="16"/>
          <w:lang w:val="es-CO"/>
        </w:rPr>
        <w:t xml:space="preserve"> OAS/</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/V/II.rev.2. 12 de noviembre de 2015. Párr. 141.</w:t>
      </w:r>
    </w:p>
  </w:footnote>
  <w:footnote w:id="36">
    <w:p w14:paraId="486B194D"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ONU</w:t>
      </w:r>
      <w:r w:rsidRPr="006D4387">
        <w:rPr>
          <w:rFonts w:asciiTheme="majorHAnsi" w:hAnsiTheme="majorHAnsi"/>
          <w:i/>
          <w:sz w:val="16"/>
          <w:szCs w:val="16"/>
          <w:lang w:val="es-CO"/>
        </w:rPr>
        <w:t xml:space="preserve">. Informe del Relator Especial sobre la situación de los defensores de derechos humanos. </w:t>
      </w:r>
      <w:proofErr w:type="spellStart"/>
      <w:r w:rsidRPr="006D4387">
        <w:rPr>
          <w:rFonts w:asciiTheme="majorHAnsi" w:hAnsiTheme="majorHAnsi"/>
          <w:i/>
          <w:sz w:val="16"/>
          <w:szCs w:val="16"/>
          <w:lang w:val="es-CO"/>
        </w:rPr>
        <w:t>Addendum</w:t>
      </w:r>
      <w:proofErr w:type="spellEnd"/>
      <w:r w:rsidRPr="006D4387">
        <w:rPr>
          <w:rFonts w:asciiTheme="majorHAnsi" w:hAnsiTheme="majorHAnsi"/>
          <w:i/>
          <w:sz w:val="16"/>
          <w:szCs w:val="16"/>
          <w:lang w:val="es-CO"/>
        </w:rPr>
        <w:t>: Misión a Honduras</w:t>
      </w:r>
      <w:r w:rsidRPr="006D4387">
        <w:rPr>
          <w:rFonts w:asciiTheme="majorHAnsi" w:hAnsiTheme="majorHAnsi"/>
          <w:sz w:val="16"/>
          <w:szCs w:val="16"/>
          <w:lang w:val="es-CO"/>
        </w:rPr>
        <w:t>, A/HRC/22/47/Add.1. 13 de diciembre de 2012. Párr. 90.</w:t>
      </w:r>
    </w:p>
  </w:footnote>
  <w:footnote w:id="37">
    <w:p w14:paraId="4FB67344" w14:textId="77777777"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CEJIL</w:t>
      </w:r>
      <w:r w:rsidRPr="006D4387">
        <w:rPr>
          <w:rFonts w:asciiTheme="majorHAnsi" w:hAnsiTheme="majorHAnsi"/>
          <w:sz w:val="16"/>
          <w:szCs w:val="16"/>
          <w:lang w:val="uz-Cyrl-UZ"/>
        </w:rPr>
        <w:t xml:space="preserve">, </w:t>
      </w:r>
      <w:hyperlink r:id="rId8" w:history="1">
        <w:r w:rsidRPr="006D4387">
          <w:rPr>
            <w:rStyle w:val="Hyperlink"/>
            <w:rFonts w:asciiTheme="majorHAnsi" w:hAnsiTheme="majorHAnsi"/>
            <w:i/>
            <w:color w:val="auto"/>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San José, Costa Rica. 2013. Págs. 131-133.</w:t>
      </w:r>
    </w:p>
  </w:footnote>
  <w:footnote w:id="38">
    <w:p w14:paraId="2570DECE" w14:textId="5DD4F5DD"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uz-Cyrl-UZ"/>
        </w:rPr>
        <w:t xml:space="preserve"> Anexo </w:t>
      </w:r>
      <w:r w:rsidRPr="007C1C55">
        <w:rPr>
          <w:rFonts w:asciiTheme="majorHAnsi" w:hAnsiTheme="majorHAnsi"/>
          <w:sz w:val="16"/>
          <w:szCs w:val="16"/>
          <w:lang w:val="uz-Cyrl-UZ"/>
        </w:rPr>
        <w:t>1</w:t>
      </w:r>
      <w:r w:rsidRPr="006D4387">
        <w:rPr>
          <w:rFonts w:asciiTheme="majorHAnsi" w:hAnsiTheme="majorHAnsi"/>
          <w:sz w:val="16"/>
          <w:szCs w:val="16"/>
          <w:lang w:val="uz-Cyrl-UZ"/>
        </w:rPr>
        <w:t>. Informe socio-económico, Cattrachas, 2 de marzo de 2017. Anexo al escrito de la parte peticionaria de 21 de abril de 2017.</w:t>
      </w:r>
    </w:p>
  </w:footnote>
  <w:footnote w:id="39">
    <w:p w14:paraId="76205C46" w14:textId="70D9320F"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uz-Cyrl-UZ"/>
        </w:rPr>
        <w:t xml:space="preserve"> Anexo </w:t>
      </w:r>
      <w:r w:rsidRPr="00D03259">
        <w:rPr>
          <w:rFonts w:asciiTheme="majorHAnsi" w:hAnsiTheme="majorHAnsi"/>
          <w:sz w:val="16"/>
          <w:szCs w:val="16"/>
          <w:lang w:val="uz-Cyrl-UZ"/>
        </w:rPr>
        <w:t>1</w:t>
      </w:r>
      <w:r w:rsidRPr="006D4387">
        <w:rPr>
          <w:rFonts w:asciiTheme="majorHAnsi" w:hAnsiTheme="majorHAnsi"/>
          <w:sz w:val="16"/>
          <w:szCs w:val="16"/>
          <w:lang w:val="uz-Cyrl-UZ"/>
        </w:rPr>
        <w:t>. Informe socio-económico, Cattrachas, 2 de marzo de 2017. Anexo al escrito de la parte peticionaria de 21 de abril de 2017.</w:t>
      </w:r>
    </w:p>
  </w:footnote>
  <w:footnote w:id="40">
    <w:p w14:paraId="5280E8A8" w14:textId="5762539F"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uz-Cyrl-UZ"/>
        </w:rPr>
        <w:t xml:space="preserve"> Escrito de la parte peticionaria de 21 de abril de 2017.</w:t>
      </w:r>
    </w:p>
  </w:footnote>
  <w:footnote w:id="41">
    <w:p w14:paraId="429D299F" w14:textId="69D7DED6"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VE"/>
        </w:rPr>
        <w:t xml:space="preserve">De acuerdo con lo afirmado por la parte peticionaria, Tatiana Rápalo Hernández es prima de la presunta víctima pero fue inscrita en el registro nacional con el apellido de la madre de Vicky, por lo que es considerada por ella como su hija menor. Afirmó que Vicky mantenía una relación muy cercana con Tatiana quien fue la primera persona con la que habló sobre su identidad </w:t>
      </w:r>
      <w:proofErr w:type="spellStart"/>
      <w:r w:rsidRPr="006D4387">
        <w:rPr>
          <w:rFonts w:asciiTheme="majorHAnsi" w:hAnsiTheme="majorHAnsi"/>
          <w:sz w:val="16"/>
          <w:szCs w:val="16"/>
          <w:lang w:val="es-VE"/>
        </w:rPr>
        <w:t>transgénero</w:t>
      </w:r>
      <w:proofErr w:type="spellEnd"/>
      <w:r w:rsidRPr="006D4387">
        <w:rPr>
          <w:rFonts w:asciiTheme="majorHAnsi" w:hAnsiTheme="majorHAnsi"/>
          <w:sz w:val="16"/>
          <w:szCs w:val="16"/>
          <w:lang w:val="es-VE"/>
        </w:rPr>
        <w:t>.</w:t>
      </w:r>
    </w:p>
  </w:footnote>
  <w:footnote w:id="42">
    <w:p w14:paraId="366A5F5B" w14:textId="722EE36F" w:rsidR="006C35D0" w:rsidRPr="006D4387" w:rsidRDefault="006C35D0" w:rsidP="009E1C43">
      <w:pPr>
        <w:pStyle w:val="FootnoteText"/>
        <w:jc w:val="both"/>
        <w:rPr>
          <w:rFonts w:asciiTheme="majorHAnsi" w:hAnsiTheme="majorHAnsi"/>
          <w:sz w:val="16"/>
          <w:szCs w:val="16"/>
          <w:lang w:val="uz-Cyrl-UZ"/>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uz-Cyrl-UZ"/>
        </w:rPr>
        <w:t xml:space="preserve"> Escrito de la parte peticionaria de 21 de abril de 2017.</w:t>
      </w:r>
    </w:p>
  </w:footnote>
  <w:footnote w:id="43">
    <w:p w14:paraId="121927AA" w14:textId="59AFD04B"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44">
    <w:p w14:paraId="3650707F" w14:textId="18CBA500"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w:t>
      </w:r>
      <w:r w:rsidRPr="006D4387">
        <w:rPr>
          <w:rFonts w:asciiTheme="majorHAnsi" w:hAnsiTheme="majorHAnsi"/>
          <w:sz w:val="16"/>
          <w:szCs w:val="16"/>
          <w:lang w:val="es-CO"/>
        </w:rPr>
        <w:t xml:space="preserve">Anexo </w:t>
      </w:r>
      <w:r>
        <w:rPr>
          <w:rFonts w:asciiTheme="majorHAnsi" w:hAnsiTheme="majorHAnsi"/>
          <w:sz w:val="16"/>
          <w:szCs w:val="16"/>
          <w:lang w:val="es-CO"/>
        </w:rPr>
        <w:t>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45">
    <w:p w14:paraId="1B3BB862"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Honduras: Derechos Humanos y Golpe de Estado</w:t>
      </w:r>
      <w:r w:rsidRPr="006D4387">
        <w:rPr>
          <w:rFonts w:asciiTheme="majorHAnsi" w:hAnsiTheme="majorHAnsi"/>
          <w:sz w:val="16"/>
          <w:szCs w:val="16"/>
          <w:lang w:val="es-CO"/>
        </w:rPr>
        <w:t>. 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89.</w:t>
      </w:r>
    </w:p>
  </w:footnote>
  <w:footnote w:id="46">
    <w:p w14:paraId="5D1D47AA" w14:textId="765298BB"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w:t>
      </w:r>
      <w:r w:rsidRPr="006D4387">
        <w:rPr>
          <w:rFonts w:asciiTheme="majorHAnsi" w:hAnsiTheme="majorHAnsi"/>
          <w:sz w:val="16"/>
          <w:szCs w:val="16"/>
          <w:lang w:val="es-CO"/>
        </w:rPr>
        <w:t>. Expediente Investigativo 1057-09 entregado el 20 de noviembre de 2013. Reporte de declaración de Rosa Argelia Hernández Martínez, 3 de mayo de 2011. Anexo al escrito de la parte peticionaria de 1 de abril de 2015.</w:t>
      </w:r>
    </w:p>
  </w:footnote>
  <w:footnote w:id="47">
    <w:p w14:paraId="47532A36" w14:textId="5C9A8A3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w:t>
      </w:r>
      <w:r>
        <w:rPr>
          <w:rFonts w:asciiTheme="majorHAnsi" w:hAnsiTheme="majorHAnsi"/>
          <w:sz w:val="16"/>
          <w:szCs w:val="16"/>
          <w:lang w:val="es-CO"/>
        </w:rPr>
        <w:t xml:space="preserve"> 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48">
    <w:p w14:paraId="4977A50E" w14:textId="4D33D62D"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3</w:t>
      </w:r>
      <w:r w:rsidRPr="006D4387">
        <w:rPr>
          <w:rFonts w:asciiTheme="majorHAnsi" w:hAnsiTheme="majorHAnsi"/>
          <w:sz w:val="16"/>
          <w:szCs w:val="16"/>
          <w:lang w:val="es-CO"/>
        </w:rPr>
        <w:t xml:space="preserve">. Expediente Investigativo 1057-09 entregado el 20 de noviembre de 2013. </w:t>
      </w:r>
      <w:proofErr w:type="spellStart"/>
      <w:r w:rsidRPr="006D4387">
        <w:rPr>
          <w:rFonts w:asciiTheme="majorHAnsi" w:hAnsiTheme="majorHAnsi"/>
          <w:sz w:val="16"/>
          <w:szCs w:val="16"/>
          <w:lang w:val="es-CO"/>
        </w:rPr>
        <w:t>Preeliminar</w:t>
      </w:r>
      <w:proofErr w:type="spellEnd"/>
      <w:r w:rsidRPr="006D4387">
        <w:rPr>
          <w:rFonts w:asciiTheme="majorHAnsi" w:hAnsiTheme="majorHAnsi"/>
          <w:sz w:val="16"/>
          <w:szCs w:val="16"/>
          <w:lang w:val="es-CO"/>
        </w:rPr>
        <w:t xml:space="preserve"> de levantamiento. Anexo al escrito de la parte peticionaria de 1 de abril de 2015.</w:t>
      </w:r>
    </w:p>
  </w:footnote>
  <w:footnote w:id="49">
    <w:p w14:paraId="0E03EC05" w14:textId="3D410F34"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4</w:t>
      </w:r>
      <w:r w:rsidRPr="006D4387">
        <w:rPr>
          <w:rFonts w:asciiTheme="majorHAnsi" w:hAnsiTheme="majorHAnsi"/>
          <w:sz w:val="16"/>
          <w:szCs w:val="16"/>
          <w:lang w:val="es-CO"/>
        </w:rPr>
        <w:t>. Expediente Investigativo 1057-09 entregado el 20 de noviembre de 2013. Acta de levantamiento. Anexo al escrito de la parte peticionaria de 1 de abril de 2015.</w:t>
      </w:r>
    </w:p>
  </w:footnote>
  <w:footnote w:id="50">
    <w:p w14:paraId="02DAAD22" w14:textId="17289AD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4</w:t>
      </w:r>
      <w:r w:rsidRPr="006D4387">
        <w:rPr>
          <w:rFonts w:asciiTheme="majorHAnsi" w:hAnsiTheme="majorHAnsi"/>
          <w:sz w:val="16"/>
          <w:szCs w:val="16"/>
          <w:lang w:val="es-CO"/>
        </w:rPr>
        <w:t>. Expediente Investigativo 1057-09 entregado el 20 de noviembre de 2013. Acta de levantamiento. Anexo al escrito de la parte peticionaria de 1 de abril de 2015.</w:t>
      </w:r>
    </w:p>
  </w:footnote>
  <w:footnote w:id="51">
    <w:p w14:paraId="1A309A0A" w14:textId="3D26E45A"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4</w:t>
      </w:r>
      <w:r w:rsidRPr="006D4387">
        <w:rPr>
          <w:rFonts w:asciiTheme="majorHAnsi" w:hAnsiTheme="majorHAnsi"/>
          <w:sz w:val="16"/>
          <w:szCs w:val="16"/>
          <w:lang w:val="es-CO"/>
        </w:rPr>
        <w:t>. Expediente Investigativo 1057-09 entregado el 20 de noviembre de 2013. Acta de levantamiento. Anexo al escrito de la parte peticionaria de 1 de abril de 2015.</w:t>
      </w:r>
    </w:p>
  </w:footnote>
  <w:footnote w:id="52">
    <w:p w14:paraId="55923D50"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CIPRODEH. </w:t>
      </w:r>
      <w:r w:rsidRPr="006D4387">
        <w:rPr>
          <w:rFonts w:asciiTheme="majorHAnsi" w:hAnsiTheme="majorHAnsi"/>
          <w:i/>
          <w:sz w:val="16"/>
          <w:szCs w:val="16"/>
          <w:lang w:val="es-CO"/>
        </w:rPr>
        <w:t>Reporte de violaciones a derechos humanos después del golpe de Estado político-militar del 28 de junio de 2009</w:t>
      </w:r>
      <w:r w:rsidRPr="006D4387">
        <w:rPr>
          <w:rFonts w:asciiTheme="majorHAnsi" w:hAnsiTheme="majorHAnsi"/>
          <w:sz w:val="16"/>
          <w:szCs w:val="16"/>
          <w:lang w:val="es-CO"/>
        </w:rPr>
        <w:t>, 17 de julio de 2009. Pág. 8.</w:t>
      </w:r>
    </w:p>
  </w:footnote>
  <w:footnote w:id="53">
    <w:p w14:paraId="1965BA1C" w14:textId="14ADCED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5</w:t>
      </w:r>
      <w:r w:rsidRPr="006D4387">
        <w:rPr>
          <w:rFonts w:asciiTheme="majorHAnsi" w:hAnsiTheme="majorHAnsi"/>
          <w:sz w:val="16"/>
          <w:szCs w:val="16"/>
          <w:lang w:val="es-CO"/>
        </w:rPr>
        <w:t>. Oficio FGR No. 667-2015, Fiscalía General de la República, 14 de octubre de 2015. Anexo al escrito del Estado de 7 de diciembre de 2015.</w:t>
      </w:r>
    </w:p>
  </w:footnote>
  <w:footnote w:id="54">
    <w:p w14:paraId="4D276ED7" w14:textId="1E7D954F"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w:t>
      </w:r>
      <w:r w:rsidRPr="006D4387">
        <w:rPr>
          <w:rFonts w:asciiTheme="majorHAnsi" w:hAnsiTheme="majorHAnsi"/>
          <w:sz w:val="16"/>
          <w:szCs w:val="16"/>
          <w:lang w:val="es-CO"/>
        </w:rPr>
        <w:t>. Expediente Investigativo 1057-09 entregado el 20 de noviembre de 2013. Reporte de declaración de Rosa Argelia Hernández Martínez, 3 de mayo de 2011. Anexo al escrito de la parte peticionaria de 1 de abril de 2015.</w:t>
      </w:r>
    </w:p>
  </w:footnote>
  <w:footnote w:id="55">
    <w:p w14:paraId="7CD40312" w14:textId="6B98D16D"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56">
    <w:p w14:paraId="6C86C8FD" w14:textId="3383F7A0"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w:t>
      </w:r>
      <w:r w:rsidRPr="006D4387">
        <w:rPr>
          <w:rFonts w:asciiTheme="majorHAnsi" w:hAnsiTheme="majorHAnsi"/>
          <w:sz w:val="16"/>
          <w:szCs w:val="16"/>
          <w:lang w:val="es-CO"/>
        </w:rPr>
        <w:t>. Expediente Investigativo 1057-09 entregado el 20 de noviembre de 2013. Reporte de declaración de Rosa Argelia Hernández Martínez, 3 de mayo de 2011. Anexo al escrito de la parte peticionaria de 1 de abril de 2015.</w:t>
      </w:r>
    </w:p>
  </w:footnote>
  <w:footnote w:id="57">
    <w:p w14:paraId="09D99111" w14:textId="7A052576"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58">
    <w:p w14:paraId="7A9EF617" w14:textId="4DBDDC3F"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6</w:t>
      </w:r>
      <w:r w:rsidRPr="006D4387">
        <w:rPr>
          <w:rFonts w:asciiTheme="majorHAnsi" w:hAnsiTheme="majorHAnsi"/>
          <w:sz w:val="16"/>
          <w:szCs w:val="16"/>
          <w:lang w:val="es-CO"/>
        </w:rPr>
        <w:t>. Informe de misión, 14-18 de octubre de 2013. Anexo al escrito de la parte peticionaria de 21 de abril de 2017.</w:t>
      </w:r>
    </w:p>
  </w:footnote>
  <w:footnote w:id="59">
    <w:p w14:paraId="3F53C40C" w14:textId="52DA74C5"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7</w:t>
      </w:r>
      <w:r w:rsidRPr="006D4387">
        <w:rPr>
          <w:rFonts w:asciiTheme="majorHAnsi" w:hAnsiTheme="majorHAnsi"/>
          <w:sz w:val="16"/>
          <w:szCs w:val="16"/>
          <w:lang w:val="es-CO"/>
        </w:rPr>
        <w:t>. Expediente Investigativo 1057-09 entregado el 20 de noviembre de 2013. Anexo al escrito de la parte peticionaria de 1 de abril de 2015.</w:t>
      </w:r>
    </w:p>
  </w:footnote>
  <w:footnote w:id="60">
    <w:p w14:paraId="0B94C539" w14:textId="4A9AB1AC"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Escrito del Estado de 3 de noviembre de 2017.</w:t>
      </w:r>
    </w:p>
  </w:footnote>
  <w:footnote w:id="61">
    <w:p w14:paraId="655ECC69" w14:textId="38D1ADFD"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3 y 4</w:t>
      </w:r>
      <w:r w:rsidRPr="006D4387">
        <w:rPr>
          <w:rFonts w:asciiTheme="majorHAnsi" w:hAnsiTheme="majorHAnsi"/>
          <w:sz w:val="16"/>
          <w:szCs w:val="16"/>
          <w:lang w:val="es-CO"/>
        </w:rPr>
        <w:t>. Expediente Investigativo 1057-09 entregado el 20 de noviembre d</w:t>
      </w:r>
      <w:r w:rsidR="00B96FD5">
        <w:rPr>
          <w:rFonts w:asciiTheme="majorHAnsi" w:hAnsiTheme="majorHAnsi"/>
          <w:sz w:val="16"/>
          <w:szCs w:val="16"/>
          <w:lang w:val="es-CO"/>
        </w:rPr>
        <w:t>e 2013. Pr</w:t>
      </w:r>
      <w:r w:rsidRPr="006D4387">
        <w:rPr>
          <w:rFonts w:asciiTheme="majorHAnsi" w:hAnsiTheme="majorHAnsi"/>
          <w:sz w:val="16"/>
          <w:szCs w:val="16"/>
          <w:lang w:val="es-CO"/>
        </w:rPr>
        <w:t>eliminar de levantamiento y Acta de levantamiento. Anexo al escrito de la parte peticionaria de 1 de abril de 2015.</w:t>
      </w:r>
    </w:p>
  </w:footnote>
  <w:footnote w:id="62">
    <w:p w14:paraId="00D4B489"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 xml:space="preserve">Honduras: Derechos Humanos y Golpe de Estado. </w:t>
      </w:r>
      <w:r w:rsidRPr="006D4387">
        <w:rPr>
          <w:rFonts w:asciiTheme="majorHAnsi" w:hAnsiTheme="majorHAnsi"/>
          <w:sz w:val="16"/>
          <w:szCs w:val="16"/>
          <w:lang w:val="es-CO"/>
        </w:rPr>
        <w:t>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238.</w:t>
      </w:r>
    </w:p>
  </w:footnote>
  <w:footnote w:id="63">
    <w:p w14:paraId="7B1E9DD1"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CIDH. </w:t>
      </w:r>
      <w:r w:rsidRPr="006D4387">
        <w:rPr>
          <w:rFonts w:asciiTheme="majorHAnsi" w:hAnsiTheme="majorHAnsi"/>
          <w:i/>
          <w:sz w:val="16"/>
          <w:szCs w:val="16"/>
          <w:lang w:val="es-CO"/>
        </w:rPr>
        <w:t xml:space="preserve">Honduras: Derechos Humanos y Golpe de Estado. </w:t>
      </w:r>
      <w:r w:rsidRPr="006D4387">
        <w:rPr>
          <w:rFonts w:asciiTheme="majorHAnsi" w:hAnsiTheme="majorHAnsi"/>
          <w:sz w:val="16"/>
          <w:szCs w:val="16"/>
          <w:lang w:val="es-CO"/>
        </w:rPr>
        <w:t>OEA/</w:t>
      </w:r>
      <w:proofErr w:type="spellStart"/>
      <w:r w:rsidRPr="006D4387">
        <w:rPr>
          <w:rFonts w:asciiTheme="majorHAnsi" w:hAnsiTheme="majorHAnsi"/>
          <w:sz w:val="16"/>
          <w:szCs w:val="16"/>
          <w:lang w:val="es-CO"/>
        </w:rPr>
        <w:t>Ser.L</w:t>
      </w:r>
      <w:proofErr w:type="spellEnd"/>
      <w:r w:rsidRPr="006D4387">
        <w:rPr>
          <w:rFonts w:asciiTheme="majorHAnsi" w:hAnsiTheme="majorHAnsi"/>
          <w:sz w:val="16"/>
          <w:szCs w:val="16"/>
          <w:lang w:val="es-CO"/>
        </w:rPr>
        <w:t>/V/II. 30 de diciembre de 2009. Párr. 238.</w:t>
      </w:r>
    </w:p>
  </w:footnote>
  <w:footnote w:id="64">
    <w:p w14:paraId="60996804"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XX. Expediente Investigativo 1057-09 entregado el 20 de noviembre de 2013.Oficio, Unidad de Delitos contra la Vida, 16 de marzo de 2016. Anexo al escrito de la parte peticionaria de 1 de abril de 2015.</w:t>
      </w:r>
    </w:p>
  </w:footnote>
  <w:footnote w:id="65">
    <w:p w14:paraId="223027EF" w14:textId="60EB0626"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8</w:t>
      </w:r>
      <w:r w:rsidRPr="006D4387">
        <w:rPr>
          <w:rFonts w:asciiTheme="majorHAnsi" w:hAnsiTheme="majorHAnsi"/>
          <w:sz w:val="16"/>
          <w:szCs w:val="16"/>
          <w:lang w:val="es-CO"/>
        </w:rPr>
        <w:t>. Expediente Investigativo 1057-09 entregado el 20 de noviembre de 2013. Oficio, Fiscalía de Instrucción Unidad Delitos contra la Vida, 30 de marzo de 2011. Anexo al escrito de la parte peticionaria de 1 de abril de 2015.</w:t>
      </w:r>
    </w:p>
  </w:footnote>
  <w:footnote w:id="66">
    <w:p w14:paraId="2C78CB2D" w14:textId="7D778D8A"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w:t>
      </w:r>
      <w:r w:rsidRPr="006D4387">
        <w:rPr>
          <w:rFonts w:asciiTheme="majorHAnsi" w:hAnsiTheme="majorHAnsi"/>
          <w:sz w:val="16"/>
          <w:szCs w:val="16"/>
          <w:lang w:val="es-CO"/>
        </w:rPr>
        <w:t>. Expediente Investigativo 1057-09 entregado el 20 de noviembre de 2013. Reporte de declaración de Rosa Argelia Hernández Martínez, 3 de mayo de 2011. Anexo al escrito de la parte peticionaria de 1 de abril de 2015.</w:t>
      </w:r>
    </w:p>
  </w:footnote>
  <w:footnote w:id="67">
    <w:p w14:paraId="31173E89" w14:textId="1EFC409E"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3</w:t>
      </w:r>
      <w:r w:rsidRPr="006D4387">
        <w:rPr>
          <w:rFonts w:asciiTheme="majorHAnsi" w:hAnsiTheme="majorHAnsi"/>
          <w:sz w:val="16"/>
          <w:szCs w:val="16"/>
          <w:lang w:val="es-CO"/>
        </w:rPr>
        <w:t xml:space="preserve">. Expediente Investigativo 1057-09 entregado el 20 de noviembre de 2013. </w:t>
      </w:r>
      <w:proofErr w:type="spellStart"/>
      <w:r w:rsidRPr="006D4387">
        <w:rPr>
          <w:rFonts w:asciiTheme="majorHAnsi" w:hAnsiTheme="majorHAnsi"/>
          <w:sz w:val="16"/>
          <w:szCs w:val="16"/>
          <w:lang w:val="es-CO"/>
        </w:rPr>
        <w:t>Preeliminar</w:t>
      </w:r>
      <w:proofErr w:type="spellEnd"/>
      <w:r w:rsidRPr="006D4387">
        <w:rPr>
          <w:rFonts w:asciiTheme="majorHAnsi" w:hAnsiTheme="majorHAnsi"/>
          <w:sz w:val="16"/>
          <w:szCs w:val="16"/>
          <w:lang w:val="es-CO"/>
        </w:rPr>
        <w:t xml:space="preserve"> de levantamiento. Anexo al escrito de la parte peticionaria de 1 de abril de 2015.</w:t>
      </w:r>
    </w:p>
  </w:footnote>
  <w:footnote w:id="68">
    <w:p w14:paraId="63C6E8A8" w14:textId="463719D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9</w:t>
      </w:r>
      <w:r w:rsidRPr="006D4387">
        <w:rPr>
          <w:rFonts w:asciiTheme="majorHAnsi" w:hAnsiTheme="majorHAnsi"/>
          <w:sz w:val="16"/>
          <w:szCs w:val="16"/>
          <w:lang w:val="es-CO"/>
        </w:rPr>
        <w:t>. Expediente Investigativo 1057-09 entregado el 20 de noviembre de 2013. Oficio, Unidad de Delitos contra la Vida, 16 de marzo de 2016. Anexo al escrito de la parte peticionaria de 1 de abril de 2015 y Anexo XX. Escrito de la parte peticionaria de 21 de abril de 2017.</w:t>
      </w:r>
    </w:p>
  </w:footnote>
  <w:footnote w:id="69">
    <w:p w14:paraId="60D85B88" w14:textId="142E43D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10</w:t>
      </w:r>
      <w:r w:rsidRPr="006D4387">
        <w:rPr>
          <w:rFonts w:asciiTheme="majorHAnsi" w:hAnsiTheme="majorHAnsi"/>
          <w:sz w:val="16"/>
          <w:szCs w:val="16"/>
          <w:lang w:val="es-CO"/>
        </w:rPr>
        <w:t>. Expediente Investigativo 1057-09 entregado el 20 de noviembre de 2013. Constancia de antecedentes policiales. Anexo al escrito de la parte peticionaria de 1 de abril de 2015.</w:t>
      </w:r>
    </w:p>
  </w:footnote>
  <w:footnote w:id="70">
    <w:p w14:paraId="673C5CD3" w14:textId="083C367C"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11</w:t>
      </w:r>
      <w:r w:rsidRPr="006D4387">
        <w:rPr>
          <w:rFonts w:asciiTheme="majorHAnsi" w:hAnsiTheme="majorHAnsi"/>
          <w:sz w:val="16"/>
          <w:szCs w:val="16"/>
          <w:lang w:val="es-CO"/>
        </w:rPr>
        <w:t>. Expediente Investigativo 1057-09 entregado el 20 de noviembre de 2013. Oficio 053-13, Fiscalía de Delitos contra la Vida, 8 de marzo de 2013. Anexo al escrito de la parte peticionaria de 1 de abril de 2015.</w:t>
      </w:r>
    </w:p>
  </w:footnote>
  <w:footnote w:id="71">
    <w:p w14:paraId="11C2047D" w14:textId="7D40670C"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12</w:t>
      </w:r>
      <w:r w:rsidRPr="006D4387">
        <w:rPr>
          <w:rFonts w:asciiTheme="majorHAnsi" w:hAnsiTheme="majorHAnsi"/>
          <w:sz w:val="16"/>
          <w:szCs w:val="16"/>
          <w:lang w:val="es-CO"/>
        </w:rPr>
        <w:t>. Expediente Investigativo 1057-09 entregado el 20 de noviembre de 2013. Oficio 055-13, Fiscalía de Delitos contra la Vida, 8 de marzo de 2013. Anexo al escrito de la parte peticionaria de 1 de abril de 2015.</w:t>
      </w:r>
    </w:p>
  </w:footnote>
  <w:footnote w:id="72">
    <w:p w14:paraId="659CE8A4" w14:textId="1615586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13</w:t>
      </w:r>
      <w:r w:rsidRPr="006D4387">
        <w:rPr>
          <w:rFonts w:asciiTheme="majorHAnsi" w:hAnsiTheme="majorHAnsi"/>
          <w:sz w:val="16"/>
          <w:szCs w:val="16"/>
          <w:lang w:val="es-CO"/>
        </w:rPr>
        <w:t>. Expediente Investigativo 1057-09 entregado el 20 de noviembre de 2013. Informe, Fiscalía Especial de Delitos contra la Vida UEMIS, 23 de julio de 2013. Anexo al escrito de la parte peticionaria de 1 de abril de 2015.</w:t>
      </w:r>
    </w:p>
  </w:footnote>
  <w:footnote w:id="73">
    <w:p w14:paraId="4F95C620" w14:textId="5214F1C1"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14</w:t>
      </w:r>
      <w:r w:rsidRPr="006D4387">
        <w:rPr>
          <w:rFonts w:asciiTheme="majorHAnsi" w:hAnsiTheme="majorHAnsi"/>
          <w:sz w:val="16"/>
          <w:szCs w:val="16"/>
          <w:lang w:val="es-CO"/>
        </w:rPr>
        <w:t xml:space="preserve">. Comunicaciones con abogadas de la Fiscalía solicitando copia de expediente judicial. Anexos </w:t>
      </w:r>
      <w:proofErr w:type="gramStart"/>
      <w:r w:rsidRPr="006D4387">
        <w:rPr>
          <w:rFonts w:asciiTheme="majorHAnsi" w:hAnsiTheme="majorHAnsi"/>
          <w:sz w:val="16"/>
          <w:szCs w:val="16"/>
          <w:lang w:val="es-CO"/>
        </w:rPr>
        <w:t>a</w:t>
      </w:r>
      <w:proofErr w:type="gramEnd"/>
      <w:r w:rsidRPr="006D4387">
        <w:rPr>
          <w:rFonts w:asciiTheme="majorHAnsi" w:hAnsiTheme="majorHAnsi"/>
          <w:sz w:val="16"/>
          <w:szCs w:val="16"/>
          <w:lang w:val="es-CO"/>
        </w:rPr>
        <w:t xml:space="preserve"> escrito de la parte peticionaria de 23 de agosto de 2013.</w:t>
      </w:r>
    </w:p>
  </w:footnote>
  <w:footnote w:id="74">
    <w:p w14:paraId="5A7B3A81" w14:textId="2D35C564"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15</w:t>
      </w:r>
      <w:r w:rsidRPr="006D4387">
        <w:rPr>
          <w:rFonts w:asciiTheme="majorHAnsi" w:hAnsiTheme="majorHAnsi"/>
          <w:sz w:val="16"/>
          <w:szCs w:val="16"/>
          <w:lang w:val="es-CO"/>
        </w:rPr>
        <w:t>. Expediente Investigativo 1057-09 entregado el 20 de noviembre de 2013. Poder conferido por Rosa Argelia Hernández Martínez a la abogada Romero. Anexo al escrito de la parte peticionaria de 1 de abril de 2015.</w:t>
      </w:r>
    </w:p>
  </w:footnote>
  <w:footnote w:id="75">
    <w:p w14:paraId="44803BE8" w14:textId="59DF7FF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w:t>
      </w:r>
      <w:r>
        <w:rPr>
          <w:rFonts w:asciiTheme="majorHAnsi" w:hAnsiTheme="majorHAnsi"/>
          <w:sz w:val="16"/>
          <w:szCs w:val="16"/>
          <w:lang w:val="es-CO"/>
        </w:rPr>
        <w:t xml:space="preserve"> 6</w:t>
      </w:r>
      <w:r w:rsidRPr="006D4387">
        <w:rPr>
          <w:rFonts w:asciiTheme="majorHAnsi" w:hAnsiTheme="majorHAnsi"/>
          <w:sz w:val="16"/>
          <w:szCs w:val="16"/>
          <w:lang w:val="es-CO"/>
        </w:rPr>
        <w:t>. Informe de misión, 14-18 de octubre de 2013. Anexo al escrito de la parte peticionaria de 21 de abril de 2017.</w:t>
      </w:r>
    </w:p>
  </w:footnote>
  <w:footnote w:id="76">
    <w:p w14:paraId="06871358" w14:textId="79675362"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6</w:t>
      </w:r>
      <w:r w:rsidRPr="006D4387">
        <w:rPr>
          <w:rFonts w:asciiTheme="majorHAnsi" w:hAnsiTheme="majorHAnsi"/>
          <w:sz w:val="16"/>
          <w:szCs w:val="16"/>
          <w:lang w:val="es-CO"/>
        </w:rPr>
        <w:t>. Informe de misión, 14-18 de octubre de 2013. Anexo al escrito de la parte peticionaria de 21 de abril de 2017.</w:t>
      </w:r>
    </w:p>
  </w:footnote>
  <w:footnote w:id="77">
    <w:p w14:paraId="50831223" w14:textId="418DC718"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16</w:t>
      </w:r>
      <w:r w:rsidRPr="006D4387">
        <w:rPr>
          <w:rFonts w:asciiTheme="majorHAnsi" w:hAnsiTheme="majorHAnsi"/>
          <w:sz w:val="16"/>
          <w:szCs w:val="16"/>
          <w:lang w:val="es-CO"/>
        </w:rPr>
        <w:t>. Expediente Investigativo 1057-09 entregado el 20 de noviembre de 2013.Acta de diligencia, Fiscalía Especial de Delitos contra la Vida, 16 de octubre de 2013. Anexo al escrito de la parte peticionaria de 1 de abril de 2015.</w:t>
      </w:r>
    </w:p>
  </w:footnote>
  <w:footnote w:id="78">
    <w:p w14:paraId="4F5BB609" w14:textId="58F415B7"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17</w:t>
      </w:r>
      <w:r w:rsidRPr="006D4387">
        <w:rPr>
          <w:rFonts w:asciiTheme="majorHAnsi" w:hAnsiTheme="majorHAnsi"/>
          <w:sz w:val="16"/>
          <w:szCs w:val="16"/>
          <w:lang w:val="es-CO"/>
        </w:rPr>
        <w:t>. Expediente Investigativo 1057-09 entregado el 20 de noviembre de 2013. Solicitud de copia del expediente 1057-09 por la abogada Rita Romero, 17 de octubre de 2013. Anexo al escrito de la parte peticionaria de 1 de abril de 2015.</w:t>
      </w:r>
    </w:p>
  </w:footnote>
  <w:footnote w:id="79">
    <w:p w14:paraId="0C6351A3" w14:textId="3270E5AD"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18</w:t>
      </w:r>
      <w:r w:rsidRPr="006D4387">
        <w:rPr>
          <w:rFonts w:asciiTheme="majorHAnsi" w:hAnsiTheme="majorHAnsi"/>
          <w:sz w:val="16"/>
          <w:szCs w:val="16"/>
          <w:lang w:val="es-CO"/>
        </w:rPr>
        <w:t>. Solicitud a la Dirección Regional de Medicina Forense, 17 de octubre de 2013. Anexo al escrito de la parte peticionaria de 1 de abril de 2015.</w:t>
      </w:r>
    </w:p>
  </w:footnote>
  <w:footnote w:id="80">
    <w:p w14:paraId="593F8FF0" w14:textId="0683CCEB"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18</w:t>
      </w:r>
      <w:r w:rsidRPr="006D4387">
        <w:rPr>
          <w:rFonts w:asciiTheme="majorHAnsi" w:hAnsiTheme="majorHAnsi"/>
          <w:sz w:val="16"/>
          <w:szCs w:val="16"/>
          <w:lang w:val="es-CO"/>
        </w:rPr>
        <w:t>. Solicitud a la Dirección Regional de Medicina Forense, 17 de octubre de 2013. Anexo al escrito de la parte peticionaria de 1 de abril de 2015.</w:t>
      </w:r>
    </w:p>
  </w:footnote>
  <w:footnote w:id="81">
    <w:p w14:paraId="7681CD17" w14:textId="5A0565CD" w:rsidR="006C35D0" w:rsidRPr="006D4387" w:rsidRDefault="006C35D0" w:rsidP="009E1C43">
      <w:pPr>
        <w:jc w:val="both"/>
        <w:rPr>
          <w:rFonts w:asciiTheme="majorHAnsi" w:hAnsiTheme="majorHAnsi"/>
          <w:sz w:val="16"/>
          <w:szCs w:val="16"/>
          <w:highlight w:val="yellow"/>
          <w:lang w:val="es-CO"/>
        </w:rPr>
      </w:pPr>
      <w:r w:rsidRPr="006D4387">
        <w:rPr>
          <w:rFonts w:asciiTheme="majorHAnsi" w:hAnsiTheme="majorHAnsi"/>
          <w:sz w:val="16"/>
          <w:szCs w:val="16"/>
          <w:vertAlign w:val="superscript"/>
          <w:lang w:val="es-CO"/>
        </w:rPr>
        <w:footnoteRef/>
      </w:r>
      <w:r>
        <w:rPr>
          <w:rFonts w:asciiTheme="majorHAnsi" w:hAnsiTheme="majorHAnsi"/>
          <w:sz w:val="16"/>
          <w:szCs w:val="16"/>
          <w:lang w:val="es-CO"/>
        </w:rPr>
        <w:t xml:space="preserve"> Anexo 19</w:t>
      </w:r>
      <w:r w:rsidRPr="006D4387">
        <w:rPr>
          <w:rFonts w:asciiTheme="majorHAnsi" w:hAnsiTheme="majorHAnsi"/>
          <w:sz w:val="16"/>
          <w:szCs w:val="16"/>
          <w:lang w:val="es-CO"/>
        </w:rPr>
        <w:t>. Oficio, Coordinador Regional de Medicina Forense, 18 de octubre de 2013. Anexo al escrito de la parte peticionaria de 1 de abril de 2015.</w:t>
      </w:r>
    </w:p>
  </w:footnote>
  <w:footnote w:id="82">
    <w:p w14:paraId="6CA5E290" w14:textId="5E808CFF"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20</w:t>
      </w:r>
      <w:r w:rsidRPr="006D4387">
        <w:rPr>
          <w:rFonts w:asciiTheme="majorHAnsi" w:hAnsiTheme="majorHAnsi"/>
          <w:sz w:val="16"/>
          <w:szCs w:val="16"/>
          <w:lang w:val="es-CO"/>
        </w:rPr>
        <w:t>. Expediente Investigativo 1057-09 entregado el 20 de noviembre de 2013. Oficio 322-13, Fiscal Unidad de Muerte de Impacto Social, 28 de octubre de 2013. Anexo al escrito de la parte peticionaria de 1 de abril de 2015.</w:t>
      </w:r>
    </w:p>
  </w:footnote>
  <w:footnote w:id="83">
    <w:p w14:paraId="32F1AE37" w14:textId="78BCEC8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21</w:t>
      </w:r>
      <w:r w:rsidRPr="006D4387">
        <w:rPr>
          <w:rFonts w:asciiTheme="majorHAnsi" w:hAnsiTheme="majorHAnsi"/>
          <w:sz w:val="16"/>
          <w:szCs w:val="16"/>
          <w:lang w:val="es-CO"/>
        </w:rPr>
        <w:t>. Expediente Investigativo 1057-09 entregado el 20 de noviembre de 2013. Auto motivado, Fiscalía de delitos contra la vida, 28 de octubre de 2013. Anexo al escrito de la parte peticionaria de 1 de abril de 2015.</w:t>
      </w:r>
    </w:p>
  </w:footnote>
  <w:footnote w:id="84">
    <w:p w14:paraId="52D33ED2" w14:textId="44476146"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22</w:t>
      </w:r>
      <w:r w:rsidRPr="006D4387">
        <w:rPr>
          <w:rFonts w:asciiTheme="majorHAnsi" w:hAnsiTheme="majorHAnsi"/>
          <w:sz w:val="16"/>
          <w:szCs w:val="16"/>
          <w:lang w:val="es-CO"/>
        </w:rPr>
        <w:t>. Expediente Investigativo 1057-09 entregado el 20 de noviembre de 2013. Solicitud de copia del expediente 1057-09 por la abogada Rita Romero, 30 de octubre de 2013. Anexo al escrito de la parte peticionaria de 1 de abril de 2015.</w:t>
      </w:r>
    </w:p>
  </w:footnote>
  <w:footnote w:id="85">
    <w:p w14:paraId="0D1DED69" w14:textId="09CFC58E"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Pr>
          <w:rFonts w:asciiTheme="majorHAnsi" w:hAnsiTheme="majorHAnsi"/>
          <w:sz w:val="16"/>
          <w:szCs w:val="16"/>
          <w:lang w:val="es-CO"/>
        </w:rPr>
        <w:t xml:space="preserve"> Anexo 23</w:t>
      </w:r>
      <w:r w:rsidRPr="006D4387">
        <w:rPr>
          <w:rFonts w:asciiTheme="majorHAnsi" w:hAnsiTheme="majorHAnsi"/>
          <w:sz w:val="16"/>
          <w:szCs w:val="16"/>
          <w:lang w:val="es-CO"/>
        </w:rPr>
        <w:t>. Solicitud a la Fiscalía Especial Delitos contra la Vida, 30 de octubre de 2013. Anexo al escrito de la parte peticionaria de 1 de abril de 2015.</w:t>
      </w:r>
    </w:p>
  </w:footnote>
  <w:footnote w:id="86">
    <w:p w14:paraId="669014BB" w14:textId="1AC0E064"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24</w:t>
      </w:r>
      <w:r w:rsidRPr="006D4387">
        <w:rPr>
          <w:rFonts w:asciiTheme="majorHAnsi" w:hAnsiTheme="majorHAnsi"/>
          <w:sz w:val="16"/>
          <w:szCs w:val="16"/>
          <w:lang w:val="es-CO"/>
        </w:rPr>
        <w:t>. Expediente Investigativo 1057-09 entregado el 20 de noviembre de 2013. Informe, Fiscalía Especial de Delitos contra la Vida UEMIS, 4 de noviembre de 2013. Anexo al escrito de la parte peticionaria de 1 de abril de 2015.</w:t>
      </w:r>
    </w:p>
  </w:footnote>
  <w:footnote w:id="87">
    <w:p w14:paraId="407835D5" w14:textId="6F505FE3"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 la parte peticionaria de 21 de abril de 2017.</w:t>
      </w:r>
    </w:p>
  </w:footnote>
  <w:footnote w:id="88">
    <w:p w14:paraId="5EB5F56F" w14:textId="699758E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25</w:t>
      </w:r>
      <w:r w:rsidRPr="006D4387">
        <w:rPr>
          <w:rFonts w:asciiTheme="majorHAnsi" w:hAnsiTheme="majorHAnsi"/>
          <w:sz w:val="16"/>
          <w:szCs w:val="16"/>
          <w:lang w:val="es-CO"/>
        </w:rPr>
        <w:t>. Expediente Investigativo 1057-09 entregado el 20 de noviembre de 2013. Acta de diligencia, Fiscalía Especial de Delitos contra la Vida, 4 de noviembre de 2013. Anexo al escrito de la parte peticionaria de 1 de abril de 2015.</w:t>
      </w:r>
    </w:p>
  </w:footnote>
  <w:footnote w:id="89">
    <w:p w14:paraId="059580FD" w14:textId="68402CA3"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26</w:t>
      </w:r>
      <w:r w:rsidRPr="006D4387">
        <w:rPr>
          <w:rFonts w:asciiTheme="majorHAnsi" w:hAnsiTheme="majorHAnsi"/>
          <w:sz w:val="16"/>
          <w:szCs w:val="16"/>
          <w:lang w:val="es-CO"/>
        </w:rPr>
        <w:t>. Expediente Investigativo 1057-09 entregado el 20 de noviembre de 2013. Memorando No. 80-13, Unidad Especial de Muerte de Impacto Social, 12 de noviembre de 2013. Anexo al escrito de la parte peticionaria de 1 de abril de 2015.</w:t>
      </w:r>
    </w:p>
  </w:footnote>
  <w:footnote w:id="90">
    <w:p w14:paraId="53821F55" w14:textId="5FF074D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Pr>
          <w:rFonts w:asciiTheme="majorHAnsi" w:hAnsiTheme="majorHAnsi"/>
          <w:sz w:val="16"/>
          <w:szCs w:val="16"/>
          <w:lang w:val="es-CO"/>
        </w:rPr>
        <w:t xml:space="preserve"> Anexo 27</w:t>
      </w:r>
      <w:r w:rsidRPr="006D4387">
        <w:rPr>
          <w:rFonts w:asciiTheme="majorHAnsi" w:hAnsiTheme="majorHAnsi"/>
          <w:sz w:val="16"/>
          <w:szCs w:val="16"/>
          <w:lang w:val="es-CO"/>
        </w:rPr>
        <w:t>. Expediente Investigativo 1057-09 entregado el 20 de noviembre de 2013. Auto motivado, Jefatura de Fiscalía de delitos contra la vida, 20 de noviembre de 2013. Anexo al escrito de la parte peticionaria de 1 de abril de 2015.</w:t>
      </w:r>
    </w:p>
  </w:footnote>
  <w:footnote w:id="91">
    <w:p w14:paraId="41F8ED46" w14:textId="45338E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28</w:t>
      </w:r>
      <w:r w:rsidRPr="006D4387">
        <w:rPr>
          <w:rFonts w:asciiTheme="majorHAnsi" w:hAnsiTheme="majorHAnsi"/>
          <w:sz w:val="16"/>
          <w:szCs w:val="16"/>
          <w:lang w:val="es-CO"/>
        </w:rPr>
        <w:t>. Reiteración de solicitud de 30 de octubre de 2013, 12 de marzo de 2015. Anexo al escrito de la parte peticionaria de 1 de abril de 2015.</w:t>
      </w:r>
    </w:p>
  </w:footnote>
  <w:footnote w:id="92">
    <w:p w14:paraId="05B377C4" w14:textId="71FD3173"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28.</w:t>
      </w:r>
      <w:r w:rsidRPr="006D4387">
        <w:rPr>
          <w:rFonts w:asciiTheme="majorHAnsi" w:hAnsiTheme="majorHAnsi"/>
          <w:sz w:val="16"/>
          <w:szCs w:val="16"/>
          <w:lang w:val="es-CO"/>
        </w:rPr>
        <w:t xml:space="preserve"> Reiteración de solicitud de 30 de octubre de 2013, 12 de marzo de 2015. Anexo al escrito de la parte peticionaria de 1 de abril de 2015.</w:t>
      </w:r>
    </w:p>
  </w:footnote>
  <w:footnote w:id="93">
    <w:p w14:paraId="51064BCE" w14:textId="1366B3E9"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28</w:t>
      </w:r>
      <w:r w:rsidRPr="006D4387">
        <w:rPr>
          <w:rFonts w:asciiTheme="majorHAnsi" w:hAnsiTheme="majorHAnsi"/>
          <w:sz w:val="16"/>
          <w:szCs w:val="16"/>
          <w:lang w:val="es-CO"/>
        </w:rPr>
        <w:t>. Reiteración de solicitud de 30 de octubre de 2013, 12 de marzo de 2015. Anexo al escrito de la parte peticionaria de 1 de abril de 2015.</w:t>
      </w:r>
    </w:p>
  </w:footnote>
  <w:footnote w:id="94">
    <w:p w14:paraId="7997011D" w14:textId="375C3ADA" w:rsidR="006C35D0" w:rsidRPr="006D4387" w:rsidRDefault="006C35D0" w:rsidP="009E1C43">
      <w:pPr>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 la parte peticionaria de 21 de abril de 2017.</w:t>
      </w:r>
    </w:p>
  </w:footnote>
  <w:footnote w:id="95">
    <w:p w14:paraId="3112A93A" w14:textId="684A8DE4"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del Estado de 3 de noviembre de 2017.</w:t>
      </w:r>
    </w:p>
  </w:footnote>
  <w:footnote w:id="96">
    <w:p w14:paraId="32ED3A61" w14:textId="0F3255B9"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del Estado de 3 de noviembre de 2017.</w:t>
      </w:r>
    </w:p>
  </w:footnote>
  <w:footnote w:id="97">
    <w:p w14:paraId="51E55B9A" w14:textId="190F5148"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 la parte peticionaria de 21 de abril de 2017.</w:t>
      </w:r>
    </w:p>
  </w:footnote>
  <w:footnote w:id="98">
    <w:p w14:paraId="66F7FDE8" w14:textId="7BADFE09"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 la parte peticionaria de 21 de abril de 2017.</w:t>
      </w:r>
    </w:p>
  </w:footnote>
  <w:footnote w:id="99">
    <w:p w14:paraId="52D49AC0" w14:textId="719F6526"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1</w:t>
      </w:r>
      <w:r w:rsidRPr="006D4387">
        <w:rPr>
          <w:rFonts w:asciiTheme="majorHAnsi" w:hAnsiTheme="majorHAnsi"/>
          <w:sz w:val="16"/>
          <w:szCs w:val="16"/>
          <w:lang w:val="es-CO"/>
        </w:rPr>
        <w:t xml:space="preserve">. Informe socio-económico, </w:t>
      </w:r>
      <w:proofErr w:type="spellStart"/>
      <w:r w:rsidRPr="006D4387">
        <w:rPr>
          <w:rFonts w:asciiTheme="majorHAnsi" w:hAnsiTheme="majorHAnsi"/>
          <w:sz w:val="16"/>
          <w:szCs w:val="16"/>
          <w:lang w:val="es-CO"/>
        </w:rPr>
        <w:t>Cattrachas</w:t>
      </w:r>
      <w:proofErr w:type="spellEnd"/>
      <w:r w:rsidRPr="006D4387">
        <w:rPr>
          <w:rFonts w:asciiTheme="majorHAnsi" w:hAnsiTheme="majorHAnsi"/>
          <w:sz w:val="16"/>
          <w:szCs w:val="16"/>
          <w:lang w:val="es-CO"/>
        </w:rPr>
        <w:t>, 2 de marzo de 2017. Anexo al escrito de la parte peticionaria de 21 de abril de 2017.</w:t>
      </w:r>
    </w:p>
  </w:footnote>
  <w:footnote w:id="100">
    <w:p w14:paraId="4141A00D" w14:textId="0AF8596B"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Escrito de la parte peticionaria de 21 de abril de 2017.</w:t>
      </w:r>
    </w:p>
  </w:footnote>
  <w:footnote w:id="101">
    <w:p w14:paraId="0DA5E692" w14:textId="15250A94"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6</w:t>
      </w:r>
      <w:r w:rsidRPr="006D4387">
        <w:rPr>
          <w:rFonts w:asciiTheme="majorHAnsi" w:hAnsiTheme="majorHAnsi"/>
          <w:sz w:val="16"/>
          <w:szCs w:val="16"/>
          <w:lang w:val="es-CO"/>
        </w:rPr>
        <w:t>. Informe de misión, 14-18 de octubre de 2013. Anexo al escrito de la parte peticionaria de 21 de abril de 2017.</w:t>
      </w:r>
    </w:p>
  </w:footnote>
  <w:footnote w:id="102">
    <w:p w14:paraId="308B2C55" w14:textId="54968293" w:rsidR="006C35D0" w:rsidRPr="006D4387" w:rsidRDefault="006C35D0" w:rsidP="009E1C43">
      <w:pPr>
        <w:jc w:val="both"/>
        <w:rPr>
          <w:rFonts w:asciiTheme="majorHAnsi" w:hAnsiTheme="majorHAnsi"/>
          <w:sz w:val="16"/>
          <w:szCs w:val="16"/>
          <w:lang w:val="es-CO"/>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CO"/>
        </w:rPr>
        <w:t xml:space="preserve"> Anexo </w:t>
      </w:r>
      <w:r>
        <w:rPr>
          <w:rFonts w:asciiTheme="majorHAnsi" w:hAnsiTheme="majorHAnsi"/>
          <w:sz w:val="16"/>
          <w:szCs w:val="16"/>
          <w:lang w:val="es-CO"/>
        </w:rPr>
        <w:t>6</w:t>
      </w:r>
      <w:r w:rsidRPr="006D4387">
        <w:rPr>
          <w:rFonts w:asciiTheme="majorHAnsi" w:hAnsiTheme="majorHAnsi"/>
          <w:sz w:val="16"/>
          <w:szCs w:val="16"/>
          <w:lang w:val="es-CO"/>
        </w:rPr>
        <w:t>. Informe de misión, 14-18 de octubre de 2013. Anexo al escrito de la parte peticionaria de 21 de abril de 2017.</w:t>
      </w:r>
    </w:p>
  </w:footnote>
  <w:footnote w:id="103">
    <w:p w14:paraId="663082AE" w14:textId="77777777"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lang w:val="es-CO"/>
        </w:rPr>
        <w:footnoteRef/>
      </w:r>
      <w:r w:rsidRPr="006D4387">
        <w:rPr>
          <w:rFonts w:asciiTheme="majorHAnsi" w:hAnsiTheme="majorHAnsi"/>
          <w:sz w:val="16"/>
          <w:szCs w:val="16"/>
          <w:lang w:val="es-CO"/>
        </w:rPr>
        <w:t xml:space="preserve"> REDLACTRANS</w:t>
      </w:r>
      <w:r w:rsidRPr="006D4387">
        <w:rPr>
          <w:rFonts w:asciiTheme="majorHAnsi" w:hAnsiTheme="majorHAnsi"/>
          <w:i/>
          <w:sz w:val="16"/>
          <w:szCs w:val="16"/>
          <w:lang w:val="es-CO"/>
        </w:rPr>
        <w:t xml:space="preserve">, La Noche Es Otro País - Impunidad y Violencia contra las Mujeres </w:t>
      </w:r>
      <w:proofErr w:type="spellStart"/>
      <w:r w:rsidRPr="006D4387">
        <w:rPr>
          <w:rFonts w:asciiTheme="majorHAnsi" w:hAnsiTheme="majorHAnsi"/>
          <w:i/>
          <w:sz w:val="16"/>
          <w:szCs w:val="16"/>
          <w:lang w:val="es-CO"/>
        </w:rPr>
        <w:t>Transgénero</w:t>
      </w:r>
      <w:proofErr w:type="spellEnd"/>
      <w:r w:rsidRPr="006D4387">
        <w:rPr>
          <w:rFonts w:asciiTheme="majorHAnsi" w:hAnsiTheme="majorHAnsi"/>
          <w:i/>
          <w:sz w:val="16"/>
          <w:szCs w:val="16"/>
          <w:lang w:val="es-CO"/>
        </w:rPr>
        <w:t xml:space="preserve"> Defensoras de Derechos Humanos en América Latina,</w:t>
      </w:r>
      <w:r w:rsidRPr="006D4387">
        <w:rPr>
          <w:rFonts w:asciiTheme="majorHAnsi" w:hAnsiTheme="majorHAnsi"/>
          <w:sz w:val="16"/>
          <w:szCs w:val="16"/>
          <w:lang w:val="es-CO"/>
        </w:rPr>
        <w:t xml:space="preserve"> 2012, págs. 28-29.</w:t>
      </w:r>
    </w:p>
  </w:footnote>
  <w:footnote w:id="104">
    <w:p w14:paraId="3D8DA0D5" w14:textId="77777777" w:rsidR="006C35D0" w:rsidRPr="006D4387" w:rsidRDefault="006C35D0" w:rsidP="009E1C43">
      <w:pPr>
        <w:pStyle w:val="FootnoteText"/>
        <w:tabs>
          <w:tab w:val="left" w:pos="9360"/>
        </w:tabs>
        <w:jc w:val="both"/>
        <w:rPr>
          <w:rFonts w:asciiTheme="majorHAnsi" w:hAnsiTheme="majorHAnsi"/>
          <w:color w:val="auto"/>
          <w:sz w:val="16"/>
          <w:szCs w:val="16"/>
          <w:lang w:val="es-MX"/>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MX"/>
        </w:rPr>
        <w:t xml:space="preserve"> Artículo 4.1: Toda persona tiene derecho a que se respete su vida. Este derecho estará protegido por la ley y, en general, a partir del momento de la concepción. Nadie puede ser privado de la vida arbitrariamente. </w:t>
      </w:r>
    </w:p>
  </w:footnote>
  <w:footnote w:id="105">
    <w:p w14:paraId="7D5FD51B" w14:textId="77777777" w:rsidR="006C35D0" w:rsidRPr="006D4387" w:rsidRDefault="006C35D0" w:rsidP="009E1C43">
      <w:pPr>
        <w:pStyle w:val="FootnoteText"/>
        <w:tabs>
          <w:tab w:val="left" w:pos="9360"/>
        </w:tabs>
        <w:jc w:val="both"/>
        <w:rPr>
          <w:rFonts w:asciiTheme="majorHAnsi" w:hAnsiTheme="majorHAnsi"/>
          <w:color w:val="auto"/>
          <w:sz w:val="16"/>
          <w:szCs w:val="16"/>
          <w:lang w:val="es-MX"/>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MX"/>
        </w:rPr>
        <w:t xml:space="preserve"> Artículo 5.1: </w:t>
      </w:r>
      <w:r w:rsidRPr="006D4387">
        <w:rPr>
          <w:rFonts w:asciiTheme="majorHAnsi" w:hAnsiTheme="majorHAnsi"/>
          <w:color w:val="auto"/>
          <w:sz w:val="16"/>
          <w:szCs w:val="16"/>
          <w:lang w:val="es-ES_tradnl"/>
        </w:rPr>
        <w:t>Toda persona tiene derecho a que se respete su integridad física, psíquica y moral.</w:t>
      </w:r>
    </w:p>
  </w:footnote>
  <w:footnote w:id="106">
    <w:p w14:paraId="607F62D2"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VE"/>
        </w:rPr>
        <w:t xml:space="preserve"> </w:t>
      </w:r>
      <w:r w:rsidRPr="006D4387">
        <w:rPr>
          <w:rFonts w:asciiTheme="majorHAnsi" w:eastAsia="Times New Roman" w:hAnsiTheme="majorHAnsi" w:cs="Cambria"/>
          <w:color w:val="auto"/>
          <w:sz w:val="16"/>
          <w:szCs w:val="16"/>
          <w:lang w:val="es-ES"/>
        </w:rPr>
        <w:t xml:space="preserve">Dicho artículo indica, en lo pertinente: </w:t>
      </w:r>
      <w:r w:rsidRPr="006D4387">
        <w:rPr>
          <w:rFonts w:asciiTheme="majorHAnsi" w:hAnsiTheme="majorHAnsi"/>
          <w:color w:val="auto"/>
          <w:spacing w:val="-3"/>
          <w:sz w:val="16"/>
          <w:szCs w:val="16"/>
          <w:lang w:val="es-ES"/>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w:t>
      </w:r>
      <w:r w:rsidRPr="006D4387">
        <w:rPr>
          <w:rFonts w:asciiTheme="majorHAnsi" w:hAnsiTheme="majorHAnsi"/>
          <w:color w:val="auto"/>
          <w:sz w:val="16"/>
          <w:szCs w:val="16"/>
          <w:lang w:val="es-ES"/>
        </w:rPr>
        <w:t xml:space="preserve">. </w:t>
      </w:r>
    </w:p>
  </w:footnote>
  <w:footnote w:id="107">
    <w:p w14:paraId="11FEEF6E" w14:textId="77777777" w:rsidR="006C35D0" w:rsidRPr="006D4387" w:rsidRDefault="006C35D0" w:rsidP="009E1C43">
      <w:pPr>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pacing w:val="-3"/>
          <w:sz w:val="16"/>
          <w:szCs w:val="16"/>
          <w:lang w:val="es-ES"/>
        </w:rPr>
        <w:t>El artículo 13 de la Convención señala, en lo pertinente: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108">
    <w:p w14:paraId="7C33F9F7" w14:textId="77777777" w:rsidR="006C35D0" w:rsidRPr="006D4387" w:rsidRDefault="006C35D0" w:rsidP="009E1C43">
      <w:pPr>
        <w:pStyle w:val="FootnoteText"/>
        <w:tabs>
          <w:tab w:val="left" w:pos="9360"/>
        </w:tabs>
        <w:jc w:val="both"/>
        <w:rPr>
          <w:rFonts w:asciiTheme="majorHAnsi" w:hAnsiTheme="majorHAnsi"/>
          <w:color w:val="auto"/>
          <w:sz w:val="16"/>
          <w:szCs w:val="16"/>
          <w:lang w:val="es-MX"/>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MX"/>
        </w:rPr>
        <w:t xml:space="preserve"> Artículo 24: Todas las personas son iguales ante la ley. En consecuencia, tienen derecho, sin discriminación, a igual protección de la ley.</w:t>
      </w:r>
    </w:p>
  </w:footnote>
  <w:footnote w:id="109">
    <w:p w14:paraId="710982F8" w14:textId="77777777" w:rsidR="006C35D0" w:rsidRPr="006D4387" w:rsidRDefault="006C35D0" w:rsidP="009E1C43">
      <w:pPr>
        <w:pStyle w:val="FootnoteText"/>
        <w:jc w:val="both"/>
        <w:rPr>
          <w:rFonts w:asciiTheme="majorHAnsi" w:hAnsiTheme="majorHAnsi" w:cs="Tahoma"/>
          <w:color w:val="auto"/>
          <w:sz w:val="16"/>
          <w:szCs w:val="16"/>
          <w:shd w:val="clear" w:color="auto" w:fill="FFFFFF"/>
          <w:lang w:val="es-CO"/>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CO"/>
        </w:rPr>
        <w:t xml:space="preserve"> </w:t>
      </w:r>
      <w:r w:rsidRPr="006D4387">
        <w:rPr>
          <w:rFonts w:asciiTheme="majorHAnsi" w:hAnsiTheme="majorHAnsi" w:cs="Tahoma"/>
          <w:color w:val="auto"/>
          <w:sz w:val="16"/>
          <w:szCs w:val="16"/>
          <w:shd w:val="clear" w:color="auto" w:fill="FFFFFF"/>
          <w:lang w:val="es-CO"/>
        </w:rPr>
        <w:t xml:space="preserve">Artículo 7 de la Convención de Belém do Pará señala que: </w:t>
      </w:r>
      <w:r w:rsidRPr="006D4387">
        <w:rPr>
          <w:rFonts w:asciiTheme="majorHAnsi" w:hAnsiTheme="majorHAnsi" w:cs="Tahoma"/>
          <w:color w:val="auto"/>
          <w:sz w:val="16"/>
          <w:szCs w:val="16"/>
          <w:lang w:val="es-CO"/>
        </w:rPr>
        <w:t>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w:t>
      </w:r>
    </w:p>
  </w:footnote>
  <w:footnote w:id="110">
    <w:p w14:paraId="14F2693F" w14:textId="77777777" w:rsidR="006C35D0" w:rsidRPr="006D4387" w:rsidRDefault="006C35D0" w:rsidP="009E1C43">
      <w:pPr>
        <w:pStyle w:val="FootnoteText"/>
        <w:tabs>
          <w:tab w:val="left" w:pos="720"/>
          <w:tab w:val="left" w:pos="900"/>
          <w:tab w:val="left" w:pos="1080"/>
        </w:tabs>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lang w:val="es-ES"/>
        </w:rPr>
        <w:footnoteRef/>
      </w:r>
      <w:r w:rsidRPr="006D4387">
        <w:rPr>
          <w:rFonts w:asciiTheme="majorHAnsi" w:hAnsiTheme="majorHAnsi"/>
          <w:color w:val="auto"/>
          <w:sz w:val="16"/>
          <w:szCs w:val="16"/>
          <w:lang w:val="es-ES"/>
        </w:rPr>
        <w:t xml:space="preserve"> CIDH, Caso 12.270, Informe No. 2/15, Fondo, Johan Alexis Ortiz Hernández, Venezuela, 29 de enero de 2015, párr. 185.</w:t>
      </w:r>
    </w:p>
  </w:footnote>
  <w:footnote w:id="111">
    <w:p w14:paraId="32BC40D2" w14:textId="77777777" w:rsidR="006C35D0" w:rsidRPr="006D4387" w:rsidRDefault="006C35D0" w:rsidP="009E1C43">
      <w:pPr>
        <w:pStyle w:val="FootnoteText"/>
        <w:tabs>
          <w:tab w:val="left" w:pos="720"/>
          <w:tab w:val="left" w:pos="900"/>
          <w:tab w:val="left" w:pos="1080"/>
        </w:tabs>
        <w:jc w:val="both"/>
        <w:rPr>
          <w:rFonts w:asciiTheme="majorHAnsi" w:hAnsiTheme="majorHAnsi"/>
          <w:color w:val="auto"/>
          <w:sz w:val="16"/>
          <w:szCs w:val="16"/>
          <w:lang w:val="es-CO"/>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_tradnl"/>
        </w:rPr>
        <w:t xml:space="preserve"> </w:t>
      </w:r>
      <w:r w:rsidRPr="006D4387">
        <w:rPr>
          <w:rFonts w:asciiTheme="majorHAnsi" w:hAnsiTheme="majorHAnsi"/>
          <w:color w:val="auto"/>
          <w:sz w:val="16"/>
          <w:szCs w:val="16"/>
          <w:lang w:val="es-ES"/>
        </w:rPr>
        <w:t xml:space="preserve">CIDH, Caso 12.270. Informe No. 2/15, Fondo, Johan Alexis Ortiz Hernández, Venezuela, 29 de enero de 2015, párr. </w:t>
      </w:r>
      <w:r w:rsidRPr="006D4387">
        <w:rPr>
          <w:rFonts w:asciiTheme="majorHAnsi" w:hAnsiTheme="majorHAnsi"/>
          <w:color w:val="auto"/>
          <w:sz w:val="16"/>
          <w:szCs w:val="16"/>
          <w:lang w:val="es-CO"/>
        </w:rPr>
        <w:t xml:space="preserve">186; </w:t>
      </w:r>
      <w:r w:rsidRPr="006D4387">
        <w:rPr>
          <w:rFonts w:asciiTheme="majorHAnsi" w:hAnsiTheme="majorHAnsi"/>
          <w:color w:val="auto"/>
          <w:sz w:val="16"/>
          <w:szCs w:val="16"/>
          <w:lang w:val="es-ES_tradnl"/>
        </w:rPr>
        <w:t xml:space="preserve">Corte IDH. </w:t>
      </w:r>
      <w:r w:rsidRPr="006D4387">
        <w:rPr>
          <w:rFonts w:asciiTheme="majorHAnsi" w:hAnsiTheme="majorHAnsi"/>
          <w:bCs/>
          <w:color w:val="auto"/>
          <w:sz w:val="16"/>
          <w:szCs w:val="16"/>
          <w:lang w:val="es-ES_tradnl"/>
        </w:rPr>
        <w:t xml:space="preserve">Caso Zambrano Vélez y otros Vs. Ecuador. </w:t>
      </w:r>
      <w:r w:rsidRPr="006D4387">
        <w:rPr>
          <w:rFonts w:asciiTheme="majorHAnsi" w:hAnsiTheme="majorHAnsi"/>
          <w:color w:val="auto"/>
          <w:sz w:val="16"/>
          <w:szCs w:val="16"/>
          <w:lang w:val="es-ES_tradnl"/>
        </w:rPr>
        <w:t xml:space="preserve">Fondo, Reparaciones y Costas. Sentencia de 4 de julio de 2007. Serie C No. 166, párr. 80. </w:t>
      </w:r>
    </w:p>
  </w:footnote>
  <w:footnote w:id="112">
    <w:p w14:paraId="7B0F9532" w14:textId="77777777" w:rsidR="006C35D0" w:rsidRPr="006D4387" w:rsidRDefault="006C35D0" w:rsidP="009E1C43">
      <w:pPr>
        <w:ind w:right="11"/>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w:t>
      </w:r>
      <w:r w:rsidRPr="006D4387">
        <w:rPr>
          <w:rFonts w:asciiTheme="majorHAnsi" w:hAnsiTheme="majorHAnsi"/>
          <w:sz w:val="16"/>
          <w:szCs w:val="16"/>
          <w:lang w:val="es-ES_tradnl"/>
        </w:rPr>
        <w:t xml:space="preserve">Corte IDH. Caso Velásquez Rodríguez Vs. Honduras. </w:t>
      </w:r>
      <w:hyperlink r:id="rId9" w:history="1">
        <w:r w:rsidRPr="006D4387">
          <w:rPr>
            <w:rStyle w:val="Hyperlink"/>
            <w:rFonts w:asciiTheme="majorHAnsi" w:hAnsiTheme="majorHAnsi" w:cs="Arial"/>
            <w:sz w:val="16"/>
            <w:szCs w:val="16"/>
            <w:shd w:val="clear" w:color="auto" w:fill="FFFFFF"/>
            <w:lang w:val="es-ES"/>
          </w:rPr>
          <w:t xml:space="preserve">Fondo. Sentencia de 29 de julio de 1988. </w:t>
        </w:r>
        <w:r w:rsidRPr="006D4387">
          <w:rPr>
            <w:rStyle w:val="Hyperlink"/>
            <w:rFonts w:asciiTheme="majorHAnsi" w:hAnsiTheme="majorHAnsi" w:cs="Arial"/>
            <w:sz w:val="16"/>
            <w:szCs w:val="16"/>
            <w:shd w:val="clear" w:color="auto" w:fill="FFFFFF"/>
            <w:lang w:val="es-US"/>
          </w:rPr>
          <w:t>Serie C No. 4</w:t>
        </w:r>
      </w:hyperlink>
      <w:r w:rsidRPr="006D4387">
        <w:rPr>
          <w:rStyle w:val="Hyperlink"/>
          <w:rFonts w:asciiTheme="majorHAnsi" w:hAnsiTheme="majorHAnsi" w:cs="Arial"/>
          <w:sz w:val="16"/>
          <w:szCs w:val="16"/>
          <w:shd w:val="clear" w:color="auto" w:fill="FFFFFF"/>
          <w:lang w:val="es-US"/>
        </w:rPr>
        <w:t xml:space="preserve">. Párr. 164. </w:t>
      </w:r>
    </w:p>
  </w:footnote>
  <w:footnote w:id="113">
    <w:p w14:paraId="1FDBA85C" w14:textId="77777777" w:rsidR="006C35D0" w:rsidRPr="006D4387" w:rsidRDefault="006C35D0" w:rsidP="009E1C43">
      <w:pPr>
        <w:jc w:val="both"/>
        <w:rPr>
          <w:rFonts w:asciiTheme="majorHAnsi" w:hAnsiTheme="majorHAnsi"/>
          <w:sz w:val="16"/>
          <w:szCs w:val="16"/>
          <w:lang w:val="es-ES_tradnl"/>
        </w:rPr>
      </w:pPr>
      <w:r w:rsidRPr="006D4387">
        <w:rPr>
          <w:rFonts w:asciiTheme="majorHAnsi" w:hAnsiTheme="majorHAnsi" w:cs="Arial"/>
          <w:sz w:val="16"/>
          <w:szCs w:val="16"/>
          <w:vertAlign w:val="superscript"/>
          <w:lang w:val="es-ES_tradnl"/>
        </w:rPr>
        <w:footnoteRef/>
      </w:r>
      <w:r w:rsidRPr="006D4387">
        <w:rPr>
          <w:rFonts w:asciiTheme="majorHAnsi" w:hAnsiTheme="majorHAnsi" w:cs="Arial"/>
          <w:sz w:val="16"/>
          <w:szCs w:val="16"/>
          <w:lang w:val="es-ES_tradnl"/>
        </w:rPr>
        <w:t xml:space="preserve"> </w:t>
      </w:r>
      <w:hyperlink r:id="rId10" w:history="1">
        <w:r w:rsidRPr="006D4387">
          <w:rPr>
            <w:rFonts w:asciiTheme="majorHAnsi" w:hAnsiTheme="majorHAnsi"/>
            <w:sz w:val="16"/>
            <w:szCs w:val="16"/>
            <w:lang w:val="es-ES_tradnl"/>
          </w:rPr>
          <w:t>Corte IDH. Caso González Medina y familiares Vs. República Dominicana. Excepciones Preliminares, Fondo, Reparaciones y Costas. Sentencia de 27 de febrero de 2012 Serie C No. 240</w:t>
        </w:r>
      </w:hyperlink>
      <w:r w:rsidRPr="006D4387">
        <w:rPr>
          <w:rFonts w:asciiTheme="majorHAnsi" w:hAnsiTheme="majorHAnsi"/>
          <w:sz w:val="16"/>
          <w:szCs w:val="16"/>
          <w:lang w:val="es-ES_tradnl"/>
        </w:rPr>
        <w:t xml:space="preserve">, párr.133; </w:t>
      </w:r>
      <w:r w:rsidRPr="006D4387">
        <w:rPr>
          <w:rFonts w:asciiTheme="majorHAnsi" w:hAnsiTheme="majorHAnsi" w:cs="Arial"/>
          <w:sz w:val="16"/>
          <w:szCs w:val="16"/>
          <w:lang w:val="es-ES_tradnl"/>
        </w:rPr>
        <w:t>Corte I/A DH, Caso de la Masacre de Pueblo Bello vs. Colombia, Sentencia de 31 de enero de 2006, Serie C No. 140, párrafo 112.</w:t>
      </w:r>
    </w:p>
  </w:footnote>
  <w:footnote w:id="114">
    <w:p w14:paraId="48D69B60" w14:textId="77777777" w:rsidR="006C35D0" w:rsidRPr="006D4387" w:rsidRDefault="006C35D0" w:rsidP="009E1C43">
      <w:pPr>
        <w:ind w:right="11"/>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w:t>
      </w:r>
      <w:r w:rsidRPr="006D4387">
        <w:rPr>
          <w:rFonts w:asciiTheme="majorHAnsi" w:hAnsiTheme="majorHAnsi"/>
          <w:sz w:val="16"/>
          <w:szCs w:val="16"/>
          <w:lang w:val="es-ES_tradnl"/>
        </w:rPr>
        <w:t xml:space="preserve">Corte IDH. Caso Velásquez Rodríguez Vs. Honduras. </w:t>
      </w:r>
      <w:hyperlink r:id="rId11" w:history="1">
        <w:r w:rsidRPr="006D4387">
          <w:rPr>
            <w:rStyle w:val="Hyperlink"/>
            <w:rFonts w:asciiTheme="majorHAnsi" w:hAnsiTheme="majorHAnsi" w:cs="Arial"/>
            <w:sz w:val="16"/>
            <w:szCs w:val="16"/>
            <w:shd w:val="clear" w:color="auto" w:fill="FFFFFF"/>
            <w:lang w:val="es-ES"/>
          </w:rPr>
          <w:t xml:space="preserve">Fondo. Sentencia de 29 de julio de 1988. </w:t>
        </w:r>
        <w:r w:rsidRPr="006D4387">
          <w:rPr>
            <w:rStyle w:val="Hyperlink"/>
            <w:rFonts w:asciiTheme="majorHAnsi" w:hAnsiTheme="majorHAnsi" w:cs="Arial"/>
            <w:sz w:val="16"/>
            <w:szCs w:val="16"/>
            <w:shd w:val="clear" w:color="auto" w:fill="FFFFFF"/>
            <w:lang w:val="es-US"/>
          </w:rPr>
          <w:t>Serie C No. 4</w:t>
        </w:r>
      </w:hyperlink>
      <w:r w:rsidRPr="006D4387">
        <w:rPr>
          <w:rStyle w:val="Hyperlink"/>
          <w:rFonts w:asciiTheme="majorHAnsi" w:hAnsiTheme="majorHAnsi" w:cs="Arial"/>
          <w:sz w:val="16"/>
          <w:szCs w:val="16"/>
          <w:shd w:val="clear" w:color="auto" w:fill="FFFFFF"/>
          <w:lang w:val="es-US"/>
        </w:rPr>
        <w:t xml:space="preserve">. Párr. 169; ve también CIDH, Informe No. 11/10, Caso 12.488, Fondo, Miembros de la Familia Barrios, Venezuela, 16 de marzo de 2010, párr.91.  </w:t>
      </w:r>
    </w:p>
  </w:footnote>
  <w:footnote w:id="115">
    <w:p w14:paraId="6C13966D" w14:textId="77777777" w:rsidR="006C35D0" w:rsidRPr="006D4387" w:rsidRDefault="006C35D0" w:rsidP="009E1C43">
      <w:pPr>
        <w:ind w:right="11"/>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w:t>
      </w:r>
      <w:r w:rsidRPr="006D4387">
        <w:rPr>
          <w:rFonts w:asciiTheme="majorHAnsi" w:hAnsiTheme="majorHAnsi"/>
          <w:sz w:val="16"/>
          <w:szCs w:val="16"/>
          <w:lang w:val="es-ES_tradnl"/>
        </w:rPr>
        <w:t xml:space="preserve">Corte IDH. Caso Velásquez Rodríguez Vs. Honduras. </w:t>
      </w:r>
      <w:hyperlink r:id="rId12" w:history="1">
        <w:r w:rsidRPr="006D4387">
          <w:rPr>
            <w:rStyle w:val="Hyperlink"/>
            <w:rFonts w:asciiTheme="majorHAnsi" w:hAnsiTheme="majorHAnsi" w:cs="Arial"/>
            <w:sz w:val="16"/>
            <w:szCs w:val="16"/>
            <w:shd w:val="clear" w:color="auto" w:fill="FFFFFF"/>
            <w:lang w:val="es-ES"/>
          </w:rPr>
          <w:t xml:space="preserve">Fondo. Sentencia de 29 de julio de 1988. </w:t>
        </w:r>
        <w:r w:rsidRPr="006D4387">
          <w:rPr>
            <w:rStyle w:val="Hyperlink"/>
            <w:rFonts w:asciiTheme="majorHAnsi" w:hAnsiTheme="majorHAnsi" w:cs="Arial"/>
            <w:sz w:val="16"/>
            <w:szCs w:val="16"/>
            <w:shd w:val="clear" w:color="auto" w:fill="FFFFFF"/>
            <w:lang w:val="es-US"/>
          </w:rPr>
          <w:t>Serie C No. 4</w:t>
        </w:r>
      </w:hyperlink>
      <w:r w:rsidRPr="006D4387">
        <w:rPr>
          <w:rStyle w:val="Hyperlink"/>
          <w:rFonts w:asciiTheme="majorHAnsi" w:hAnsiTheme="majorHAnsi" w:cs="Arial"/>
          <w:sz w:val="16"/>
          <w:szCs w:val="16"/>
          <w:shd w:val="clear" w:color="auto" w:fill="FFFFFF"/>
          <w:lang w:val="es-US"/>
        </w:rPr>
        <w:t xml:space="preserve">. Párr. 170. </w:t>
      </w:r>
    </w:p>
  </w:footnote>
  <w:footnote w:id="116">
    <w:p w14:paraId="467ECAA9"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Informe No 65/01. Caso 11.073. Fondo. Juan Humberto Sánchez. Honduras. 6 de marzo de 2001, parr.88.   </w:t>
      </w:r>
    </w:p>
  </w:footnote>
  <w:footnote w:id="117">
    <w:p w14:paraId="09318100" w14:textId="77777777" w:rsidR="006C35D0" w:rsidRPr="006D4387" w:rsidRDefault="006C35D0" w:rsidP="009E1C43">
      <w:pPr>
        <w:ind w:right="11"/>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w:t>
      </w:r>
      <w:r w:rsidRPr="006D4387">
        <w:rPr>
          <w:rFonts w:asciiTheme="majorHAnsi" w:hAnsiTheme="majorHAnsi"/>
          <w:sz w:val="16"/>
          <w:szCs w:val="16"/>
          <w:lang w:val="es-ES_tradnl"/>
        </w:rPr>
        <w:t xml:space="preserve">Corte IDH. Caso Velásquez Rodríguez Vs. Honduras. </w:t>
      </w:r>
      <w:hyperlink r:id="rId13" w:history="1">
        <w:r w:rsidRPr="006D4387">
          <w:rPr>
            <w:rStyle w:val="Hyperlink"/>
            <w:rFonts w:asciiTheme="majorHAnsi" w:hAnsiTheme="majorHAnsi" w:cs="Arial"/>
            <w:sz w:val="16"/>
            <w:szCs w:val="16"/>
            <w:shd w:val="clear" w:color="auto" w:fill="FFFFFF"/>
            <w:lang w:val="es-ES"/>
          </w:rPr>
          <w:t xml:space="preserve">Fondo. Sentencia de 29 de julio de 1988. </w:t>
        </w:r>
        <w:r w:rsidRPr="006D4387">
          <w:rPr>
            <w:rStyle w:val="Hyperlink"/>
            <w:rFonts w:asciiTheme="majorHAnsi" w:hAnsiTheme="majorHAnsi" w:cs="Arial"/>
            <w:sz w:val="16"/>
            <w:szCs w:val="16"/>
            <w:shd w:val="clear" w:color="auto" w:fill="FFFFFF"/>
            <w:lang w:val="es-US"/>
          </w:rPr>
          <w:t>Serie C No. 4</w:t>
        </w:r>
      </w:hyperlink>
      <w:r w:rsidRPr="006D4387">
        <w:rPr>
          <w:rStyle w:val="Hyperlink"/>
          <w:rFonts w:asciiTheme="majorHAnsi" w:hAnsiTheme="majorHAnsi" w:cs="Arial"/>
          <w:sz w:val="16"/>
          <w:szCs w:val="16"/>
          <w:shd w:val="clear" w:color="auto" w:fill="FFFFFF"/>
          <w:lang w:val="es-US"/>
        </w:rPr>
        <w:t xml:space="preserve">. Párr. 166. </w:t>
      </w:r>
    </w:p>
  </w:footnote>
  <w:footnote w:id="118">
    <w:p w14:paraId="4B2E9B0A" w14:textId="77777777" w:rsidR="006C35D0" w:rsidRPr="006D4387" w:rsidRDefault="006C35D0" w:rsidP="009E1C43">
      <w:pPr>
        <w:jc w:val="both"/>
        <w:rPr>
          <w:rFonts w:asciiTheme="majorHAnsi" w:hAnsiTheme="majorHAnsi"/>
          <w:sz w:val="16"/>
          <w:szCs w:val="16"/>
          <w:lang w:val="it-IT"/>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w:t>
      </w:r>
      <w:r w:rsidRPr="006D4387">
        <w:rPr>
          <w:rFonts w:asciiTheme="majorHAnsi" w:hAnsiTheme="majorHAnsi"/>
          <w:sz w:val="16"/>
          <w:szCs w:val="16"/>
          <w:lang w:val="es-ES_tradnl"/>
        </w:rPr>
        <w:t xml:space="preserve">Corte IDH. </w:t>
      </w:r>
      <w:r w:rsidRPr="006D4387">
        <w:rPr>
          <w:rFonts w:asciiTheme="majorHAnsi" w:hAnsiTheme="majorHAnsi"/>
          <w:iCs/>
          <w:sz w:val="16"/>
          <w:szCs w:val="16"/>
          <w:lang w:val="es-ES_tradnl"/>
        </w:rPr>
        <w:t>Caso</w:t>
      </w:r>
      <w:r w:rsidRPr="006D4387">
        <w:rPr>
          <w:rFonts w:asciiTheme="majorHAnsi" w:hAnsiTheme="majorHAnsi"/>
          <w:sz w:val="16"/>
          <w:szCs w:val="16"/>
          <w:lang w:val="es-ES_tradnl"/>
        </w:rPr>
        <w:t xml:space="preserve"> </w:t>
      </w:r>
      <w:r w:rsidRPr="006D4387">
        <w:rPr>
          <w:rFonts w:asciiTheme="majorHAnsi" w:hAnsiTheme="majorHAnsi"/>
          <w:iCs/>
          <w:sz w:val="16"/>
          <w:szCs w:val="16"/>
          <w:lang w:val="es-ES_tradnl"/>
        </w:rPr>
        <w:t>de la Masacre de Pueblo Bello</w:t>
      </w:r>
      <w:r w:rsidRPr="006D4387">
        <w:rPr>
          <w:rFonts w:asciiTheme="majorHAnsi" w:hAnsiTheme="majorHAnsi"/>
          <w:sz w:val="16"/>
          <w:szCs w:val="16"/>
          <w:lang w:val="es-ES_tradnl"/>
        </w:rPr>
        <w:t xml:space="preserve">. Sentencia de 31 de enero de 2006. </w:t>
      </w:r>
      <w:r w:rsidRPr="006D4387">
        <w:rPr>
          <w:rFonts w:asciiTheme="majorHAnsi" w:hAnsiTheme="majorHAnsi"/>
          <w:sz w:val="16"/>
          <w:szCs w:val="16"/>
          <w:lang w:val="it-IT"/>
        </w:rPr>
        <w:t xml:space="preserve">Serie C No. 140. </w:t>
      </w:r>
      <w:r w:rsidRPr="006D4387">
        <w:rPr>
          <w:rFonts w:asciiTheme="majorHAnsi" w:hAnsiTheme="majorHAnsi"/>
          <w:sz w:val="16"/>
          <w:szCs w:val="16"/>
          <w:lang w:val="es-ES"/>
        </w:rPr>
        <w:t>Párr. 113.</w:t>
      </w:r>
    </w:p>
  </w:footnote>
  <w:footnote w:id="119">
    <w:p w14:paraId="55FEB7C2" w14:textId="77777777" w:rsidR="006C35D0" w:rsidRPr="006D4387" w:rsidRDefault="006C35D0" w:rsidP="009E1C43">
      <w:pPr>
        <w:pStyle w:val="FootnoteText"/>
        <w:tabs>
          <w:tab w:val="left" w:pos="720"/>
        </w:tabs>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w:t>
      </w:r>
      <w:r w:rsidRPr="006D4387">
        <w:rPr>
          <w:rFonts w:asciiTheme="majorHAnsi" w:hAnsiTheme="majorHAnsi"/>
          <w:color w:val="auto"/>
          <w:sz w:val="16"/>
          <w:szCs w:val="16"/>
          <w:lang w:val="es-ES_tradnl"/>
        </w:rPr>
        <w:t xml:space="preserve">Corte IDH, </w:t>
      </w:r>
      <w:r w:rsidRPr="006D4387">
        <w:rPr>
          <w:rFonts w:asciiTheme="majorHAnsi" w:hAnsiTheme="majorHAnsi"/>
          <w:iCs/>
          <w:color w:val="auto"/>
          <w:sz w:val="16"/>
          <w:szCs w:val="16"/>
          <w:lang w:val="es-ES_tradnl"/>
        </w:rPr>
        <w:t xml:space="preserve">Caso de la “Masacre de </w:t>
      </w:r>
      <w:proofErr w:type="spellStart"/>
      <w:r w:rsidRPr="006D4387">
        <w:rPr>
          <w:rFonts w:asciiTheme="majorHAnsi" w:hAnsiTheme="majorHAnsi"/>
          <w:iCs/>
          <w:color w:val="auto"/>
          <w:sz w:val="16"/>
          <w:szCs w:val="16"/>
          <w:lang w:val="es-ES_tradnl"/>
        </w:rPr>
        <w:t>Mapiripán</w:t>
      </w:r>
      <w:proofErr w:type="spellEnd"/>
      <w:r w:rsidRPr="006D4387">
        <w:rPr>
          <w:rFonts w:asciiTheme="majorHAnsi" w:hAnsiTheme="majorHAnsi"/>
          <w:iCs/>
          <w:color w:val="auto"/>
          <w:sz w:val="16"/>
          <w:szCs w:val="16"/>
          <w:lang w:val="es-ES_tradnl"/>
        </w:rPr>
        <w:t>”</w:t>
      </w:r>
      <w:r w:rsidRPr="006D4387">
        <w:rPr>
          <w:rFonts w:asciiTheme="majorHAnsi" w:hAnsiTheme="majorHAnsi"/>
          <w:color w:val="auto"/>
          <w:sz w:val="16"/>
          <w:szCs w:val="16"/>
          <w:lang w:val="es-ES_tradnl"/>
        </w:rPr>
        <w:t>. Sentencia de 15 de septiembre de 2005. Serie C No. 134.</w:t>
      </w:r>
      <w:r w:rsidRPr="006D4387">
        <w:rPr>
          <w:rFonts w:asciiTheme="majorHAnsi" w:hAnsiTheme="majorHAnsi"/>
          <w:color w:val="auto"/>
          <w:sz w:val="16"/>
          <w:szCs w:val="16"/>
          <w:lang w:val="es-ES"/>
        </w:rPr>
        <w:t xml:space="preserve"> párr. 111.</w:t>
      </w:r>
    </w:p>
  </w:footnote>
  <w:footnote w:id="120">
    <w:p w14:paraId="27DC6140" w14:textId="77777777" w:rsidR="006C35D0" w:rsidRPr="006D4387" w:rsidRDefault="006C35D0" w:rsidP="009E1C43">
      <w:pPr>
        <w:pStyle w:val="FootnoteText"/>
        <w:tabs>
          <w:tab w:val="left" w:pos="720"/>
        </w:tabs>
        <w:jc w:val="both"/>
        <w:rPr>
          <w:rFonts w:asciiTheme="majorHAnsi" w:hAnsiTheme="majorHAnsi"/>
          <w:color w:val="auto"/>
          <w:sz w:val="16"/>
          <w:szCs w:val="16"/>
          <w:lang w:val="es-VE"/>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w:t>
      </w:r>
      <w:r w:rsidRPr="006D4387">
        <w:rPr>
          <w:rFonts w:asciiTheme="majorHAnsi" w:hAnsiTheme="majorHAnsi"/>
          <w:color w:val="auto"/>
          <w:sz w:val="16"/>
          <w:szCs w:val="16"/>
          <w:lang w:val="es-ES_tradnl"/>
        </w:rPr>
        <w:t xml:space="preserve">Corte IDH, </w:t>
      </w:r>
      <w:r w:rsidRPr="006D4387">
        <w:rPr>
          <w:rFonts w:asciiTheme="majorHAnsi" w:hAnsiTheme="majorHAnsi"/>
          <w:iCs/>
          <w:color w:val="auto"/>
          <w:sz w:val="16"/>
          <w:szCs w:val="16"/>
          <w:lang w:val="es-ES_tradnl"/>
        </w:rPr>
        <w:t>Caso</w:t>
      </w:r>
      <w:r w:rsidRPr="006D4387">
        <w:rPr>
          <w:rFonts w:asciiTheme="majorHAnsi" w:hAnsiTheme="majorHAnsi"/>
          <w:color w:val="auto"/>
          <w:sz w:val="16"/>
          <w:szCs w:val="16"/>
          <w:lang w:val="es-ES_tradnl"/>
        </w:rPr>
        <w:t xml:space="preserve"> </w:t>
      </w:r>
      <w:r w:rsidRPr="006D4387">
        <w:rPr>
          <w:rFonts w:asciiTheme="majorHAnsi" w:hAnsiTheme="majorHAnsi"/>
          <w:iCs/>
          <w:color w:val="auto"/>
          <w:sz w:val="16"/>
          <w:szCs w:val="16"/>
          <w:lang w:val="es-ES_tradnl"/>
        </w:rPr>
        <w:t>de la Masacre de Pueblo Bello</w:t>
      </w:r>
      <w:r w:rsidRPr="006D4387">
        <w:rPr>
          <w:rFonts w:asciiTheme="majorHAnsi" w:hAnsiTheme="majorHAnsi"/>
          <w:color w:val="auto"/>
          <w:sz w:val="16"/>
          <w:szCs w:val="16"/>
          <w:lang w:val="es-ES_tradnl"/>
        </w:rPr>
        <w:t>.</w:t>
      </w:r>
      <w:r w:rsidRPr="006D4387">
        <w:rPr>
          <w:rFonts w:asciiTheme="majorHAnsi" w:hAnsiTheme="majorHAnsi"/>
          <w:color w:val="auto"/>
          <w:sz w:val="16"/>
          <w:szCs w:val="16"/>
          <w:lang w:val="it-IT"/>
        </w:rPr>
        <w:t xml:space="preserve"> </w:t>
      </w:r>
      <w:r w:rsidRPr="006D4387">
        <w:rPr>
          <w:rFonts w:asciiTheme="majorHAnsi" w:hAnsiTheme="majorHAnsi"/>
          <w:color w:val="auto"/>
          <w:sz w:val="16"/>
          <w:szCs w:val="16"/>
          <w:lang w:val="es-VE"/>
        </w:rPr>
        <w:t>Párr. 117.</w:t>
      </w:r>
    </w:p>
  </w:footnote>
  <w:footnote w:id="121">
    <w:p w14:paraId="4C8B8A93" w14:textId="77777777" w:rsidR="006C35D0" w:rsidRPr="006D4387" w:rsidRDefault="006C35D0" w:rsidP="009E1C43">
      <w:pPr>
        <w:pStyle w:val="FootnoteText"/>
        <w:tabs>
          <w:tab w:val="left" w:pos="720"/>
        </w:tabs>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VE"/>
        </w:rPr>
        <w:t xml:space="preserve"> Corte IDH. </w:t>
      </w:r>
      <w:r w:rsidRPr="006D4387">
        <w:rPr>
          <w:rFonts w:asciiTheme="majorHAnsi" w:hAnsiTheme="majorHAnsi"/>
          <w:iCs/>
          <w:color w:val="auto"/>
          <w:sz w:val="16"/>
          <w:szCs w:val="16"/>
          <w:lang w:val="es-ES_tradnl"/>
        </w:rPr>
        <w:t>Caso</w:t>
      </w:r>
      <w:r w:rsidRPr="006D4387">
        <w:rPr>
          <w:rFonts w:asciiTheme="majorHAnsi" w:hAnsiTheme="majorHAnsi"/>
          <w:color w:val="auto"/>
          <w:sz w:val="16"/>
          <w:szCs w:val="16"/>
          <w:lang w:val="es-ES_tradnl"/>
        </w:rPr>
        <w:t xml:space="preserve"> </w:t>
      </w:r>
      <w:r w:rsidRPr="006D4387">
        <w:rPr>
          <w:rFonts w:asciiTheme="majorHAnsi" w:hAnsiTheme="majorHAnsi"/>
          <w:iCs/>
          <w:color w:val="auto"/>
          <w:sz w:val="16"/>
          <w:szCs w:val="16"/>
          <w:lang w:val="es-ES_tradnl"/>
        </w:rPr>
        <w:t>de la Masacre de Pueblo Bello</w:t>
      </w:r>
      <w:r w:rsidRPr="006D4387">
        <w:rPr>
          <w:rFonts w:asciiTheme="majorHAnsi" w:hAnsiTheme="majorHAnsi"/>
          <w:color w:val="auto"/>
          <w:sz w:val="16"/>
          <w:szCs w:val="16"/>
          <w:lang w:val="es-ES_tradnl"/>
        </w:rPr>
        <w:t>.</w:t>
      </w:r>
      <w:r w:rsidRPr="006D4387">
        <w:rPr>
          <w:rFonts w:asciiTheme="majorHAnsi" w:hAnsiTheme="majorHAnsi"/>
          <w:color w:val="auto"/>
          <w:sz w:val="16"/>
          <w:szCs w:val="16"/>
          <w:lang w:val="it-IT"/>
        </w:rPr>
        <w:t xml:space="preserve"> </w:t>
      </w:r>
      <w:r w:rsidRPr="006D4387">
        <w:rPr>
          <w:rFonts w:asciiTheme="majorHAnsi" w:hAnsiTheme="majorHAnsi"/>
          <w:color w:val="auto"/>
          <w:sz w:val="16"/>
          <w:szCs w:val="16"/>
          <w:lang w:val="es-US"/>
        </w:rPr>
        <w:t>Párr. 117.</w:t>
      </w:r>
    </w:p>
  </w:footnote>
  <w:footnote w:id="122">
    <w:p w14:paraId="204FF754" w14:textId="77777777" w:rsidR="006C35D0" w:rsidRPr="006D4387" w:rsidRDefault="006C35D0" w:rsidP="009E1C43">
      <w:pPr>
        <w:jc w:val="both"/>
        <w:rPr>
          <w:rFonts w:asciiTheme="majorHAnsi" w:eastAsia="Times New Roman"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cs="Arial"/>
          <w:sz w:val="16"/>
          <w:szCs w:val="16"/>
          <w:lang w:val="es-CR"/>
        </w:rPr>
        <w:t xml:space="preserve">La jurisprudencia de la Corte Europea respecto de los elementos señalando en el deber de prevención ha sido retomada por la Corte Interamericana en varias de sus sentencias. En este sentido ver: </w:t>
      </w:r>
      <w:r w:rsidRPr="006D4387">
        <w:rPr>
          <w:rFonts w:asciiTheme="majorHAnsi" w:eastAsia="Times New Roman" w:hAnsiTheme="majorHAnsi"/>
          <w:bCs/>
          <w:sz w:val="16"/>
          <w:szCs w:val="16"/>
          <w:shd w:val="clear" w:color="auto" w:fill="FFFFFF"/>
          <w:lang w:val="es-US"/>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123">
    <w:p w14:paraId="36D027C2" w14:textId="77777777" w:rsidR="006C35D0" w:rsidRPr="006D4387" w:rsidRDefault="006C35D0" w:rsidP="009E1C43">
      <w:pPr>
        <w:ind w:right="11"/>
        <w:jc w:val="both"/>
        <w:rPr>
          <w:rFonts w:asciiTheme="majorHAnsi" w:hAnsiTheme="majorHAnsi"/>
          <w:sz w:val="16"/>
          <w:szCs w:val="16"/>
          <w:lang w:val="es-US"/>
        </w:rPr>
      </w:pPr>
      <w:r w:rsidRPr="006D4387">
        <w:rPr>
          <w:rStyle w:val="FootnoteReference"/>
          <w:rFonts w:asciiTheme="majorHAnsi" w:hAnsiTheme="majorHAnsi"/>
          <w:sz w:val="16"/>
          <w:szCs w:val="16"/>
        </w:rPr>
        <w:footnoteRef/>
      </w:r>
      <w:r w:rsidRPr="006D4387">
        <w:rPr>
          <w:rFonts w:asciiTheme="majorHAnsi" w:hAnsiTheme="majorHAnsi"/>
          <w:sz w:val="16"/>
          <w:szCs w:val="16"/>
          <w:lang w:val="es-US"/>
        </w:rPr>
        <w:t xml:space="preserve"> </w:t>
      </w:r>
      <w:r w:rsidRPr="006D4387">
        <w:rPr>
          <w:rFonts w:asciiTheme="majorHAnsi" w:hAnsiTheme="majorHAnsi"/>
          <w:sz w:val="16"/>
          <w:szCs w:val="16"/>
          <w:lang w:val="es-ES_tradnl"/>
        </w:rPr>
        <w:t xml:space="preserve">Corte IDH. Caso Velásquez Rodríguez Vs. Honduras. </w:t>
      </w:r>
      <w:hyperlink r:id="rId14" w:history="1">
        <w:r w:rsidRPr="006D4387">
          <w:rPr>
            <w:rStyle w:val="Hyperlink"/>
            <w:rFonts w:asciiTheme="majorHAnsi" w:hAnsiTheme="majorHAnsi" w:cs="Arial"/>
            <w:sz w:val="16"/>
            <w:szCs w:val="16"/>
            <w:shd w:val="clear" w:color="auto" w:fill="FFFFFF"/>
            <w:lang w:val="es-ES"/>
          </w:rPr>
          <w:t xml:space="preserve">Fondo. Sentencia de 29 de julio de 1988. </w:t>
        </w:r>
        <w:r w:rsidRPr="006D4387">
          <w:rPr>
            <w:rStyle w:val="Hyperlink"/>
            <w:rFonts w:asciiTheme="majorHAnsi" w:hAnsiTheme="majorHAnsi" w:cs="Arial"/>
            <w:sz w:val="16"/>
            <w:szCs w:val="16"/>
            <w:shd w:val="clear" w:color="auto" w:fill="FFFFFF"/>
            <w:lang w:val="es-US"/>
          </w:rPr>
          <w:t>Serie C No. 4</w:t>
        </w:r>
      </w:hyperlink>
      <w:r w:rsidRPr="006D4387">
        <w:rPr>
          <w:rStyle w:val="Hyperlink"/>
          <w:rFonts w:asciiTheme="majorHAnsi" w:hAnsiTheme="majorHAnsi" w:cs="Arial"/>
          <w:sz w:val="16"/>
          <w:szCs w:val="16"/>
          <w:shd w:val="clear" w:color="auto" w:fill="FFFFFF"/>
          <w:lang w:val="es-US"/>
        </w:rPr>
        <w:t xml:space="preserve">. Párr. 173. </w:t>
      </w:r>
    </w:p>
  </w:footnote>
  <w:footnote w:id="124">
    <w:p w14:paraId="6A9219F0"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La CIDH ha señalado que: “[…] los crímenes por prejuicio constituyen racionalizaciones o justificaciones de reacciones negativas, por ejemplo, frente a expresiones de orientaciones sexuales o identidades de género no normativas”. En ese sentido, la Comisión ha considerado que “los conceptos de prejuicio y estereotipo están relacionados”, y que también resulta útil el concepto de crímenes de odio que ha sido desarrollado para caracterizar la violencia contra las personas LGBT.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w:t>
      </w:r>
      <w:proofErr w:type="spellStart"/>
      <w:r w:rsidRPr="006D4387">
        <w:rPr>
          <w:rFonts w:asciiTheme="majorHAnsi" w:hAnsiTheme="majorHAnsi"/>
          <w:color w:val="auto"/>
          <w:sz w:val="16"/>
          <w:szCs w:val="16"/>
          <w:lang w:val="es-US"/>
        </w:rPr>
        <w:t>párrs</w:t>
      </w:r>
      <w:proofErr w:type="spellEnd"/>
      <w:r w:rsidRPr="006D4387">
        <w:rPr>
          <w:rFonts w:asciiTheme="majorHAnsi" w:hAnsiTheme="majorHAnsi"/>
          <w:color w:val="auto"/>
          <w:sz w:val="16"/>
          <w:szCs w:val="16"/>
          <w:lang w:val="es-US"/>
        </w:rPr>
        <w:t xml:space="preserve">. 41-44. </w:t>
      </w:r>
    </w:p>
  </w:footnote>
  <w:footnote w:id="125">
    <w:p w14:paraId="01F9EB93"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43. </w:t>
      </w:r>
    </w:p>
  </w:footnote>
  <w:footnote w:id="126">
    <w:p w14:paraId="5FD9FD23" w14:textId="6792E23D"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w:t>
      </w:r>
      <w:r w:rsidRPr="006D4387">
        <w:rPr>
          <w:rFonts w:asciiTheme="majorHAnsi" w:hAnsiTheme="majorHAnsi"/>
          <w:color w:val="auto"/>
          <w:sz w:val="16"/>
          <w:szCs w:val="16"/>
          <w:lang w:val="es-US"/>
        </w:rPr>
        <w:t xml:space="preserve">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/V/II.rev.2. Doc. 36. 12 noviembre de 2015, párr. 276.</w:t>
      </w:r>
    </w:p>
  </w:footnote>
  <w:footnote w:id="127">
    <w:p w14:paraId="6BCF22A4"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w:t>
      </w:r>
      <w:r w:rsidRPr="006D4387">
        <w:rPr>
          <w:rFonts w:asciiTheme="majorHAnsi" w:hAnsiTheme="majorHAnsi"/>
          <w:color w:val="auto"/>
          <w:sz w:val="16"/>
          <w:szCs w:val="16"/>
          <w:lang w:val="es-US"/>
        </w:rPr>
        <w:t xml:space="preserve">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/V/II.rev.2. Doc. 36. 12 noviembre de 2015, párr. 26.</w:t>
      </w:r>
    </w:p>
  </w:footnote>
  <w:footnote w:id="128">
    <w:p w14:paraId="0470EF49"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46. </w:t>
      </w:r>
    </w:p>
  </w:footnote>
  <w:footnote w:id="129">
    <w:p w14:paraId="7B9877BE"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45. </w:t>
      </w:r>
    </w:p>
  </w:footnote>
  <w:footnote w:id="130">
    <w:p w14:paraId="2336A504"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504.  </w:t>
      </w:r>
    </w:p>
  </w:footnote>
  <w:footnote w:id="131">
    <w:p w14:paraId="02656100"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505. </w:t>
      </w:r>
    </w:p>
  </w:footnote>
  <w:footnote w:id="132">
    <w:p w14:paraId="0646E89D"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CIDH. </w:t>
      </w:r>
      <w:r w:rsidRPr="006D4387">
        <w:rPr>
          <w:rFonts w:asciiTheme="majorHAnsi" w:hAnsiTheme="majorHAnsi"/>
          <w:i/>
          <w:sz w:val="16"/>
          <w:szCs w:val="16"/>
          <w:lang w:val="es-ES"/>
        </w:rPr>
        <w:t xml:space="preserve">Violencia contra Personas Lesbianas, Gay, Bisexuales, </w:t>
      </w:r>
      <w:proofErr w:type="spellStart"/>
      <w:r w:rsidRPr="006D4387">
        <w:rPr>
          <w:rFonts w:asciiTheme="majorHAnsi" w:hAnsiTheme="majorHAnsi"/>
          <w:i/>
          <w:sz w:val="16"/>
          <w:szCs w:val="16"/>
          <w:lang w:val="es-ES"/>
        </w:rPr>
        <w:t>Trans</w:t>
      </w:r>
      <w:proofErr w:type="spellEnd"/>
      <w:r w:rsidRPr="006D4387">
        <w:rPr>
          <w:rFonts w:asciiTheme="majorHAnsi" w:hAnsiTheme="majorHAnsi"/>
          <w:i/>
          <w:sz w:val="16"/>
          <w:szCs w:val="16"/>
          <w:lang w:val="es-ES"/>
        </w:rPr>
        <w:t xml:space="preserve"> e </w:t>
      </w:r>
      <w:proofErr w:type="spellStart"/>
      <w:r w:rsidRPr="006D4387">
        <w:rPr>
          <w:rFonts w:asciiTheme="majorHAnsi" w:hAnsiTheme="majorHAnsi"/>
          <w:i/>
          <w:sz w:val="16"/>
          <w:szCs w:val="16"/>
          <w:lang w:val="es-ES"/>
        </w:rPr>
        <w:t>Intersex</w:t>
      </w:r>
      <w:proofErr w:type="spellEnd"/>
      <w:r w:rsidRPr="006D4387">
        <w:rPr>
          <w:rFonts w:asciiTheme="majorHAnsi" w:hAnsiTheme="majorHAnsi"/>
          <w:i/>
          <w:sz w:val="16"/>
          <w:szCs w:val="16"/>
          <w:lang w:val="es-ES"/>
        </w:rPr>
        <w:t xml:space="preserve"> en América</w:t>
      </w:r>
      <w:r w:rsidRPr="006D4387">
        <w:rPr>
          <w:rFonts w:asciiTheme="majorHAnsi" w:hAnsiTheme="majorHAnsi"/>
          <w:sz w:val="16"/>
          <w:szCs w:val="16"/>
          <w:lang w:val="es-ES"/>
        </w:rPr>
        <w:t>. OAS/</w:t>
      </w:r>
      <w:proofErr w:type="spellStart"/>
      <w:r w:rsidRPr="006D4387">
        <w:rPr>
          <w:rFonts w:asciiTheme="majorHAnsi" w:hAnsiTheme="majorHAnsi"/>
          <w:sz w:val="16"/>
          <w:szCs w:val="16"/>
          <w:lang w:val="es-ES"/>
        </w:rPr>
        <w:t>Ser.L</w:t>
      </w:r>
      <w:proofErr w:type="spellEnd"/>
      <w:r w:rsidRPr="006D4387">
        <w:rPr>
          <w:rFonts w:asciiTheme="majorHAnsi" w:hAnsiTheme="majorHAnsi"/>
          <w:sz w:val="16"/>
          <w:szCs w:val="16"/>
          <w:lang w:val="es-ES"/>
        </w:rPr>
        <w:t>/V/II.rev.2. Doc. 36. 12 noviembre de 2015, párr. 119.</w:t>
      </w:r>
    </w:p>
  </w:footnote>
  <w:footnote w:id="133">
    <w:p w14:paraId="69567792" w14:textId="77777777" w:rsidR="006C35D0" w:rsidRPr="006D4387" w:rsidRDefault="006C35D0" w:rsidP="009E1C43">
      <w:pPr>
        <w:pStyle w:val="FootnoteText"/>
        <w:jc w:val="both"/>
        <w:rPr>
          <w:rFonts w:asciiTheme="majorHAnsi" w:hAnsiTheme="majorHAnsi"/>
          <w:color w:val="auto"/>
          <w:sz w:val="16"/>
          <w:szCs w:val="16"/>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Corte IDH. </w:t>
      </w:r>
      <w:r w:rsidRPr="006D4387">
        <w:rPr>
          <w:rFonts w:asciiTheme="majorHAnsi" w:hAnsiTheme="majorHAnsi"/>
          <w:i/>
          <w:color w:val="auto"/>
          <w:sz w:val="16"/>
          <w:szCs w:val="16"/>
          <w:lang w:val="es-US"/>
        </w:rPr>
        <w:t>Caso González y otras (“Campo Algodonero”) vs. México</w:t>
      </w:r>
      <w:r w:rsidRPr="006D4387">
        <w:rPr>
          <w:rFonts w:asciiTheme="majorHAnsi" w:hAnsiTheme="majorHAnsi"/>
          <w:color w:val="auto"/>
          <w:sz w:val="16"/>
          <w:szCs w:val="16"/>
          <w:lang w:val="es-US"/>
        </w:rPr>
        <w:t xml:space="preserve">. Excepción preliminar, Fondo, Reparaciones y Costas. Sentencia de 16 de noviembre de 2009. </w:t>
      </w:r>
      <w:proofErr w:type="spellStart"/>
      <w:r w:rsidRPr="006D4387">
        <w:rPr>
          <w:rFonts w:asciiTheme="majorHAnsi" w:hAnsiTheme="majorHAnsi"/>
          <w:color w:val="auto"/>
          <w:sz w:val="16"/>
          <w:szCs w:val="16"/>
        </w:rPr>
        <w:t>Serie</w:t>
      </w:r>
      <w:proofErr w:type="spellEnd"/>
      <w:r w:rsidRPr="006D4387">
        <w:rPr>
          <w:rFonts w:asciiTheme="majorHAnsi" w:hAnsiTheme="majorHAnsi"/>
          <w:color w:val="auto"/>
          <w:sz w:val="16"/>
          <w:szCs w:val="16"/>
        </w:rPr>
        <w:t xml:space="preserve"> C No. 205, </w:t>
      </w:r>
      <w:proofErr w:type="spellStart"/>
      <w:r w:rsidRPr="006D4387">
        <w:rPr>
          <w:rFonts w:asciiTheme="majorHAnsi" w:hAnsiTheme="majorHAnsi"/>
          <w:color w:val="auto"/>
          <w:sz w:val="16"/>
          <w:szCs w:val="16"/>
        </w:rPr>
        <w:t>párr</w:t>
      </w:r>
      <w:proofErr w:type="spellEnd"/>
      <w:r w:rsidRPr="006D4387">
        <w:rPr>
          <w:rFonts w:asciiTheme="majorHAnsi" w:hAnsiTheme="majorHAnsi"/>
          <w:color w:val="auto"/>
          <w:sz w:val="16"/>
          <w:szCs w:val="16"/>
        </w:rPr>
        <w:t xml:space="preserve">. </w:t>
      </w:r>
      <w:proofErr w:type="gramStart"/>
      <w:r w:rsidRPr="006D4387">
        <w:rPr>
          <w:rFonts w:asciiTheme="majorHAnsi" w:hAnsiTheme="majorHAnsi"/>
          <w:color w:val="auto"/>
          <w:sz w:val="16"/>
          <w:szCs w:val="16"/>
        </w:rPr>
        <w:t xml:space="preserve">293, </w:t>
      </w:r>
      <w:proofErr w:type="spellStart"/>
      <w:r w:rsidRPr="006D4387">
        <w:rPr>
          <w:rFonts w:asciiTheme="majorHAnsi" w:hAnsiTheme="majorHAnsi"/>
          <w:color w:val="auto"/>
          <w:sz w:val="16"/>
          <w:szCs w:val="16"/>
        </w:rPr>
        <w:t>citando</w:t>
      </w:r>
      <w:proofErr w:type="spellEnd"/>
      <w:r w:rsidRPr="006D4387">
        <w:rPr>
          <w:rFonts w:asciiTheme="majorHAnsi" w:hAnsiTheme="majorHAnsi"/>
          <w:color w:val="auto"/>
          <w:sz w:val="16"/>
          <w:szCs w:val="16"/>
        </w:rPr>
        <w:t xml:space="preserve"> ECHR, Case of </w:t>
      </w:r>
      <w:proofErr w:type="spellStart"/>
      <w:r w:rsidRPr="006D4387">
        <w:rPr>
          <w:rFonts w:asciiTheme="majorHAnsi" w:hAnsiTheme="majorHAnsi"/>
          <w:color w:val="auto"/>
          <w:sz w:val="16"/>
          <w:szCs w:val="16"/>
        </w:rPr>
        <w:t>Angelova</w:t>
      </w:r>
      <w:proofErr w:type="spellEnd"/>
      <w:r w:rsidRPr="006D4387">
        <w:rPr>
          <w:rFonts w:asciiTheme="majorHAnsi" w:hAnsiTheme="majorHAnsi"/>
          <w:color w:val="auto"/>
          <w:sz w:val="16"/>
          <w:szCs w:val="16"/>
        </w:rPr>
        <w:t xml:space="preserve"> and </w:t>
      </w:r>
      <w:proofErr w:type="spellStart"/>
      <w:r w:rsidRPr="006D4387">
        <w:rPr>
          <w:rFonts w:asciiTheme="majorHAnsi" w:hAnsiTheme="majorHAnsi"/>
          <w:color w:val="auto"/>
          <w:sz w:val="16"/>
          <w:szCs w:val="16"/>
        </w:rPr>
        <w:t>Iliev</w:t>
      </w:r>
      <w:proofErr w:type="spellEnd"/>
      <w:r w:rsidRPr="006D4387">
        <w:rPr>
          <w:rFonts w:asciiTheme="majorHAnsi" w:hAnsiTheme="majorHAnsi"/>
          <w:color w:val="auto"/>
          <w:sz w:val="16"/>
          <w:szCs w:val="16"/>
        </w:rPr>
        <w:t xml:space="preserve"> v, Bulgaria, Judgment 26 July 2007, para.98.</w:t>
      </w:r>
      <w:proofErr w:type="gramEnd"/>
      <w:r w:rsidRPr="006D4387">
        <w:rPr>
          <w:rFonts w:asciiTheme="majorHAnsi" w:hAnsiTheme="majorHAnsi"/>
          <w:color w:val="auto"/>
          <w:sz w:val="16"/>
          <w:szCs w:val="16"/>
        </w:rPr>
        <w:t xml:space="preserve"> </w:t>
      </w:r>
    </w:p>
  </w:footnote>
  <w:footnote w:id="134">
    <w:p w14:paraId="35361723"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Ver: Corte IDH. </w:t>
      </w:r>
      <w:r w:rsidRPr="006D4387">
        <w:rPr>
          <w:rFonts w:asciiTheme="majorHAnsi" w:hAnsiTheme="majorHAnsi"/>
          <w:i/>
          <w:color w:val="auto"/>
          <w:sz w:val="16"/>
          <w:szCs w:val="16"/>
          <w:lang w:val="es-US"/>
        </w:rPr>
        <w:t xml:space="preserve">Caso Velásquez </w:t>
      </w:r>
      <w:proofErr w:type="spellStart"/>
      <w:r w:rsidRPr="006D4387">
        <w:rPr>
          <w:rFonts w:asciiTheme="majorHAnsi" w:hAnsiTheme="majorHAnsi"/>
          <w:i/>
          <w:color w:val="auto"/>
          <w:sz w:val="16"/>
          <w:szCs w:val="16"/>
          <w:lang w:val="es-US"/>
        </w:rPr>
        <w:t>Paiz</w:t>
      </w:r>
      <w:proofErr w:type="spellEnd"/>
      <w:r w:rsidRPr="006D4387">
        <w:rPr>
          <w:rFonts w:asciiTheme="majorHAnsi" w:hAnsiTheme="majorHAnsi"/>
          <w:i/>
          <w:color w:val="auto"/>
          <w:sz w:val="16"/>
          <w:szCs w:val="16"/>
          <w:lang w:val="es-US"/>
        </w:rPr>
        <w:t xml:space="preserve"> y otros vs. Guatemala</w:t>
      </w:r>
      <w:r w:rsidRPr="006D4387">
        <w:rPr>
          <w:rFonts w:asciiTheme="majorHAnsi" w:hAnsiTheme="majorHAnsi"/>
          <w:color w:val="auto"/>
          <w:sz w:val="16"/>
          <w:szCs w:val="16"/>
          <w:lang w:val="es-US"/>
        </w:rPr>
        <w:t xml:space="preserve">. Excepciones Preliminares, Fondo, Reparaciones  y Costas. Sentencia de 19 de noviembre de 2015. Serie C No. 307, párr. 146. </w:t>
      </w:r>
    </w:p>
  </w:footnote>
  <w:footnote w:id="135">
    <w:p w14:paraId="772274F9"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Alto Comisionado de las Naciones Unidas para los Derechos Humanos, Leyes y prácticas discriminatorias y actos de violencia cometidos contra personas por su orientación sexual e identidad de género, A/HRC/19/41, 17 de noviembre de 2011, párr. 20. Citado en: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27. </w:t>
      </w:r>
    </w:p>
  </w:footnote>
  <w:footnote w:id="136">
    <w:p w14:paraId="7FEE7DCC"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166. </w:t>
      </w:r>
    </w:p>
  </w:footnote>
  <w:footnote w:id="137">
    <w:p w14:paraId="7B5CF95C"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ONU, Informe del Relator Especial sobre la cuestión de la tortura y otros tratos o penas crueles, inhumanos o degradantes, A/56/156, 3 de julio de 2001, párr. 17. Citado en: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27. </w:t>
      </w:r>
    </w:p>
  </w:footnote>
  <w:footnote w:id="138">
    <w:p w14:paraId="38D7412C"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ONU, Informe del Relator Especial sobre la tortura y otros tratos o penas crueles, inhumanos o degradantes, A/HRC/31/57, 5 de enero de 2016, párr. 8. </w:t>
      </w:r>
    </w:p>
  </w:footnote>
  <w:footnote w:id="139">
    <w:p w14:paraId="34EC0D7A"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ONU, Informe del Relator Especial sobre la tortura y otros tratos o penas crueles, inhumanos o degradantes, A/HRC/31/57, 5 de enero de 2016, párr. 9. </w:t>
      </w:r>
    </w:p>
  </w:footnote>
  <w:footnote w:id="140">
    <w:p w14:paraId="5ECDC8A7"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w:t>
      </w:r>
      <w:r w:rsidRPr="006D4387">
        <w:rPr>
          <w:rFonts w:asciiTheme="majorHAnsi" w:hAnsiTheme="majorHAnsi"/>
          <w:color w:val="auto"/>
          <w:sz w:val="16"/>
          <w:szCs w:val="16"/>
          <w:lang w:val="es-ES"/>
        </w:rPr>
        <w:t xml:space="preserve">CIDH, Demanda ante la Corte Interamericana de Derechos Humanos, </w:t>
      </w:r>
      <w:r w:rsidRPr="006D4387">
        <w:rPr>
          <w:rFonts w:asciiTheme="majorHAnsi" w:hAnsiTheme="majorHAnsi"/>
          <w:i/>
          <w:color w:val="auto"/>
          <w:sz w:val="16"/>
          <w:szCs w:val="16"/>
          <w:lang w:val="es-ES"/>
        </w:rPr>
        <w:t xml:space="preserve">Karen </w:t>
      </w:r>
      <w:proofErr w:type="spellStart"/>
      <w:r w:rsidRPr="006D4387">
        <w:rPr>
          <w:rFonts w:asciiTheme="majorHAnsi" w:hAnsiTheme="majorHAnsi"/>
          <w:i/>
          <w:color w:val="auto"/>
          <w:sz w:val="16"/>
          <w:szCs w:val="16"/>
          <w:lang w:val="es-ES"/>
        </w:rPr>
        <w:t>Atala</w:t>
      </w:r>
      <w:proofErr w:type="spellEnd"/>
      <w:r w:rsidRPr="006D4387">
        <w:rPr>
          <w:rFonts w:asciiTheme="majorHAnsi" w:hAnsiTheme="majorHAnsi"/>
          <w:i/>
          <w:color w:val="auto"/>
          <w:sz w:val="16"/>
          <w:szCs w:val="16"/>
          <w:lang w:val="es-ES"/>
        </w:rPr>
        <w:t xml:space="preserve"> e Hijas vs. Chile</w:t>
      </w:r>
      <w:r w:rsidRPr="006D4387">
        <w:rPr>
          <w:rFonts w:asciiTheme="majorHAnsi" w:hAnsiTheme="majorHAnsi"/>
          <w:color w:val="auto"/>
          <w:sz w:val="16"/>
          <w:szCs w:val="16"/>
          <w:lang w:val="es-ES"/>
        </w:rPr>
        <w:t xml:space="preserve">, 17 de septiembre de 2010, </w:t>
      </w:r>
      <w:proofErr w:type="spellStart"/>
      <w:r w:rsidRPr="006D4387">
        <w:rPr>
          <w:rFonts w:asciiTheme="majorHAnsi" w:hAnsiTheme="majorHAnsi"/>
          <w:color w:val="auto"/>
          <w:sz w:val="16"/>
          <w:szCs w:val="16"/>
          <w:lang w:val="es-ES"/>
        </w:rPr>
        <w:t>párr</w:t>
      </w:r>
      <w:proofErr w:type="spellEnd"/>
      <w:r w:rsidRPr="006D4387">
        <w:rPr>
          <w:rFonts w:asciiTheme="majorHAnsi" w:hAnsiTheme="majorHAnsi"/>
          <w:color w:val="auto"/>
          <w:sz w:val="16"/>
          <w:szCs w:val="16"/>
          <w:lang w:val="es-ES_tradnl"/>
        </w:rPr>
        <w:t xml:space="preserve">. 111. </w:t>
      </w:r>
    </w:p>
  </w:footnote>
  <w:footnote w:id="141">
    <w:p w14:paraId="17978583"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Corte IDH. </w:t>
      </w:r>
      <w:r w:rsidRPr="006D4387">
        <w:rPr>
          <w:rFonts w:asciiTheme="majorHAnsi" w:hAnsiTheme="majorHAnsi"/>
          <w:i/>
          <w:color w:val="auto"/>
          <w:sz w:val="16"/>
          <w:szCs w:val="16"/>
          <w:lang w:val="es-US"/>
        </w:rPr>
        <w:t xml:space="preserve">Caso </w:t>
      </w:r>
      <w:proofErr w:type="spellStart"/>
      <w:r w:rsidRPr="006D4387">
        <w:rPr>
          <w:rFonts w:asciiTheme="majorHAnsi" w:hAnsiTheme="majorHAnsi"/>
          <w:i/>
          <w:color w:val="auto"/>
          <w:sz w:val="16"/>
          <w:szCs w:val="16"/>
          <w:lang w:val="es-US"/>
        </w:rPr>
        <w:t>Atala</w:t>
      </w:r>
      <w:proofErr w:type="spellEnd"/>
      <w:r w:rsidRPr="006D4387">
        <w:rPr>
          <w:rFonts w:asciiTheme="majorHAnsi" w:hAnsiTheme="majorHAnsi"/>
          <w:i/>
          <w:color w:val="auto"/>
          <w:sz w:val="16"/>
          <w:szCs w:val="16"/>
          <w:lang w:val="es-US"/>
        </w:rPr>
        <w:t xml:space="preserve"> </w:t>
      </w:r>
      <w:proofErr w:type="spellStart"/>
      <w:r w:rsidRPr="006D4387">
        <w:rPr>
          <w:rFonts w:asciiTheme="majorHAnsi" w:hAnsiTheme="majorHAnsi"/>
          <w:i/>
          <w:color w:val="auto"/>
          <w:sz w:val="16"/>
          <w:szCs w:val="16"/>
          <w:lang w:val="es-US"/>
        </w:rPr>
        <w:t>Riffo</w:t>
      </w:r>
      <w:proofErr w:type="spellEnd"/>
      <w:r w:rsidRPr="006D4387">
        <w:rPr>
          <w:rFonts w:asciiTheme="majorHAnsi" w:hAnsiTheme="majorHAnsi"/>
          <w:i/>
          <w:color w:val="auto"/>
          <w:sz w:val="16"/>
          <w:szCs w:val="16"/>
          <w:lang w:val="es-US"/>
        </w:rPr>
        <w:t xml:space="preserve"> y niñas vs. Chile</w:t>
      </w:r>
      <w:r w:rsidRPr="006D4387">
        <w:rPr>
          <w:rFonts w:asciiTheme="majorHAnsi" w:hAnsiTheme="majorHAnsi"/>
          <w:color w:val="auto"/>
          <w:sz w:val="16"/>
          <w:szCs w:val="16"/>
          <w:lang w:val="es-US"/>
        </w:rPr>
        <w:t>. Fondo, Reparaciones y Costas. Sentencia de 24 de febrero de 2012. Serie C No. 239, párr. 133. Ver también: Principios de Yogyakarta sobre la Aplicación de la Legislación Internacional de Derechos Humanos en relación con</w:t>
      </w:r>
    </w:p>
    <w:p w14:paraId="2AE9BA13"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Fonts w:asciiTheme="majorHAnsi" w:hAnsiTheme="majorHAnsi"/>
          <w:color w:val="auto"/>
          <w:sz w:val="16"/>
          <w:szCs w:val="16"/>
          <w:lang w:val="es-US"/>
        </w:rPr>
        <w:t>la Orientación Sexual y la Identidad de Género, 2006. Principio 3.</w:t>
      </w:r>
    </w:p>
  </w:footnote>
  <w:footnote w:id="142">
    <w:p w14:paraId="63942951"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Corte IDH. </w:t>
      </w:r>
      <w:r w:rsidRPr="006D4387">
        <w:rPr>
          <w:rFonts w:asciiTheme="majorHAnsi" w:hAnsiTheme="majorHAnsi"/>
          <w:i/>
          <w:color w:val="auto"/>
          <w:sz w:val="16"/>
          <w:szCs w:val="16"/>
          <w:lang w:val="es-US"/>
        </w:rPr>
        <w:t xml:space="preserve">Caso </w:t>
      </w:r>
      <w:proofErr w:type="spellStart"/>
      <w:r w:rsidRPr="006D4387">
        <w:rPr>
          <w:rFonts w:asciiTheme="majorHAnsi" w:hAnsiTheme="majorHAnsi"/>
          <w:i/>
          <w:color w:val="auto"/>
          <w:sz w:val="16"/>
          <w:szCs w:val="16"/>
          <w:lang w:val="es-US"/>
        </w:rPr>
        <w:t>Atala</w:t>
      </w:r>
      <w:proofErr w:type="spellEnd"/>
      <w:r w:rsidRPr="006D4387">
        <w:rPr>
          <w:rFonts w:asciiTheme="majorHAnsi" w:hAnsiTheme="majorHAnsi"/>
          <w:i/>
          <w:color w:val="auto"/>
          <w:sz w:val="16"/>
          <w:szCs w:val="16"/>
          <w:lang w:val="es-US"/>
        </w:rPr>
        <w:t xml:space="preserve"> </w:t>
      </w:r>
      <w:proofErr w:type="spellStart"/>
      <w:r w:rsidRPr="006D4387">
        <w:rPr>
          <w:rFonts w:asciiTheme="majorHAnsi" w:hAnsiTheme="majorHAnsi"/>
          <w:i/>
          <w:color w:val="auto"/>
          <w:sz w:val="16"/>
          <w:szCs w:val="16"/>
          <w:lang w:val="es-US"/>
        </w:rPr>
        <w:t>Riffo</w:t>
      </w:r>
      <w:proofErr w:type="spellEnd"/>
      <w:r w:rsidRPr="006D4387">
        <w:rPr>
          <w:rFonts w:asciiTheme="majorHAnsi" w:hAnsiTheme="majorHAnsi"/>
          <w:i/>
          <w:color w:val="auto"/>
          <w:sz w:val="16"/>
          <w:szCs w:val="16"/>
          <w:lang w:val="es-US"/>
        </w:rPr>
        <w:t xml:space="preserve"> y niñas vs. Chile</w:t>
      </w:r>
      <w:r w:rsidRPr="006D4387">
        <w:rPr>
          <w:rFonts w:asciiTheme="majorHAnsi" w:hAnsiTheme="majorHAnsi"/>
          <w:color w:val="auto"/>
          <w:sz w:val="16"/>
          <w:szCs w:val="16"/>
          <w:lang w:val="es-US"/>
        </w:rPr>
        <w:t xml:space="preserve">. Fondo, Reparaciones y Costas. Sentencia de 24 de febrero de 2012. Serie C No. 239, párr. 136. </w:t>
      </w:r>
    </w:p>
  </w:footnote>
  <w:footnote w:id="143">
    <w:p w14:paraId="4601EE07"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CIDH, Informe No. 120/10, Caso 12.605, Fondo, </w:t>
      </w:r>
      <w:proofErr w:type="spellStart"/>
      <w:r w:rsidRPr="006D4387">
        <w:rPr>
          <w:rFonts w:asciiTheme="majorHAnsi" w:hAnsiTheme="majorHAnsi"/>
          <w:color w:val="auto"/>
          <w:sz w:val="16"/>
          <w:szCs w:val="16"/>
          <w:lang w:val="es-ES"/>
        </w:rPr>
        <w:t>Joe</w:t>
      </w:r>
      <w:proofErr w:type="spellEnd"/>
      <w:r w:rsidRPr="006D4387">
        <w:rPr>
          <w:rFonts w:asciiTheme="majorHAnsi" w:hAnsiTheme="majorHAnsi"/>
          <w:color w:val="auto"/>
          <w:sz w:val="16"/>
          <w:szCs w:val="16"/>
          <w:lang w:val="es-ES"/>
        </w:rPr>
        <w:t xml:space="preserve"> Luis Castillo González, Venezuela, 22 de octubre de 2010, párr. 109.</w:t>
      </w:r>
    </w:p>
  </w:footnote>
  <w:footnote w:id="144">
    <w:p w14:paraId="53156812" w14:textId="77777777" w:rsidR="006C35D0" w:rsidRPr="006D4387" w:rsidRDefault="006C35D0" w:rsidP="009E1C43">
      <w:pPr>
        <w:pStyle w:val="FootnoteText"/>
        <w:jc w:val="both"/>
        <w:rPr>
          <w:rFonts w:asciiTheme="majorHAnsi" w:hAnsiTheme="majorHAnsi"/>
          <w:color w:val="auto"/>
          <w:sz w:val="16"/>
          <w:szCs w:val="16"/>
          <w:lang w:val="es-ES_tradnl"/>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CO"/>
        </w:rPr>
        <w:t xml:space="preserve"> Corte IDH, Caso </w:t>
      </w:r>
      <w:proofErr w:type="spellStart"/>
      <w:r w:rsidRPr="006D4387">
        <w:rPr>
          <w:rFonts w:asciiTheme="majorHAnsi" w:hAnsiTheme="majorHAnsi"/>
          <w:color w:val="auto"/>
          <w:sz w:val="16"/>
          <w:szCs w:val="16"/>
          <w:lang w:val="es-CO"/>
        </w:rPr>
        <w:t>Kawas</w:t>
      </w:r>
      <w:proofErr w:type="spellEnd"/>
      <w:r w:rsidRPr="006D4387">
        <w:rPr>
          <w:rFonts w:asciiTheme="majorHAnsi" w:hAnsiTheme="majorHAnsi"/>
          <w:color w:val="auto"/>
          <w:sz w:val="16"/>
          <w:szCs w:val="16"/>
          <w:lang w:val="es-CO"/>
        </w:rPr>
        <w:t xml:space="preserve"> Fernández Vs. </w:t>
      </w:r>
      <w:r w:rsidRPr="006D4387">
        <w:rPr>
          <w:rFonts w:asciiTheme="majorHAnsi" w:hAnsiTheme="majorHAnsi"/>
          <w:color w:val="auto"/>
          <w:sz w:val="16"/>
          <w:szCs w:val="16"/>
          <w:lang w:val="es-ES_tradnl"/>
        </w:rPr>
        <w:t>Honduras. Fondo, Reparaciones y Costas. Sentencia de 3 de abril de 2009 Serie C No. 196, párr. 97.</w:t>
      </w:r>
    </w:p>
  </w:footnote>
  <w:footnote w:id="145">
    <w:p w14:paraId="77465918"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CD56E1">
        <w:rPr>
          <w:rFonts w:asciiTheme="majorHAnsi" w:hAnsiTheme="majorHAnsi"/>
          <w:color w:val="auto"/>
          <w:sz w:val="16"/>
          <w:szCs w:val="16"/>
          <w:lang w:val="es-PE"/>
        </w:rPr>
        <w:t xml:space="preserve"> Corte IDH, </w:t>
      </w:r>
      <w:r w:rsidR="00CD56E1">
        <w:fldChar w:fldCharType="begin"/>
      </w:r>
      <w:r w:rsidR="00CD56E1" w:rsidRPr="00CD56E1">
        <w:rPr>
          <w:lang w:val="es-PE"/>
        </w:rPr>
        <w:instrText xml:space="preserve"> HYPERLINK "http://joomla.corteidh.or.cr:8080/joomla/es/casos-contenciosos/38-jurisprudencia/2120-corte-idh-caso-j-vs-peru-excepcion-preliminar-fondo-reparaciones-y-costas-sentencia-de-27-de-noviembre-de-2013-serie-c-no-275" </w:instrText>
      </w:r>
      <w:r w:rsidR="00CD56E1">
        <w:fldChar w:fldCharType="separate"/>
      </w:r>
      <w:r w:rsidRPr="00CD56E1">
        <w:rPr>
          <w:rStyle w:val="Hyperlink"/>
          <w:rFonts w:asciiTheme="majorHAnsi" w:hAnsiTheme="majorHAnsi"/>
          <w:color w:val="auto"/>
          <w:sz w:val="16"/>
          <w:szCs w:val="16"/>
          <w:shd w:val="clear" w:color="auto" w:fill="FFFFFF"/>
          <w:lang w:val="es-PE"/>
        </w:rPr>
        <w:t xml:space="preserve">Caso J. Vs. </w:t>
      </w:r>
      <w:r w:rsidRPr="006D4387">
        <w:rPr>
          <w:rStyle w:val="Hyperlink"/>
          <w:rFonts w:asciiTheme="majorHAnsi" w:hAnsiTheme="majorHAnsi"/>
          <w:color w:val="auto"/>
          <w:sz w:val="16"/>
          <w:szCs w:val="16"/>
          <w:shd w:val="clear" w:color="auto" w:fill="FFFFFF"/>
          <w:lang w:val="es-CO"/>
        </w:rPr>
        <w:t>Perú. Excepción Preliminar, Fondo, Reparaciones y Costas. Sentencia de 27 de noviembre de 2013. Serie C No. 275</w:t>
      </w:r>
      <w:r w:rsidR="00CD56E1">
        <w:rPr>
          <w:rStyle w:val="Hyperlink"/>
          <w:rFonts w:asciiTheme="majorHAnsi" w:hAnsiTheme="majorHAnsi"/>
          <w:color w:val="auto"/>
          <w:sz w:val="16"/>
          <w:szCs w:val="16"/>
          <w:shd w:val="clear" w:color="auto" w:fill="FFFFFF"/>
          <w:lang w:val="es-CO"/>
        </w:rPr>
        <w:fldChar w:fldCharType="end"/>
      </w:r>
      <w:r w:rsidRPr="006D4387">
        <w:rPr>
          <w:rFonts w:asciiTheme="majorHAnsi" w:hAnsiTheme="majorHAnsi"/>
          <w:color w:val="auto"/>
          <w:sz w:val="16"/>
          <w:szCs w:val="16"/>
          <w:lang w:val="es-CO"/>
        </w:rPr>
        <w:t xml:space="preserve">, párr. </w:t>
      </w:r>
      <w:r w:rsidRPr="006D4387">
        <w:rPr>
          <w:rFonts w:asciiTheme="majorHAnsi" w:hAnsiTheme="majorHAnsi"/>
          <w:color w:val="auto"/>
          <w:sz w:val="16"/>
          <w:szCs w:val="16"/>
          <w:lang w:val="es-ES"/>
        </w:rPr>
        <w:t>353.</w:t>
      </w:r>
    </w:p>
  </w:footnote>
  <w:footnote w:id="146">
    <w:p w14:paraId="60D4F6C3"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CD56E1">
        <w:rPr>
          <w:rFonts w:asciiTheme="majorHAnsi" w:hAnsiTheme="majorHAnsi"/>
          <w:color w:val="auto"/>
          <w:sz w:val="16"/>
          <w:szCs w:val="16"/>
          <w:lang w:val="es-PE"/>
        </w:rPr>
        <w:t xml:space="preserve"> Corte IDH, </w:t>
      </w:r>
      <w:r w:rsidR="00CD56E1">
        <w:fldChar w:fldCharType="begin"/>
      </w:r>
      <w:r w:rsidR="00CD56E1" w:rsidRPr="00CD56E1">
        <w:rPr>
          <w:lang w:val="es-PE"/>
        </w:rPr>
        <w:instrText xml:space="preserve"> HYPERLINK "http://joomla.corteidh.or.cr:8080/joomla/es/casos-contenciosos/38-jurisprudencia/2120-corte-idh-caso-j-vs-peru-excepcion-pr</w:instrText>
      </w:r>
      <w:r w:rsidR="00CD56E1" w:rsidRPr="00CD56E1">
        <w:rPr>
          <w:lang w:val="es-PE"/>
        </w:rPr>
        <w:instrText xml:space="preserve">eliminar-fondo-reparaciones-y-costas-sentencia-de-27-de-noviembre-de-2013-serie-c-no-275" </w:instrText>
      </w:r>
      <w:r w:rsidR="00CD56E1">
        <w:fldChar w:fldCharType="separate"/>
      </w:r>
      <w:r w:rsidRPr="00CD56E1">
        <w:rPr>
          <w:rStyle w:val="Hyperlink"/>
          <w:rFonts w:asciiTheme="majorHAnsi" w:hAnsiTheme="majorHAnsi"/>
          <w:color w:val="auto"/>
          <w:sz w:val="16"/>
          <w:szCs w:val="16"/>
          <w:shd w:val="clear" w:color="auto" w:fill="FFFFFF"/>
          <w:lang w:val="es-PE"/>
        </w:rPr>
        <w:t xml:space="preserve">Caso J. Vs. </w:t>
      </w:r>
      <w:r w:rsidRPr="006D4387">
        <w:rPr>
          <w:rStyle w:val="Hyperlink"/>
          <w:rFonts w:asciiTheme="majorHAnsi" w:hAnsiTheme="majorHAnsi"/>
          <w:color w:val="auto"/>
          <w:sz w:val="16"/>
          <w:szCs w:val="16"/>
          <w:shd w:val="clear" w:color="auto" w:fill="FFFFFF"/>
          <w:lang w:val="es-ES"/>
        </w:rPr>
        <w:t>Perú. Excepción Preliminar, Fondo, Reparaciones y Costas. Sentencia de 27 de noviembre de 2013. Serie C No. 275</w:t>
      </w:r>
      <w:r w:rsidR="00CD56E1">
        <w:rPr>
          <w:rStyle w:val="Hyperlink"/>
          <w:rFonts w:asciiTheme="majorHAnsi" w:hAnsiTheme="majorHAnsi"/>
          <w:color w:val="auto"/>
          <w:sz w:val="16"/>
          <w:szCs w:val="16"/>
          <w:shd w:val="clear" w:color="auto" w:fill="FFFFFF"/>
          <w:lang w:val="es-ES"/>
        </w:rPr>
        <w:fldChar w:fldCharType="end"/>
      </w:r>
      <w:r w:rsidRPr="006D4387">
        <w:rPr>
          <w:rFonts w:asciiTheme="majorHAnsi" w:hAnsiTheme="majorHAnsi"/>
          <w:color w:val="auto"/>
          <w:sz w:val="16"/>
          <w:szCs w:val="16"/>
          <w:lang w:val="es-ES"/>
        </w:rPr>
        <w:t>, párr. 354.</w:t>
      </w:r>
    </w:p>
  </w:footnote>
  <w:footnote w:id="147">
    <w:p w14:paraId="650B7938" w14:textId="77777777" w:rsidR="006C35D0" w:rsidRPr="006D4387" w:rsidRDefault="006C35D0" w:rsidP="009E1C43">
      <w:pPr>
        <w:pStyle w:val="FootnoteText"/>
        <w:jc w:val="both"/>
        <w:rPr>
          <w:rFonts w:asciiTheme="majorHAnsi" w:hAnsiTheme="majorHAnsi"/>
          <w:sz w:val="16"/>
          <w:szCs w:val="16"/>
          <w:lang w:val="es-ES"/>
        </w:rPr>
      </w:pPr>
      <w:r w:rsidRPr="006D4387">
        <w:rPr>
          <w:rFonts w:asciiTheme="majorHAnsi" w:hAnsiTheme="majorHAnsi"/>
          <w:sz w:val="16"/>
          <w:szCs w:val="16"/>
          <w:vertAlign w:val="superscript"/>
          <w:lang w:val="es-CO"/>
        </w:rPr>
        <w:footnoteRef/>
      </w:r>
      <w:r w:rsidRPr="006D4387">
        <w:rPr>
          <w:rFonts w:asciiTheme="majorHAnsi" w:hAnsiTheme="majorHAnsi"/>
          <w:sz w:val="16"/>
          <w:szCs w:val="16"/>
          <w:lang w:val="es-ES"/>
        </w:rPr>
        <w:t xml:space="preserve"> CEJIL</w:t>
      </w:r>
      <w:r w:rsidRPr="006D4387">
        <w:rPr>
          <w:rFonts w:asciiTheme="majorHAnsi" w:hAnsiTheme="majorHAnsi"/>
          <w:sz w:val="16"/>
          <w:szCs w:val="16"/>
          <w:lang w:val="uz-Cyrl-UZ"/>
        </w:rPr>
        <w:t xml:space="preserve">, </w:t>
      </w:r>
      <w:hyperlink r:id="rId15" w:history="1">
        <w:r w:rsidRPr="006D4387">
          <w:rPr>
            <w:rStyle w:val="Hyperlink"/>
            <w:rFonts w:asciiTheme="majorHAnsi" w:hAnsiTheme="majorHAnsi"/>
            <w:i/>
            <w:sz w:val="16"/>
            <w:szCs w:val="16"/>
            <w:lang w:val="uz-Cyrl-UZ"/>
          </w:rPr>
          <w:t>Diagnóstico sobre los Crímenes de Odio Motivados por la Orientación Sexual e Identidad de Género en Costa Rica, Honduras y Nicaragua</w:t>
        </w:r>
      </w:hyperlink>
      <w:r w:rsidRPr="006D4387">
        <w:rPr>
          <w:rFonts w:asciiTheme="majorHAnsi" w:hAnsiTheme="majorHAnsi"/>
          <w:sz w:val="16"/>
          <w:szCs w:val="16"/>
          <w:lang w:val="uz-Cyrl-UZ"/>
        </w:rPr>
        <w:t xml:space="preserve">. San José, Costa Rica. 2013. </w:t>
      </w:r>
      <w:r w:rsidRPr="006D4387">
        <w:rPr>
          <w:rFonts w:asciiTheme="majorHAnsi" w:hAnsiTheme="majorHAnsi"/>
          <w:sz w:val="16"/>
          <w:szCs w:val="16"/>
          <w:lang w:val="es-ES"/>
        </w:rPr>
        <w:t>P</w:t>
      </w:r>
      <w:proofErr w:type="spellStart"/>
      <w:r w:rsidRPr="006D4387">
        <w:rPr>
          <w:rFonts w:asciiTheme="majorHAnsi" w:hAnsiTheme="majorHAnsi"/>
          <w:sz w:val="16"/>
          <w:szCs w:val="16"/>
          <w:lang w:val="es-CO"/>
        </w:rPr>
        <w:t>ág</w:t>
      </w:r>
      <w:proofErr w:type="spellEnd"/>
      <w:r w:rsidRPr="006D4387">
        <w:rPr>
          <w:rFonts w:asciiTheme="majorHAnsi" w:hAnsiTheme="majorHAnsi"/>
          <w:sz w:val="16"/>
          <w:szCs w:val="16"/>
          <w:lang w:val="es-CO"/>
        </w:rPr>
        <w:t>. 128.</w:t>
      </w:r>
    </w:p>
  </w:footnote>
  <w:footnote w:id="148">
    <w:p w14:paraId="04364625" w14:textId="77777777" w:rsidR="006C35D0" w:rsidRPr="006D4387" w:rsidRDefault="006C35D0" w:rsidP="009E1C43">
      <w:pPr>
        <w:pStyle w:val="FootnoteText"/>
        <w:jc w:val="both"/>
        <w:rPr>
          <w:rFonts w:asciiTheme="majorHAnsi" w:hAnsiTheme="majorHAnsi"/>
          <w:sz w:val="16"/>
          <w:szCs w:val="16"/>
          <w:lang w:val="es-ES"/>
        </w:rPr>
      </w:pPr>
      <w:r w:rsidRPr="006D4387">
        <w:rPr>
          <w:rStyle w:val="FootnoteReference"/>
          <w:rFonts w:asciiTheme="majorHAnsi" w:hAnsiTheme="majorHAnsi"/>
          <w:sz w:val="16"/>
          <w:szCs w:val="16"/>
        </w:rPr>
        <w:footnoteRef/>
      </w:r>
      <w:r w:rsidRPr="006D4387">
        <w:rPr>
          <w:rFonts w:asciiTheme="majorHAnsi" w:hAnsiTheme="majorHAnsi"/>
          <w:sz w:val="16"/>
          <w:szCs w:val="16"/>
          <w:lang w:val="es-ES"/>
        </w:rPr>
        <w:t xml:space="preserve"> Informe del Relator Especial sobre la cuestión de la tortura - </w:t>
      </w:r>
      <w:proofErr w:type="spellStart"/>
      <w:r w:rsidRPr="006D4387">
        <w:rPr>
          <w:rFonts w:asciiTheme="majorHAnsi" w:hAnsiTheme="majorHAnsi"/>
          <w:sz w:val="16"/>
          <w:szCs w:val="16"/>
          <w:lang w:val="es-ES"/>
        </w:rPr>
        <w:t>Theo</w:t>
      </w:r>
      <w:proofErr w:type="spellEnd"/>
      <w:r w:rsidRPr="006D4387">
        <w:rPr>
          <w:rFonts w:asciiTheme="majorHAnsi" w:hAnsiTheme="majorHAnsi"/>
          <w:sz w:val="16"/>
          <w:szCs w:val="16"/>
          <w:lang w:val="es-ES"/>
        </w:rPr>
        <w:t xml:space="preserve"> Van </w:t>
      </w:r>
      <w:proofErr w:type="spellStart"/>
      <w:r w:rsidRPr="006D4387">
        <w:rPr>
          <w:rFonts w:asciiTheme="majorHAnsi" w:hAnsiTheme="majorHAnsi"/>
          <w:sz w:val="16"/>
          <w:szCs w:val="16"/>
          <w:lang w:val="es-ES"/>
        </w:rPr>
        <w:t>Boven</w:t>
      </w:r>
      <w:proofErr w:type="spellEnd"/>
      <w:r w:rsidRPr="006D4387">
        <w:rPr>
          <w:rFonts w:asciiTheme="majorHAnsi" w:hAnsiTheme="majorHAnsi"/>
          <w:sz w:val="16"/>
          <w:szCs w:val="16"/>
          <w:lang w:val="es-ES"/>
        </w:rPr>
        <w:t xml:space="preserve">, </w:t>
      </w:r>
      <w:r w:rsidRPr="006D4387">
        <w:rPr>
          <w:rFonts w:asciiTheme="majorHAnsi" w:hAnsiTheme="majorHAnsi"/>
          <w:i/>
          <w:sz w:val="16"/>
          <w:szCs w:val="16"/>
          <w:lang w:val="es-ES"/>
        </w:rPr>
        <w:t>La tortura y otros tratos crueles, inhumanos o degradantes</w:t>
      </w:r>
      <w:r w:rsidRPr="006D4387">
        <w:rPr>
          <w:rFonts w:asciiTheme="majorHAnsi" w:hAnsiTheme="majorHAnsi"/>
          <w:sz w:val="16"/>
          <w:szCs w:val="16"/>
          <w:lang w:val="es-ES"/>
        </w:rPr>
        <w:t xml:space="preserve">, E/CN.4/2005/62/Add.1, 30 de marzo de 2005, pág. 153-154; Informe de la Relatora Especial sobre la violencia contra la mujer, sus causas y consecuencias - </w:t>
      </w:r>
      <w:proofErr w:type="spellStart"/>
      <w:r w:rsidRPr="006D4387">
        <w:rPr>
          <w:rFonts w:asciiTheme="majorHAnsi" w:hAnsiTheme="majorHAnsi"/>
          <w:sz w:val="16"/>
          <w:szCs w:val="16"/>
          <w:lang w:val="es-ES"/>
        </w:rPr>
        <w:t>Yakin</w:t>
      </w:r>
      <w:proofErr w:type="spellEnd"/>
      <w:r w:rsidRPr="006D4387">
        <w:rPr>
          <w:rFonts w:asciiTheme="majorHAnsi" w:hAnsiTheme="majorHAnsi"/>
          <w:sz w:val="16"/>
          <w:szCs w:val="16"/>
          <w:lang w:val="es-ES"/>
        </w:rPr>
        <w:t xml:space="preserve"> </w:t>
      </w:r>
      <w:proofErr w:type="spellStart"/>
      <w:r w:rsidRPr="006D4387">
        <w:rPr>
          <w:rFonts w:asciiTheme="majorHAnsi" w:hAnsiTheme="majorHAnsi"/>
          <w:sz w:val="16"/>
          <w:szCs w:val="16"/>
          <w:lang w:val="es-ES"/>
        </w:rPr>
        <w:t>Ertürk</w:t>
      </w:r>
      <w:proofErr w:type="spellEnd"/>
      <w:r w:rsidRPr="006D4387">
        <w:rPr>
          <w:rFonts w:asciiTheme="majorHAnsi" w:hAnsiTheme="majorHAnsi"/>
          <w:sz w:val="16"/>
          <w:szCs w:val="16"/>
          <w:lang w:val="es-ES"/>
        </w:rPr>
        <w:t xml:space="preserve">, </w:t>
      </w:r>
      <w:r w:rsidRPr="006D4387">
        <w:rPr>
          <w:rFonts w:asciiTheme="majorHAnsi" w:hAnsiTheme="majorHAnsi"/>
          <w:i/>
          <w:sz w:val="16"/>
          <w:szCs w:val="16"/>
          <w:lang w:val="es-ES"/>
        </w:rPr>
        <w:t>Interrelaciones entre la violencia contra la mujer y el VIH/SIDA</w:t>
      </w:r>
      <w:r w:rsidRPr="006D4387">
        <w:rPr>
          <w:rFonts w:asciiTheme="majorHAnsi" w:hAnsiTheme="majorHAnsi"/>
          <w:sz w:val="16"/>
          <w:szCs w:val="16"/>
          <w:lang w:val="es-ES"/>
        </w:rPr>
        <w:t>, Corrección E/CN.4/2005/72/Add.1, 18 de marzo de 2005, pág. 50.</w:t>
      </w:r>
    </w:p>
  </w:footnote>
  <w:footnote w:id="149">
    <w:p w14:paraId="1FED7567" w14:textId="35DD649A" w:rsidR="006C35D0" w:rsidRPr="006D4387" w:rsidRDefault="006C35D0" w:rsidP="009E1C43">
      <w:pPr>
        <w:pStyle w:val="FootnoteText"/>
        <w:jc w:val="both"/>
        <w:rPr>
          <w:rFonts w:asciiTheme="majorHAnsi" w:hAnsiTheme="majorHAnsi"/>
          <w:sz w:val="16"/>
          <w:szCs w:val="16"/>
          <w:lang w:val="es-CO"/>
        </w:rPr>
      </w:pPr>
      <w:r w:rsidRPr="006D4387">
        <w:rPr>
          <w:rStyle w:val="FootnoteReference"/>
          <w:rFonts w:asciiTheme="majorHAnsi" w:hAnsiTheme="majorHAnsi"/>
          <w:sz w:val="16"/>
          <w:szCs w:val="16"/>
        </w:rPr>
        <w:footnoteRef/>
      </w:r>
      <w:r w:rsidRPr="006D4387">
        <w:rPr>
          <w:rFonts w:asciiTheme="majorHAnsi" w:hAnsiTheme="majorHAnsi"/>
          <w:sz w:val="16"/>
          <w:szCs w:val="16"/>
          <w:lang w:val="es-CO"/>
        </w:rPr>
        <w:t xml:space="preserve"> </w:t>
      </w:r>
      <w:r w:rsidRPr="006D4387">
        <w:rPr>
          <w:rFonts w:asciiTheme="majorHAnsi" w:hAnsiTheme="majorHAnsi"/>
          <w:sz w:val="16"/>
          <w:szCs w:val="16"/>
          <w:lang w:val="es-ES"/>
        </w:rPr>
        <w:t>Experto Independiente sobre la protección contra la violencia y la discriminación por motivos de orientación sexual o identidad de género de Naciones Unidas, “Protección contra la violencia y discriminación basada en Orientación sexual e identidad de género”, par. 25.</w:t>
      </w:r>
    </w:p>
  </w:footnote>
  <w:footnote w:id="150">
    <w:p w14:paraId="312DA307"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w:t>
      </w:r>
      <w:r w:rsidRPr="006D4387">
        <w:rPr>
          <w:rFonts w:asciiTheme="majorHAnsi" w:hAnsiTheme="majorHAnsi"/>
          <w:color w:val="auto"/>
          <w:sz w:val="16"/>
          <w:szCs w:val="16"/>
          <w:lang w:val="es-ES_tradnl"/>
        </w:rPr>
        <w:t xml:space="preserve">Artículo 8.1 de la Convención Americana: </w:t>
      </w:r>
      <w:r w:rsidRPr="006D4387">
        <w:rPr>
          <w:rFonts w:asciiTheme="majorHAnsi" w:eastAsia="Times New Roman" w:hAnsiTheme="majorHAnsi" w:cs="Tahoma"/>
          <w:color w:val="auto"/>
          <w:sz w:val="16"/>
          <w:szCs w:val="16"/>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51">
    <w:p w14:paraId="3ED4161D"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w:t>
      </w:r>
      <w:r w:rsidRPr="006D4387">
        <w:rPr>
          <w:rFonts w:asciiTheme="majorHAnsi" w:hAnsiTheme="majorHAnsi"/>
          <w:color w:val="auto"/>
          <w:sz w:val="16"/>
          <w:szCs w:val="16"/>
          <w:lang w:val="es-ES_tradnl"/>
        </w:rPr>
        <w:t>Artículo 25.1 de la Convención Americana: T</w:t>
      </w:r>
      <w:proofErr w:type="spellStart"/>
      <w:r w:rsidRPr="006D4387">
        <w:rPr>
          <w:rFonts w:asciiTheme="majorHAnsi" w:eastAsia="Times New Roman" w:hAnsiTheme="majorHAnsi" w:cs="Tahoma"/>
          <w:color w:val="auto"/>
          <w:sz w:val="16"/>
          <w:szCs w:val="16"/>
          <w:lang w:val="es-ES"/>
        </w:rPr>
        <w:t>oda</w:t>
      </w:r>
      <w:proofErr w:type="spellEnd"/>
      <w:r w:rsidRPr="006D4387">
        <w:rPr>
          <w:rFonts w:asciiTheme="majorHAnsi" w:eastAsia="Times New Roman" w:hAnsiTheme="majorHAnsi" w:cs="Tahoma"/>
          <w:color w:val="auto"/>
          <w:sz w:val="16"/>
          <w:szCs w:val="16"/>
          <w:lang w:val="es-ES"/>
        </w:rPr>
        <w:t xml:space="preserve">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52">
    <w:p w14:paraId="696136D1" w14:textId="77777777" w:rsidR="006C35D0" w:rsidRPr="006D4387" w:rsidRDefault="006C35D0" w:rsidP="009E1C43">
      <w:pPr>
        <w:pStyle w:val="FootnoteText"/>
        <w:tabs>
          <w:tab w:val="left" w:pos="720"/>
        </w:tabs>
        <w:jc w:val="both"/>
        <w:rPr>
          <w:rFonts w:asciiTheme="majorHAnsi" w:hAnsiTheme="majorHAnsi"/>
          <w:color w:val="auto"/>
          <w:spacing w:val="-4"/>
          <w:sz w:val="16"/>
          <w:szCs w:val="16"/>
          <w:lang w:val="es-CR"/>
        </w:rPr>
      </w:pPr>
      <w:r w:rsidRPr="006D4387">
        <w:rPr>
          <w:rStyle w:val="FootnoteReference"/>
          <w:rFonts w:asciiTheme="majorHAnsi" w:hAnsiTheme="majorHAnsi"/>
          <w:color w:val="auto"/>
          <w:spacing w:val="-4"/>
          <w:sz w:val="16"/>
          <w:szCs w:val="16"/>
        </w:rPr>
        <w:footnoteRef/>
      </w:r>
      <w:r w:rsidRPr="006D4387">
        <w:rPr>
          <w:rFonts w:asciiTheme="majorHAnsi" w:hAnsiTheme="majorHAnsi"/>
          <w:color w:val="auto"/>
          <w:spacing w:val="-4"/>
          <w:sz w:val="16"/>
          <w:szCs w:val="16"/>
          <w:lang w:val="es-CR"/>
        </w:rPr>
        <w:t xml:space="preserve"> </w:t>
      </w:r>
      <w:r w:rsidRPr="006D4387">
        <w:rPr>
          <w:rFonts w:asciiTheme="majorHAnsi" w:hAnsiTheme="majorHAnsi"/>
          <w:bCs/>
          <w:color w:val="auto"/>
          <w:sz w:val="16"/>
          <w:szCs w:val="16"/>
          <w:lang w:val="es-CO"/>
        </w:rPr>
        <w:t xml:space="preserve">Corte IDH. </w:t>
      </w:r>
      <w:r w:rsidRPr="006D4387">
        <w:rPr>
          <w:rFonts w:asciiTheme="majorHAnsi" w:hAnsiTheme="majorHAnsi"/>
          <w:bCs/>
          <w:i/>
          <w:color w:val="auto"/>
          <w:sz w:val="16"/>
          <w:szCs w:val="16"/>
          <w:lang w:val="es-CO"/>
        </w:rPr>
        <w:t>Caso Rodríguez Vera y otros (Desaparecidos del Palacio de Justicia) vs. Colombia</w:t>
      </w:r>
      <w:r w:rsidRPr="006D4387">
        <w:rPr>
          <w:rFonts w:asciiTheme="majorHAnsi" w:hAnsiTheme="majorHAnsi"/>
          <w:bCs/>
          <w:color w:val="auto"/>
          <w:sz w:val="16"/>
          <w:szCs w:val="16"/>
          <w:lang w:val="es-CO"/>
        </w:rPr>
        <w:t>. Excepciones Preliminares, Fondo, Reparaciones y Costas. Sentencia de 14 de noviembre de 2014. Serie C No. 287</w:t>
      </w:r>
      <w:r w:rsidRPr="006D4387">
        <w:rPr>
          <w:rFonts w:asciiTheme="majorHAnsi" w:hAnsiTheme="majorHAnsi"/>
          <w:color w:val="auto"/>
          <w:sz w:val="16"/>
          <w:szCs w:val="16"/>
          <w:lang w:val="es-CO"/>
        </w:rPr>
        <w:t>, párr. 435.</w:t>
      </w:r>
    </w:p>
  </w:footnote>
  <w:footnote w:id="153">
    <w:p w14:paraId="5180D96D"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lang w:val="es-ES_tradnl"/>
        </w:rPr>
        <w:footnoteRef/>
      </w:r>
      <w:r w:rsidRPr="006D4387">
        <w:rPr>
          <w:rStyle w:val="FootnoteReference"/>
          <w:rFonts w:asciiTheme="majorHAnsi" w:hAnsiTheme="majorHAnsi"/>
          <w:color w:val="auto"/>
          <w:sz w:val="16"/>
          <w:szCs w:val="16"/>
          <w:lang w:val="es-ES_tradnl"/>
        </w:rPr>
        <w:t xml:space="preserve"> </w:t>
      </w:r>
      <w:r w:rsidRPr="006D4387">
        <w:rPr>
          <w:rFonts w:asciiTheme="majorHAnsi" w:hAnsiTheme="majorHAnsi"/>
          <w:color w:val="auto"/>
          <w:sz w:val="16"/>
          <w:szCs w:val="16"/>
          <w:lang w:val="es-ES_tradnl"/>
        </w:rPr>
        <w:t xml:space="preserve">Corte IDH. </w:t>
      </w:r>
      <w:r w:rsidRPr="006D4387">
        <w:rPr>
          <w:rFonts w:asciiTheme="majorHAnsi" w:hAnsiTheme="majorHAnsi"/>
          <w:i/>
          <w:color w:val="auto"/>
          <w:sz w:val="16"/>
          <w:szCs w:val="16"/>
          <w:lang w:val="es-ES_tradnl"/>
        </w:rPr>
        <w:t>Caso Velásquez Rodríguez vs. Honduras</w:t>
      </w:r>
      <w:r w:rsidRPr="006D4387">
        <w:rPr>
          <w:rFonts w:asciiTheme="majorHAnsi" w:hAnsiTheme="majorHAnsi"/>
          <w:color w:val="auto"/>
          <w:sz w:val="16"/>
          <w:szCs w:val="16"/>
          <w:lang w:val="es-ES_tradnl"/>
        </w:rPr>
        <w:t>. Fondo. Sentencia de 29 de julio de 1988. Serie C No. 4, párr. 177.</w:t>
      </w:r>
    </w:p>
  </w:footnote>
  <w:footnote w:id="154">
    <w:p w14:paraId="5721FAD8" w14:textId="64CE3B1B"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Corte IDH. </w:t>
      </w:r>
      <w:r w:rsidRPr="006D4387">
        <w:rPr>
          <w:rFonts w:asciiTheme="majorHAnsi" w:hAnsiTheme="majorHAnsi"/>
          <w:i/>
          <w:color w:val="auto"/>
          <w:sz w:val="16"/>
          <w:szCs w:val="16"/>
          <w:lang w:val="es-ES"/>
        </w:rPr>
        <w:t>Caso Mendoza y otros Vs. Argentina</w:t>
      </w:r>
      <w:r w:rsidRPr="006D4387">
        <w:rPr>
          <w:rFonts w:asciiTheme="majorHAnsi" w:hAnsiTheme="majorHAnsi"/>
          <w:color w:val="auto"/>
          <w:sz w:val="16"/>
          <w:szCs w:val="16"/>
          <w:lang w:val="es-ES"/>
        </w:rPr>
        <w:t xml:space="preserve">. Excepciones Preliminares, Fondo y Reparaciones. Sentencia de 14 de </w:t>
      </w:r>
      <w:r>
        <w:rPr>
          <w:rFonts w:asciiTheme="majorHAnsi" w:hAnsiTheme="majorHAnsi"/>
          <w:color w:val="auto"/>
          <w:sz w:val="16"/>
          <w:szCs w:val="16"/>
          <w:lang w:val="es-ES"/>
        </w:rPr>
        <w:t>mayo de 2013. Serie C No. 260. p</w:t>
      </w:r>
      <w:r w:rsidRPr="006D4387">
        <w:rPr>
          <w:rFonts w:asciiTheme="majorHAnsi" w:hAnsiTheme="majorHAnsi"/>
          <w:color w:val="auto"/>
          <w:sz w:val="16"/>
          <w:szCs w:val="16"/>
          <w:lang w:val="es-ES"/>
        </w:rPr>
        <w:t>árr. 218. Ver también: Cfr. Caso Velásquez Rodríguez Vs. Honduras. Fondo, párr. 177, y Caso Masacre de Santo Domingo Vs. Colombia, párr. 157.</w:t>
      </w:r>
    </w:p>
  </w:footnote>
  <w:footnote w:id="155">
    <w:p w14:paraId="4DA11EEA"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Corte IDH. </w:t>
      </w:r>
      <w:r w:rsidRPr="006D4387">
        <w:rPr>
          <w:rFonts w:asciiTheme="majorHAnsi" w:hAnsiTheme="majorHAnsi"/>
          <w:i/>
          <w:color w:val="auto"/>
          <w:sz w:val="16"/>
          <w:szCs w:val="16"/>
          <w:lang w:val="es-ES"/>
        </w:rPr>
        <w:t xml:space="preserve">Velásquez Rodríguez Vs. Honduras. </w:t>
      </w:r>
      <w:r w:rsidRPr="006D4387">
        <w:rPr>
          <w:rFonts w:asciiTheme="majorHAnsi" w:hAnsiTheme="majorHAnsi"/>
          <w:color w:val="auto"/>
          <w:sz w:val="16"/>
          <w:szCs w:val="16"/>
          <w:lang w:val="es-ES"/>
        </w:rPr>
        <w:t>Fondo. Sentencia del 29 de julio de 1988. Serie C, No. 6, párr. 177.</w:t>
      </w:r>
    </w:p>
  </w:footnote>
  <w:footnote w:id="156">
    <w:p w14:paraId="392BC6CF"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w:t>
      </w:r>
      <w:r w:rsidRPr="006D4387">
        <w:rPr>
          <w:rFonts w:asciiTheme="majorHAnsi" w:eastAsia="Times New Roman" w:hAnsiTheme="majorHAnsi"/>
          <w:bCs/>
          <w:color w:val="auto"/>
          <w:sz w:val="16"/>
          <w:szCs w:val="16"/>
          <w:lang w:val="es-ES"/>
        </w:rPr>
        <w:t xml:space="preserve">Corte IDH. Caso Ortiz Hernández y otros Vs. Venezuela. Fondo, Reparaciones y Costas. Sentencia de 22 de agosto de 2017. Serie C No. 338. Párr. 161. </w:t>
      </w:r>
    </w:p>
  </w:footnote>
  <w:footnote w:id="157">
    <w:p w14:paraId="5F76B7D5" w14:textId="7A0CD58C" w:rsidR="006C35D0" w:rsidRPr="00D03259" w:rsidRDefault="006C35D0" w:rsidP="009E1C43">
      <w:pPr>
        <w:pStyle w:val="FootnoteText"/>
        <w:jc w:val="both"/>
        <w:rPr>
          <w:rFonts w:asciiTheme="majorHAnsi" w:hAnsiTheme="majorHAnsi"/>
          <w:color w:val="auto"/>
          <w:sz w:val="16"/>
          <w:szCs w:val="16"/>
          <w:lang w:val="pt-BR"/>
        </w:rPr>
      </w:pPr>
      <w:r w:rsidRPr="006D4387">
        <w:rPr>
          <w:rStyle w:val="FootnoteReference"/>
          <w:rFonts w:asciiTheme="majorHAnsi" w:hAnsiTheme="majorHAnsi"/>
          <w:color w:val="auto"/>
          <w:sz w:val="16"/>
          <w:szCs w:val="16"/>
        </w:rPr>
        <w:footnoteRef/>
      </w:r>
      <w:r>
        <w:rPr>
          <w:rFonts w:asciiTheme="majorHAnsi" w:hAnsiTheme="majorHAnsi"/>
          <w:color w:val="auto"/>
          <w:sz w:val="16"/>
          <w:szCs w:val="16"/>
          <w:lang w:val="es-ES"/>
        </w:rPr>
        <w:t xml:space="preserve"> </w:t>
      </w:r>
      <w:r w:rsidRPr="000B30E4">
        <w:rPr>
          <w:rFonts w:asciiTheme="majorHAnsi" w:hAnsiTheme="majorHAnsi"/>
          <w:color w:val="auto"/>
          <w:sz w:val="16"/>
          <w:szCs w:val="16"/>
          <w:lang w:val="es-ES"/>
        </w:rPr>
        <w:t xml:space="preserve">ONU, Manual sobre la Prevención e Investigación Efectiva de Ejecuciones Extrajudiciales, Arbitrarias y Sumarias de Naciones Unidas (“Protocolo de Minnesota”), Doc. </w:t>
      </w:r>
      <w:r w:rsidRPr="00D03259">
        <w:rPr>
          <w:rFonts w:asciiTheme="majorHAnsi" w:hAnsiTheme="majorHAnsi"/>
          <w:color w:val="auto"/>
          <w:sz w:val="16"/>
          <w:szCs w:val="16"/>
          <w:lang w:val="pt-BR"/>
        </w:rPr>
        <w:t>E/ST/CSDHA/.12 (1991).</w:t>
      </w:r>
    </w:p>
  </w:footnote>
  <w:footnote w:id="158">
    <w:p w14:paraId="68774EE7"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D03259">
        <w:rPr>
          <w:rFonts w:asciiTheme="majorHAnsi" w:hAnsiTheme="majorHAnsi"/>
          <w:color w:val="auto"/>
          <w:sz w:val="16"/>
          <w:szCs w:val="16"/>
          <w:lang w:val="pt-BR"/>
        </w:rPr>
        <w:t xml:space="preserve"> </w:t>
      </w:r>
      <w:hyperlink r:id="rId16" w:history="1">
        <w:r w:rsidRPr="00D03259">
          <w:rPr>
            <w:rStyle w:val="FootnoteTextChar"/>
            <w:rFonts w:asciiTheme="majorHAnsi" w:hAnsiTheme="majorHAnsi"/>
            <w:color w:val="auto"/>
            <w:sz w:val="16"/>
            <w:szCs w:val="16"/>
            <w:lang w:val="pt-BR"/>
          </w:rPr>
          <w:t>Corte IDH. C</w:t>
        </w:r>
        <w:r w:rsidRPr="00D03259">
          <w:rPr>
            <w:rStyle w:val="FootnoteTextChar"/>
            <w:rFonts w:asciiTheme="majorHAnsi" w:hAnsiTheme="majorHAnsi"/>
            <w:i/>
            <w:color w:val="auto"/>
            <w:sz w:val="16"/>
            <w:szCs w:val="16"/>
            <w:lang w:val="pt-BR"/>
          </w:rPr>
          <w:t xml:space="preserve">aso Vargas Areco Vs. </w:t>
        </w:r>
        <w:r w:rsidRPr="00CD56E1">
          <w:rPr>
            <w:rStyle w:val="FootnoteTextChar"/>
            <w:rFonts w:asciiTheme="majorHAnsi" w:hAnsiTheme="majorHAnsi"/>
            <w:i/>
            <w:color w:val="auto"/>
            <w:sz w:val="16"/>
            <w:szCs w:val="16"/>
            <w:lang w:val="es-PE"/>
          </w:rPr>
          <w:t>Paraguay</w:t>
        </w:r>
        <w:r w:rsidRPr="00CD56E1">
          <w:rPr>
            <w:rStyle w:val="FootnoteTextChar"/>
            <w:rFonts w:asciiTheme="majorHAnsi" w:hAnsiTheme="majorHAnsi"/>
            <w:color w:val="auto"/>
            <w:sz w:val="16"/>
            <w:szCs w:val="16"/>
            <w:lang w:val="es-PE"/>
          </w:rPr>
          <w:t xml:space="preserve">. </w:t>
        </w:r>
        <w:r w:rsidRPr="006D4387">
          <w:rPr>
            <w:rStyle w:val="FootnoteTextChar"/>
            <w:rFonts w:asciiTheme="majorHAnsi" w:hAnsiTheme="majorHAnsi"/>
            <w:color w:val="auto"/>
            <w:sz w:val="16"/>
            <w:szCs w:val="16"/>
            <w:lang w:val="es-ES"/>
          </w:rPr>
          <w:t>Sentencia de 26 de septiembre de 2006. Serie C No. 155</w:t>
        </w:r>
      </w:hyperlink>
      <w:r w:rsidRPr="006D4387">
        <w:rPr>
          <w:rStyle w:val="FootnoteTextChar"/>
          <w:rFonts w:asciiTheme="majorHAnsi" w:hAnsiTheme="majorHAnsi"/>
          <w:color w:val="auto"/>
          <w:sz w:val="16"/>
          <w:szCs w:val="16"/>
          <w:lang w:val="es-ES"/>
        </w:rPr>
        <w:t xml:space="preserve">, párr. 196; </w:t>
      </w:r>
      <w:hyperlink r:id="rId17" w:history="1">
        <w:r w:rsidRPr="006D4387">
          <w:rPr>
            <w:rStyle w:val="FootnoteTextChar"/>
            <w:rFonts w:asciiTheme="majorHAnsi" w:hAnsiTheme="majorHAnsi"/>
            <w:color w:val="auto"/>
            <w:sz w:val="16"/>
            <w:szCs w:val="16"/>
            <w:lang w:val="es-ES"/>
          </w:rPr>
          <w:t xml:space="preserve">Caso de las Masacres de </w:t>
        </w:r>
        <w:proofErr w:type="spellStart"/>
        <w:r w:rsidRPr="006D4387">
          <w:rPr>
            <w:rStyle w:val="FootnoteTextChar"/>
            <w:rFonts w:asciiTheme="majorHAnsi" w:hAnsiTheme="majorHAnsi"/>
            <w:color w:val="auto"/>
            <w:sz w:val="16"/>
            <w:szCs w:val="16"/>
            <w:lang w:val="es-ES"/>
          </w:rPr>
          <w:t>Ituango</w:t>
        </w:r>
        <w:proofErr w:type="spellEnd"/>
        <w:r w:rsidRPr="006D4387">
          <w:rPr>
            <w:rStyle w:val="FootnoteTextChar"/>
            <w:rFonts w:asciiTheme="majorHAnsi" w:hAnsiTheme="majorHAnsi"/>
            <w:color w:val="auto"/>
            <w:sz w:val="16"/>
            <w:szCs w:val="16"/>
            <w:lang w:val="es-ES"/>
          </w:rPr>
          <w:t xml:space="preserve"> Vs. Colombia. Sentencia de 1 de julio de 2006 Serie C No. 148</w:t>
        </w:r>
      </w:hyperlink>
      <w:r w:rsidRPr="006D4387">
        <w:rPr>
          <w:rStyle w:val="FootnoteTextChar"/>
          <w:rFonts w:asciiTheme="majorHAnsi" w:hAnsiTheme="majorHAnsi"/>
          <w:color w:val="auto"/>
          <w:sz w:val="16"/>
          <w:szCs w:val="16"/>
          <w:lang w:val="es-ES"/>
        </w:rPr>
        <w:t xml:space="preserve">, párr. 289; y </w:t>
      </w:r>
      <w:hyperlink r:id="rId18" w:history="1">
        <w:r w:rsidRPr="006D4387">
          <w:rPr>
            <w:rStyle w:val="FootnoteTextChar"/>
            <w:rFonts w:asciiTheme="majorHAnsi" w:hAnsiTheme="majorHAnsi"/>
            <w:color w:val="auto"/>
            <w:sz w:val="16"/>
            <w:szCs w:val="16"/>
            <w:lang w:val="es-ES"/>
          </w:rPr>
          <w:t xml:space="preserve">Corte IDH. Caso </w:t>
        </w:r>
        <w:proofErr w:type="spellStart"/>
        <w:r w:rsidRPr="006D4387">
          <w:rPr>
            <w:rStyle w:val="FootnoteTextChar"/>
            <w:rFonts w:asciiTheme="majorHAnsi" w:hAnsiTheme="majorHAnsi"/>
            <w:color w:val="auto"/>
            <w:sz w:val="16"/>
            <w:szCs w:val="16"/>
            <w:lang w:val="es-ES"/>
          </w:rPr>
          <w:t>Baldeón</w:t>
        </w:r>
        <w:proofErr w:type="spellEnd"/>
        <w:r w:rsidRPr="006D4387">
          <w:rPr>
            <w:rStyle w:val="FootnoteTextChar"/>
            <w:rFonts w:asciiTheme="majorHAnsi" w:hAnsiTheme="majorHAnsi"/>
            <w:color w:val="auto"/>
            <w:sz w:val="16"/>
            <w:szCs w:val="16"/>
            <w:lang w:val="es-ES"/>
          </w:rPr>
          <w:t xml:space="preserve"> García Vs. Perú. Fondo, Reparaciones y Costas. Sentencia de 6 de abril de 2006. Serie C No. 147</w:t>
        </w:r>
      </w:hyperlink>
      <w:r w:rsidRPr="006D4387">
        <w:rPr>
          <w:rStyle w:val="FootnoteTextChar"/>
          <w:rFonts w:asciiTheme="majorHAnsi" w:hAnsiTheme="majorHAnsi"/>
          <w:color w:val="auto"/>
          <w:sz w:val="16"/>
          <w:szCs w:val="16"/>
          <w:lang w:val="es-ES"/>
        </w:rPr>
        <w:t>, párr. 151.</w:t>
      </w:r>
    </w:p>
  </w:footnote>
  <w:footnote w:id="159">
    <w:p w14:paraId="441ADCAB" w14:textId="77777777" w:rsidR="006C35D0" w:rsidRPr="006D4387" w:rsidRDefault="006C35D0" w:rsidP="009E1C43">
      <w:pPr>
        <w:pStyle w:val="FootnoteText"/>
        <w:jc w:val="both"/>
        <w:rPr>
          <w:rFonts w:asciiTheme="majorHAnsi" w:hAnsiTheme="majorHAnsi"/>
          <w:color w:val="auto"/>
          <w:sz w:val="16"/>
          <w:szCs w:val="16"/>
          <w:lang w:val="es-E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ES"/>
        </w:rPr>
        <w:t xml:space="preserve"> </w:t>
      </w:r>
      <w:r w:rsidRPr="006D4387">
        <w:rPr>
          <w:rFonts w:asciiTheme="majorHAnsi" w:hAnsiTheme="majorHAnsi"/>
          <w:noProof/>
          <w:color w:val="auto"/>
          <w:sz w:val="16"/>
          <w:szCs w:val="16"/>
          <w:lang w:val="es-ES"/>
        </w:rPr>
        <w:t xml:space="preserve">Corte IDH. </w:t>
      </w:r>
      <w:r w:rsidRPr="006D4387">
        <w:rPr>
          <w:rFonts w:asciiTheme="majorHAnsi" w:hAnsiTheme="majorHAnsi"/>
          <w:i/>
          <w:noProof/>
          <w:color w:val="auto"/>
          <w:sz w:val="16"/>
          <w:szCs w:val="16"/>
          <w:lang w:val="es-ES"/>
        </w:rPr>
        <w:t>Caso Valle Jaramillo y otros Vs. Colombia</w:t>
      </w:r>
      <w:r w:rsidRPr="006D4387">
        <w:rPr>
          <w:rFonts w:asciiTheme="majorHAnsi" w:hAnsiTheme="majorHAnsi"/>
          <w:noProof/>
          <w:color w:val="auto"/>
          <w:sz w:val="16"/>
          <w:szCs w:val="16"/>
          <w:lang w:val="es-ES"/>
        </w:rPr>
        <w:t>. Fondo, Reparaciones y Costas. Sentencia de 27 de noviembre de 2008. Serie C No. 192, párr. 155.</w:t>
      </w:r>
    </w:p>
  </w:footnote>
  <w:footnote w:id="160">
    <w:p w14:paraId="55906369" w14:textId="77777777" w:rsidR="006C35D0" w:rsidRPr="007C1C55" w:rsidRDefault="006C35D0" w:rsidP="009E1C43">
      <w:pPr>
        <w:pStyle w:val="FootnoteText"/>
        <w:jc w:val="both"/>
        <w:rPr>
          <w:rFonts w:asciiTheme="majorHAnsi" w:hAnsiTheme="majorHAnsi"/>
          <w:color w:val="auto"/>
          <w:sz w:val="16"/>
          <w:szCs w:val="16"/>
          <w:lang w:val="pt-BR"/>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xml:space="preserve">. </w:t>
      </w:r>
      <w:r w:rsidRPr="007C1C55">
        <w:rPr>
          <w:rFonts w:asciiTheme="majorHAnsi" w:hAnsiTheme="majorHAnsi"/>
          <w:color w:val="auto"/>
          <w:sz w:val="16"/>
          <w:szCs w:val="16"/>
          <w:lang w:val="pt-BR"/>
        </w:rPr>
        <w:t xml:space="preserve">OAS/Ser.L/V/II.rev.2. Doc. 36. 12 noviembre de 2015, párr. 489. </w:t>
      </w:r>
    </w:p>
  </w:footnote>
  <w:footnote w:id="161">
    <w:p w14:paraId="1F42A470"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7C1C55">
        <w:rPr>
          <w:rFonts w:asciiTheme="majorHAnsi" w:hAnsiTheme="majorHAnsi"/>
          <w:color w:val="auto"/>
          <w:sz w:val="16"/>
          <w:szCs w:val="16"/>
          <w:lang w:val="pt-BR"/>
        </w:rPr>
        <w:t xml:space="preserve"> Ver: Corte IDH. </w:t>
      </w:r>
      <w:r w:rsidRPr="006D4387">
        <w:rPr>
          <w:rFonts w:asciiTheme="majorHAnsi" w:hAnsiTheme="majorHAnsi"/>
          <w:i/>
          <w:color w:val="auto"/>
          <w:sz w:val="16"/>
          <w:szCs w:val="16"/>
          <w:lang w:val="es-US"/>
        </w:rPr>
        <w:t xml:space="preserve">Caso </w:t>
      </w:r>
      <w:proofErr w:type="spellStart"/>
      <w:r w:rsidRPr="006D4387">
        <w:rPr>
          <w:rFonts w:asciiTheme="majorHAnsi" w:hAnsiTheme="majorHAnsi"/>
          <w:i/>
          <w:color w:val="auto"/>
          <w:sz w:val="16"/>
          <w:szCs w:val="16"/>
          <w:lang w:val="es-US"/>
        </w:rPr>
        <w:t>Atala</w:t>
      </w:r>
      <w:proofErr w:type="spellEnd"/>
      <w:r w:rsidRPr="006D4387">
        <w:rPr>
          <w:rFonts w:asciiTheme="majorHAnsi" w:hAnsiTheme="majorHAnsi"/>
          <w:i/>
          <w:color w:val="auto"/>
          <w:sz w:val="16"/>
          <w:szCs w:val="16"/>
          <w:lang w:val="es-US"/>
        </w:rPr>
        <w:t xml:space="preserve"> </w:t>
      </w:r>
      <w:proofErr w:type="spellStart"/>
      <w:r w:rsidRPr="006D4387">
        <w:rPr>
          <w:rFonts w:asciiTheme="majorHAnsi" w:hAnsiTheme="majorHAnsi"/>
          <w:i/>
          <w:color w:val="auto"/>
          <w:sz w:val="16"/>
          <w:szCs w:val="16"/>
          <w:lang w:val="es-US"/>
        </w:rPr>
        <w:t>Riffo</w:t>
      </w:r>
      <w:proofErr w:type="spellEnd"/>
      <w:r w:rsidRPr="006D4387">
        <w:rPr>
          <w:rFonts w:asciiTheme="majorHAnsi" w:hAnsiTheme="majorHAnsi"/>
          <w:i/>
          <w:color w:val="auto"/>
          <w:sz w:val="16"/>
          <w:szCs w:val="16"/>
          <w:lang w:val="es-US"/>
        </w:rPr>
        <w:t xml:space="preserve"> y niñas vs. Chile</w:t>
      </w:r>
      <w:r w:rsidRPr="006D4387">
        <w:rPr>
          <w:rFonts w:asciiTheme="majorHAnsi" w:hAnsiTheme="majorHAnsi"/>
          <w:color w:val="auto"/>
          <w:sz w:val="16"/>
          <w:szCs w:val="16"/>
          <w:lang w:val="es-US"/>
        </w:rPr>
        <w:t>. Fondo, Reparaciones y Costas. Sentencia de 24 de febrero de 2012. Serie C No. 239, párr. 92.</w:t>
      </w:r>
    </w:p>
  </w:footnote>
  <w:footnote w:id="162">
    <w:p w14:paraId="5AAB28BD"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Ver: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426. </w:t>
      </w:r>
    </w:p>
  </w:footnote>
  <w:footnote w:id="163">
    <w:p w14:paraId="7346C282"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484. </w:t>
      </w:r>
    </w:p>
  </w:footnote>
  <w:footnote w:id="164">
    <w:p w14:paraId="7CA0EBFC" w14:textId="77777777" w:rsidR="006C35D0" w:rsidRPr="006D4387" w:rsidRDefault="006C35D0" w:rsidP="009E1C43">
      <w:pPr>
        <w:pStyle w:val="FootnoteText"/>
        <w:jc w:val="both"/>
        <w:rPr>
          <w:rFonts w:asciiTheme="majorHAnsi" w:hAnsiTheme="majorHAnsi"/>
          <w:color w:val="auto"/>
          <w:sz w:val="16"/>
          <w:szCs w:val="16"/>
          <w:lang w:val="es-US"/>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485. </w:t>
      </w:r>
    </w:p>
  </w:footnote>
  <w:footnote w:id="165">
    <w:p w14:paraId="448A1F01" w14:textId="77777777" w:rsidR="006C35D0" w:rsidRPr="006D4387" w:rsidRDefault="006C35D0" w:rsidP="009E1C43">
      <w:pPr>
        <w:pStyle w:val="FootnoteText"/>
        <w:jc w:val="both"/>
        <w:rPr>
          <w:rFonts w:asciiTheme="majorHAnsi" w:hAnsiTheme="majorHAnsi"/>
          <w:color w:val="auto"/>
          <w:sz w:val="16"/>
          <w:szCs w:val="16"/>
          <w:lang w:val="es-VE"/>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VE"/>
        </w:rPr>
        <w:t xml:space="preserve"> En igual sentido, el Tribunal Europeo de Derechos Humanos también ha afirmado que la obligación de prevenir la “violencia motivada por el odio” proveniente de personas particulares así como de investigar la existencia de un posible vínculo entre el acto de violencia y el motivo discriminatorio puede estar amparada por la obligación de prohibir la tortura (Artículo 3), y también puede ser vista como parte de las obligaciones positivas del Estado derivadas de la prohibición de discriminación (Artículo 14). Ver: TEDH, Caso </w:t>
      </w:r>
      <w:proofErr w:type="spellStart"/>
      <w:r w:rsidRPr="006D4387">
        <w:rPr>
          <w:rFonts w:asciiTheme="majorHAnsi" w:hAnsiTheme="majorHAnsi"/>
          <w:color w:val="auto"/>
          <w:sz w:val="16"/>
          <w:szCs w:val="16"/>
          <w:lang w:val="es-VE"/>
        </w:rPr>
        <w:t>Identoba</w:t>
      </w:r>
      <w:proofErr w:type="spellEnd"/>
      <w:r w:rsidRPr="006D4387">
        <w:rPr>
          <w:rFonts w:asciiTheme="majorHAnsi" w:hAnsiTheme="majorHAnsi"/>
          <w:color w:val="auto"/>
          <w:sz w:val="16"/>
          <w:szCs w:val="16"/>
          <w:lang w:val="es-VE"/>
        </w:rPr>
        <w:t xml:space="preserve"> y otros, (Aplicación no. 73235/12) vs. Georgia, 12 de mayo de 2015, párr. 63, citado en </w:t>
      </w:r>
      <w:r w:rsidRPr="006D4387">
        <w:rPr>
          <w:rFonts w:asciiTheme="majorHAnsi" w:hAnsiTheme="majorHAnsi"/>
          <w:color w:val="auto"/>
          <w:sz w:val="16"/>
          <w:szCs w:val="16"/>
          <w:lang w:val="es-US"/>
        </w:rPr>
        <w:t xml:space="preserve">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OAS/</w:t>
      </w:r>
      <w:proofErr w:type="spellStart"/>
      <w:r w:rsidRPr="006D4387">
        <w:rPr>
          <w:rFonts w:asciiTheme="majorHAnsi" w:hAnsiTheme="majorHAnsi"/>
          <w:color w:val="auto"/>
          <w:sz w:val="16"/>
          <w:szCs w:val="16"/>
          <w:lang w:val="es-US"/>
        </w:rPr>
        <w:t>Ser.L</w:t>
      </w:r>
      <w:proofErr w:type="spellEnd"/>
      <w:r w:rsidRPr="006D4387">
        <w:rPr>
          <w:rFonts w:asciiTheme="majorHAnsi" w:hAnsiTheme="majorHAnsi"/>
          <w:color w:val="auto"/>
          <w:sz w:val="16"/>
          <w:szCs w:val="16"/>
          <w:lang w:val="es-US"/>
        </w:rPr>
        <w:t xml:space="preserve">/V/II.rev.2. Doc. 36. 12 noviembre de 2015, párr. 385. </w:t>
      </w:r>
    </w:p>
  </w:footnote>
  <w:footnote w:id="166">
    <w:p w14:paraId="01D437F8" w14:textId="77777777" w:rsidR="006C35D0" w:rsidRPr="007C1C55" w:rsidRDefault="006C35D0" w:rsidP="009E1C43">
      <w:pPr>
        <w:pStyle w:val="FootnoteText"/>
        <w:jc w:val="both"/>
        <w:rPr>
          <w:rFonts w:asciiTheme="majorHAnsi" w:hAnsiTheme="majorHAnsi"/>
          <w:color w:val="auto"/>
          <w:sz w:val="16"/>
          <w:szCs w:val="16"/>
          <w:lang w:val="pt-BR"/>
        </w:rPr>
      </w:pPr>
      <w:r w:rsidRPr="006D4387">
        <w:rPr>
          <w:rStyle w:val="FootnoteReference"/>
          <w:rFonts w:asciiTheme="majorHAnsi" w:hAnsiTheme="majorHAnsi"/>
          <w:color w:val="auto"/>
          <w:sz w:val="16"/>
          <w:szCs w:val="16"/>
        </w:rPr>
        <w:footnoteRef/>
      </w:r>
      <w:r w:rsidRPr="006D4387">
        <w:rPr>
          <w:rFonts w:asciiTheme="majorHAnsi" w:hAnsiTheme="majorHAnsi"/>
          <w:color w:val="auto"/>
          <w:sz w:val="16"/>
          <w:szCs w:val="16"/>
          <w:lang w:val="es-US"/>
        </w:rPr>
        <w:t xml:space="preserve"> CIDH. </w:t>
      </w:r>
      <w:r w:rsidRPr="006D4387">
        <w:rPr>
          <w:rFonts w:asciiTheme="majorHAnsi" w:hAnsiTheme="majorHAnsi"/>
          <w:i/>
          <w:color w:val="auto"/>
          <w:sz w:val="16"/>
          <w:szCs w:val="16"/>
          <w:lang w:val="es-US"/>
        </w:rPr>
        <w:t xml:space="preserve">Violencia contra Personas Lesbianas, Gay, Bisexuales, </w:t>
      </w:r>
      <w:proofErr w:type="spellStart"/>
      <w:r w:rsidRPr="006D4387">
        <w:rPr>
          <w:rFonts w:asciiTheme="majorHAnsi" w:hAnsiTheme="majorHAnsi"/>
          <w:i/>
          <w:color w:val="auto"/>
          <w:sz w:val="16"/>
          <w:szCs w:val="16"/>
          <w:lang w:val="es-US"/>
        </w:rPr>
        <w:t>Trans</w:t>
      </w:r>
      <w:proofErr w:type="spellEnd"/>
      <w:r w:rsidRPr="006D4387">
        <w:rPr>
          <w:rFonts w:asciiTheme="majorHAnsi" w:hAnsiTheme="majorHAnsi"/>
          <w:i/>
          <w:color w:val="auto"/>
          <w:sz w:val="16"/>
          <w:szCs w:val="16"/>
          <w:lang w:val="es-US"/>
        </w:rPr>
        <w:t xml:space="preserve"> e </w:t>
      </w:r>
      <w:proofErr w:type="spellStart"/>
      <w:r w:rsidRPr="006D4387">
        <w:rPr>
          <w:rFonts w:asciiTheme="majorHAnsi" w:hAnsiTheme="majorHAnsi"/>
          <w:i/>
          <w:color w:val="auto"/>
          <w:sz w:val="16"/>
          <w:szCs w:val="16"/>
          <w:lang w:val="es-US"/>
        </w:rPr>
        <w:t>Intersex</w:t>
      </w:r>
      <w:proofErr w:type="spellEnd"/>
      <w:r w:rsidRPr="006D4387">
        <w:rPr>
          <w:rFonts w:asciiTheme="majorHAnsi" w:hAnsiTheme="majorHAnsi"/>
          <w:i/>
          <w:color w:val="auto"/>
          <w:sz w:val="16"/>
          <w:szCs w:val="16"/>
          <w:lang w:val="es-US"/>
        </w:rPr>
        <w:t xml:space="preserve"> en América</w:t>
      </w:r>
      <w:r w:rsidRPr="006D4387">
        <w:rPr>
          <w:rFonts w:asciiTheme="majorHAnsi" w:hAnsiTheme="majorHAnsi"/>
          <w:color w:val="auto"/>
          <w:sz w:val="16"/>
          <w:szCs w:val="16"/>
          <w:lang w:val="es-US"/>
        </w:rPr>
        <w:t xml:space="preserve">. </w:t>
      </w:r>
      <w:r w:rsidRPr="007C1C55">
        <w:rPr>
          <w:rFonts w:asciiTheme="majorHAnsi" w:hAnsiTheme="majorHAnsi"/>
          <w:color w:val="auto"/>
          <w:sz w:val="16"/>
          <w:szCs w:val="16"/>
          <w:lang w:val="pt-BR"/>
        </w:rPr>
        <w:t xml:space="preserve">OAS/Ser.L/V/II.rev.2. Doc. 36. 12 noviembre de 2015, párr. 28.  </w:t>
      </w:r>
    </w:p>
  </w:footnote>
  <w:footnote w:id="167">
    <w:p w14:paraId="32E95DF4" w14:textId="3386302C" w:rsidR="006C35D0" w:rsidRPr="006D4387" w:rsidRDefault="006C35D0" w:rsidP="009E1C43">
      <w:pPr>
        <w:pStyle w:val="FootnoteText"/>
        <w:tabs>
          <w:tab w:val="left" w:pos="720"/>
        </w:tabs>
        <w:jc w:val="both"/>
        <w:rPr>
          <w:rFonts w:asciiTheme="majorHAnsi" w:hAnsiTheme="majorHAnsi"/>
          <w:bCs/>
          <w:sz w:val="16"/>
          <w:szCs w:val="16"/>
          <w:shd w:val="clear" w:color="auto" w:fill="FFFFFF"/>
          <w:lang w:val="es-CO"/>
        </w:rPr>
      </w:pPr>
      <w:r w:rsidRPr="006D4387">
        <w:rPr>
          <w:rStyle w:val="FootnoteReference"/>
          <w:rFonts w:asciiTheme="majorHAnsi" w:hAnsiTheme="majorHAnsi"/>
          <w:sz w:val="16"/>
          <w:szCs w:val="16"/>
        </w:rPr>
        <w:footnoteRef/>
      </w:r>
      <w:r w:rsidRPr="007C1C55">
        <w:rPr>
          <w:rFonts w:asciiTheme="majorHAnsi" w:hAnsiTheme="majorHAnsi"/>
          <w:sz w:val="16"/>
          <w:szCs w:val="16"/>
          <w:lang w:val="pt-BR"/>
        </w:rPr>
        <w:t xml:space="preserve"> Corte IDH. </w:t>
      </w:r>
      <w:r w:rsidRPr="006D4387">
        <w:rPr>
          <w:rStyle w:val="Strong"/>
          <w:rFonts w:asciiTheme="majorHAnsi" w:hAnsiTheme="majorHAnsi"/>
          <w:b w:val="0"/>
          <w:i/>
          <w:sz w:val="16"/>
          <w:szCs w:val="16"/>
          <w:shd w:val="clear" w:color="auto" w:fill="FFFFFF"/>
          <w:lang w:val="es-CO"/>
        </w:rPr>
        <w:t xml:space="preserve">Caso Velásquez </w:t>
      </w:r>
      <w:proofErr w:type="spellStart"/>
      <w:r w:rsidRPr="006D4387">
        <w:rPr>
          <w:rStyle w:val="Strong"/>
          <w:rFonts w:asciiTheme="majorHAnsi" w:hAnsiTheme="majorHAnsi"/>
          <w:b w:val="0"/>
          <w:i/>
          <w:sz w:val="16"/>
          <w:szCs w:val="16"/>
          <w:shd w:val="clear" w:color="auto" w:fill="FFFFFF"/>
          <w:lang w:val="es-CO"/>
        </w:rPr>
        <w:t>Paiz</w:t>
      </w:r>
      <w:proofErr w:type="spellEnd"/>
      <w:r w:rsidRPr="006D4387">
        <w:rPr>
          <w:rStyle w:val="Strong"/>
          <w:rFonts w:asciiTheme="majorHAnsi" w:hAnsiTheme="majorHAnsi"/>
          <w:b w:val="0"/>
          <w:i/>
          <w:sz w:val="16"/>
          <w:szCs w:val="16"/>
          <w:shd w:val="clear" w:color="auto" w:fill="FFFFFF"/>
          <w:lang w:val="es-CO"/>
        </w:rPr>
        <w:t xml:space="preserve"> y otros Vs. Guatemala</w:t>
      </w:r>
      <w:r w:rsidRPr="006D4387">
        <w:rPr>
          <w:rStyle w:val="Strong"/>
          <w:rFonts w:asciiTheme="majorHAnsi" w:hAnsiTheme="majorHAnsi"/>
          <w:b w:val="0"/>
          <w:sz w:val="16"/>
          <w:szCs w:val="16"/>
          <w:shd w:val="clear" w:color="auto" w:fill="FFFFFF"/>
          <w:lang w:val="es-CO"/>
        </w:rPr>
        <w:t xml:space="preserve">, párr. 187, citando el peritaje </w:t>
      </w:r>
      <w:r w:rsidRPr="006D4387">
        <w:rPr>
          <w:rFonts w:asciiTheme="majorHAnsi" w:hAnsiTheme="majorHAnsi"/>
          <w:sz w:val="16"/>
          <w:szCs w:val="16"/>
          <w:lang w:val="es-ES"/>
        </w:rPr>
        <w:t xml:space="preserve">rendido </w:t>
      </w:r>
      <w:r w:rsidRPr="006D4387">
        <w:rPr>
          <w:rFonts w:asciiTheme="majorHAnsi" w:hAnsiTheme="majorHAnsi"/>
          <w:spacing w:val="-4"/>
          <w:sz w:val="16"/>
          <w:szCs w:val="16"/>
          <w:lang w:val="es-PR"/>
        </w:rPr>
        <w:t xml:space="preserve">ante fedatario público (affidávit) </w:t>
      </w:r>
      <w:r w:rsidRPr="006D4387">
        <w:rPr>
          <w:rFonts w:asciiTheme="majorHAnsi" w:hAnsiTheme="majorHAnsi"/>
          <w:sz w:val="16"/>
          <w:szCs w:val="16"/>
          <w:lang w:val="es-ES"/>
        </w:rPr>
        <w:t xml:space="preserve">por </w:t>
      </w:r>
      <w:r w:rsidRPr="006D4387">
        <w:rPr>
          <w:rFonts w:asciiTheme="majorHAnsi" w:hAnsiTheme="majorHAnsi" w:cs="Arial"/>
          <w:sz w:val="16"/>
          <w:szCs w:val="16"/>
          <w:lang w:val="es-ES"/>
        </w:rPr>
        <w:t>Alberto Bovino</w:t>
      </w:r>
      <w:r w:rsidRPr="006D4387">
        <w:rPr>
          <w:rFonts w:asciiTheme="majorHAnsi" w:eastAsia="Batang" w:hAnsiTheme="majorHAnsi" w:cs="Arial"/>
          <w:sz w:val="16"/>
          <w:szCs w:val="16"/>
          <w:lang w:val="es-ES" w:eastAsia="es-MX"/>
        </w:rPr>
        <w:t xml:space="preserve"> en ese caso.</w:t>
      </w:r>
    </w:p>
  </w:footnote>
  <w:footnote w:id="168">
    <w:p w14:paraId="4E62F741" w14:textId="5D77690D" w:rsidR="006C35D0" w:rsidRPr="006D4387" w:rsidRDefault="006C35D0" w:rsidP="009E1C43">
      <w:pPr>
        <w:pStyle w:val="FootnoteText"/>
        <w:jc w:val="both"/>
        <w:rPr>
          <w:rFonts w:asciiTheme="majorHAnsi" w:hAnsiTheme="majorHAnsi"/>
          <w:b/>
          <w:sz w:val="16"/>
          <w:szCs w:val="16"/>
          <w:lang w:val="es-CO"/>
        </w:rPr>
      </w:pPr>
      <w:r w:rsidRPr="006D4387">
        <w:rPr>
          <w:rStyle w:val="FootnoteReference"/>
          <w:rFonts w:asciiTheme="majorHAnsi" w:hAnsiTheme="majorHAnsi"/>
          <w:b/>
          <w:sz w:val="16"/>
          <w:szCs w:val="16"/>
        </w:rPr>
        <w:footnoteRef/>
      </w:r>
      <w:r w:rsidRPr="006D4387">
        <w:rPr>
          <w:rFonts w:asciiTheme="majorHAnsi" w:hAnsiTheme="majorHAnsi"/>
          <w:b/>
          <w:sz w:val="16"/>
          <w:szCs w:val="16"/>
          <w:lang w:val="es-CO"/>
        </w:rPr>
        <w:t xml:space="preserve"> </w:t>
      </w:r>
      <w:r w:rsidRPr="006D4387">
        <w:rPr>
          <w:rStyle w:val="Strong"/>
          <w:rFonts w:asciiTheme="majorHAnsi" w:hAnsiTheme="majorHAnsi"/>
          <w:b w:val="0"/>
          <w:sz w:val="16"/>
          <w:szCs w:val="16"/>
          <w:lang w:val="es-CO"/>
        </w:rPr>
        <w:t xml:space="preserve">Corte IDH. Caso Gutiérrez Hernández y otros Vs. Guatemala. Excepciones Preliminares, Fondo, Reparaciones y Costas. Sentencia de 24 de agosto de 2017. Serie C No. 339. Párr. 171. </w:t>
      </w:r>
    </w:p>
  </w:footnote>
  <w:footnote w:id="169">
    <w:p w14:paraId="4573C6F6" w14:textId="77777777" w:rsidR="006C35D0" w:rsidRPr="006D4387" w:rsidRDefault="006C35D0" w:rsidP="009E1C43">
      <w:pPr>
        <w:tabs>
          <w:tab w:val="left" w:pos="720"/>
          <w:tab w:val="left" w:pos="900"/>
          <w:tab w:val="left" w:pos="1080"/>
        </w:tabs>
        <w:jc w:val="both"/>
        <w:rPr>
          <w:rFonts w:asciiTheme="majorHAnsi" w:hAnsiTheme="majorHAnsi"/>
          <w:sz w:val="16"/>
          <w:szCs w:val="16"/>
          <w:lang w:val="es-ES_tradnl"/>
        </w:rPr>
      </w:pPr>
      <w:r w:rsidRPr="006D4387">
        <w:rPr>
          <w:rStyle w:val="FootnoteReference"/>
          <w:rFonts w:asciiTheme="majorHAnsi" w:hAnsiTheme="majorHAnsi" w:cs="Arial"/>
          <w:sz w:val="16"/>
          <w:szCs w:val="16"/>
          <w:lang w:val="es-SV"/>
        </w:rPr>
        <w:footnoteRef/>
      </w:r>
      <w:r w:rsidRPr="006D4387">
        <w:rPr>
          <w:rFonts w:asciiTheme="majorHAnsi" w:hAnsiTheme="majorHAnsi" w:cs="Arial"/>
          <w:sz w:val="16"/>
          <w:szCs w:val="16"/>
          <w:lang w:val="es-CL"/>
        </w:rPr>
        <w:t xml:space="preserve"> </w:t>
      </w:r>
      <w:r w:rsidRPr="006D4387">
        <w:rPr>
          <w:rFonts w:asciiTheme="majorHAnsi" w:hAnsiTheme="majorHAnsi"/>
          <w:sz w:val="16"/>
          <w:szCs w:val="16"/>
          <w:lang w:val="es-CO"/>
        </w:rPr>
        <w:t xml:space="preserve">CIDH. Informe No. 11/10. Caso 12.488. Fondo. Miembros de la Familia Barrios. Venezuela. 16 de marzo de 2010. 91. </w:t>
      </w:r>
      <w:r w:rsidRPr="006D4387">
        <w:rPr>
          <w:rFonts w:asciiTheme="majorHAnsi" w:hAnsiTheme="majorHAnsi"/>
          <w:sz w:val="16"/>
          <w:szCs w:val="16"/>
          <w:lang w:val="es-ES_tradnl"/>
        </w:rPr>
        <w:t xml:space="preserve">CIDH. Informe sobre Terrorismo y Derechos Humanos. Párr. 227; </w:t>
      </w:r>
      <w:r w:rsidRPr="006D4387">
        <w:rPr>
          <w:rFonts w:asciiTheme="majorHAnsi" w:hAnsiTheme="majorHAnsi" w:cs="Arial"/>
          <w:sz w:val="16"/>
          <w:szCs w:val="16"/>
          <w:lang w:val="es-ES_tradnl"/>
        </w:rPr>
        <w:t xml:space="preserve">Corte IDH. </w:t>
      </w:r>
      <w:r w:rsidRPr="006D4387">
        <w:rPr>
          <w:rFonts w:asciiTheme="majorHAnsi" w:hAnsiTheme="majorHAnsi" w:cs="Arial"/>
          <w:bCs/>
          <w:sz w:val="16"/>
          <w:szCs w:val="16"/>
          <w:lang w:val="es-ES_tradnl"/>
        </w:rPr>
        <w:t xml:space="preserve">Caso Cantoral </w:t>
      </w:r>
      <w:proofErr w:type="spellStart"/>
      <w:r w:rsidRPr="006D4387">
        <w:rPr>
          <w:rFonts w:asciiTheme="majorHAnsi" w:hAnsiTheme="majorHAnsi" w:cs="Arial"/>
          <w:bCs/>
          <w:sz w:val="16"/>
          <w:szCs w:val="16"/>
          <w:lang w:val="es-ES_tradnl"/>
        </w:rPr>
        <w:t>Huamaní</w:t>
      </w:r>
      <w:proofErr w:type="spellEnd"/>
      <w:r w:rsidRPr="006D4387">
        <w:rPr>
          <w:rFonts w:asciiTheme="majorHAnsi" w:hAnsiTheme="majorHAnsi" w:cs="Arial"/>
          <w:bCs/>
          <w:sz w:val="16"/>
          <w:szCs w:val="16"/>
          <w:lang w:val="es-ES_tradnl"/>
        </w:rPr>
        <w:t xml:space="preserve"> y García Santa Cruz Vs. Perú. </w:t>
      </w:r>
      <w:r w:rsidRPr="006D4387">
        <w:rPr>
          <w:rFonts w:asciiTheme="majorHAnsi" w:hAnsiTheme="majorHAnsi" w:cs="Arial"/>
          <w:sz w:val="16"/>
          <w:szCs w:val="16"/>
          <w:lang w:val="es-ES_tradnl"/>
        </w:rPr>
        <w:t xml:space="preserve">Excepción Preliminar, Fondo, Reparaciones y Costas. Sentencia de 10 de julio de 2007. Serie C No. 167. </w:t>
      </w:r>
      <w:r w:rsidRPr="006D4387">
        <w:rPr>
          <w:rFonts w:asciiTheme="majorHAnsi" w:hAnsiTheme="majorHAnsi" w:cs="Arial"/>
          <w:sz w:val="16"/>
          <w:szCs w:val="16"/>
          <w:lang w:val="es-CL"/>
        </w:rPr>
        <w:t xml:space="preserve">párr. 112; </w:t>
      </w:r>
      <w:r w:rsidRPr="006D4387">
        <w:rPr>
          <w:rFonts w:asciiTheme="majorHAnsi" w:hAnsiTheme="majorHAnsi" w:cs="Arial"/>
          <w:sz w:val="16"/>
          <w:szCs w:val="16"/>
          <w:lang w:val="es-ES_tradnl"/>
        </w:rPr>
        <w:t xml:space="preserve">y Caso Bueno Alves Vs. Argentina. Fondo, Reparaciones y Costas. </w:t>
      </w:r>
      <w:r w:rsidRPr="006D4387">
        <w:rPr>
          <w:rFonts w:asciiTheme="majorHAnsi" w:hAnsiTheme="majorHAnsi" w:cs="Arial"/>
          <w:sz w:val="16"/>
          <w:szCs w:val="16"/>
          <w:lang w:val="es-ES"/>
        </w:rPr>
        <w:t xml:space="preserve">Sentencia de 11 de mayo de 2007. Serie C. No. 164. </w:t>
      </w:r>
      <w:r w:rsidRPr="006D4387">
        <w:rPr>
          <w:rFonts w:asciiTheme="majorHAnsi" w:hAnsiTheme="majorHAnsi" w:cs="Arial"/>
          <w:sz w:val="16"/>
          <w:szCs w:val="16"/>
          <w:lang w:val="es-ES_tradnl"/>
        </w:rPr>
        <w:t>párr. 102.</w:t>
      </w:r>
      <w:r w:rsidRPr="006D4387">
        <w:rPr>
          <w:rFonts w:asciiTheme="majorHAnsi" w:hAnsiTheme="majorHAnsi" w:cs="Arial"/>
          <w:sz w:val="16"/>
          <w:szCs w:val="16"/>
          <w:lang w:val="es-CL"/>
        </w:rPr>
        <w:t xml:space="preserve"> </w:t>
      </w:r>
    </w:p>
  </w:footnote>
  <w:footnote w:id="170">
    <w:p w14:paraId="05A4A91C" w14:textId="77777777" w:rsidR="006C35D0" w:rsidRPr="006D4387" w:rsidRDefault="006C35D0" w:rsidP="009E1C43">
      <w:pPr>
        <w:tabs>
          <w:tab w:val="left" w:pos="720"/>
          <w:tab w:val="left" w:pos="900"/>
          <w:tab w:val="left" w:pos="1080"/>
        </w:tabs>
        <w:jc w:val="both"/>
        <w:rPr>
          <w:rFonts w:asciiTheme="majorHAnsi" w:hAnsiTheme="majorHAnsi"/>
          <w:sz w:val="16"/>
          <w:szCs w:val="16"/>
          <w:lang w:val="es-ES_tradnl"/>
        </w:rPr>
      </w:pPr>
      <w:r w:rsidRPr="006D4387">
        <w:rPr>
          <w:rStyle w:val="FootnoteReference"/>
          <w:rFonts w:asciiTheme="majorHAnsi" w:hAnsiTheme="majorHAnsi" w:cs="Arial"/>
          <w:sz w:val="16"/>
          <w:szCs w:val="16"/>
          <w:lang w:val="es-SV"/>
        </w:rPr>
        <w:footnoteRef/>
      </w:r>
      <w:r w:rsidRPr="006D4387">
        <w:rPr>
          <w:rFonts w:asciiTheme="majorHAnsi" w:hAnsiTheme="majorHAnsi" w:cs="Arial"/>
          <w:sz w:val="16"/>
          <w:szCs w:val="16"/>
          <w:lang w:val="es-ES"/>
        </w:rPr>
        <w:t xml:space="preserve"> </w:t>
      </w:r>
      <w:r w:rsidRPr="006D4387">
        <w:rPr>
          <w:rFonts w:asciiTheme="majorHAnsi" w:hAnsiTheme="majorHAnsi" w:cs="Arial"/>
          <w:sz w:val="16"/>
          <w:szCs w:val="16"/>
          <w:lang w:val="es-ES_tradnl"/>
        </w:rPr>
        <w:t xml:space="preserve">Corte IDH. </w:t>
      </w:r>
      <w:r w:rsidRPr="006D4387">
        <w:rPr>
          <w:rFonts w:asciiTheme="majorHAnsi" w:hAnsiTheme="majorHAnsi" w:cs="Arial"/>
          <w:bCs/>
          <w:sz w:val="16"/>
          <w:szCs w:val="16"/>
          <w:lang w:val="es-ES_tradnl"/>
        </w:rPr>
        <w:t xml:space="preserve">Caso Cantoral </w:t>
      </w:r>
      <w:proofErr w:type="spellStart"/>
      <w:r w:rsidRPr="006D4387">
        <w:rPr>
          <w:rFonts w:asciiTheme="majorHAnsi" w:hAnsiTheme="majorHAnsi" w:cs="Arial"/>
          <w:bCs/>
          <w:sz w:val="16"/>
          <w:szCs w:val="16"/>
          <w:lang w:val="es-ES_tradnl"/>
        </w:rPr>
        <w:t>Huamaní</w:t>
      </w:r>
      <w:proofErr w:type="spellEnd"/>
      <w:r w:rsidRPr="006D4387">
        <w:rPr>
          <w:rFonts w:asciiTheme="majorHAnsi" w:hAnsiTheme="majorHAnsi" w:cs="Arial"/>
          <w:bCs/>
          <w:sz w:val="16"/>
          <w:szCs w:val="16"/>
          <w:lang w:val="es-ES_tradnl"/>
        </w:rPr>
        <w:t xml:space="preserve"> y García Santa Cruz Vs. Perú. </w:t>
      </w:r>
      <w:r w:rsidRPr="006D4387">
        <w:rPr>
          <w:rFonts w:asciiTheme="majorHAnsi" w:hAnsiTheme="majorHAnsi" w:cs="Arial"/>
          <w:sz w:val="16"/>
          <w:szCs w:val="16"/>
          <w:lang w:val="es-ES_tradnl"/>
        </w:rPr>
        <w:t xml:space="preserve">Excepción Preliminar, Fondo, Reparaciones y Costas. Sentencia de 10 de julio de 2007. Serie C No. 167. </w:t>
      </w:r>
      <w:r w:rsidRPr="006D4387">
        <w:rPr>
          <w:rFonts w:asciiTheme="majorHAnsi" w:hAnsiTheme="majorHAnsi" w:cs="Arial"/>
          <w:sz w:val="16"/>
          <w:szCs w:val="16"/>
          <w:lang w:val="es-CL"/>
        </w:rPr>
        <w:t>párr.</w:t>
      </w:r>
      <w:r w:rsidRPr="006D4387">
        <w:rPr>
          <w:rFonts w:asciiTheme="majorHAnsi" w:hAnsiTheme="majorHAnsi" w:cs="Arial"/>
          <w:sz w:val="16"/>
          <w:szCs w:val="16"/>
          <w:lang w:val="es-ES"/>
        </w:rPr>
        <w:t xml:space="preserve"> 112; </w:t>
      </w:r>
      <w:r w:rsidRPr="006D4387">
        <w:rPr>
          <w:rFonts w:asciiTheme="majorHAnsi" w:hAnsiTheme="majorHAnsi" w:cs="Arial"/>
          <w:sz w:val="16"/>
          <w:szCs w:val="16"/>
          <w:lang w:val="es-ES_tradnl"/>
        </w:rPr>
        <w:t xml:space="preserve">y Caso Vargas </w:t>
      </w:r>
      <w:proofErr w:type="spellStart"/>
      <w:r w:rsidRPr="006D4387">
        <w:rPr>
          <w:rFonts w:asciiTheme="majorHAnsi" w:hAnsiTheme="majorHAnsi" w:cs="Arial"/>
          <w:sz w:val="16"/>
          <w:szCs w:val="16"/>
          <w:lang w:val="es-ES_tradnl"/>
        </w:rPr>
        <w:t>Areco</w:t>
      </w:r>
      <w:proofErr w:type="spellEnd"/>
      <w:r w:rsidRPr="006D4387">
        <w:rPr>
          <w:rFonts w:asciiTheme="majorHAnsi" w:hAnsiTheme="majorHAnsi" w:cs="Arial"/>
          <w:sz w:val="16"/>
          <w:szCs w:val="16"/>
          <w:lang w:val="es-ES_tradnl"/>
        </w:rPr>
        <w:t xml:space="preserve"> Vs. Paraguay. Sentencia de 26 de septiembre de 2006. Serie C No. 155. párr. </w:t>
      </w:r>
      <w:r w:rsidRPr="006D4387">
        <w:rPr>
          <w:rFonts w:asciiTheme="majorHAnsi" w:hAnsiTheme="majorHAnsi" w:cs="Arial"/>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670EA" w14:textId="77777777" w:rsidR="006C35D0" w:rsidRDefault="006C35D0" w:rsidP="00F435D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2268A10" w14:textId="77777777" w:rsidR="006C35D0" w:rsidRDefault="006C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AEBF" w14:textId="77777777" w:rsidR="006C35D0" w:rsidRDefault="006C35D0" w:rsidP="00A50FCF">
    <w:pPr>
      <w:pStyle w:val="Header"/>
      <w:tabs>
        <w:tab w:val="clear" w:pos="4320"/>
        <w:tab w:val="clear" w:pos="8640"/>
      </w:tabs>
      <w:jc w:val="center"/>
      <w:rPr>
        <w:sz w:val="22"/>
        <w:szCs w:val="22"/>
      </w:rPr>
    </w:pPr>
    <w:r>
      <w:rPr>
        <w:noProof/>
        <w:sz w:val="22"/>
        <w:szCs w:val="22"/>
      </w:rPr>
      <w:drawing>
        <wp:inline distT="0" distB="0" distL="0" distR="0" wp14:anchorId="03C4EB6E" wp14:editId="3488885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3FC9C7E" w14:textId="77777777" w:rsidR="006C35D0" w:rsidRPr="00EC7D62" w:rsidRDefault="00CD56E1" w:rsidP="00A50FCF">
    <w:pPr>
      <w:pStyle w:val="Header"/>
      <w:tabs>
        <w:tab w:val="clear" w:pos="4320"/>
        <w:tab w:val="clear" w:pos="8640"/>
      </w:tabs>
      <w:jc w:val="center"/>
      <w:rPr>
        <w:sz w:val="22"/>
        <w:szCs w:val="22"/>
      </w:rPr>
    </w:pPr>
    <w:r>
      <w:rPr>
        <w:sz w:val="22"/>
        <w:szCs w:val="22"/>
      </w:rPr>
      <w:pict w14:anchorId="74E45AD5">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81E6C1B"/>
    <w:multiLevelType w:val="hybridMultilevel"/>
    <w:tmpl w:val="742A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6B6C8F"/>
    <w:multiLevelType w:val="hybridMultilevel"/>
    <w:tmpl w:val="F2542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EF707EA"/>
    <w:multiLevelType w:val="hybridMultilevel"/>
    <w:tmpl w:val="C56E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8C4683"/>
    <w:multiLevelType w:val="hybridMultilevel"/>
    <w:tmpl w:val="0324E936"/>
    <w:lvl w:ilvl="0" w:tplc="606437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766396"/>
    <w:multiLevelType w:val="hybridMultilevel"/>
    <w:tmpl w:val="47F63776"/>
    <w:lvl w:ilvl="0" w:tplc="23968698">
      <w:start w:val="1"/>
      <w:numFmt w:val="decimal"/>
      <w:lvlText w:val="%1."/>
      <w:lvlJc w:val="left"/>
      <w:pPr>
        <w:ind w:left="720" w:hanging="360"/>
      </w:pPr>
      <w:rPr>
        <w:rFonts w:hint="default"/>
        <w:lang w:val="es-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5602E8"/>
    <w:multiLevelType w:val="hybridMultilevel"/>
    <w:tmpl w:val="CB0C1CF6"/>
    <w:lvl w:ilvl="0" w:tplc="588EC156">
      <w:start w:val="1"/>
      <w:numFmt w:val="decimal"/>
      <w:pStyle w:val="PrrafodeSentencia"/>
      <w:lvlText w:val="%1."/>
      <w:lvlJc w:val="left"/>
      <w:pPr>
        <w:ind w:left="1428" w:hanging="360"/>
      </w:pPr>
      <w:rPr>
        <w:rFonts w:ascii="Verdana" w:eastAsia="Calibri" w:hAnsi="Verdana" w:cs="Arial Narrow" w:hint="default"/>
        <w:b w:val="0"/>
        <w:i w:val="0"/>
        <w:sz w:val="20"/>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5A006E"/>
    <w:multiLevelType w:val="hybridMultilevel"/>
    <w:tmpl w:val="70A836F6"/>
    <w:lvl w:ilvl="0" w:tplc="CB565DEE">
      <w:start w:val="1"/>
      <w:numFmt w:val="upperLetter"/>
      <w:lvlText w:val="%1."/>
      <w:lvlJc w:val="left"/>
      <w:pPr>
        <w:ind w:left="720" w:hanging="360"/>
      </w:pPr>
      <w:rPr>
        <w:rFonts w:hint="default"/>
        <w:b/>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3C5EFC"/>
    <w:multiLevelType w:val="hybridMultilevel"/>
    <w:tmpl w:val="E8C20738"/>
    <w:lvl w:ilvl="0" w:tplc="334A1DC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2"/>
  </w:num>
  <w:num w:numId="5">
    <w:abstractNumId w:val="50"/>
  </w:num>
  <w:num w:numId="6">
    <w:abstractNumId w:val="28"/>
  </w:num>
  <w:num w:numId="7">
    <w:abstractNumId w:val="6"/>
  </w:num>
  <w:num w:numId="8">
    <w:abstractNumId w:val="17"/>
  </w:num>
  <w:num w:numId="9">
    <w:abstractNumId w:val="42"/>
  </w:num>
  <w:num w:numId="10">
    <w:abstractNumId w:val="0"/>
  </w:num>
  <w:num w:numId="11">
    <w:abstractNumId w:val="37"/>
  </w:num>
  <w:num w:numId="12">
    <w:abstractNumId w:val="38"/>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9"/>
  </w:num>
  <w:num w:numId="42">
    <w:abstractNumId w:val="52"/>
  </w:num>
  <w:num w:numId="43">
    <w:abstractNumId w:val="53"/>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1"/>
  </w:num>
  <w:num w:numId="53">
    <w:abstractNumId w:val="55"/>
  </w:num>
  <w:num w:numId="54">
    <w:abstractNumId w:val="47"/>
  </w:num>
  <w:num w:numId="55">
    <w:abstractNumId w:val="26"/>
  </w:num>
  <w:num w:numId="56">
    <w:abstractNumId w:val="48"/>
  </w:num>
  <w:num w:numId="57">
    <w:abstractNumId w:val="45"/>
  </w:num>
  <w:num w:numId="58">
    <w:abstractNumId w:val="43"/>
  </w:num>
  <w:num w:numId="59">
    <w:abstractNumId w:val="51"/>
  </w:num>
  <w:num w:numId="60">
    <w:abstractNumId w:val="57"/>
  </w:num>
  <w:num w:numId="61">
    <w:abstractNumId w:val="16"/>
  </w:num>
  <w:num w:numId="62">
    <w:abstractNumId w:val="44"/>
  </w:num>
  <w:num w:numId="63">
    <w:abstractNumId w:val="54"/>
  </w:num>
  <w:num w:numId="64">
    <w:abstractNumId w:val="20"/>
  </w:num>
  <w:num w:numId="65">
    <w:abstractNumId w:val="5"/>
  </w:num>
  <w:num w:numId="66">
    <w:abstractNumId w:val="5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vitado">
    <w15:presenceInfo w15:providerId="None" w15:userId="Invit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s-ES_tradnl"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6" w:nlCheck="1" w:checkStyle="1"/>
  <w:activeWritingStyle w:appName="MSWord" w:lang="es-PE" w:vendorID="64" w:dllVersion="6" w:nlCheck="1" w:checkStyle="1"/>
  <w:activeWritingStyle w:appName="MSWord" w:lang="es-VE" w:vendorID="64" w:dllVersion="6" w:nlCheck="1" w:checkStyle="1"/>
  <w:activeWritingStyle w:appName="MSWord" w:lang="es-AR" w:vendorID="64" w:dllVersion="6" w:nlCheck="1" w:checkStyle="1"/>
  <w:activeWritingStyle w:appName="MSWord" w:lang="es-CL" w:vendorID="64" w:dllVersion="6" w:nlCheck="1" w:checkStyle="1"/>
  <w:activeWritingStyle w:appName="MSWord" w:lang="es-UY" w:vendorID="64" w:dllVersion="6" w:nlCheck="1" w:checkStyle="1"/>
  <w:activeWritingStyle w:appName="MSWord" w:lang="es-MX" w:vendorID="64" w:dllVersion="6" w:nlCheck="1" w:checkStyle="1"/>
  <w:activeWritingStyle w:appName="MSWord" w:lang="es-CR" w:vendorID="64" w:dllVersion="6" w:nlCheck="1" w:checkStyle="1"/>
  <w:activeWritingStyle w:appName="MSWord" w:lang="es-VE"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R" w:vendorID="64" w:dllVersion="0" w:nlCheck="1" w:checkStyle="0"/>
  <w:activeWritingStyle w:appName="MSWord" w:lang="es-CL" w:vendorID="64" w:dllVersion="0" w:nlCheck="1" w:checkStyle="0"/>
  <w:activeWritingStyle w:appName="MSWord" w:lang="es-AR"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activeWritingStyle w:appName="MSWord" w:lang="es-PE" w:vendorID="64" w:dllVersion="131078" w:nlCheck="1" w:checkStyle="1"/>
  <w:activeWritingStyle w:appName="MSWord" w:lang="es-US" w:vendorID="64" w:dllVersion="131078" w:nlCheck="1" w:checkStyle="1"/>
  <w:activeWritingStyle w:appName="MSWord" w:lang="es-UY"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R" w:vendorID="64" w:dllVersion="131078" w:nlCheck="1" w:checkStyle="1"/>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69B"/>
    <w:rsid w:val="00000CDA"/>
    <w:rsid w:val="00006896"/>
    <w:rsid w:val="00006E1F"/>
    <w:rsid w:val="000070D7"/>
    <w:rsid w:val="000158FD"/>
    <w:rsid w:val="0001788C"/>
    <w:rsid w:val="00023026"/>
    <w:rsid w:val="00025A7F"/>
    <w:rsid w:val="00027381"/>
    <w:rsid w:val="00032680"/>
    <w:rsid w:val="000338B0"/>
    <w:rsid w:val="00040C3A"/>
    <w:rsid w:val="00045839"/>
    <w:rsid w:val="00046947"/>
    <w:rsid w:val="00046E4F"/>
    <w:rsid w:val="000471E5"/>
    <w:rsid w:val="00052E61"/>
    <w:rsid w:val="00054607"/>
    <w:rsid w:val="0006134F"/>
    <w:rsid w:val="000628A9"/>
    <w:rsid w:val="00067A5D"/>
    <w:rsid w:val="000716C5"/>
    <w:rsid w:val="000721FE"/>
    <w:rsid w:val="00072AAB"/>
    <w:rsid w:val="00075E23"/>
    <w:rsid w:val="00081ED8"/>
    <w:rsid w:val="00085327"/>
    <w:rsid w:val="00085A8D"/>
    <w:rsid w:val="0008768F"/>
    <w:rsid w:val="0009344A"/>
    <w:rsid w:val="00093FA5"/>
    <w:rsid w:val="0009421A"/>
    <w:rsid w:val="00094AFC"/>
    <w:rsid w:val="000968A7"/>
    <w:rsid w:val="000A107A"/>
    <w:rsid w:val="000A392E"/>
    <w:rsid w:val="000A4774"/>
    <w:rsid w:val="000A51C6"/>
    <w:rsid w:val="000A575F"/>
    <w:rsid w:val="000A576A"/>
    <w:rsid w:val="000B0D00"/>
    <w:rsid w:val="000B30E4"/>
    <w:rsid w:val="000B3C41"/>
    <w:rsid w:val="000B3E83"/>
    <w:rsid w:val="000B5A4E"/>
    <w:rsid w:val="000B73ED"/>
    <w:rsid w:val="000C2330"/>
    <w:rsid w:val="000C238D"/>
    <w:rsid w:val="000C4097"/>
    <w:rsid w:val="000C4453"/>
    <w:rsid w:val="000C5D4C"/>
    <w:rsid w:val="000D10DB"/>
    <w:rsid w:val="000D38C2"/>
    <w:rsid w:val="000D59AD"/>
    <w:rsid w:val="000E5884"/>
    <w:rsid w:val="000E5EB5"/>
    <w:rsid w:val="000E648B"/>
    <w:rsid w:val="000E7186"/>
    <w:rsid w:val="000F0501"/>
    <w:rsid w:val="000F35ED"/>
    <w:rsid w:val="000F49CC"/>
    <w:rsid w:val="000F663C"/>
    <w:rsid w:val="00106254"/>
    <w:rsid w:val="00107131"/>
    <w:rsid w:val="0010736F"/>
    <w:rsid w:val="001101A6"/>
    <w:rsid w:val="00113F73"/>
    <w:rsid w:val="001170FB"/>
    <w:rsid w:val="00121B36"/>
    <w:rsid w:val="00121CC2"/>
    <w:rsid w:val="00132AFA"/>
    <w:rsid w:val="00133465"/>
    <w:rsid w:val="00133EE5"/>
    <w:rsid w:val="001363E6"/>
    <w:rsid w:val="001368EB"/>
    <w:rsid w:val="00143FCF"/>
    <w:rsid w:val="00147879"/>
    <w:rsid w:val="0015596A"/>
    <w:rsid w:val="00155A31"/>
    <w:rsid w:val="001606A3"/>
    <w:rsid w:val="001638D1"/>
    <w:rsid w:val="00166189"/>
    <w:rsid w:val="001678F8"/>
    <w:rsid w:val="00167A34"/>
    <w:rsid w:val="0017086F"/>
    <w:rsid w:val="00171FCD"/>
    <w:rsid w:val="00173039"/>
    <w:rsid w:val="00176481"/>
    <w:rsid w:val="00176F2C"/>
    <w:rsid w:val="00181F34"/>
    <w:rsid w:val="00184B78"/>
    <w:rsid w:val="001A11CE"/>
    <w:rsid w:val="001A1789"/>
    <w:rsid w:val="001A2C25"/>
    <w:rsid w:val="001A7870"/>
    <w:rsid w:val="001B31FB"/>
    <w:rsid w:val="001C103F"/>
    <w:rsid w:val="001C1B41"/>
    <w:rsid w:val="001C1E77"/>
    <w:rsid w:val="001C3DB2"/>
    <w:rsid w:val="001D18C7"/>
    <w:rsid w:val="001D2389"/>
    <w:rsid w:val="001D52A1"/>
    <w:rsid w:val="001D65EF"/>
    <w:rsid w:val="001E10A6"/>
    <w:rsid w:val="001E15B6"/>
    <w:rsid w:val="001E3B26"/>
    <w:rsid w:val="001E6832"/>
    <w:rsid w:val="00202384"/>
    <w:rsid w:val="00204B61"/>
    <w:rsid w:val="00205A1D"/>
    <w:rsid w:val="0020725B"/>
    <w:rsid w:val="002108DC"/>
    <w:rsid w:val="00210C2F"/>
    <w:rsid w:val="0021712E"/>
    <w:rsid w:val="00221B7A"/>
    <w:rsid w:val="0022452C"/>
    <w:rsid w:val="002250A3"/>
    <w:rsid w:val="00234C4B"/>
    <w:rsid w:val="00235217"/>
    <w:rsid w:val="00236CE1"/>
    <w:rsid w:val="00240342"/>
    <w:rsid w:val="00244B12"/>
    <w:rsid w:val="00245995"/>
    <w:rsid w:val="00246D1F"/>
    <w:rsid w:val="00247403"/>
    <w:rsid w:val="0024742F"/>
    <w:rsid w:val="00247542"/>
    <w:rsid w:val="0025247D"/>
    <w:rsid w:val="0025383D"/>
    <w:rsid w:val="002609F2"/>
    <w:rsid w:val="00266B61"/>
    <w:rsid w:val="0026712A"/>
    <w:rsid w:val="002701E7"/>
    <w:rsid w:val="002704C7"/>
    <w:rsid w:val="002704DB"/>
    <w:rsid w:val="00272A76"/>
    <w:rsid w:val="00275C5A"/>
    <w:rsid w:val="00276DF8"/>
    <w:rsid w:val="00277EF9"/>
    <w:rsid w:val="00280B80"/>
    <w:rsid w:val="002827DD"/>
    <w:rsid w:val="0028436F"/>
    <w:rsid w:val="00284CC2"/>
    <w:rsid w:val="002956A4"/>
    <w:rsid w:val="002A0AAE"/>
    <w:rsid w:val="002A5820"/>
    <w:rsid w:val="002A6476"/>
    <w:rsid w:val="002B008C"/>
    <w:rsid w:val="002B3C5E"/>
    <w:rsid w:val="002B70AB"/>
    <w:rsid w:val="002B7240"/>
    <w:rsid w:val="002C2C46"/>
    <w:rsid w:val="002D2B26"/>
    <w:rsid w:val="002D3185"/>
    <w:rsid w:val="002D4C97"/>
    <w:rsid w:val="002D5C70"/>
    <w:rsid w:val="002D6034"/>
    <w:rsid w:val="002D71D9"/>
    <w:rsid w:val="002D7717"/>
    <w:rsid w:val="002D7EA2"/>
    <w:rsid w:val="002E112E"/>
    <w:rsid w:val="002E187C"/>
    <w:rsid w:val="002E4AEA"/>
    <w:rsid w:val="002E4E05"/>
    <w:rsid w:val="002E79B0"/>
    <w:rsid w:val="002F1D6E"/>
    <w:rsid w:val="002F2636"/>
    <w:rsid w:val="002F2E3A"/>
    <w:rsid w:val="00302733"/>
    <w:rsid w:val="0030399F"/>
    <w:rsid w:val="00303D52"/>
    <w:rsid w:val="00305538"/>
    <w:rsid w:val="00306EC4"/>
    <w:rsid w:val="00307ABC"/>
    <w:rsid w:val="00313555"/>
    <w:rsid w:val="00314078"/>
    <w:rsid w:val="0031535D"/>
    <w:rsid w:val="00316013"/>
    <w:rsid w:val="00322BF6"/>
    <w:rsid w:val="00322CAE"/>
    <w:rsid w:val="00322EA6"/>
    <w:rsid w:val="0033028D"/>
    <w:rsid w:val="0033169F"/>
    <w:rsid w:val="00333C6C"/>
    <w:rsid w:val="00346C95"/>
    <w:rsid w:val="003529A5"/>
    <w:rsid w:val="00356185"/>
    <w:rsid w:val="00360380"/>
    <w:rsid w:val="00361415"/>
    <w:rsid w:val="00365872"/>
    <w:rsid w:val="00366027"/>
    <w:rsid w:val="0037329A"/>
    <w:rsid w:val="0037519E"/>
    <w:rsid w:val="00376ED8"/>
    <w:rsid w:val="0038155F"/>
    <w:rsid w:val="00381907"/>
    <w:rsid w:val="003832F1"/>
    <w:rsid w:val="00384C11"/>
    <w:rsid w:val="00386CF0"/>
    <w:rsid w:val="003905F3"/>
    <w:rsid w:val="003907D4"/>
    <w:rsid w:val="00392544"/>
    <w:rsid w:val="003930F3"/>
    <w:rsid w:val="003942CB"/>
    <w:rsid w:val="00397D1B"/>
    <w:rsid w:val="003A1D90"/>
    <w:rsid w:val="003B0DF3"/>
    <w:rsid w:val="003B25F1"/>
    <w:rsid w:val="003C3ADE"/>
    <w:rsid w:val="003C676B"/>
    <w:rsid w:val="003C759E"/>
    <w:rsid w:val="003C75B0"/>
    <w:rsid w:val="003D09DA"/>
    <w:rsid w:val="003D1B3F"/>
    <w:rsid w:val="003D3BC2"/>
    <w:rsid w:val="003D5CCC"/>
    <w:rsid w:val="003D67C7"/>
    <w:rsid w:val="003D7454"/>
    <w:rsid w:val="003D7C03"/>
    <w:rsid w:val="003E0945"/>
    <w:rsid w:val="003E1504"/>
    <w:rsid w:val="003E39B1"/>
    <w:rsid w:val="003E432F"/>
    <w:rsid w:val="003E616A"/>
    <w:rsid w:val="003E6CA1"/>
    <w:rsid w:val="003F470C"/>
    <w:rsid w:val="003F5037"/>
    <w:rsid w:val="003F6CB0"/>
    <w:rsid w:val="00402611"/>
    <w:rsid w:val="00405537"/>
    <w:rsid w:val="00412EA2"/>
    <w:rsid w:val="004165C2"/>
    <w:rsid w:val="00423F22"/>
    <w:rsid w:val="00426114"/>
    <w:rsid w:val="00434598"/>
    <w:rsid w:val="00434DA4"/>
    <w:rsid w:val="00437655"/>
    <w:rsid w:val="00441ECB"/>
    <w:rsid w:val="00447AA5"/>
    <w:rsid w:val="004506AD"/>
    <w:rsid w:val="0045534C"/>
    <w:rsid w:val="00460D9C"/>
    <w:rsid w:val="004611F6"/>
    <w:rsid w:val="00466705"/>
    <w:rsid w:val="00467B7E"/>
    <w:rsid w:val="0047590B"/>
    <w:rsid w:val="00476A4B"/>
    <w:rsid w:val="00477592"/>
    <w:rsid w:val="00482E78"/>
    <w:rsid w:val="00482EC8"/>
    <w:rsid w:val="00486F1C"/>
    <w:rsid w:val="0049419D"/>
    <w:rsid w:val="004A2908"/>
    <w:rsid w:val="004A36B1"/>
    <w:rsid w:val="004B00F9"/>
    <w:rsid w:val="004B3BA8"/>
    <w:rsid w:val="004B6E30"/>
    <w:rsid w:val="004B73C6"/>
    <w:rsid w:val="004C01FA"/>
    <w:rsid w:val="004C20D2"/>
    <w:rsid w:val="004C238F"/>
    <w:rsid w:val="004C2889"/>
    <w:rsid w:val="004C3717"/>
    <w:rsid w:val="004C4B62"/>
    <w:rsid w:val="004C54C9"/>
    <w:rsid w:val="004C68F6"/>
    <w:rsid w:val="004C790D"/>
    <w:rsid w:val="004D0A32"/>
    <w:rsid w:val="004D0BC4"/>
    <w:rsid w:val="004D15E0"/>
    <w:rsid w:val="004D195F"/>
    <w:rsid w:val="004D2720"/>
    <w:rsid w:val="004D6025"/>
    <w:rsid w:val="004D6618"/>
    <w:rsid w:val="004D6794"/>
    <w:rsid w:val="004D7714"/>
    <w:rsid w:val="004E0871"/>
    <w:rsid w:val="004E2649"/>
    <w:rsid w:val="004E565E"/>
    <w:rsid w:val="004E6D95"/>
    <w:rsid w:val="004E6E4C"/>
    <w:rsid w:val="004F0AE2"/>
    <w:rsid w:val="004F2B46"/>
    <w:rsid w:val="004F3047"/>
    <w:rsid w:val="004F47A6"/>
    <w:rsid w:val="004F627D"/>
    <w:rsid w:val="004F7FED"/>
    <w:rsid w:val="00501399"/>
    <w:rsid w:val="00502219"/>
    <w:rsid w:val="0050633D"/>
    <w:rsid w:val="00507255"/>
    <w:rsid w:val="00507BC4"/>
    <w:rsid w:val="005128E4"/>
    <w:rsid w:val="00512AC2"/>
    <w:rsid w:val="00513066"/>
    <w:rsid w:val="005133DB"/>
    <w:rsid w:val="00514E8F"/>
    <w:rsid w:val="00516806"/>
    <w:rsid w:val="00517959"/>
    <w:rsid w:val="00525560"/>
    <w:rsid w:val="005354F3"/>
    <w:rsid w:val="00535E48"/>
    <w:rsid w:val="00536923"/>
    <w:rsid w:val="00540D36"/>
    <w:rsid w:val="00541494"/>
    <w:rsid w:val="005430CE"/>
    <w:rsid w:val="00544C49"/>
    <w:rsid w:val="00547EE1"/>
    <w:rsid w:val="0055157A"/>
    <w:rsid w:val="005516A1"/>
    <w:rsid w:val="00552D05"/>
    <w:rsid w:val="005564C9"/>
    <w:rsid w:val="00560C5F"/>
    <w:rsid w:val="00565744"/>
    <w:rsid w:val="005660EE"/>
    <w:rsid w:val="00566A6C"/>
    <w:rsid w:val="005719D6"/>
    <w:rsid w:val="0057402A"/>
    <w:rsid w:val="005771D0"/>
    <w:rsid w:val="005811E6"/>
    <w:rsid w:val="00581A05"/>
    <w:rsid w:val="00585EAB"/>
    <w:rsid w:val="0058638E"/>
    <w:rsid w:val="00587382"/>
    <w:rsid w:val="00587AFA"/>
    <w:rsid w:val="0059072F"/>
    <w:rsid w:val="0059098A"/>
    <w:rsid w:val="0059191A"/>
    <w:rsid w:val="005921FF"/>
    <w:rsid w:val="005937F1"/>
    <w:rsid w:val="00595C1D"/>
    <w:rsid w:val="005A67D1"/>
    <w:rsid w:val="005A6D0E"/>
    <w:rsid w:val="005A6E73"/>
    <w:rsid w:val="005B160A"/>
    <w:rsid w:val="005B2E06"/>
    <w:rsid w:val="005B2E77"/>
    <w:rsid w:val="005B3FEE"/>
    <w:rsid w:val="005B52B0"/>
    <w:rsid w:val="005B6806"/>
    <w:rsid w:val="005B7FAE"/>
    <w:rsid w:val="005C101E"/>
    <w:rsid w:val="005C1D39"/>
    <w:rsid w:val="005C24FB"/>
    <w:rsid w:val="005C30A5"/>
    <w:rsid w:val="005C3508"/>
    <w:rsid w:val="005C4225"/>
    <w:rsid w:val="005C4CA5"/>
    <w:rsid w:val="005C4D6F"/>
    <w:rsid w:val="005C6DB6"/>
    <w:rsid w:val="005D0DB1"/>
    <w:rsid w:val="005D384F"/>
    <w:rsid w:val="005D53FD"/>
    <w:rsid w:val="005E0BF8"/>
    <w:rsid w:val="005F0DAD"/>
    <w:rsid w:val="005F0F33"/>
    <w:rsid w:val="005F309E"/>
    <w:rsid w:val="005F598A"/>
    <w:rsid w:val="005F615A"/>
    <w:rsid w:val="00600DEB"/>
    <w:rsid w:val="006125C3"/>
    <w:rsid w:val="0061399F"/>
    <w:rsid w:val="00617622"/>
    <w:rsid w:val="00624915"/>
    <w:rsid w:val="00625C9F"/>
    <w:rsid w:val="006267EB"/>
    <w:rsid w:val="00627C9F"/>
    <w:rsid w:val="006311E9"/>
    <w:rsid w:val="00631701"/>
    <w:rsid w:val="006319F2"/>
    <w:rsid w:val="00632354"/>
    <w:rsid w:val="0063313E"/>
    <w:rsid w:val="006363E2"/>
    <w:rsid w:val="00642810"/>
    <w:rsid w:val="00645C79"/>
    <w:rsid w:val="00652333"/>
    <w:rsid w:val="00660FF0"/>
    <w:rsid w:val="00662354"/>
    <w:rsid w:val="00662CE8"/>
    <w:rsid w:val="00671540"/>
    <w:rsid w:val="00676FEA"/>
    <w:rsid w:val="0068009E"/>
    <w:rsid w:val="006804BA"/>
    <w:rsid w:val="00681463"/>
    <w:rsid w:val="00687B17"/>
    <w:rsid w:val="00691963"/>
    <w:rsid w:val="00691D2E"/>
    <w:rsid w:val="00692219"/>
    <w:rsid w:val="0069457C"/>
    <w:rsid w:val="006A17D2"/>
    <w:rsid w:val="006A4B39"/>
    <w:rsid w:val="006A73E6"/>
    <w:rsid w:val="006B1D52"/>
    <w:rsid w:val="006B2D5C"/>
    <w:rsid w:val="006B4D40"/>
    <w:rsid w:val="006B5244"/>
    <w:rsid w:val="006C1A20"/>
    <w:rsid w:val="006C35D0"/>
    <w:rsid w:val="006C4EB1"/>
    <w:rsid w:val="006C7A75"/>
    <w:rsid w:val="006D036C"/>
    <w:rsid w:val="006D4057"/>
    <w:rsid w:val="006D4387"/>
    <w:rsid w:val="006D619B"/>
    <w:rsid w:val="006E0166"/>
    <w:rsid w:val="006E034F"/>
    <w:rsid w:val="006E13C3"/>
    <w:rsid w:val="006E1677"/>
    <w:rsid w:val="006E20AD"/>
    <w:rsid w:val="006E5672"/>
    <w:rsid w:val="006E6939"/>
    <w:rsid w:val="006E7B34"/>
    <w:rsid w:val="006F172B"/>
    <w:rsid w:val="006F4465"/>
    <w:rsid w:val="006F4931"/>
    <w:rsid w:val="006F68C1"/>
    <w:rsid w:val="00700F36"/>
    <w:rsid w:val="00701862"/>
    <w:rsid w:val="0070318F"/>
    <w:rsid w:val="00704110"/>
    <w:rsid w:val="0070697F"/>
    <w:rsid w:val="00706C20"/>
    <w:rsid w:val="00714D1A"/>
    <w:rsid w:val="0072199C"/>
    <w:rsid w:val="00722C9F"/>
    <w:rsid w:val="007248B4"/>
    <w:rsid w:val="007253B8"/>
    <w:rsid w:val="00726CCB"/>
    <w:rsid w:val="0073631B"/>
    <w:rsid w:val="0073741F"/>
    <w:rsid w:val="00752EFC"/>
    <w:rsid w:val="00763866"/>
    <w:rsid w:val="00763D47"/>
    <w:rsid w:val="00765DAA"/>
    <w:rsid w:val="0076643F"/>
    <w:rsid w:val="00766D14"/>
    <w:rsid w:val="00776012"/>
    <w:rsid w:val="00777F63"/>
    <w:rsid w:val="0078145A"/>
    <w:rsid w:val="00783F03"/>
    <w:rsid w:val="00784196"/>
    <w:rsid w:val="00795763"/>
    <w:rsid w:val="007A2F2F"/>
    <w:rsid w:val="007A313B"/>
    <w:rsid w:val="007A56DB"/>
    <w:rsid w:val="007A5817"/>
    <w:rsid w:val="007A72D3"/>
    <w:rsid w:val="007B60E9"/>
    <w:rsid w:val="007B6CC3"/>
    <w:rsid w:val="007B7E6F"/>
    <w:rsid w:val="007C1C55"/>
    <w:rsid w:val="007C3334"/>
    <w:rsid w:val="007C756A"/>
    <w:rsid w:val="007C7664"/>
    <w:rsid w:val="007D2980"/>
    <w:rsid w:val="007D2B98"/>
    <w:rsid w:val="007D7812"/>
    <w:rsid w:val="007E0AF9"/>
    <w:rsid w:val="007E0B2B"/>
    <w:rsid w:val="007E21BC"/>
    <w:rsid w:val="007F5713"/>
    <w:rsid w:val="007F75F9"/>
    <w:rsid w:val="007F7E9A"/>
    <w:rsid w:val="00803F1C"/>
    <w:rsid w:val="00805F22"/>
    <w:rsid w:val="0080600E"/>
    <w:rsid w:val="0081400A"/>
    <w:rsid w:val="00815021"/>
    <w:rsid w:val="0081578F"/>
    <w:rsid w:val="00816D12"/>
    <w:rsid w:val="00817612"/>
    <w:rsid w:val="00817E0C"/>
    <w:rsid w:val="008217E6"/>
    <w:rsid w:val="0082457B"/>
    <w:rsid w:val="008246A2"/>
    <w:rsid w:val="00825E25"/>
    <w:rsid w:val="008266A7"/>
    <w:rsid w:val="008338A4"/>
    <w:rsid w:val="0083601A"/>
    <w:rsid w:val="00837C45"/>
    <w:rsid w:val="008400E7"/>
    <w:rsid w:val="00842E61"/>
    <w:rsid w:val="00844730"/>
    <w:rsid w:val="008454C7"/>
    <w:rsid w:val="008457C2"/>
    <w:rsid w:val="00845F5D"/>
    <w:rsid w:val="00850C3D"/>
    <w:rsid w:val="00855260"/>
    <w:rsid w:val="008556DC"/>
    <w:rsid w:val="00857A82"/>
    <w:rsid w:val="0086321C"/>
    <w:rsid w:val="00866ACE"/>
    <w:rsid w:val="00867305"/>
    <w:rsid w:val="008673DC"/>
    <w:rsid w:val="00870488"/>
    <w:rsid w:val="0087278F"/>
    <w:rsid w:val="00873836"/>
    <w:rsid w:val="008758EC"/>
    <w:rsid w:val="00881549"/>
    <w:rsid w:val="00885737"/>
    <w:rsid w:val="00886F66"/>
    <w:rsid w:val="00890423"/>
    <w:rsid w:val="00890650"/>
    <w:rsid w:val="00897E12"/>
    <w:rsid w:val="008A47FD"/>
    <w:rsid w:val="008A5115"/>
    <w:rsid w:val="008A7E0F"/>
    <w:rsid w:val="008B087D"/>
    <w:rsid w:val="008B12F5"/>
    <w:rsid w:val="008B1648"/>
    <w:rsid w:val="008B483A"/>
    <w:rsid w:val="008B64D7"/>
    <w:rsid w:val="008C308D"/>
    <w:rsid w:val="008C3098"/>
    <w:rsid w:val="008C6292"/>
    <w:rsid w:val="008D0D41"/>
    <w:rsid w:val="008D3812"/>
    <w:rsid w:val="008D4F67"/>
    <w:rsid w:val="008D5C44"/>
    <w:rsid w:val="008D768D"/>
    <w:rsid w:val="008E3759"/>
    <w:rsid w:val="008E4CE2"/>
    <w:rsid w:val="008E4CF2"/>
    <w:rsid w:val="008E6203"/>
    <w:rsid w:val="008F1912"/>
    <w:rsid w:val="008F1B28"/>
    <w:rsid w:val="008F3B40"/>
    <w:rsid w:val="008F4345"/>
    <w:rsid w:val="008F604B"/>
    <w:rsid w:val="008F7CE5"/>
    <w:rsid w:val="009014A4"/>
    <w:rsid w:val="0090270B"/>
    <w:rsid w:val="009041DC"/>
    <w:rsid w:val="00904702"/>
    <w:rsid w:val="00907ABA"/>
    <w:rsid w:val="00910E7D"/>
    <w:rsid w:val="009150AB"/>
    <w:rsid w:val="00915305"/>
    <w:rsid w:val="00917B5A"/>
    <w:rsid w:val="00917C42"/>
    <w:rsid w:val="00920A58"/>
    <w:rsid w:val="00920A8C"/>
    <w:rsid w:val="00920E95"/>
    <w:rsid w:val="0092111F"/>
    <w:rsid w:val="0092746A"/>
    <w:rsid w:val="00930C72"/>
    <w:rsid w:val="00931E08"/>
    <w:rsid w:val="009334DA"/>
    <w:rsid w:val="00934A2C"/>
    <w:rsid w:val="009357BA"/>
    <w:rsid w:val="009419A0"/>
    <w:rsid w:val="009434D7"/>
    <w:rsid w:val="009458E2"/>
    <w:rsid w:val="00946FA9"/>
    <w:rsid w:val="0095121E"/>
    <w:rsid w:val="00951CBC"/>
    <w:rsid w:val="00956C2D"/>
    <w:rsid w:val="00960219"/>
    <w:rsid w:val="009609E8"/>
    <w:rsid w:val="00960D11"/>
    <w:rsid w:val="00962895"/>
    <w:rsid w:val="0096706E"/>
    <w:rsid w:val="00967AF0"/>
    <w:rsid w:val="00970BF2"/>
    <w:rsid w:val="0097182E"/>
    <w:rsid w:val="0097428B"/>
    <w:rsid w:val="00975C4E"/>
    <w:rsid w:val="00976546"/>
    <w:rsid w:val="00981FBA"/>
    <w:rsid w:val="00985431"/>
    <w:rsid w:val="00987D0C"/>
    <w:rsid w:val="00990ABD"/>
    <w:rsid w:val="00994301"/>
    <w:rsid w:val="00994C9D"/>
    <w:rsid w:val="00994F37"/>
    <w:rsid w:val="00997A53"/>
    <w:rsid w:val="00997AC0"/>
    <w:rsid w:val="00997BC5"/>
    <w:rsid w:val="009A01A0"/>
    <w:rsid w:val="009A0BE3"/>
    <w:rsid w:val="009A1A10"/>
    <w:rsid w:val="009A4F41"/>
    <w:rsid w:val="009B1131"/>
    <w:rsid w:val="009B381B"/>
    <w:rsid w:val="009C1ECA"/>
    <w:rsid w:val="009C2C06"/>
    <w:rsid w:val="009C305B"/>
    <w:rsid w:val="009C32A1"/>
    <w:rsid w:val="009C448E"/>
    <w:rsid w:val="009C4EAA"/>
    <w:rsid w:val="009C7DDC"/>
    <w:rsid w:val="009D1753"/>
    <w:rsid w:val="009D6973"/>
    <w:rsid w:val="009D6B27"/>
    <w:rsid w:val="009D7611"/>
    <w:rsid w:val="009E0B61"/>
    <w:rsid w:val="009E1C43"/>
    <w:rsid w:val="009E2144"/>
    <w:rsid w:val="009E2324"/>
    <w:rsid w:val="009E53DE"/>
    <w:rsid w:val="009E6668"/>
    <w:rsid w:val="009F4EDF"/>
    <w:rsid w:val="00A0017F"/>
    <w:rsid w:val="00A02F8E"/>
    <w:rsid w:val="00A04FAE"/>
    <w:rsid w:val="00A06E8D"/>
    <w:rsid w:val="00A12BD9"/>
    <w:rsid w:val="00A13A35"/>
    <w:rsid w:val="00A149C1"/>
    <w:rsid w:val="00A20E70"/>
    <w:rsid w:val="00A23D5A"/>
    <w:rsid w:val="00A2456C"/>
    <w:rsid w:val="00A2598E"/>
    <w:rsid w:val="00A25D5D"/>
    <w:rsid w:val="00A268AC"/>
    <w:rsid w:val="00A312D8"/>
    <w:rsid w:val="00A31787"/>
    <w:rsid w:val="00A328B3"/>
    <w:rsid w:val="00A32C94"/>
    <w:rsid w:val="00A33B1E"/>
    <w:rsid w:val="00A401B2"/>
    <w:rsid w:val="00A40D5F"/>
    <w:rsid w:val="00A43FA3"/>
    <w:rsid w:val="00A440A9"/>
    <w:rsid w:val="00A50FCF"/>
    <w:rsid w:val="00A528D1"/>
    <w:rsid w:val="00A53A17"/>
    <w:rsid w:val="00A568A6"/>
    <w:rsid w:val="00A57DB3"/>
    <w:rsid w:val="00A610CD"/>
    <w:rsid w:val="00A65416"/>
    <w:rsid w:val="00A657C8"/>
    <w:rsid w:val="00A678F5"/>
    <w:rsid w:val="00A75E63"/>
    <w:rsid w:val="00A76508"/>
    <w:rsid w:val="00A779FF"/>
    <w:rsid w:val="00A814FA"/>
    <w:rsid w:val="00A90112"/>
    <w:rsid w:val="00A90B08"/>
    <w:rsid w:val="00A92B15"/>
    <w:rsid w:val="00A92B63"/>
    <w:rsid w:val="00A936D4"/>
    <w:rsid w:val="00A943E9"/>
    <w:rsid w:val="00A95805"/>
    <w:rsid w:val="00AA09A2"/>
    <w:rsid w:val="00AA13F6"/>
    <w:rsid w:val="00AA1733"/>
    <w:rsid w:val="00AA2F91"/>
    <w:rsid w:val="00AA7025"/>
    <w:rsid w:val="00AA7996"/>
    <w:rsid w:val="00AC19CB"/>
    <w:rsid w:val="00AC55D4"/>
    <w:rsid w:val="00AC67EE"/>
    <w:rsid w:val="00AC7911"/>
    <w:rsid w:val="00AE1B97"/>
    <w:rsid w:val="00AE1D54"/>
    <w:rsid w:val="00AE3E66"/>
    <w:rsid w:val="00AE4F06"/>
    <w:rsid w:val="00AE5488"/>
    <w:rsid w:val="00AE6F91"/>
    <w:rsid w:val="00AF5571"/>
    <w:rsid w:val="00AF6E05"/>
    <w:rsid w:val="00AF7988"/>
    <w:rsid w:val="00B03846"/>
    <w:rsid w:val="00B0693A"/>
    <w:rsid w:val="00B07184"/>
    <w:rsid w:val="00B07341"/>
    <w:rsid w:val="00B13CAB"/>
    <w:rsid w:val="00B146C0"/>
    <w:rsid w:val="00B1750E"/>
    <w:rsid w:val="00B251DF"/>
    <w:rsid w:val="00B30539"/>
    <w:rsid w:val="00B30C42"/>
    <w:rsid w:val="00B314DB"/>
    <w:rsid w:val="00B32C96"/>
    <w:rsid w:val="00B34CE7"/>
    <w:rsid w:val="00B34FBF"/>
    <w:rsid w:val="00B361F2"/>
    <w:rsid w:val="00B3718B"/>
    <w:rsid w:val="00B37F55"/>
    <w:rsid w:val="00B405AB"/>
    <w:rsid w:val="00B44422"/>
    <w:rsid w:val="00B44B3B"/>
    <w:rsid w:val="00B4632A"/>
    <w:rsid w:val="00B46921"/>
    <w:rsid w:val="00B513B1"/>
    <w:rsid w:val="00B530F1"/>
    <w:rsid w:val="00B54A0C"/>
    <w:rsid w:val="00B5781A"/>
    <w:rsid w:val="00B57C07"/>
    <w:rsid w:val="00B632D6"/>
    <w:rsid w:val="00B67999"/>
    <w:rsid w:val="00B74256"/>
    <w:rsid w:val="00B9073F"/>
    <w:rsid w:val="00B94D01"/>
    <w:rsid w:val="00B96FD5"/>
    <w:rsid w:val="00BA07A3"/>
    <w:rsid w:val="00BA276C"/>
    <w:rsid w:val="00BA461E"/>
    <w:rsid w:val="00BA59BA"/>
    <w:rsid w:val="00BA685F"/>
    <w:rsid w:val="00BA690E"/>
    <w:rsid w:val="00BB306F"/>
    <w:rsid w:val="00BB4A0B"/>
    <w:rsid w:val="00BC0B6C"/>
    <w:rsid w:val="00BC1180"/>
    <w:rsid w:val="00BC25A3"/>
    <w:rsid w:val="00BC3A0B"/>
    <w:rsid w:val="00BD15E0"/>
    <w:rsid w:val="00BD4B89"/>
    <w:rsid w:val="00BD6255"/>
    <w:rsid w:val="00BE0060"/>
    <w:rsid w:val="00BE1F9A"/>
    <w:rsid w:val="00BE2ED7"/>
    <w:rsid w:val="00BF02CB"/>
    <w:rsid w:val="00BF11D3"/>
    <w:rsid w:val="00BF11E1"/>
    <w:rsid w:val="00BF1664"/>
    <w:rsid w:val="00BF191C"/>
    <w:rsid w:val="00BF2B66"/>
    <w:rsid w:val="00BF32FC"/>
    <w:rsid w:val="00BF6FD8"/>
    <w:rsid w:val="00C03680"/>
    <w:rsid w:val="00C054DF"/>
    <w:rsid w:val="00C11AC6"/>
    <w:rsid w:val="00C13088"/>
    <w:rsid w:val="00C137B0"/>
    <w:rsid w:val="00C1476B"/>
    <w:rsid w:val="00C1524F"/>
    <w:rsid w:val="00C16CA8"/>
    <w:rsid w:val="00C20315"/>
    <w:rsid w:val="00C20E15"/>
    <w:rsid w:val="00C21482"/>
    <w:rsid w:val="00C21762"/>
    <w:rsid w:val="00C24543"/>
    <w:rsid w:val="00C256A2"/>
    <w:rsid w:val="00C27958"/>
    <w:rsid w:val="00C279AF"/>
    <w:rsid w:val="00C3263F"/>
    <w:rsid w:val="00C40789"/>
    <w:rsid w:val="00C4340F"/>
    <w:rsid w:val="00C46652"/>
    <w:rsid w:val="00C46830"/>
    <w:rsid w:val="00C46EE5"/>
    <w:rsid w:val="00C50964"/>
    <w:rsid w:val="00C51515"/>
    <w:rsid w:val="00C54194"/>
    <w:rsid w:val="00C5660B"/>
    <w:rsid w:val="00C60570"/>
    <w:rsid w:val="00C62A75"/>
    <w:rsid w:val="00C66B72"/>
    <w:rsid w:val="00C75282"/>
    <w:rsid w:val="00C80D88"/>
    <w:rsid w:val="00C810D8"/>
    <w:rsid w:val="00C9567A"/>
    <w:rsid w:val="00C97129"/>
    <w:rsid w:val="00CA0105"/>
    <w:rsid w:val="00CA5D7B"/>
    <w:rsid w:val="00CB17F7"/>
    <w:rsid w:val="00CB212D"/>
    <w:rsid w:val="00CB2583"/>
    <w:rsid w:val="00CB2660"/>
    <w:rsid w:val="00CB7731"/>
    <w:rsid w:val="00CB7BB4"/>
    <w:rsid w:val="00CC19D6"/>
    <w:rsid w:val="00CC4237"/>
    <w:rsid w:val="00CC5E90"/>
    <w:rsid w:val="00CC61DB"/>
    <w:rsid w:val="00CC63CF"/>
    <w:rsid w:val="00CD046C"/>
    <w:rsid w:val="00CD06F3"/>
    <w:rsid w:val="00CD1936"/>
    <w:rsid w:val="00CD4D41"/>
    <w:rsid w:val="00CD53F8"/>
    <w:rsid w:val="00CD56E1"/>
    <w:rsid w:val="00CE076C"/>
    <w:rsid w:val="00CE088B"/>
    <w:rsid w:val="00CE4B9D"/>
    <w:rsid w:val="00CE5199"/>
    <w:rsid w:val="00CE66D5"/>
    <w:rsid w:val="00CF2131"/>
    <w:rsid w:val="00CF2B85"/>
    <w:rsid w:val="00CF3887"/>
    <w:rsid w:val="00CF637A"/>
    <w:rsid w:val="00D02F76"/>
    <w:rsid w:val="00D03259"/>
    <w:rsid w:val="00D03DDE"/>
    <w:rsid w:val="00D059DE"/>
    <w:rsid w:val="00D06A9E"/>
    <w:rsid w:val="00D11A47"/>
    <w:rsid w:val="00D12193"/>
    <w:rsid w:val="00D13FCE"/>
    <w:rsid w:val="00D222A3"/>
    <w:rsid w:val="00D23F6E"/>
    <w:rsid w:val="00D305CD"/>
    <w:rsid w:val="00D306D1"/>
    <w:rsid w:val="00D32A4D"/>
    <w:rsid w:val="00D34786"/>
    <w:rsid w:val="00D3485F"/>
    <w:rsid w:val="00D37BFC"/>
    <w:rsid w:val="00D37CF5"/>
    <w:rsid w:val="00D407A7"/>
    <w:rsid w:val="00D41A36"/>
    <w:rsid w:val="00D41A95"/>
    <w:rsid w:val="00D41D24"/>
    <w:rsid w:val="00D44320"/>
    <w:rsid w:val="00D47A8E"/>
    <w:rsid w:val="00D50DB8"/>
    <w:rsid w:val="00D52D14"/>
    <w:rsid w:val="00D55A84"/>
    <w:rsid w:val="00D56050"/>
    <w:rsid w:val="00D61B14"/>
    <w:rsid w:val="00D6519B"/>
    <w:rsid w:val="00D667EF"/>
    <w:rsid w:val="00D712D3"/>
    <w:rsid w:val="00D71422"/>
    <w:rsid w:val="00D72DC6"/>
    <w:rsid w:val="00D7534E"/>
    <w:rsid w:val="00D7558D"/>
    <w:rsid w:val="00D779F9"/>
    <w:rsid w:val="00D802E0"/>
    <w:rsid w:val="00D8061C"/>
    <w:rsid w:val="00D80C0F"/>
    <w:rsid w:val="00D8122D"/>
    <w:rsid w:val="00D81D92"/>
    <w:rsid w:val="00D82B14"/>
    <w:rsid w:val="00D8374B"/>
    <w:rsid w:val="00D83D73"/>
    <w:rsid w:val="00D87BAE"/>
    <w:rsid w:val="00D90085"/>
    <w:rsid w:val="00D90A1D"/>
    <w:rsid w:val="00D92010"/>
    <w:rsid w:val="00D93C45"/>
    <w:rsid w:val="00D96B00"/>
    <w:rsid w:val="00D96E66"/>
    <w:rsid w:val="00DA485E"/>
    <w:rsid w:val="00DA4A76"/>
    <w:rsid w:val="00DA6D62"/>
    <w:rsid w:val="00DA7B5F"/>
    <w:rsid w:val="00DB1811"/>
    <w:rsid w:val="00DC11E7"/>
    <w:rsid w:val="00DC6656"/>
    <w:rsid w:val="00DC7023"/>
    <w:rsid w:val="00DC769A"/>
    <w:rsid w:val="00DD2F35"/>
    <w:rsid w:val="00DD373C"/>
    <w:rsid w:val="00DD3D86"/>
    <w:rsid w:val="00DD6498"/>
    <w:rsid w:val="00DE7DCC"/>
    <w:rsid w:val="00DF1EC4"/>
    <w:rsid w:val="00DF40A2"/>
    <w:rsid w:val="00E0340B"/>
    <w:rsid w:val="00E03D24"/>
    <w:rsid w:val="00E04A90"/>
    <w:rsid w:val="00E055BF"/>
    <w:rsid w:val="00E0601C"/>
    <w:rsid w:val="00E072CF"/>
    <w:rsid w:val="00E112E7"/>
    <w:rsid w:val="00E11A5C"/>
    <w:rsid w:val="00E219C7"/>
    <w:rsid w:val="00E23D89"/>
    <w:rsid w:val="00E2718B"/>
    <w:rsid w:val="00E30D09"/>
    <w:rsid w:val="00E32017"/>
    <w:rsid w:val="00E35469"/>
    <w:rsid w:val="00E367A9"/>
    <w:rsid w:val="00E43157"/>
    <w:rsid w:val="00E461CE"/>
    <w:rsid w:val="00E47899"/>
    <w:rsid w:val="00E50A16"/>
    <w:rsid w:val="00E6266E"/>
    <w:rsid w:val="00E720CA"/>
    <w:rsid w:val="00E75E6F"/>
    <w:rsid w:val="00E810C3"/>
    <w:rsid w:val="00E8218B"/>
    <w:rsid w:val="00E8221A"/>
    <w:rsid w:val="00E84EB5"/>
    <w:rsid w:val="00E85662"/>
    <w:rsid w:val="00E86570"/>
    <w:rsid w:val="00E8789F"/>
    <w:rsid w:val="00E909AA"/>
    <w:rsid w:val="00E90A53"/>
    <w:rsid w:val="00E97B71"/>
    <w:rsid w:val="00EA0997"/>
    <w:rsid w:val="00EA2BF2"/>
    <w:rsid w:val="00EA35A3"/>
    <w:rsid w:val="00EA3D34"/>
    <w:rsid w:val="00EB0D68"/>
    <w:rsid w:val="00EB21A8"/>
    <w:rsid w:val="00EB44AD"/>
    <w:rsid w:val="00EB454D"/>
    <w:rsid w:val="00EC17FF"/>
    <w:rsid w:val="00ED1B3E"/>
    <w:rsid w:val="00ED3621"/>
    <w:rsid w:val="00ED3AAC"/>
    <w:rsid w:val="00ED5DA3"/>
    <w:rsid w:val="00ED76BE"/>
    <w:rsid w:val="00ED78BD"/>
    <w:rsid w:val="00EE0890"/>
    <w:rsid w:val="00EF1E5A"/>
    <w:rsid w:val="00EF2A74"/>
    <w:rsid w:val="00EF619B"/>
    <w:rsid w:val="00F00B55"/>
    <w:rsid w:val="00F02AD1"/>
    <w:rsid w:val="00F03B89"/>
    <w:rsid w:val="00F05B35"/>
    <w:rsid w:val="00F05BB2"/>
    <w:rsid w:val="00F07567"/>
    <w:rsid w:val="00F119F8"/>
    <w:rsid w:val="00F122DE"/>
    <w:rsid w:val="00F23151"/>
    <w:rsid w:val="00F2389A"/>
    <w:rsid w:val="00F253CC"/>
    <w:rsid w:val="00F27B2C"/>
    <w:rsid w:val="00F33B26"/>
    <w:rsid w:val="00F37106"/>
    <w:rsid w:val="00F41BD3"/>
    <w:rsid w:val="00F435D4"/>
    <w:rsid w:val="00F44E4F"/>
    <w:rsid w:val="00F519CF"/>
    <w:rsid w:val="00F561B4"/>
    <w:rsid w:val="00F56BA5"/>
    <w:rsid w:val="00F60E22"/>
    <w:rsid w:val="00F62ADA"/>
    <w:rsid w:val="00F6322F"/>
    <w:rsid w:val="00F64535"/>
    <w:rsid w:val="00F667A5"/>
    <w:rsid w:val="00F73104"/>
    <w:rsid w:val="00F805FB"/>
    <w:rsid w:val="00F81395"/>
    <w:rsid w:val="00F81477"/>
    <w:rsid w:val="00F85866"/>
    <w:rsid w:val="00F902EB"/>
    <w:rsid w:val="00F904D9"/>
    <w:rsid w:val="00F917D1"/>
    <w:rsid w:val="00F92B4A"/>
    <w:rsid w:val="00F930DD"/>
    <w:rsid w:val="00F94537"/>
    <w:rsid w:val="00F9499B"/>
    <w:rsid w:val="00F95896"/>
    <w:rsid w:val="00F9653B"/>
    <w:rsid w:val="00FA3C03"/>
    <w:rsid w:val="00FA4C4E"/>
    <w:rsid w:val="00FA6452"/>
    <w:rsid w:val="00FB061B"/>
    <w:rsid w:val="00FB0E29"/>
    <w:rsid w:val="00FB1A05"/>
    <w:rsid w:val="00FB56A2"/>
    <w:rsid w:val="00FB62CF"/>
    <w:rsid w:val="00FB7B1D"/>
    <w:rsid w:val="00FB7E0B"/>
    <w:rsid w:val="00FC09CB"/>
    <w:rsid w:val="00FC32A1"/>
    <w:rsid w:val="00FC6A8D"/>
    <w:rsid w:val="00FD223C"/>
    <w:rsid w:val="00FD3C3B"/>
    <w:rsid w:val="00FD3FD0"/>
    <w:rsid w:val="00FD5A99"/>
    <w:rsid w:val="00FE07DD"/>
    <w:rsid w:val="00FE1917"/>
    <w:rsid w:val="00FE644A"/>
    <w:rsid w:val="00FE6B45"/>
    <w:rsid w:val="00FE7E0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155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60219"/>
    <w:pPr>
      <w:tabs>
        <w:tab w:val="left" w:pos="1440"/>
        <w:tab w:val="right" w:leader="dot" w:pos="10170"/>
      </w:tabs>
      <w:spacing w:after="100"/>
      <w:ind w:left="1440" w:hanging="720"/>
    </w:pPr>
  </w:style>
  <w:style w:type="paragraph" w:styleId="TOC1">
    <w:name w:val="toc 1"/>
    <w:basedOn w:val="Normal"/>
    <w:next w:val="Normal"/>
    <w:autoRedefine/>
    <w:uiPriority w:val="39"/>
    <w:unhideWhenUsed/>
    <w:rsid w:val="00960219"/>
    <w:pPr>
      <w:tabs>
        <w:tab w:val="left" w:pos="1440"/>
        <w:tab w:val="right" w:leader="dot" w:pos="1017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D8122D"/>
    <w:rPr>
      <w:sz w:val="16"/>
      <w:szCs w:val="16"/>
    </w:rPr>
  </w:style>
  <w:style w:type="paragraph" w:styleId="CommentText">
    <w:name w:val="annotation text"/>
    <w:basedOn w:val="Normal"/>
    <w:link w:val="CommentTextChar"/>
    <w:uiPriority w:val="99"/>
    <w:semiHidden/>
    <w:unhideWhenUsed/>
    <w:rsid w:val="00D8122D"/>
    <w:rPr>
      <w:sz w:val="20"/>
      <w:szCs w:val="20"/>
    </w:rPr>
  </w:style>
  <w:style w:type="character" w:customStyle="1" w:styleId="CommentTextChar">
    <w:name w:val="Comment Text Char"/>
    <w:basedOn w:val="DefaultParagraphFont"/>
    <w:link w:val="CommentText"/>
    <w:uiPriority w:val="99"/>
    <w:semiHidden/>
    <w:rsid w:val="00D8122D"/>
    <w:rPr>
      <w:lang w:val="en-US" w:eastAsia="en-US"/>
    </w:rPr>
  </w:style>
  <w:style w:type="paragraph" w:styleId="CommentSubject">
    <w:name w:val="annotation subject"/>
    <w:basedOn w:val="CommentText"/>
    <w:next w:val="CommentText"/>
    <w:link w:val="CommentSubjectChar"/>
    <w:uiPriority w:val="99"/>
    <w:semiHidden/>
    <w:unhideWhenUsed/>
    <w:rsid w:val="00D8122D"/>
    <w:rPr>
      <w:b/>
      <w:bCs/>
    </w:rPr>
  </w:style>
  <w:style w:type="character" w:customStyle="1" w:styleId="CommentSubjectChar">
    <w:name w:val="Comment Subject Char"/>
    <w:basedOn w:val="CommentTextChar"/>
    <w:link w:val="CommentSubject"/>
    <w:uiPriority w:val="99"/>
    <w:semiHidden/>
    <w:rsid w:val="00D8122D"/>
    <w:rPr>
      <w:b/>
      <w:bCs/>
      <w:lang w:val="en-US" w:eastAsia="en-US"/>
    </w:rPr>
  </w:style>
  <w:style w:type="paragraph" w:styleId="Revision">
    <w:name w:val="Revision"/>
    <w:hidden/>
    <w:uiPriority w:val="99"/>
    <w:semiHidden/>
    <w:rsid w:val="008673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uiPriority w:val="99"/>
    <w:rsid w:val="003C3AD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ES" w:eastAsia="es-ES"/>
    </w:rPr>
  </w:style>
  <w:style w:type="character" w:styleId="FollowedHyperlink">
    <w:name w:val="FollowedHyperlink"/>
    <w:basedOn w:val="DefaultParagraphFont"/>
    <w:uiPriority w:val="99"/>
    <w:semiHidden/>
    <w:unhideWhenUsed/>
    <w:rsid w:val="003C3ADE"/>
    <w:rPr>
      <w:color w:val="800080" w:themeColor="followedHyperlink"/>
      <w:u w:val="single"/>
    </w:rPr>
  </w:style>
  <w:style w:type="paragraph" w:customStyle="1" w:styleId="PrrafodeSentencia">
    <w:name w:val="*. Párrafo de Sentencia"/>
    <w:basedOn w:val="Normal"/>
    <w:link w:val="PrrafodeSentenciaChar"/>
    <w:autoRedefine/>
    <w:qFormat/>
    <w:rsid w:val="00D779F9"/>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12"/>
      <w:jc w:val="both"/>
    </w:pPr>
    <w:rPr>
      <w:rFonts w:ascii="Verdana" w:eastAsia="Batang" w:hAnsi="Verdana"/>
      <w:sz w:val="20"/>
      <w:szCs w:val="20"/>
      <w:bdr w:val="none" w:sz="0" w:space="0" w:color="auto"/>
      <w:lang w:val="es-ES_tradnl" w:eastAsia="es-MX"/>
    </w:rPr>
  </w:style>
  <w:style w:type="character" w:customStyle="1" w:styleId="PrrafodeSentenciaChar">
    <w:name w:val="*. Párrafo de Sentencia Char"/>
    <w:link w:val="PrrafodeSentencia"/>
    <w:rsid w:val="00D779F9"/>
    <w:rPr>
      <w:rFonts w:ascii="Verdana" w:eastAsia="Batang" w:hAnsi="Verdana"/>
      <w:bdr w:val="none" w:sz="0" w:space="0" w:color="auto"/>
      <w:lang w:val="es-ES_tradnl" w:eastAsia="es-MX"/>
    </w:rPr>
  </w:style>
  <w:style w:type="character" w:styleId="Strong">
    <w:name w:val="Strong"/>
    <w:uiPriority w:val="22"/>
    <w:qFormat/>
    <w:rsid w:val="00D779F9"/>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779F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lang w:val="x-none" w:eastAsia="x-none"/>
    </w:rPr>
  </w:style>
  <w:style w:type="paragraph" w:styleId="TOCHeading">
    <w:name w:val="TOC Heading"/>
    <w:basedOn w:val="Heading1"/>
    <w:next w:val="Normal"/>
    <w:uiPriority w:val="39"/>
    <w:semiHidden/>
    <w:unhideWhenUsed/>
    <w:qFormat/>
    <w:rsid w:val="00960219"/>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60219"/>
    <w:pPr>
      <w:tabs>
        <w:tab w:val="left" w:pos="1440"/>
        <w:tab w:val="right" w:leader="dot" w:pos="10170"/>
      </w:tabs>
      <w:spacing w:after="100"/>
      <w:ind w:left="1440" w:hanging="720"/>
    </w:pPr>
  </w:style>
  <w:style w:type="paragraph" w:styleId="TOC1">
    <w:name w:val="toc 1"/>
    <w:basedOn w:val="Normal"/>
    <w:next w:val="Normal"/>
    <w:autoRedefine/>
    <w:uiPriority w:val="39"/>
    <w:unhideWhenUsed/>
    <w:rsid w:val="00960219"/>
    <w:pPr>
      <w:tabs>
        <w:tab w:val="left" w:pos="1440"/>
        <w:tab w:val="right" w:leader="dot" w:pos="1017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D8122D"/>
    <w:rPr>
      <w:sz w:val="16"/>
      <w:szCs w:val="16"/>
    </w:rPr>
  </w:style>
  <w:style w:type="paragraph" w:styleId="CommentText">
    <w:name w:val="annotation text"/>
    <w:basedOn w:val="Normal"/>
    <w:link w:val="CommentTextChar"/>
    <w:uiPriority w:val="99"/>
    <w:semiHidden/>
    <w:unhideWhenUsed/>
    <w:rsid w:val="00D8122D"/>
    <w:rPr>
      <w:sz w:val="20"/>
      <w:szCs w:val="20"/>
    </w:rPr>
  </w:style>
  <w:style w:type="character" w:customStyle="1" w:styleId="CommentTextChar">
    <w:name w:val="Comment Text Char"/>
    <w:basedOn w:val="DefaultParagraphFont"/>
    <w:link w:val="CommentText"/>
    <w:uiPriority w:val="99"/>
    <w:semiHidden/>
    <w:rsid w:val="00D8122D"/>
    <w:rPr>
      <w:lang w:val="en-US" w:eastAsia="en-US"/>
    </w:rPr>
  </w:style>
  <w:style w:type="paragraph" w:styleId="CommentSubject">
    <w:name w:val="annotation subject"/>
    <w:basedOn w:val="CommentText"/>
    <w:next w:val="CommentText"/>
    <w:link w:val="CommentSubjectChar"/>
    <w:uiPriority w:val="99"/>
    <w:semiHidden/>
    <w:unhideWhenUsed/>
    <w:rsid w:val="00D8122D"/>
    <w:rPr>
      <w:b/>
      <w:bCs/>
    </w:rPr>
  </w:style>
  <w:style w:type="character" w:customStyle="1" w:styleId="CommentSubjectChar">
    <w:name w:val="Comment Subject Char"/>
    <w:basedOn w:val="CommentTextChar"/>
    <w:link w:val="CommentSubject"/>
    <w:uiPriority w:val="99"/>
    <w:semiHidden/>
    <w:rsid w:val="00D8122D"/>
    <w:rPr>
      <w:b/>
      <w:bCs/>
      <w:lang w:val="en-US" w:eastAsia="en-US"/>
    </w:rPr>
  </w:style>
  <w:style w:type="paragraph" w:styleId="Revision">
    <w:name w:val="Revision"/>
    <w:hidden/>
    <w:uiPriority w:val="99"/>
    <w:semiHidden/>
    <w:rsid w:val="008673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uiPriority w:val="99"/>
    <w:rsid w:val="003C3AD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ES" w:eastAsia="es-ES"/>
    </w:rPr>
  </w:style>
  <w:style w:type="character" w:styleId="FollowedHyperlink">
    <w:name w:val="FollowedHyperlink"/>
    <w:basedOn w:val="DefaultParagraphFont"/>
    <w:uiPriority w:val="99"/>
    <w:semiHidden/>
    <w:unhideWhenUsed/>
    <w:rsid w:val="003C3ADE"/>
    <w:rPr>
      <w:color w:val="800080" w:themeColor="followedHyperlink"/>
      <w:u w:val="single"/>
    </w:rPr>
  </w:style>
  <w:style w:type="paragraph" w:customStyle="1" w:styleId="PrrafodeSentencia">
    <w:name w:val="*. Párrafo de Sentencia"/>
    <w:basedOn w:val="Normal"/>
    <w:link w:val="PrrafodeSentenciaChar"/>
    <w:autoRedefine/>
    <w:qFormat/>
    <w:rsid w:val="00D779F9"/>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12"/>
      <w:jc w:val="both"/>
    </w:pPr>
    <w:rPr>
      <w:rFonts w:ascii="Verdana" w:eastAsia="Batang" w:hAnsi="Verdana"/>
      <w:sz w:val="20"/>
      <w:szCs w:val="20"/>
      <w:bdr w:val="none" w:sz="0" w:space="0" w:color="auto"/>
      <w:lang w:val="es-ES_tradnl" w:eastAsia="es-MX"/>
    </w:rPr>
  </w:style>
  <w:style w:type="character" w:customStyle="1" w:styleId="PrrafodeSentenciaChar">
    <w:name w:val="*. Párrafo de Sentencia Char"/>
    <w:link w:val="PrrafodeSentencia"/>
    <w:rsid w:val="00D779F9"/>
    <w:rPr>
      <w:rFonts w:ascii="Verdana" w:eastAsia="Batang" w:hAnsi="Verdana"/>
      <w:bdr w:val="none" w:sz="0" w:space="0" w:color="auto"/>
      <w:lang w:val="es-ES_tradnl" w:eastAsia="es-MX"/>
    </w:rPr>
  </w:style>
  <w:style w:type="character" w:styleId="Strong">
    <w:name w:val="Strong"/>
    <w:uiPriority w:val="22"/>
    <w:qFormat/>
    <w:rsid w:val="00D779F9"/>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779F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lang w:val="x-none" w:eastAsia="x-none"/>
    </w:rPr>
  </w:style>
  <w:style w:type="paragraph" w:styleId="TOCHeading">
    <w:name w:val="TOC Heading"/>
    <w:basedOn w:val="Heading1"/>
    <w:next w:val="Normal"/>
    <w:uiPriority w:val="39"/>
    <w:semiHidden/>
    <w:unhideWhenUsed/>
    <w:qFormat/>
    <w:rsid w:val="00960219"/>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2984">
      <w:bodyDiv w:val="1"/>
      <w:marLeft w:val="0"/>
      <w:marRight w:val="0"/>
      <w:marTop w:val="0"/>
      <w:marBottom w:val="0"/>
      <w:divBdr>
        <w:top w:val="none" w:sz="0" w:space="0" w:color="auto"/>
        <w:left w:val="none" w:sz="0" w:space="0" w:color="auto"/>
        <w:bottom w:val="none" w:sz="0" w:space="0" w:color="auto"/>
        <w:right w:val="none" w:sz="0" w:space="0" w:color="auto"/>
      </w:divBdr>
    </w:div>
    <w:div w:id="13594310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ejil.org/sites/default/files/legacy_files/El%20Caso%20de%20Honduras.pdf" TargetMode="External"/><Relationship Id="rId13" Type="http://schemas.openxmlformats.org/officeDocument/2006/relationships/hyperlink" Target="http://joomla.corteidh.or.cr:8080/joomla/es/casos-contenciosos/38-jurisprudencia/192-corte-idh-caso-velasquez-rodriguez-vs-honduras-fondo-sentencia-de-29-de-julio-de-1988-serie-c-no-4" TargetMode="External"/><Relationship Id="rId18" Type="http://schemas.openxmlformats.org/officeDocument/2006/relationships/hyperlink" Target="http://joomla.corteidh.or.cr:8080/joomla/es/jurisprudencia-oc-2/38-jurisprudencia/728-corte-idh-caso-baldeon-garcia-vs-peru-fondo-reparaciones-y-costas-sentencia-de-6-de-abril-de-2006-serie-c-no-147" TargetMode="External"/><Relationship Id="rId3" Type="http://schemas.openxmlformats.org/officeDocument/2006/relationships/hyperlink" Target="https://transrespect.org/wp-content/uploads/2017/03/TvT_TMM_TDoV2017_PR_EN.pdf" TargetMode="External"/><Relationship Id="rId7" Type="http://schemas.openxmlformats.org/officeDocument/2006/relationships/hyperlink" Target="https://www.cejil.org/sites/default/files/legacy_files/El%20Caso%20de%20Honduras.pdf" TargetMode="External"/><Relationship Id="rId12" Type="http://schemas.openxmlformats.org/officeDocument/2006/relationships/hyperlink" Target="http://joomla.corteidh.or.cr:8080/joomla/es/casos-contenciosos/38-jurisprudencia/192-corte-idh-caso-velasquez-rodriguez-vs-honduras-fondo-sentencia-de-29-de-julio-de-1988-serie-c-no-4" TargetMode="External"/><Relationship Id="rId17" Type="http://schemas.openxmlformats.org/officeDocument/2006/relationships/hyperlink" Target="http://joomla.corteidh.or.cr:8080/joomla/es/jurisprudencia-oc-2/38-jurisprudencia/731-corte-idh-caso-de-las-masacres-de-ituango-vs-colombia-sentencia-de-1-de-julio-de-2006-serie-c-no-148" TargetMode="External"/><Relationship Id="rId2" Type="http://schemas.openxmlformats.org/officeDocument/2006/relationships/hyperlink" Target="https://www.cejil.org/sites/default/files/legacy_files/El%20Caso%20de%20Honduras.pdf" TargetMode="External"/><Relationship Id="rId16" Type="http://schemas.openxmlformats.org/officeDocument/2006/relationships/hyperlink" Target="http://joomla.corteidh.or.cr:8080/joomla/es/jurisprudencia-oc-2/38-jurisprudencia/741-corte-idh-caso-vargas-areco-vs-paraguay-sentencia-de-26-de-septiembre-de-2006-serie-c-no-155" TargetMode="External"/><Relationship Id="rId1" Type="http://schemas.openxmlformats.org/officeDocument/2006/relationships/hyperlink" Target="https://www.cejil.org/sites/default/files/legacy_files/El%20Caso%20de%20Honduras.pdf" TargetMode="External"/><Relationship Id="rId6" Type="http://schemas.openxmlformats.org/officeDocument/2006/relationships/hyperlink" Target="https://www.cejil.org/sites/default/files/legacy_files/El%20Caso%20de%20Honduras.pdf" TargetMode="External"/><Relationship Id="rId11" Type="http://schemas.openxmlformats.org/officeDocument/2006/relationships/hyperlink" Target="http://joomla.corteidh.or.cr:8080/joomla/es/casos-contenciosos/38-jurisprudencia/192-corte-idh-caso-velasquez-rodriguez-vs-honduras-fondo-sentencia-de-29-de-julio-de-1988-serie-c-no-4" TargetMode="External"/><Relationship Id="rId5" Type="http://schemas.openxmlformats.org/officeDocument/2006/relationships/hyperlink" Target="https://www.cejil.org/sites/default/files/legacy_files/El%20Caso%20de%20Honduras.pdf" TargetMode="External"/><Relationship Id="rId15" Type="http://schemas.openxmlformats.org/officeDocument/2006/relationships/hyperlink" Target="https://www.cejil.org/sites/default/files/legacy_files/El%20Caso%20de%20Honduras.pdf" TargetMode="External"/><Relationship Id="rId10"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s://www.cejil.org/sites/default/files/legacy_files/El%20Caso%20de%20Honduras.pdf" TargetMode="External"/><Relationship Id="rId9" Type="http://schemas.openxmlformats.org/officeDocument/2006/relationships/hyperlink" Target="http://joomla.corteidh.or.cr:8080/joomla/es/casos-contenciosos/38-jurisprudencia/192-corte-idh-caso-velasquez-rodriguez-vs-honduras-fondo-sentencia-de-29-de-julio-de-1988-serie-c-no-4" TargetMode="External"/><Relationship Id="rId14"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CFED-F760-40CD-BBEC-42D139AB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13215</Words>
  <Characters>75329</Characters>
  <Application>Microsoft Office Word</Application>
  <DocSecurity>0</DocSecurity>
  <Lines>627</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2018-10-11T20:25:00Z</cp:lastPrinted>
  <dcterms:created xsi:type="dcterms:W3CDTF">2019-01-28T20:22:00Z</dcterms:created>
  <dcterms:modified xsi:type="dcterms:W3CDTF">2019-01-28T20:28:00Z</dcterms:modified>
</cp:coreProperties>
</file>