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42A53" w14:textId="77777777" w:rsidR="000932C4" w:rsidRPr="0090270B" w:rsidRDefault="000932C4" w:rsidP="000932C4">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688D7C47" wp14:editId="16E5A92E">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B1BF4"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03980715" wp14:editId="7A545B09">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91B1F2" w14:textId="77777777" w:rsidR="009624E3" w:rsidRDefault="009624E3" w:rsidP="000932C4">
                            <w:r>
                              <w:rPr>
                                <w:noProof/>
                              </w:rPr>
                              <w:drawing>
                                <wp:inline distT="0" distB="0" distL="0" distR="0" wp14:anchorId="52973459" wp14:editId="0DC016CC">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80715"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1591B1F2" w14:textId="77777777" w:rsidR="009624E3" w:rsidRDefault="009624E3" w:rsidP="000932C4">
                      <w:r>
                        <w:rPr>
                          <w:noProof/>
                        </w:rPr>
                        <w:drawing>
                          <wp:inline distT="0" distB="0" distL="0" distR="0" wp14:anchorId="52973459" wp14:editId="0DC016CC">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670882EC" w14:textId="77777777" w:rsidR="000932C4" w:rsidRPr="0090270B" w:rsidRDefault="000932C4" w:rsidP="000932C4">
      <w:pPr>
        <w:tabs>
          <w:tab w:val="center" w:pos="5400"/>
        </w:tabs>
        <w:suppressAutoHyphens/>
        <w:jc w:val="both"/>
        <w:rPr>
          <w:rFonts w:asciiTheme="majorHAnsi" w:hAnsiTheme="majorHAnsi"/>
          <w:sz w:val="22"/>
          <w:szCs w:val="22"/>
          <w:lang w:val="es-ES"/>
        </w:rPr>
      </w:pPr>
    </w:p>
    <w:p w14:paraId="4C939098" w14:textId="77777777" w:rsidR="000932C4" w:rsidRPr="0090270B" w:rsidRDefault="000932C4" w:rsidP="000932C4">
      <w:pPr>
        <w:tabs>
          <w:tab w:val="center" w:pos="5400"/>
        </w:tabs>
        <w:suppressAutoHyphens/>
        <w:jc w:val="both"/>
        <w:rPr>
          <w:rFonts w:asciiTheme="majorHAnsi" w:hAnsiTheme="majorHAnsi"/>
          <w:sz w:val="22"/>
          <w:szCs w:val="22"/>
          <w:lang w:val="es-ES"/>
        </w:rPr>
      </w:pPr>
    </w:p>
    <w:p w14:paraId="541EF088" w14:textId="77777777" w:rsidR="000932C4" w:rsidRPr="0090270B" w:rsidRDefault="000932C4" w:rsidP="000932C4">
      <w:pPr>
        <w:tabs>
          <w:tab w:val="center" w:pos="5400"/>
        </w:tabs>
        <w:suppressAutoHyphens/>
        <w:rPr>
          <w:rFonts w:asciiTheme="majorHAnsi" w:hAnsiTheme="majorHAnsi"/>
          <w:sz w:val="22"/>
          <w:szCs w:val="22"/>
          <w:lang w:val="es-ES_tradnl"/>
        </w:rPr>
      </w:pPr>
    </w:p>
    <w:p w14:paraId="41FE7F07" w14:textId="77777777" w:rsidR="000932C4" w:rsidRPr="0090270B" w:rsidRDefault="000932C4" w:rsidP="000932C4">
      <w:pPr>
        <w:tabs>
          <w:tab w:val="center" w:pos="5400"/>
        </w:tabs>
        <w:suppressAutoHyphens/>
        <w:rPr>
          <w:rFonts w:asciiTheme="majorHAnsi" w:hAnsiTheme="majorHAnsi"/>
          <w:sz w:val="22"/>
          <w:szCs w:val="22"/>
          <w:lang w:val="es-ES_tradnl"/>
        </w:rPr>
      </w:pPr>
    </w:p>
    <w:p w14:paraId="5B5BFF6A" w14:textId="77777777" w:rsidR="000932C4" w:rsidRPr="0090270B" w:rsidRDefault="000932C4" w:rsidP="000932C4">
      <w:pPr>
        <w:tabs>
          <w:tab w:val="center" w:pos="5400"/>
        </w:tabs>
        <w:suppressAutoHyphens/>
        <w:rPr>
          <w:rFonts w:asciiTheme="majorHAnsi" w:hAnsiTheme="majorHAnsi"/>
          <w:sz w:val="22"/>
          <w:szCs w:val="22"/>
          <w:lang w:val="es-ES_tradnl"/>
        </w:rPr>
      </w:pPr>
    </w:p>
    <w:p w14:paraId="73627779" w14:textId="77777777" w:rsidR="000932C4" w:rsidRPr="0090270B" w:rsidRDefault="000932C4" w:rsidP="000932C4">
      <w:pPr>
        <w:tabs>
          <w:tab w:val="center" w:pos="5400"/>
        </w:tabs>
        <w:suppressAutoHyphens/>
        <w:jc w:val="center"/>
        <w:rPr>
          <w:rFonts w:asciiTheme="majorHAnsi" w:hAnsiTheme="majorHAnsi"/>
          <w:sz w:val="22"/>
          <w:szCs w:val="22"/>
          <w:lang w:val="es-ES_tradnl"/>
        </w:rPr>
      </w:pPr>
    </w:p>
    <w:p w14:paraId="238E415D" w14:textId="77777777" w:rsidR="000932C4" w:rsidRPr="0090270B" w:rsidRDefault="000932C4" w:rsidP="000932C4">
      <w:pPr>
        <w:tabs>
          <w:tab w:val="center" w:pos="5400"/>
        </w:tabs>
        <w:suppressAutoHyphens/>
        <w:jc w:val="center"/>
        <w:rPr>
          <w:rFonts w:asciiTheme="majorHAnsi" w:hAnsiTheme="majorHAnsi"/>
          <w:sz w:val="22"/>
          <w:szCs w:val="22"/>
          <w:lang w:val="es-ES_tradnl"/>
        </w:rPr>
      </w:pPr>
    </w:p>
    <w:p w14:paraId="236E4F8C" w14:textId="77777777" w:rsidR="000932C4" w:rsidRPr="0090270B" w:rsidRDefault="000932C4" w:rsidP="000932C4">
      <w:pPr>
        <w:tabs>
          <w:tab w:val="center" w:pos="5400"/>
        </w:tabs>
        <w:suppressAutoHyphens/>
        <w:jc w:val="center"/>
        <w:rPr>
          <w:rFonts w:asciiTheme="majorHAnsi" w:hAnsiTheme="majorHAnsi"/>
          <w:sz w:val="22"/>
          <w:szCs w:val="22"/>
          <w:lang w:val="es-ES_tradnl"/>
        </w:rPr>
      </w:pPr>
    </w:p>
    <w:p w14:paraId="59EE81A1" w14:textId="77777777" w:rsidR="000932C4" w:rsidRPr="0090270B" w:rsidRDefault="000932C4" w:rsidP="000932C4">
      <w:pPr>
        <w:tabs>
          <w:tab w:val="center" w:pos="5400"/>
        </w:tabs>
        <w:suppressAutoHyphens/>
        <w:jc w:val="center"/>
        <w:rPr>
          <w:rFonts w:asciiTheme="majorHAnsi" w:hAnsiTheme="majorHAnsi"/>
          <w:sz w:val="22"/>
          <w:szCs w:val="22"/>
          <w:lang w:val="es-ES_tradnl"/>
        </w:rPr>
      </w:pPr>
    </w:p>
    <w:p w14:paraId="2DEFDA2D" w14:textId="77777777" w:rsidR="000932C4" w:rsidRPr="0090270B" w:rsidRDefault="000932C4" w:rsidP="000932C4">
      <w:pPr>
        <w:tabs>
          <w:tab w:val="center" w:pos="5400"/>
        </w:tabs>
        <w:suppressAutoHyphens/>
        <w:jc w:val="center"/>
        <w:rPr>
          <w:rFonts w:asciiTheme="majorHAnsi" w:hAnsiTheme="majorHAnsi"/>
          <w:sz w:val="22"/>
          <w:szCs w:val="22"/>
          <w:lang w:val="es-ES_tradnl"/>
        </w:rPr>
      </w:pPr>
    </w:p>
    <w:p w14:paraId="6591BE45" w14:textId="77777777" w:rsidR="000932C4" w:rsidRPr="0090270B" w:rsidRDefault="000932C4" w:rsidP="000932C4">
      <w:pPr>
        <w:tabs>
          <w:tab w:val="center" w:pos="5400"/>
        </w:tabs>
        <w:suppressAutoHyphens/>
        <w:jc w:val="center"/>
        <w:rPr>
          <w:rFonts w:asciiTheme="majorHAnsi" w:hAnsiTheme="majorHAnsi"/>
          <w:sz w:val="22"/>
          <w:szCs w:val="22"/>
          <w:lang w:val="es-ES_tradnl"/>
        </w:rPr>
      </w:pPr>
    </w:p>
    <w:p w14:paraId="233D59AD" w14:textId="77777777" w:rsidR="000932C4" w:rsidRPr="0090270B" w:rsidRDefault="000932C4" w:rsidP="000932C4">
      <w:pPr>
        <w:tabs>
          <w:tab w:val="center" w:pos="5400"/>
        </w:tabs>
        <w:suppressAutoHyphens/>
        <w:jc w:val="center"/>
        <w:rPr>
          <w:rFonts w:asciiTheme="majorHAnsi" w:hAnsiTheme="majorHAnsi"/>
          <w:sz w:val="22"/>
          <w:szCs w:val="22"/>
          <w:lang w:val="es-ES_tradnl"/>
        </w:rPr>
      </w:pPr>
    </w:p>
    <w:p w14:paraId="03A5F7F3" w14:textId="77777777" w:rsidR="000932C4" w:rsidRPr="0090270B" w:rsidRDefault="000932C4" w:rsidP="000932C4">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11356122" wp14:editId="47DC0861">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374922" w14:textId="0BD1311B" w:rsidR="009624E3" w:rsidRPr="004E2649" w:rsidRDefault="009624E3" w:rsidP="000932C4">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56/19</w:t>
                            </w:r>
                          </w:p>
                          <w:p w14:paraId="6CFD5997" w14:textId="74BB1004" w:rsidR="009624E3" w:rsidRDefault="009624E3" w:rsidP="000932C4">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CASO 13.392</w:t>
                            </w:r>
                            <w:r w:rsidRPr="004E2649">
                              <w:rPr>
                                <w:rFonts w:asciiTheme="majorHAnsi" w:hAnsiTheme="majorHAnsi" w:cs="Arial"/>
                                <w:b/>
                                <w:color w:val="0D0D0D" w:themeColor="text1" w:themeTint="F2"/>
                                <w:sz w:val="36"/>
                                <w:szCs w:val="22"/>
                                <w:lang w:val="es-ES_tradnl"/>
                              </w:rPr>
                              <w:t xml:space="preserve"> </w:t>
                            </w:r>
                          </w:p>
                          <w:p w14:paraId="4E62F78E" w14:textId="3EBD7F32" w:rsidR="009624E3" w:rsidRPr="0010736F" w:rsidRDefault="009624E3" w:rsidP="000932C4">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10736F">
                              <w:rPr>
                                <w:rFonts w:asciiTheme="majorHAnsi" w:hAnsiTheme="majorHAnsi" w:cs="Arial"/>
                                <w:color w:val="0D0D0D" w:themeColor="text1" w:themeTint="F2"/>
                                <w:szCs w:val="22"/>
                                <w:lang w:val="es-ES_tradnl"/>
                              </w:rPr>
                              <w:t xml:space="preserve">ADMISIBILIDAD </w:t>
                            </w:r>
                            <w:r>
                              <w:rPr>
                                <w:rFonts w:asciiTheme="majorHAnsi" w:hAnsiTheme="majorHAnsi" w:cs="Arial"/>
                                <w:color w:val="0D0D0D" w:themeColor="text1" w:themeTint="F2"/>
                                <w:szCs w:val="22"/>
                                <w:lang w:val="es-ES_tradnl"/>
                              </w:rPr>
                              <w:t>Y FONDO</w:t>
                            </w:r>
                          </w:p>
                          <w:p w14:paraId="45BFEC9C" w14:textId="77777777" w:rsidR="009624E3" w:rsidRPr="0010736F" w:rsidRDefault="009624E3" w:rsidP="000932C4">
                            <w:pPr>
                              <w:spacing w:line="276" w:lineRule="auto"/>
                              <w:rPr>
                                <w:rFonts w:asciiTheme="majorHAnsi" w:hAnsiTheme="majorHAnsi" w:cs="Arial"/>
                                <w:color w:val="0D0D0D" w:themeColor="text1" w:themeTint="F2"/>
                                <w:szCs w:val="22"/>
                                <w:lang w:val="es-ES_tradnl"/>
                              </w:rPr>
                            </w:pPr>
                            <w:bookmarkStart w:id="0" w:name="_ftnref1"/>
                          </w:p>
                          <w:bookmarkEnd w:id="0"/>
                          <w:p w14:paraId="4B1457CB" w14:textId="77777777" w:rsidR="009624E3" w:rsidRDefault="009624E3" w:rsidP="000932C4">
                            <w:pPr>
                              <w:spacing w:line="276" w:lineRule="auto"/>
                              <w:rPr>
                                <w:rFonts w:asciiTheme="majorHAnsi" w:hAnsiTheme="majorHAnsi" w:cs="Arial"/>
                                <w:color w:val="0D0D0D" w:themeColor="text1" w:themeTint="F2"/>
                                <w:szCs w:val="22"/>
                                <w:lang w:val="es-ES_tradnl"/>
                              </w:rPr>
                            </w:pPr>
                            <w:r w:rsidRPr="000932C4">
                              <w:rPr>
                                <w:rFonts w:asciiTheme="majorHAnsi" w:hAnsiTheme="majorHAnsi" w:cs="Arial"/>
                                <w:color w:val="0D0D0D" w:themeColor="text1" w:themeTint="F2"/>
                                <w:szCs w:val="22"/>
                                <w:lang w:val="es-ES_tradnl"/>
                              </w:rPr>
                              <w:t xml:space="preserve">FAMILIA JULIEN - GRISONAS </w:t>
                            </w:r>
                          </w:p>
                          <w:p w14:paraId="60F16FD6" w14:textId="30EF432D" w:rsidR="009624E3" w:rsidRPr="0010736F" w:rsidRDefault="009624E3" w:rsidP="000932C4">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295C5D9A" w14:textId="77777777" w:rsidR="009624E3" w:rsidRPr="00AE5488" w:rsidRDefault="009624E3" w:rsidP="000932C4">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56122"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1D374922" w14:textId="0BD1311B" w:rsidR="009624E3" w:rsidRPr="004E2649" w:rsidRDefault="009624E3" w:rsidP="000932C4">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56/19</w:t>
                      </w:r>
                    </w:p>
                    <w:p w14:paraId="6CFD5997" w14:textId="74BB1004" w:rsidR="009624E3" w:rsidRDefault="009624E3" w:rsidP="000932C4">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CASO 13.392</w:t>
                      </w:r>
                      <w:r w:rsidRPr="004E2649">
                        <w:rPr>
                          <w:rFonts w:asciiTheme="majorHAnsi" w:hAnsiTheme="majorHAnsi" w:cs="Arial"/>
                          <w:b/>
                          <w:color w:val="0D0D0D" w:themeColor="text1" w:themeTint="F2"/>
                          <w:sz w:val="36"/>
                          <w:szCs w:val="22"/>
                          <w:lang w:val="es-ES_tradnl"/>
                        </w:rPr>
                        <w:t xml:space="preserve"> </w:t>
                      </w:r>
                    </w:p>
                    <w:p w14:paraId="4E62F78E" w14:textId="3EBD7F32" w:rsidR="009624E3" w:rsidRPr="0010736F" w:rsidRDefault="009624E3" w:rsidP="000932C4">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10736F">
                        <w:rPr>
                          <w:rFonts w:asciiTheme="majorHAnsi" w:hAnsiTheme="majorHAnsi" w:cs="Arial"/>
                          <w:color w:val="0D0D0D" w:themeColor="text1" w:themeTint="F2"/>
                          <w:szCs w:val="22"/>
                          <w:lang w:val="es-ES_tradnl"/>
                        </w:rPr>
                        <w:t xml:space="preserve">ADMISIBILIDAD </w:t>
                      </w:r>
                      <w:r>
                        <w:rPr>
                          <w:rFonts w:asciiTheme="majorHAnsi" w:hAnsiTheme="majorHAnsi" w:cs="Arial"/>
                          <w:color w:val="0D0D0D" w:themeColor="text1" w:themeTint="F2"/>
                          <w:szCs w:val="22"/>
                          <w:lang w:val="es-ES_tradnl"/>
                        </w:rPr>
                        <w:t>Y FONDO</w:t>
                      </w:r>
                    </w:p>
                    <w:p w14:paraId="45BFEC9C" w14:textId="77777777" w:rsidR="009624E3" w:rsidRPr="0010736F" w:rsidRDefault="009624E3" w:rsidP="000932C4">
                      <w:pPr>
                        <w:spacing w:line="276" w:lineRule="auto"/>
                        <w:rPr>
                          <w:rFonts w:asciiTheme="majorHAnsi" w:hAnsiTheme="majorHAnsi" w:cs="Arial"/>
                          <w:color w:val="0D0D0D" w:themeColor="text1" w:themeTint="F2"/>
                          <w:szCs w:val="22"/>
                          <w:lang w:val="es-ES_tradnl"/>
                        </w:rPr>
                      </w:pPr>
                      <w:bookmarkStart w:id="1" w:name="_ftnref1"/>
                    </w:p>
                    <w:bookmarkEnd w:id="1"/>
                    <w:p w14:paraId="4B1457CB" w14:textId="77777777" w:rsidR="009624E3" w:rsidRDefault="009624E3" w:rsidP="000932C4">
                      <w:pPr>
                        <w:spacing w:line="276" w:lineRule="auto"/>
                        <w:rPr>
                          <w:rFonts w:asciiTheme="majorHAnsi" w:hAnsiTheme="majorHAnsi" w:cs="Arial"/>
                          <w:color w:val="0D0D0D" w:themeColor="text1" w:themeTint="F2"/>
                          <w:szCs w:val="22"/>
                          <w:lang w:val="es-ES_tradnl"/>
                        </w:rPr>
                      </w:pPr>
                      <w:r w:rsidRPr="000932C4">
                        <w:rPr>
                          <w:rFonts w:asciiTheme="majorHAnsi" w:hAnsiTheme="majorHAnsi" w:cs="Arial"/>
                          <w:color w:val="0D0D0D" w:themeColor="text1" w:themeTint="F2"/>
                          <w:szCs w:val="22"/>
                          <w:lang w:val="es-ES_tradnl"/>
                        </w:rPr>
                        <w:t xml:space="preserve">FAMILIA JULIEN - GRISONAS </w:t>
                      </w:r>
                    </w:p>
                    <w:p w14:paraId="60F16FD6" w14:textId="30EF432D" w:rsidR="009624E3" w:rsidRPr="0010736F" w:rsidRDefault="009624E3" w:rsidP="000932C4">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295C5D9A" w14:textId="77777777" w:rsidR="009624E3" w:rsidRPr="00AE5488" w:rsidRDefault="009624E3" w:rsidP="000932C4">
                      <w:pPr>
                        <w:rPr>
                          <w:color w:val="0D0D0D" w:themeColor="text1" w:themeTint="F2"/>
                          <w:lang w:val="es-ES_tradnl"/>
                        </w:rPr>
                      </w:pPr>
                    </w:p>
                  </w:txbxContent>
                </v:textbox>
              </v:shape>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5F3A3F76" wp14:editId="58A183FB">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7FEF98" w14:textId="2D7ECE3F" w:rsidR="009624E3" w:rsidRPr="00E904A1" w:rsidRDefault="009624E3" w:rsidP="000932C4">
                            <w:pPr>
                              <w:spacing w:line="276" w:lineRule="auto"/>
                              <w:jc w:val="right"/>
                              <w:rPr>
                                <w:rFonts w:asciiTheme="minorHAnsi" w:hAnsiTheme="minorHAnsi"/>
                                <w:color w:val="FFFFFF" w:themeColor="background1"/>
                                <w:sz w:val="22"/>
                                <w:lang w:val="pt-BR"/>
                              </w:rPr>
                            </w:pPr>
                            <w:r w:rsidRPr="00E904A1">
                              <w:rPr>
                                <w:rFonts w:asciiTheme="minorHAnsi" w:hAnsiTheme="minorHAnsi"/>
                                <w:color w:val="FFFFFF" w:themeColor="background1"/>
                                <w:sz w:val="22"/>
                                <w:lang w:val="pt-BR"/>
                              </w:rPr>
                              <w:t>OEA/Ser.L/V/II.172</w:t>
                            </w:r>
                          </w:p>
                          <w:p w14:paraId="1C179075" w14:textId="47F3DFAF" w:rsidR="009624E3" w:rsidRPr="00E904A1" w:rsidRDefault="009624E3" w:rsidP="000932C4">
                            <w:pPr>
                              <w:spacing w:line="276" w:lineRule="auto"/>
                              <w:jc w:val="right"/>
                              <w:rPr>
                                <w:rFonts w:asciiTheme="minorHAnsi" w:hAnsiTheme="minorHAnsi"/>
                                <w:color w:val="FFFFFF" w:themeColor="background1"/>
                                <w:sz w:val="22"/>
                                <w:lang w:val="pt-BR"/>
                              </w:rPr>
                            </w:pPr>
                            <w:r w:rsidRPr="00E904A1">
                              <w:rPr>
                                <w:rFonts w:asciiTheme="minorHAnsi" w:hAnsiTheme="minorHAnsi"/>
                                <w:color w:val="FFFFFF" w:themeColor="background1"/>
                                <w:sz w:val="22"/>
                                <w:lang w:val="pt-BR"/>
                              </w:rPr>
                              <w:t>Doc. 65</w:t>
                            </w:r>
                          </w:p>
                          <w:p w14:paraId="4F0DA41B" w14:textId="6F24A39B" w:rsidR="009624E3" w:rsidRPr="007B6EA0" w:rsidRDefault="009624E3" w:rsidP="000932C4">
                            <w:pPr>
                              <w:spacing w:line="276" w:lineRule="auto"/>
                              <w:jc w:val="right"/>
                              <w:rPr>
                                <w:rFonts w:asciiTheme="minorHAnsi" w:hAnsiTheme="minorHAnsi"/>
                                <w:color w:val="FFFFFF" w:themeColor="background1"/>
                                <w:sz w:val="22"/>
                                <w:lang w:val="es-ES"/>
                              </w:rPr>
                            </w:pPr>
                            <w:r w:rsidRPr="007B6EA0">
                              <w:rPr>
                                <w:rFonts w:asciiTheme="minorHAnsi" w:hAnsiTheme="minorHAnsi"/>
                                <w:color w:val="FFFFFF" w:themeColor="background1"/>
                                <w:sz w:val="22"/>
                                <w:lang w:val="es-ES"/>
                              </w:rPr>
                              <w:t>4 mayo 2019</w:t>
                            </w:r>
                          </w:p>
                          <w:p w14:paraId="595D8436" w14:textId="77777777" w:rsidR="009624E3" w:rsidRPr="007B6EA0" w:rsidRDefault="009624E3" w:rsidP="000932C4">
                            <w:pPr>
                              <w:spacing w:line="276" w:lineRule="auto"/>
                              <w:jc w:val="right"/>
                              <w:rPr>
                                <w:rFonts w:asciiTheme="minorHAnsi" w:hAnsiTheme="minorHAnsi"/>
                                <w:color w:val="FFFFFF" w:themeColor="background1"/>
                                <w:sz w:val="22"/>
                                <w:lang w:val="es-ES"/>
                              </w:rPr>
                            </w:pPr>
                            <w:r w:rsidRPr="007B6EA0">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A3F76"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597FEF98" w14:textId="2D7ECE3F" w:rsidR="009624E3" w:rsidRPr="00E904A1" w:rsidRDefault="009624E3" w:rsidP="000932C4">
                      <w:pPr>
                        <w:spacing w:line="276" w:lineRule="auto"/>
                        <w:jc w:val="right"/>
                        <w:rPr>
                          <w:rFonts w:asciiTheme="minorHAnsi" w:hAnsiTheme="minorHAnsi"/>
                          <w:color w:val="FFFFFF" w:themeColor="background1"/>
                          <w:sz w:val="22"/>
                          <w:lang w:val="pt-BR"/>
                        </w:rPr>
                      </w:pPr>
                      <w:r w:rsidRPr="00E904A1">
                        <w:rPr>
                          <w:rFonts w:asciiTheme="minorHAnsi" w:hAnsiTheme="minorHAnsi"/>
                          <w:color w:val="FFFFFF" w:themeColor="background1"/>
                          <w:sz w:val="22"/>
                          <w:lang w:val="pt-BR"/>
                        </w:rPr>
                        <w:t>OEA/Ser.L/V/II.172</w:t>
                      </w:r>
                    </w:p>
                    <w:p w14:paraId="1C179075" w14:textId="47F3DFAF" w:rsidR="009624E3" w:rsidRPr="00E904A1" w:rsidRDefault="009624E3" w:rsidP="000932C4">
                      <w:pPr>
                        <w:spacing w:line="276" w:lineRule="auto"/>
                        <w:jc w:val="right"/>
                        <w:rPr>
                          <w:rFonts w:asciiTheme="minorHAnsi" w:hAnsiTheme="minorHAnsi"/>
                          <w:color w:val="FFFFFF" w:themeColor="background1"/>
                          <w:sz w:val="22"/>
                          <w:lang w:val="pt-BR"/>
                        </w:rPr>
                      </w:pPr>
                      <w:r w:rsidRPr="00E904A1">
                        <w:rPr>
                          <w:rFonts w:asciiTheme="minorHAnsi" w:hAnsiTheme="minorHAnsi"/>
                          <w:color w:val="FFFFFF" w:themeColor="background1"/>
                          <w:sz w:val="22"/>
                          <w:lang w:val="pt-BR"/>
                        </w:rPr>
                        <w:t>Doc. 65</w:t>
                      </w:r>
                    </w:p>
                    <w:p w14:paraId="4F0DA41B" w14:textId="6F24A39B" w:rsidR="009624E3" w:rsidRPr="007B6EA0" w:rsidRDefault="009624E3" w:rsidP="000932C4">
                      <w:pPr>
                        <w:spacing w:line="276" w:lineRule="auto"/>
                        <w:jc w:val="right"/>
                        <w:rPr>
                          <w:rFonts w:asciiTheme="minorHAnsi" w:hAnsiTheme="minorHAnsi"/>
                          <w:color w:val="FFFFFF" w:themeColor="background1"/>
                          <w:sz w:val="22"/>
                          <w:lang w:val="es-ES"/>
                        </w:rPr>
                      </w:pPr>
                      <w:r w:rsidRPr="007B6EA0">
                        <w:rPr>
                          <w:rFonts w:asciiTheme="minorHAnsi" w:hAnsiTheme="minorHAnsi"/>
                          <w:color w:val="FFFFFF" w:themeColor="background1"/>
                          <w:sz w:val="22"/>
                          <w:lang w:val="es-ES"/>
                        </w:rPr>
                        <w:t>4 mayo 2019</w:t>
                      </w:r>
                    </w:p>
                    <w:p w14:paraId="595D8436" w14:textId="77777777" w:rsidR="009624E3" w:rsidRPr="007B6EA0" w:rsidRDefault="009624E3" w:rsidP="000932C4">
                      <w:pPr>
                        <w:spacing w:line="276" w:lineRule="auto"/>
                        <w:jc w:val="right"/>
                        <w:rPr>
                          <w:rFonts w:asciiTheme="minorHAnsi" w:hAnsiTheme="minorHAnsi"/>
                          <w:color w:val="FFFFFF" w:themeColor="background1"/>
                          <w:sz w:val="22"/>
                          <w:lang w:val="es-ES"/>
                        </w:rPr>
                      </w:pPr>
                      <w:r w:rsidRPr="007B6EA0">
                        <w:rPr>
                          <w:rFonts w:asciiTheme="minorHAnsi" w:hAnsiTheme="minorHAnsi"/>
                          <w:color w:val="FFFFFF" w:themeColor="background1"/>
                          <w:sz w:val="22"/>
                          <w:lang w:val="es-ES"/>
                        </w:rPr>
                        <w:t>Original: español</w:t>
                      </w:r>
                    </w:p>
                  </w:txbxContent>
                </v:textbox>
              </v:shape>
            </w:pict>
          </mc:Fallback>
        </mc:AlternateContent>
      </w:r>
    </w:p>
    <w:p w14:paraId="1125DE4D" w14:textId="77777777" w:rsidR="000932C4" w:rsidRPr="0090270B" w:rsidRDefault="000932C4" w:rsidP="000932C4">
      <w:pPr>
        <w:tabs>
          <w:tab w:val="center" w:pos="5400"/>
        </w:tabs>
        <w:suppressAutoHyphens/>
        <w:jc w:val="center"/>
        <w:rPr>
          <w:rFonts w:asciiTheme="majorHAnsi" w:hAnsiTheme="majorHAnsi"/>
          <w:sz w:val="22"/>
          <w:szCs w:val="22"/>
          <w:lang w:val="es-ES_tradnl"/>
        </w:rPr>
      </w:pPr>
    </w:p>
    <w:p w14:paraId="74CDEC36" w14:textId="77777777" w:rsidR="000932C4" w:rsidRPr="0090270B" w:rsidRDefault="000932C4" w:rsidP="000932C4">
      <w:pPr>
        <w:tabs>
          <w:tab w:val="center" w:pos="5400"/>
        </w:tabs>
        <w:suppressAutoHyphens/>
        <w:jc w:val="center"/>
        <w:rPr>
          <w:rFonts w:asciiTheme="majorHAnsi" w:hAnsiTheme="majorHAnsi"/>
          <w:sz w:val="22"/>
          <w:szCs w:val="22"/>
          <w:lang w:val="es-ES_tradnl"/>
        </w:rPr>
      </w:pPr>
    </w:p>
    <w:p w14:paraId="1AEBD552" w14:textId="77777777" w:rsidR="000932C4" w:rsidRPr="0090270B" w:rsidRDefault="000932C4" w:rsidP="000932C4">
      <w:pPr>
        <w:tabs>
          <w:tab w:val="center" w:pos="5400"/>
        </w:tabs>
        <w:suppressAutoHyphens/>
        <w:jc w:val="center"/>
        <w:rPr>
          <w:rFonts w:asciiTheme="majorHAnsi" w:hAnsiTheme="majorHAnsi" w:cs="Arial"/>
          <w:sz w:val="22"/>
          <w:szCs w:val="22"/>
          <w:lang w:val="es-ES_tradnl"/>
        </w:rPr>
      </w:pPr>
    </w:p>
    <w:p w14:paraId="64636E73" w14:textId="77777777" w:rsidR="000932C4" w:rsidRPr="0090270B" w:rsidRDefault="000932C4" w:rsidP="000932C4">
      <w:pPr>
        <w:tabs>
          <w:tab w:val="center" w:pos="5400"/>
        </w:tabs>
        <w:suppressAutoHyphens/>
        <w:jc w:val="center"/>
        <w:rPr>
          <w:rFonts w:asciiTheme="majorHAnsi" w:hAnsiTheme="majorHAnsi"/>
          <w:sz w:val="22"/>
          <w:szCs w:val="22"/>
          <w:lang w:val="es-ES_tradnl"/>
        </w:rPr>
      </w:pPr>
    </w:p>
    <w:p w14:paraId="55910C71" w14:textId="77777777" w:rsidR="000932C4" w:rsidRPr="0090270B" w:rsidRDefault="000932C4" w:rsidP="000932C4">
      <w:pPr>
        <w:tabs>
          <w:tab w:val="center" w:pos="5400"/>
        </w:tabs>
        <w:suppressAutoHyphens/>
        <w:jc w:val="center"/>
        <w:rPr>
          <w:rFonts w:asciiTheme="majorHAnsi" w:hAnsiTheme="majorHAnsi"/>
          <w:sz w:val="22"/>
          <w:szCs w:val="22"/>
          <w:lang w:val="es-ES_tradnl"/>
        </w:rPr>
      </w:pPr>
    </w:p>
    <w:p w14:paraId="38971CA6" w14:textId="77777777" w:rsidR="000932C4" w:rsidRPr="0090270B" w:rsidRDefault="000932C4" w:rsidP="000932C4">
      <w:pPr>
        <w:tabs>
          <w:tab w:val="center" w:pos="5400"/>
        </w:tabs>
        <w:suppressAutoHyphens/>
        <w:jc w:val="center"/>
        <w:rPr>
          <w:rFonts w:asciiTheme="majorHAnsi" w:hAnsiTheme="majorHAnsi"/>
          <w:sz w:val="22"/>
          <w:szCs w:val="22"/>
          <w:lang w:val="es-ES_tradnl"/>
        </w:rPr>
      </w:pPr>
    </w:p>
    <w:p w14:paraId="1832DEBB" w14:textId="77777777" w:rsidR="000932C4" w:rsidRPr="0090270B" w:rsidRDefault="000932C4" w:rsidP="000932C4">
      <w:pPr>
        <w:tabs>
          <w:tab w:val="center" w:pos="5400"/>
        </w:tabs>
        <w:suppressAutoHyphens/>
        <w:jc w:val="center"/>
        <w:rPr>
          <w:rFonts w:asciiTheme="majorHAnsi" w:hAnsiTheme="majorHAnsi"/>
          <w:sz w:val="22"/>
          <w:szCs w:val="22"/>
          <w:lang w:val="es-ES_tradnl"/>
        </w:rPr>
      </w:pPr>
    </w:p>
    <w:p w14:paraId="729757EA" w14:textId="77777777" w:rsidR="000932C4" w:rsidRPr="0090270B" w:rsidRDefault="000932C4" w:rsidP="000932C4">
      <w:pPr>
        <w:tabs>
          <w:tab w:val="center" w:pos="5400"/>
        </w:tabs>
        <w:suppressAutoHyphens/>
        <w:jc w:val="center"/>
        <w:rPr>
          <w:rFonts w:asciiTheme="majorHAnsi" w:hAnsiTheme="majorHAnsi"/>
          <w:sz w:val="22"/>
          <w:szCs w:val="22"/>
          <w:lang w:val="es-ES_tradnl"/>
        </w:rPr>
      </w:pPr>
    </w:p>
    <w:p w14:paraId="33149DC0" w14:textId="77777777" w:rsidR="000932C4" w:rsidRPr="0090270B" w:rsidRDefault="000932C4" w:rsidP="000932C4">
      <w:pPr>
        <w:tabs>
          <w:tab w:val="center" w:pos="5400"/>
        </w:tabs>
        <w:suppressAutoHyphens/>
        <w:jc w:val="center"/>
        <w:rPr>
          <w:rFonts w:asciiTheme="majorHAnsi" w:hAnsiTheme="majorHAnsi"/>
          <w:sz w:val="22"/>
          <w:szCs w:val="22"/>
          <w:lang w:val="es-ES_tradnl"/>
        </w:rPr>
      </w:pPr>
    </w:p>
    <w:p w14:paraId="38F49E66" w14:textId="77777777" w:rsidR="000932C4" w:rsidRPr="0090270B" w:rsidRDefault="000932C4" w:rsidP="000932C4">
      <w:pPr>
        <w:tabs>
          <w:tab w:val="center" w:pos="5400"/>
        </w:tabs>
        <w:suppressAutoHyphens/>
        <w:jc w:val="center"/>
        <w:rPr>
          <w:rFonts w:asciiTheme="majorHAnsi" w:hAnsiTheme="majorHAnsi"/>
          <w:sz w:val="22"/>
          <w:szCs w:val="22"/>
          <w:lang w:val="es-ES_tradnl"/>
        </w:rPr>
      </w:pPr>
    </w:p>
    <w:p w14:paraId="1B6D8C1E" w14:textId="77777777" w:rsidR="000932C4" w:rsidRPr="0090270B" w:rsidRDefault="000932C4" w:rsidP="000932C4">
      <w:pPr>
        <w:tabs>
          <w:tab w:val="center" w:pos="5400"/>
        </w:tabs>
        <w:suppressAutoHyphens/>
        <w:jc w:val="center"/>
        <w:rPr>
          <w:rFonts w:asciiTheme="majorHAnsi" w:hAnsiTheme="majorHAnsi"/>
          <w:sz w:val="22"/>
          <w:szCs w:val="22"/>
          <w:lang w:val="es-ES_tradnl"/>
        </w:rPr>
      </w:pPr>
    </w:p>
    <w:p w14:paraId="54A5254D" w14:textId="77777777" w:rsidR="000932C4" w:rsidRPr="0090270B" w:rsidRDefault="000932C4" w:rsidP="000932C4">
      <w:pPr>
        <w:tabs>
          <w:tab w:val="center" w:pos="5400"/>
        </w:tabs>
        <w:suppressAutoHyphens/>
        <w:jc w:val="center"/>
        <w:rPr>
          <w:rFonts w:asciiTheme="majorHAnsi" w:hAnsiTheme="majorHAnsi"/>
          <w:sz w:val="22"/>
          <w:szCs w:val="22"/>
          <w:lang w:val="es-ES_tradnl"/>
        </w:rPr>
      </w:pPr>
    </w:p>
    <w:p w14:paraId="5E94E2F9" w14:textId="77777777" w:rsidR="000932C4" w:rsidRPr="0090270B" w:rsidRDefault="000932C4" w:rsidP="000932C4">
      <w:pPr>
        <w:tabs>
          <w:tab w:val="center" w:pos="5400"/>
        </w:tabs>
        <w:suppressAutoHyphens/>
        <w:jc w:val="center"/>
        <w:rPr>
          <w:rFonts w:asciiTheme="majorHAnsi" w:hAnsiTheme="majorHAnsi"/>
          <w:sz w:val="22"/>
          <w:szCs w:val="22"/>
          <w:lang w:val="es-ES_tradnl"/>
        </w:rPr>
      </w:pPr>
    </w:p>
    <w:p w14:paraId="10D448CC" w14:textId="77777777" w:rsidR="000932C4" w:rsidRPr="0090270B" w:rsidRDefault="000932C4" w:rsidP="000932C4">
      <w:pPr>
        <w:tabs>
          <w:tab w:val="center" w:pos="5400"/>
        </w:tabs>
        <w:suppressAutoHyphens/>
        <w:jc w:val="center"/>
        <w:rPr>
          <w:rFonts w:asciiTheme="majorHAnsi" w:hAnsiTheme="majorHAnsi"/>
          <w:sz w:val="22"/>
          <w:szCs w:val="22"/>
          <w:lang w:val="es-ES_tradnl"/>
        </w:rPr>
      </w:pPr>
    </w:p>
    <w:p w14:paraId="3AF96186" w14:textId="77777777" w:rsidR="000932C4" w:rsidRPr="0090270B" w:rsidRDefault="000932C4" w:rsidP="000932C4">
      <w:pPr>
        <w:tabs>
          <w:tab w:val="center" w:pos="5400"/>
        </w:tabs>
        <w:suppressAutoHyphens/>
        <w:jc w:val="center"/>
        <w:rPr>
          <w:rFonts w:asciiTheme="majorHAnsi" w:hAnsiTheme="majorHAnsi"/>
          <w:sz w:val="18"/>
          <w:szCs w:val="22"/>
          <w:lang w:val="es-ES_tradnl"/>
        </w:rPr>
      </w:pPr>
    </w:p>
    <w:p w14:paraId="0C1F19FD" w14:textId="77777777" w:rsidR="000932C4" w:rsidRPr="0090270B" w:rsidRDefault="000932C4" w:rsidP="000932C4">
      <w:pPr>
        <w:tabs>
          <w:tab w:val="center" w:pos="5400"/>
        </w:tabs>
        <w:suppressAutoHyphens/>
        <w:jc w:val="center"/>
        <w:rPr>
          <w:rFonts w:asciiTheme="majorHAnsi" w:hAnsiTheme="majorHAnsi"/>
          <w:sz w:val="18"/>
          <w:szCs w:val="22"/>
          <w:lang w:val="es-ES_tradnl"/>
        </w:rPr>
      </w:pPr>
    </w:p>
    <w:p w14:paraId="2034BD41" w14:textId="77777777" w:rsidR="000932C4" w:rsidRPr="0090270B" w:rsidRDefault="000932C4" w:rsidP="000932C4">
      <w:pPr>
        <w:tabs>
          <w:tab w:val="center" w:pos="5400"/>
        </w:tabs>
        <w:suppressAutoHyphens/>
        <w:jc w:val="center"/>
        <w:rPr>
          <w:rFonts w:asciiTheme="majorHAnsi" w:hAnsiTheme="majorHAnsi"/>
          <w:sz w:val="18"/>
          <w:szCs w:val="22"/>
          <w:lang w:val="es-ES_tradnl"/>
        </w:rPr>
      </w:pPr>
    </w:p>
    <w:p w14:paraId="224D1EE3" w14:textId="77777777" w:rsidR="000932C4" w:rsidRPr="0090270B" w:rsidRDefault="000932C4" w:rsidP="000932C4">
      <w:pPr>
        <w:tabs>
          <w:tab w:val="center" w:pos="5400"/>
        </w:tabs>
        <w:suppressAutoHyphens/>
        <w:jc w:val="center"/>
        <w:rPr>
          <w:rFonts w:asciiTheme="majorHAnsi" w:hAnsiTheme="majorHAnsi"/>
          <w:sz w:val="18"/>
          <w:szCs w:val="22"/>
          <w:lang w:val="es-ES_tradnl"/>
        </w:rPr>
      </w:pPr>
    </w:p>
    <w:p w14:paraId="03A6ADC1" w14:textId="77777777" w:rsidR="000932C4" w:rsidRPr="0090270B" w:rsidRDefault="000932C4" w:rsidP="000932C4">
      <w:pPr>
        <w:tabs>
          <w:tab w:val="center" w:pos="5400"/>
        </w:tabs>
        <w:suppressAutoHyphens/>
        <w:jc w:val="center"/>
        <w:rPr>
          <w:rFonts w:asciiTheme="majorHAnsi" w:hAnsiTheme="majorHAnsi"/>
          <w:sz w:val="18"/>
          <w:szCs w:val="22"/>
          <w:lang w:val="es-ES_tradnl"/>
        </w:rPr>
      </w:pPr>
    </w:p>
    <w:p w14:paraId="2C647CF0" w14:textId="77777777" w:rsidR="000932C4" w:rsidRPr="0090270B" w:rsidRDefault="000932C4" w:rsidP="000932C4">
      <w:pPr>
        <w:tabs>
          <w:tab w:val="center" w:pos="5400"/>
        </w:tabs>
        <w:suppressAutoHyphens/>
        <w:jc w:val="center"/>
        <w:rPr>
          <w:rFonts w:asciiTheme="majorHAnsi" w:hAnsiTheme="majorHAnsi"/>
          <w:sz w:val="18"/>
          <w:szCs w:val="22"/>
          <w:lang w:val="es-ES_tradnl"/>
        </w:rPr>
      </w:pPr>
    </w:p>
    <w:p w14:paraId="2619C307" w14:textId="77777777" w:rsidR="000932C4" w:rsidRPr="0090270B" w:rsidRDefault="000932C4" w:rsidP="000932C4">
      <w:pPr>
        <w:tabs>
          <w:tab w:val="center" w:pos="5400"/>
        </w:tabs>
        <w:suppressAutoHyphens/>
        <w:jc w:val="center"/>
        <w:rPr>
          <w:rFonts w:asciiTheme="majorHAnsi" w:hAnsiTheme="majorHAnsi"/>
          <w:sz w:val="18"/>
          <w:szCs w:val="22"/>
          <w:lang w:val="es-ES_tradnl"/>
        </w:rPr>
      </w:pPr>
    </w:p>
    <w:p w14:paraId="455BB417" w14:textId="77777777" w:rsidR="000932C4" w:rsidRPr="0090270B" w:rsidRDefault="000932C4" w:rsidP="000932C4">
      <w:pPr>
        <w:tabs>
          <w:tab w:val="center" w:pos="5400"/>
        </w:tabs>
        <w:suppressAutoHyphens/>
        <w:jc w:val="center"/>
        <w:rPr>
          <w:rFonts w:asciiTheme="majorHAnsi" w:hAnsiTheme="majorHAnsi"/>
          <w:sz w:val="18"/>
          <w:szCs w:val="22"/>
          <w:lang w:val="es-ES_tradnl"/>
        </w:rPr>
      </w:pPr>
    </w:p>
    <w:p w14:paraId="6A18BA4F" w14:textId="77777777" w:rsidR="000932C4" w:rsidRPr="0090270B" w:rsidRDefault="000932C4" w:rsidP="000932C4">
      <w:pPr>
        <w:tabs>
          <w:tab w:val="center" w:pos="5400"/>
        </w:tabs>
        <w:suppressAutoHyphens/>
        <w:jc w:val="center"/>
        <w:rPr>
          <w:rFonts w:asciiTheme="majorHAnsi" w:hAnsiTheme="majorHAnsi"/>
          <w:sz w:val="18"/>
          <w:szCs w:val="22"/>
          <w:lang w:val="es-ES_tradnl"/>
        </w:rPr>
      </w:pPr>
    </w:p>
    <w:p w14:paraId="51B04E60" w14:textId="77777777" w:rsidR="000932C4" w:rsidRPr="0090270B" w:rsidRDefault="000932C4" w:rsidP="000932C4">
      <w:pPr>
        <w:tabs>
          <w:tab w:val="center" w:pos="5400"/>
        </w:tabs>
        <w:suppressAutoHyphens/>
        <w:jc w:val="center"/>
        <w:rPr>
          <w:rFonts w:asciiTheme="majorHAnsi" w:hAnsiTheme="majorHAnsi"/>
          <w:sz w:val="18"/>
          <w:szCs w:val="22"/>
          <w:lang w:val="es-ES_tradnl"/>
        </w:rPr>
      </w:pPr>
    </w:p>
    <w:p w14:paraId="73BBA55E" w14:textId="77777777" w:rsidR="000932C4" w:rsidRPr="0090270B" w:rsidRDefault="000932C4" w:rsidP="000932C4">
      <w:pPr>
        <w:tabs>
          <w:tab w:val="center" w:pos="5400"/>
        </w:tabs>
        <w:suppressAutoHyphens/>
        <w:jc w:val="center"/>
        <w:rPr>
          <w:rFonts w:asciiTheme="majorHAnsi" w:hAnsiTheme="majorHAnsi"/>
          <w:sz w:val="18"/>
          <w:szCs w:val="22"/>
          <w:lang w:val="es-ES_tradnl"/>
        </w:rPr>
      </w:pPr>
    </w:p>
    <w:p w14:paraId="00C407F4" w14:textId="77777777" w:rsidR="000932C4" w:rsidRPr="0090270B" w:rsidRDefault="000932C4" w:rsidP="000932C4">
      <w:pPr>
        <w:tabs>
          <w:tab w:val="center" w:pos="5400"/>
        </w:tabs>
        <w:suppressAutoHyphens/>
        <w:jc w:val="center"/>
        <w:rPr>
          <w:rFonts w:asciiTheme="majorHAnsi" w:hAnsiTheme="majorHAnsi"/>
          <w:sz w:val="18"/>
          <w:szCs w:val="22"/>
          <w:lang w:val="es-ES_tradnl"/>
        </w:rPr>
      </w:pPr>
    </w:p>
    <w:p w14:paraId="7B71D867" w14:textId="77777777" w:rsidR="000932C4" w:rsidRPr="0090270B" w:rsidRDefault="000932C4" w:rsidP="000932C4">
      <w:pPr>
        <w:tabs>
          <w:tab w:val="center" w:pos="5400"/>
        </w:tabs>
        <w:suppressAutoHyphens/>
        <w:jc w:val="center"/>
        <w:rPr>
          <w:rFonts w:asciiTheme="majorHAnsi" w:hAnsiTheme="majorHAnsi"/>
          <w:sz w:val="18"/>
          <w:szCs w:val="22"/>
          <w:lang w:val="es-ES_tradnl"/>
        </w:rPr>
      </w:pPr>
    </w:p>
    <w:p w14:paraId="5987F389" w14:textId="77777777" w:rsidR="000932C4" w:rsidRPr="0090270B" w:rsidRDefault="000932C4" w:rsidP="000932C4">
      <w:pPr>
        <w:tabs>
          <w:tab w:val="center" w:pos="5400"/>
        </w:tabs>
        <w:suppressAutoHyphens/>
        <w:jc w:val="center"/>
        <w:rPr>
          <w:rFonts w:asciiTheme="majorHAnsi" w:hAnsiTheme="majorHAnsi"/>
          <w:sz w:val="18"/>
          <w:szCs w:val="22"/>
          <w:lang w:val="es-ES_tradnl"/>
        </w:rPr>
      </w:pPr>
    </w:p>
    <w:p w14:paraId="4F96A769" w14:textId="77777777" w:rsidR="000932C4" w:rsidRPr="0090270B" w:rsidRDefault="000932C4" w:rsidP="000932C4">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47512686" wp14:editId="0F3FC391">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AAF0CB" w14:textId="3908F461" w:rsidR="009624E3" w:rsidRPr="00890650" w:rsidRDefault="009624E3" w:rsidP="000932C4">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Pr>
                                <w:rFonts w:asciiTheme="majorHAnsi" w:hAnsiTheme="majorHAnsi"/>
                                <w:color w:val="0D0D0D" w:themeColor="text1" w:themeTint="F2"/>
                                <w:sz w:val="18"/>
                                <w:szCs w:val="20"/>
                                <w:lang w:val="es-ES"/>
                              </w:rPr>
                              <w:t>2150</w:t>
                            </w:r>
                            <w:r w:rsidRPr="00890650">
                              <w:rPr>
                                <w:rFonts w:asciiTheme="majorHAnsi" w:hAnsiTheme="majorHAnsi"/>
                                <w:color w:val="0D0D0D" w:themeColor="text1" w:themeTint="F2"/>
                                <w:sz w:val="18"/>
                                <w:szCs w:val="20"/>
                                <w:lang w:val="es-ES"/>
                              </w:rPr>
                              <w:t xml:space="preserve"> celebrada el </w:t>
                            </w:r>
                            <w:r>
                              <w:rPr>
                                <w:rFonts w:asciiTheme="majorHAnsi" w:hAnsiTheme="majorHAnsi"/>
                                <w:color w:val="0D0D0D" w:themeColor="text1" w:themeTint="F2"/>
                                <w:sz w:val="18"/>
                                <w:szCs w:val="20"/>
                                <w:lang w:val="es-ES"/>
                              </w:rPr>
                              <w:t>4</w:t>
                            </w:r>
                            <w:r w:rsidRPr="00890650">
                              <w:rPr>
                                <w:rFonts w:asciiTheme="majorHAnsi" w:hAnsiTheme="majorHAnsi"/>
                                <w:color w:val="0D0D0D" w:themeColor="text1" w:themeTint="F2"/>
                                <w:sz w:val="18"/>
                                <w:szCs w:val="20"/>
                                <w:lang w:val="es-ES"/>
                              </w:rPr>
                              <w:t xml:space="preserve"> de </w:t>
                            </w:r>
                            <w:r>
                              <w:rPr>
                                <w:rFonts w:asciiTheme="majorHAnsi" w:hAnsiTheme="majorHAnsi"/>
                                <w:color w:val="0D0D0D" w:themeColor="text1" w:themeTint="F2"/>
                                <w:sz w:val="18"/>
                                <w:szCs w:val="20"/>
                                <w:lang w:val="es-ES"/>
                              </w:rPr>
                              <w:t>mayo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9</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_tradnl"/>
                              </w:rPr>
                              <w:t>172</w:t>
                            </w:r>
                            <w:r w:rsidRPr="00890650">
                              <w:rPr>
                                <w:rFonts w:asciiTheme="majorHAnsi" w:hAnsiTheme="majorHAnsi" w:cs="Univers"/>
                                <w:color w:val="0D0D0D" w:themeColor="text1" w:themeTint="F2"/>
                                <w:sz w:val="18"/>
                                <w:szCs w:val="20"/>
                                <w:lang w:val="es-ES_tradnl"/>
                              </w:rPr>
                              <w:t xml:space="preserve"> </w:t>
                            </w:r>
                            <w:r>
                              <w:rPr>
                                <w:rFonts w:asciiTheme="majorHAnsi" w:hAnsiTheme="majorHAnsi" w:cs="Univers"/>
                                <w:color w:val="0D0D0D" w:themeColor="text1" w:themeTint="F2"/>
                                <w:sz w:val="18"/>
                                <w:szCs w:val="20"/>
                                <w:lang w:val="es-ES_tradnl"/>
                              </w:rPr>
                              <w:t>P</w:t>
                            </w:r>
                            <w:r w:rsidRPr="00890650">
                              <w:rPr>
                                <w:rFonts w:asciiTheme="majorHAnsi" w:hAnsiTheme="majorHAnsi" w:cs="Univers"/>
                                <w:color w:val="0D0D0D" w:themeColor="text1" w:themeTint="F2"/>
                                <w:sz w:val="18"/>
                                <w:szCs w:val="20"/>
                                <w:lang w:val="es-ES_tradnl"/>
                              </w:rPr>
                              <w:t xml:space="preserve">eríodo </w:t>
                            </w:r>
                            <w:r>
                              <w:rPr>
                                <w:rFonts w:asciiTheme="majorHAnsi" w:hAnsiTheme="majorHAnsi" w:cs="Univers"/>
                                <w:color w:val="0D0D0D" w:themeColor="text1" w:themeTint="F2"/>
                                <w:sz w:val="18"/>
                                <w:szCs w:val="20"/>
                                <w:lang w:val="es-ES_tradnl"/>
                              </w:rPr>
                              <w:t>Extraordinario de S</w:t>
                            </w:r>
                            <w:r w:rsidRPr="00890650">
                              <w:rPr>
                                <w:rFonts w:asciiTheme="majorHAnsi" w:hAnsiTheme="majorHAnsi" w:cs="Univers"/>
                                <w:color w:val="0D0D0D" w:themeColor="text1" w:themeTint="F2"/>
                                <w:sz w:val="18"/>
                                <w:szCs w:val="20"/>
                                <w:lang w:val="es-ES_tradnl"/>
                              </w:rPr>
                              <w:t>esiones</w:t>
                            </w:r>
                          </w:p>
                          <w:p w14:paraId="6FF2C7FD" w14:textId="77777777" w:rsidR="009624E3" w:rsidRPr="007A5817" w:rsidRDefault="009624E3" w:rsidP="000932C4">
                            <w:pPr>
                              <w:tabs>
                                <w:tab w:val="center" w:pos="5400"/>
                              </w:tabs>
                              <w:suppressAutoHyphens/>
                              <w:spacing w:before="60"/>
                              <w:rPr>
                                <w:rFonts w:asciiTheme="minorHAnsi" w:hAnsiTheme="minorHAnsi" w:cs="Univers"/>
                                <w:color w:val="0D0D0D" w:themeColor="text1" w:themeTint="F2"/>
                                <w:sz w:val="20"/>
                                <w:szCs w:val="20"/>
                                <w:lang w:val="es-ES"/>
                              </w:rPr>
                            </w:pPr>
                          </w:p>
                          <w:p w14:paraId="4FEF296C" w14:textId="77777777" w:rsidR="009624E3" w:rsidRPr="00167A34" w:rsidRDefault="009624E3" w:rsidP="000932C4">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12686"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40AAF0CB" w14:textId="3908F461" w:rsidR="009624E3" w:rsidRPr="00890650" w:rsidRDefault="009624E3" w:rsidP="000932C4">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Pr>
                          <w:rFonts w:asciiTheme="majorHAnsi" w:hAnsiTheme="majorHAnsi"/>
                          <w:color w:val="0D0D0D" w:themeColor="text1" w:themeTint="F2"/>
                          <w:sz w:val="18"/>
                          <w:szCs w:val="20"/>
                          <w:lang w:val="es-ES"/>
                        </w:rPr>
                        <w:t>2150</w:t>
                      </w:r>
                      <w:r w:rsidRPr="00890650">
                        <w:rPr>
                          <w:rFonts w:asciiTheme="majorHAnsi" w:hAnsiTheme="majorHAnsi"/>
                          <w:color w:val="0D0D0D" w:themeColor="text1" w:themeTint="F2"/>
                          <w:sz w:val="18"/>
                          <w:szCs w:val="20"/>
                          <w:lang w:val="es-ES"/>
                        </w:rPr>
                        <w:t xml:space="preserve"> celebrada el </w:t>
                      </w:r>
                      <w:r>
                        <w:rPr>
                          <w:rFonts w:asciiTheme="majorHAnsi" w:hAnsiTheme="majorHAnsi"/>
                          <w:color w:val="0D0D0D" w:themeColor="text1" w:themeTint="F2"/>
                          <w:sz w:val="18"/>
                          <w:szCs w:val="20"/>
                          <w:lang w:val="es-ES"/>
                        </w:rPr>
                        <w:t>4</w:t>
                      </w:r>
                      <w:r w:rsidRPr="00890650">
                        <w:rPr>
                          <w:rFonts w:asciiTheme="majorHAnsi" w:hAnsiTheme="majorHAnsi"/>
                          <w:color w:val="0D0D0D" w:themeColor="text1" w:themeTint="F2"/>
                          <w:sz w:val="18"/>
                          <w:szCs w:val="20"/>
                          <w:lang w:val="es-ES"/>
                        </w:rPr>
                        <w:t xml:space="preserve"> de </w:t>
                      </w:r>
                      <w:r>
                        <w:rPr>
                          <w:rFonts w:asciiTheme="majorHAnsi" w:hAnsiTheme="majorHAnsi"/>
                          <w:color w:val="0D0D0D" w:themeColor="text1" w:themeTint="F2"/>
                          <w:sz w:val="18"/>
                          <w:szCs w:val="20"/>
                          <w:lang w:val="es-ES"/>
                        </w:rPr>
                        <w:t>mayo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9</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_tradnl"/>
                        </w:rPr>
                        <w:t>172</w:t>
                      </w:r>
                      <w:r w:rsidRPr="00890650">
                        <w:rPr>
                          <w:rFonts w:asciiTheme="majorHAnsi" w:hAnsiTheme="majorHAnsi" w:cs="Univers"/>
                          <w:color w:val="0D0D0D" w:themeColor="text1" w:themeTint="F2"/>
                          <w:sz w:val="18"/>
                          <w:szCs w:val="20"/>
                          <w:lang w:val="es-ES_tradnl"/>
                        </w:rPr>
                        <w:t xml:space="preserve"> </w:t>
                      </w:r>
                      <w:r>
                        <w:rPr>
                          <w:rFonts w:asciiTheme="majorHAnsi" w:hAnsiTheme="majorHAnsi" w:cs="Univers"/>
                          <w:color w:val="0D0D0D" w:themeColor="text1" w:themeTint="F2"/>
                          <w:sz w:val="18"/>
                          <w:szCs w:val="20"/>
                          <w:lang w:val="es-ES_tradnl"/>
                        </w:rPr>
                        <w:t>P</w:t>
                      </w:r>
                      <w:r w:rsidRPr="00890650">
                        <w:rPr>
                          <w:rFonts w:asciiTheme="majorHAnsi" w:hAnsiTheme="majorHAnsi" w:cs="Univers"/>
                          <w:color w:val="0D0D0D" w:themeColor="text1" w:themeTint="F2"/>
                          <w:sz w:val="18"/>
                          <w:szCs w:val="20"/>
                          <w:lang w:val="es-ES_tradnl"/>
                        </w:rPr>
                        <w:t xml:space="preserve">eríodo </w:t>
                      </w:r>
                      <w:r>
                        <w:rPr>
                          <w:rFonts w:asciiTheme="majorHAnsi" w:hAnsiTheme="majorHAnsi" w:cs="Univers"/>
                          <w:color w:val="0D0D0D" w:themeColor="text1" w:themeTint="F2"/>
                          <w:sz w:val="18"/>
                          <w:szCs w:val="20"/>
                          <w:lang w:val="es-ES_tradnl"/>
                        </w:rPr>
                        <w:t>Extraordinario de S</w:t>
                      </w:r>
                      <w:r w:rsidRPr="00890650">
                        <w:rPr>
                          <w:rFonts w:asciiTheme="majorHAnsi" w:hAnsiTheme="majorHAnsi" w:cs="Univers"/>
                          <w:color w:val="0D0D0D" w:themeColor="text1" w:themeTint="F2"/>
                          <w:sz w:val="18"/>
                          <w:szCs w:val="20"/>
                          <w:lang w:val="es-ES_tradnl"/>
                        </w:rPr>
                        <w:t>esiones</w:t>
                      </w:r>
                    </w:p>
                    <w:p w14:paraId="6FF2C7FD" w14:textId="77777777" w:rsidR="009624E3" w:rsidRPr="007A5817" w:rsidRDefault="009624E3" w:rsidP="000932C4">
                      <w:pPr>
                        <w:tabs>
                          <w:tab w:val="center" w:pos="5400"/>
                        </w:tabs>
                        <w:suppressAutoHyphens/>
                        <w:spacing w:before="60"/>
                        <w:rPr>
                          <w:rFonts w:asciiTheme="minorHAnsi" w:hAnsiTheme="minorHAnsi" w:cs="Univers"/>
                          <w:color w:val="0D0D0D" w:themeColor="text1" w:themeTint="F2"/>
                          <w:sz w:val="20"/>
                          <w:szCs w:val="20"/>
                          <w:lang w:val="es-ES"/>
                        </w:rPr>
                      </w:pPr>
                    </w:p>
                    <w:p w14:paraId="4FEF296C" w14:textId="77777777" w:rsidR="009624E3" w:rsidRPr="00167A34" w:rsidRDefault="009624E3" w:rsidP="000932C4">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61A13C69" w14:textId="77777777" w:rsidR="000932C4" w:rsidRPr="0090270B" w:rsidRDefault="000932C4" w:rsidP="000932C4">
      <w:pPr>
        <w:tabs>
          <w:tab w:val="center" w:pos="5400"/>
        </w:tabs>
        <w:suppressAutoHyphens/>
        <w:jc w:val="center"/>
        <w:rPr>
          <w:rFonts w:asciiTheme="majorHAnsi" w:hAnsiTheme="majorHAnsi"/>
          <w:sz w:val="18"/>
          <w:szCs w:val="22"/>
          <w:lang w:val="es-ES_tradnl"/>
        </w:rPr>
      </w:pPr>
    </w:p>
    <w:p w14:paraId="01977D1D" w14:textId="77777777" w:rsidR="000932C4" w:rsidRPr="0090270B" w:rsidRDefault="000932C4" w:rsidP="000932C4">
      <w:pPr>
        <w:tabs>
          <w:tab w:val="center" w:pos="5400"/>
        </w:tabs>
        <w:suppressAutoHyphens/>
        <w:jc w:val="center"/>
        <w:rPr>
          <w:rFonts w:asciiTheme="majorHAnsi" w:hAnsiTheme="majorHAnsi"/>
          <w:sz w:val="18"/>
          <w:szCs w:val="22"/>
          <w:lang w:val="es-ES_tradnl"/>
        </w:rPr>
      </w:pPr>
    </w:p>
    <w:p w14:paraId="2BA76368" w14:textId="77777777" w:rsidR="000932C4" w:rsidRPr="0090270B" w:rsidRDefault="000932C4" w:rsidP="000932C4">
      <w:pPr>
        <w:tabs>
          <w:tab w:val="center" w:pos="5400"/>
        </w:tabs>
        <w:suppressAutoHyphens/>
        <w:jc w:val="center"/>
        <w:rPr>
          <w:rFonts w:asciiTheme="majorHAnsi" w:hAnsiTheme="majorHAnsi"/>
          <w:sz w:val="18"/>
          <w:szCs w:val="22"/>
          <w:lang w:val="es-ES_tradnl"/>
        </w:rPr>
      </w:pPr>
    </w:p>
    <w:p w14:paraId="4F9D4427" w14:textId="77777777" w:rsidR="000932C4" w:rsidRPr="0090270B" w:rsidRDefault="000932C4" w:rsidP="000932C4">
      <w:pPr>
        <w:tabs>
          <w:tab w:val="center" w:pos="5400"/>
        </w:tabs>
        <w:suppressAutoHyphens/>
        <w:jc w:val="center"/>
        <w:rPr>
          <w:rFonts w:asciiTheme="majorHAnsi" w:hAnsiTheme="majorHAnsi"/>
          <w:sz w:val="18"/>
          <w:szCs w:val="22"/>
          <w:lang w:val="es-ES_tradnl"/>
        </w:rPr>
      </w:pPr>
    </w:p>
    <w:p w14:paraId="5F4C7A6C" w14:textId="77777777" w:rsidR="000932C4" w:rsidRPr="0090270B" w:rsidRDefault="000932C4" w:rsidP="000932C4">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64384" behindDoc="0" locked="0" layoutInCell="1" allowOverlap="1" wp14:anchorId="1C3E3FD6" wp14:editId="1B23A4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990292" w14:textId="3FB18469" w:rsidR="009624E3" w:rsidRPr="007B05C4" w:rsidRDefault="009624E3" w:rsidP="000932C4">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Pr>
                                <w:rFonts w:asciiTheme="majorHAnsi" w:hAnsiTheme="majorHAnsi"/>
                                <w:color w:val="595959" w:themeColor="text1" w:themeTint="A6"/>
                                <w:sz w:val="18"/>
                                <w:szCs w:val="18"/>
                                <w:lang w:val="pt-BR"/>
                              </w:rPr>
                              <w:t xml:space="preserve"> </w:t>
                            </w:r>
                            <w:r w:rsidRPr="00AE1D72">
                              <w:rPr>
                                <w:rFonts w:asciiTheme="majorHAnsi" w:hAnsiTheme="majorHAnsi"/>
                                <w:color w:val="595959" w:themeColor="text1" w:themeTint="A6"/>
                                <w:sz w:val="18"/>
                                <w:szCs w:val="18"/>
                                <w:lang w:val="pt-BR"/>
                              </w:rPr>
                              <w:t xml:space="preserve">56/19. </w:t>
                            </w:r>
                            <w:r>
                              <w:rPr>
                                <w:rFonts w:asciiTheme="majorHAnsi" w:hAnsiTheme="majorHAnsi"/>
                                <w:color w:val="595959" w:themeColor="text1" w:themeTint="A6"/>
                                <w:sz w:val="18"/>
                                <w:szCs w:val="18"/>
                                <w:lang w:val="es-ES_tradnl"/>
                              </w:rPr>
                              <w:t>Caso 13.392</w:t>
                            </w:r>
                            <w:r>
                              <w:rPr>
                                <w:rFonts w:asciiTheme="majorHAnsi" w:hAnsiTheme="majorHAnsi"/>
                                <w:color w:val="595959" w:themeColor="text1" w:themeTint="A6"/>
                                <w:sz w:val="18"/>
                                <w:szCs w:val="18"/>
                                <w:lang w:val="es-ES"/>
                              </w:rPr>
                              <w:t xml:space="preserve">. </w:t>
                            </w:r>
                            <w:r>
                              <w:rPr>
                                <w:rFonts w:asciiTheme="majorHAnsi" w:hAnsiTheme="majorHAnsi"/>
                                <w:color w:val="595959" w:themeColor="text1" w:themeTint="A6"/>
                                <w:sz w:val="18"/>
                                <w:szCs w:val="18"/>
                                <w:lang w:val="es-ES_tradnl"/>
                              </w:rPr>
                              <w:t xml:space="preserve">Admisibilidad y fondo. </w:t>
                            </w:r>
                            <w:r w:rsidRPr="000932C4">
                              <w:rPr>
                                <w:rFonts w:asciiTheme="majorHAnsi" w:hAnsiTheme="majorHAnsi"/>
                                <w:color w:val="595959" w:themeColor="text1" w:themeTint="A6"/>
                                <w:sz w:val="18"/>
                                <w:szCs w:val="18"/>
                                <w:lang w:val="es-ES_tradnl"/>
                              </w:rPr>
                              <w:t>Familia Julien - Grisonas</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
                              </w:rPr>
                              <w:t>4 de mayo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E3FD6"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31990292" w14:textId="3FB18469" w:rsidR="009624E3" w:rsidRPr="007B05C4" w:rsidRDefault="009624E3" w:rsidP="000932C4">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Pr>
                          <w:rFonts w:asciiTheme="majorHAnsi" w:hAnsiTheme="majorHAnsi"/>
                          <w:color w:val="595959" w:themeColor="text1" w:themeTint="A6"/>
                          <w:sz w:val="18"/>
                          <w:szCs w:val="18"/>
                          <w:lang w:val="pt-BR"/>
                        </w:rPr>
                        <w:t xml:space="preserve"> </w:t>
                      </w:r>
                      <w:r w:rsidRPr="00AE1D72">
                        <w:rPr>
                          <w:rFonts w:asciiTheme="majorHAnsi" w:hAnsiTheme="majorHAnsi"/>
                          <w:color w:val="595959" w:themeColor="text1" w:themeTint="A6"/>
                          <w:sz w:val="18"/>
                          <w:szCs w:val="18"/>
                          <w:lang w:val="pt-BR"/>
                        </w:rPr>
                        <w:t xml:space="preserve">56/19. </w:t>
                      </w:r>
                      <w:r>
                        <w:rPr>
                          <w:rFonts w:asciiTheme="majorHAnsi" w:hAnsiTheme="majorHAnsi"/>
                          <w:color w:val="595959" w:themeColor="text1" w:themeTint="A6"/>
                          <w:sz w:val="18"/>
                          <w:szCs w:val="18"/>
                          <w:lang w:val="es-ES_tradnl"/>
                        </w:rPr>
                        <w:t>Caso 13.392</w:t>
                      </w:r>
                      <w:r>
                        <w:rPr>
                          <w:rFonts w:asciiTheme="majorHAnsi" w:hAnsiTheme="majorHAnsi"/>
                          <w:color w:val="595959" w:themeColor="text1" w:themeTint="A6"/>
                          <w:sz w:val="18"/>
                          <w:szCs w:val="18"/>
                          <w:lang w:val="es-ES"/>
                        </w:rPr>
                        <w:t xml:space="preserve">. </w:t>
                      </w:r>
                      <w:r>
                        <w:rPr>
                          <w:rFonts w:asciiTheme="majorHAnsi" w:hAnsiTheme="majorHAnsi"/>
                          <w:color w:val="595959" w:themeColor="text1" w:themeTint="A6"/>
                          <w:sz w:val="18"/>
                          <w:szCs w:val="18"/>
                          <w:lang w:val="es-ES_tradnl"/>
                        </w:rPr>
                        <w:t xml:space="preserve">Admisibilidad y fondo. </w:t>
                      </w:r>
                      <w:r w:rsidRPr="000932C4">
                        <w:rPr>
                          <w:rFonts w:asciiTheme="majorHAnsi" w:hAnsiTheme="majorHAnsi"/>
                          <w:color w:val="595959" w:themeColor="text1" w:themeTint="A6"/>
                          <w:sz w:val="18"/>
                          <w:szCs w:val="18"/>
                          <w:lang w:val="es-ES_tradnl"/>
                        </w:rPr>
                        <w:t>Familia Julien - Grisonas</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
                        </w:rPr>
                        <w:t>4 de mayo de 2019</w:t>
                      </w:r>
                      <w:r w:rsidRPr="007B05C4">
                        <w:rPr>
                          <w:rFonts w:asciiTheme="majorHAnsi" w:hAnsiTheme="majorHAnsi"/>
                          <w:color w:val="595959" w:themeColor="text1" w:themeTint="A6"/>
                          <w:sz w:val="18"/>
                          <w:szCs w:val="18"/>
                          <w:lang w:val="es-ES"/>
                        </w:rPr>
                        <w:t>.</w:t>
                      </w:r>
                    </w:p>
                  </w:txbxContent>
                </v:textbox>
              </v:shape>
            </w:pict>
          </mc:Fallback>
        </mc:AlternateContent>
      </w:r>
    </w:p>
    <w:p w14:paraId="1401791F" w14:textId="77777777" w:rsidR="000932C4" w:rsidRPr="0090270B" w:rsidRDefault="000932C4" w:rsidP="000932C4">
      <w:pPr>
        <w:tabs>
          <w:tab w:val="center" w:pos="5400"/>
        </w:tabs>
        <w:suppressAutoHyphens/>
        <w:jc w:val="center"/>
        <w:rPr>
          <w:rFonts w:asciiTheme="majorHAnsi" w:hAnsiTheme="majorHAnsi"/>
          <w:sz w:val="18"/>
          <w:szCs w:val="22"/>
          <w:lang w:val="es-ES_tradnl"/>
        </w:rPr>
      </w:pPr>
    </w:p>
    <w:p w14:paraId="179065B8" w14:textId="77777777" w:rsidR="000932C4" w:rsidRDefault="000932C4" w:rsidP="000932C4">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65408" behindDoc="0" locked="0" layoutInCell="1" allowOverlap="1" wp14:anchorId="41584542" wp14:editId="7265CEF6">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666904" w14:textId="77777777" w:rsidR="009624E3" w:rsidRPr="00D72DC6" w:rsidRDefault="009624E3" w:rsidP="000932C4">
                            <w:pPr>
                              <w:rPr>
                                <w:color w:val="FFFFFF" w:themeColor="background1"/>
                                <w14:textFill>
                                  <w14:noFill/>
                                </w14:textFill>
                              </w:rPr>
                            </w:pPr>
                            <w:r w:rsidRPr="00D72DC6">
                              <w:rPr>
                                <w:noProof/>
                                <w:color w:val="FFFFFF" w:themeColor="background1"/>
                                <w14:textFill>
                                  <w14:noFill/>
                                </w14:textFill>
                              </w:rPr>
                              <w:drawing>
                                <wp:inline distT="0" distB="0" distL="0" distR="0" wp14:anchorId="5128F2E3" wp14:editId="2AFADBF0">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84542" id="Text Box 9" o:spid="_x0000_s1031" type="#_x0000_t202" style="position:absolute;left:0;text-align:left;margin-left:104.7pt;margin-top:50.3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04666904" w14:textId="77777777" w:rsidR="009624E3" w:rsidRPr="00D72DC6" w:rsidRDefault="009624E3" w:rsidP="000932C4">
                      <w:pPr>
                        <w:rPr>
                          <w:color w:val="FFFFFF" w:themeColor="background1"/>
                          <w14:textFill>
                            <w14:noFill/>
                          </w14:textFill>
                        </w:rPr>
                      </w:pPr>
                      <w:r w:rsidRPr="00D72DC6">
                        <w:rPr>
                          <w:noProof/>
                          <w:color w:val="FFFFFF" w:themeColor="background1"/>
                          <w14:textFill>
                            <w14:noFill/>
                          </w14:textFill>
                        </w:rPr>
                        <w:drawing>
                          <wp:inline distT="0" distB="0" distL="0" distR="0" wp14:anchorId="5128F2E3" wp14:editId="2AFADBF0">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46C1B957" wp14:editId="10F00FC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D4481F" w14:textId="77777777" w:rsidR="009624E3" w:rsidRPr="004B7EB6" w:rsidRDefault="009624E3" w:rsidP="000932C4">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1B957" id="Text Box 4" o:spid="_x0000_s1032"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4D4481F" w14:textId="77777777" w:rsidR="009624E3" w:rsidRPr="004B7EB6" w:rsidRDefault="009624E3" w:rsidP="000932C4">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99AF3F3" w14:textId="77777777" w:rsidR="000932C4" w:rsidRDefault="000932C4" w:rsidP="000932C4">
      <w:pPr>
        <w:tabs>
          <w:tab w:val="center" w:pos="5400"/>
        </w:tabs>
        <w:suppressAutoHyphens/>
        <w:jc w:val="center"/>
        <w:rPr>
          <w:rFonts w:asciiTheme="majorHAnsi" w:hAnsiTheme="majorHAnsi"/>
          <w:b/>
          <w:sz w:val="20"/>
          <w:lang w:val="es-ES_tradnl"/>
        </w:rPr>
        <w:sectPr w:rsidR="000932C4"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4CDBC7BB" w14:textId="77777777" w:rsidR="00AD46C8" w:rsidRDefault="00AD46C8" w:rsidP="00AD46C8">
      <w:pPr>
        <w:tabs>
          <w:tab w:val="center" w:pos="5400"/>
        </w:tabs>
        <w:suppressAutoHyphens/>
        <w:spacing w:line="276" w:lineRule="auto"/>
        <w:jc w:val="center"/>
        <w:rPr>
          <w:rFonts w:asciiTheme="majorHAnsi" w:hAnsiTheme="majorHAnsi"/>
          <w:b/>
          <w:sz w:val="20"/>
          <w:szCs w:val="20"/>
          <w:lang w:val="es-ES"/>
        </w:rPr>
      </w:pPr>
    </w:p>
    <w:p w14:paraId="3D66EBAB" w14:textId="4E2A6E71" w:rsidR="00206C92" w:rsidRDefault="00AD46C8" w:rsidP="00AD46C8">
      <w:pPr>
        <w:tabs>
          <w:tab w:val="center" w:pos="5400"/>
        </w:tabs>
        <w:suppressAutoHyphens/>
        <w:spacing w:line="276" w:lineRule="auto"/>
        <w:jc w:val="center"/>
        <w:rPr>
          <w:rFonts w:asciiTheme="majorHAnsi" w:hAnsiTheme="majorHAnsi"/>
          <w:b/>
          <w:sz w:val="20"/>
          <w:szCs w:val="20"/>
          <w:lang w:val="es-ES"/>
        </w:rPr>
      </w:pPr>
      <w:r>
        <w:rPr>
          <w:rFonts w:asciiTheme="majorHAnsi" w:hAnsiTheme="majorHAnsi"/>
          <w:b/>
          <w:sz w:val="20"/>
          <w:szCs w:val="20"/>
          <w:lang w:val="es-ES"/>
        </w:rPr>
        <w:t>ÍNDICE</w:t>
      </w:r>
    </w:p>
    <w:p w14:paraId="268A333E" w14:textId="77777777" w:rsidR="00AD46C8" w:rsidRPr="0007034B" w:rsidRDefault="00AD46C8" w:rsidP="00AD46C8">
      <w:pPr>
        <w:tabs>
          <w:tab w:val="center" w:pos="5400"/>
        </w:tabs>
        <w:suppressAutoHyphens/>
        <w:spacing w:line="276" w:lineRule="auto"/>
        <w:jc w:val="center"/>
        <w:rPr>
          <w:rFonts w:asciiTheme="majorHAnsi" w:hAnsiTheme="majorHAnsi"/>
          <w:b/>
          <w:sz w:val="20"/>
          <w:szCs w:val="20"/>
          <w:lang w:val="es-ES"/>
        </w:rPr>
      </w:pPr>
    </w:p>
    <w:p w14:paraId="066CCD15" w14:textId="77777777" w:rsidR="00206C92" w:rsidRDefault="00206C92">
      <w:pPr>
        <w:rPr>
          <w:rFonts w:asciiTheme="majorHAnsi" w:hAnsiTheme="majorHAnsi"/>
          <w:b/>
          <w:sz w:val="20"/>
          <w:szCs w:val="20"/>
          <w:lang w:val="es-ES"/>
        </w:rPr>
      </w:pPr>
    </w:p>
    <w:p w14:paraId="2B115210" w14:textId="77777777" w:rsidR="00206C92" w:rsidRPr="00206C92" w:rsidRDefault="00206C92" w:rsidP="00206C92">
      <w:pPr>
        <w:pStyle w:val="TOC1"/>
        <w:tabs>
          <w:tab w:val="clear" w:pos="1080"/>
          <w:tab w:val="left" w:pos="720"/>
          <w:tab w:val="left" w:pos="1440"/>
        </w:tabs>
        <w:ind w:hanging="720"/>
        <w:rPr>
          <w:rFonts w:eastAsiaTheme="minorEastAsia" w:cstheme="minorBidi"/>
          <w:b w:val="0"/>
          <w:sz w:val="20"/>
          <w:szCs w:val="20"/>
          <w:bdr w:val="none" w:sz="0" w:space="0" w:color="auto"/>
        </w:rPr>
      </w:pPr>
      <w:r w:rsidRPr="00206C92">
        <w:rPr>
          <w:b w:val="0"/>
          <w:sz w:val="20"/>
          <w:szCs w:val="20"/>
          <w:lang w:val="es-ES"/>
        </w:rPr>
        <w:fldChar w:fldCharType="begin"/>
      </w:r>
      <w:r w:rsidRPr="00206C92">
        <w:rPr>
          <w:b w:val="0"/>
          <w:sz w:val="20"/>
          <w:szCs w:val="20"/>
          <w:lang w:val="es-ES"/>
        </w:rPr>
        <w:instrText xml:space="preserve"> TOC \o "1-4" \h \z \u </w:instrText>
      </w:r>
      <w:r w:rsidRPr="00206C92">
        <w:rPr>
          <w:b w:val="0"/>
          <w:sz w:val="20"/>
          <w:szCs w:val="20"/>
          <w:lang w:val="es-ES"/>
        </w:rPr>
        <w:fldChar w:fldCharType="separate"/>
      </w:r>
      <w:hyperlink w:anchor="_Toc6466630" w:history="1">
        <w:r w:rsidRPr="00206C92">
          <w:rPr>
            <w:rStyle w:val="Hyperlink"/>
            <w:sz w:val="20"/>
            <w:szCs w:val="20"/>
          </w:rPr>
          <w:t>I.</w:t>
        </w:r>
        <w:r w:rsidRPr="00206C92">
          <w:rPr>
            <w:rFonts w:eastAsiaTheme="minorEastAsia" w:cstheme="minorBidi"/>
            <w:b w:val="0"/>
            <w:sz w:val="20"/>
            <w:szCs w:val="20"/>
            <w:bdr w:val="none" w:sz="0" w:space="0" w:color="auto"/>
          </w:rPr>
          <w:tab/>
        </w:r>
        <w:r w:rsidRPr="00206C92">
          <w:rPr>
            <w:rStyle w:val="Hyperlink"/>
            <w:sz w:val="20"/>
            <w:szCs w:val="20"/>
          </w:rPr>
          <w:t>INTRODUCCIÓN</w:t>
        </w:r>
        <w:r w:rsidRPr="00206C92">
          <w:rPr>
            <w:webHidden/>
            <w:sz w:val="20"/>
            <w:szCs w:val="20"/>
          </w:rPr>
          <w:tab/>
        </w:r>
        <w:r w:rsidRPr="00206C92">
          <w:rPr>
            <w:webHidden/>
            <w:sz w:val="20"/>
            <w:szCs w:val="20"/>
          </w:rPr>
          <w:fldChar w:fldCharType="begin"/>
        </w:r>
        <w:r w:rsidRPr="00206C92">
          <w:rPr>
            <w:webHidden/>
            <w:sz w:val="20"/>
            <w:szCs w:val="20"/>
          </w:rPr>
          <w:instrText xml:space="preserve"> PAGEREF _Toc6466630 \h </w:instrText>
        </w:r>
        <w:r w:rsidRPr="00206C92">
          <w:rPr>
            <w:webHidden/>
            <w:sz w:val="20"/>
            <w:szCs w:val="20"/>
          </w:rPr>
        </w:r>
        <w:r w:rsidRPr="00206C92">
          <w:rPr>
            <w:webHidden/>
            <w:sz w:val="20"/>
            <w:szCs w:val="20"/>
          </w:rPr>
          <w:fldChar w:fldCharType="separate"/>
        </w:r>
        <w:r w:rsidR="003D3644">
          <w:rPr>
            <w:webHidden/>
            <w:sz w:val="20"/>
            <w:szCs w:val="20"/>
          </w:rPr>
          <w:t>3</w:t>
        </w:r>
        <w:r w:rsidRPr="00206C92">
          <w:rPr>
            <w:webHidden/>
            <w:sz w:val="20"/>
            <w:szCs w:val="20"/>
          </w:rPr>
          <w:fldChar w:fldCharType="end"/>
        </w:r>
      </w:hyperlink>
    </w:p>
    <w:p w14:paraId="5286006F" w14:textId="77777777" w:rsidR="00206C92" w:rsidRPr="00206C92" w:rsidRDefault="009624E3" w:rsidP="00206C92">
      <w:pPr>
        <w:pStyle w:val="TOC1"/>
        <w:tabs>
          <w:tab w:val="clear" w:pos="1080"/>
          <w:tab w:val="left" w:pos="720"/>
          <w:tab w:val="left" w:pos="1440"/>
        </w:tabs>
        <w:ind w:hanging="720"/>
        <w:rPr>
          <w:rFonts w:eastAsiaTheme="minorEastAsia" w:cstheme="minorBidi"/>
          <w:b w:val="0"/>
          <w:sz w:val="20"/>
          <w:szCs w:val="20"/>
          <w:bdr w:val="none" w:sz="0" w:space="0" w:color="auto"/>
        </w:rPr>
      </w:pPr>
      <w:hyperlink w:anchor="_Toc6466631" w:history="1">
        <w:r w:rsidR="00206C92" w:rsidRPr="00206C92">
          <w:rPr>
            <w:rStyle w:val="Hyperlink"/>
            <w:sz w:val="20"/>
            <w:szCs w:val="20"/>
          </w:rPr>
          <w:t>II.</w:t>
        </w:r>
        <w:r w:rsidR="00206C92" w:rsidRPr="00206C92">
          <w:rPr>
            <w:rFonts w:eastAsiaTheme="minorEastAsia" w:cstheme="minorBidi"/>
            <w:b w:val="0"/>
            <w:sz w:val="20"/>
            <w:szCs w:val="20"/>
            <w:bdr w:val="none" w:sz="0" w:space="0" w:color="auto"/>
          </w:rPr>
          <w:tab/>
        </w:r>
        <w:r w:rsidR="00206C92" w:rsidRPr="00206C92">
          <w:rPr>
            <w:rStyle w:val="Hyperlink"/>
            <w:sz w:val="20"/>
            <w:szCs w:val="20"/>
          </w:rPr>
          <w:t>ALEGATOS DE LAS PARTES</w:t>
        </w:r>
        <w:r w:rsidR="00206C92" w:rsidRPr="00206C92">
          <w:rPr>
            <w:webHidden/>
            <w:sz w:val="20"/>
            <w:szCs w:val="20"/>
          </w:rPr>
          <w:tab/>
        </w:r>
        <w:r w:rsidR="00206C92" w:rsidRPr="00206C92">
          <w:rPr>
            <w:webHidden/>
            <w:sz w:val="20"/>
            <w:szCs w:val="20"/>
          </w:rPr>
          <w:fldChar w:fldCharType="begin"/>
        </w:r>
        <w:r w:rsidR="00206C92" w:rsidRPr="00206C92">
          <w:rPr>
            <w:webHidden/>
            <w:sz w:val="20"/>
            <w:szCs w:val="20"/>
          </w:rPr>
          <w:instrText xml:space="preserve"> PAGEREF _Toc6466631 \h </w:instrText>
        </w:r>
        <w:r w:rsidR="00206C92" w:rsidRPr="00206C92">
          <w:rPr>
            <w:webHidden/>
            <w:sz w:val="20"/>
            <w:szCs w:val="20"/>
          </w:rPr>
        </w:r>
        <w:r w:rsidR="00206C92" w:rsidRPr="00206C92">
          <w:rPr>
            <w:webHidden/>
            <w:sz w:val="20"/>
            <w:szCs w:val="20"/>
          </w:rPr>
          <w:fldChar w:fldCharType="separate"/>
        </w:r>
        <w:r w:rsidR="003D3644">
          <w:rPr>
            <w:webHidden/>
            <w:sz w:val="20"/>
            <w:szCs w:val="20"/>
          </w:rPr>
          <w:t>4</w:t>
        </w:r>
        <w:r w:rsidR="00206C92" w:rsidRPr="00206C92">
          <w:rPr>
            <w:webHidden/>
            <w:sz w:val="20"/>
            <w:szCs w:val="20"/>
          </w:rPr>
          <w:fldChar w:fldCharType="end"/>
        </w:r>
      </w:hyperlink>
    </w:p>
    <w:p w14:paraId="79CB8D3E" w14:textId="77777777" w:rsidR="00206C92" w:rsidRPr="00206C92" w:rsidRDefault="009624E3" w:rsidP="00206C92">
      <w:pPr>
        <w:pStyle w:val="TOC2"/>
        <w:tabs>
          <w:tab w:val="left" w:pos="720"/>
        </w:tabs>
        <w:ind w:hanging="720"/>
        <w:rPr>
          <w:rFonts w:asciiTheme="majorHAnsi" w:eastAsiaTheme="minorEastAsia" w:hAnsiTheme="majorHAnsi" w:cstheme="minorBidi"/>
          <w:noProof/>
          <w:sz w:val="20"/>
          <w:szCs w:val="20"/>
          <w:bdr w:val="none" w:sz="0" w:space="0" w:color="auto"/>
        </w:rPr>
      </w:pPr>
      <w:hyperlink w:anchor="_Toc6466632" w:history="1">
        <w:r w:rsidR="00206C92" w:rsidRPr="00206C92">
          <w:rPr>
            <w:rStyle w:val="Hyperlink"/>
            <w:rFonts w:asciiTheme="majorHAnsi" w:hAnsiTheme="majorHAnsi"/>
            <w:noProof/>
            <w:sz w:val="20"/>
            <w:szCs w:val="20"/>
          </w:rPr>
          <w:t>A.</w:t>
        </w:r>
        <w:r w:rsidR="00206C92" w:rsidRPr="00206C92">
          <w:rPr>
            <w:rFonts w:asciiTheme="majorHAnsi" w:eastAsiaTheme="minorEastAsia" w:hAnsiTheme="majorHAnsi" w:cstheme="minorBidi"/>
            <w:noProof/>
            <w:sz w:val="20"/>
            <w:szCs w:val="20"/>
            <w:bdr w:val="none" w:sz="0" w:space="0" w:color="auto"/>
          </w:rPr>
          <w:tab/>
        </w:r>
        <w:r w:rsidR="00206C92" w:rsidRPr="00206C92">
          <w:rPr>
            <w:rStyle w:val="Hyperlink"/>
            <w:rFonts w:asciiTheme="majorHAnsi" w:hAnsiTheme="majorHAnsi"/>
            <w:noProof/>
            <w:sz w:val="20"/>
            <w:szCs w:val="20"/>
          </w:rPr>
          <w:t>Parte peticionaria</w:t>
        </w:r>
        <w:r w:rsidR="00206C92" w:rsidRPr="00206C92">
          <w:rPr>
            <w:rFonts w:asciiTheme="majorHAnsi" w:hAnsiTheme="majorHAnsi"/>
            <w:noProof/>
            <w:webHidden/>
            <w:sz w:val="20"/>
            <w:szCs w:val="20"/>
          </w:rPr>
          <w:tab/>
        </w:r>
        <w:r w:rsidR="00206C92" w:rsidRPr="00206C92">
          <w:rPr>
            <w:rFonts w:asciiTheme="majorHAnsi" w:hAnsiTheme="majorHAnsi"/>
            <w:noProof/>
            <w:webHidden/>
            <w:sz w:val="20"/>
            <w:szCs w:val="20"/>
          </w:rPr>
          <w:fldChar w:fldCharType="begin"/>
        </w:r>
        <w:r w:rsidR="00206C92" w:rsidRPr="00206C92">
          <w:rPr>
            <w:rFonts w:asciiTheme="majorHAnsi" w:hAnsiTheme="majorHAnsi"/>
            <w:noProof/>
            <w:webHidden/>
            <w:sz w:val="20"/>
            <w:szCs w:val="20"/>
          </w:rPr>
          <w:instrText xml:space="preserve"> PAGEREF _Toc6466632 \h </w:instrText>
        </w:r>
        <w:r w:rsidR="00206C92" w:rsidRPr="00206C92">
          <w:rPr>
            <w:rFonts w:asciiTheme="majorHAnsi" w:hAnsiTheme="majorHAnsi"/>
            <w:noProof/>
            <w:webHidden/>
            <w:sz w:val="20"/>
            <w:szCs w:val="20"/>
          </w:rPr>
        </w:r>
        <w:r w:rsidR="00206C92" w:rsidRPr="00206C92">
          <w:rPr>
            <w:rFonts w:asciiTheme="majorHAnsi" w:hAnsiTheme="majorHAnsi"/>
            <w:noProof/>
            <w:webHidden/>
            <w:sz w:val="20"/>
            <w:szCs w:val="20"/>
          </w:rPr>
          <w:fldChar w:fldCharType="separate"/>
        </w:r>
        <w:r w:rsidR="003D3644">
          <w:rPr>
            <w:rFonts w:asciiTheme="majorHAnsi" w:hAnsiTheme="majorHAnsi"/>
            <w:noProof/>
            <w:webHidden/>
            <w:sz w:val="20"/>
            <w:szCs w:val="20"/>
          </w:rPr>
          <w:t>4</w:t>
        </w:r>
        <w:r w:rsidR="00206C92" w:rsidRPr="00206C92">
          <w:rPr>
            <w:rFonts w:asciiTheme="majorHAnsi" w:hAnsiTheme="majorHAnsi"/>
            <w:noProof/>
            <w:webHidden/>
            <w:sz w:val="20"/>
            <w:szCs w:val="20"/>
          </w:rPr>
          <w:fldChar w:fldCharType="end"/>
        </w:r>
      </w:hyperlink>
    </w:p>
    <w:p w14:paraId="10F68B72" w14:textId="77777777" w:rsidR="00206C92" w:rsidRPr="00206C92" w:rsidRDefault="009624E3" w:rsidP="00206C92">
      <w:pPr>
        <w:pStyle w:val="TOC2"/>
        <w:tabs>
          <w:tab w:val="left" w:pos="720"/>
        </w:tabs>
        <w:ind w:hanging="720"/>
        <w:rPr>
          <w:rFonts w:asciiTheme="majorHAnsi" w:eastAsiaTheme="minorEastAsia" w:hAnsiTheme="majorHAnsi" w:cstheme="minorBidi"/>
          <w:noProof/>
          <w:sz w:val="20"/>
          <w:szCs w:val="20"/>
          <w:bdr w:val="none" w:sz="0" w:space="0" w:color="auto"/>
        </w:rPr>
      </w:pPr>
      <w:hyperlink w:anchor="_Toc6466633" w:history="1">
        <w:r w:rsidR="00206C92" w:rsidRPr="00206C92">
          <w:rPr>
            <w:rStyle w:val="Hyperlink"/>
            <w:rFonts w:asciiTheme="majorHAnsi" w:hAnsiTheme="majorHAnsi"/>
            <w:noProof/>
            <w:sz w:val="20"/>
            <w:szCs w:val="20"/>
          </w:rPr>
          <w:t>B.</w:t>
        </w:r>
        <w:r w:rsidR="00206C92" w:rsidRPr="00206C92">
          <w:rPr>
            <w:rFonts w:asciiTheme="majorHAnsi" w:eastAsiaTheme="minorEastAsia" w:hAnsiTheme="majorHAnsi" w:cstheme="minorBidi"/>
            <w:noProof/>
            <w:sz w:val="20"/>
            <w:szCs w:val="20"/>
            <w:bdr w:val="none" w:sz="0" w:space="0" w:color="auto"/>
          </w:rPr>
          <w:tab/>
        </w:r>
        <w:r w:rsidR="00206C92" w:rsidRPr="00206C92">
          <w:rPr>
            <w:rStyle w:val="Hyperlink"/>
            <w:rFonts w:asciiTheme="majorHAnsi" w:hAnsiTheme="majorHAnsi"/>
            <w:noProof/>
            <w:sz w:val="20"/>
            <w:szCs w:val="20"/>
          </w:rPr>
          <w:t>Estado</w:t>
        </w:r>
        <w:r w:rsidR="00206C92" w:rsidRPr="00206C92">
          <w:rPr>
            <w:rFonts w:asciiTheme="majorHAnsi" w:hAnsiTheme="majorHAnsi"/>
            <w:noProof/>
            <w:webHidden/>
            <w:sz w:val="20"/>
            <w:szCs w:val="20"/>
          </w:rPr>
          <w:tab/>
        </w:r>
        <w:r w:rsidR="00206C92" w:rsidRPr="00206C92">
          <w:rPr>
            <w:rFonts w:asciiTheme="majorHAnsi" w:hAnsiTheme="majorHAnsi"/>
            <w:noProof/>
            <w:webHidden/>
            <w:sz w:val="20"/>
            <w:szCs w:val="20"/>
          </w:rPr>
          <w:fldChar w:fldCharType="begin"/>
        </w:r>
        <w:r w:rsidR="00206C92" w:rsidRPr="00206C92">
          <w:rPr>
            <w:rFonts w:asciiTheme="majorHAnsi" w:hAnsiTheme="majorHAnsi"/>
            <w:noProof/>
            <w:webHidden/>
            <w:sz w:val="20"/>
            <w:szCs w:val="20"/>
          </w:rPr>
          <w:instrText xml:space="preserve"> PAGEREF _Toc6466633 \h </w:instrText>
        </w:r>
        <w:r w:rsidR="00206C92" w:rsidRPr="00206C92">
          <w:rPr>
            <w:rFonts w:asciiTheme="majorHAnsi" w:hAnsiTheme="majorHAnsi"/>
            <w:noProof/>
            <w:webHidden/>
            <w:sz w:val="20"/>
            <w:szCs w:val="20"/>
          </w:rPr>
        </w:r>
        <w:r w:rsidR="00206C92" w:rsidRPr="00206C92">
          <w:rPr>
            <w:rFonts w:asciiTheme="majorHAnsi" w:hAnsiTheme="majorHAnsi"/>
            <w:noProof/>
            <w:webHidden/>
            <w:sz w:val="20"/>
            <w:szCs w:val="20"/>
          </w:rPr>
          <w:fldChar w:fldCharType="separate"/>
        </w:r>
        <w:r w:rsidR="003D3644">
          <w:rPr>
            <w:rFonts w:asciiTheme="majorHAnsi" w:hAnsiTheme="majorHAnsi"/>
            <w:noProof/>
            <w:webHidden/>
            <w:sz w:val="20"/>
            <w:szCs w:val="20"/>
          </w:rPr>
          <w:t>6</w:t>
        </w:r>
        <w:r w:rsidR="00206C92" w:rsidRPr="00206C92">
          <w:rPr>
            <w:rFonts w:asciiTheme="majorHAnsi" w:hAnsiTheme="majorHAnsi"/>
            <w:noProof/>
            <w:webHidden/>
            <w:sz w:val="20"/>
            <w:szCs w:val="20"/>
          </w:rPr>
          <w:fldChar w:fldCharType="end"/>
        </w:r>
      </w:hyperlink>
    </w:p>
    <w:p w14:paraId="5D505B12" w14:textId="77777777" w:rsidR="00206C92" w:rsidRPr="00206C92" w:rsidRDefault="009624E3" w:rsidP="00206C92">
      <w:pPr>
        <w:pStyle w:val="TOC1"/>
        <w:tabs>
          <w:tab w:val="clear" w:pos="1080"/>
          <w:tab w:val="left" w:pos="720"/>
          <w:tab w:val="left" w:pos="1440"/>
        </w:tabs>
        <w:ind w:hanging="720"/>
        <w:rPr>
          <w:rFonts w:eastAsiaTheme="minorEastAsia" w:cstheme="minorBidi"/>
          <w:b w:val="0"/>
          <w:sz w:val="20"/>
          <w:szCs w:val="20"/>
          <w:bdr w:val="none" w:sz="0" w:space="0" w:color="auto"/>
        </w:rPr>
      </w:pPr>
      <w:hyperlink w:anchor="_Toc6466634" w:history="1">
        <w:r w:rsidR="00206C92" w:rsidRPr="00206C92">
          <w:rPr>
            <w:rStyle w:val="Hyperlink"/>
            <w:sz w:val="20"/>
            <w:szCs w:val="20"/>
          </w:rPr>
          <w:t>III.</w:t>
        </w:r>
        <w:r w:rsidR="00206C92" w:rsidRPr="00206C92">
          <w:rPr>
            <w:rFonts w:eastAsiaTheme="minorEastAsia" w:cstheme="minorBidi"/>
            <w:b w:val="0"/>
            <w:sz w:val="20"/>
            <w:szCs w:val="20"/>
            <w:bdr w:val="none" w:sz="0" w:space="0" w:color="auto"/>
          </w:rPr>
          <w:tab/>
        </w:r>
        <w:r w:rsidR="00206C92" w:rsidRPr="00206C92">
          <w:rPr>
            <w:rStyle w:val="Hyperlink"/>
            <w:sz w:val="20"/>
            <w:szCs w:val="20"/>
          </w:rPr>
          <w:t>ADMISIBILIDAD</w:t>
        </w:r>
        <w:r w:rsidR="00206C92" w:rsidRPr="00206C92">
          <w:rPr>
            <w:webHidden/>
            <w:sz w:val="20"/>
            <w:szCs w:val="20"/>
          </w:rPr>
          <w:tab/>
        </w:r>
        <w:r w:rsidR="00206C92" w:rsidRPr="00206C92">
          <w:rPr>
            <w:webHidden/>
            <w:sz w:val="20"/>
            <w:szCs w:val="20"/>
          </w:rPr>
          <w:fldChar w:fldCharType="begin"/>
        </w:r>
        <w:r w:rsidR="00206C92" w:rsidRPr="00206C92">
          <w:rPr>
            <w:webHidden/>
            <w:sz w:val="20"/>
            <w:szCs w:val="20"/>
          </w:rPr>
          <w:instrText xml:space="preserve"> PAGEREF _Toc6466634 \h </w:instrText>
        </w:r>
        <w:r w:rsidR="00206C92" w:rsidRPr="00206C92">
          <w:rPr>
            <w:webHidden/>
            <w:sz w:val="20"/>
            <w:szCs w:val="20"/>
          </w:rPr>
        </w:r>
        <w:r w:rsidR="00206C92" w:rsidRPr="00206C92">
          <w:rPr>
            <w:webHidden/>
            <w:sz w:val="20"/>
            <w:szCs w:val="20"/>
          </w:rPr>
          <w:fldChar w:fldCharType="separate"/>
        </w:r>
        <w:r w:rsidR="003D3644">
          <w:rPr>
            <w:webHidden/>
            <w:sz w:val="20"/>
            <w:szCs w:val="20"/>
          </w:rPr>
          <w:t>8</w:t>
        </w:r>
        <w:r w:rsidR="00206C92" w:rsidRPr="00206C92">
          <w:rPr>
            <w:webHidden/>
            <w:sz w:val="20"/>
            <w:szCs w:val="20"/>
          </w:rPr>
          <w:fldChar w:fldCharType="end"/>
        </w:r>
      </w:hyperlink>
    </w:p>
    <w:p w14:paraId="6EC2A664" w14:textId="77777777" w:rsidR="00206C92" w:rsidRPr="00206C92" w:rsidRDefault="009624E3" w:rsidP="00206C92">
      <w:pPr>
        <w:pStyle w:val="TOC2"/>
        <w:tabs>
          <w:tab w:val="left" w:pos="720"/>
        </w:tabs>
        <w:ind w:hanging="720"/>
        <w:rPr>
          <w:rFonts w:asciiTheme="majorHAnsi" w:eastAsiaTheme="minorEastAsia" w:hAnsiTheme="majorHAnsi" w:cstheme="minorBidi"/>
          <w:noProof/>
          <w:sz w:val="20"/>
          <w:szCs w:val="20"/>
          <w:bdr w:val="none" w:sz="0" w:space="0" w:color="auto"/>
        </w:rPr>
      </w:pPr>
      <w:hyperlink w:anchor="_Toc6466635" w:history="1">
        <w:r w:rsidR="00206C92" w:rsidRPr="00206C92">
          <w:rPr>
            <w:rStyle w:val="Hyperlink"/>
            <w:rFonts w:asciiTheme="majorHAnsi" w:hAnsiTheme="majorHAnsi"/>
            <w:noProof/>
            <w:sz w:val="20"/>
            <w:szCs w:val="20"/>
          </w:rPr>
          <w:t>A.</w:t>
        </w:r>
        <w:r w:rsidR="00206C92" w:rsidRPr="00206C92">
          <w:rPr>
            <w:rFonts w:asciiTheme="majorHAnsi" w:eastAsiaTheme="minorEastAsia" w:hAnsiTheme="majorHAnsi" w:cstheme="minorBidi"/>
            <w:noProof/>
            <w:sz w:val="20"/>
            <w:szCs w:val="20"/>
            <w:bdr w:val="none" w:sz="0" w:space="0" w:color="auto"/>
          </w:rPr>
          <w:tab/>
        </w:r>
        <w:r w:rsidR="00206C92" w:rsidRPr="00206C92">
          <w:rPr>
            <w:rStyle w:val="Hyperlink"/>
            <w:rFonts w:asciiTheme="majorHAnsi" w:hAnsiTheme="majorHAnsi"/>
            <w:noProof/>
            <w:sz w:val="20"/>
            <w:szCs w:val="20"/>
          </w:rPr>
          <w:t>Competencia y duplicación de procedimientos y cosa juzgada internacional</w:t>
        </w:r>
        <w:r w:rsidR="00206C92" w:rsidRPr="00206C92">
          <w:rPr>
            <w:rFonts w:asciiTheme="majorHAnsi" w:hAnsiTheme="majorHAnsi"/>
            <w:noProof/>
            <w:webHidden/>
            <w:sz w:val="20"/>
            <w:szCs w:val="20"/>
          </w:rPr>
          <w:tab/>
        </w:r>
        <w:r w:rsidR="00206C92" w:rsidRPr="00206C92">
          <w:rPr>
            <w:rFonts w:asciiTheme="majorHAnsi" w:hAnsiTheme="majorHAnsi"/>
            <w:noProof/>
            <w:webHidden/>
            <w:sz w:val="20"/>
            <w:szCs w:val="20"/>
          </w:rPr>
          <w:fldChar w:fldCharType="begin"/>
        </w:r>
        <w:r w:rsidR="00206C92" w:rsidRPr="00206C92">
          <w:rPr>
            <w:rFonts w:asciiTheme="majorHAnsi" w:hAnsiTheme="majorHAnsi"/>
            <w:noProof/>
            <w:webHidden/>
            <w:sz w:val="20"/>
            <w:szCs w:val="20"/>
          </w:rPr>
          <w:instrText xml:space="preserve"> PAGEREF _Toc6466635 \h </w:instrText>
        </w:r>
        <w:r w:rsidR="00206C92" w:rsidRPr="00206C92">
          <w:rPr>
            <w:rFonts w:asciiTheme="majorHAnsi" w:hAnsiTheme="majorHAnsi"/>
            <w:noProof/>
            <w:webHidden/>
            <w:sz w:val="20"/>
            <w:szCs w:val="20"/>
          </w:rPr>
        </w:r>
        <w:r w:rsidR="00206C92" w:rsidRPr="00206C92">
          <w:rPr>
            <w:rFonts w:asciiTheme="majorHAnsi" w:hAnsiTheme="majorHAnsi"/>
            <w:noProof/>
            <w:webHidden/>
            <w:sz w:val="20"/>
            <w:szCs w:val="20"/>
          </w:rPr>
          <w:fldChar w:fldCharType="separate"/>
        </w:r>
        <w:r w:rsidR="003D3644">
          <w:rPr>
            <w:rFonts w:asciiTheme="majorHAnsi" w:hAnsiTheme="majorHAnsi"/>
            <w:noProof/>
            <w:webHidden/>
            <w:sz w:val="20"/>
            <w:szCs w:val="20"/>
          </w:rPr>
          <w:t>8</w:t>
        </w:r>
        <w:r w:rsidR="00206C92" w:rsidRPr="00206C92">
          <w:rPr>
            <w:rFonts w:asciiTheme="majorHAnsi" w:hAnsiTheme="majorHAnsi"/>
            <w:noProof/>
            <w:webHidden/>
            <w:sz w:val="20"/>
            <w:szCs w:val="20"/>
          </w:rPr>
          <w:fldChar w:fldCharType="end"/>
        </w:r>
      </w:hyperlink>
    </w:p>
    <w:p w14:paraId="3C7636E6" w14:textId="77777777" w:rsidR="00206C92" w:rsidRPr="00206C92" w:rsidRDefault="009624E3" w:rsidP="00206C92">
      <w:pPr>
        <w:pStyle w:val="TOC2"/>
        <w:tabs>
          <w:tab w:val="left" w:pos="720"/>
        </w:tabs>
        <w:ind w:hanging="720"/>
        <w:rPr>
          <w:rFonts w:asciiTheme="majorHAnsi" w:eastAsiaTheme="minorEastAsia" w:hAnsiTheme="majorHAnsi" w:cstheme="minorBidi"/>
          <w:noProof/>
          <w:sz w:val="20"/>
          <w:szCs w:val="20"/>
          <w:bdr w:val="none" w:sz="0" w:space="0" w:color="auto"/>
        </w:rPr>
      </w:pPr>
      <w:hyperlink w:anchor="_Toc6466636" w:history="1">
        <w:r w:rsidR="00206C92" w:rsidRPr="00206C92">
          <w:rPr>
            <w:rStyle w:val="Hyperlink"/>
            <w:rFonts w:asciiTheme="majorHAnsi" w:hAnsiTheme="majorHAnsi"/>
            <w:noProof/>
            <w:sz w:val="20"/>
            <w:szCs w:val="20"/>
          </w:rPr>
          <w:t>B.</w:t>
        </w:r>
        <w:r w:rsidR="00206C92" w:rsidRPr="00206C92">
          <w:rPr>
            <w:rFonts w:asciiTheme="majorHAnsi" w:eastAsiaTheme="minorEastAsia" w:hAnsiTheme="majorHAnsi" w:cstheme="minorBidi"/>
            <w:noProof/>
            <w:sz w:val="20"/>
            <w:szCs w:val="20"/>
            <w:bdr w:val="none" w:sz="0" w:space="0" w:color="auto"/>
          </w:rPr>
          <w:tab/>
        </w:r>
        <w:r w:rsidR="00206C92" w:rsidRPr="00206C92">
          <w:rPr>
            <w:rStyle w:val="Hyperlink"/>
            <w:rFonts w:asciiTheme="majorHAnsi" w:hAnsiTheme="majorHAnsi"/>
            <w:noProof/>
            <w:sz w:val="20"/>
            <w:szCs w:val="20"/>
          </w:rPr>
          <w:t>Agotamiento de recursos internos y plazo de presentación</w:t>
        </w:r>
        <w:r w:rsidR="00206C92" w:rsidRPr="00206C92">
          <w:rPr>
            <w:rFonts w:asciiTheme="majorHAnsi" w:hAnsiTheme="majorHAnsi"/>
            <w:noProof/>
            <w:webHidden/>
            <w:sz w:val="20"/>
            <w:szCs w:val="20"/>
          </w:rPr>
          <w:tab/>
        </w:r>
        <w:r w:rsidR="00206C92" w:rsidRPr="00206C92">
          <w:rPr>
            <w:rFonts w:asciiTheme="majorHAnsi" w:hAnsiTheme="majorHAnsi"/>
            <w:noProof/>
            <w:webHidden/>
            <w:sz w:val="20"/>
            <w:szCs w:val="20"/>
          </w:rPr>
          <w:fldChar w:fldCharType="begin"/>
        </w:r>
        <w:r w:rsidR="00206C92" w:rsidRPr="00206C92">
          <w:rPr>
            <w:rFonts w:asciiTheme="majorHAnsi" w:hAnsiTheme="majorHAnsi"/>
            <w:noProof/>
            <w:webHidden/>
            <w:sz w:val="20"/>
            <w:szCs w:val="20"/>
          </w:rPr>
          <w:instrText xml:space="preserve"> PAGEREF _Toc6466636 \h </w:instrText>
        </w:r>
        <w:r w:rsidR="00206C92" w:rsidRPr="00206C92">
          <w:rPr>
            <w:rFonts w:asciiTheme="majorHAnsi" w:hAnsiTheme="majorHAnsi"/>
            <w:noProof/>
            <w:webHidden/>
            <w:sz w:val="20"/>
            <w:szCs w:val="20"/>
          </w:rPr>
        </w:r>
        <w:r w:rsidR="00206C92" w:rsidRPr="00206C92">
          <w:rPr>
            <w:rFonts w:asciiTheme="majorHAnsi" w:hAnsiTheme="majorHAnsi"/>
            <w:noProof/>
            <w:webHidden/>
            <w:sz w:val="20"/>
            <w:szCs w:val="20"/>
          </w:rPr>
          <w:fldChar w:fldCharType="separate"/>
        </w:r>
        <w:r w:rsidR="003D3644">
          <w:rPr>
            <w:rFonts w:asciiTheme="majorHAnsi" w:hAnsiTheme="majorHAnsi"/>
            <w:noProof/>
            <w:webHidden/>
            <w:sz w:val="20"/>
            <w:szCs w:val="20"/>
          </w:rPr>
          <w:t>9</w:t>
        </w:r>
        <w:r w:rsidR="00206C92" w:rsidRPr="00206C92">
          <w:rPr>
            <w:rFonts w:asciiTheme="majorHAnsi" w:hAnsiTheme="majorHAnsi"/>
            <w:noProof/>
            <w:webHidden/>
            <w:sz w:val="20"/>
            <w:szCs w:val="20"/>
          </w:rPr>
          <w:fldChar w:fldCharType="end"/>
        </w:r>
      </w:hyperlink>
    </w:p>
    <w:p w14:paraId="1E24F70A" w14:textId="77777777" w:rsidR="00206C92" w:rsidRPr="00206C92" w:rsidRDefault="009624E3" w:rsidP="00206C92">
      <w:pPr>
        <w:pStyle w:val="TOC2"/>
        <w:tabs>
          <w:tab w:val="left" w:pos="720"/>
        </w:tabs>
        <w:ind w:hanging="720"/>
        <w:rPr>
          <w:rFonts w:asciiTheme="majorHAnsi" w:eastAsiaTheme="minorEastAsia" w:hAnsiTheme="majorHAnsi" w:cstheme="minorBidi"/>
          <w:noProof/>
          <w:sz w:val="20"/>
          <w:szCs w:val="20"/>
          <w:bdr w:val="none" w:sz="0" w:space="0" w:color="auto"/>
        </w:rPr>
      </w:pPr>
      <w:hyperlink w:anchor="_Toc6466637" w:history="1">
        <w:r w:rsidR="00206C92" w:rsidRPr="00206C92">
          <w:rPr>
            <w:rStyle w:val="Hyperlink"/>
            <w:rFonts w:asciiTheme="majorHAnsi" w:hAnsiTheme="majorHAnsi"/>
            <w:noProof/>
            <w:sz w:val="20"/>
            <w:szCs w:val="20"/>
          </w:rPr>
          <w:t>C.</w:t>
        </w:r>
        <w:r w:rsidR="00206C92" w:rsidRPr="00206C92">
          <w:rPr>
            <w:rFonts w:asciiTheme="majorHAnsi" w:eastAsiaTheme="minorEastAsia" w:hAnsiTheme="majorHAnsi" w:cstheme="minorBidi"/>
            <w:noProof/>
            <w:sz w:val="20"/>
            <w:szCs w:val="20"/>
            <w:bdr w:val="none" w:sz="0" w:space="0" w:color="auto"/>
          </w:rPr>
          <w:tab/>
        </w:r>
        <w:r w:rsidR="00206C92" w:rsidRPr="00206C92">
          <w:rPr>
            <w:rStyle w:val="Hyperlink"/>
            <w:rFonts w:asciiTheme="majorHAnsi" w:hAnsiTheme="majorHAnsi"/>
            <w:noProof/>
            <w:sz w:val="20"/>
            <w:szCs w:val="20"/>
          </w:rPr>
          <w:t>Caracterización de los hechos alegados</w:t>
        </w:r>
        <w:r w:rsidR="00206C92" w:rsidRPr="00206C92">
          <w:rPr>
            <w:rFonts w:asciiTheme="majorHAnsi" w:hAnsiTheme="majorHAnsi"/>
            <w:noProof/>
            <w:webHidden/>
            <w:sz w:val="20"/>
            <w:szCs w:val="20"/>
          </w:rPr>
          <w:tab/>
        </w:r>
        <w:r w:rsidR="00206C92" w:rsidRPr="00206C92">
          <w:rPr>
            <w:rFonts w:asciiTheme="majorHAnsi" w:hAnsiTheme="majorHAnsi"/>
            <w:noProof/>
            <w:webHidden/>
            <w:sz w:val="20"/>
            <w:szCs w:val="20"/>
          </w:rPr>
          <w:fldChar w:fldCharType="begin"/>
        </w:r>
        <w:r w:rsidR="00206C92" w:rsidRPr="00206C92">
          <w:rPr>
            <w:rFonts w:asciiTheme="majorHAnsi" w:hAnsiTheme="majorHAnsi"/>
            <w:noProof/>
            <w:webHidden/>
            <w:sz w:val="20"/>
            <w:szCs w:val="20"/>
          </w:rPr>
          <w:instrText xml:space="preserve"> PAGEREF _Toc6466637 \h </w:instrText>
        </w:r>
        <w:r w:rsidR="00206C92" w:rsidRPr="00206C92">
          <w:rPr>
            <w:rFonts w:asciiTheme="majorHAnsi" w:hAnsiTheme="majorHAnsi"/>
            <w:noProof/>
            <w:webHidden/>
            <w:sz w:val="20"/>
            <w:szCs w:val="20"/>
          </w:rPr>
        </w:r>
        <w:r w:rsidR="00206C92" w:rsidRPr="00206C92">
          <w:rPr>
            <w:rFonts w:asciiTheme="majorHAnsi" w:hAnsiTheme="majorHAnsi"/>
            <w:noProof/>
            <w:webHidden/>
            <w:sz w:val="20"/>
            <w:szCs w:val="20"/>
          </w:rPr>
          <w:fldChar w:fldCharType="separate"/>
        </w:r>
        <w:r w:rsidR="003D3644">
          <w:rPr>
            <w:rFonts w:asciiTheme="majorHAnsi" w:hAnsiTheme="majorHAnsi"/>
            <w:noProof/>
            <w:webHidden/>
            <w:sz w:val="20"/>
            <w:szCs w:val="20"/>
          </w:rPr>
          <w:t>10</w:t>
        </w:r>
        <w:r w:rsidR="00206C92" w:rsidRPr="00206C92">
          <w:rPr>
            <w:rFonts w:asciiTheme="majorHAnsi" w:hAnsiTheme="majorHAnsi"/>
            <w:noProof/>
            <w:webHidden/>
            <w:sz w:val="20"/>
            <w:szCs w:val="20"/>
          </w:rPr>
          <w:fldChar w:fldCharType="end"/>
        </w:r>
      </w:hyperlink>
    </w:p>
    <w:p w14:paraId="0B25FA2D" w14:textId="77777777" w:rsidR="00206C92" w:rsidRPr="00206C92" w:rsidRDefault="009624E3" w:rsidP="00206C92">
      <w:pPr>
        <w:pStyle w:val="TOC1"/>
        <w:tabs>
          <w:tab w:val="clear" w:pos="1080"/>
          <w:tab w:val="left" w:pos="720"/>
          <w:tab w:val="left" w:pos="1440"/>
        </w:tabs>
        <w:ind w:hanging="720"/>
        <w:rPr>
          <w:rFonts w:eastAsiaTheme="minorEastAsia" w:cstheme="minorBidi"/>
          <w:b w:val="0"/>
          <w:sz w:val="20"/>
          <w:szCs w:val="20"/>
          <w:bdr w:val="none" w:sz="0" w:space="0" w:color="auto"/>
        </w:rPr>
      </w:pPr>
      <w:hyperlink w:anchor="_Toc6466638" w:history="1">
        <w:r w:rsidR="00206C92" w:rsidRPr="00206C92">
          <w:rPr>
            <w:rStyle w:val="Hyperlink"/>
            <w:sz w:val="20"/>
            <w:szCs w:val="20"/>
          </w:rPr>
          <w:t>IV.</w:t>
        </w:r>
        <w:r w:rsidR="00206C92" w:rsidRPr="00206C92">
          <w:rPr>
            <w:rFonts w:eastAsiaTheme="minorEastAsia" w:cstheme="minorBidi"/>
            <w:b w:val="0"/>
            <w:sz w:val="20"/>
            <w:szCs w:val="20"/>
            <w:bdr w:val="none" w:sz="0" w:space="0" w:color="auto"/>
          </w:rPr>
          <w:tab/>
        </w:r>
        <w:r w:rsidR="00206C92" w:rsidRPr="00206C92">
          <w:rPr>
            <w:rStyle w:val="Hyperlink"/>
            <w:sz w:val="20"/>
            <w:szCs w:val="20"/>
          </w:rPr>
          <w:t>DETERMINACIONES DE HECHO</w:t>
        </w:r>
        <w:r w:rsidR="00206C92" w:rsidRPr="00206C92">
          <w:rPr>
            <w:webHidden/>
            <w:sz w:val="20"/>
            <w:szCs w:val="20"/>
          </w:rPr>
          <w:tab/>
        </w:r>
        <w:r w:rsidR="00206C92" w:rsidRPr="00206C92">
          <w:rPr>
            <w:webHidden/>
            <w:sz w:val="20"/>
            <w:szCs w:val="20"/>
          </w:rPr>
          <w:fldChar w:fldCharType="begin"/>
        </w:r>
        <w:r w:rsidR="00206C92" w:rsidRPr="00206C92">
          <w:rPr>
            <w:webHidden/>
            <w:sz w:val="20"/>
            <w:szCs w:val="20"/>
          </w:rPr>
          <w:instrText xml:space="preserve"> PAGEREF _Toc6466638 \h </w:instrText>
        </w:r>
        <w:r w:rsidR="00206C92" w:rsidRPr="00206C92">
          <w:rPr>
            <w:webHidden/>
            <w:sz w:val="20"/>
            <w:szCs w:val="20"/>
          </w:rPr>
        </w:r>
        <w:r w:rsidR="00206C92" w:rsidRPr="00206C92">
          <w:rPr>
            <w:webHidden/>
            <w:sz w:val="20"/>
            <w:szCs w:val="20"/>
          </w:rPr>
          <w:fldChar w:fldCharType="separate"/>
        </w:r>
        <w:r w:rsidR="003D3644">
          <w:rPr>
            <w:webHidden/>
            <w:sz w:val="20"/>
            <w:szCs w:val="20"/>
          </w:rPr>
          <w:t>10</w:t>
        </w:r>
        <w:r w:rsidR="00206C92" w:rsidRPr="00206C92">
          <w:rPr>
            <w:webHidden/>
            <w:sz w:val="20"/>
            <w:szCs w:val="20"/>
          </w:rPr>
          <w:fldChar w:fldCharType="end"/>
        </w:r>
      </w:hyperlink>
    </w:p>
    <w:p w14:paraId="4AFB4506" w14:textId="77777777" w:rsidR="00206C92" w:rsidRPr="00206C92" w:rsidRDefault="009624E3" w:rsidP="00206C92">
      <w:pPr>
        <w:pStyle w:val="TOC2"/>
        <w:tabs>
          <w:tab w:val="left" w:pos="720"/>
        </w:tabs>
        <w:ind w:hanging="720"/>
        <w:rPr>
          <w:rFonts w:asciiTheme="majorHAnsi" w:eastAsiaTheme="minorEastAsia" w:hAnsiTheme="majorHAnsi" w:cstheme="minorBidi"/>
          <w:noProof/>
          <w:sz w:val="20"/>
          <w:szCs w:val="20"/>
          <w:bdr w:val="none" w:sz="0" w:space="0" w:color="auto"/>
        </w:rPr>
      </w:pPr>
      <w:hyperlink w:anchor="_Toc6466639" w:history="1">
        <w:r w:rsidR="00206C92" w:rsidRPr="00206C92">
          <w:rPr>
            <w:rStyle w:val="Hyperlink"/>
            <w:rFonts w:asciiTheme="majorHAnsi" w:hAnsiTheme="majorHAnsi"/>
            <w:noProof/>
            <w:sz w:val="20"/>
            <w:szCs w:val="20"/>
          </w:rPr>
          <w:t>A.</w:t>
        </w:r>
        <w:r w:rsidR="00206C92" w:rsidRPr="00206C92">
          <w:rPr>
            <w:rFonts w:asciiTheme="majorHAnsi" w:eastAsiaTheme="minorEastAsia" w:hAnsiTheme="majorHAnsi" w:cstheme="minorBidi"/>
            <w:noProof/>
            <w:sz w:val="20"/>
            <w:szCs w:val="20"/>
            <w:bdr w:val="none" w:sz="0" w:space="0" w:color="auto"/>
          </w:rPr>
          <w:tab/>
        </w:r>
        <w:r w:rsidR="00206C92" w:rsidRPr="00206C92">
          <w:rPr>
            <w:rStyle w:val="Hyperlink"/>
            <w:rFonts w:asciiTheme="majorHAnsi" w:hAnsiTheme="majorHAnsi"/>
            <w:noProof/>
            <w:sz w:val="20"/>
            <w:szCs w:val="20"/>
          </w:rPr>
          <w:t>Contexto</w:t>
        </w:r>
        <w:r w:rsidR="00206C92" w:rsidRPr="00206C92">
          <w:rPr>
            <w:rFonts w:asciiTheme="majorHAnsi" w:hAnsiTheme="majorHAnsi"/>
            <w:noProof/>
            <w:webHidden/>
            <w:sz w:val="20"/>
            <w:szCs w:val="20"/>
          </w:rPr>
          <w:tab/>
        </w:r>
        <w:r w:rsidR="00206C92" w:rsidRPr="00206C92">
          <w:rPr>
            <w:rFonts w:asciiTheme="majorHAnsi" w:hAnsiTheme="majorHAnsi"/>
            <w:noProof/>
            <w:webHidden/>
            <w:sz w:val="20"/>
            <w:szCs w:val="20"/>
          </w:rPr>
          <w:fldChar w:fldCharType="begin"/>
        </w:r>
        <w:r w:rsidR="00206C92" w:rsidRPr="00206C92">
          <w:rPr>
            <w:rFonts w:asciiTheme="majorHAnsi" w:hAnsiTheme="majorHAnsi"/>
            <w:noProof/>
            <w:webHidden/>
            <w:sz w:val="20"/>
            <w:szCs w:val="20"/>
          </w:rPr>
          <w:instrText xml:space="preserve"> PAGEREF _Toc6466639 \h </w:instrText>
        </w:r>
        <w:r w:rsidR="00206C92" w:rsidRPr="00206C92">
          <w:rPr>
            <w:rFonts w:asciiTheme="majorHAnsi" w:hAnsiTheme="majorHAnsi"/>
            <w:noProof/>
            <w:webHidden/>
            <w:sz w:val="20"/>
            <w:szCs w:val="20"/>
          </w:rPr>
        </w:r>
        <w:r w:rsidR="00206C92" w:rsidRPr="00206C92">
          <w:rPr>
            <w:rFonts w:asciiTheme="majorHAnsi" w:hAnsiTheme="majorHAnsi"/>
            <w:noProof/>
            <w:webHidden/>
            <w:sz w:val="20"/>
            <w:szCs w:val="20"/>
          </w:rPr>
          <w:fldChar w:fldCharType="separate"/>
        </w:r>
        <w:r w:rsidR="003D3644">
          <w:rPr>
            <w:rFonts w:asciiTheme="majorHAnsi" w:hAnsiTheme="majorHAnsi"/>
            <w:noProof/>
            <w:webHidden/>
            <w:sz w:val="20"/>
            <w:szCs w:val="20"/>
          </w:rPr>
          <w:t>10</w:t>
        </w:r>
        <w:r w:rsidR="00206C92" w:rsidRPr="00206C92">
          <w:rPr>
            <w:rFonts w:asciiTheme="majorHAnsi" w:hAnsiTheme="majorHAnsi"/>
            <w:noProof/>
            <w:webHidden/>
            <w:sz w:val="20"/>
            <w:szCs w:val="20"/>
          </w:rPr>
          <w:fldChar w:fldCharType="end"/>
        </w:r>
      </w:hyperlink>
    </w:p>
    <w:p w14:paraId="2493C542" w14:textId="551602E5" w:rsidR="00206C92" w:rsidRPr="00206C92" w:rsidRDefault="009624E3" w:rsidP="00206C92">
      <w:pPr>
        <w:pStyle w:val="TOC3"/>
        <w:tabs>
          <w:tab w:val="left" w:pos="720"/>
          <w:tab w:val="left" w:pos="1440"/>
        </w:tabs>
        <w:ind w:hanging="720"/>
        <w:rPr>
          <w:rFonts w:asciiTheme="majorHAnsi" w:eastAsiaTheme="minorEastAsia" w:hAnsiTheme="majorHAnsi" w:cstheme="minorBidi"/>
          <w:noProof/>
          <w:sz w:val="20"/>
          <w:szCs w:val="20"/>
          <w:bdr w:val="none" w:sz="0" w:space="0" w:color="auto"/>
        </w:rPr>
      </w:pPr>
      <w:hyperlink w:anchor="_Toc6466640" w:history="1">
        <w:r w:rsidR="00206C92" w:rsidRPr="00206C92">
          <w:rPr>
            <w:rStyle w:val="Hyperlink"/>
            <w:rFonts w:asciiTheme="majorHAnsi" w:hAnsiTheme="majorHAnsi"/>
            <w:noProof/>
            <w:sz w:val="20"/>
            <w:szCs w:val="20"/>
          </w:rPr>
          <w:t>1.</w:t>
        </w:r>
        <w:r w:rsidR="00206C92" w:rsidRPr="00206C92">
          <w:rPr>
            <w:rFonts w:asciiTheme="majorHAnsi" w:eastAsiaTheme="minorEastAsia" w:hAnsiTheme="majorHAnsi" w:cstheme="minorBidi"/>
            <w:noProof/>
            <w:sz w:val="20"/>
            <w:szCs w:val="20"/>
            <w:bdr w:val="none" w:sz="0" w:space="0" w:color="auto"/>
          </w:rPr>
          <w:tab/>
        </w:r>
        <w:r w:rsidR="00206C92" w:rsidRPr="00206C92">
          <w:rPr>
            <w:rStyle w:val="Hyperlink"/>
            <w:rFonts w:asciiTheme="majorHAnsi" w:hAnsiTheme="majorHAnsi"/>
            <w:noProof/>
            <w:sz w:val="20"/>
            <w:szCs w:val="20"/>
          </w:rPr>
          <w:t xml:space="preserve">Sobre las graves violaciones a los derechos humanos cometidas </w:t>
        </w:r>
        <w:r w:rsidR="00206C92">
          <w:rPr>
            <w:rStyle w:val="Hyperlink"/>
            <w:rFonts w:asciiTheme="majorHAnsi" w:hAnsiTheme="majorHAnsi"/>
            <w:noProof/>
            <w:sz w:val="20"/>
            <w:szCs w:val="20"/>
          </w:rPr>
          <w:br/>
        </w:r>
        <w:r w:rsidR="00206C92" w:rsidRPr="00206C92">
          <w:rPr>
            <w:rStyle w:val="Hyperlink"/>
            <w:rFonts w:asciiTheme="majorHAnsi" w:hAnsiTheme="majorHAnsi"/>
            <w:noProof/>
            <w:sz w:val="20"/>
            <w:szCs w:val="20"/>
          </w:rPr>
          <w:t>durante la dictadura argentina</w:t>
        </w:r>
        <w:r w:rsidR="00206C92" w:rsidRPr="00206C92">
          <w:rPr>
            <w:rFonts w:asciiTheme="majorHAnsi" w:hAnsiTheme="majorHAnsi"/>
            <w:noProof/>
            <w:webHidden/>
            <w:sz w:val="20"/>
            <w:szCs w:val="20"/>
          </w:rPr>
          <w:tab/>
        </w:r>
        <w:r w:rsidR="00206C92" w:rsidRPr="00206C92">
          <w:rPr>
            <w:rFonts w:asciiTheme="majorHAnsi" w:hAnsiTheme="majorHAnsi"/>
            <w:noProof/>
            <w:webHidden/>
            <w:sz w:val="20"/>
            <w:szCs w:val="20"/>
          </w:rPr>
          <w:fldChar w:fldCharType="begin"/>
        </w:r>
        <w:r w:rsidR="00206C92" w:rsidRPr="00206C92">
          <w:rPr>
            <w:rFonts w:asciiTheme="majorHAnsi" w:hAnsiTheme="majorHAnsi"/>
            <w:noProof/>
            <w:webHidden/>
            <w:sz w:val="20"/>
            <w:szCs w:val="20"/>
          </w:rPr>
          <w:instrText xml:space="preserve"> PAGEREF _Toc6466640 \h </w:instrText>
        </w:r>
        <w:r w:rsidR="00206C92" w:rsidRPr="00206C92">
          <w:rPr>
            <w:rFonts w:asciiTheme="majorHAnsi" w:hAnsiTheme="majorHAnsi"/>
            <w:noProof/>
            <w:webHidden/>
            <w:sz w:val="20"/>
            <w:szCs w:val="20"/>
          </w:rPr>
        </w:r>
        <w:r w:rsidR="00206C92" w:rsidRPr="00206C92">
          <w:rPr>
            <w:rFonts w:asciiTheme="majorHAnsi" w:hAnsiTheme="majorHAnsi"/>
            <w:noProof/>
            <w:webHidden/>
            <w:sz w:val="20"/>
            <w:szCs w:val="20"/>
          </w:rPr>
          <w:fldChar w:fldCharType="separate"/>
        </w:r>
        <w:r w:rsidR="003D3644">
          <w:rPr>
            <w:rFonts w:asciiTheme="majorHAnsi" w:hAnsiTheme="majorHAnsi"/>
            <w:noProof/>
            <w:webHidden/>
            <w:sz w:val="20"/>
            <w:szCs w:val="20"/>
          </w:rPr>
          <w:t>10</w:t>
        </w:r>
        <w:r w:rsidR="00206C92" w:rsidRPr="00206C92">
          <w:rPr>
            <w:rFonts w:asciiTheme="majorHAnsi" w:hAnsiTheme="majorHAnsi"/>
            <w:noProof/>
            <w:webHidden/>
            <w:sz w:val="20"/>
            <w:szCs w:val="20"/>
          </w:rPr>
          <w:fldChar w:fldCharType="end"/>
        </w:r>
      </w:hyperlink>
    </w:p>
    <w:p w14:paraId="540332CB" w14:textId="4879E7F4" w:rsidR="00206C92" w:rsidRPr="00206C92" w:rsidRDefault="009624E3" w:rsidP="00206C92">
      <w:pPr>
        <w:pStyle w:val="TOC3"/>
        <w:tabs>
          <w:tab w:val="left" w:pos="720"/>
          <w:tab w:val="left" w:pos="1440"/>
        </w:tabs>
        <w:ind w:hanging="720"/>
        <w:rPr>
          <w:rFonts w:asciiTheme="majorHAnsi" w:eastAsiaTheme="minorEastAsia" w:hAnsiTheme="majorHAnsi" w:cstheme="minorBidi"/>
          <w:noProof/>
          <w:sz w:val="20"/>
          <w:szCs w:val="20"/>
          <w:bdr w:val="none" w:sz="0" w:space="0" w:color="auto"/>
        </w:rPr>
      </w:pPr>
      <w:hyperlink w:anchor="_Toc6466641" w:history="1">
        <w:r w:rsidR="00206C92" w:rsidRPr="00206C92">
          <w:rPr>
            <w:rStyle w:val="Hyperlink"/>
            <w:rFonts w:asciiTheme="majorHAnsi" w:hAnsiTheme="majorHAnsi"/>
            <w:noProof/>
            <w:sz w:val="20"/>
            <w:szCs w:val="20"/>
          </w:rPr>
          <w:t>2.</w:t>
        </w:r>
        <w:r w:rsidR="00206C92" w:rsidRPr="00206C92">
          <w:rPr>
            <w:rFonts w:asciiTheme="majorHAnsi" w:eastAsiaTheme="minorEastAsia" w:hAnsiTheme="majorHAnsi" w:cstheme="minorBidi"/>
            <w:noProof/>
            <w:sz w:val="20"/>
            <w:szCs w:val="20"/>
            <w:bdr w:val="none" w:sz="0" w:space="0" w:color="auto"/>
          </w:rPr>
          <w:tab/>
        </w:r>
        <w:r w:rsidR="00206C92" w:rsidRPr="00206C92">
          <w:rPr>
            <w:rStyle w:val="Hyperlink"/>
            <w:rFonts w:asciiTheme="majorHAnsi" w:hAnsiTheme="majorHAnsi"/>
            <w:noProof/>
            <w:sz w:val="20"/>
            <w:szCs w:val="20"/>
          </w:rPr>
          <w:t xml:space="preserve">Sobre la coordinación represiva argentino-uruguaya en el marco </w:t>
        </w:r>
        <w:r w:rsidR="00206C92">
          <w:rPr>
            <w:rStyle w:val="Hyperlink"/>
            <w:rFonts w:asciiTheme="majorHAnsi" w:hAnsiTheme="majorHAnsi"/>
            <w:noProof/>
            <w:sz w:val="20"/>
            <w:szCs w:val="20"/>
          </w:rPr>
          <w:br/>
        </w:r>
        <w:r w:rsidR="00206C92" w:rsidRPr="00206C92">
          <w:rPr>
            <w:rStyle w:val="Hyperlink"/>
            <w:rFonts w:asciiTheme="majorHAnsi" w:hAnsiTheme="majorHAnsi"/>
            <w:noProof/>
            <w:sz w:val="20"/>
            <w:szCs w:val="20"/>
          </w:rPr>
          <w:t>de la Operación Cóndor</w:t>
        </w:r>
        <w:r w:rsidR="00206C92" w:rsidRPr="00206C92">
          <w:rPr>
            <w:rFonts w:asciiTheme="majorHAnsi" w:hAnsiTheme="majorHAnsi"/>
            <w:noProof/>
            <w:webHidden/>
            <w:sz w:val="20"/>
            <w:szCs w:val="20"/>
          </w:rPr>
          <w:tab/>
        </w:r>
        <w:r w:rsidR="00206C92" w:rsidRPr="00206C92">
          <w:rPr>
            <w:rFonts w:asciiTheme="majorHAnsi" w:hAnsiTheme="majorHAnsi"/>
            <w:noProof/>
            <w:webHidden/>
            <w:sz w:val="20"/>
            <w:szCs w:val="20"/>
          </w:rPr>
          <w:fldChar w:fldCharType="begin"/>
        </w:r>
        <w:r w:rsidR="00206C92" w:rsidRPr="00206C92">
          <w:rPr>
            <w:rFonts w:asciiTheme="majorHAnsi" w:hAnsiTheme="majorHAnsi"/>
            <w:noProof/>
            <w:webHidden/>
            <w:sz w:val="20"/>
            <w:szCs w:val="20"/>
          </w:rPr>
          <w:instrText xml:space="preserve"> PAGEREF _Toc6466641 \h </w:instrText>
        </w:r>
        <w:r w:rsidR="00206C92" w:rsidRPr="00206C92">
          <w:rPr>
            <w:rFonts w:asciiTheme="majorHAnsi" w:hAnsiTheme="majorHAnsi"/>
            <w:noProof/>
            <w:webHidden/>
            <w:sz w:val="20"/>
            <w:szCs w:val="20"/>
          </w:rPr>
        </w:r>
        <w:r w:rsidR="00206C92" w:rsidRPr="00206C92">
          <w:rPr>
            <w:rFonts w:asciiTheme="majorHAnsi" w:hAnsiTheme="majorHAnsi"/>
            <w:noProof/>
            <w:webHidden/>
            <w:sz w:val="20"/>
            <w:szCs w:val="20"/>
          </w:rPr>
          <w:fldChar w:fldCharType="separate"/>
        </w:r>
        <w:r w:rsidR="003D3644">
          <w:rPr>
            <w:rFonts w:asciiTheme="majorHAnsi" w:hAnsiTheme="majorHAnsi"/>
            <w:noProof/>
            <w:webHidden/>
            <w:sz w:val="20"/>
            <w:szCs w:val="20"/>
          </w:rPr>
          <w:t>11</w:t>
        </w:r>
        <w:r w:rsidR="00206C92" w:rsidRPr="00206C92">
          <w:rPr>
            <w:rFonts w:asciiTheme="majorHAnsi" w:hAnsiTheme="majorHAnsi"/>
            <w:noProof/>
            <w:webHidden/>
            <w:sz w:val="20"/>
            <w:szCs w:val="20"/>
          </w:rPr>
          <w:fldChar w:fldCharType="end"/>
        </w:r>
      </w:hyperlink>
    </w:p>
    <w:p w14:paraId="19C069F8" w14:textId="77777777" w:rsidR="00206C92" w:rsidRPr="00206C92" w:rsidRDefault="009624E3" w:rsidP="00206C92">
      <w:pPr>
        <w:pStyle w:val="TOC3"/>
        <w:tabs>
          <w:tab w:val="left" w:pos="720"/>
          <w:tab w:val="left" w:pos="1440"/>
        </w:tabs>
        <w:ind w:hanging="720"/>
        <w:rPr>
          <w:rFonts w:asciiTheme="majorHAnsi" w:eastAsiaTheme="minorEastAsia" w:hAnsiTheme="majorHAnsi" w:cstheme="minorBidi"/>
          <w:noProof/>
          <w:sz w:val="20"/>
          <w:szCs w:val="20"/>
          <w:bdr w:val="none" w:sz="0" w:space="0" w:color="auto"/>
        </w:rPr>
      </w:pPr>
      <w:hyperlink w:anchor="_Toc6466642" w:history="1">
        <w:r w:rsidR="00206C92" w:rsidRPr="00206C92">
          <w:rPr>
            <w:rStyle w:val="Hyperlink"/>
            <w:rFonts w:asciiTheme="majorHAnsi" w:hAnsiTheme="majorHAnsi"/>
            <w:noProof/>
            <w:sz w:val="20"/>
            <w:szCs w:val="20"/>
          </w:rPr>
          <w:t>3.</w:t>
        </w:r>
        <w:r w:rsidR="00206C92" w:rsidRPr="00206C92">
          <w:rPr>
            <w:rFonts w:asciiTheme="majorHAnsi" w:eastAsiaTheme="minorEastAsia" w:hAnsiTheme="majorHAnsi" w:cstheme="minorBidi"/>
            <w:noProof/>
            <w:sz w:val="20"/>
            <w:szCs w:val="20"/>
            <w:bdr w:val="none" w:sz="0" w:space="0" w:color="auto"/>
          </w:rPr>
          <w:tab/>
        </w:r>
        <w:r w:rsidR="00206C92" w:rsidRPr="00206C92">
          <w:rPr>
            <w:rStyle w:val="Hyperlink"/>
            <w:rFonts w:asciiTheme="majorHAnsi" w:hAnsiTheme="majorHAnsi"/>
            <w:noProof/>
            <w:sz w:val="20"/>
            <w:szCs w:val="20"/>
          </w:rPr>
          <w:t>Sobre el centro clandestino de detención “Automotores Orletti”</w:t>
        </w:r>
        <w:r w:rsidR="00206C92" w:rsidRPr="00206C92">
          <w:rPr>
            <w:rFonts w:asciiTheme="majorHAnsi" w:hAnsiTheme="majorHAnsi"/>
            <w:noProof/>
            <w:webHidden/>
            <w:sz w:val="20"/>
            <w:szCs w:val="20"/>
          </w:rPr>
          <w:tab/>
        </w:r>
        <w:r w:rsidR="00206C92" w:rsidRPr="00206C92">
          <w:rPr>
            <w:rFonts w:asciiTheme="majorHAnsi" w:hAnsiTheme="majorHAnsi"/>
            <w:noProof/>
            <w:webHidden/>
            <w:sz w:val="20"/>
            <w:szCs w:val="20"/>
          </w:rPr>
          <w:fldChar w:fldCharType="begin"/>
        </w:r>
        <w:r w:rsidR="00206C92" w:rsidRPr="00206C92">
          <w:rPr>
            <w:rFonts w:asciiTheme="majorHAnsi" w:hAnsiTheme="majorHAnsi"/>
            <w:noProof/>
            <w:webHidden/>
            <w:sz w:val="20"/>
            <w:szCs w:val="20"/>
          </w:rPr>
          <w:instrText xml:space="preserve"> PAGEREF _Toc6466642 \h </w:instrText>
        </w:r>
        <w:r w:rsidR="00206C92" w:rsidRPr="00206C92">
          <w:rPr>
            <w:rFonts w:asciiTheme="majorHAnsi" w:hAnsiTheme="majorHAnsi"/>
            <w:noProof/>
            <w:webHidden/>
            <w:sz w:val="20"/>
            <w:szCs w:val="20"/>
          </w:rPr>
        </w:r>
        <w:r w:rsidR="00206C92" w:rsidRPr="00206C92">
          <w:rPr>
            <w:rFonts w:asciiTheme="majorHAnsi" w:hAnsiTheme="majorHAnsi"/>
            <w:noProof/>
            <w:webHidden/>
            <w:sz w:val="20"/>
            <w:szCs w:val="20"/>
          </w:rPr>
          <w:fldChar w:fldCharType="separate"/>
        </w:r>
        <w:r w:rsidR="003D3644">
          <w:rPr>
            <w:rFonts w:asciiTheme="majorHAnsi" w:hAnsiTheme="majorHAnsi"/>
            <w:noProof/>
            <w:webHidden/>
            <w:sz w:val="20"/>
            <w:szCs w:val="20"/>
          </w:rPr>
          <w:t>13</w:t>
        </w:r>
        <w:r w:rsidR="00206C92" w:rsidRPr="00206C92">
          <w:rPr>
            <w:rFonts w:asciiTheme="majorHAnsi" w:hAnsiTheme="majorHAnsi"/>
            <w:noProof/>
            <w:webHidden/>
            <w:sz w:val="20"/>
            <w:szCs w:val="20"/>
          </w:rPr>
          <w:fldChar w:fldCharType="end"/>
        </w:r>
      </w:hyperlink>
    </w:p>
    <w:p w14:paraId="05AE08DE" w14:textId="07C4508A" w:rsidR="00206C92" w:rsidRPr="00206C92" w:rsidRDefault="009624E3" w:rsidP="00206C92">
      <w:pPr>
        <w:pStyle w:val="TOC3"/>
        <w:tabs>
          <w:tab w:val="left" w:pos="720"/>
          <w:tab w:val="left" w:pos="1440"/>
        </w:tabs>
        <w:ind w:hanging="720"/>
        <w:rPr>
          <w:rFonts w:asciiTheme="majorHAnsi" w:eastAsiaTheme="minorEastAsia" w:hAnsiTheme="majorHAnsi" w:cstheme="minorBidi"/>
          <w:noProof/>
          <w:sz w:val="20"/>
          <w:szCs w:val="20"/>
          <w:bdr w:val="none" w:sz="0" w:space="0" w:color="auto"/>
        </w:rPr>
      </w:pPr>
      <w:hyperlink w:anchor="_Toc6466643" w:history="1">
        <w:r w:rsidR="00206C92" w:rsidRPr="00206C92">
          <w:rPr>
            <w:rStyle w:val="Hyperlink"/>
            <w:rFonts w:asciiTheme="majorHAnsi" w:hAnsiTheme="majorHAnsi"/>
            <w:noProof/>
            <w:sz w:val="20"/>
            <w:szCs w:val="20"/>
          </w:rPr>
          <w:t>4.</w:t>
        </w:r>
        <w:r w:rsidR="00206C92" w:rsidRPr="00206C92">
          <w:rPr>
            <w:rFonts w:asciiTheme="majorHAnsi" w:eastAsiaTheme="minorEastAsia" w:hAnsiTheme="majorHAnsi" w:cstheme="minorBidi"/>
            <w:noProof/>
            <w:sz w:val="20"/>
            <w:szCs w:val="20"/>
            <w:bdr w:val="none" w:sz="0" w:space="0" w:color="auto"/>
          </w:rPr>
          <w:tab/>
        </w:r>
        <w:r w:rsidR="00206C92" w:rsidRPr="00206C92">
          <w:rPr>
            <w:rStyle w:val="Hyperlink"/>
            <w:rFonts w:asciiTheme="majorHAnsi" w:hAnsiTheme="majorHAnsi"/>
            <w:noProof/>
            <w:sz w:val="20"/>
            <w:szCs w:val="20"/>
          </w:rPr>
          <w:t xml:space="preserve">Sobre la sustracción y apropiación de niños y niñas en el marco </w:t>
        </w:r>
        <w:r w:rsidR="00206C92">
          <w:rPr>
            <w:rStyle w:val="Hyperlink"/>
            <w:rFonts w:asciiTheme="majorHAnsi" w:hAnsiTheme="majorHAnsi"/>
            <w:noProof/>
            <w:sz w:val="20"/>
            <w:szCs w:val="20"/>
          </w:rPr>
          <w:br/>
        </w:r>
        <w:r w:rsidR="00206C92" w:rsidRPr="00206C92">
          <w:rPr>
            <w:rStyle w:val="Hyperlink"/>
            <w:rFonts w:asciiTheme="majorHAnsi" w:hAnsiTheme="majorHAnsi"/>
            <w:noProof/>
            <w:sz w:val="20"/>
            <w:szCs w:val="20"/>
          </w:rPr>
          <w:t>de la “Operación Cóndor”</w:t>
        </w:r>
        <w:r w:rsidR="00206C92" w:rsidRPr="00206C92">
          <w:rPr>
            <w:rFonts w:asciiTheme="majorHAnsi" w:hAnsiTheme="majorHAnsi"/>
            <w:noProof/>
            <w:webHidden/>
            <w:sz w:val="20"/>
            <w:szCs w:val="20"/>
          </w:rPr>
          <w:tab/>
        </w:r>
        <w:r w:rsidR="00206C92" w:rsidRPr="00206C92">
          <w:rPr>
            <w:rFonts w:asciiTheme="majorHAnsi" w:hAnsiTheme="majorHAnsi"/>
            <w:noProof/>
            <w:webHidden/>
            <w:sz w:val="20"/>
            <w:szCs w:val="20"/>
          </w:rPr>
          <w:fldChar w:fldCharType="begin"/>
        </w:r>
        <w:r w:rsidR="00206C92" w:rsidRPr="00206C92">
          <w:rPr>
            <w:rFonts w:asciiTheme="majorHAnsi" w:hAnsiTheme="majorHAnsi"/>
            <w:noProof/>
            <w:webHidden/>
            <w:sz w:val="20"/>
            <w:szCs w:val="20"/>
          </w:rPr>
          <w:instrText xml:space="preserve"> PAGEREF _Toc6466643 \h </w:instrText>
        </w:r>
        <w:r w:rsidR="00206C92" w:rsidRPr="00206C92">
          <w:rPr>
            <w:rFonts w:asciiTheme="majorHAnsi" w:hAnsiTheme="majorHAnsi"/>
            <w:noProof/>
            <w:webHidden/>
            <w:sz w:val="20"/>
            <w:szCs w:val="20"/>
          </w:rPr>
        </w:r>
        <w:r w:rsidR="00206C92" w:rsidRPr="00206C92">
          <w:rPr>
            <w:rFonts w:asciiTheme="majorHAnsi" w:hAnsiTheme="majorHAnsi"/>
            <w:noProof/>
            <w:webHidden/>
            <w:sz w:val="20"/>
            <w:szCs w:val="20"/>
          </w:rPr>
          <w:fldChar w:fldCharType="separate"/>
        </w:r>
        <w:r w:rsidR="003D3644">
          <w:rPr>
            <w:rFonts w:asciiTheme="majorHAnsi" w:hAnsiTheme="majorHAnsi"/>
            <w:noProof/>
            <w:webHidden/>
            <w:sz w:val="20"/>
            <w:szCs w:val="20"/>
          </w:rPr>
          <w:t>14</w:t>
        </w:r>
        <w:r w:rsidR="00206C92" w:rsidRPr="00206C92">
          <w:rPr>
            <w:rFonts w:asciiTheme="majorHAnsi" w:hAnsiTheme="majorHAnsi"/>
            <w:noProof/>
            <w:webHidden/>
            <w:sz w:val="20"/>
            <w:szCs w:val="20"/>
          </w:rPr>
          <w:fldChar w:fldCharType="end"/>
        </w:r>
      </w:hyperlink>
    </w:p>
    <w:p w14:paraId="0096E1DA" w14:textId="77777777" w:rsidR="00206C92" w:rsidRPr="00206C92" w:rsidRDefault="009624E3" w:rsidP="00206C92">
      <w:pPr>
        <w:pStyle w:val="TOC2"/>
        <w:tabs>
          <w:tab w:val="left" w:pos="720"/>
        </w:tabs>
        <w:ind w:hanging="720"/>
        <w:rPr>
          <w:rFonts w:asciiTheme="majorHAnsi" w:eastAsiaTheme="minorEastAsia" w:hAnsiTheme="majorHAnsi" w:cstheme="minorBidi"/>
          <w:noProof/>
          <w:sz w:val="20"/>
          <w:szCs w:val="20"/>
          <w:bdr w:val="none" w:sz="0" w:space="0" w:color="auto"/>
        </w:rPr>
      </w:pPr>
      <w:hyperlink w:anchor="_Toc6466644" w:history="1">
        <w:r w:rsidR="00206C92" w:rsidRPr="00206C92">
          <w:rPr>
            <w:rStyle w:val="Hyperlink"/>
            <w:rFonts w:asciiTheme="majorHAnsi" w:hAnsiTheme="majorHAnsi"/>
            <w:noProof/>
            <w:sz w:val="20"/>
            <w:szCs w:val="20"/>
          </w:rPr>
          <w:t>B.</w:t>
        </w:r>
        <w:r w:rsidR="00206C92" w:rsidRPr="00206C92">
          <w:rPr>
            <w:rFonts w:asciiTheme="majorHAnsi" w:eastAsiaTheme="minorEastAsia" w:hAnsiTheme="majorHAnsi" w:cstheme="minorBidi"/>
            <w:noProof/>
            <w:sz w:val="20"/>
            <w:szCs w:val="20"/>
            <w:bdr w:val="none" w:sz="0" w:space="0" w:color="auto"/>
          </w:rPr>
          <w:tab/>
        </w:r>
        <w:r w:rsidR="00206C92" w:rsidRPr="00206C92">
          <w:rPr>
            <w:rStyle w:val="Hyperlink"/>
            <w:rFonts w:asciiTheme="majorHAnsi" w:hAnsiTheme="majorHAnsi"/>
            <w:noProof/>
            <w:sz w:val="20"/>
            <w:szCs w:val="20"/>
          </w:rPr>
          <w:t>Marco normativo relevante</w:t>
        </w:r>
        <w:r w:rsidR="00206C92" w:rsidRPr="00206C92">
          <w:rPr>
            <w:rFonts w:asciiTheme="majorHAnsi" w:hAnsiTheme="majorHAnsi"/>
            <w:noProof/>
            <w:webHidden/>
            <w:sz w:val="20"/>
            <w:szCs w:val="20"/>
          </w:rPr>
          <w:tab/>
        </w:r>
        <w:r w:rsidR="00206C92" w:rsidRPr="00206C92">
          <w:rPr>
            <w:rFonts w:asciiTheme="majorHAnsi" w:hAnsiTheme="majorHAnsi"/>
            <w:noProof/>
            <w:webHidden/>
            <w:sz w:val="20"/>
            <w:szCs w:val="20"/>
          </w:rPr>
          <w:fldChar w:fldCharType="begin"/>
        </w:r>
        <w:r w:rsidR="00206C92" w:rsidRPr="00206C92">
          <w:rPr>
            <w:rFonts w:asciiTheme="majorHAnsi" w:hAnsiTheme="majorHAnsi"/>
            <w:noProof/>
            <w:webHidden/>
            <w:sz w:val="20"/>
            <w:szCs w:val="20"/>
          </w:rPr>
          <w:instrText xml:space="preserve"> PAGEREF _Toc6466644 \h </w:instrText>
        </w:r>
        <w:r w:rsidR="00206C92" w:rsidRPr="00206C92">
          <w:rPr>
            <w:rFonts w:asciiTheme="majorHAnsi" w:hAnsiTheme="majorHAnsi"/>
            <w:noProof/>
            <w:webHidden/>
            <w:sz w:val="20"/>
            <w:szCs w:val="20"/>
          </w:rPr>
        </w:r>
        <w:r w:rsidR="00206C92" w:rsidRPr="00206C92">
          <w:rPr>
            <w:rFonts w:asciiTheme="majorHAnsi" w:hAnsiTheme="majorHAnsi"/>
            <w:noProof/>
            <w:webHidden/>
            <w:sz w:val="20"/>
            <w:szCs w:val="20"/>
          </w:rPr>
          <w:fldChar w:fldCharType="separate"/>
        </w:r>
        <w:r w:rsidR="003D3644">
          <w:rPr>
            <w:rFonts w:asciiTheme="majorHAnsi" w:hAnsiTheme="majorHAnsi"/>
            <w:noProof/>
            <w:webHidden/>
            <w:sz w:val="20"/>
            <w:szCs w:val="20"/>
          </w:rPr>
          <w:t>15</w:t>
        </w:r>
        <w:r w:rsidR="00206C92" w:rsidRPr="00206C92">
          <w:rPr>
            <w:rFonts w:asciiTheme="majorHAnsi" w:hAnsiTheme="majorHAnsi"/>
            <w:noProof/>
            <w:webHidden/>
            <w:sz w:val="20"/>
            <w:szCs w:val="20"/>
          </w:rPr>
          <w:fldChar w:fldCharType="end"/>
        </w:r>
      </w:hyperlink>
    </w:p>
    <w:p w14:paraId="37631A53" w14:textId="77777777" w:rsidR="00206C92" w:rsidRPr="00206C92" w:rsidRDefault="009624E3" w:rsidP="00206C92">
      <w:pPr>
        <w:pStyle w:val="TOC2"/>
        <w:tabs>
          <w:tab w:val="left" w:pos="720"/>
        </w:tabs>
        <w:ind w:hanging="720"/>
        <w:rPr>
          <w:rFonts w:asciiTheme="majorHAnsi" w:eastAsiaTheme="minorEastAsia" w:hAnsiTheme="majorHAnsi" w:cstheme="minorBidi"/>
          <w:noProof/>
          <w:sz w:val="20"/>
          <w:szCs w:val="20"/>
          <w:bdr w:val="none" w:sz="0" w:space="0" w:color="auto"/>
        </w:rPr>
      </w:pPr>
      <w:hyperlink w:anchor="_Toc6466645" w:history="1">
        <w:r w:rsidR="00206C92" w:rsidRPr="00206C92">
          <w:rPr>
            <w:rStyle w:val="Hyperlink"/>
            <w:rFonts w:asciiTheme="majorHAnsi" w:hAnsiTheme="majorHAnsi"/>
            <w:noProof/>
            <w:sz w:val="20"/>
            <w:szCs w:val="20"/>
          </w:rPr>
          <w:t>C.</w:t>
        </w:r>
        <w:r w:rsidR="00206C92" w:rsidRPr="00206C92">
          <w:rPr>
            <w:rFonts w:asciiTheme="majorHAnsi" w:eastAsiaTheme="minorEastAsia" w:hAnsiTheme="majorHAnsi" w:cstheme="minorBidi"/>
            <w:noProof/>
            <w:sz w:val="20"/>
            <w:szCs w:val="20"/>
            <w:bdr w:val="none" w:sz="0" w:space="0" w:color="auto"/>
          </w:rPr>
          <w:tab/>
        </w:r>
        <w:r w:rsidR="00206C92" w:rsidRPr="00206C92">
          <w:rPr>
            <w:rStyle w:val="Hyperlink"/>
            <w:rFonts w:asciiTheme="majorHAnsi" w:hAnsiTheme="majorHAnsi"/>
            <w:noProof/>
            <w:sz w:val="20"/>
            <w:szCs w:val="20"/>
          </w:rPr>
          <w:t>Sobre la familia Julien - Grisonas</w:t>
        </w:r>
        <w:r w:rsidR="00206C92" w:rsidRPr="00206C92">
          <w:rPr>
            <w:rFonts w:asciiTheme="majorHAnsi" w:hAnsiTheme="majorHAnsi"/>
            <w:noProof/>
            <w:webHidden/>
            <w:sz w:val="20"/>
            <w:szCs w:val="20"/>
          </w:rPr>
          <w:tab/>
        </w:r>
        <w:r w:rsidR="00206C92" w:rsidRPr="00206C92">
          <w:rPr>
            <w:rFonts w:asciiTheme="majorHAnsi" w:hAnsiTheme="majorHAnsi"/>
            <w:noProof/>
            <w:webHidden/>
            <w:sz w:val="20"/>
            <w:szCs w:val="20"/>
          </w:rPr>
          <w:fldChar w:fldCharType="begin"/>
        </w:r>
        <w:r w:rsidR="00206C92" w:rsidRPr="00206C92">
          <w:rPr>
            <w:rFonts w:asciiTheme="majorHAnsi" w:hAnsiTheme="majorHAnsi"/>
            <w:noProof/>
            <w:webHidden/>
            <w:sz w:val="20"/>
            <w:szCs w:val="20"/>
          </w:rPr>
          <w:instrText xml:space="preserve"> PAGEREF _Toc6466645 \h </w:instrText>
        </w:r>
        <w:r w:rsidR="00206C92" w:rsidRPr="00206C92">
          <w:rPr>
            <w:rFonts w:asciiTheme="majorHAnsi" w:hAnsiTheme="majorHAnsi"/>
            <w:noProof/>
            <w:webHidden/>
            <w:sz w:val="20"/>
            <w:szCs w:val="20"/>
          </w:rPr>
        </w:r>
        <w:r w:rsidR="00206C92" w:rsidRPr="00206C92">
          <w:rPr>
            <w:rFonts w:asciiTheme="majorHAnsi" w:hAnsiTheme="majorHAnsi"/>
            <w:noProof/>
            <w:webHidden/>
            <w:sz w:val="20"/>
            <w:szCs w:val="20"/>
          </w:rPr>
          <w:fldChar w:fldCharType="separate"/>
        </w:r>
        <w:r w:rsidR="003D3644">
          <w:rPr>
            <w:rFonts w:asciiTheme="majorHAnsi" w:hAnsiTheme="majorHAnsi"/>
            <w:noProof/>
            <w:webHidden/>
            <w:sz w:val="20"/>
            <w:szCs w:val="20"/>
          </w:rPr>
          <w:t>18</w:t>
        </w:r>
        <w:r w:rsidR="00206C92" w:rsidRPr="00206C92">
          <w:rPr>
            <w:rFonts w:asciiTheme="majorHAnsi" w:hAnsiTheme="majorHAnsi"/>
            <w:noProof/>
            <w:webHidden/>
            <w:sz w:val="20"/>
            <w:szCs w:val="20"/>
          </w:rPr>
          <w:fldChar w:fldCharType="end"/>
        </w:r>
      </w:hyperlink>
    </w:p>
    <w:p w14:paraId="6FF5A97C" w14:textId="77777777" w:rsidR="00206C92" w:rsidRPr="00206C92" w:rsidRDefault="009624E3" w:rsidP="00206C92">
      <w:pPr>
        <w:pStyle w:val="TOC2"/>
        <w:tabs>
          <w:tab w:val="left" w:pos="720"/>
        </w:tabs>
        <w:ind w:hanging="720"/>
        <w:rPr>
          <w:rFonts w:asciiTheme="majorHAnsi" w:eastAsiaTheme="minorEastAsia" w:hAnsiTheme="majorHAnsi" w:cstheme="minorBidi"/>
          <w:noProof/>
          <w:sz w:val="20"/>
          <w:szCs w:val="20"/>
          <w:bdr w:val="none" w:sz="0" w:space="0" w:color="auto"/>
        </w:rPr>
      </w:pPr>
      <w:hyperlink w:anchor="_Toc6466646" w:history="1">
        <w:r w:rsidR="00206C92" w:rsidRPr="00206C92">
          <w:rPr>
            <w:rStyle w:val="Hyperlink"/>
            <w:rFonts w:asciiTheme="majorHAnsi" w:hAnsiTheme="majorHAnsi"/>
            <w:noProof/>
            <w:sz w:val="20"/>
            <w:szCs w:val="20"/>
          </w:rPr>
          <w:t>D.</w:t>
        </w:r>
        <w:r w:rsidR="00206C92" w:rsidRPr="00206C92">
          <w:rPr>
            <w:rFonts w:asciiTheme="majorHAnsi" w:eastAsiaTheme="minorEastAsia" w:hAnsiTheme="majorHAnsi" w:cstheme="minorBidi"/>
            <w:noProof/>
            <w:sz w:val="20"/>
            <w:szCs w:val="20"/>
            <w:bdr w:val="none" w:sz="0" w:space="0" w:color="auto"/>
          </w:rPr>
          <w:tab/>
        </w:r>
        <w:r w:rsidR="00206C92" w:rsidRPr="00206C92">
          <w:rPr>
            <w:rStyle w:val="Hyperlink"/>
            <w:rFonts w:asciiTheme="majorHAnsi" w:hAnsiTheme="majorHAnsi"/>
            <w:noProof/>
            <w:sz w:val="20"/>
            <w:szCs w:val="20"/>
          </w:rPr>
          <w:t>Hechos del caso</w:t>
        </w:r>
        <w:r w:rsidR="00206C92" w:rsidRPr="00206C92">
          <w:rPr>
            <w:rFonts w:asciiTheme="majorHAnsi" w:hAnsiTheme="majorHAnsi"/>
            <w:noProof/>
            <w:webHidden/>
            <w:sz w:val="20"/>
            <w:szCs w:val="20"/>
          </w:rPr>
          <w:tab/>
        </w:r>
        <w:r w:rsidR="00206C92" w:rsidRPr="00206C92">
          <w:rPr>
            <w:rFonts w:asciiTheme="majorHAnsi" w:hAnsiTheme="majorHAnsi"/>
            <w:noProof/>
            <w:webHidden/>
            <w:sz w:val="20"/>
            <w:szCs w:val="20"/>
          </w:rPr>
          <w:fldChar w:fldCharType="begin"/>
        </w:r>
        <w:r w:rsidR="00206C92" w:rsidRPr="00206C92">
          <w:rPr>
            <w:rFonts w:asciiTheme="majorHAnsi" w:hAnsiTheme="majorHAnsi"/>
            <w:noProof/>
            <w:webHidden/>
            <w:sz w:val="20"/>
            <w:szCs w:val="20"/>
          </w:rPr>
          <w:instrText xml:space="preserve"> PAGEREF _Toc6466646 \h </w:instrText>
        </w:r>
        <w:r w:rsidR="00206C92" w:rsidRPr="00206C92">
          <w:rPr>
            <w:rFonts w:asciiTheme="majorHAnsi" w:hAnsiTheme="majorHAnsi"/>
            <w:noProof/>
            <w:webHidden/>
            <w:sz w:val="20"/>
            <w:szCs w:val="20"/>
          </w:rPr>
        </w:r>
        <w:r w:rsidR="00206C92" w:rsidRPr="00206C92">
          <w:rPr>
            <w:rFonts w:asciiTheme="majorHAnsi" w:hAnsiTheme="majorHAnsi"/>
            <w:noProof/>
            <w:webHidden/>
            <w:sz w:val="20"/>
            <w:szCs w:val="20"/>
          </w:rPr>
          <w:fldChar w:fldCharType="separate"/>
        </w:r>
        <w:r w:rsidR="003D3644">
          <w:rPr>
            <w:rFonts w:asciiTheme="majorHAnsi" w:hAnsiTheme="majorHAnsi"/>
            <w:noProof/>
            <w:webHidden/>
            <w:sz w:val="20"/>
            <w:szCs w:val="20"/>
          </w:rPr>
          <w:t>19</w:t>
        </w:r>
        <w:r w:rsidR="00206C92" w:rsidRPr="00206C92">
          <w:rPr>
            <w:rFonts w:asciiTheme="majorHAnsi" w:hAnsiTheme="majorHAnsi"/>
            <w:noProof/>
            <w:webHidden/>
            <w:sz w:val="20"/>
            <w:szCs w:val="20"/>
          </w:rPr>
          <w:fldChar w:fldCharType="end"/>
        </w:r>
      </w:hyperlink>
    </w:p>
    <w:p w14:paraId="3E73DC5A" w14:textId="77777777" w:rsidR="00206C92" w:rsidRPr="00206C92" w:rsidRDefault="009624E3" w:rsidP="00206C92">
      <w:pPr>
        <w:pStyle w:val="TOC3"/>
        <w:tabs>
          <w:tab w:val="left" w:pos="720"/>
          <w:tab w:val="left" w:pos="1440"/>
        </w:tabs>
        <w:ind w:hanging="720"/>
        <w:rPr>
          <w:rFonts w:asciiTheme="majorHAnsi" w:eastAsiaTheme="minorEastAsia" w:hAnsiTheme="majorHAnsi" w:cstheme="minorBidi"/>
          <w:noProof/>
          <w:sz w:val="20"/>
          <w:szCs w:val="20"/>
          <w:bdr w:val="none" w:sz="0" w:space="0" w:color="auto"/>
        </w:rPr>
      </w:pPr>
      <w:hyperlink w:anchor="_Toc6466647" w:history="1">
        <w:r w:rsidR="00206C92" w:rsidRPr="00206C92">
          <w:rPr>
            <w:rStyle w:val="Hyperlink"/>
            <w:rFonts w:asciiTheme="majorHAnsi" w:hAnsiTheme="majorHAnsi"/>
            <w:noProof/>
            <w:sz w:val="20"/>
            <w:szCs w:val="20"/>
          </w:rPr>
          <w:t>1.</w:t>
        </w:r>
        <w:r w:rsidR="00206C92" w:rsidRPr="00206C92">
          <w:rPr>
            <w:rFonts w:asciiTheme="majorHAnsi" w:eastAsiaTheme="minorEastAsia" w:hAnsiTheme="majorHAnsi" w:cstheme="minorBidi"/>
            <w:noProof/>
            <w:sz w:val="20"/>
            <w:szCs w:val="20"/>
            <w:bdr w:val="none" w:sz="0" w:space="0" w:color="auto"/>
          </w:rPr>
          <w:tab/>
        </w:r>
        <w:r w:rsidR="00206C92" w:rsidRPr="00206C92">
          <w:rPr>
            <w:rStyle w:val="Hyperlink"/>
            <w:rFonts w:asciiTheme="majorHAnsi" w:hAnsiTheme="majorHAnsi"/>
            <w:noProof/>
            <w:sz w:val="20"/>
            <w:szCs w:val="20"/>
          </w:rPr>
          <w:t>Sobre el operativo llevado a cabo el 26 de septiembre de 1976</w:t>
        </w:r>
        <w:r w:rsidR="00206C92" w:rsidRPr="00206C92">
          <w:rPr>
            <w:rFonts w:asciiTheme="majorHAnsi" w:hAnsiTheme="majorHAnsi"/>
            <w:noProof/>
            <w:webHidden/>
            <w:sz w:val="20"/>
            <w:szCs w:val="20"/>
          </w:rPr>
          <w:tab/>
        </w:r>
        <w:r w:rsidR="00206C92" w:rsidRPr="00206C92">
          <w:rPr>
            <w:rFonts w:asciiTheme="majorHAnsi" w:hAnsiTheme="majorHAnsi"/>
            <w:noProof/>
            <w:webHidden/>
            <w:sz w:val="20"/>
            <w:szCs w:val="20"/>
          </w:rPr>
          <w:fldChar w:fldCharType="begin"/>
        </w:r>
        <w:r w:rsidR="00206C92" w:rsidRPr="00206C92">
          <w:rPr>
            <w:rFonts w:asciiTheme="majorHAnsi" w:hAnsiTheme="majorHAnsi"/>
            <w:noProof/>
            <w:webHidden/>
            <w:sz w:val="20"/>
            <w:szCs w:val="20"/>
          </w:rPr>
          <w:instrText xml:space="preserve"> PAGEREF _Toc6466647 \h </w:instrText>
        </w:r>
        <w:r w:rsidR="00206C92" w:rsidRPr="00206C92">
          <w:rPr>
            <w:rFonts w:asciiTheme="majorHAnsi" w:hAnsiTheme="majorHAnsi"/>
            <w:noProof/>
            <w:webHidden/>
            <w:sz w:val="20"/>
            <w:szCs w:val="20"/>
          </w:rPr>
        </w:r>
        <w:r w:rsidR="00206C92" w:rsidRPr="00206C92">
          <w:rPr>
            <w:rFonts w:asciiTheme="majorHAnsi" w:hAnsiTheme="majorHAnsi"/>
            <w:noProof/>
            <w:webHidden/>
            <w:sz w:val="20"/>
            <w:szCs w:val="20"/>
          </w:rPr>
          <w:fldChar w:fldCharType="separate"/>
        </w:r>
        <w:r w:rsidR="003D3644">
          <w:rPr>
            <w:rFonts w:asciiTheme="majorHAnsi" w:hAnsiTheme="majorHAnsi"/>
            <w:noProof/>
            <w:webHidden/>
            <w:sz w:val="20"/>
            <w:szCs w:val="20"/>
          </w:rPr>
          <w:t>19</w:t>
        </w:r>
        <w:r w:rsidR="00206C92" w:rsidRPr="00206C92">
          <w:rPr>
            <w:rFonts w:asciiTheme="majorHAnsi" w:hAnsiTheme="majorHAnsi"/>
            <w:noProof/>
            <w:webHidden/>
            <w:sz w:val="20"/>
            <w:szCs w:val="20"/>
          </w:rPr>
          <w:fldChar w:fldCharType="end"/>
        </w:r>
      </w:hyperlink>
    </w:p>
    <w:p w14:paraId="7DD94E85" w14:textId="77777777" w:rsidR="00206C92" w:rsidRPr="00206C92" w:rsidRDefault="009624E3" w:rsidP="00206C92">
      <w:pPr>
        <w:pStyle w:val="TOC3"/>
        <w:tabs>
          <w:tab w:val="left" w:pos="720"/>
          <w:tab w:val="left" w:pos="1440"/>
        </w:tabs>
        <w:ind w:hanging="720"/>
        <w:rPr>
          <w:rFonts w:asciiTheme="majorHAnsi" w:eastAsiaTheme="minorEastAsia" w:hAnsiTheme="majorHAnsi" w:cstheme="minorBidi"/>
          <w:noProof/>
          <w:sz w:val="20"/>
          <w:szCs w:val="20"/>
          <w:bdr w:val="none" w:sz="0" w:space="0" w:color="auto"/>
        </w:rPr>
      </w:pPr>
      <w:hyperlink w:anchor="_Toc6466648" w:history="1">
        <w:r w:rsidR="00206C92" w:rsidRPr="00206C92">
          <w:rPr>
            <w:rStyle w:val="Hyperlink"/>
            <w:rFonts w:asciiTheme="majorHAnsi" w:hAnsiTheme="majorHAnsi"/>
            <w:noProof/>
            <w:sz w:val="20"/>
            <w:szCs w:val="20"/>
          </w:rPr>
          <w:t>2.</w:t>
        </w:r>
        <w:r w:rsidR="00206C92" w:rsidRPr="00206C92">
          <w:rPr>
            <w:rFonts w:asciiTheme="majorHAnsi" w:eastAsiaTheme="minorEastAsia" w:hAnsiTheme="majorHAnsi" w:cstheme="minorBidi"/>
            <w:noProof/>
            <w:sz w:val="20"/>
            <w:szCs w:val="20"/>
            <w:bdr w:val="none" w:sz="0" w:space="0" w:color="auto"/>
          </w:rPr>
          <w:tab/>
        </w:r>
        <w:r w:rsidR="00206C92" w:rsidRPr="00206C92">
          <w:rPr>
            <w:rStyle w:val="Hyperlink"/>
            <w:rFonts w:asciiTheme="majorHAnsi" w:hAnsiTheme="majorHAnsi"/>
            <w:noProof/>
            <w:sz w:val="20"/>
            <w:szCs w:val="20"/>
          </w:rPr>
          <w:t>Sobre la detención en “Automotores Orletti” y los traslados a Uruguay y a Chile</w:t>
        </w:r>
        <w:r w:rsidR="00206C92" w:rsidRPr="00206C92">
          <w:rPr>
            <w:rFonts w:asciiTheme="majorHAnsi" w:hAnsiTheme="majorHAnsi"/>
            <w:noProof/>
            <w:webHidden/>
            <w:sz w:val="20"/>
            <w:szCs w:val="20"/>
          </w:rPr>
          <w:tab/>
        </w:r>
        <w:r w:rsidR="00206C92" w:rsidRPr="00206C92">
          <w:rPr>
            <w:rFonts w:asciiTheme="majorHAnsi" w:hAnsiTheme="majorHAnsi"/>
            <w:noProof/>
            <w:webHidden/>
            <w:sz w:val="20"/>
            <w:szCs w:val="20"/>
          </w:rPr>
          <w:fldChar w:fldCharType="begin"/>
        </w:r>
        <w:r w:rsidR="00206C92" w:rsidRPr="00206C92">
          <w:rPr>
            <w:rFonts w:asciiTheme="majorHAnsi" w:hAnsiTheme="majorHAnsi"/>
            <w:noProof/>
            <w:webHidden/>
            <w:sz w:val="20"/>
            <w:szCs w:val="20"/>
          </w:rPr>
          <w:instrText xml:space="preserve"> PAGEREF _Toc6466648 \h </w:instrText>
        </w:r>
        <w:r w:rsidR="00206C92" w:rsidRPr="00206C92">
          <w:rPr>
            <w:rFonts w:asciiTheme="majorHAnsi" w:hAnsiTheme="majorHAnsi"/>
            <w:noProof/>
            <w:webHidden/>
            <w:sz w:val="20"/>
            <w:szCs w:val="20"/>
          </w:rPr>
        </w:r>
        <w:r w:rsidR="00206C92" w:rsidRPr="00206C92">
          <w:rPr>
            <w:rFonts w:asciiTheme="majorHAnsi" w:hAnsiTheme="majorHAnsi"/>
            <w:noProof/>
            <w:webHidden/>
            <w:sz w:val="20"/>
            <w:szCs w:val="20"/>
          </w:rPr>
          <w:fldChar w:fldCharType="separate"/>
        </w:r>
        <w:r w:rsidR="003D3644">
          <w:rPr>
            <w:rFonts w:asciiTheme="majorHAnsi" w:hAnsiTheme="majorHAnsi"/>
            <w:noProof/>
            <w:webHidden/>
            <w:sz w:val="20"/>
            <w:szCs w:val="20"/>
          </w:rPr>
          <w:t>20</w:t>
        </w:r>
        <w:r w:rsidR="00206C92" w:rsidRPr="00206C92">
          <w:rPr>
            <w:rFonts w:asciiTheme="majorHAnsi" w:hAnsiTheme="majorHAnsi"/>
            <w:noProof/>
            <w:webHidden/>
            <w:sz w:val="20"/>
            <w:szCs w:val="20"/>
          </w:rPr>
          <w:fldChar w:fldCharType="end"/>
        </w:r>
      </w:hyperlink>
    </w:p>
    <w:p w14:paraId="14A63EC1" w14:textId="77777777" w:rsidR="00206C92" w:rsidRPr="00206C92" w:rsidRDefault="009624E3" w:rsidP="00206C92">
      <w:pPr>
        <w:pStyle w:val="TOC3"/>
        <w:tabs>
          <w:tab w:val="left" w:pos="720"/>
          <w:tab w:val="left" w:pos="1440"/>
        </w:tabs>
        <w:ind w:hanging="720"/>
        <w:rPr>
          <w:rFonts w:asciiTheme="majorHAnsi" w:eastAsiaTheme="minorEastAsia" w:hAnsiTheme="majorHAnsi" w:cstheme="minorBidi"/>
          <w:noProof/>
          <w:sz w:val="20"/>
          <w:szCs w:val="20"/>
          <w:bdr w:val="none" w:sz="0" w:space="0" w:color="auto"/>
        </w:rPr>
      </w:pPr>
      <w:hyperlink w:anchor="_Toc6466649" w:history="1">
        <w:r w:rsidR="00206C92" w:rsidRPr="00206C92">
          <w:rPr>
            <w:rStyle w:val="Hyperlink"/>
            <w:rFonts w:asciiTheme="majorHAnsi" w:hAnsiTheme="majorHAnsi"/>
            <w:noProof/>
            <w:sz w:val="20"/>
            <w:szCs w:val="20"/>
          </w:rPr>
          <w:t>3.</w:t>
        </w:r>
        <w:r w:rsidR="00206C92" w:rsidRPr="00206C92">
          <w:rPr>
            <w:rFonts w:asciiTheme="majorHAnsi" w:eastAsiaTheme="minorEastAsia" w:hAnsiTheme="majorHAnsi" w:cstheme="minorBidi"/>
            <w:noProof/>
            <w:sz w:val="20"/>
            <w:szCs w:val="20"/>
            <w:bdr w:val="none" w:sz="0" w:space="0" w:color="auto"/>
          </w:rPr>
          <w:tab/>
        </w:r>
        <w:r w:rsidR="00206C92" w:rsidRPr="00206C92">
          <w:rPr>
            <w:rStyle w:val="Hyperlink"/>
            <w:rFonts w:asciiTheme="majorHAnsi" w:hAnsiTheme="majorHAnsi"/>
            <w:noProof/>
            <w:sz w:val="20"/>
            <w:szCs w:val="20"/>
          </w:rPr>
          <w:t>Sobre la búsqueda de los familiares</w:t>
        </w:r>
        <w:r w:rsidR="00206C92" w:rsidRPr="00206C92">
          <w:rPr>
            <w:rFonts w:asciiTheme="majorHAnsi" w:hAnsiTheme="majorHAnsi"/>
            <w:noProof/>
            <w:webHidden/>
            <w:sz w:val="20"/>
            <w:szCs w:val="20"/>
          </w:rPr>
          <w:tab/>
        </w:r>
        <w:r w:rsidR="00206C92" w:rsidRPr="00206C92">
          <w:rPr>
            <w:rFonts w:asciiTheme="majorHAnsi" w:hAnsiTheme="majorHAnsi"/>
            <w:noProof/>
            <w:webHidden/>
            <w:sz w:val="20"/>
            <w:szCs w:val="20"/>
          </w:rPr>
          <w:fldChar w:fldCharType="begin"/>
        </w:r>
        <w:r w:rsidR="00206C92" w:rsidRPr="00206C92">
          <w:rPr>
            <w:rFonts w:asciiTheme="majorHAnsi" w:hAnsiTheme="majorHAnsi"/>
            <w:noProof/>
            <w:webHidden/>
            <w:sz w:val="20"/>
            <w:szCs w:val="20"/>
          </w:rPr>
          <w:instrText xml:space="preserve"> PAGEREF _Toc6466649 \h </w:instrText>
        </w:r>
        <w:r w:rsidR="00206C92" w:rsidRPr="00206C92">
          <w:rPr>
            <w:rFonts w:asciiTheme="majorHAnsi" w:hAnsiTheme="majorHAnsi"/>
            <w:noProof/>
            <w:webHidden/>
            <w:sz w:val="20"/>
            <w:szCs w:val="20"/>
          </w:rPr>
        </w:r>
        <w:r w:rsidR="00206C92" w:rsidRPr="00206C92">
          <w:rPr>
            <w:rFonts w:asciiTheme="majorHAnsi" w:hAnsiTheme="majorHAnsi"/>
            <w:noProof/>
            <w:webHidden/>
            <w:sz w:val="20"/>
            <w:szCs w:val="20"/>
          </w:rPr>
          <w:fldChar w:fldCharType="separate"/>
        </w:r>
        <w:r w:rsidR="003D3644">
          <w:rPr>
            <w:rFonts w:asciiTheme="majorHAnsi" w:hAnsiTheme="majorHAnsi"/>
            <w:noProof/>
            <w:webHidden/>
            <w:sz w:val="20"/>
            <w:szCs w:val="20"/>
          </w:rPr>
          <w:t>21</w:t>
        </w:r>
        <w:r w:rsidR="00206C92" w:rsidRPr="00206C92">
          <w:rPr>
            <w:rFonts w:asciiTheme="majorHAnsi" w:hAnsiTheme="majorHAnsi"/>
            <w:noProof/>
            <w:webHidden/>
            <w:sz w:val="20"/>
            <w:szCs w:val="20"/>
          </w:rPr>
          <w:fldChar w:fldCharType="end"/>
        </w:r>
      </w:hyperlink>
    </w:p>
    <w:p w14:paraId="48C21E19" w14:textId="77777777" w:rsidR="00206C92" w:rsidRPr="00206C92" w:rsidRDefault="009624E3" w:rsidP="00206C92">
      <w:pPr>
        <w:pStyle w:val="TOC3"/>
        <w:tabs>
          <w:tab w:val="left" w:pos="720"/>
          <w:tab w:val="left" w:pos="1440"/>
        </w:tabs>
        <w:ind w:hanging="720"/>
        <w:rPr>
          <w:rFonts w:asciiTheme="majorHAnsi" w:eastAsiaTheme="minorEastAsia" w:hAnsiTheme="majorHAnsi" w:cstheme="minorBidi"/>
          <w:noProof/>
          <w:sz w:val="20"/>
          <w:szCs w:val="20"/>
          <w:bdr w:val="none" w:sz="0" w:space="0" w:color="auto"/>
        </w:rPr>
      </w:pPr>
      <w:hyperlink w:anchor="_Toc6466650" w:history="1">
        <w:r w:rsidR="00206C92" w:rsidRPr="00206C92">
          <w:rPr>
            <w:rStyle w:val="Hyperlink"/>
            <w:rFonts w:asciiTheme="majorHAnsi" w:hAnsiTheme="majorHAnsi"/>
            <w:noProof/>
            <w:sz w:val="20"/>
            <w:szCs w:val="20"/>
          </w:rPr>
          <w:t>4.</w:t>
        </w:r>
        <w:r w:rsidR="00206C92" w:rsidRPr="00206C92">
          <w:rPr>
            <w:rFonts w:asciiTheme="majorHAnsi" w:eastAsiaTheme="minorEastAsia" w:hAnsiTheme="majorHAnsi" w:cstheme="minorBidi"/>
            <w:noProof/>
            <w:sz w:val="20"/>
            <w:szCs w:val="20"/>
            <w:bdr w:val="none" w:sz="0" w:space="0" w:color="auto"/>
          </w:rPr>
          <w:tab/>
        </w:r>
        <w:r w:rsidR="00206C92" w:rsidRPr="00206C92">
          <w:rPr>
            <w:rStyle w:val="Hyperlink"/>
            <w:rFonts w:asciiTheme="majorHAnsi" w:hAnsiTheme="majorHAnsi"/>
            <w:noProof/>
            <w:sz w:val="20"/>
            <w:szCs w:val="20"/>
          </w:rPr>
          <w:t>Sobre la recuperación de la identidad de los hermanos Larrabeiti Yáñez</w:t>
        </w:r>
        <w:r w:rsidR="00206C92" w:rsidRPr="00206C92">
          <w:rPr>
            <w:rFonts w:asciiTheme="majorHAnsi" w:hAnsiTheme="majorHAnsi"/>
            <w:noProof/>
            <w:webHidden/>
            <w:sz w:val="20"/>
            <w:szCs w:val="20"/>
          </w:rPr>
          <w:tab/>
        </w:r>
        <w:r w:rsidR="00206C92" w:rsidRPr="00206C92">
          <w:rPr>
            <w:rFonts w:asciiTheme="majorHAnsi" w:hAnsiTheme="majorHAnsi"/>
            <w:noProof/>
            <w:webHidden/>
            <w:sz w:val="20"/>
            <w:szCs w:val="20"/>
          </w:rPr>
          <w:fldChar w:fldCharType="begin"/>
        </w:r>
        <w:r w:rsidR="00206C92" w:rsidRPr="00206C92">
          <w:rPr>
            <w:rFonts w:asciiTheme="majorHAnsi" w:hAnsiTheme="majorHAnsi"/>
            <w:noProof/>
            <w:webHidden/>
            <w:sz w:val="20"/>
            <w:szCs w:val="20"/>
          </w:rPr>
          <w:instrText xml:space="preserve"> PAGEREF _Toc6466650 \h </w:instrText>
        </w:r>
        <w:r w:rsidR="00206C92" w:rsidRPr="00206C92">
          <w:rPr>
            <w:rFonts w:asciiTheme="majorHAnsi" w:hAnsiTheme="majorHAnsi"/>
            <w:noProof/>
            <w:webHidden/>
            <w:sz w:val="20"/>
            <w:szCs w:val="20"/>
          </w:rPr>
        </w:r>
        <w:r w:rsidR="00206C92" w:rsidRPr="00206C92">
          <w:rPr>
            <w:rFonts w:asciiTheme="majorHAnsi" w:hAnsiTheme="majorHAnsi"/>
            <w:noProof/>
            <w:webHidden/>
            <w:sz w:val="20"/>
            <w:szCs w:val="20"/>
          </w:rPr>
          <w:fldChar w:fldCharType="separate"/>
        </w:r>
        <w:r w:rsidR="003D3644">
          <w:rPr>
            <w:rFonts w:asciiTheme="majorHAnsi" w:hAnsiTheme="majorHAnsi"/>
            <w:noProof/>
            <w:webHidden/>
            <w:sz w:val="20"/>
            <w:szCs w:val="20"/>
          </w:rPr>
          <w:t>21</w:t>
        </w:r>
        <w:r w:rsidR="00206C92" w:rsidRPr="00206C92">
          <w:rPr>
            <w:rFonts w:asciiTheme="majorHAnsi" w:hAnsiTheme="majorHAnsi"/>
            <w:noProof/>
            <w:webHidden/>
            <w:sz w:val="20"/>
            <w:szCs w:val="20"/>
          </w:rPr>
          <w:fldChar w:fldCharType="end"/>
        </w:r>
      </w:hyperlink>
    </w:p>
    <w:p w14:paraId="5A097075" w14:textId="77777777" w:rsidR="00206C92" w:rsidRPr="00206C92" w:rsidRDefault="009624E3" w:rsidP="00206C92">
      <w:pPr>
        <w:pStyle w:val="TOC2"/>
        <w:tabs>
          <w:tab w:val="left" w:pos="720"/>
        </w:tabs>
        <w:ind w:hanging="720"/>
        <w:rPr>
          <w:rFonts w:asciiTheme="majorHAnsi" w:eastAsiaTheme="minorEastAsia" w:hAnsiTheme="majorHAnsi" w:cstheme="minorBidi"/>
          <w:noProof/>
          <w:sz w:val="20"/>
          <w:szCs w:val="20"/>
          <w:bdr w:val="none" w:sz="0" w:space="0" w:color="auto"/>
        </w:rPr>
      </w:pPr>
      <w:hyperlink w:anchor="_Toc6466651" w:history="1">
        <w:r w:rsidR="00206C92" w:rsidRPr="00206C92">
          <w:rPr>
            <w:rStyle w:val="Hyperlink"/>
            <w:rFonts w:asciiTheme="majorHAnsi" w:hAnsiTheme="majorHAnsi"/>
            <w:noProof/>
            <w:sz w:val="20"/>
            <w:szCs w:val="20"/>
          </w:rPr>
          <w:t>E.</w:t>
        </w:r>
        <w:r w:rsidR="00206C92" w:rsidRPr="00206C92">
          <w:rPr>
            <w:rFonts w:asciiTheme="majorHAnsi" w:eastAsiaTheme="minorEastAsia" w:hAnsiTheme="majorHAnsi" w:cstheme="minorBidi"/>
            <w:noProof/>
            <w:sz w:val="20"/>
            <w:szCs w:val="20"/>
            <w:bdr w:val="none" w:sz="0" w:space="0" w:color="auto"/>
          </w:rPr>
          <w:tab/>
        </w:r>
        <w:r w:rsidR="00206C92" w:rsidRPr="00206C92">
          <w:rPr>
            <w:rStyle w:val="Hyperlink"/>
            <w:rFonts w:asciiTheme="majorHAnsi" w:hAnsiTheme="majorHAnsi"/>
            <w:noProof/>
            <w:sz w:val="20"/>
            <w:szCs w:val="20"/>
          </w:rPr>
          <w:t>Sobre las reparaciones administrativas</w:t>
        </w:r>
        <w:r w:rsidR="00206C92" w:rsidRPr="00206C92">
          <w:rPr>
            <w:rFonts w:asciiTheme="majorHAnsi" w:hAnsiTheme="majorHAnsi"/>
            <w:noProof/>
            <w:webHidden/>
            <w:sz w:val="20"/>
            <w:szCs w:val="20"/>
          </w:rPr>
          <w:tab/>
        </w:r>
        <w:r w:rsidR="00206C92" w:rsidRPr="00206C92">
          <w:rPr>
            <w:rFonts w:asciiTheme="majorHAnsi" w:hAnsiTheme="majorHAnsi"/>
            <w:noProof/>
            <w:webHidden/>
            <w:sz w:val="20"/>
            <w:szCs w:val="20"/>
          </w:rPr>
          <w:fldChar w:fldCharType="begin"/>
        </w:r>
        <w:r w:rsidR="00206C92" w:rsidRPr="00206C92">
          <w:rPr>
            <w:rFonts w:asciiTheme="majorHAnsi" w:hAnsiTheme="majorHAnsi"/>
            <w:noProof/>
            <w:webHidden/>
            <w:sz w:val="20"/>
            <w:szCs w:val="20"/>
          </w:rPr>
          <w:instrText xml:space="preserve"> PAGEREF _Toc6466651 \h </w:instrText>
        </w:r>
        <w:r w:rsidR="00206C92" w:rsidRPr="00206C92">
          <w:rPr>
            <w:rFonts w:asciiTheme="majorHAnsi" w:hAnsiTheme="majorHAnsi"/>
            <w:noProof/>
            <w:webHidden/>
            <w:sz w:val="20"/>
            <w:szCs w:val="20"/>
          </w:rPr>
        </w:r>
        <w:r w:rsidR="00206C92" w:rsidRPr="00206C92">
          <w:rPr>
            <w:rFonts w:asciiTheme="majorHAnsi" w:hAnsiTheme="majorHAnsi"/>
            <w:noProof/>
            <w:webHidden/>
            <w:sz w:val="20"/>
            <w:szCs w:val="20"/>
          </w:rPr>
          <w:fldChar w:fldCharType="separate"/>
        </w:r>
        <w:r w:rsidR="003D3644">
          <w:rPr>
            <w:rFonts w:asciiTheme="majorHAnsi" w:hAnsiTheme="majorHAnsi"/>
            <w:noProof/>
            <w:webHidden/>
            <w:sz w:val="20"/>
            <w:szCs w:val="20"/>
          </w:rPr>
          <w:t>22</w:t>
        </w:r>
        <w:r w:rsidR="00206C92" w:rsidRPr="00206C92">
          <w:rPr>
            <w:rFonts w:asciiTheme="majorHAnsi" w:hAnsiTheme="majorHAnsi"/>
            <w:noProof/>
            <w:webHidden/>
            <w:sz w:val="20"/>
            <w:szCs w:val="20"/>
          </w:rPr>
          <w:fldChar w:fldCharType="end"/>
        </w:r>
      </w:hyperlink>
    </w:p>
    <w:p w14:paraId="372C2E5E" w14:textId="77777777" w:rsidR="00206C92" w:rsidRPr="00206C92" w:rsidRDefault="009624E3" w:rsidP="00206C92">
      <w:pPr>
        <w:pStyle w:val="TOC2"/>
        <w:tabs>
          <w:tab w:val="left" w:pos="720"/>
        </w:tabs>
        <w:ind w:hanging="720"/>
        <w:rPr>
          <w:rFonts w:asciiTheme="majorHAnsi" w:eastAsiaTheme="minorEastAsia" w:hAnsiTheme="majorHAnsi" w:cstheme="minorBidi"/>
          <w:noProof/>
          <w:sz w:val="20"/>
          <w:szCs w:val="20"/>
          <w:bdr w:val="none" w:sz="0" w:space="0" w:color="auto"/>
        </w:rPr>
      </w:pPr>
      <w:hyperlink w:anchor="_Toc6466652" w:history="1">
        <w:r w:rsidR="00206C92" w:rsidRPr="00206C92">
          <w:rPr>
            <w:rStyle w:val="Hyperlink"/>
            <w:rFonts w:asciiTheme="majorHAnsi" w:hAnsiTheme="majorHAnsi"/>
            <w:noProof/>
            <w:sz w:val="20"/>
            <w:szCs w:val="20"/>
          </w:rPr>
          <w:t>F.</w:t>
        </w:r>
        <w:r w:rsidR="00206C92" w:rsidRPr="00206C92">
          <w:rPr>
            <w:rFonts w:asciiTheme="majorHAnsi" w:eastAsiaTheme="minorEastAsia" w:hAnsiTheme="majorHAnsi" w:cstheme="minorBidi"/>
            <w:noProof/>
            <w:sz w:val="20"/>
            <w:szCs w:val="20"/>
            <w:bdr w:val="none" w:sz="0" w:space="0" w:color="auto"/>
          </w:rPr>
          <w:tab/>
        </w:r>
        <w:r w:rsidR="00206C92" w:rsidRPr="00206C92">
          <w:rPr>
            <w:rStyle w:val="Hyperlink"/>
            <w:rFonts w:asciiTheme="majorHAnsi" w:hAnsiTheme="majorHAnsi"/>
            <w:noProof/>
            <w:sz w:val="20"/>
            <w:szCs w:val="20"/>
          </w:rPr>
          <w:t>Sobre los procesos civiles</w:t>
        </w:r>
        <w:r w:rsidR="00206C92" w:rsidRPr="00206C92">
          <w:rPr>
            <w:rFonts w:asciiTheme="majorHAnsi" w:hAnsiTheme="majorHAnsi"/>
            <w:noProof/>
            <w:webHidden/>
            <w:sz w:val="20"/>
            <w:szCs w:val="20"/>
          </w:rPr>
          <w:tab/>
        </w:r>
        <w:r w:rsidR="00206C92" w:rsidRPr="00206C92">
          <w:rPr>
            <w:rFonts w:asciiTheme="majorHAnsi" w:hAnsiTheme="majorHAnsi"/>
            <w:noProof/>
            <w:webHidden/>
            <w:sz w:val="20"/>
            <w:szCs w:val="20"/>
          </w:rPr>
          <w:fldChar w:fldCharType="begin"/>
        </w:r>
        <w:r w:rsidR="00206C92" w:rsidRPr="00206C92">
          <w:rPr>
            <w:rFonts w:asciiTheme="majorHAnsi" w:hAnsiTheme="majorHAnsi"/>
            <w:noProof/>
            <w:webHidden/>
            <w:sz w:val="20"/>
            <w:szCs w:val="20"/>
          </w:rPr>
          <w:instrText xml:space="preserve"> PAGEREF _Toc6466652 \h </w:instrText>
        </w:r>
        <w:r w:rsidR="00206C92" w:rsidRPr="00206C92">
          <w:rPr>
            <w:rFonts w:asciiTheme="majorHAnsi" w:hAnsiTheme="majorHAnsi"/>
            <w:noProof/>
            <w:webHidden/>
            <w:sz w:val="20"/>
            <w:szCs w:val="20"/>
          </w:rPr>
        </w:r>
        <w:r w:rsidR="00206C92" w:rsidRPr="00206C92">
          <w:rPr>
            <w:rFonts w:asciiTheme="majorHAnsi" w:hAnsiTheme="majorHAnsi"/>
            <w:noProof/>
            <w:webHidden/>
            <w:sz w:val="20"/>
            <w:szCs w:val="20"/>
          </w:rPr>
          <w:fldChar w:fldCharType="separate"/>
        </w:r>
        <w:r w:rsidR="003D3644">
          <w:rPr>
            <w:rFonts w:asciiTheme="majorHAnsi" w:hAnsiTheme="majorHAnsi"/>
            <w:noProof/>
            <w:webHidden/>
            <w:sz w:val="20"/>
            <w:szCs w:val="20"/>
          </w:rPr>
          <w:t>22</w:t>
        </w:r>
        <w:r w:rsidR="00206C92" w:rsidRPr="00206C92">
          <w:rPr>
            <w:rFonts w:asciiTheme="majorHAnsi" w:hAnsiTheme="majorHAnsi"/>
            <w:noProof/>
            <w:webHidden/>
            <w:sz w:val="20"/>
            <w:szCs w:val="20"/>
          </w:rPr>
          <w:fldChar w:fldCharType="end"/>
        </w:r>
      </w:hyperlink>
    </w:p>
    <w:p w14:paraId="34FB9B46" w14:textId="77777777" w:rsidR="00206C92" w:rsidRPr="00206C92" w:rsidRDefault="009624E3" w:rsidP="00206C92">
      <w:pPr>
        <w:pStyle w:val="TOC3"/>
        <w:tabs>
          <w:tab w:val="left" w:pos="720"/>
          <w:tab w:val="left" w:pos="1440"/>
        </w:tabs>
        <w:ind w:hanging="720"/>
        <w:rPr>
          <w:rFonts w:asciiTheme="majorHAnsi" w:eastAsiaTheme="minorEastAsia" w:hAnsiTheme="majorHAnsi" w:cstheme="minorBidi"/>
          <w:noProof/>
          <w:sz w:val="20"/>
          <w:szCs w:val="20"/>
          <w:bdr w:val="none" w:sz="0" w:space="0" w:color="auto"/>
        </w:rPr>
      </w:pPr>
      <w:hyperlink w:anchor="_Toc6466653" w:history="1">
        <w:r w:rsidR="00206C92" w:rsidRPr="00206C92">
          <w:rPr>
            <w:rStyle w:val="Hyperlink"/>
            <w:rFonts w:asciiTheme="majorHAnsi" w:hAnsiTheme="majorHAnsi"/>
            <w:noProof/>
            <w:sz w:val="20"/>
            <w:szCs w:val="20"/>
          </w:rPr>
          <w:t>1.</w:t>
        </w:r>
        <w:r w:rsidR="00206C92" w:rsidRPr="00206C92">
          <w:rPr>
            <w:rFonts w:asciiTheme="majorHAnsi" w:eastAsiaTheme="minorEastAsia" w:hAnsiTheme="majorHAnsi" w:cstheme="minorBidi"/>
            <w:noProof/>
            <w:sz w:val="20"/>
            <w:szCs w:val="20"/>
            <w:bdr w:val="none" w:sz="0" w:space="0" w:color="auto"/>
          </w:rPr>
          <w:tab/>
        </w:r>
        <w:r w:rsidR="00206C92" w:rsidRPr="00206C92">
          <w:rPr>
            <w:rStyle w:val="Hyperlink"/>
            <w:rFonts w:asciiTheme="majorHAnsi" w:hAnsiTheme="majorHAnsi"/>
            <w:noProof/>
            <w:sz w:val="20"/>
            <w:szCs w:val="20"/>
          </w:rPr>
          <w:t>Expediente No. 24.518/98</w:t>
        </w:r>
        <w:r w:rsidR="00206C92" w:rsidRPr="00206C92">
          <w:rPr>
            <w:rFonts w:asciiTheme="majorHAnsi" w:hAnsiTheme="majorHAnsi"/>
            <w:noProof/>
            <w:webHidden/>
            <w:sz w:val="20"/>
            <w:szCs w:val="20"/>
          </w:rPr>
          <w:tab/>
        </w:r>
        <w:r w:rsidR="00206C92" w:rsidRPr="00206C92">
          <w:rPr>
            <w:rFonts w:asciiTheme="majorHAnsi" w:hAnsiTheme="majorHAnsi"/>
            <w:noProof/>
            <w:webHidden/>
            <w:sz w:val="20"/>
            <w:szCs w:val="20"/>
          </w:rPr>
          <w:fldChar w:fldCharType="begin"/>
        </w:r>
        <w:r w:rsidR="00206C92" w:rsidRPr="00206C92">
          <w:rPr>
            <w:rFonts w:asciiTheme="majorHAnsi" w:hAnsiTheme="majorHAnsi"/>
            <w:noProof/>
            <w:webHidden/>
            <w:sz w:val="20"/>
            <w:szCs w:val="20"/>
          </w:rPr>
          <w:instrText xml:space="preserve"> PAGEREF _Toc6466653 \h </w:instrText>
        </w:r>
        <w:r w:rsidR="00206C92" w:rsidRPr="00206C92">
          <w:rPr>
            <w:rFonts w:asciiTheme="majorHAnsi" w:hAnsiTheme="majorHAnsi"/>
            <w:noProof/>
            <w:webHidden/>
            <w:sz w:val="20"/>
            <w:szCs w:val="20"/>
          </w:rPr>
        </w:r>
        <w:r w:rsidR="00206C92" w:rsidRPr="00206C92">
          <w:rPr>
            <w:rFonts w:asciiTheme="majorHAnsi" w:hAnsiTheme="majorHAnsi"/>
            <w:noProof/>
            <w:webHidden/>
            <w:sz w:val="20"/>
            <w:szCs w:val="20"/>
          </w:rPr>
          <w:fldChar w:fldCharType="separate"/>
        </w:r>
        <w:r w:rsidR="003D3644">
          <w:rPr>
            <w:rFonts w:asciiTheme="majorHAnsi" w:hAnsiTheme="majorHAnsi"/>
            <w:noProof/>
            <w:webHidden/>
            <w:sz w:val="20"/>
            <w:szCs w:val="20"/>
          </w:rPr>
          <w:t>23</w:t>
        </w:r>
        <w:r w:rsidR="00206C92" w:rsidRPr="00206C92">
          <w:rPr>
            <w:rFonts w:asciiTheme="majorHAnsi" w:hAnsiTheme="majorHAnsi"/>
            <w:noProof/>
            <w:webHidden/>
            <w:sz w:val="20"/>
            <w:szCs w:val="20"/>
          </w:rPr>
          <w:fldChar w:fldCharType="end"/>
        </w:r>
      </w:hyperlink>
    </w:p>
    <w:p w14:paraId="33809F14" w14:textId="77777777" w:rsidR="00206C92" w:rsidRPr="00206C92" w:rsidRDefault="009624E3" w:rsidP="00206C92">
      <w:pPr>
        <w:pStyle w:val="TOC3"/>
        <w:tabs>
          <w:tab w:val="left" w:pos="720"/>
          <w:tab w:val="left" w:pos="1440"/>
        </w:tabs>
        <w:ind w:hanging="720"/>
        <w:rPr>
          <w:rFonts w:asciiTheme="majorHAnsi" w:eastAsiaTheme="minorEastAsia" w:hAnsiTheme="majorHAnsi" w:cstheme="minorBidi"/>
          <w:noProof/>
          <w:sz w:val="20"/>
          <w:szCs w:val="20"/>
          <w:bdr w:val="none" w:sz="0" w:space="0" w:color="auto"/>
        </w:rPr>
      </w:pPr>
      <w:hyperlink w:anchor="_Toc6466654" w:history="1">
        <w:r w:rsidR="00206C92" w:rsidRPr="00206C92">
          <w:rPr>
            <w:rStyle w:val="Hyperlink"/>
            <w:rFonts w:asciiTheme="majorHAnsi" w:hAnsiTheme="majorHAnsi"/>
            <w:noProof/>
            <w:sz w:val="20"/>
            <w:szCs w:val="20"/>
          </w:rPr>
          <w:t>2.</w:t>
        </w:r>
        <w:r w:rsidR="00206C92" w:rsidRPr="00206C92">
          <w:rPr>
            <w:rFonts w:asciiTheme="majorHAnsi" w:eastAsiaTheme="minorEastAsia" w:hAnsiTheme="majorHAnsi" w:cstheme="minorBidi"/>
            <w:noProof/>
            <w:sz w:val="20"/>
            <w:szCs w:val="20"/>
            <w:bdr w:val="none" w:sz="0" w:space="0" w:color="auto"/>
          </w:rPr>
          <w:tab/>
        </w:r>
        <w:r w:rsidR="00206C92" w:rsidRPr="00206C92">
          <w:rPr>
            <w:rStyle w:val="Hyperlink"/>
            <w:rFonts w:asciiTheme="majorHAnsi" w:hAnsiTheme="majorHAnsi"/>
            <w:noProof/>
            <w:sz w:val="20"/>
            <w:szCs w:val="20"/>
          </w:rPr>
          <w:t>Expediente No. 14.846/96</w:t>
        </w:r>
        <w:r w:rsidR="00206C92" w:rsidRPr="00206C92">
          <w:rPr>
            <w:rFonts w:asciiTheme="majorHAnsi" w:hAnsiTheme="majorHAnsi"/>
            <w:noProof/>
            <w:webHidden/>
            <w:sz w:val="20"/>
            <w:szCs w:val="20"/>
          </w:rPr>
          <w:tab/>
        </w:r>
        <w:r w:rsidR="00206C92" w:rsidRPr="00206C92">
          <w:rPr>
            <w:rFonts w:asciiTheme="majorHAnsi" w:hAnsiTheme="majorHAnsi"/>
            <w:noProof/>
            <w:webHidden/>
            <w:sz w:val="20"/>
            <w:szCs w:val="20"/>
          </w:rPr>
          <w:fldChar w:fldCharType="begin"/>
        </w:r>
        <w:r w:rsidR="00206C92" w:rsidRPr="00206C92">
          <w:rPr>
            <w:rFonts w:asciiTheme="majorHAnsi" w:hAnsiTheme="majorHAnsi"/>
            <w:noProof/>
            <w:webHidden/>
            <w:sz w:val="20"/>
            <w:szCs w:val="20"/>
          </w:rPr>
          <w:instrText xml:space="preserve"> PAGEREF _Toc6466654 \h </w:instrText>
        </w:r>
        <w:r w:rsidR="00206C92" w:rsidRPr="00206C92">
          <w:rPr>
            <w:rFonts w:asciiTheme="majorHAnsi" w:hAnsiTheme="majorHAnsi"/>
            <w:noProof/>
            <w:webHidden/>
            <w:sz w:val="20"/>
            <w:szCs w:val="20"/>
          </w:rPr>
        </w:r>
        <w:r w:rsidR="00206C92" w:rsidRPr="00206C92">
          <w:rPr>
            <w:rFonts w:asciiTheme="majorHAnsi" w:hAnsiTheme="majorHAnsi"/>
            <w:noProof/>
            <w:webHidden/>
            <w:sz w:val="20"/>
            <w:szCs w:val="20"/>
          </w:rPr>
          <w:fldChar w:fldCharType="separate"/>
        </w:r>
        <w:r w:rsidR="003D3644">
          <w:rPr>
            <w:rFonts w:asciiTheme="majorHAnsi" w:hAnsiTheme="majorHAnsi"/>
            <w:noProof/>
            <w:webHidden/>
            <w:sz w:val="20"/>
            <w:szCs w:val="20"/>
          </w:rPr>
          <w:t>25</w:t>
        </w:r>
        <w:r w:rsidR="00206C92" w:rsidRPr="00206C92">
          <w:rPr>
            <w:rFonts w:asciiTheme="majorHAnsi" w:hAnsiTheme="majorHAnsi"/>
            <w:noProof/>
            <w:webHidden/>
            <w:sz w:val="20"/>
            <w:szCs w:val="20"/>
          </w:rPr>
          <w:fldChar w:fldCharType="end"/>
        </w:r>
      </w:hyperlink>
    </w:p>
    <w:p w14:paraId="68638327" w14:textId="77777777" w:rsidR="00206C92" w:rsidRPr="00206C92" w:rsidRDefault="009624E3" w:rsidP="00206C92">
      <w:pPr>
        <w:pStyle w:val="TOC2"/>
        <w:tabs>
          <w:tab w:val="left" w:pos="720"/>
        </w:tabs>
        <w:ind w:hanging="720"/>
        <w:rPr>
          <w:rFonts w:asciiTheme="majorHAnsi" w:eastAsiaTheme="minorEastAsia" w:hAnsiTheme="majorHAnsi" w:cstheme="minorBidi"/>
          <w:noProof/>
          <w:sz w:val="20"/>
          <w:szCs w:val="20"/>
          <w:bdr w:val="none" w:sz="0" w:space="0" w:color="auto"/>
        </w:rPr>
      </w:pPr>
      <w:hyperlink w:anchor="_Toc6466655" w:history="1">
        <w:r w:rsidR="00206C92" w:rsidRPr="00206C92">
          <w:rPr>
            <w:rStyle w:val="Hyperlink"/>
            <w:rFonts w:asciiTheme="majorHAnsi" w:hAnsiTheme="majorHAnsi"/>
            <w:noProof/>
            <w:sz w:val="20"/>
            <w:szCs w:val="20"/>
          </w:rPr>
          <w:t>G.</w:t>
        </w:r>
        <w:r w:rsidR="00206C92" w:rsidRPr="00206C92">
          <w:rPr>
            <w:rFonts w:asciiTheme="majorHAnsi" w:eastAsiaTheme="minorEastAsia" w:hAnsiTheme="majorHAnsi" w:cstheme="minorBidi"/>
            <w:noProof/>
            <w:sz w:val="20"/>
            <w:szCs w:val="20"/>
            <w:bdr w:val="none" w:sz="0" w:space="0" w:color="auto"/>
          </w:rPr>
          <w:tab/>
        </w:r>
        <w:r w:rsidR="00206C92" w:rsidRPr="00206C92">
          <w:rPr>
            <w:rStyle w:val="Hyperlink"/>
            <w:rFonts w:asciiTheme="majorHAnsi" w:hAnsiTheme="majorHAnsi"/>
            <w:noProof/>
            <w:sz w:val="20"/>
            <w:szCs w:val="20"/>
          </w:rPr>
          <w:t>Sobre los procesos penales</w:t>
        </w:r>
        <w:r w:rsidR="00206C92" w:rsidRPr="00206C92">
          <w:rPr>
            <w:rFonts w:asciiTheme="majorHAnsi" w:hAnsiTheme="majorHAnsi"/>
            <w:noProof/>
            <w:webHidden/>
            <w:sz w:val="20"/>
            <w:szCs w:val="20"/>
          </w:rPr>
          <w:tab/>
        </w:r>
        <w:r w:rsidR="00206C92" w:rsidRPr="00206C92">
          <w:rPr>
            <w:rFonts w:asciiTheme="majorHAnsi" w:hAnsiTheme="majorHAnsi"/>
            <w:noProof/>
            <w:webHidden/>
            <w:sz w:val="20"/>
            <w:szCs w:val="20"/>
          </w:rPr>
          <w:fldChar w:fldCharType="begin"/>
        </w:r>
        <w:r w:rsidR="00206C92" w:rsidRPr="00206C92">
          <w:rPr>
            <w:rFonts w:asciiTheme="majorHAnsi" w:hAnsiTheme="majorHAnsi"/>
            <w:noProof/>
            <w:webHidden/>
            <w:sz w:val="20"/>
            <w:szCs w:val="20"/>
          </w:rPr>
          <w:instrText xml:space="preserve"> PAGEREF _Toc6466655 \h </w:instrText>
        </w:r>
        <w:r w:rsidR="00206C92" w:rsidRPr="00206C92">
          <w:rPr>
            <w:rFonts w:asciiTheme="majorHAnsi" w:hAnsiTheme="majorHAnsi"/>
            <w:noProof/>
            <w:webHidden/>
            <w:sz w:val="20"/>
            <w:szCs w:val="20"/>
          </w:rPr>
        </w:r>
        <w:r w:rsidR="00206C92" w:rsidRPr="00206C92">
          <w:rPr>
            <w:rFonts w:asciiTheme="majorHAnsi" w:hAnsiTheme="majorHAnsi"/>
            <w:noProof/>
            <w:webHidden/>
            <w:sz w:val="20"/>
            <w:szCs w:val="20"/>
          </w:rPr>
          <w:fldChar w:fldCharType="separate"/>
        </w:r>
        <w:r w:rsidR="003D3644">
          <w:rPr>
            <w:rFonts w:asciiTheme="majorHAnsi" w:hAnsiTheme="majorHAnsi"/>
            <w:noProof/>
            <w:webHidden/>
            <w:sz w:val="20"/>
            <w:szCs w:val="20"/>
          </w:rPr>
          <w:t>26</w:t>
        </w:r>
        <w:r w:rsidR="00206C92" w:rsidRPr="00206C92">
          <w:rPr>
            <w:rFonts w:asciiTheme="majorHAnsi" w:hAnsiTheme="majorHAnsi"/>
            <w:noProof/>
            <w:webHidden/>
            <w:sz w:val="20"/>
            <w:szCs w:val="20"/>
          </w:rPr>
          <w:fldChar w:fldCharType="end"/>
        </w:r>
      </w:hyperlink>
    </w:p>
    <w:p w14:paraId="4CAB548C" w14:textId="115269E5" w:rsidR="00206C92" w:rsidRPr="00206C92" w:rsidRDefault="009624E3" w:rsidP="00206C92">
      <w:pPr>
        <w:pStyle w:val="TOC3"/>
        <w:tabs>
          <w:tab w:val="left" w:pos="720"/>
          <w:tab w:val="left" w:pos="1440"/>
        </w:tabs>
        <w:ind w:hanging="720"/>
        <w:rPr>
          <w:rFonts w:asciiTheme="majorHAnsi" w:eastAsiaTheme="minorEastAsia" w:hAnsiTheme="majorHAnsi" w:cstheme="minorBidi"/>
          <w:noProof/>
          <w:sz w:val="20"/>
          <w:szCs w:val="20"/>
          <w:bdr w:val="none" w:sz="0" w:space="0" w:color="auto"/>
        </w:rPr>
      </w:pPr>
      <w:hyperlink w:anchor="_Toc6466656" w:history="1">
        <w:r w:rsidR="00206C92" w:rsidRPr="00206C92">
          <w:rPr>
            <w:rStyle w:val="Hyperlink"/>
            <w:rFonts w:asciiTheme="majorHAnsi" w:hAnsiTheme="majorHAnsi"/>
            <w:noProof/>
            <w:sz w:val="20"/>
            <w:szCs w:val="20"/>
          </w:rPr>
          <w:t>1.</w:t>
        </w:r>
        <w:r w:rsidR="00206C92" w:rsidRPr="00206C92">
          <w:rPr>
            <w:rFonts w:asciiTheme="majorHAnsi" w:eastAsiaTheme="minorEastAsia" w:hAnsiTheme="majorHAnsi" w:cstheme="minorBidi"/>
            <w:noProof/>
            <w:sz w:val="20"/>
            <w:szCs w:val="20"/>
            <w:bdr w:val="none" w:sz="0" w:space="0" w:color="auto"/>
          </w:rPr>
          <w:tab/>
        </w:r>
        <w:r w:rsidR="00206C92" w:rsidRPr="00206C92">
          <w:rPr>
            <w:rStyle w:val="Hyperlink"/>
            <w:rFonts w:asciiTheme="majorHAnsi" w:hAnsiTheme="majorHAnsi"/>
            <w:noProof/>
            <w:sz w:val="20"/>
            <w:szCs w:val="20"/>
          </w:rPr>
          <w:t xml:space="preserve">Causa No. 1627 “Guillamondegui, Néstor Horacio y otros s/privación ilegal </w:t>
        </w:r>
        <w:r w:rsidR="00206C92">
          <w:rPr>
            <w:rStyle w:val="Hyperlink"/>
            <w:rFonts w:asciiTheme="majorHAnsi" w:hAnsiTheme="majorHAnsi"/>
            <w:noProof/>
            <w:sz w:val="20"/>
            <w:szCs w:val="20"/>
          </w:rPr>
          <w:br/>
        </w:r>
        <w:r w:rsidR="00206C92" w:rsidRPr="00206C92">
          <w:rPr>
            <w:rStyle w:val="Hyperlink"/>
            <w:rFonts w:asciiTheme="majorHAnsi" w:hAnsiTheme="majorHAnsi"/>
            <w:noProof/>
            <w:sz w:val="20"/>
            <w:szCs w:val="20"/>
          </w:rPr>
          <w:t>de la libertad agravada, imposición de tormentos y homicidio calificado”</w:t>
        </w:r>
        <w:r w:rsidR="00206C92" w:rsidRPr="00206C92">
          <w:rPr>
            <w:rFonts w:asciiTheme="majorHAnsi" w:hAnsiTheme="majorHAnsi"/>
            <w:noProof/>
            <w:webHidden/>
            <w:sz w:val="20"/>
            <w:szCs w:val="20"/>
          </w:rPr>
          <w:tab/>
        </w:r>
        <w:r w:rsidR="00206C92" w:rsidRPr="00206C92">
          <w:rPr>
            <w:rFonts w:asciiTheme="majorHAnsi" w:hAnsiTheme="majorHAnsi"/>
            <w:noProof/>
            <w:webHidden/>
            <w:sz w:val="20"/>
            <w:szCs w:val="20"/>
          </w:rPr>
          <w:fldChar w:fldCharType="begin"/>
        </w:r>
        <w:r w:rsidR="00206C92" w:rsidRPr="00206C92">
          <w:rPr>
            <w:rFonts w:asciiTheme="majorHAnsi" w:hAnsiTheme="majorHAnsi"/>
            <w:noProof/>
            <w:webHidden/>
            <w:sz w:val="20"/>
            <w:szCs w:val="20"/>
          </w:rPr>
          <w:instrText xml:space="preserve"> PAGEREF _Toc6466656 \h </w:instrText>
        </w:r>
        <w:r w:rsidR="00206C92" w:rsidRPr="00206C92">
          <w:rPr>
            <w:rFonts w:asciiTheme="majorHAnsi" w:hAnsiTheme="majorHAnsi"/>
            <w:noProof/>
            <w:webHidden/>
            <w:sz w:val="20"/>
            <w:szCs w:val="20"/>
          </w:rPr>
        </w:r>
        <w:r w:rsidR="00206C92" w:rsidRPr="00206C92">
          <w:rPr>
            <w:rFonts w:asciiTheme="majorHAnsi" w:hAnsiTheme="majorHAnsi"/>
            <w:noProof/>
            <w:webHidden/>
            <w:sz w:val="20"/>
            <w:szCs w:val="20"/>
          </w:rPr>
          <w:fldChar w:fldCharType="separate"/>
        </w:r>
        <w:r w:rsidR="003D3644">
          <w:rPr>
            <w:rFonts w:asciiTheme="majorHAnsi" w:hAnsiTheme="majorHAnsi"/>
            <w:noProof/>
            <w:webHidden/>
            <w:sz w:val="20"/>
            <w:szCs w:val="20"/>
          </w:rPr>
          <w:t>26</w:t>
        </w:r>
        <w:r w:rsidR="00206C92" w:rsidRPr="00206C92">
          <w:rPr>
            <w:rFonts w:asciiTheme="majorHAnsi" w:hAnsiTheme="majorHAnsi"/>
            <w:noProof/>
            <w:webHidden/>
            <w:sz w:val="20"/>
            <w:szCs w:val="20"/>
          </w:rPr>
          <w:fldChar w:fldCharType="end"/>
        </w:r>
      </w:hyperlink>
    </w:p>
    <w:p w14:paraId="63D74F7B" w14:textId="21B52CAB" w:rsidR="00206C92" w:rsidRPr="00206C92" w:rsidRDefault="009624E3" w:rsidP="00206C92">
      <w:pPr>
        <w:pStyle w:val="TOC3"/>
        <w:tabs>
          <w:tab w:val="left" w:pos="720"/>
          <w:tab w:val="left" w:pos="1440"/>
        </w:tabs>
        <w:ind w:hanging="720"/>
        <w:rPr>
          <w:rFonts w:asciiTheme="majorHAnsi" w:eastAsiaTheme="minorEastAsia" w:hAnsiTheme="majorHAnsi" w:cstheme="minorBidi"/>
          <w:noProof/>
          <w:sz w:val="20"/>
          <w:szCs w:val="20"/>
          <w:bdr w:val="none" w:sz="0" w:space="0" w:color="auto"/>
        </w:rPr>
      </w:pPr>
      <w:hyperlink w:anchor="_Toc6466657" w:history="1">
        <w:r w:rsidR="00206C92" w:rsidRPr="00206C92">
          <w:rPr>
            <w:rStyle w:val="Hyperlink"/>
            <w:rFonts w:asciiTheme="majorHAnsi" w:hAnsiTheme="majorHAnsi"/>
            <w:noProof/>
            <w:sz w:val="20"/>
            <w:szCs w:val="20"/>
          </w:rPr>
          <w:t>2.</w:t>
        </w:r>
        <w:r w:rsidR="00206C92" w:rsidRPr="00206C92">
          <w:rPr>
            <w:rFonts w:asciiTheme="majorHAnsi" w:eastAsiaTheme="minorEastAsia" w:hAnsiTheme="majorHAnsi" w:cstheme="minorBidi"/>
            <w:noProof/>
            <w:sz w:val="20"/>
            <w:szCs w:val="20"/>
            <w:bdr w:val="none" w:sz="0" w:space="0" w:color="auto"/>
          </w:rPr>
          <w:tab/>
        </w:r>
        <w:r w:rsidR="00206C92" w:rsidRPr="00206C92">
          <w:rPr>
            <w:rStyle w:val="Hyperlink"/>
            <w:rFonts w:asciiTheme="majorHAnsi" w:hAnsiTheme="majorHAnsi"/>
            <w:noProof/>
            <w:sz w:val="20"/>
            <w:szCs w:val="20"/>
          </w:rPr>
          <w:t xml:space="preserve">Causa No. 2637/04 “Vaello, Orestes y otros sobre privación ilegal </w:t>
        </w:r>
        <w:r w:rsidR="00206C92">
          <w:rPr>
            <w:rStyle w:val="Hyperlink"/>
            <w:rFonts w:asciiTheme="majorHAnsi" w:hAnsiTheme="majorHAnsi"/>
            <w:noProof/>
            <w:sz w:val="20"/>
            <w:szCs w:val="20"/>
          </w:rPr>
          <w:br/>
        </w:r>
        <w:r w:rsidR="00206C92" w:rsidRPr="00206C92">
          <w:rPr>
            <w:rStyle w:val="Hyperlink"/>
            <w:rFonts w:asciiTheme="majorHAnsi" w:hAnsiTheme="majorHAnsi"/>
            <w:noProof/>
            <w:sz w:val="20"/>
            <w:szCs w:val="20"/>
          </w:rPr>
          <w:t>de la libertad agravada y homicidio agravado”</w:t>
        </w:r>
        <w:r w:rsidR="00206C92" w:rsidRPr="00206C92">
          <w:rPr>
            <w:rFonts w:asciiTheme="majorHAnsi" w:hAnsiTheme="majorHAnsi"/>
            <w:noProof/>
            <w:webHidden/>
            <w:sz w:val="20"/>
            <w:szCs w:val="20"/>
          </w:rPr>
          <w:tab/>
        </w:r>
        <w:r w:rsidR="00206C92" w:rsidRPr="00206C92">
          <w:rPr>
            <w:rFonts w:asciiTheme="majorHAnsi" w:hAnsiTheme="majorHAnsi"/>
            <w:noProof/>
            <w:webHidden/>
            <w:sz w:val="20"/>
            <w:szCs w:val="20"/>
          </w:rPr>
          <w:fldChar w:fldCharType="begin"/>
        </w:r>
        <w:r w:rsidR="00206C92" w:rsidRPr="00206C92">
          <w:rPr>
            <w:rFonts w:asciiTheme="majorHAnsi" w:hAnsiTheme="majorHAnsi"/>
            <w:noProof/>
            <w:webHidden/>
            <w:sz w:val="20"/>
            <w:szCs w:val="20"/>
          </w:rPr>
          <w:instrText xml:space="preserve"> PAGEREF _Toc6466657 \h </w:instrText>
        </w:r>
        <w:r w:rsidR="00206C92" w:rsidRPr="00206C92">
          <w:rPr>
            <w:rFonts w:asciiTheme="majorHAnsi" w:hAnsiTheme="majorHAnsi"/>
            <w:noProof/>
            <w:webHidden/>
            <w:sz w:val="20"/>
            <w:szCs w:val="20"/>
          </w:rPr>
        </w:r>
        <w:r w:rsidR="00206C92" w:rsidRPr="00206C92">
          <w:rPr>
            <w:rFonts w:asciiTheme="majorHAnsi" w:hAnsiTheme="majorHAnsi"/>
            <w:noProof/>
            <w:webHidden/>
            <w:sz w:val="20"/>
            <w:szCs w:val="20"/>
          </w:rPr>
          <w:fldChar w:fldCharType="separate"/>
        </w:r>
        <w:r w:rsidR="003D3644">
          <w:rPr>
            <w:rFonts w:asciiTheme="majorHAnsi" w:hAnsiTheme="majorHAnsi"/>
            <w:noProof/>
            <w:webHidden/>
            <w:sz w:val="20"/>
            <w:szCs w:val="20"/>
          </w:rPr>
          <w:t>27</w:t>
        </w:r>
        <w:r w:rsidR="00206C92" w:rsidRPr="00206C92">
          <w:rPr>
            <w:rFonts w:asciiTheme="majorHAnsi" w:hAnsiTheme="majorHAnsi"/>
            <w:noProof/>
            <w:webHidden/>
            <w:sz w:val="20"/>
            <w:szCs w:val="20"/>
          </w:rPr>
          <w:fldChar w:fldCharType="end"/>
        </w:r>
      </w:hyperlink>
    </w:p>
    <w:p w14:paraId="56110C9B" w14:textId="77777777" w:rsidR="00206C92" w:rsidRPr="00206C92" w:rsidRDefault="009624E3" w:rsidP="00206C92">
      <w:pPr>
        <w:pStyle w:val="TOC3"/>
        <w:tabs>
          <w:tab w:val="left" w:pos="720"/>
          <w:tab w:val="left" w:pos="1440"/>
        </w:tabs>
        <w:ind w:hanging="720"/>
        <w:rPr>
          <w:rFonts w:asciiTheme="majorHAnsi" w:eastAsiaTheme="minorEastAsia" w:hAnsiTheme="majorHAnsi" w:cstheme="minorBidi"/>
          <w:noProof/>
          <w:sz w:val="20"/>
          <w:szCs w:val="20"/>
          <w:bdr w:val="none" w:sz="0" w:space="0" w:color="auto"/>
        </w:rPr>
      </w:pPr>
      <w:hyperlink w:anchor="_Toc6466658" w:history="1">
        <w:r w:rsidR="00206C92" w:rsidRPr="00206C92">
          <w:rPr>
            <w:rStyle w:val="Hyperlink"/>
            <w:rFonts w:asciiTheme="majorHAnsi" w:hAnsiTheme="majorHAnsi"/>
            <w:noProof/>
            <w:sz w:val="20"/>
            <w:szCs w:val="20"/>
          </w:rPr>
          <w:t>3.</w:t>
        </w:r>
        <w:r w:rsidR="00206C92" w:rsidRPr="00206C92">
          <w:rPr>
            <w:rFonts w:asciiTheme="majorHAnsi" w:eastAsiaTheme="minorEastAsia" w:hAnsiTheme="majorHAnsi" w:cstheme="minorBidi"/>
            <w:noProof/>
            <w:sz w:val="20"/>
            <w:szCs w:val="20"/>
            <w:bdr w:val="none" w:sz="0" w:space="0" w:color="auto"/>
          </w:rPr>
          <w:tab/>
        </w:r>
        <w:r w:rsidR="00206C92" w:rsidRPr="00206C92">
          <w:rPr>
            <w:rStyle w:val="Hyperlink"/>
            <w:rFonts w:asciiTheme="majorHAnsi" w:hAnsiTheme="majorHAnsi"/>
            <w:noProof/>
            <w:sz w:val="20"/>
            <w:szCs w:val="20"/>
          </w:rPr>
          <w:t>Causa penal Nro. 1351 “Nicolaides Cristino y otros s/sustracción, retención y ocultamiento de menores”</w:t>
        </w:r>
        <w:r w:rsidR="00206C92" w:rsidRPr="00206C92">
          <w:rPr>
            <w:rFonts w:asciiTheme="majorHAnsi" w:hAnsiTheme="majorHAnsi"/>
            <w:noProof/>
            <w:webHidden/>
            <w:sz w:val="20"/>
            <w:szCs w:val="20"/>
          </w:rPr>
          <w:tab/>
        </w:r>
        <w:r w:rsidR="00206C92" w:rsidRPr="00206C92">
          <w:rPr>
            <w:rFonts w:asciiTheme="majorHAnsi" w:hAnsiTheme="majorHAnsi"/>
            <w:noProof/>
            <w:webHidden/>
            <w:sz w:val="20"/>
            <w:szCs w:val="20"/>
          </w:rPr>
          <w:fldChar w:fldCharType="begin"/>
        </w:r>
        <w:r w:rsidR="00206C92" w:rsidRPr="00206C92">
          <w:rPr>
            <w:rFonts w:asciiTheme="majorHAnsi" w:hAnsiTheme="majorHAnsi"/>
            <w:noProof/>
            <w:webHidden/>
            <w:sz w:val="20"/>
            <w:szCs w:val="20"/>
          </w:rPr>
          <w:instrText xml:space="preserve"> PAGEREF _Toc6466658 \h </w:instrText>
        </w:r>
        <w:r w:rsidR="00206C92" w:rsidRPr="00206C92">
          <w:rPr>
            <w:rFonts w:asciiTheme="majorHAnsi" w:hAnsiTheme="majorHAnsi"/>
            <w:noProof/>
            <w:webHidden/>
            <w:sz w:val="20"/>
            <w:szCs w:val="20"/>
          </w:rPr>
        </w:r>
        <w:r w:rsidR="00206C92" w:rsidRPr="00206C92">
          <w:rPr>
            <w:rFonts w:asciiTheme="majorHAnsi" w:hAnsiTheme="majorHAnsi"/>
            <w:noProof/>
            <w:webHidden/>
            <w:sz w:val="20"/>
            <w:szCs w:val="20"/>
          </w:rPr>
          <w:fldChar w:fldCharType="separate"/>
        </w:r>
        <w:r w:rsidR="003D3644">
          <w:rPr>
            <w:rFonts w:asciiTheme="majorHAnsi" w:hAnsiTheme="majorHAnsi"/>
            <w:noProof/>
            <w:webHidden/>
            <w:sz w:val="20"/>
            <w:szCs w:val="20"/>
          </w:rPr>
          <w:t>29</w:t>
        </w:r>
        <w:r w:rsidR="00206C92" w:rsidRPr="00206C92">
          <w:rPr>
            <w:rFonts w:asciiTheme="majorHAnsi" w:hAnsiTheme="majorHAnsi"/>
            <w:noProof/>
            <w:webHidden/>
            <w:sz w:val="20"/>
            <w:szCs w:val="20"/>
          </w:rPr>
          <w:fldChar w:fldCharType="end"/>
        </w:r>
      </w:hyperlink>
    </w:p>
    <w:p w14:paraId="671D77DD" w14:textId="77777777" w:rsidR="00206C92" w:rsidRPr="00206C92" w:rsidRDefault="009624E3" w:rsidP="00206C92">
      <w:pPr>
        <w:pStyle w:val="TOC1"/>
        <w:tabs>
          <w:tab w:val="clear" w:pos="1080"/>
          <w:tab w:val="left" w:pos="720"/>
          <w:tab w:val="left" w:pos="1440"/>
        </w:tabs>
        <w:ind w:hanging="720"/>
        <w:rPr>
          <w:rFonts w:eastAsiaTheme="minorEastAsia" w:cstheme="minorBidi"/>
          <w:b w:val="0"/>
          <w:sz w:val="20"/>
          <w:szCs w:val="20"/>
          <w:bdr w:val="none" w:sz="0" w:space="0" w:color="auto"/>
        </w:rPr>
      </w:pPr>
      <w:hyperlink w:anchor="_Toc6466659" w:history="1">
        <w:r w:rsidR="00206C92" w:rsidRPr="00206C92">
          <w:rPr>
            <w:rStyle w:val="Hyperlink"/>
            <w:sz w:val="20"/>
            <w:szCs w:val="20"/>
          </w:rPr>
          <w:t>V.</w:t>
        </w:r>
        <w:r w:rsidR="00206C92" w:rsidRPr="00206C92">
          <w:rPr>
            <w:rFonts w:eastAsiaTheme="minorEastAsia" w:cstheme="minorBidi"/>
            <w:b w:val="0"/>
            <w:sz w:val="20"/>
            <w:szCs w:val="20"/>
            <w:bdr w:val="none" w:sz="0" w:space="0" w:color="auto"/>
          </w:rPr>
          <w:tab/>
        </w:r>
        <w:r w:rsidR="00206C92" w:rsidRPr="00206C92">
          <w:rPr>
            <w:rStyle w:val="Hyperlink"/>
            <w:sz w:val="20"/>
            <w:szCs w:val="20"/>
          </w:rPr>
          <w:t>ANÁLISIS DE DERECHO</w:t>
        </w:r>
        <w:r w:rsidR="00206C92" w:rsidRPr="00206C92">
          <w:rPr>
            <w:webHidden/>
            <w:sz w:val="20"/>
            <w:szCs w:val="20"/>
          </w:rPr>
          <w:tab/>
        </w:r>
        <w:r w:rsidR="00206C92" w:rsidRPr="00206C92">
          <w:rPr>
            <w:webHidden/>
            <w:sz w:val="20"/>
            <w:szCs w:val="20"/>
          </w:rPr>
          <w:fldChar w:fldCharType="begin"/>
        </w:r>
        <w:r w:rsidR="00206C92" w:rsidRPr="00206C92">
          <w:rPr>
            <w:webHidden/>
            <w:sz w:val="20"/>
            <w:szCs w:val="20"/>
          </w:rPr>
          <w:instrText xml:space="preserve"> PAGEREF _Toc6466659 \h </w:instrText>
        </w:r>
        <w:r w:rsidR="00206C92" w:rsidRPr="00206C92">
          <w:rPr>
            <w:webHidden/>
            <w:sz w:val="20"/>
            <w:szCs w:val="20"/>
          </w:rPr>
        </w:r>
        <w:r w:rsidR="00206C92" w:rsidRPr="00206C92">
          <w:rPr>
            <w:webHidden/>
            <w:sz w:val="20"/>
            <w:szCs w:val="20"/>
          </w:rPr>
          <w:fldChar w:fldCharType="separate"/>
        </w:r>
        <w:r w:rsidR="003D3644">
          <w:rPr>
            <w:webHidden/>
            <w:sz w:val="20"/>
            <w:szCs w:val="20"/>
          </w:rPr>
          <w:t>30</w:t>
        </w:r>
        <w:r w:rsidR="00206C92" w:rsidRPr="00206C92">
          <w:rPr>
            <w:webHidden/>
            <w:sz w:val="20"/>
            <w:szCs w:val="20"/>
          </w:rPr>
          <w:fldChar w:fldCharType="end"/>
        </w:r>
      </w:hyperlink>
    </w:p>
    <w:p w14:paraId="708C4627" w14:textId="77777777" w:rsidR="00206C92" w:rsidRPr="00206C92" w:rsidRDefault="009624E3" w:rsidP="00206C92">
      <w:pPr>
        <w:pStyle w:val="TOC2"/>
        <w:tabs>
          <w:tab w:val="left" w:pos="720"/>
        </w:tabs>
        <w:ind w:hanging="720"/>
        <w:rPr>
          <w:rFonts w:asciiTheme="majorHAnsi" w:eastAsiaTheme="minorEastAsia" w:hAnsiTheme="majorHAnsi" w:cstheme="minorBidi"/>
          <w:noProof/>
          <w:sz w:val="20"/>
          <w:szCs w:val="20"/>
          <w:bdr w:val="none" w:sz="0" w:space="0" w:color="auto"/>
        </w:rPr>
      </w:pPr>
      <w:hyperlink w:anchor="_Toc6466660" w:history="1">
        <w:r w:rsidR="00206C92" w:rsidRPr="00206C92">
          <w:rPr>
            <w:rStyle w:val="Hyperlink"/>
            <w:rFonts w:asciiTheme="majorHAnsi" w:hAnsiTheme="majorHAnsi"/>
            <w:noProof/>
            <w:sz w:val="20"/>
            <w:szCs w:val="20"/>
          </w:rPr>
          <w:t>A.</w:t>
        </w:r>
        <w:r w:rsidR="00206C92" w:rsidRPr="00206C92">
          <w:rPr>
            <w:rFonts w:asciiTheme="majorHAnsi" w:eastAsiaTheme="minorEastAsia" w:hAnsiTheme="majorHAnsi" w:cstheme="minorBidi"/>
            <w:noProof/>
            <w:sz w:val="20"/>
            <w:szCs w:val="20"/>
            <w:bdr w:val="none" w:sz="0" w:space="0" w:color="auto"/>
          </w:rPr>
          <w:tab/>
        </w:r>
        <w:r w:rsidR="00206C92" w:rsidRPr="00206C92">
          <w:rPr>
            <w:rStyle w:val="Hyperlink"/>
            <w:rFonts w:asciiTheme="majorHAnsi" w:hAnsiTheme="majorHAnsi"/>
            <w:noProof/>
            <w:sz w:val="20"/>
            <w:szCs w:val="20"/>
          </w:rPr>
          <w:t>Cuestiones previas</w:t>
        </w:r>
        <w:r w:rsidR="00206C92" w:rsidRPr="00206C92">
          <w:rPr>
            <w:rFonts w:asciiTheme="majorHAnsi" w:hAnsiTheme="majorHAnsi"/>
            <w:noProof/>
            <w:webHidden/>
            <w:sz w:val="20"/>
            <w:szCs w:val="20"/>
          </w:rPr>
          <w:tab/>
        </w:r>
        <w:r w:rsidR="00206C92" w:rsidRPr="00206C92">
          <w:rPr>
            <w:rFonts w:asciiTheme="majorHAnsi" w:hAnsiTheme="majorHAnsi"/>
            <w:noProof/>
            <w:webHidden/>
            <w:sz w:val="20"/>
            <w:szCs w:val="20"/>
          </w:rPr>
          <w:fldChar w:fldCharType="begin"/>
        </w:r>
        <w:r w:rsidR="00206C92" w:rsidRPr="00206C92">
          <w:rPr>
            <w:rFonts w:asciiTheme="majorHAnsi" w:hAnsiTheme="majorHAnsi"/>
            <w:noProof/>
            <w:webHidden/>
            <w:sz w:val="20"/>
            <w:szCs w:val="20"/>
          </w:rPr>
          <w:instrText xml:space="preserve"> PAGEREF _Toc6466660 \h </w:instrText>
        </w:r>
        <w:r w:rsidR="00206C92" w:rsidRPr="00206C92">
          <w:rPr>
            <w:rFonts w:asciiTheme="majorHAnsi" w:hAnsiTheme="majorHAnsi"/>
            <w:noProof/>
            <w:webHidden/>
            <w:sz w:val="20"/>
            <w:szCs w:val="20"/>
          </w:rPr>
        </w:r>
        <w:r w:rsidR="00206C92" w:rsidRPr="00206C92">
          <w:rPr>
            <w:rFonts w:asciiTheme="majorHAnsi" w:hAnsiTheme="majorHAnsi"/>
            <w:noProof/>
            <w:webHidden/>
            <w:sz w:val="20"/>
            <w:szCs w:val="20"/>
          </w:rPr>
          <w:fldChar w:fldCharType="separate"/>
        </w:r>
        <w:r w:rsidR="003D3644">
          <w:rPr>
            <w:rFonts w:asciiTheme="majorHAnsi" w:hAnsiTheme="majorHAnsi"/>
            <w:noProof/>
            <w:webHidden/>
            <w:sz w:val="20"/>
            <w:szCs w:val="20"/>
          </w:rPr>
          <w:t>30</w:t>
        </w:r>
        <w:r w:rsidR="00206C92" w:rsidRPr="00206C92">
          <w:rPr>
            <w:rFonts w:asciiTheme="majorHAnsi" w:hAnsiTheme="majorHAnsi"/>
            <w:noProof/>
            <w:webHidden/>
            <w:sz w:val="20"/>
            <w:szCs w:val="20"/>
          </w:rPr>
          <w:fldChar w:fldCharType="end"/>
        </w:r>
      </w:hyperlink>
    </w:p>
    <w:p w14:paraId="506C4373" w14:textId="10EFA969" w:rsidR="00206C92" w:rsidRPr="00206C92" w:rsidRDefault="009624E3" w:rsidP="00206C92">
      <w:pPr>
        <w:pStyle w:val="TOC2"/>
        <w:tabs>
          <w:tab w:val="left" w:pos="720"/>
        </w:tabs>
        <w:ind w:hanging="720"/>
        <w:rPr>
          <w:rFonts w:asciiTheme="majorHAnsi" w:eastAsiaTheme="minorEastAsia" w:hAnsiTheme="majorHAnsi" w:cstheme="minorBidi"/>
          <w:noProof/>
          <w:sz w:val="20"/>
          <w:szCs w:val="20"/>
          <w:bdr w:val="none" w:sz="0" w:space="0" w:color="auto"/>
        </w:rPr>
      </w:pPr>
      <w:hyperlink w:anchor="_Toc6466661" w:history="1">
        <w:r w:rsidR="00206C92" w:rsidRPr="00206C92">
          <w:rPr>
            <w:rStyle w:val="Hyperlink"/>
            <w:rFonts w:asciiTheme="majorHAnsi" w:hAnsiTheme="majorHAnsi"/>
            <w:noProof/>
            <w:sz w:val="20"/>
            <w:szCs w:val="20"/>
          </w:rPr>
          <w:t>B.</w:t>
        </w:r>
        <w:r w:rsidR="00206C92" w:rsidRPr="00206C92">
          <w:rPr>
            <w:rFonts w:asciiTheme="majorHAnsi" w:eastAsiaTheme="minorEastAsia" w:hAnsiTheme="majorHAnsi" w:cstheme="minorBidi"/>
            <w:noProof/>
            <w:sz w:val="20"/>
            <w:szCs w:val="20"/>
            <w:bdr w:val="none" w:sz="0" w:space="0" w:color="auto"/>
          </w:rPr>
          <w:tab/>
        </w:r>
        <w:r w:rsidR="00206C92" w:rsidRPr="00206C92">
          <w:rPr>
            <w:rStyle w:val="Hyperlink"/>
            <w:rFonts w:asciiTheme="majorHAnsi" w:hAnsiTheme="majorHAnsi"/>
            <w:noProof/>
            <w:sz w:val="20"/>
            <w:szCs w:val="20"/>
          </w:rPr>
          <w:t xml:space="preserve">Derechos al reconocimiento de la personalidad jurídica, a la libertad personal, </w:t>
        </w:r>
        <w:r w:rsidR="00206C92">
          <w:rPr>
            <w:rStyle w:val="Hyperlink"/>
            <w:rFonts w:asciiTheme="majorHAnsi" w:hAnsiTheme="majorHAnsi"/>
            <w:noProof/>
            <w:sz w:val="20"/>
            <w:szCs w:val="20"/>
          </w:rPr>
          <w:br/>
        </w:r>
        <w:r w:rsidR="00206C92" w:rsidRPr="00206C92">
          <w:rPr>
            <w:rStyle w:val="Hyperlink"/>
            <w:rFonts w:asciiTheme="majorHAnsi" w:hAnsiTheme="majorHAnsi"/>
            <w:noProof/>
            <w:sz w:val="20"/>
            <w:szCs w:val="20"/>
          </w:rPr>
          <w:t xml:space="preserve">a la integridad personal, a la vida, a las garantías judiciales y a la protección judicial (Artículos 3, 7, 5 y 4 de la Convención Americana) en relación con la obligación </w:t>
        </w:r>
        <w:r w:rsidR="00206C92">
          <w:rPr>
            <w:rStyle w:val="Hyperlink"/>
            <w:rFonts w:asciiTheme="majorHAnsi" w:hAnsiTheme="majorHAnsi"/>
            <w:noProof/>
            <w:sz w:val="20"/>
            <w:szCs w:val="20"/>
          </w:rPr>
          <w:br/>
        </w:r>
        <w:r w:rsidR="00206C92" w:rsidRPr="00206C92">
          <w:rPr>
            <w:rStyle w:val="Hyperlink"/>
            <w:rFonts w:asciiTheme="majorHAnsi" w:hAnsiTheme="majorHAnsi"/>
            <w:noProof/>
            <w:sz w:val="20"/>
            <w:szCs w:val="20"/>
          </w:rPr>
          <w:t xml:space="preserve">de respetar y garantizar los derechos (Artículo 1.1 del mismo instrumento); </w:t>
        </w:r>
        <w:r w:rsidR="00206C92">
          <w:rPr>
            <w:rStyle w:val="Hyperlink"/>
            <w:rFonts w:asciiTheme="majorHAnsi" w:hAnsiTheme="majorHAnsi"/>
            <w:noProof/>
            <w:sz w:val="20"/>
            <w:szCs w:val="20"/>
          </w:rPr>
          <w:br/>
        </w:r>
        <w:r w:rsidR="00206C92" w:rsidRPr="00206C92">
          <w:rPr>
            <w:rStyle w:val="Hyperlink"/>
            <w:rFonts w:asciiTheme="majorHAnsi" w:hAnsiTheme="majorHAnsi"/>
            <w:noProof/>
            <w:sz w:val="20"/>
            <w:szCs w:val="20"/>
          </w:rPr>
          <w:t xml:space="preserve">artículo I inciso a) de la CIDFP; y derechos de reconocimiento de la personalidad jurídica </w:t>
        </w:r>
        <w:r w:rsidR="00206C92">
          <w:rPr>
            <w:rStyle w:val="Hyperlink"/>
            <w:rFonts w:asciiTheme="majorHAnsi" w:hAnsiTheme="majorHAnsi"/>
            <w:noProof/>
            <w:sz w:val="20"/>
            <w:szCs w:val="20"/>
          </w:rPr>
          <w:br/>
        </w:r>
        <w:r w:rsidR="00206C92" w:rsidRPr="00206C92">
          <w:rPr>
            <w:rStyle w:val="Hyperlink"/>
            <w:rFonts w:asciiTheme="majorHAnsi" w:hAnsiTheme="majorHAnsi"/>
            <w:noProof/>
            <w:sz w:val="20"/>
            <w:szCs w:val="20"/>
          </w:rPr>
          <w:t xml:space="preserve">y de los derechos civiles, de protección contra la detención arbitraria y a la vida, </w:t>
        </w:r>
        <w:r w:rsidR="00206C92">
          <w:rPr>
            <w:rStyle w:val="Hyperlink"/>
            <w:rFonts w:asciiTheme="majorHAnsi" w:hAnsiTheme="majorHAnsi"/>
            <w:noProof/>
            <w:sz w:val="20"/>
            <w:szCs w:val="20"/>
          </w:rPr>
          <w:br/>
        </w:r>
        <w:r w:rsidR="00206C92" w:rsidRPr="00206C92">
          <w:rPr>
            <w:rStyle w:val="Hyperlink"/>
            <w:rFonts w:asciiTheme="majorHAnsi" w:hAnsiTheme="majorHAnsi"/>
            <w:noProof/>
            <w:sz w:val="20"/>
            <w:szCs w:val="20"/>
          </w:rPr>
          <w:t>a la libertad, a la seguridad e integridad de la persona (Artículos XVII, XXV y I de la Declaración Americana), en relación con el derecho a la infancia (Artículo VII de la Declaración)</w:t>
        </w:r>
        <w:r w:rsidR="00206C92" w:rsidRPr="00206C92">
          <w:rPr>
            <w:rFonts w:asciiTheme="majorHAnsi" w:hAnsiTheme="majorHAnsi"/>
            <w:noProof/>
            <w:webHidden/>
            <w:sz w:val="20"/>
            <w:szCs w:val="20"/>
          </w:rPr>
          <w:tab/>
        </w:r>
        <w:r w:rsidR="00206C92" w:rsidRPr="00206C92">
          <w:rPr>
            <w:rFonts w:asciiTheme="majorHAnsi" w:hAnsiTheme="majorHAnsi"/>
            <w:noProof/>
            <w:webHidden/>
            <w:sz w:val="20"/>
            <w:szCs w:val="20"/>
          </w:rPr>
          <w:fldChar w:fldCharType="begin"/>
        </w:r>
        <w:r w:rsidR="00206C92" w:rsidRPr="00206C92">
          <w:rPr>
            <w:rFonts w:asciiTheme="majorHAnsi" w:hAnsiTheme="majorHAnsi"/>
            <w:noProof/>
            <w:webHidden/>
            <w:sz w:val="20"/>
            <w:szCs w:val="20"/>
          </w:rPr>
          <w:instrText xml:space="preserve"> PAGEREF _Toc6466661 \h </w:instrText>
        </w:r>
        <w:r w:rsidR="00206C92" w:rsidRPr="00206C92">
          <w:rPr>
            <w:rFonts w:asciiTheme="majorHAnsi" w:hAnsiTheme="majorHAnsi"/>
            <w:noProof/>
            <w:webHidden/>
            <w:sz w:val="20"/>
            <w:szCs w:val="20"/>
          </w:rPr>
        </w:r>
        <w:r w:rsidR="00206C92" w:rsidRPr="00206C92">
          <w:rPr>
            <w:rFonts w:asciiTheme="majorHAnsi" w:hAnsiTheme="majorHAnsi"/>
            <w:noProof/>
            <w:webHidden/>
            <w:sz w:val="20"/>
            <w:szCs w:val="20"/>
          </w:rPr>
          <w:fldChar w:fldCharType="separate"/>
        </w:r>
        <w:r w:rsidR="003D3644">
          <w:rPr>
            <w:rFonts w:asciiTheme="majorHAnsi" w:hAnsiTheme="majorHAnsi"/>
            <w:noProof/>
            <w:webHidden/>
            <w:sz w:val="20"/>
            <w:szCs w:val="20"/>
          </w:rPr>
          <w:t>31</w:t>
        </w:r>
        <w:r w:rsidR="00206C92" w:rsidRPr="00206C92">
          <w:rPr>
            <w:rFonts w:asciiTheme="majorHAnsi" w:hAnsiTheme="majorHAnsi"/>
            <w:noProof/>
            <w:webHidden/>
            <w:sz w:val="20"/>
            <w:szCs w:val="20"/>
          </w:rPr>
          <w:fldChar w:fldCharType="end"/>
        </w:r>
      </w:hyperlink>
    </w:p>
    <w:p w14:paraId="6464613A" w14:textId="77777777" w:rsidR="00206C92" w:rsidRPr="00206C92" w:rsidRDefault="009624E3" w:rsidP="00206C92">
      <w:pPr>
        <w:pStyle w:val="TOC3"/>
        <w:tabs>
          <w:tab w:val="left" w:pos="720"/>
          <w:tab w:val="left" w:pos="1440"/>
        </w:tabs>
        <w:ind w:hanging="720"/>
        <w:rPr>
          <w:rFonts w:asciiTheme="majorHAnsi" w:eastAsiaTheme="minorEastAsia" w:hAnsiTheme="majorHAnsi" w:cstheme="minorBidi"/>
          <w:noProof/>
          <w:sz w:val="20"/>
          <w:szCs w:val="20"/>
          <w:bdr w:val="none" w:sz="0" w:space="0" w:color="auto"/>
        </w:rPr>
      </w:pPr>
      <w:hyperlink w:anchor="_Toc6466662" w:history="1">
        <w:r w:rsidR="00206C92" w:rsidRPr="00206C92">
          <w:rPr>
            <w:rStyle w:val="Hyperlink"/>
            <w:rFonts w:asciiTheme="majorHAnsi" w:hAnsiTheme="majorHAnsi"/>
            <w:noProof/>
            <w:sz w:val="20"/>
            <w:szCs w:val="20"/>
          </w:rPr>
          <w:t>1.</w:t>
        </w:r>
        <w:r w:rsidR="00206C92" w:rsidRPr="00206C92">
          <w:rPr>
            <w:rFonts w:asciiTheme="majorHAnsi" w:eastAsiaTheme="minorEastAsia" w:hAnsiTheme="majorHAnsi" w:cstheme="minorBidi"/>
            <w:noProof/>
            <w:sz w:val="20"/>
            <w:szCs w:val="20"/>
            <w:bdr w:val="none" w:sz="0" w:space="0" w:color="auto"/>
          </w:rPr>
          <w:tab/>
        </w:r>
        <w:r w:rsidR="00206C92" w:rsidRPr="00206C92">
          <w:rPr>
            <w:rStyle w:val="Hyperlink"/>
            <w:rFonts w:asciiTheme="majorHAnsi" w:hAnsiTheme="majorHAnsi"/>
            <w:noProof/>
            <w:sz w:val="20"/>
            <w:szCs w:val="20"/>
          </w:rPr>
          <w:t>Consideraciones generales sobre la desaparición forzada de personas</w:t>
        </w:r>
        <w:r w:rsidR="00206C92" w:rsidRPr="00206C92">
          <w:rPr>
            <w:rFonts w:asciiTheme="majorHAnsi" w:hAnsiTheme="majorHAnsi"/>
            <w:noProof/>
            <w:webHidden/>
            <w:sz w:val="20"/>
            <w:szCs w:val="20"/>
          </w:rPr>
          <w:tab/>
        </w:r>
        <w:r w:rsidR="00206C92" w:rsidRPr="00206C92">
          <w:rPr>
            <w:rFonts w:asciiTheme="majorHAnsi" w:hAnsiTheme="majorHAnsi"/>
            <w:noProof/>
            <w:webHidden/>
            <w:sz w:val="20"/>
            <w:szCs w:val="20"/>
          </w:rPr>
          <w:fldChar w:fldCharType="begin"/>
        </w:r>
        <w:r w:rsidR="00206C92" w:rsidRPr="00206C92">
          <w:rPr>
            <w:rFonts w:asciiTheme="majorHAnsi" w:hAnsiTheme="majorHAnsi"/>
            <w:noProof/>
            <w:webHidden/>
            <w:sz w:val="20"/>
            <w:szCs w:val="20"/>
          </w:rPr>
          <w:instrText xml:space="preserve"> PAGEREF _Toc6466662 \h </w:instrText>
        </w:r>
        <w:r w:rsidR="00206C92" w:rsidRPr="00206C92">
          <w:rPr>
            <w:rFonts w:asciiTheme="majorHAnsi" w:hAnsiTheme="majorHAnsi"/>
            <w:noProof/>
            <w:webHidden/>
            <w:sz w:val="20"/>
            <w:szCs w:val="20"/>
          </w:rPr>
        </w:r>
        <w:r w:rsidR="00206C92" w:rsidRPr="00206C92">
          <w:rPr>
            <w:rFonts w:asciiTheme="majorHAnsi" w:hAnsiTheme="majorHAnsi"/>
            <w:noProof/>
            <w:webHidden/>
            <w:sz w:val="20"/>
            <w:szCs w:val="20"/>
          </w:rPr>
          <w:fldChar w:fldCharType="separate"/>
        </w:r>
        <w:r w:rsidR="003D3644">
          <w:rPr>
            <w:rFonts w:asciiTheme="majorHAnsi" w:hAnsiTheme="majorHAnsi"/>
            <w:noProof/>
            <w:webHidden/>
            <w:sz w:val="20"/>
            <w:szCs w:val="20"/>
          </w:rPr>
          <w:t>31</w:t>
        </w:r>
        <w:r w:rsidR="00206C92" w:rsidRPr="00206C92">
          <w:rPr>
            <w:rFonts w:asciiTheme="majorHAnsi" w:hAnsiTheme="majorHAnsi"/>
            <w:noProof/>
            <w:webHidden/>
            <w:sz w:val="20"/>
            <w:szCs w:val="20"/>
          </w:rPr>
          <w:fldChar w:fldCharType="end"/>
        </w:r>
      </w:hyperlink>
    </w:p>
    <w:p w14:paraId="79F2CEB9" w14:textId="77777777" w:rsidR="00206C92" w:rsidRPr="00206C92" w:rsidRDefault="009624E3" w:rsidP="00206C92">
      <w:pPr>
        <w:pStyle w:val="TOC3"/>
        <w:tabs>
          <w:tab w:val="left" w:pos="720"/>
          <w:tab w:val="left" w:pos="1440"/>
        </w:tabs>
        <w:ind w:hanging="720"/>
        <w:rPr>
          <w:rFonts w:asciiTheme="majorHAnsi" w:eastAsiaTheme="minorEastAsia" w:hAnsiTheme="majorHAnsi" w:cstheme="minorBidi"/>
          <w:noProof/>
          <w:sz w:val="20"/>
          <w:szCs w:val="20"/>
          <w:bdr w:val="none" w:sz="0" w:space="0" w:color="auto"/>
        </w:rPr>
      </w:pPr>
      <w:hyperlink w:anchor="_Toc6466663" w:history="1">
        <w:r w:rsidR="00206C92" w:rsidRPr="00206C92">
          <w:rPr>
            <w:rStyle w:val="Hyperlink"/>
            <w:rFonts w:asciiTheme="majorHAnsi" w:hAnsiTheme="majorHAnsi"/>
            <w:noProof/>
            <w:sz w:val="20"/>
            <w:szCs w:val="20"/>
          </w:rPr>
          <w:t>2.</w:t>
        </w:r>
        <w:r w:rsidR="00206C92" w:rsidRPr="00206C92">
          <w:rPr>
            <w:rFonts w:asciiTheme="majorHAnsi" w:eastAsiaTheme="minorEastAsia" w:hAnsiTheme="majorHAnsi" w:cstheme="minorBidi"/>
            <w:noProof/>
            <w:sz w:val="20"/>
            <w:szCs w:val="20"/>
            <w:bdr w:val="none" w:sz="0" w:space="0" w:color="auto"/>
          </w:rPr>
          <w:tab/>
        </w:r>
        <w:r w:rsidR="00206C92" w:rsidRPr="00206C92">
          <w:rPr>
            <w:rStyle w:val="Hyperlink"/>
            <w:rFonts w:asciiTheme="majorHAnsi" w:hAnsiTheme="majorHAnsi"/>
            <w:noProof/>
            <w:sz w:val="20"/>
            <w:szCs w:val="20"/>
          </w:rPr>
          <w:t>Análisis del caso</w:t>
        </w:r>
        <w:r w:rsidR="00206C92" w:rsidRPr="00206C92">
          <w:rPr>
            <w:rFonts w:asciiTheme="majorHAnsi" w:hAnsiTheme="majorHAnsi"/>
            <w:noProof/>
            <w:webHidden/>
            <w:sz w:val="20"/>
            <w:szCs w:val="20"/>
          </w:rPr>
          <w:tab/>
        </w:r>
        <w:r w:rsidR="00206C92" w:rsidRPr="00206C92">
          <w:rPr>
            <w:rFonts w:asciiTheme="majorHAnsi" w:hAnsiTheme="majorHAnsi"/>
            <w:noProof/>
            <w:webHidden/>
            <w:sz w:val="20"/>
            <w:szCs w:val="20"/>
          </w:rPr>
          <w:fldChar w:fldCharType="begin"/>
        </w:r>
        <w:r w:rsidR="00206C92" w:rsidRPr="00206C92">
          <w:rPr>
            <w:rFonts w:asciiTheme="majorHAnsi" w:hAnsiTheme="majorHAnsi"/>
            <w:noProof/>
            <w:webHidden/>
            <w:sz w:val="20"/>
            <w:szCs w:val="20"/>
          </w:rPr>
          <w:instrText xml:space="preserve"> PAGEREF _Toc6466663 \h </w:instrText>
        </w:r>
        <w:r w:rsidR="00206C92" w:rsidRPr="00206C92">
          <w:rPr>
            <w:rFonts w:asciiTheme="majorHAnsi" w:hAnsiTheme="majorHAnsi"/>
            <w:noProof/>
            <w:webHidden/>
            <w:sz w:val="20"/>
            <w:szCs w:val="20"/>
          </w:rPr>
        </w:r>
        <w:r w:rsidR="00206C92" w:rsidRPr="00206C92">
          <w:rPr>
            <w:rFonts w:asciiTheme="majorHAnsi" w:hAnsiTheme="majorHAnsi"/>
            <w:noProof/>
            <w:webHidden/>
            <w:sz w:val="20"/>
            <w:szCs w:val="20"/>
          </w:rPr>
          <w:fldChar w:fldCharType="separate"/>
        </w:r>
        <w:r w:rsidR="003D3644">
          <w:rPr>
            <w:rFonts w:asciiTheme="majorHAnsi" w:hAnsiTheme="majorHAnsi"/>
            <w:noProof/>
            <w:webHidden/>
            <w:sz w:val="20"/>
            <w:szCs w:val="20"/>
          </w:rPr>
          <w:t>34</w:t>
        </w:r>
        <w:r w:rsidR="00206C92" w:rsidRPr="00206C92">
          <w:rPr>
            <w:rFonts w:asciiTheme="majorHAnsi" w:hAnsiTheme="majorHAnsi"/>
            <w:noProof/>
            <w:webHidden/>
            <w:sz w:val="20"/>
            <w:szCs w:val="20"/>
          </w:rPr>
          <w:fldChar w:fldCharType="end"/>
        </w:r>
      </w:hyperlink>
    </w:p>
    <w:p w14:paraId="72F19B8C" w14:textId="77777777" w:rsidR="00206C92" w:rsidRPr="00206C92" w:rsidRDefault="009624E3" w:rsidP="00206C92">
      <w:pPr>
        <w:pStyle w:val="TOC2"/>
        <w:tabs>
          <w:tab w:val="left" w:pos="720"/>
        </w:tabs>
        <w:ind w:hanging="720"/>
        <w:rPr>
          <w:rFonts w:asciiTheme="majorHAnsi" w:eastAsiaTheme="minorEastAsia" w:hAnsiTheme="majorHAnsi" w:cstheme="minorBidi"/>
          <w:noProof/>
          <w:sz w:val="20"/>
          <w:szCs w:val="20"/>
          <w:bdr w:val="none" w:sz="0" w:space="0" w:color="auto"/>
        </w:rPr>
      </w:pPr>
      <w:hyperlink w:anchor="_Toc6466664" w:history="1">
        <w:r w:rsidR="00206C92" w:rsidRPr="00206C92">
          <w:rPr>
            <w:rStyle w:val="Hyperlink"/>
            <w:rFonts w:asciiTheme="majorHAnsi" w:hAnsiTheme="majorHAnsi"/>
            <w:noProof/>
            <w:sz w:val="20"/>
            <w:szCs w:val="20"/>
          </w:rPr>
          <w:t>C.</w:t>
        </w:r>
        <w:r w:rsidR="00206C92" w:rsidRPr="00206C92">
          <w:rPr>
            <w:rFonts w:asciiTheme="majorHAnsi" w:eastAsiaTheme="minorEastAsia" w:hAnsiTheme="majorHAnsi" w:cstheme="minorBidi"/>
            <w:noProof/>
            <w:sz w:val="20"/>
            <w:szCs w:val="20"/>
            <w:bdr w:val="none" w:sz="0" w:space="0" w:color="auto"/>
          </w:rPr>
          <w:tab/>
        </w:r>
        <w:r w:rsidR="00206C92" w:rsidRPr="00206C92">
          <w:rPr>
            <w:rStyle w:val="Hyperlink"/>
            <w:rFonts w:asciiTheme="majorHAnsi" w:hAnsiTheme="majorHAnsi"/>
            <w:noProof/>
            <w:sz w:val="20"/>
            <w:szCs w:val="20"/>
          </w:rPr>
          <w:t>Derecho a la integridad personal y prohibición de la tortura (Artículo 5.1 de la Convención Americana, en relación con su artículo 1.1, y artículo I de la Declaración Americana)</w:t>
        </w:r>
        <w:r w:rsidR="00206C92" w:rsidRPr="00206C92">
          <w:rPr>
            <w:rFonts w:asciiTheme="majorHAnsi" w:hAnsiTheme="majorHAnsi"/>
            <w:noProof/>
            <w:webHidden/>
            <w:sz w:val="20"/>
            <w:szCs w:val="20"/>
          </w:rPr>
          <w:tab/>
        </w:r>
        <w:r w:rsidR="00206C92" w:rsidRPr="00206C92">
          <w:rPr>
            <w:rFonts w:asciiTheme="majorHAnsi" w:hAnsiTheme="majorHAnsi"/>
            <w:noProof/>
            <w:webHidden/>
            <w:sz w:val="20"/>
            <w:szCs w:val="20"/>
          </w:rPr>
          <w:fldChar w:fldCharType="begin"/>
        </w:r>
        <w:r w:rsidR="00206C92" w:rsidRPr="00206C92">
          <w:rPr>
            <w:rFonts w:asciiTheme="majorHAnsi" w:hAnsiTheme="majorHAnsi"/>
            <w:noProof/>
            <w:webHidden/>
            <w:sz w:val="20"/>
            <w:szCs w:val="20"/>
          </w:rPr>
          <w:instrText xml:space="preserve"> PAGEREF _Toc6466664 \h </w:instrText>
        </w:r>
        <w:r w:rsidR="00206C92" w:rsidRPr="00206C92">
          <w:rPr>
            <w:rFonts w:asciiTheme="majorHAnsi" w:hAnsiTheme="majorHAnsi"/>
            <w:noProof/>
            <w:webHidden/>
            <w:sz w:val="20"/>
            <w:szCs w:val="20"/>
          </w:rPr>
        </w:r>
        <w:r w:rsidR="00206C92" w:rsidRPr="00206C92">
          <w:rPr>
            <w:rFonts w:asciiTheme="majorHAnsi" w:hAnsiTheme="majorHAnsi"/>
            <w:noProof/>
            <w:webHidden/>
            <w:sz w:val="20"/>
            <w:szCs w:val="20"/>
          </w:rPr>
          <w:fldChar w:fldCharType="separate"/>
        </w:r>
        <w:r w:rsidR="003D3644">
          <w:rPr>
            <w:rFonts w:asciiTheme="majorHAnsi" w:hAnsiTheme="majorHAnsi"/>
            <w:noProof/>
            <w:webHidden/>
            <w:sz w:val="20"/>
            <w:szCs w:val="20"/>
          </w:rPr>
          <w:t>36</w:t>
        </w:r>
        <w:r w:rsidR="00206C92" w:rsidRPr="00206C92">
          <w:rPr>
            <w:rFonts w:asciiTheme="majorHAnsi" w:hAnsiTheme="majorHAnsi"/>
            <w:noProof/>
            <w:webHidden/>
            <w:sz w:val="20"/>
            <w:szCs w:val="20"/>
          </w:rPr>
          <w:fldChar w:fldCharType="end"/>
        </w:r>
      </w:hyperlink>
    </w:p>
    <w:p w14:paraId="39E92BF1" w14:textId="77777777" w:rsidR="00206C92" w:rsidRPr="00206C92" w:rsidRDefault="009624E3" w:rsidP="00206C92">
      <w:pPr>
        <w:pStyle w:val="TOC3"/>
        <w:tabs>
          <w:tab w:val="left" w:pos="720"/>
          <w:tab w:val="left" w:pos="1440"/>
        </w:tabs>
        <w:ind w:hanging="720"/>
        <w:rPr>
          <w:rFonts w:asciiTheme="majorHAnsi" w:eastAsiaTheme="minorEastAsia" w:hAnsiTheme="majorHAnsi" w:cstheme="minorBidi"/>
          <w:noProof/>
          <w:sz w:val="20"/>
          <w:szCs w:val="20"/>
          <w:bdr w:val="none" w:sz="0" w:space="0" w:color="auto"/>
        </w:rPr>
      </w:pPr>
      <w:hyperlink w:anchor="_Toc6466665" w:history="1">
        <w:r w:rsidR="00206C92" w:rsidRPr="00206C92">
          <w:rPr>
            <w:rStyle w:val="Hyperlink"/>
            <w:rFonts w:asciiTheme="majorHAnsi" w:hAnsiTheme="majorHAnsi"/>
            <w:noProof/>
            <w:sz w:val="20"/>
            <w:szCs w:val="20"/>
          </w:rPr>
          <w:t>1.</w:t>
        </w:r>
        <w:r w:rsidR="00206C92" w:rsidRPr="00206C92">
          <w:rPr>
            <w:rFonts w:asciiTheme="majorHAnsi" w:eastAsiaTheme="minorEastAsia" w:hAnsiTheme="majorHAnsi" w:cstheme="minorBidi"/>
            <w:noProof/>
            <w:sz w:val="20"/>
            <w:szCs w:val="20"/>
            <w:bdr w:val="none" w:sz="0" w:space="0" w:color="auto"/>
          </w:rPr>
          <w:tab/>
        </w:r>
        <w:r w:rsidR="00206C92" w:rsidRPr="00206C92">
          <w:rPr>
            <w:rStyle w:val="Hyperlink"/>
            <w:rFonts w:asciiTheme="majorHAnsi" w:hAnsiTheme="majorHAnsi"/>
            <w:noProof/>
            <w:sz w:val="20"/>
            <w:szCs w:val="20"/>
          </w:rPr>
          <w:t>Consideraciones generales sobre la prohibición de la tortura y tratos crueles, inhumanos o degradantes</w:t>
        </w:r>
        <w:r w:rsidR="00206C92" w:rsidRPr="00206C92">
          <w:rPr>
            <w:rFonts w:asciiTheme="majorHAnsi" w:hAnsiTheme="majorHAnsi"/>
            <w:noProof/>
            <w:webHidden/>
            <w:sz w:val="20"/>
            <w:szCs w:val="20"/>
          </w:rPr>
          <w:tab/>
        </w:r>
        <w:r w:rsidR="00206C92" w:rsidRPr="00206C92">
          <w:rPr>
            <w:rFonts w:asciiTheme="majorHAnsi" w:hAnsiTheme="majorHAnsi"/>
            <w:noProof/>
            <w:webHidden/>
            <w:sz w:val="20"/>
            <w:szCs w:val="20"/>
          </w:rPr>
          <w:fldChar w:fldCharType="begin"/>
        </w:r>
        <w:r w:rsidR="00206C92" w:rsidRPr="00206C92">
          <w:rPr>
            <w:rFonts w:asciiTheme="majorHAnsi" w:hAnsiTheme="majorHAnsi"/>
            <w:noProof/>
            <w:webHidden/>
            <w:sz w:val="20"/>
            <w:szCs w:val="20"/>
          </w:rPr>
          <w:instrText xml:space="preserve"> PAGEREF _Toc6466665 \h </w:instrText>
        </w:r>
        <w:r w:rsidR="00206C92" w:rsidRPr="00206C92">
          <w:rPr>
            <w:rFonts w:asciiTheme="majorHAnsi" w:hAnsiTheme="majorHAnsi"/>
            <w:noProof/>
            <w:webHidden/>
            <w:sz w:val="20"/>
            <w:szCs w:val="20"/>
          </w:rPr>
        </w:r>
        <w:r w:rsidR="00206C92" w:rsidRPr="00206C92">
          <w:rPr>
            <w:rFonts w:asciiTheme="majorHAnsi" w:hAnsiTheme="majorHAnsi"/>
            <w:noProof/>
            <w:webHidden/>
            <w:sz w:val="20"/>
            <w:szCs w:val="20"/>
          </w:rPr>
          <w:fldChar w:fldCharType="separate"/>
        </w:r>
        <w:r w:rsidR="003D3644">
          <w:rPr>
            <w:rFonts w:asciiTheme="majorHAnsi" w:hAnsiTheme="majorHAnsi"/>
            <w:noProof/>
            <w:webHidden/>
            <w:sz w:val="20"/>
            <w:szCs w:val="20"/>
          </w:rPr>
          <w:t>36</w:t>
        </w:r>
        <w:r w:rsidR="00206C92" w:rsidRPr="00206C92">
          <w:rPr>
            <w:rFonts w:asciiTheme="majorHAnsi" w:hAnsiTheme="majorHAnsi"/>
            <w:noProof/>
            <w:webHidden/>
            <w:sz w:val="20"/>
            <w:szCs w:val="20"/>
          </w:rPr>
          <w:fldChar w:fldCharType="end"/>
        </w:r>
      </w:hyperlink>
    </w:p>
    <w:p w14:paraId="41478D8C" w14:textId="77777777" w:rsidR="00206C92" w:rsidRPr="00206C92" w:rsidRDefault="009624E3" w:rsidP="00206C92">
      <w:pPr>
        <w:pStyle w:val="TOC3"/>
        <w:tabs>
          <w:tab w:val="left" w:pos="720"/>
          <w:tab w:val="left" w:pos="1440"/>
        </w:tabs>
        <w:ind w:hanging="720"/>
        <w:rPr>
          <w:rFonts w:asciiTheme="majorHAnsi" w:eastAsiaTheme="minorEastAsia" w:hAnsiTheme="majorHAnsi" w:cstheme="minorBidi"/>
          <w:noProof/>
          <w:sz w:val="20"/>
          <w:szCs w:val="20"/>
          <w:bdr w:val="none" w:sz="0" w:space="0" w:color="auto"/>
        </w:rPr>
      </w:pPr>
      <w:hyperlink w:anchor="_Toc6466666" w:history="1">
        <w:r w:rsidR="00206C92" w:rsidRPr="00206C92">
          <w:rPr>
            <w:rStyle w:val="Hyperlink"/>
            <w:rFonts w:asciiTheme="majorHAnsi" w:hAnsiTheme="majorHAnsi"/>
            <w:noProof/>
            <w:sz w:val="20"/>
            <w:szCs w:val="20"/>
          </w:rPr>
          <w:t>2.</w:t>
        </w:r>
        <w:r w:rsidR="00206C92" w:rsidRPr="00206C92">
          <w:rPr>
            <w:rFonts w:asciiTheme="majorHAnsi" w:eastAsiaTheme="minorEastAsia" w:hAnsiTheme="majorHAnsi" w:cstheme="minorBidi"/>
            <w:noProof/>
            <w:sz w:val="20"/>
            <w:szCs w:val="20"/>
            <w:bdr w:val="none" w:sz="0" w:space="0" w:color="auto"/>
          </w:rPr>
          <w:tab/>
        </w:r>
        <w:r w:rsidR="00206C92" w:rsidRPr="00206C92">
          <w:rPr>
            <w:rStyle w:val="Hyperlink"/>
            <w:rFonts w:asciiTheme="majorHAnsi" w:hAnsiTheme="majorHAnsi"/>
            <w:noProof/>
            <w:sz w:val="20"/>
            <w:szCs w:val="20"/>
          </w:rPr>
          <w:t>Análisis del caso</w:t>
        </w:r>
        <w:r w:rsidR="00206C92" w:rsidRPr="00206C92">
          <w:rPr>
            <w:rFonts w:asciiTheme="majorHAnsi" w:hAnsiTheme="majorHAnsi"/>
            <w:noProof/>
            <w:webHidden/>
            <w:sz w:val="20"/>
            <w:szCs w:val="20"/>
          </w:rPr>
          <w:tab/>
        </w:r>
        <w:r w:rsidR="00206C92" w:rsidRPr="00206C92">
          <w:rPr>
            <w:rFonts w:asciiTheme="majorHAnsi" w:hAnsiTheme="majorHAnsi"/>
            <w:noProof/>
            <w:webHidden/>
            <w:sz w:val="20"/>
            <w:szCs w:val="20"/>
          </w:rPr>
          <w:fldChar w:fldCharType="begin"/>
        </w:r>
        <w:r w:rsidR="00206C92" w:rsidRPr="00206C92">
          <w:rPr>
            <w:rFonts w:asciiTheme="majorHAnsi" w:hAnsiTheme="majorHAnsi"/>
            <w:noProof/>
            <w:webHidden/>
            <w:sz w:val="20"/>
            <w:szCs w:val="20"/>
          </w:rPr>
          <w:instrText xml:space="preserve"> PAGEREF _Toc6466666 \h </w:instrText>
        </w:r>
        <w:r w:rsidR="00206C92" w:rsidRPr="00206C92">
          <w:rPr>
            <w:rFonts w:asciiTheme="majorHAnsi" w:hAnsiTheme="majorHAnsi"/>
            <w:noProof/>
            <w:webHidden/>
            <w:sz w:val="20"/>
            <w:szCs w:val="20"/>
          </w:rPr>
        </w:r>
        <w:r w:rsidR="00206C92" w:rsidRPr="00206C92">
          <w:rPr>
            <w:rFonts w:asciiTheme="majorHAnsi" w:hAnsiTheme="majorHAnsi"/>
            <w:noProof/>
            <w:webHidden/>
            <w:sz w:val="20"/>
            <w:szCs w:val="20"/>
          </w:rPr>
          <w:fldChar w:fldCharType="separate"/>
        </w:r>
        <w:r w:rsidR="003D3644">
          <w:rPr>
            <w:rFonts w:asciiTheme="majorHAnsi" w:hAnsiTheme="majorHAnsi"/>
            <w:noProof/>
            <w:webHidden/>
            <w:sz w:val="20"/>
            <w:szCs w:val="20"/>
          </w:rPr>
          <w:t>37</w:t>
        </w:r>
        <w:r w:rsidR="00206C92" w:rsidRPr="00206C92">
          <w:rPr>
            <w:rFonts w:asciiTheme="majorHAnsi" w:hAnsiTheme="majorHAnsi"/>
            <w:noProof/>
            <w:webHidden/>
            <w:sz w:val="20"/>
            <w:szCs w:val="20"/>
          </w:rPr>
          <w:fldChar w:fldCharType="end"/>
        </w:r>
      </w:hyperlink>
    </w:p>
    <w:p w14:paraId="710E1B42" w14:textId="77777777" w:rsidR="00206C92" w:rsidRPr="00206C92" w:rsidRDefault="009624E3" w:rsidP="00206C92">
      <w:pPr>
        <w:pStyle w:val="TOC2"/>
        <w:tabs>
          <w:tab w:val="left" w:pos="720"/>
        </w:tabs>
        <w:ind w:hanging="720"/>
        <w:rPr>
          <w:rFonts w:asciiTheme="majorHAnsi" w:eastAsiaTheme="minorEastAsia" w:hAnsiTheme="majorHAnsi" w:cstheme="minorBidi"/>
          <w:noProof/>
          <w:sz w:val="20"/>
          <w:szCs w:val="20"/>
          <w:bdr w:val="none" w:sz="0" w:space="0" w:color="auto"/>
        </w:rPr>
      </w:pPr>
      <w:hyperlink w:anchor="_Toc6466667" w:history="1">
        <w:r w:rsidR="00206C92" w:rsidRPr="00206C92">
          <w:rPr>
            <w:rStyle w:val="Hyperlink"/>
            <w:rFonts w:asciiTheme="majorHAnsi" w:hAnsiTheme="majorHAnsi"/>
            <w:noProof/>
            <w:sz w:val="20"/>
            <w:szCs w:val="20"/>
          </w:rPr>
          <w:t>D.</w:t>
        </w:r>
        <w:r w:rsidR="00206C92" w:rsidRPr="00206C92">
          <w:rPr>
            <w:rFonts w:asciiTheme="majorHAnsi" w:eastAsiaTheme="minorEastAsia" w:hAnsiTheme="majorHAnsi" w:cstheme="minorBidi"/>
            <w:noProof/>
            <w:sz w:val="20"/>
            <w:szCs w:val="20"/>
            <w:bdr w:val="none" w:sz="0" w:space="0" w:color="auto"/>
          </w:rPr>
          <w:tab/>
        </w:r>
        <w:r w:rsidR="00206C92" w:rsidRPr="00206C92">
          <w:rPr>
            <w:rStyle w:val="Hyperlink"/>
            <w:rFonts w:asciiTheme="majorHAnsi" w:hAnsiTheme="majorHAnsi"/>
            <w:noProof/>
            <w:sz w:val="20"/>
            <w:szCs w:val="20"/>
          </w:rPr>
          <w:t>Derechos a la protección de la familia, a la vida privada y familiar, de nacionalidad, y de residencia y tránsito (Artículos VI, V, XIX y VIII de la Declaración Americana), en relación con su artículo VII</w:t>
        </w:r>
        <w:r w:rsidR="00206C92" w:rsidRPr="00206C92">
          <w:rPr>
            <w:rFonts w:asciiTheme="majorHAnsi" w:hAnsiTheme="majorHAnsi"/>
            <w:noProof/>
            <w:webHidden/>
            <w:sz w:val="20"/>
            <w:szCs w:val="20"/>
          </w:rPr>
          <w:tab/>
        </w:r>
        <w:r w:rsidR="00206C92" w:rsidRPr="00206C92">
          <w:rPr>
            <w:rFonts w:asciiTheme="majorHAnsi" w:hAnsiTheme="majorHAnsi"/>
            <w:noProof/>
            <w:webHidden/>
            <w:sz w:val="20"/>
            <w:szCs w:val="20"/>
          </w:rPr>
          <w:fldChar w:fldCharType="begin"/>
        </w:r>
        <w:r w:rsidR="00206C92" w:rsidRPr="00206C92">
          <w:rPr>
            <w:rFonts w:asciiTheme="majorHAnsi" w:hAnsiTheme="majorHAnsi"/>
            <w:noProof/>
            <w:webHidden/>
            <w:sz w:val="20"/>
            <w:szCs w:val="20"/>
          </w:rPr>
          <w:instrText xml:space="preserve"> PAGEREF _Toc6466667 \h </w:instrText>
        </w:r>
        <w:r w:rsidR="00206C92" w:rsidRPr="00206C92">
          <w:rPr>
            <w:rFonts w:asciiTheme="majorHAnsi" w:hAnsiTheme="majorHAnsi"/>
            <w:noProof/>
            <w:webHidden/>
            <w:sz w:val="20"/>
            <w:szCs w:val="20"/>
          </w:rPr>
        </w:r>
        <w:r w:rsidR="00206C92" w:rsidRPr="00206C92">
          <w:rPr>
            <w:rFonts w:asciiTheme="majorHAnsi" w:hAnsiTheme="majorHAnsi"/>
            <w:noProof/>
            <w:webHidden/>
            <w:sz w:val="20"/>
            <w:szCs w:val="20"/>
          </w:rPr>
          <w:fldChar w:fldCharType="separate"/>
        </w:r>
        <w:r w:rsidR="003D3644">
          <w:rPr>
            <w:rFonts w:asciiTheme="majorHAnsi" w:hAnsiTheme="majorHAnsi"/>
            <w:noProof/>
            <w:webHidden/>
            <w:sz w:val="20"/>
            <w:szCs w:val="20"/>
          </w:rPr>
          <w:t>39</w:t>
        </w:r>
        <w:r w:rsidR="00206C92" w:rsidRPr="00206C92">
          <w:rPr>
            <w:rFonts w:asciiTheme="majorHAnsi" w:hAnsiTheme="majorHAnsi"/>
            <w:noProof/>
            <w:webHidden/>
            <w:sz w:val="20"/>
            <w:szCs w:val="20"/>
          </w:rPr>
          <w:fldChar w:fldCharType="end"/>
        </w:r>
      </w:hyperlink>
    </w:p>
    <w:p w14:paraId="4538A64B" w14:textId="77777777" w:rsidR="00206C92" w:rsidRPr="00206C92" w:rsidRDefault="009624E3" w:rsidP="00206C92">
      <w:pPr>
        <w:pStyle w:val="TOC3"/>
        <w:tabs>
          <w:tab w:val="left" w:pos="720"/>
          <w:tab w:val="left" w:pos="1440"/>
        </w:tabs>
        <w:ind w:hanging="720"/>
        <w:rPr>
          <w:rFonts w:asciiTheme="majorHAnsi" w:eastAsiaTheme="minorEastAsia" w:hAnsiTheme="majorHAnsi" w:cstheme="minorBidi"/>
          <w:noProof/>
          <w:sz w:val="20"/>
          <w:szCs w:val="20"/>
          <w:bdr w:val="none" w:sz="0" w:space="0" w:color="auto"/>
        </w:rPr>
      </w:pPr>
      <w:hyperlink w:anchor="_Toc6466668" w:history="1">
        <w:r w:rsidR="00206C92" w:rsidRPr="00206C92">
          <w:rPr>
            <w:rStyle w:val="Hyperlink"/>
            <w:rFonts w:asciiTheme="majorHAnsi" w:hAnsiTheme="majorHAnsi"/>
            <w:noProof/>
            <w:sz w:val="20"/>
            <w:szCs w:val="20"/>
          </w:rPr>
          <w:t>1.</w:t>
        </w:r>
        <w:r w:rsidR="00206C92" w:rsidRPr="00206C92">
          <w:rPr>
            <w:rFonts w:asciiTheme="majorHAnsi" w:eastAsiaTheme="minorEastAsia" w:hAnsiTheme="majorHAnsi" w:cstheme="minorBidi"/>
            <w:noProof/>
            <w:sz w:val="20"/>
            <w:szCs w:val="20"/>
            <w:bdr w:val="none" w:sz="0" w:space="0" w:color="auto"/>
          </w:rPr>
          <w:tab/>
        </w:r>
        <w:r w:rsidR="00206C92" w:rsidRPr="00206C92">
          <w:rPr>
            <w:rStyle w:val="Hyperlink"/>
            <w:rFonts w:asciiTheme="majorHAnsi" w:hAnsiTheme="majorHAnsi"/>
            <w:noProof/>
            <w:sz w:val="20"/>
            <w:szCs w:val="20"/>
          </w:rPr>
          <w:t>Consideraciones generales sobre el derecho a la identidad, al nombre, a la vida privada, a la familia, a la nacionalidad y a la residencia y tránsito</w:t>
        </w:r>
        <w:r w:rsidR="00206C92" w:rsidRPr="00206C92">
          <w:rPr>
            <w:rFonts w:asciiTheme="majorHAnsi" w:hAnsiTheme="majorHAnsi"/>
            <w:noProof/>
            <w:webHidden/>
            <w:sz w:val="20"/>
            <w:szCs w:val="20"/>
          </w:rPr>
          <w:tab/>
        </w:r>
        <w:r w:rsidR="00206C92" w:rsidRPr="00206C92">
          <w:rPr>
            <w:rFonts w:asciiTheme="majorHAnsi" w:hAnsiTheme="majorHAnsi"/>
            <w:noProof/>
            <w:webHidden/>
            <w:sz w:val="20"/>
            <w:szCs w:val="20"/>
          </w:rPr>
          <w:fldChar w:fldCharType="begin"/>
        </w:r>
        <w:r w:rsidR="00206C92" w:rsidRPr="00206C92">
          <w:rPr>
            <w:rFonts w:asciiTheme="majorHAnsi" w:hAnsiTheme="majorHAnsi"/>
            <w:noProof/>
            <w:webHidden/>
            <w:sz w:val="20"/>
            <w:szCs w:val="20"/>
          </w:rPr>
          <w:instrText xml:space="preserve"> PAGEREF _Toc6466668 \h </w:instrText>
        </w:r>
        <w:r w:rsidR="00206C92" w:rsidRPr="00206C92">
          <w:rPr>
            <w:rFonts w:asciiTheme="majorHAnsi" w:hAnsiTheme="majorHAnsi"/>
            <w:noProof/>
            <w:webHidden/>
            <w:sz w:val="20"/>
            <w:szCs w:val="20"/>
          </w:rPr>
        </w:r>
        <w:r w:rsidR="00206C92" w:rsidRPr="00206C92">
          <w:rPr>
            <w:rFonts w:asciiTheme="majorHAnsi" w:hAnsiTheme="majorHAnsi"/>
            <w:noProof/>
            <w:webHidden/>
            <w:sz w:val="20"/>
            <w:szCs w:val="20"/>
          </w:rPr>
          <w:fldChar w:fldCharType="separate"/>
        </w:r>
        <w:r w:rsidR="003D3644">
          <w:rPr>
            <w:rFonts w:asciiTheme="majorHAnsi" w:hAnsiTheme="majorHAnsi"/>
            <w:noProof/>
            <w:webHidden/>
            <w:sz w:val="20"/>
            <w:szCs w:val="20"/>
          </w:rPr>
          <w:t>39</w:t>
        </w:r>
        <w:r w:rsidR="00206C92" w:rsidRPr="00206C92">
          <w:rPr>
            <w:rFonts w:asciiTheme="majorHAnsi" w:hAnsiTheme="majorHAnsi"/>
            <w:noProof/>
            <w:webHidden/>
            <w:sz w:val="20"/>
            <w:szCs w:val="20"/>
          </w:rPr>
          <w:fldChar w:fldCharType="end"/>
        </w:r>
      </w:hyperlink>
    </w:p>
    <w:p w14:paraId="295053B4" w14:textId="77777777" w:rsidR="00206C92" w:rsidRPr="00206C92" w:rsidRDefault="009624E3" w:rsidP="00206C92">
      <w:pPr>
        <w:pStyle w:val="TOC3"/>
        <w:tabs>
          <w:tab w:val="left" w:pos="720"/>
          <w:tab w:val="left" w:pos="1440"/>
        </w:tabs>
        <w:ind w:hanging="720"/>
        <w:rPr>
          <w:rFonts w:asciiTheme="majorHAnsi" w:eastAsiaTheme="minorEastAsia" w:hAnsiTheme="majorHAnsi" w:cstheme="minorBidi"/>
          <w:noProof/>
          <w:sz w:val="20"/>
          <w:szCs w:val="20"/>
          <w:bdr w:val="none" w:sz="0" w:space="0" w:color="auto"/>
        </w:rPr>
      </w:pPr>
      <w:hyperlink w:anchor="_Toc6466669" w:history="1">
        <w:r w:rsidR="00206C92" w:rsidRPr="00206C92">
          <w:rPr>
            <w:rStyle w:val="Hyperlink"/>
            <w:rFonts w:asciiTheme="majorHAnsi" w:hAnsiTheme="majorHAnsi"/>
            <w:noProof/>
            <w:sz w:val="20"/>
            <w:szCs w:val="20"/>
          </w:rPr>
          <w:t>2.</w:t>
        </w:r>
        <w:r w:rsidR="00206C92" w:rsidRPr="00206C92">
          <w:rPr>
            <w:rFonts w:asciiTheme="majorHAnsi" w:eastAsiaTheme="minorEastAsia" w:hAnsiTheme="majorHAnsi" w:cstheme="minorBidi"/>
            <w:noProof/>
            <w:sz w:val="20"/>
            <w:szCs w:val="20"/>
            <w:bdr w:val="none" w:sz="0" w:space="0" w:color="auto"/>
          </w:rPr>
          <w:tab/>
        </w:r>
        <w:r w:rsidR="00206C92" w:rsidRPr="00206C92">
          <w:rPr>
            <w:rStyle w:val="Hyperlink"/>
            <w:rFonts w:asciiTheme="majorHAnsi" w:hAnsiTheme="majorHAnsi"/>
            <w:noProof/>
            <w:sz w:val="20"/>
            <w:szCs w:val="20"/>
          </w:rPr>
          <w:t>Análisis del caso</w:t>
        </w:r>
        <w:r w:rsidR="00206C92" w:rsidRPr="00206C92">
          <w:rPr>
            <w:rFonts w:asciiTheme="majorHAnsi" w:hAnsiTheme="majorHAnsi"/>
            <w:noProof/>
            <w:webHidden/>
            <w:sz w:val="20"/>
            <w:szCs w:val="20"/>
          </w:rPr>
          <w:tab/>
        </w:r>
        <w:r w:rsidR="00206C92" w:rsidRPr="00206C92">
          <w:rPr>
            <w:rFonts w:asciiTheme="majorHAnsi" w:hAnsiTheme="majorHAnsi"/>
            <w:noProof/>
            <w:webHidden/>
            <w:sz w:val="20"/>
            <w:szCs w:val="20"/>
          </w:rPr>
          <w:fldChar w:fldCharType="begin"/>
        </w:r>
        <w:r w:rsidR="00206C92" w:rsidRPr="00206C92">
          <w:rPr>
            <w:rFonts w:asciiTheme="majorHAnsi" w:hAnsiTheme="majorHAnsi"/>
            <w:noProof/>
            <w:webHidden/>
            <w:sz w:val="20"/>
            <w:szCs w:val="20"/>
          </w:rPr>
          <w:instrText xml:space="preserve"> PAGEREF _Toc6466669 \h </w:instrText>
        </w:r>
        <w:r w:rsidR="00206C92" w:rsidRPr="00206C92">
          <w:rPr>
            <w:rFonts w:asciiTheme="majorHAnsi" w:hAnsiTheme="majorHAnsi"/>
            <w:noProof/>
            <w:webHidden/>
            <w:sz w:val="20"/>
            <w:szCs w:val="20"/>
          </w:rPr>
        </w:r>
        <w:r w:rsidR="00206C92" w:rsidRPr="00206C92">
          <w:rPr>
            <w:rFonts w:asciiTheme="majorHAnsi" w:hAnsiTheme="majorHAnsi"/>
            <w:noProof/>
            <w:webHidden/>
            <w:sz w:val="20"/>
            <w:szCs w:val="20"/>
          </w:rPr>
          <w:fldChar w:fldCharType="separate"/>
        </w:r>
        <w:r w:rsidR="003D3644">
          <w:rPr>
            <w:rFonts w:asciiTheme="majorHAnsi" w:hAnsiTheme="majorHAnsi"/>
            <w:noProof/>
            <w:webHidden/>
            <w:sz w:val="20"/>
            <w:szCs w:val="20"/>
          </w:rPr>
          <w:t>41</w:t>
        </w:r>
        <w:r w:rsidR="00206C92" w:rsidRPr="00206C92">
          <w:rPr>
            <w:rFonts w:asciiTheme="majorHAnsi" w:hAnsiTheme="majorHAnsi"/>
            <w:noProof/>
            <w:webHidden/>
            <w:sz w:val="20"/>
            <w:szCs w:val="20"/>
          </w:rPr>
          <w:fldChar w:fldCharType="end"/>
        </w:r>
      </w:hyperlink>
    </w:p>
    <w:p w14:paraId="09A7ECAC" w14:textId="77777777" w:rsidR="00206C92" w:rsidRPr="00206C92" w:rsidRDefault="009624E3" w:rsidP="00206C92">
      <w:pPr>
        <w:pStyle w:val="TOC2"/>
        <w:tabs>
          <w:tab w:val="left" w:pos="720"/>
        </w:tabs>
        <w:ind w:hanging="720"/>
        <w:rPr>
          <w:rFonts w:asciiTheme="majorHAnsi" w:eastAsiaTheme="minorEastAsia" w:hAnsiTheme="majorHAnsi" w:cstheme="minorBidi"/>
          <w:noProof/>
          <w:sz w:val="20"/>
          <w:szCs w:val="20"/>
          <w:bdr w:val="none" w:sz="0" w:space="0" w:color="auto"/>
        </w:rPr>
      </w:pPr>
      <w:hyperlink w:anchor="_Toc6466670" w:history="1">
        <w:r w:rsidR="00206C92" w:rsidRPr="00206C92">
          <w:rPr>
            <w:rStyle w:val="Hyperlink"/>
            <w:rFonts w:asciiTheme="majorHAnsi" w:hAnsiTheme="majorHAnsi"/>
            <w:noProof/>
            <w:sz w:val="20"/>
            <w:szCs w:val="20"/>
          </w:rPr>
          <w:t>E.</w:t>
        </w:r>
        <w:r w:rsidR="00206C92" w:rsidRPr="00206C92">
          <w:rPr>
            <w:rFonts w:asciiTheme="majorHAnsi" w:eastAsiaTheme="minorEastAsia" w:hAnsiTheme="majorHAnsi" w:cstheme="minorBidi"/>
            <w:noProof/>
            <w:sz w:val="20"/>
            <w:szCs w:val="20"/>
            <w:bdr w:val="none" w:sz="0" w:space="0" w:color="auto"/>
          </w:rPr>
          <w:tab/>
        </w:r>
        <w:r w:rsidR="00206C92" w:rsidRPr="00206C92">
          <w:rPr>
            <w:rStyle w:val="Hyperlink"/>
            <w:rFonts w:asciiTheme="majorHAnsi" w:hAnsiTheme="majorHAnsi"/>
            <w:noProof/>
            <w:sz w:val="20"/>
            <w:szCs w:val="20"/>
          </w:rPr>
          <w:t>Derechos a las garantías judiciales, a la protección judicial y el deber de investigar graves violaciones a los derechos humanos (Artículos 8 y 25.1 de la Convención Americana), en relación con su artículo 1.1 y el deber de adoptar disposiciones de derecho interno (artículo 2 de la Convención Americana); y artículos 1, 6 y 8 de la CIPSTy artículos I inciso b) y III de la CIDFP</w:t>
        </w:r>
        <w:r w:rsidR="00206C92" w:rsidRPr="00206C92">
          <w:rPr>
            <w:rFonts w:asciiTheme="majorHAnsi" w:hAnsiTheme="majorHAnsi"/>
            <w:noProof/>
            <w:webHidden/>
            <w:sz w:val="20"/>
            <w:szCs w:val="20"/>
          </w:rPr>
          <w:tab/>
        </w:r>
        <w:r w:rsidR="00206C92" w:rsidRPr="00206C92">
          <w:rPr>
            <w:rFonts w:asciiTheme="majorHAnsi" w:hAnsiTheme="majorHAnsi"/>
            <w:noProof/>
            <w:webHidden/>
            <w:sz w:val="20"/>
            <w:szCs w:val="20"/>
          </w:rPr>
          <w:fldChar w:fldCharType="begin"/>
        </w:r>
        <w:r w:rsidR="00206C92" w:rsidRPr="00206C92">
          <w:rPr>
            <w:rFonts w:asciiTheme="majorHAnsi" w:hAnsiTheme="majorHAnsi"/>
            <w:noProof/>
            <w:webHidden/>
            <w:sz w:val="20"/>
            <w:szCs w:val="20"/>
          </w:rPr>
          <w:instrText xml:space="preserve"> PAGEREF _Toc6466670 \h </w:instrText>
        </w:r>
        <w:r w:rsidR="00206C92" w:rsidRPr="00206C92">
          <w:rPr>
            <w:rFonts w:asciiTheme="majorHAnsi" w:hAnsiTheme="majorHAnsi"/>
            <w:noProof/>
            <w:webHidden/>
            <w:sz w:val="20"/>
            <w:szCs w:val="20"/>
          </w:rPr>
        </w:r>
        <w:r w:rsidR="00206C92" w:rsidRPr="00206C92">
          <w:rPr>
            <w:rFonts w:asciiTheme="majorHAnsi" w:hAnsiTheme="majorHAnsi"/>
            <w:noProof/>
            <w:webHidden/>
            <w:sz w:val="20"/>
            <w:szCs w:val="20"/>
          </w:rPr>
          <w:fldChar w:fldCharType="separate"/>
        </w:r>
        <w:r w:rsidR="003D3644">
          <w:rPr>
            <w:rFonts w:asciiTheme="majorHAnsi" w:hAnsiTheme="majorHAnsi"/>
            <w:noProof/>
            <w:webHidden/>
            <w:sz w:val="20"/>
            <w:szCs w:val="20"/>
          </w:rPr>
          <w:t>42</w:t>
        </w:r>
        <w:r w:rsidR="00206C92" w:rsidRPr="00206C92">
          <w:rPr>
            <w:rFonts w:asciiTheme="majorHAnsi" w:hAnsiTheme="majorHAnsi"/>
            <w:noProof/>
            <w:webHidden/>
            <w:sz w:val="20"/>
            <w:szCs w:val="20"/>
          </w:rPr>
          <w:fldChar w:fldCharType="end"/>
        </w:r>
      </w:hyperlink>
    </w:p>
    <w:p w14:paraId="0A2F3284" w14:textId="77777777" w:rsidR="00206C92" w:rsidRPr="00206C92" w:rsidRDefault="009624E3" w:rsidP="00206C92">
      <w:pPr>
        <w:pStyle w:val="TOC3"/>
        <w:tabs>
          <w:tab w:val="left" w:pos="720"/>
          <w:tab w:val="left" w:pos="1440"/>
        </w:tabs>
        <w:ind w:hanging="720"/>
        <w:rPr>
          <w:rFonts w:asciiTheme="majorHAnsi" w:eastAsiaTheme="minorEastAsia" w:hAnsiTheme="majorHAnsi" w:cstheme="minorBidi"/>
          <w:noProof/>
          <w:sz w:val="20"/>
          <w:szCs w:val="20"/>
          <w:bdr w:val="none" w:sz="0" w:space="0" w:color="auto"/>
        </w:rPr>
      </w:pPr>
      <w:hyperlink w:anchor="_Toc6466671" w:history="1">
        <w:r w:rsidR="00206C92" w:rsidRPr="00206C92">
          <w:rPr>
            <w:rStyle w:val="Hyperlink"/>
            <w:rFonts w:asciiTheme="majorHAnsi" w:hAnsiTheme="majorHAnsi"/>
            <w:noProof/>
            <w:sz w:val="20"/>
            <w:szCs w:val="20"/>
          </w:rPr>
          <w:t>1.</w:t>
        </w:r>
        <w:r w:rsidR="00206C92" w:rsidRPr="00206C92">
          <w:rPr>
            <w:rFonts w:asciiTheme="majorHAnsi" w:eastAsiaTheme="minorEastAsia" w:hAnsiTheme="majorHAnsi" w:cstheme="minorBidi"/>
            <w:noProof/>
            <w:sz w:val="20"/>
            <w:szCs w:val="20"/>
            <w:bdr w:val="none" w:sz="0" w:space="0" w:color="auto"/>
          </w:rPr>
          <w:tab/>
        </w:r>
        <w:r w:rsidR="00206C92" w:rsidRPr="00206C92">
          <w:rPr>
            <w:rStyle w:val="Hyperlink"/>
            <w:rFonts w:asciiTheme="majorHAnsi" w:hAnsiTheme="majorHAnsi"/>
            <w:noProof/>
            <w:sz w:val="20"/>
            <w:szCs w:val="20"/>
          </w:rPr>
          <w:t>Consideraciones generales sobre los derechos a las garantías judiciales y protección judicial y sobre el deber de investigar posible desaparición forzada y tortura</w:t>
        </w:r>
        <w:r w:rsidR="00206C92" w:rsidRPr="00206C92">
          <w:rPr>
            <w:rFonts w:asciiTheme="majorHAnsi" w:hAnsiTheme="majorHAnsi"/>
            <w:noProof/>
            <w:webHidden/>
            <w:sz w:val="20"/>
            <w:szCs w:val="20"/>
          </w:rPr>
          <w:tab/>
        </w:r>
        <w:r w:rsidR="00206C92" w:rsidRPr="00206C92">
          <w:rPr>
            <w:rFonts w:asciiTheme="majorHAnsi" w:hAnsiTheme="majorHAnsi"/>
            <w:noProof/>
            <w:webHidden/>
            <w:sz w:val="20"/>
            <w:szCs w:val="20"/>
          </w:rPr>
          <w:fldChar w:fldCharType="begin"/>
        </w:r>
        <w:r w:rsidR="00206C92" w:rsidRPr="00206C92">
          <w:rPr>
            <w:rFonts w:asciiTheme="majorHAnsi" w:hAnsiTheme="majorHAnsi"/>
            <w:noProof/>
            <w:webHidden/>
            <w:sz w:val="20"/>
            <w:szCs w:val="20"/>
          </w:rPr>
          <w:instrText xml:space="preserve"> PAGEREF _Toc6466671 \h </w:instrText>
        </w:r>
        <w:r w:rsidR="00206C92" w:rsidRPr="00206C92">
          <w:rPr>
            <w:rFonts w:asciiTheme="majorHAnsi" w:hAnsiTheme="majorHAnsi"/>
            <w:noProof/>
            <w:webHidden/>
            <w:sz w:val="20"/>
            <w:szCs w:val="20"/>
          </w:rPr>
        </w:r>
        <w:r w:rsidR="00206C92" w:rsidRPr="00206C92">
          <w:rPr>
            <w:rFonts w:asciiTheme="majorHAnsi" w:hAnsiTheme="majorHAnsi"/>
            <w:noProof/>
            <w:webHidden/>
            <w:sz w:val="20"/>
            <w:szCs w:val="20"/>
          </w:rPr>
          <w:fldChar w:fldCharType="separate"/>
        </w:r>
        <w:r w:rsidR="003D3644">
          <w:rPr>
            <w:rFonts w:asciiTheme="majorHAnsi" w:hAnsiTheme="majorHAnsi"/>
            <w:noProof/>
            <w:webHidden/>
            <w:sz w:val="20"/>
            <w:szCs w:val="20"/>
          </w:rPr>
          <w:t>42</w:t>
        </w:r>
        <w:r w:rsidR="00206C92" w:rsidRPr="00206C92">
          <w:rPr>
            <w:rFonts w:asciiTheme="majorHAnsi" w:hAnsiTheme="majorHAnsi"/>
            <w:noProof/>
            <w:webHidden/>
            <w:sz w:val="20"/>
            <w:szCs w:val="20"/>
          </w:rPr>
          <w:fldChar w:fldCharType="end"/>
        </w:r>
      </w:hyperlink>
    </w:p>
    <w:p w14:paraId="4FB1B5FD" w14:textId="77777777" w:rsidR="00206C92" w:rsidRPr="00206C92" w:rsidRDefault="009624E3" w:rsidP="00206C92">
      <w:pPr>
        <w:pStyle w:val="TOC3"/>
        <w:tabs>
          <w:tab w:val="left" w:pos="720"/>
          <w:tab w:val="left" w:pos="1440"/>
        </w:tabs>
        <w:ind w:hanging="720"/>
        <w:rPr>
          <w:rFonts w:asciiTheme="majorHAnsi" w:eastAsiaTheme="minorEastAsia" w:hAnsiTheme="majorHAnsi" w:cstheme="minorBidi"/>
          <w:noProof/>
          <w:sz w:val="20"/>
          <w:szCs w:val="20"/>
          <w:bdr w:val="none" w:sz="0" w:space="0" w:color="auto"/>
        </w:rPr>
      </w:pPr>
      <w:hyperlink w:anchor="_Toc6466672" w:history="1">
        <w:r w:rsidR="00206C92" w:rsidRPr="00206C92">
          <w:rPr>
            <w:rStyle w:val="Hyperlink"/>
            <w:rFonts w:asciiTheme="majorHAnsi" w:hAnsiTheme="majorHAnsi"/>
            <w:noProof/>
            <w:sz w:val="20"/>
            <w:szCs w:val="20"/>
          </w:rPr>
          <w:t>2.</w:t>
        </w:r>
        <w:r w:rsidR="00206C92" w:rsidRPr="00206C92">
          <w:rPr>
            <w:rFonts w:asciiTheme="majorHAnsi" w:eastAsiaTheme="minorEastAsia" w:hAnsiTheme="majorHAnsi" w:cstheme="minorBidi"/>
            <w:noProof/>
            <w:sz w:val="20"/>
            <w:szCs w:val="20"/>
            <w:bdr w:val="none" w:sz="0" w:space="0" w:color="auto"/>
          </w:rPr>
          <w:tab/>
        </w:r>
        <w:r w:rsidR="00206C92" w:rsidRPr="00206C92">
          <w:rPr>
            <w:rStyle w:val="Hyperlink"/>
            <w:rFonts w:asciiTheme="majorHAnsi" w:hAnsiTheme="majorHAnsi"/>
            <w:noProof/>
            <w:sz w:val="20"/>
            <w:szCs w:val="20"/>
          </w:rPr>
          <w:t>Análisis del caso</w:t>
        </w:r>
        <w:r w:rsidR="00206C92" w:rsidRPr="00206C92">
          <w:rPr>
            <w:rFonts w:asciiTheme="majorHAnsi" w:hAnsiTheme="majorHAnsi"/>
            <w:noProof/>
            <w:webHidden/>
            <w:sz w:val="20"/>
            <w:szCs w:val="20"/>
          </w:rPr>
          <w:tab/>
        </w:r>
        <w:r w:rsidR="00206C92" w:rsidRPr="00206C92">
          <w:rPr>
            <w:rFonts w:asciiTheme="majorHAnsi" w:hAnsiTheme="majorHAnsi"/>
            <w:noProof/>
            <w:webHidden/>
            <w:sz w:val="20"/>
            <w:szCs w:val="20"/>
          </w:rPr>
          <w:fldChar w:fldCharType="begin"/>
        </w:r>
        <w:r w:rsidR="00206C92" w:rsidRPr="00206C92">
          <w:rPr>
            <w:rFonts w:asciiTheme="majorHAnsi" w:hAnsiTheme="majorHAnsi"/>
            <w:noProof/>
            <w:webHidden/>
            <w:sz w:val="20"/>
            <w:szCs w:val="20"/>
          </w:rPr>
          <w:instrText xml:space="preserve"> PAGEREF _Toc6466672 \h </w:instrText>
        </w:r>
        <w:r w:rsidR="00206C92" w:rsidRPr="00206C92">
          <w:rPr>
            <w:rFonts w:asciiTheme="majorHAnsi" w:hAnsiTheme="majorHAnsi"/>
            <w:noProof/>
            <w:webHidden/>
            <w:sz w:val="20"/>
            <w:szCs w:val="20"/>
          </w:rPr>
        </w:r>
        <w:r w:rsidR="00206C92" w:rsidRPr="00206C92">
          <w:rPr>
            <w:rFonts w:asciiTheme="majorHAnsi" w:hAnsiTheme="majorHAnsi"/>
            <w:noProof/>
            <w:webHidden/>
            <w:sz w:val="20"/>
            <w:szCs w:val="20"/>
          </w:rPr>
          <w:fldChar w:fldCharType="separate"/>
        </w:r>
        <w:r w:rsidR="003D3644">
          <w:rPr>
            <w:rFonts w:asciiTheme="majorHAnsi" w:hAnsiTheme="majorHAnsi"/>
            <w:noProof/>
            <w:webHidden/>
            <w:sz w:val="20"/>
            <w:szCs w:val="20"/>
          </w:rPr>
          <w:t>45</w:t>
        </w:r>
        <w:r w:rsidR="00206C92" w:rsidRPr="00206C92">
          <w:rPr>
            <w:rFonts w:asciiTheme="majorHAnsi" w:hAnsiTheme="majorHAnsi"/>
            <w:noProof/>
            <w:webHidden/>
            <w:sz w:val="20"/>
            <w:szCs w:val="20"/>
          </w:rPr>
          <w:fldChar w:fldCharType="end"/>
        </w:r>
      </w:hyperlink>
    </w:p>
    <w:p w14:paraId="6F9F820D" w14:textId="77777777" w:rsidR="00206C92" w:rsidRPr="00206C92" w:rsidRDefault="009624E3" w:rsidP="00206C92">
      <w:pPr>
        <w:pStyle w:val="TOC2"/>
        <w:tabs>
          <w:tab w:val="left" w:pos="720"/>
        </w:tabs>
        <w:ind w:hanging="720"/>
        <w:rPr>
          <w:rFonts w:asciiTheme="majorHAnsi" w:eastAsiaTheme="minorEastAsia" w:hAnsiTheme="majorHAnsi" w:cstheme="minorBidi"/>
          <w:noProof/>
          <w:sz w:val="20"/>
          <w:szCs w:val="20"/>
          <w:bdr w:val="none" w:sz="0" w:space="0" w:color="auto"/>
        </w:rPr>
      </w:pPr>
      <w:hyperlink w:anchor="_Toc6466673" w:history="1">
        <w:r w:rsidR="00206C92" w:rsidRPr="00206C92">
          <w:rPr>
            <w:rStyle w:val="Hyperlink"/>
            <w:rFonts w:asciiTheme="majorHAnsi" w:hAnsiTheme="majorHAnsi"/>
            <w:noProof/>
            <w:sz w:val="20"/>
            <w:szCs w:val="20"/>
          </w:rPr>
          <w:t>F.</w:t>
        </w:r>
        <w:r w:rsidR="00206C92" w:rsidRPr="00206C92">
          <w:rPr>
            <w:rFonts w:asciiTheme="majorHAnsi" w:eastAsiaTheme="minorEastAsia" w:hAnsiTheme="majorHAnsi" w:cstheme="minorBidi"/>
            <w:noProof/>
            <w:sz w:val="20"/>
            <w:szCs w:val="20"/>
            <w:bdr w:val="none" w:sz="0" w:space="0" w:color="auto"/>
          </w:rPr>
          <w:tab/>
        </w:r>
        <w:r w:rsidR="00206C92" w:rsidRPr="00206C92">
          <w:rPr>
            <w:rStyle w:val="Hyperlink"/>
            <w:rFonts w:asciiTheme="majorHAnsi" w:hAnsiTheme="majorHAnsi"/>
            <w:noProof/>
            <w:sz w:val="20"/>
            <w:szCs w:val="20"/>
          </w:rPr>
          <w:t>Derecho al debido proceso y a la tutela judicial efectiva respecto del artículo 280 del Código Procesal Civil y Comercial de la Nación</w:t>
        </w:r>
        <w:r w:rsidR="00206C92" w:rsidRPr="00206C92">
          <w:rPr>
            <w:rFonts w:asciiTheme="majorHAnsi" w:hAnsiTheme="majorHAnsi"/>
            <w:noProof/>
            <w:webHidden/>
            <w:sz w:val="20"/>
            <w:szCs w:val="20"/>
          </w:rPr>
          <w:tab/>
        </w:r>
        <w:r w:rsidR="00206C92" w:rsidRPr="00206C92">
          <w:rPr>
            <w:rFonts w:asciiTheme="majorHAnsi" w:hAnsiTheme="majorHAnsi"/>
            <w:noProof/>
            <w:webHidden/>
            <w:sz w:val="20"/>
            <w:szCs w:val="20"/>
          </w:rPr>
          <w:fldChar w:fldCharType="begin"/>
        </w:r>
        <w:r w:rsidR="00206C92" w:rsidRPr="00206C92">
          <w:rPr>
            <w:rFonts w:asciiTheme="majorHAnsi" w:hAnsiTheme="majorHAnsi"/>
            <w:noProof/>
            <w:webHidden/>
            <w:sz w:val="20"/>
            <w:szCs w:val="20"/>
          </w:rPr>
          <w:instrText xml:space="preserve"> PAGEREF _Toc6466673 \h </w:instrText>
        </w:r>
        <w:r w:rsidR="00206C92" w:rsidRPr="00206C92">
          <w:rPr>
            <w:rFonts w:asciiTheme="majorHAnsi" w:hAnsiTheme="majorHAnsi"/>
            <w:noProof/>
            <w:webHidden/>
            <w:sz w:val="20"/>
            <w:szCs w:val="20"/>
          </w:rPr>
        </w:r>
        <w:r w:rsidR="00206C92" w:rsidRPr="00206C92">
          <w:rPr>
            <w:rFonts w:asciiTheme="majorHAnsi" w:hAnsiTheme="majorHAnsi"/>
            <w:noProof/>
            <w:webHidden/>
            <w:sz w:val="20"/>
            <w:szCs w:val="20"/>
          </w:rPr>
          <w:fldChar w:fldCharType="separate"/>
        </w:r>
        <w:r w:rsidR="003D3644">
          <w:rPr>
            <w:rFonts w:asciiTheme="majorHAnsi" w:hAnsiTheme="majorHAnsi"/>
            <w:noProof/>
            <w:webHidden/>
            <w:sz w:val="20"/>
            <w:szCs w:val="20"/>
          </w:rPr>
          <w:t>48</w:t>
        </w:r>
        <w:r w:rsidR="00206C92" w:rsidRPr="00206C92">
          <w:rPr>
            <w:rFonts w:asciiTheme="majorHAnsi" w:hAnsiTheme="majorHAnsi"/>
            <w:noProof/>
            <w:webHidden/>
            <w:sz w:val="20"/>
            <w:szCs w:val="20"/>
          </w:rPr>
          <w:fldChar w:fldCharType="end"/>
        </w:r>
      </w:hyperlink>
    </w:p>
    <w:p w14:paraId="554D1014" w14:textId="77777777" w:rsidR="00206C92" w:rsidRPr="00206C92" w:rsidRDefault="009624E3" w:rsidP="00206C92">
      <w:pPr>
        <w:pStyle w:val="TOC2"/>
        <w:tabs>
          <w:tab w:val="left" w:pos="720"/>
        </w:tabs>
        <w:ind w:hanging="720"/>
        <w:rPr>
          <w:rFonts w:asciiTheme="majorHAnsi" w:eastAsiaTheme="minorEastAsia" w:hAnsiTheme="majorHAnsi" w:cstheme="minorBidi"/>
          <w:noProof/>
          <w:sz w:val="20"/>
          <w:szCs w:val="20"/>
          <w:bdr w:val="none" w:sz="0" w:space="0" w:color="auto"/>
        </w:rPr>
      </w:pPr>
      <w:hyperlink w:anchor="_Toc6466674" w:history="1">
        <w:r w:rsidR="00206C92" w:rsidRPr="00206C92">
          <w:rPr>
            <w:rStyle w:val="Hyperlink"/>
            <w:rFonts w:asciiTheme="majorHAnsi" w:hAnsiTheme="majorHAnsi"/>
            <w:noProof/>
            <w:sz w:val="20"/>
            <w:szCs w:val="20"/>
          </w:rPr>
          <w:t>G.</w:t>
        </w:r>
        <w:r w:rsidR="00206C92" w:rsidRPr="00206C92">
          <w:rPr>
            <w:rFonts w:asciiTheme="majorHAnsi" w:eastAsiaTheme="minorEastAsia" w:hAnsiTheme="majorHAnsi" w:cstheme="minorBidi"/>
            <w:noProof/>
            <w:sz w:val="20"/>
            <w:szCs w:val="20"/>
            <w:bdr w:val="none" w:sz="0" w:space="0" w:color="auto"/>
          </w:rPr>
          <w:tab/>
        </w:r>
        <w:r w:rsidR="00206C92" w:rsidRPr="00206C92">
          <w:rPr>
            <w:rStyle w:val="Hyperlink"/>
            <w:rFonts w:asciiTheme="majorHAnsi" w:hAnsiTheme="majorHAnsi"/>
            <w:noProof/>
            <w:sz w:val="20"/>
            <w:szCs w:val="20"/>
          </w:rPr>
          <w:t>Derechos a las garantías judiciales y protección judicial en materia de reparaciones por graves violaciones a los derechos humanos (Artículos 8.1 y 25.1 de la Convención, en relación con sus artículos 1.1 y 2)</w:t>
        </w:r>
        <w:r w:rsidR="00206C92" w:rsidRPr="00206C92">
          <w:rPr>
            <w:rFonts w:asciiTheme="majorHAnsi" w:hAnsiTheme="majorHAnsi"/>
            <w:noProof/>
            <w:webHidden/>
            <w:sz w:val="20"/>
            <w:szCs w:val="20"/>
          </w:rPr>
          <w:tab/>
        </w:r>
        <w:r w:rsidR="00206C92" w:rsidRPr="00206C92">
          <w:rPr>
            <w:rFonts w:asciiTheme="majorHAnsi" w:hAnsiTheme="majorHAnsi"/>
            <w:noProof/>
            <w:webHidden/>
            <w:sz w:val="20"/>
            <w:szCs w:val="20"/>
          </w:rPr>
          <w:fldChar w:fldCharType="begin"/>
        </w:r>
        <w:r w:rsidR="00206C92" w:rsidRPr="00206C92">
          <w:rPr>
            <w:rFonts w:asciiTheme="majorHAnsi" w:hAnsiTheme="majorHAnsi"/>
            <w:noProof/>
            <w:webHidden/>
            <w:sz w:val="20"/>
            <w:szCs w:val="20"/>
          </w:rPr>
          <w:instrText xml:space="preserve"> PAGEREF _Toc6466674 \h </w:instrText>
        </w:r>
        <w:r w:rsidR="00206C92" w:rsidRPr="00206C92">
          <w:rPr>
            <w:rFonts w:asciiTheme="majorHAnsi" w:hAnsiTheme="majorHAnsi"/>
            <w:noProof/>
            <w:webHidden/>
            <w:sz w:val="20"/>
            <w:szCs w:val="20"/>
          </w:rPr>
        </w:r>
        <w:r w:rsidR="00206C92" w:rsidRPr="00206C92">
          <w:rPr>
            <w:rFonts w:asciiTheme="majorHAnsi" w:hAnsiTheme="majorHAnsi"/>
            <w:noProof/>
            <w:webHidden/>
            <w:sz w:val="20"/>
            <w:szCs w:val="20"/>
          </w:rPr>
          <w:fldChar w:fldCharType="separate"/>
        </w:r>
        <w:r w:rsidR="003D3644">
          <w:rPr>
            <w:rFonts w:asciiTheme="majorHAnsi" w:hAnsiTheme="majorHAnsi"/>
            <w:noProof/>
            <w:webHidden/>
            <w:sz w:val="20"/>
            <w:szCs w:val="20"/>
          </w:rPr>
          <w:t>49</w:t>
        </w:r>
        <w:r w:rsidR="00206C92" w:rsidRPr="00206C92">
          <w:rPr>
            <w:rFonts w:asciiTheme="majorHAnsi" w:hAnsiTheme="majorHAnsi"/>
            <w:noProof/>
            <w:webHidden/>
            <w:sz w:val="20"/>
            <w:szCs w:val="20"/>
          </w:rPr>
          <w:fldChar w:fldCharType="end"/>
        </w:r>
      </w:hyperlink>
    </w:p>
    <w:p w14:paraId="086EA3B7" w14:textId="77777777" w:rsidR="00206C92" w:rsidRPr="00206C92" w:rsidRDefault="009624E3" w:rsidP="00206C92">
      <w:pPr>
        <w:pStyle w:val="TOC3"/>
        <w:tabs>
          <w:tab w:val="left" w:pos="720"/>
          <w:tab w:val="left" w:pos="1440"/>
        </w:tabs>
        <w:ind w:hanging="720"/>
        <w:rPr>
          <w:rFonts w:asciiTheme="majorHAnsi" w:eastAsiaTheme="minorEastAsia" w:hAnsiTheme="majorHAnsi" w:cstheme="minorBidi"/>
          <w:noProof/>
          <w:sz w:val="20"/>
          <w:szCs w:val="20"/>
          <w:bdr w:val="none" w:sz="0" w:space="0" w:color="auto"/>
        </w:rPr>
      </w:pPr>
      <w:hyperlink w:anchor="_Toc6466675" w:history="1">
        <w:r w:rsidR="00206C92" w:rsidRPr="00206C92">
          <w:rPr>
            <w:rStyle w:val="Hyperlink"/>
            <w:rFonts w:asciiTheme="majorHAnsi" w:hAnsiTheme="majorHAnsi"/>
            <w:noProof/>
            <w:sz w:val="20"/>
            <w:szCs w:val="20"/>
          </w:rPr>
          <w:t>1.</w:t>
        </w:r>
        <w:r w:rsidR="00206C92" w:rsidRPr="00206C92">
          <w:rPr>
            <w:rFonts w:asciiTheme="majorHAnsi" w:eastAsiaTheme="minorEastAsia" w:hAnsiTheme="majorHAnsi" w:cstheme="minorBidi"/>
            <w:noProof/>
            <w:sz w:val="20"/>
            <w:szCs w:val="20"/>
            <w:bdr w:val="none" w:sz="0" w:space="0" w:color="auto"/>
          </w:rPr>
          <w:tab/>
        </w:r>
        <w:r w:rsidR="00206C92" w:rsidRPr="00206C92">
          <w:rPr>
            <w:rStyle w:val="Hyperlink"/>
            <w:rFonts w:asciiTheme="majorHAnsi" w:hAnsiTheme="majorHAnsi"/>
            <w:noProof/>
            <w:sz w:val="20"/>
            <w:szCs w:val="20"/>
          </w:rPr>
          <w:t>Consideraciones generales sobre la imprescriptibilidad de las acciones civiles relativas a graves violaciones a los derechos humanos</w:t>
        </w:r>
        <w:r w:rsidR="00206C92" w:rsidRPr="00206C92">
          <w:rPr>
            <w:rFonts w:asciiTheme="majorHAnsi" w:hAnsiTheme="majorHAnsi"/>
            <w:noProof/>
            <w:webHidden/>
            <w:sz w:val="20"/>
            <w:szCs w:val="20"/>
          </w:rPr>
          <w:tab/>
        </w:r>
        <w:r w:rsidR="00206C92" w:rsidRPr="00206C92">
          <w:rPr>
            <w:rFonts w:asciiTheme="majorHAnsi" w:hAnsiTheme="majorHAnsi"/>
            <w:noProof/>
            <w:webHidden/>
            <w:sz w:val="20"/>
            <w:szCs w:val="20"/>
          </w:rPr>
          <w:fldChar w:fldCharType="begin"/>
        </w:r>
        <w:r w:rsidR="00206C92" w:rsidRPr="00206C92">
          <w:rPr>
            <w:rFonts w:asciiTheme="majorHAnsi" w:hAnsiTheme="majorHAnsi"/>
            <w:noProof/>
            <w:webHidden/>
            <w:sz w:val="20"/>
            <w:szCs w:val="20"/>
          </w:rPr>
          <w:instrText xml:space="preserve"> PAGEREF _Toc6466675 \h </w:instrText>
        </w:r>
        <w:r w:rsidR="00206C92" w:rsidRPr="00206C92">
          <w:rPr>
            <w:rFonts w:asciiTheme="majorHAnsi" w:hAnsiTheme="majorHAnsi"/>
            <w:noProof/>
            <w:webHidden/>
            <w:sz w:val="20"/>
            <w:szCs w:val="20"/>
          </w:rPr>
        </w:r>
        <w:r w:rsidR="00206C92" w:rsidRPr="00206C92">
          <w:rPr>
            <w:rFonts w:asciiTheme="majorHAnsi" w:hAnsiTheme="majorHAnsi"/>
            <w:noProof/>
            <w:webHidden/>
            <w:sz w:val="20"/>
            <w:szCs w:val="20"/>
          </w:rPr>
          <w:fldChar w:fldCharType="separate"/>
        </w:r>
        <w:r w:rsidR="003D3644">
          <w:rPr>
            <w:rFonts w:asciiTheme="majorHAnsi" w:hAnsiTheme="majorHAnsi"/>
            <w:noProof/>
            <w:webHidden/>
            <w:sz w:val="20"/>
            <w:szCs w:val="20"/>
          </w:rPr>
          <w:t>49</w:t>
        </w:r>
        <w:r w:rsidR="00206C92" w:rsidRPr="00206C92">
          <w:rPr>
            <w:rFonts w:asciiTheme="majorHAnsi" w:hAnsiTheme="majorHAnsi"/>
            <w:noProof/>
            <w:webHidden/>
            <w:sz w:val="20"/>
            <w:szCs w:val="20"/>
          </w:rPr>
          <w:fldChar w:fldCharType="end"/>
        </w:r>
      </w:hyperlink>
    </w:p>
    <w:p w14:paraId="178B4BCB" w14:textId="77777777" w:rsidR="00206C92" w:rsidRPr="00206C92" w:rsidRDefault="009624E3" w:rsidP="00206C92">
      <w:pPr>
        <w:pStyle w:val="TOC3"/>
        <w:tabs>
          <w:tab w:val="left" w:pos="720"/>
          <w:tab w:val="left" w:pos="1440"/>
        </w:tabs>
        <w:ind w:hanging="720"/>
        <w:rPr>
          <w:rFonts w:asciiTheme="majorHAnsi" w:eastAsiaTheme="minorEastAsia" w:hAnsiTheme="majorHAnsi" w:cstheme="minorBidi"/>
          <w:noProof/>
          <w:sz w:val="20"/>
          <w:szCs w:val="20"/>
          <w:bdr w:val="none" w:sz="0" w:space="0" w:color="auto"/>
        </w:rPr>
      </w:pPr>
      <w:hyperlink w:anchor="_Toc6466676" w:history="1">
        <w:r w:rsidR="00206C92" w:rsidRPr="00206C92">
          <w:rPr>
            <w:rStyle w:val="Hyperlink"/>
            <w:rFonts w:asciiTheme="majorHAnsi" w:hAnsiTheme="majorHAnsi"/>
            <w:noProof/>
            <w:sz w:val="20"/>
            <w:szCs w:val="20"/>
          </w:rPr>
          <w:t>2.</w:t>
        </w:r>
        <w:r w:rsidR="00206C92" w:rsidRPr="00206C92">
          <w:rPr>
            <w:rFonts w:asciiTheme="majorHAnsi" w:eastAsiaTheme="minorEastAsia" w:hAnsiTheme="majorHAnsi" w:cstheme="minorBidi"/>
            <w:noProof/>
            <w:sz w:val="20"/>
            <w:szCs w:val="20"/>
            <w:bdr w:val="none" w:sz="0" w:space="0" w:color="auto"/>
          </w:rPr>
          <w:tab/>
        </w:r>
        <w:r w:rsidR="00206C92" w:rsidRPr="00206C92">
          <w:rPr>
            <w:rStyle w:val="Hyperlink"/>
            <w:rFonts w:asciiTheme="majorHAnsi" w:hAnsiTheme="majorHAnsi"/>
            <w:noProof/>
            <w:sz w:val="20"/>
            <w:szCs w:val="20"/>
          </w:rPr>
          <w:t>Análisis del caso</w:t>
        </w:r>
        <w:r w:rsidR="00206C92" w:rsidRPr="00206C92">
          <w:rPr>
            <w:rFonts w:asciiTheme="majorHAnsi" w:hAnsiTheme="majorHAnsi"/>
            <w:noProof/>
            <w:webHidden/>
            <w:sz w:val="20"/>
            <w:szCs w:val="20"/>
          </w:rPr>
          <w:tab/>
        </w:r>
        <w:r w:rsidR="00206C92" w:rsidRPr="00206C92">
          <w:rPr>
            <w:rFonts w:asciiTheme="majorHAnsi" w:hAnsiTheme="majorHAnsi"/>
            <w:noProof/>
            <w:webHidden/>
            <w:sz w:val="20"/>
            <w:szCs w:val="20"/>
          </w:rPr>
          <w:fldChar w:fldCharType="begin"/>
        </w:r>
        <w:r w:rsidR="00206C92" w:rsidRPr="00206C92">
          <w:rPr>
            <w:rFonts w:asciiTheme="majorHAnsi" w:hAnsiTheme="majorHAnsi"/>
            <w:noProof/>
            <w:webHidden/>
            <w:sz w:val="20"/>
            <w:szCs w:val="20"/>
          </w:rPr>
          <w:instrText xml:space="preserve"> PAGEREF _Toc6466676 \h </w:instrText>
        </w:r>
        <w:r w:rsidR="00206C92" w:rsidRPr="00206C92">
          <w:rPr>
            <w:rFonts w:asciiTheme="majorHAnsi" w:hAnsiTheme="majorHAnsi"/>
            <w:noProof/>
            <w:webHidden/>
            <w:sz w:val="20"/>
            <w:szCs w:val="20"/>
          </w:rPr>
        </w:r>
        <w:r w:rsidR="00206C92" w:rsidRPr="00206C92">
          <w:rPr>
            <w:rFonts w:asciiTheme="majorHAnsi" w:hAnsiTheme="majorHAnsi"/>
            <w:noProof/>
            <w:webHidden/>
            <w:sz w:val="20"/>
            <w:szCs w:val="20"/>
          </w:rPr>
          <w:fldChar w:fldCharType="separate"/>
        </w:r>
        <w:r w:rsidR="003D3644">
          <w:rPr>
            <w:rFonts w:asciiTheme="majorHAnsi" w:hAnsiTheme="majorHAnsi"/>
            <w:noProof/>
            <w:webHidden/>
            <w:sz w:val="20"/>
            <w:szCs w:val="20"/>
          </w:rPr>
          <w:t>50</w:t>
        </w:r>
        <w:r w:rsidR="00206C92" w:rsidRPr="00206C92">
          <w:rPr>
            <w:rFonts w:asciiTheme="majorHAnsi" w:hAnsiTheme="majorHAnsi"/>
            <w:noProof/>
            <w:webHidden/>
            <w:sz w:val="20"/>
            <w:szCs w:val="20"/>
          </w:rPr>
          <w:fldChar w:fldCharType="end"/>
        </w:r>
      </w:hyperlink>
    </w:p>
    <w:p w14:paraId="55E779F2" w14:textId="77777777" w:rsidR="00206C92" w:rsidRPr="00206C92" w:rsidRDefault="009624E3" w:rsidP="00206C92">
      <w:pPr>
        <w:pStyle w:val="TOC3"/>
        <w:tabs>
          <w:tab w:val="left" w:pos="720"/>
          <w:tab w:val="left" w:pos="1440"/>
        </w:tabs>
        <w:ind w:hanging="720"/>
        <w:rPr>
          <w:rFonts w:asciiTheme="majorHAnsi" w:eastAsiaTheme="minorEastAsia" w:hAnsiTheme="majorHAnsi" w:cstheme="minorBidi"/>
          <w:noProof/>
          <w:sz w:val="20"/>
          <w:szCs w:val="20"/>
          <w:bdr w:val="none" w:sz="0" w:space="0" w:color="auto"/>
        </w:rPr>
      </w:pPr>
      <w:hyperlink w:anchor="_Toc6466677" w:history="1">
        <w:r w:rsidR="00206C92" w:rsidRPr="00206C92">
          <w:rPr>
            <w:rStyle w:val="Hyperlink"/>
            <w:rFonts w:asciiTheme="majorHAnsi" w:hAnsiTheme="majorHAnsi"/>
            <w:noProof/>
            <w:sz w:val="20"/>
            <w:szCs w:val="20"/>
          </w:rPr>
          <w:t>3.</w:t>
        </w:r>
        <w:r w:rsidR="00206C92" w:rsidRPr="00206C92">
          <w:rPr>
            <w:rFonts w:asciiTheme="majorHAnsi" w:eastAsiaTheme="minorEastAsia" w:hAnsiTheme="majorHAnsi" w:cstheme="minorBidi"/>
            <w:noProof/>
            <w:sz w:val="20"/>
            <w:szCs w:val="20"/>
            <w:bdr w:val="none" w:sz="0" w:space="0" w:color="auto"/>
          </w:rPr>
          <w:tab/>
        </w:r>
        <w:r w:rsidR="00206C92" w:rsidRPr="00206C92">
          <w:rPr>
            <w:rStyle w:val="Hyperlink"/>
            <w:rFonts w:asciiTheme="majorHAnsi" w:hAnsiTheme="majorHAnsi"/>
            <w:noProof/>
            <w:sz w:val="20"/>
            <w:szCs w:val="20"/>
          </w:rPr>
          <w:t>Consideraciones generales sobre los mecanismos de reparación administrativa en casos de graves violaciones a los derechos humanos</w:t>
        </w:r>
        <w:r w:rsidR="00206C92" w:rsidRPr="00206C92">
          <w:rPr>
            <w:rFonts w:asciiTheme="majorHAnsi" w:hAnsiTheme="majorHAnsi"/>
            <w:noProof/>
            <w:webHidden/>
            <w:sz w:val="20"/>
            <w:szCs w:val="20"/>
          </w:rPr>
          <w:tab/>
        </w:r>
        <w:r w:rsidR="00206C92" w:rsidRPr="00206C92">
          <w:rPr>
            <w:rFonts w:asciiTheme="majorHAnsi" w:hAnsiTheme="majorHAnsi"/>
            <w:noProof/>
            <w:webHidden/>
            <w:sz w:val="20"/>
            <w:szCs w:val="20"/>
          </w:rPr>
          <w:fldChar w:fldCharType="begin"/>
        </w:r>
        <w:r w:rsidR="00206C92" w:rsidRPr="00206C92">
          <w:rPr>
            <w:rFonts w:asciiTheme="majorHAnsi" w:hAnsiTheme="majorHAnsi"/>
            <w:noProof/>
            <w:webHidden/>
            <w:sz w:val="20"/>
            <w:szCs w:val="20"/>
          </w:rPr>
          <w:instrText xml:space="preserve"> PAGEREF _Toc6466677 \h </w:instrText>
        </w:r>
        <w:r w:rsidR="00206C92" w:rsidRPr="00206C92">
          <w:rPr>
            <w:rFonts w:asciiTheme="majorHAnsi" w:hAnsiTheme="majorHAnsi"/>
            <w:noProof/>
            <w:webHidden/>
            <w:sz w:val="20"/>
            <w:szCs w:val="20"/>
          </w:rPr>
        </w:r>
        <w:r w:rsidR="00206C92" w:rsidRPr="00206C92">
          <w:rPr>
            <w:rFonts w:asciiTheme="majorHAnsi" w:hAnsiTheme="majorHAnsi"/>
            <w:noProof/>
            <w:webHidden/>
            <w:sz w:val="20"/>
            <w:szCs w:val="20"/>
          </w:rPr>
          <w:fldChar w:fldCharType="separate"/>
        </w:r>
        <w:r w:rsidR="003D3644">
          <w:rPr>
            <w:rFonts w:asciiTheme="majorHAnsi" w:hAnsiTheme="majorHAnsi"/>
            <w:noProof/>
            <w:webHidden/>
            <w:sz w:val="20"/>
            <w:szCs w:val="20"/>
          </w:rPr>
          <w:t>51</w:t>
        </w:r>
        <w:r w:rsidR="00206C92" w:rsidRPr="00206C92">
          <w:rPr>
            <w:rFonts w:asciiTheme="majorHAnsi" w:hAnsiTheme="majorHAnsi"/>
            <w:noProof/>
            <w:webHidden/>
            <w:sz w:val="20"/>
            <w:szCs w:val="20"/>
          </w:rPr>
          <w:fldChar w:fldCharType="end"/>
        </w:r>
      </w:hyperlink>
    </w:p>
    <w:p w14:paraId="2C3E1288" w14:textId="77777777" w:rsidR="00206C92" w:rsidRPr="00206C92" w:rsidRDefault="009624E3" w:rsidP="00206C92">
      <w:pPr>
        <w:pStyle w:val="TOC3"/>
        <w:tabs>
          <w:tab w:val="left" w:pos="720"/>
          <w:tab w:val="left" w:pos="1440"/>
        </w:tabs>
        <w:ind w:hanging="720"/>
        <w:rPr>
          <w:rFonts w:asciiTheme="majorHAnsi" w:eastAsiaTheme="minorEastAsia" w:hAnsiTheme="majorHAnsi" w:cstheme="minorBidi"/>
          <w:noProof/>
          <w:sz w:val="20"/>
          <w:szCs w:val="20"/>
          <w:bdr w:val="none" w:sz="0" w:space="0" w:color="auto"/>
        </w:rPr>
      </w:pPr>
      <w:hyperlink w:anchor="_Toc6466678" w:history="1">
        <w:r w:rsidR="00206C92" w:rsidRPr="00206C92">
          <w:rPr>
            <w:rStyle w:val="Hyperlink"/>
            <w:rFonts w:asciiTheme="majorHAnsi" w:hAnsiTheme="majorHAnsi"/>
            <w:noProof/>
            <w:sz w:val="20"/>
            <w:szCs w:val="20"/>
          </w:rPr>
          <w:t>4.</w:t>
        </w:r>
        <w:r w:rsidR="00206C92" w:rsidRPr="00206C92">
          <w:rPr>
            <w:rFonts w:asciiTheme="majorHAnsi" w:eastAsiaTheme="minorEastAsia" w:hAnsiTheme="majorHAnsi" w:cstheme="minorBidi"/>
            <w:noProof/>
            <w:sz w:val="20"/>
            <w:szCs w:val="20"/>
            <w:bdr w:val="none" w:sz="0" w:space="0" w:color="auto"/>
          </w:rPr>
          <w:tab/>
        </w:r>
        <w:r w:rsidR="00206C92" w:rsidRPr="00206C92">
          <w:rPr>
            <w:rStyle w:val="Hyperlink"/>
            <w:rFonts w:asciiTheme="majorHAnsi" w:hAnsiTheme="majorHAnsi"/>
            <w:noProof/>
            <w:sz w:val="20"/>
            <w:szCs w:val="20"/>
          </w:rPr>
          <w:t>Análisis del caso</w:t>
        </w:r>
        <w:r w:rsidR="00206C92" w:rsidRPr="00206C92">
          <w:rPr>
            <w:rFonts w:asciiTheme="majorHAnsi" w:hAnsiTheme="majorHAnsi"/>
            <w:noProof/>
            <w:webHidden/>
            <w:sz w:val="20"/>
            <w:szCs w:val="20"/>
          </w:rPr>
          <w:tab/>
        </w:r>
        <w:r w:rsidR="00206C92" w:rsidRPr="00206C92">
          <w:rPr>
            <w:rFonts w:asciiTheme="majorHAnsi" w:hAnsiTheme="majorHAnsi"/>
            <w:noProof/>
            <w:webHidden/>
            <w:sz w:val="20"/>
            <w:szCs w:val="20"/>
          </w:rPr>
          <w:fldChar w:fldCharType="begin"/>
        </w:r>
        <w:r w:rsidR="00206C92" w:rsidRPr="00206C92">
          <w:rPr>
            <w:rFonts w:asciiTheme="majorHAnsi" w:hAnsiTheme="majorHAnsi"/>
            <w:noProof/>
            <w:webHidden/>
            <w:sz w:val="20"/>
            <w:szCs w:val="20"/>
          </w:rPr>
          <w:instrText xml:space="preserve"> PAGEREF _Toc6466678 \h </w:instrText>
        </w:r>
        <w:r w:rsidR="00206C92" w:rsidRPr="00206C92">
          <w:rPr>
            <w:rFonts w:asciiTheme="majorHAnsi" w:hAnsiTheme="majorHAnsi"/>
            <w:noProof/>
            <w:webHidden/>
            <w:sz w:val="20"/>
            <w:szCs w:val="20"/>
          </w:rPr>
        </w:r>
        <w:r w:rsidR="00206C92" w:rsidRPr="00206C92">
          <w:rPr>
            <w:rFonts w:asciiTheme="majorHAnsi" w:hAnsiTheme="majorHAnsi"/>
            <w:noProof/>
            <w:webHidden/>
            <w:sz w:val="20"/>
            <w:szCs w:val="20"/>
          </w:rPr>
          <w:fldChar w:fldCharType="separate"/>
        </w:r>
        <w:r w:rsidR="003D3644">
          <w:rPr>
            <w:rFonts w:asciiTheme="majorHAnsi" w:hAnsiTheme="majorHAnsi"/>
            <w:noProof/>
            <w:webHidden/>
            <w:sz w:val="20"/>
            <w:szCs w:val="20"/>
          </w:rPr>
          <w:t>52</w:t>
        </w:r>
        <w:r w:rsidR="00206C92" w:rsidRPr="00206C92">
          <w:rPr>
            <w:rFonts w:asciiTheme="majorHAnsi" w:hAnsiTheme="majorHAnsi"/>
            <w:noProof/>
            <w:webHidden/>
            <w:sz w:val="20"/>
            <w:szCs w:val="20"/>
          </w:rPr>
          <w:fldChar w:fldCharType="end"/>
        </w:r>
      </w:hyperlink>
    </w:p>
    <w:p w14:paraId="6459A82C" w14:textId="77777777" w:rsidR="00206C92" w:rsidRPr="00206C92" w:rsidRDefault="009624E3" w:rsidP="00206C92">
      <w:pPr>
        <w:pStyle w:val="TOC1"/>
        <w:tabs>
          <w:tab w:val="clear" w:pos="1080"/>
          <w:tab w:val="left" w:pos="720"/>
          <w:tab w:val="left" w:pos="1440"/>
        </w:tabs>
        <w:ind w:hanging="720"/>
        <w:rPr>
          <w:rFonts w:eastAsiaTheme="minorEastAsia" w:cstheme="minorBidi"/>
          <w:b w:val="0"/>
          <w:sz w:val="20"/>
          <w:szCs w:val="20"/>
          <w:bdr w:val="none" w:sz="0" w:space="0" w:color="auto"/>
        </w:rPr>
      </w:pPr>
      <w:hyperlink w:anchor="_Toc6466679" w:history="1">
        <w:r w:rsidR="00206C92" w:rsidRPr="00206C92">
          <w:rPr>
            <w:rStyle w:val="Hyperlink"/>
            <w:sz w:val="20"/>
            <w:szCs w:val="20"/>
          </w:rPr>
          <w:t>VI.</w:t>
        </w:r>
        <w:r w:rsidR="00206C92" w:rsidRPr="00206C92">
          <w:rPr>
            <w:rFonts w:eastAsiaTheme="minorEastAsia" w:cstheme="minorBidi"/>
            <w:b w:val="0"/>
            <w:sz w:val="20"/>
            <w:szCs w:val="20"/>
            <w:bdr w:val="none" w:sz="0" w:space="0" w:color="auto"/>
          </w:rPr>
          <w:tab/>
        </w:r>
        <w:r w:rsidR="00206C92" w:rsidRPr="00206C92">
          <w:rPr>
            <w:rStyle w:val="Hyperlink"/>
            <w:sz w:val="20"/>
            <w:szCs w:val="20"/>
          </w:rPr>
          <w:t>CONCLUSIONES Y RECOMENDACIONES</w:t>
        </w:r>
        <w:r w:rsidR="00206C92" w:rsidRPr="00206C92">
          <w:rPr>
            <w:webHidden/>
            <w:sz w:val="20"/>
            <w:szCs w:val="20"/>
          </w:rPr>
          <w:tab/>
        </w:r>
        <w:r w:rsidR="00206C92" w:rsidRPr="00206C92">
          <w:rPr>
            <w:webHidden/>
            <w:sz w:val="20"/>
            <w:szCs w:val="20"/>
          </w:rPr>
          <w:fldChar w:fldCharType="begin"/>
        </w:r>
        <w:r w:rsidR="00206C92" w:rsidRPr="00206C92">
          <w:rPr>
            <w:webHidden/>
            <w:sz w:val="20"/>
            <w:szCs w:val="20"/>
          </w:rPr>
          <w:instrText xml:space="preserve"> PAGEREF _Toc6466679 \h </w:instrText>
        </w:r>
        <w:r w:rsidR="00206C92" w:rsidRPr="00206C92">
          <w:rPr>
            <w:webHidden/>
            <w:sz w:val="20"/>
            <w:szCs w:val="20"/>
          </w:rPr>
        </w:r>
        <w:r w:rsidR="00206C92" w:rsidRPr="00206C92">
          <w:rPr>
            <w:webHidden/>
            <w:sz w:val="20"/>
            <w:szCs w:val="20"/>
          </w:rPr>
          <w:fldChar w:fldCharType="separate"/>
        </w:r>
        <w:r w:rsidR="003D3644">
          <w:rPr>
            <w:webHidden/>
            <w:sz w:val="20"/>
            <w:szCs w:val="20"/>
          </w:rPr>
          <w:t>53</w:t>
        </w:r>
        <w:r w:rsidR="00206C92" w:rsidRPr="00206C92">
          <w:rPr>
            <w:webHidden/>
            <w:sz w:val="20"/>
            <w:szCs w:val="20"/>
          </w:rPr>
          <w:fldChar w:fldCharType="end"/>
        </w:r>
      </w:hyperlink>
    </w:p>
    <w:p w14:paraId="17044824" w14:textId="77777777" w:rsidR="00206C92" w:rsidRDefault="00206C92" w:rsidP="00206C92">
      <w:pPr>
        <w:tabs>
          <w:tab w:val="left" w:pos="720"/>
          <w:tab w:val="left" w:pos="1440"/>
        </w:tabs>
        <w:ind w:hanging="720"/>
        <w:rPr>
          <w:rFonts w:asciiTheme="majorHAnsi" w:hAnsiTheme="majorHAnsi"/>
          <w:b/>
          <w:sz w:val="20"/>
          <w:szCs w:val="20"/>
          <w:lang w:val="es-ES"/>
        </w:rPr>
      </w:pPr>
      <w:r w:rsidRPr="00206C92">
        <w:rPr>
          <w:rFonts w:asciiTheme="majorHAnsi" w:hAnsiTheme="majorHAnsi"/>
          <w:b/>
          <w:sz w:val="20"/>
          <w:szCs w:val="20"/>
          <w:lang w:val="es-ES"/>
        </w:rPr>
        <w:fldChar w:fldCharType="end"/>
      </w:r>
    </w:p>
    <w:p w14:paraId="006BAA0A" w14:textId="77777777" w:rsidR="00206C92" w:rsidRDefault="00206C92">
      <w:pPr>
        <w:rPr>
          <w:rFonts w:asciiTheme="majorHAnsi" w:hAnsiTheme="majorHAnsi"/>
          <w:b/>
          <w:sz w:val="20"/>
          <w:szCs w:val="20"/>
          <w:lang w:val="es-ES"/>
        </w:rPr>
      </w:pPr>
      <w:r>
        <w:rPr>
          <w:rFonts w:asciiTheme="majorHAnsi" w:hAnsiTheme="majorHAnsi"/>
          <w:b/>
          <w:sz w:val="20"/>
          <w:szCs w:val="20"/>
          <w:lang w:val="es-ES"/>
        </w:rPr>
        <w:br w:type="page"/>
      </w:r>
    </w:p>
    <w:p w14:paraId="294ACA38" w14:textId="060C9910" w:rsidR="00722C9F" w:rsidRPr="00206C92" w:rsidRDefault="007C756A" w:rsidP="00722C9F">
      <w:pPr>
        <w:tabs>
          <w:tab w:val="center" w:pos="5400"/>
        </w:tabs>
        <w:suppressAutoHyphens/>
        <w:spacing w:line="276" w:lineRule="auto"/>
        <w:jc w:val="center"/>
        <w:rPr>
          <w:rFonts w:asciiTheme="majorHAnsi" w:hAnsiTheme="majorHAnsi"/>
          <w:b/>
          <w:sz w:val="18"/>
          <w:szCs w:val="20"/>
          <w:lang w:val="es-ES"/>
        </w:rPr>
      </w:pPr>
      <w:r w:rsidRPr="00206C92">
        <w:rPr>
          <w:rFonts w:asciiTheme="majorHAnsi" w:hAnsiTheme="majorHAnsi"/>
          <w:b/>
          <w:sz w:val="18"/>
          <w:szCs w:val="20"/>
          <w:lang w:val="es-ES"/>
        </w:rPr>
        <w:lastRenderedPageBreak/>
        <w:t xml:space="preserve">INFORME No. </w:t>
      </w:r>
      <w:r w:rsidR="00992881">
        <w:rPr>
          <w:rFonts w:asciiTheme="majorHAnsi" w:hAnsiTheme="majorHAnsi"/>
          <w:b/>
          <w:sz w:val="18"/>
          <w:szCs w:val="20"/>
          <w:lang w:val="es-ES"/>
        </w:rPr>
        <w:t>56</w:t>
      </w:r>
      <w:r w:rsidRPr="00206C92">
        <w:rPr>
          <w:rFonts w:asciiTheme="majorHAnsi" w:hAnsiTheme="majorHAnsi"/>
          <w:b/>
          <w:sz w:val="18"/>
          <w:szCs w:val="20"/>
          <w:lang w:val="es-ES"/>
        </w:rPr>
        <w:t>/</w:t>
      </w:r>
      <w:r w:rsidR="008C6875" w:rsidRPr="00206C92">
        <w:rPr>
          <w:rFonts w:asciiTheme="majorHAnsi" w:hAnsiTheme="majorHAnsi"/>
          <w:b/>
          <w:sz w:val="18"/>
          <w:szCs w:val="20"/>
          <w:lang w:val="es-ES"/>
        </w:rPr>
        <w:t>19</w:t>
      </w:r>
    </w:p>
    <w:p w14:paraId="353C9F82" w14:textId="08904229" w:rsidR="00722C9F" w:rsidRPr="00206C92" w:rsidRDefault="00722C9F" w:rsidP="00722C9F">
      <w:pPr>
        <w:tabs>
          <w:tab w:val="center" w:pos="5400"/>
        </w:tabs>
        <w:suppressAutoHyphens/>
        <w:spacing w:line="276" w:lineRule="auto"/>
        <w:jc w:val="center"/>
        <w:rPr>
          <w:rFonts w:asciiTheme="majorHAnsi" w:hAnsiTheme="majorHAnsi"/>
          <w:b/>
          <w:sz w:val="18"/>
          <w:szCs w:val="20"/>
          <w:lang w:val="es-ES"/>
        </w:rPr>
      </w:pPr>
      <w:r w:rsidRPr="00206C92">
        <w:rPr>
          <w:rFonts w:asciiTheme="majorHAnsi" w:hAnsiTheme="majorHAnsi"/>
          <w:b/>
          <w:sz w:val="18"/>
          <w:szCs w:val="20"/>
          <w:lang w:val="es-ES"/>
        </w:rPr>
        <w:t xml:space="preserve">CASO </w:t>
      </w:r>
      <w:r w:rsidR="008C6875" w:rsidRPr="00206C92">
        <w:rPr>
          <w:rFonts w:asciiTheme="majorHAnsi" w:hAnsiTheme="majorHAnsi"/>
          <w:b/>
          <w:sz w:val="18"/>
          <w:szCs w:val="20"/>
          <w:lang w:val="es-ES"/>
        </w:rPr>
        <w:t>13.392</w:t>
      </w:r>
    </w:p>
    <w:p w14:paraId="71C01DE8" w14:textId="77777777" w:rsidR="00722C9F" w:rsidRPr="00206C92" w:rsidRDefault="008C6875" w:rsidP="00722C9F">
      <w:pPr>
        <w:tabs>
          <w:tab w:val="center" w:pos="5400"/>
        </w:tabs>
        <w:suppressAutoHyphens/>
        <w:spacing w:line="276" w:lineRule="auto"/>
        <w:jc w:val="center"/>
        <w:rPr>
          <w:rFonts w:asciiTheme="majorHAnsi" w:hAnsiTheme="majorHAnsi"/>
          <w:sz w:val="18"/>
          <w:szCs w:val="20"/>
          <w:lang w:val="es-ES_tradnl"/>
        </w:rPr>
      </w:pPr>
      <w:r w:rsidRPr="00206C92">
        <w:rPr>
          <w:rFonts w:asciiTheme="majorHAnsi" w:hAnsiTheme="majorHAnsi"/>
          <w:sz w:val="18"/>
          <w:szCs w:val="20"/>
          <w:lang w:val="es-ES_tradnl"/>
        </w:rPr>
        <w:t xml:space="preserve">ADMISIBILIDAD Y </w:t>
      </w:r>
      <w:r w:rsidR="007C756A" w:rsidRPr="00206C92">
        <w:rPr>
          <w:rFonts w:asciiTheme="majorHAnsi" w:hAnsiTheme="majorHAnsi"/>
          <w:sz w:val="18"/>
          <w:szCs w:val="20"/>
          <w:lang w:val="es-ES_tradnl"/>
        </w:rPr>
        <w:t>FONDO</w:t>
      </w:r>
    </w:p>
    <w:p w14:paraId="72484BC2" w14:textId="77777777" w:rsidR="00722C9F" w:rsidRPr="00206C92" w:rsidRDefault="00C20614" w:rsidP="008C6875">
      <w:pPr>
        <w:tabs>
          <w:tab w:val="center" w:pos="5400"/>
        </w:tabs>
        <w:suppressAutoHyphens/>
        <w:spacing w:line="276" w:lineRule="auto"/>
        <w:jc w:val="center"/>
        <w:rPr>
          <w:rFonts w:asciiTheme="majorHAnsi" w:hAnsiTheme="majorHAnsi"/>
          <w:sz w:val="18"/>
          <w:szCs w:val="20"/>
          <w:lang w:val="es-ES_tradnl"/>
        </w:rPr>
      </w:pPr>
      <w:r w:rsidRPr="00206C92">
        <w:rPr>
          <w:rFonts w:asciiTheme="majorHAnsi" w:hAnsiTheme="majorHAnsi"/>
          <w:sz w:val="18"/>
          <w:szCs w:val="20"/>
          <w:lang w:val="es-ES_tradnl"/>
        </w:rPr>
        <w:t>FAMILIA JULIEN - GRISONAS</w:t>
      </w:r>
      <w:r w:rsidR="002A5EB5" w:rsidRPr="00206C92">
        <w:rPr>
          <w:rStyle w:val="FootnoteReference"/>
          <w:rFonts w:asciiTheme="majorHAnsi" w:hAnsiTheme="majorHAnsi"/>
          <w:sz w:val="18"/>
          <w:szCs w:val="20"/>
          <w:lang w:val="es-ES_tradnl"/>
        </w:rPr>
        <w:footnoteReference w:id="2"/>
      </w:r>
    </w:p>
    <w:p w14:paraId="5A8F42B1" w14:textId="77777777" w:rsidR="00722C9F" w:rsidRPr="00206C92" w:rsidRDefault="008C6875" w:rsidP="00722C9F">
      <w:pPr>
        <w:tabs>
          <w:tab w:val="center" w:pos="5400"/>
        </w:tabs>
        <w:suppressAutoHyphens/>
        <w:spacing w:line="276" w:lineRule="auto"/>
        <w:jc w:val="center"/>
        <w:rPr>
          <w:rFonts w:asciiTheme="majorHAnsi" w:hAnsiTheme="majorHAnsi"/>
          <w:sz w:val="18"/>
          <w:szCs w:val="20"/>
          <w:lang w:val="es-ES_tradnl"/>
        </w:rPr>
      </w:pPr>
      <w:r w:rsidRPr="00206C92">
        <w:rPr>
          <w:rFonts w:asciiTheme="majorHAnsi" w:hAnsiTheme="majorHAnsi"/>
          <w:sz w:val="18"/>
          <w:szCs w:val="20"/>
          <w:lang w:val="es-ES_tradnl"/>
        </w:rPr>
        <w:t>ARGENTINA</w:t>
      </w:r>
    </w:p>
    <w:p w14:paraId="44FE6BD3" w14:textId="24DA7B4C" w:rsidR="00722C9F" w:rsidRPr="00206C92" w:rsidRDefault="00992881"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4 DE MAYO DE 2019</w:t>
      </w:r>
    </w:p>
    <w:p w14:paraId="6F7B4A3A" w14:textId="77777777" w:rsidR="005937F1" w:rsidRPr="0007034B" w:rsidRDefault="005937F1" w:rsidP="005937F1">
      <w:pPr>
        <w:pStyle w:val="ListParagraph"/>
        <w:suppressAutoHyphens/>
        <w:ind w:left="1440"/>
        <w:rPr>
          <w:rFonts w:asciiTheme="majorHAnsi" w:hAnsiTheme="majorHAnsi"/>
          <w:b/>
          <w:sz w:val="20"/>
          <w:szCs w:val="20"/>
          <w:lang w:val="es-ES_tradnl"/>
        </w:rPr>
      </w:pPr>
    </w:p>
    <w:p w14:paraId="7615368F" w14:textId="77777777" w:rsidR="0007034B" w:rsidRPr="0007034B" w:rsidRDefault="0007034B" w:rsidP="005937F1">
      <w:pPr>
        <w:pStyle w:val="ListParagraph"/>
        <w:suppressAutoHyphens/>
        <w:ind w:left="1440"/>
        <w:rPr>
          <w:rFonts w:asciiTheme="majorHAnsi" w:hAnsiTheme="majorHAnsi"/>
          <w:b/>
          <w:sz w:val="20"/>
          <w:szCs w:val="20"/>
          <w:lang w:val="es-ES_tradnl"/>
        </w:rPr>
      </w:pPr>
    </w:p>
    <w:p w14:paraId="67DB8555" w14:textId="77777777" w:rsidR="00D12193" w:rsidRPr="0007034B" w:rsidRDefault="00A03A30" w:rsidP="0007034B">
      <w:pPr>
        <w:pStyle w:val="Heading1"/>
      </w:pPr>
      <w:bookmarkStart w:id="2" w:name="_Toc6349137"/>
      <w:bookmarkStart w:id="3" w:name="_Toc6466630"/>
      <w:r w:rsidRPr="0007034B">
        <w:t>INTRODUCCIÓN</w:t>
      </w:r>
      <w:bookmarkEnd w:id="2"/>
      <w:bookmarkEnd w:id="3"/>
    </w:p>
    <w:p w14:paraId="6B970E3B" w14:textId="77777777" w:rsidR="005C4CA5" w:rsidRPr="0007034B" w:rsidRDefault="005C4CA5" w:rsidP="005C4CA5">
      <w:pPr>
        <w:suppressAutoHyphens/>
        <w:ind w:left="360"/>
        <w:rPr>
          <w:rFonts w:asciiTheme="majorHAnsi" w:hAnsiTheme="majorHAnsi"/>
          <w:b/>
          <w:sz w:val="20"/>
          <w:szCs w:val="20"/>
          <w:lang w:val="es-ES_tradnl"/>
        </w:rPr>
      </w:pPr>
    </w:p>
    <w:p w14:paraId="1D09CD0B" w14:textId="4C520AE4" w:rsidR="00C34BAD" w:rsidRPr="0007034B" w:rsidRDefault="005C4CA5" w:rsidP="00F23D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lang w:val="es-AR"/>
        </w:rPr>
      </w:pPr>
      <w:r w:rsidRPr="0007034B">
        <w:rPr>
          <w:rFonts w:asciiTheme="majorHAnsi" w:hAnsiTheme="majorHAnsi"/>
          <w:color w:val="000000" w:themeColor="text1"/>
          <w:sz w:val="20"/>
          <w:szCs w:val="20"/>
          <w:lang w:val="es-VE"/>
        </w:rPr>
        <w:t xml:space="preserve">El </w:t>
      </w:r>
      <w:r w:rsidR="008C6875" w:rsidRPr="0007034B">
        <w:rPr>
          <w:rFonts w:asciiTheme="majorHAnsi" w:hAnsiTheme="majorHAnsi"/>
          <w:color w:val="000000" w:themeColor="text1"/>
          <w:sz w:val="20"/>
          <w:szCs w:val="20"/>
          <w:lang w:val="es-VE"/>
        </w:rPr>
        <w:t>11</w:t>
      </w:r>
      <w:r w:rsidRPr="0007034B">
        <w:rPr>
          <w:rFonts w:asciiTheme="majorHAnsi" w:hAnsiTheme="majorHAnsi"/>
          <w:color w:val="000000" w:themeColor="text1"/>
          <w:sz w:val="20"/>
          <w:szCs w:val="20"/>
          <w:lang w:val="es-VE"/>
        </w:rPr>
        <w:t xml:space="preserve"> de </w:t>
      </w:r>
      <w:r w:rsidR="008C6875" w:rsidRPr="0007034B">
        <w:rPr>
          <w:rFonts w:asciiTheme="majorHAnsi" w:hAnsiTheme="majorHAnsi"/>
          <w:color w:val="000000" w:themeColor="text1"/>
          <w:sz w:val="20"/>
          <w:szCs w:val="20"/>
          <w:lang w:val="es-VE"/>
        </w:rPr>
        <w:t>noviembre</w:t>
      </w:r>
      <w:r w:rsidRPr="0007034B">
        <w:rPr>
          <w:rFonts w:asciiTheme="majorHAnsi" w:hAnsiTheme="majorHAnsi"/>
          <w:color w:val="000000" w:themeColor="text1"/>
          <w:sz w:val="20"/>
          <w:szCs w:val="20"/>
          <w:lang w:val="es-VE"/>
        </w:rPr>
        <w:t xml:space="preserve"> de </w:t>
      </w:r>
      <w:r w:rsidR="008C6875" w:rsidRPr="0007034B">
        <w:rPr>
          <w:rFonts w:asciiTheme="majorHAnsi" w:hAnsiTheme="majorHAnsi"/>
          <w:color w:val="000000" w:themeColor="text1"/>
          <w:sz w:val="20"/>
          <w:szCs w:val="20"/>
          <w:lang w:val="es-VE"/>
        </w:rPr>
        <w:t>2005</w:t>
      </w:r>
      <w:r w:rsidRPr="0007034B">
        <w:rPr>
          <w:rFonts w:asciiTheme="majorHAnsi" w:hAnsiTheme="majorHAnsi"/>
          <w:color w:val="000000" w:themeColor="text1"/>
          <w:sz w:val="20"/>
          <w:szCs w:val="20"/>
          <w:lang w:val="es-VE"/>
        </w:rPr>
        <w:t xml:space="preserve"> la Comisión Interamericana de Derechos Humanos (en adelante “la Comisión Interamericana”, “la Comisión” o “la CIDH”) recibió una petición presentada por </w:t>
      </w:r>
      <w:r w:rsidR="008C6875" w:rsidRPr="0007034B">
        <w:rPr>
          <w:rFonts w:asciiTheme="majorHAnsi" w:hAnsiTheme="majorHAnsi"/>
          <w:color w:val="000000" w:themeColor="text1"/>
          <w:sz w:val="20"/>
          <w:szCs w:val="20"/>
          <w:lang w:val="es-VE"/>
        </w:rPr>
        <w:t>Eduardo Marques Iraola</w:t>
      </w:r>
      <w:r w:rsidRPr="0007034B">
        <w:rPr>
          <w:rFonts w:asciiTheme="majorHAnsi" w:hAnsiTheme="majorHAnsi"/>
          <w:color w:val="000000" w:themeColor="text1"/>
          <w:sz w:val="20"/>
          <w:szCs w:val="20"/>
          <w:lang w:val="es-VE"/>
        </w:rPr>
        <w:t xml:space="preserve"> (en adelante “la parte peticionaria”</w:t>
      </w:r>
      <w:r w:rsidR="0000485C" w:rsidRPr="0007034B">
        <w:rPr>
          <w:rFonts w:asciiTheme="majorHAnsi" w:hAnsiTheme="majorHAnsi"/>
          <w:color w:val="000000" w:themeColor="text1"/>
          <w:sz w:val="20"/>
          <w:szCs w:val="20"/>
          <w:lang w:val="es-VE"/>
        </w:rPr>
        <w:t xml:space="preserve"> o “el señor Marques Iraola”</w:t>
      </w:r>
      <w:r w:rsidRPr="0007034B">
        <w:rPr>
          <w:rFonts w:asciiTheme="majorHAnsi" w:hAnsiTheme="majorHAnsi"/>
          <w:color w:val="000000" w:themeColor="text1"/>
          <w:sz w:val="20"/>
          <w:szCs w:val="20"/>
          <w:lang w:val="es-VE"/>
        </w:rPr>
        <w:t>) en la cual se alega la responsabilidad internacional de</w:t>
      </w:r>
      <w:r w:rsidR="008C6875" w:rsidRPr="0007034B">
        <w:rPr>
          <w:rFonts w:asciiTheme="majorHAnsi" w:hAnsiTheme="majorHAnsi"/>
          <w:color w:val="000000" w:themeColor="text1"/>
          <w:sz w:val="20"/>
          <w:szCs w:val="20"/>
          <w:lang w:val="es-VE"/>
        </w:rPr>
        <w:t xml:space="preserve"> </w:t>
      </w:r>
      <w:r w:rsidR="00437277" w:rsidRPr="0007034B">
        <w:rPr>
          <w:rFonts w:asciiTheme="majorHAnsi" w:hAnsiTheme="majorHAnsi"/>
          <w:color w:val="000000" w:themeColor="text1"/>
          <w:sz w:val="20"/>
          <w:szCs w:val="20"/>
          <w:lang w:val="es-VE"/>
        </w:rPr>
        <w:t xml:space="preserve">la República </w:t>
      </w:r>
      <w:r w:rsidR="008C6875" w:rsidRPr="0007034B">
        <w:rPr>
          <w:rFonts w:asciiTheme="majorHAnsi" w:hAnsiTheme="majorHAnsi"/>
          <w:color w:val="000000" w:themeColor="text1"/>
          <w:sz w:val="20"/>
          <w:szCs w:val="20"/>
          <w:lang w:val="es-VE"/>
        </w:rPr>
        <w:t>Argentina</w:t>
      </w:r>
      <w:r w:rsidRPr="0007034B">
        <w:rPr>
          <w:rFonts w:asciiTheme="majorHAnsi" w:hAnsiTheme="majorHAnsi"/>
          <w:color w:val="000000" w:themeColor="text1"/>
          <w:sz w:val="20"/>
          <w:szCs w:val="20"/>
          <w:lang w:val="es-VE"/>
        </w:rPr>
        <w:t xml:space="preserve"> (en adelante “el Estado </w:t>
      </w:r>
      <w:r w:rsidR="00437277" w:rsidRPr="0007034B">
        <w:rPr>
          <w:rFonts w:asciiTheme="majorHAnsi" w:hAnsiTheme="majorHAnsi"/>
          <w:color w:val="000000" w:themeColor="text1"/>
          <w:sz w:val="20"/>
          <w:szCs w:val="20"/>
          <w:lang w:val="es-VE"/>
        </w:rPr>
        <w:t>argentino</w:t>
      </w:r>
      <w:r w:rsidRPr="0007034B">
        <w:rPr>
          <w:rFonts w:asciiTheme="majorHAnsi" w:hAnsiTheme="majorHAnsi"/>
          <w:color w:val="000000" w:themeColor="text1"/>
          <w:sz w:val="20"/>
          <w:szCs w:val="20"/>
          <w:lang w:val="es-VE"/>
        </w:rPr>
        <w:t>”, “el Estado” o “</w:t>
      </w:r>
      <w:r w:rsidR="00437277" w:rsidRPr="0007034B">
        <w:rPr>
          <w:rFonts w:asciiTheme="majorHAnsi" w:hAnsiTheme="majorHAnsi"/>
          <w:color w:val="000000" w:themeColor="text1"/>
          <w:sz w:val="20"/>
          <w:szCs w:val="20"/>
          <w:lang w:val="es-VE"/>
        </w:rPr>
        <w:t>Argentina</w:t>
      </w:r>
      <w:r w:rsidRPr="0007034B">
        <w:rPr>
          <w:rFonts w:asciiTheme="majorHAnsi" w:hAnsiTheme="majorHAnsi"/>
          <w:color w:val="000000" w:themeColor="text1"/>
          <w:sz w:val="20"/>
          <w:szCs w:val="20"/>
          <w:lang w:val="es-VE"/>
        </w:rPr>
        <w:t>”) en perjuicio de</w:t>
      </w:r>
      <w:r w:rsidR="008C6875" w:rsidRPr="0007034B">
        <w:rPr>
          <w:rFonts w:asciiTheme="majorHAnsi" w:hAnsiTheme="majorHAnsi"/>
          <w:color w:val="000000" w:themeColor="text1"/>
          <w:sz w:val="20"/>
          <w:szCs w:val="20"/>
          <w:lang w:val="es-VE"/>
        </w:rPr>
        <w:t xml:space="preserve"> Anatole Alejandro y Claudia Victoria Larrabeiti Yáñez</w:t>
      </w:r>
      <w:r w:rsidR="00E03973" w:rsidRPr="0007034B">
        <w:rPr>
          <w:rFonts w:asciiTheme="majorHAnsi" w:hAnsiTheme="majorHAnsi"/>
          <w:color w:val="000000" w:themeColor="text1"/>
          <w:sz w:val="20"/>
          <w:szCs w:val="20"/>
          <w:lang w:val="es-VE"/>
        </w:rPr>
        <w:t xml:space="preserve"> (en adelante “los hermanos Larrabeiti Yáñez</w:t>
      </w:r>
      <w:r w:rsidR="00691AE0" w:rsidRPr="0007034B">
        <w:rPr>
          <w:rFonts w:asciiTheme="majorHAnsi" w:hAnsiTheme="majorHAnsi"/>
          <w:color w:val="000000" w:themeColor="text1"/>
          <w:sz w:val="20"/>
          <w:szCs w:val="20"/>
          <w:lang w:val="es-VE"/>
        </w:rPr>
        <w:t>”</w:t>
      </w:r>
      <w:r w:rsidR="008E7891" w:rsidRPr="0007034B">
        <w:rPr>
          <w:rFonts w:asciiTheme="majorHAnsi" w:hAnsiTheme="majorHAnsi"/>
          <w:color w:val="000000" w:themeColor="text1"/>
          <w:sz w:val="20"/>
          <w:szCs w:val="20"/>
          <w:lang w:val="es-VE"/>
        </w:rPr>
        <w:t xml:space="preserve"> o “Anatole y Victoria”</w:t>
      </w:r>
      <w:r w:rsidR="00E03973" w:rsidRPr="0007034B">
        <w:rPr>
          <w:rFonts w:asciiTheme="majorHAnsi" w:hAnsiTheme="majorHAnsi"/>
          <w:color w:val="000000" w:themeColor="text1"/>
          <w:sz w:val="20"/>
          <w:szCs w:val="20"/>
          <w:lang w:val="es-VE"/>
        </w:rPr>
        <w:t>)</w:t>
      </w:r>
      <w:r w:rsidR="00F65B8B" w:rsidRPr="0007034B">
        <w:rPr>
          <w:rStyle w:val="FootnoteReference"/>
          <w:rFonts w:asciiTheme="majorHAnsi" w:hAnsiTheme="majorHAnsi"/>
          <w:color w:val="000000" w:themeColor="text1"/>
          <w:sz w:val="20"/>
          <w:szCs w:val="20"/>
          <w:lang w:val="es-VE"/>
        </w:rPr>
        <w:footnoteReference w:id="3"/>
      </w:r>
      <w:r w:rsidR="00275F09" w:rsidRPr="0007034B">
        <w:rPr>
          <w:rFonts w:asciiTheme="majorHAnsi" w:hAnsiTheme="majorHAnsi"/>
          <w:color w:val="000000" w:themeColor="text1"/>
          <w:sz w:val="20"/>
          <w:szCs w:val="20"/>
          <w:lang w:val="es-VE"/>
        </w:rPr>
        <w:t xml:space="preserve"> por </w:t>
      </w:r>
      <w:r w:rsidR="00B6679A" w:rsidRPr="0007034B">
        <w:rPr>
          <w:rFonts w:asciiTheme="majorHAnsi" w:hAnsiTheme="majorHAnsi"/>
          <w:color w:val="000000" w:themeColor="text1"/>
          <w:sz w:val="20"/>
          <w:szCs w:val="20"/>
          <w:lang w:val="es-VE"/>
        </w:rPr>
        <w:t xml:space="preserve">la falta de reparación </w:t>
      </w:r>
      <w:r w:rsidR="004840A6" w:rsidRPr="0007034B">
        <w:rPr>
          <w:rFonts w:asciiTheme="majorHAnsi" w:hAnsiTheme="majorHAnsi"/>
          <w:color w:val="000000" w:themeColor="text1"/>
          <w:sz w:val="20"/>
          <w:szCs w:val="20"/>
          <w:lang w:val="es-VE"/>
        </w:rPr>
        <w:t>en relación</w:t>
      </w:r>
      <w:r w:rsidR="00B6679A" w:rsidRPr="0007034B">
        <w:rPr>
          <w:rFonts w:asciiTheme="majorHAnsi" w:hAnsiTheme="majorHAnsi"/>
          <w:color w:val="000000" w:themeColor="text1"/>
          <w:sz w:val="20"/>
          <w:szCs w:val="20"/>
          <w:lang w:val="es-VE"/>
        </w:rPr>
        <w:t xml:space="preserve"> a un operativo militar</w:t>
      </w:r>
      <w:r w:rsidR="007A7DEB" w:rsidRPr="0007034B">
        <w:rPr>
          <w:rFonts w:asciiTheme="majorHAnsi" w:hAnsiTheme="majorHAnsi"/>
          <w:sz w:val="20"/>
          <w:szCs w:val="20"/>
          <w:lang w:val="es-AR"/>
        </w:rPr>
        <w:t xml:space="preserve"> llevado a cabo el 26 de septiembre de 197</w:t>
      </w:r>
      <w:r w:rsidR="00660952" w:rsidRPr="0007034B">
        <w:rPr>
          <w:rFonts w:asciiTheme="majorHAnsi" w:hAnsiTheme="majorHAnsi"/>
          <w:sz w:val="20"/>
          <w:szCs w:val="20"/>
          <w:lang w:val="es-AR"/>
        </w:rPr>
        <w:t>6</w:t>
      </w:r>
      <w:r w:rsidR="007A7DEB" w:rsidRPr="0007034B">
        <w:rPr>
          <w:rFonts w:asciiTheme="majorHAnsi" w:hAnsiTheme="majorHAnsi"/>
          <w:sz w:val="20"/>
          <w:szCs w:val="20"/>
          <w:lang w:val="es-AR"/>
        </w:rPr>
        <w:t xml:space="preserve"> en la casa donde vivían con su familia en la Provincia de Buenos Aires</w:t>
      </w:r>
      <w:r w:rsidR="004840A6" w:rsidRPr="0007034B">
        <w:rPr>
          <w:rFonts w:asciiTheme="majorHAnsi" w:hAnsiTheme="majorHAnsi"/>
          <w:sz w:val="20"/>
          <w:szCs w:val="20"/>
          <w:lang w:val="es-AR"/>
        </w:rPr>
        <w:t xml:space="preserve">, cuando tenían </w:t>
      </w:r>
      <w:r w:rsidR="00EB2414" w:rsidRPr="0007034B">
        <w:rPr>
          <w:rFonts w:asciiTheme="majorHAnsi" w:hAnsiTheme="majorHAnsi"/>
          <w:sz w:val="20"/>
          <w:szCs w:val="20"/>
          <w:lang w:val="es-AR"/>
        </w:rPr>
        <w:t>cuatro</w:t>
      </w:r>
      <w:r w:rsidR="004840A6" w:rsidRPr="0007034B">
        <w:rPr>
          <w:rFonts w:asciiTheme="majorHAnsi" w:hAnsiTheme="majorHAnsi"/>
          <w:sz w:val="20"/>
          <w:szCs w:val="20"/>
          <w:lang w:val="es-AR"/>
        </w:rPr>
        <w:t xml:space="preserve"> años y 16 meses de edad, respectivamente</w:t>
      </w:r>
      <w:r w:rsidR="00B6679A" w:rsidRPr="0007034B">
        <w:rPr>
          <w:rFonts w:asciiTheme="majorHAnsi" w:hAnsiTheme="majorHAnsi"/>
          <w:sz w:val="20"/>
          <w:szCs w:val="20"/>
          <w:lang w:val="es-AR"/>
        </w:rPr>
        <w:t xml:space="preserve">. </w:t>
      </w:r>
      <w:r w:rsidR="004840A6" w:rsidRPr="0007034B">
        <w:rPr>
          <w:rFonts w:asciiTheme="majorHAnsi" w:hAnsiTheme="majorHAnsi"/>
          <w:sz w:val="20"/>
          <w:szCs w:val="20"/>
          <w:lang w:val="es-AR"/>
        </w:rPr>
        <w:t>Posteriormente, la parte peticionaria alegó además la responsabilidad del Estado por</w:t>
      </w:r>
      <w:r w:rsidR="007A7DEB" w:rsidRPr="0007034B">
        <w:rPr>
          <w:rFonts w:asciiTheme="majorHAnsi" w:hAnsiTheme="majorHAnsi"/>
          <w:sz w:val="20"/>
          <w:szCs w:val="20"/>
          <w:lang w:val="es-AR"/>
        </w:rPr>
        <w:t xml:space="preserve"> la </w:t>
      </w:r>
      <w:r w:rsidR="007C4345" w:rsidRPr="0007034B">
        <w:rPr>
          <w:rFonts w:asciiTheme="majorHAnsi" w:hAnsiTheme="majorHAnsi"/>
          <w:sz w:val="20"/>
          <w:szCs w:val="20"/>
          <w:lang w:val="es-AR"/>
        </w:rPr>
        <w:t>muerte</w:t>
      </w:r>
      <w:r w:rsidR="007A7DEB" w:rsidRPr="0007034B">
        <w:rPr>
          <w:rFonts w:asciiTheme="majorHAnsi" w:hAnsiTheme="majorHAnsi"/>
          <w:sz w:val="20"/>
          <w:szCs w:val="20"/>
          <w:lang w:val="es-AR"/>
        </w:rPr>
        <w:t xml:space="preserve"> </w:t>
      </w:r>
      <w:r w:rsidR="008E7891" w:rsidRPr="0007034B">
        <w:rPr>
          <w:rFonts w:asciiTheme="majorHAnsi" w:hAnsiTheme="majorHAnsi"/>
          <w:sz w:val="20"/>
          <w:szCs w:val="20"/>
          <w:lang w:val="es-AR"/>
        </w:rPr>
        <w:t xml:space="preserve">de </w:t>
      </w:r>
      <w:r w:rsidR="004840A6" w:rsidRPr="0007034B">
        <w:rPr>
          <w:rFonts w:asciiTheme="majorHAnsi" w:hAnsiTheme="majorHAnsi"/>
          <w:sz w:val="20"/>
          <w:szCs w:val="20"/>
          <w:lang w:val="es-AR"/>
        </w:rPr>
        <w:t>Mario</w:t>
      </w:r>
      <w:r w:rsidR="008E7891" w:rsidRPr="0007034B">
        <w:rPr>
          <w:rFonts w:asciiTheme="majorHAnsi" w:hAnsiTheme="majorHAnsi"/>
          <w:sz w:val="20"/>
          <w:szCs w:val="20"/>
          <w:lang w:val="es-AR"/>
        </w:rPr>
        <w:t xml:space="preserve"> Roger</w:t>
      </w:r>
      <w:r w:rsidR="004840A6" w:rsidRPr="0007034B">
        <w:rPr>
          <w:rFonts w:asciiTheme="majorHAnsi" w:hAnsiTheme="majorHAnsi"/>
          <w:sz w:val="20"/>
          <w:szCs w:val="20"/>
          <w:lang w:val="es-AR"/>
        </w:rPr>
        <w:t xml:space="preserve"> Julien Cáceres</w:t>
      </w:r>
      <w:r w:rsidR="008E7891" w:rsidRPr="0007034B">
        <w:rPr>
          <w:rFonts w:asciiTheme="majorHAnsi" w:hAnsiTheme="majorHAnsi"/>
          <w:sz w:val="20"/>
          <w:szCs w:val="20"/>
          <w:lang w:val="es-AR"/>
        </w:rPr>
        <w:t xml:space="preserve"> (en adelante “Mario Julien”)</w:t>
      </w:r>
      <w:r w:rsidR="004840A6" w:rsidRPr="0007034B">
        <w:rPr>
          <w:rFonts w:asciiTheme="majorHAnsi" w:hAnsiTheme="majorHAnsi"/>
          <w:sz w:val="20"/>
          <w:szCs w:val="20"/>
          <w:lang w:val="es-AR"/>
        </w:rPr>
        <w:t xml:space="preserve">, </w:t>
      </w:r>
      <w:r w:rsidR="007C4345" w:rsidRPr="0007034B">
        <w:rPr>
          <w:rFonts w:asciiTheme="majorHAnsi" w:hAnsiTheme="majorHAnsi"/>
          <w:sz w:val="20"/>
          <w:szCs w:val="20"/>
          <w:lang w:val="es-AR"/>
        </w:rPr>
        <w:t xml:space="preserve">y la </w:t>
      </w:r>
      <w:r w:rsidR="007A7DEB" w:rsidRPr="0007034B">
        <w:rPr>
          <w:rFonts w:asciiTheme="majorHAnsi" w:hAnsiTheme="majorHAnsi"/>
          <w:sz w:val="20"/>
          <w:szCs w:val="20"/>
          <w:lang w:val="es-AR"/>
        </w:rPr>
        <w:t>privación ilegítima de la libertad y posterior desaparición forzada de</w:t>
      </w:r>
      <w:r w:rsidR="007C4345" w:rsidRPr="0007034B">
        <w:rPr>
          <w:rFonts w:asciiTheme="majorHAnsi" w:hAnsiTheme="majorHAnsi"/>
          <w:sz w:val="20"/>
          <w:szCs w:val="20"/>
          <w:lang w:val="es-AR"/>
        </w:rPr>
        <w:t xml:space="preserve"> Victoria Lucía Grisonas</w:t>
      </w:r>
      <w:r w:rsidR="008E7891" w:rsidRPr="0007034B">
        <w:rPr>
          <w:rFonts w:asciiTheme="majorHAnsi" w:hAnsiTheme="majorHAnsi"/>
          <w:sz w:val="20"/>
          <w:szCs w:val="20"/>
          <w:lang w:val="es-AR"/>
        </w:rPr>
        <w:t xml:space="preserve"> (en adelante “Victoria Grisonas”)</w:t>
      </w:r>
      <w:r w:rsidR="004840A6" w:rsidRPr="0007034B">
        <w:rPr>
          <w:rFonts w:asciiTheme="majorHAnsi" w:hAnsiTheme="majorHAnsi"/>
          <w:sz w:val="20"/>
          <w:szCs w:val="20"/>
          <w:lang w:val="es-AR"/>
        </w:rPr>
        <w:t>, padre y madre biológicos de los hermano</w:t>
      </w:r>
      <w:r w:rsidR="008E7891" w:rsidRPr="0007034B">
        <w:rPr>
          <w:rFonts w:asciiTheme="majorHAnsi" w:hAnsiTheme="majorHAnsi"/>
          <w:sz w:val="20"/>
          <w:szCs w:val="20"/>
          <w:lang w:val="es-AR"/>
        </w:rPr>
        <w:t>s Larrabeiti Yáñez</w:t>
      </w:r>
      <w:r w:rsidR="004840A6" w:rsidRPr="0007034B">
        <w:rPr>
          <w:rFonts w:asciiTheme="majorHAnsi" w:hAnsiTheme="majorHAnsi"/>
          <w:sz w:val="20"/>
          <w:szCs w:val="20"/>
          <w:lang w:val="es-AR"/>
        </w:rPr>
        <w:t>, ocurrida en el mismo operativo</w:t>
      </w:r>
      <w:r w:rsidR="006520B7" w:rsidRPr="0007034B">
        <w:rPr>
          <w:rFonts w:asciiTheme="majorHAnsi" w:hAnsiTheme="majorHAnsi"/>
          <w:sz w:val="20"/>
          <w:szCs w:val="20"/>
          <w:lang w:val="es-AR"/>
        </w:rPr>
        <w:t>. Se denuncia asimismo la</w:t>
      </w:r>
      <w:r w:rsidR="007A7DEB" w:rsidRPr="0007034B">
        <w:rPr>
          <w:rFonts w:asciiTheme="majorHAnsi" w:hAnsiTheme="majorHAnsi"/>
          <w:sz w:val="20"/>
          <w:szCs w:val="20"/>
          <w:lang w:val="es-AR"/>
        </w:rPr>
        <w:t xml:space="preserve"> privación ilegítima de la libertad</w:t>
      </w:r>
      <w:r w:rsidR="006520B7" w:rsidRPr="0007034B">
        <w:rPr>
          <w:rFonts w:asciiTheme="majorHAnsi" w:hAnsiTheme="majorHAnsi"/>
          <w:sz w:val="20"/>
          <w:szCs w:val="20"/>
          <w:lang w:val="es-AR"/>
        </w:rPr>
        <w:t xml:space="preserve"> de los hermanos </w:t>
      </w:r>
      <w:r w:rsidR="007A7DEB" w:rsidRPr="0007034B">
        <w:rPr>
          <w:rFonts w:asciiTheme="majorHAnsi" w:hAnsiTheme="majorHAnsi"/>
          <w:sz w:val="20"/>
          <w:szCs w:val="20"/>
          <w:lang w:val="es-AR"/>
        </w:rPr>
        <w:t xml:space="preserve">en </w:t>
      </w:r>
      <w:r w:rsidR="00C34BAD" w:rsidRPr="0007034B">
        <w:rPr>
          <w:rFonts w:asciiTheme="majorHAnsi" w:hAnsiTheme="majorHAnsi"/>
          <w:sz w:val="20"/>
          <w:szCs w:val="20"/>
          <w:lang w:val="es-AR"/>
        </w:rPr>
        <w:t>un centro clandestino de detención</w:t>
      </w:r>
      <w:r w:rsidR="007C4345" w:rsidRPr="0007034B">
        <w:rPr>
          <w:rFonts w:asciiTheme="majorHAnsi" w:hAnsiTheme="majorHAnsi"/>
          <w:sz w:val="20"/>
          <w:szCs w:val="20"/>
          <w:lang w:val="es-AR"/>
        </w:rPr>
        <w:t xml:space="preserve"> y su </w:t>
      </w:r>
      <w:r w:rsidR="00C34BAD" w:rsidRPr="0007034B">
        <w:rPr>
          <w:rFonts w:asciiTheme="majorHAnsi" w:hAnsiTheme="majorHAnsi"/>
          <w:sz w:val="20"/>
          <w:szCs w:val="20"/>
          <w:lang w:val="es-AR"/>
        </w:rPr>
        <w:t xml:space="preserve">traslado </w:t>
      </w:r>
      <w:r w:rsidR="00A164E5" w:rsidRPr="0007034B">
        <w:rPr>
          <w:rFonts w:asciiTheme="majorHAnsi" w:hAnsiTheme="majorHAnsi"/>
          <w:sz w:val="20"/>
          <w:szCs w:val="20"/>
          <w:lang w:val="es-AR"/>
        </w:rPr>
        <w:t xml:space="preserve">también </w:t>
      </w:r>
      <w:r w:rsidR="00C34BAD" w:rsidRPr="0007034B">
        <w:rPr>
          <w:rFonts w:asciiTheme="majorHAnsi" w:hAnsiTheme="majorHAnsi"/>
          <w:sz w:val="20"/>
          <w:szCs w:val="20"/>
          <w:lang w:val="es-AR"/>
        </w:rPr>
        <w:t>clandestino a Uruguay y posterior</w:t>
      </w:r>
      <w:r w:rsidR="007C4345" w:rsidRPr="0007034B">
        <w:rPr>
          <w:rFonts w:asciiTheme="majorHAnsi" w:hAnsiTheme="majorHAnsi"/>
          <w:sz w:val="20"/>
          <w:szCs w:val="20"/>
          <w:lang w:val="es-AR"/>
        </w:rPr>
        <w:t>mente</w:t>
      </w:r>
      <w:r w:rsidR="00C34BAD" w:rsidRPr="0007034B">
        <w:rPr>
          <w:rFonts w:asciiTheme="majorHAnsi" w:hAnsiTheme="majorHAnsi"/>
          <w:sz w:val="20"/>
          <w:szCs w:val="20"/>
          <w:lang w:val="es-AR"/>
        </w:rPr>
        <w:t xml:space="preserve"> a Chile, donde fueron abandonados en una plaza pública</w:t>
      </w:r>
      <w:r w:rsidR="00A164E5" w:rsidRPr="0007034B">
        <w:rPr>
          <w:rFonts w:asciiTheme="majorHAnsi" w:hAnsiTheme="majorHAnsi"/>
          <w:sz w:val="20"/>
          <w:szCs w:val="20"/>
          <w:lang w:val="es-AR"/>
        </w:rPr>
        <w:t>. También se alega</w:t>
      </w:r>
      <w:r w:rsidR="00C34BAD" w:rsidRPr="0007034B">
        <w:rPr>
          <w:rFonts w:asciiTheme="majorHAnsi" w:hAnsiTheme="majorHAnsi"/>
          <w:sz w:val="20"/>
          <w:szCs w:val="20"/>
          <w:lang w:val="es-AR"/>
        </w:rPr>
        <w:t xml:space="preserve"> </w:t>
      </w:r>
      <w:r w:rsidR="00A164E5" w:rsidRPr="0007034B">
        <w:rPr>
          <w:rFonts w:asciiTheme="majorHAnsi" w:hAnsiTheme="majorHAnsi"/>
          <w:sz w:val="20"/>
          <w:szCs w:val="20"/>
          <w:lang w:val="es-AR"/>
        </w:rPr>
        <w:t xml:space="preserve">la </w:t>
      </w:r>
      <w:r w:rsidR="00C34BAD" w:rsidRPr="0007034B">
        <w:rPr>
          <w:rFonts w:asciiTheme="majorHAnsi" w:hAnsiTheme="majorHAnsi"/>
          <w:sz w:val="20"/>
          <w:szCs w:val="20"/>
          <w:lang w:val="es-AR"/>
        </w:rPr>
        <w:t xml:space="preserve">falta de una adecuada investigación, sanción y reparación. </w:t>
      </w:r>
    </w:p>
    <w:p w14:paraId="1C0BF025" w14:textId="77777777" w:rsidR="009014A4" w:rsidRPr="0007034B" w:rsidRDefault="009014A4" w:rsidP="008C6875">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color w:val="000000" w:themeColor="text1"/>
          <w:sz w:val="20"/>
          <w:szCs w:val="20"/>
          <w:lang w:val="es-VE"/>
        </w:rPr>
      </w:pPr>
    </w:p>
    <w:p w14:paraId="11088A6B" w14:textId="1CCB0DB7" w:rsidR="004D2868" w:rsidRPr="0007034B" w:rsidRDefault="00446F61" w:rsidP="00F23D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lang w:val="es-ES_tradnl"/>
        </w:rPr>
      </w:pPr>
      <w:r w:rsidRPr="0007034B">
        <w:rPr>
          <w:rFonts w:asciiTheme="majorHAnsi" w:hAnsiTheme="majorHAnsi"/>
          <w:color w:val="000000" w:themeColor="text1"/>
          <w:sz w:val="20"/>
          <w:szCs w:val="20"/>
          <w:lang w:val="es-VE"/>
        </w:rPr>
        <w:t>El 21 de noviembre de 2017 l</w:t>
      </w:r>
      <w:r w:rsidR="009014A4" w:rsidRPr="0007034B">
        <w:rPr>
          <w:rFonts w:asciiTheme="majorHAnsi" w:hAnsiTheme="majorHAnsi"/>
          <w:sz w:val="20"/>
          <w:szCs w:val="20"/>
          <w:lang w:val="es-ES_tradnl"/>
        </w:rPr>
        <w:t xml:space="preserve">a Comisión </w:t>
      </w:r>
      <w:r w:rsidRPr="0007034B">
        <w:rPr>
          <w:rFonts w:asciiTheme="majorHAnsi" w:hAnsiTheme="majorHAnsi"/>
          <w:sz w:val="20"/>
          <w:szCs w:val="20"/>
          <w:lang w:val="es-ES_tradnl"/>
        </w:rPr>
        <w:t>notificó a las partes la aplicación del artículo 36.3 de su Reglamento, por encontrarse la petición c</w:t>
      </w:r>
      <w:r w:rsidR="002247CD" w:rsidRPr="0007034B">
        <w:rPr>
          <w:rFonts w:asciiTheme="majorHAnsi" w:hAnsiTheme="majorHAnsi"/>
          <w:sz w:val="20"/>
          <w:szCs w:val="20"/>
          <w:lang w:val="es-ES_tradnl"/>
        </w:rPr>
        <w:t>omprendida dentro de</w:t>
      </w:r>
      <w:r w:rsidR="00F05827" w:rsidRPr="0007034B">
        <w:rPr>
          <w:rFonts w:asciiTheme="majorHAnsi" w:hAnsiTheme="majorHAnsi"/>
          <w:sz w:val="20"/>
          <w:szCs w:val="20"/>
          <w:lang w:val="es-ES_tradnl"/>
        </w:rPr>
        <w:t xml:space="preserve"> </w:t>
      </w:r>
      <w:r w:rsidR="002247CD" w:rsidRPr="0007034B">
        <w:rPr>
          <w:rFonts w:asciiTheme="majorHAnsi" w:hAnsiTheme="majorHAnsi"/>
          <w:sz w:val="20"/>
          <w:szCs w:val="20"/>
          <w:lang w:val="es-ES_tradnl"/>
        </w:rPr>
        <w:t>l</w:t>
      </w:r>
      <w:r w:rsidR="00F05827" w:rsidRPr="0007034B">
        <w:rPr>
          <w:rFonts w:asciiTheme="majorHAnsi" w:hAnsiTheme="majorHAnsi"/>
          <w:sz w:val="20"/>
          <w:szCs w:val="20"/>
          <w:lang w:val="es-ES_tradnl"/>
        </w:rPr>
        <w:t>os criterios establecidos en su Resolución 1/16</w:t>
      </w:r>
      <w:r w:rsidR="002247CD" w:rsidRPr="0007034B">
        <w:rPr>
          <w:rFonts w:asciiTheme="majorHAnsi" w:hAnsiTheme="majorHAnsi"/>
          <w:sz w:val="20"/>
          <w:szCs w:val="20"/>
          <w:lang w:val="es-ES_tradnl"/>
        </w:rPr>
        <w:t xml:space="preserve">, </w:t>
      </w:r>
      <w:r w:rsidR="009014A4" w:rsidRPr="0007034B">
        <w:rPr>
          <w:rFonts w:asciiTheme="majorHAnsi" w:hAnsiTheme="majorHAnsi"/>
          <w:sz w:val="20"/>
          <w:szCs w:val="20"/>
          <w:lang w:val="es-ES_tradnl"/>
        </w:rPr>
        <w:t>y se puso a disposición</w:t>
      </w:r>
      <w:r w:rsidR="002247CD" w:rsidRPr="0007034B">
        <w:rPr>
          <w:rFonts w:asciiTheme="majorHAnsi" w:hAnsiTheme="majorHAnsi"/>
          <w:sz w:val="20"/>
          <w:szCs w:val="20"/>
          <w:lang w:val="es-ES_tradnl"/>
        </w:rPr>
        <w:t xml:space="preserve"> de las partes</w:t>
      </w:r>
      <w:r w:rsidR="009014A4" w:rsidRPr="0007034B">
        <w:rPr>
          <w:rFonts w:asciiTheme="majorHAnsi" w:hAnsiTheme="majorHAnsi"/>
          <w:sz w:val="20"/>
          <w:szCs w:val="20"/>
          <w:lang w:val="es-ES_tradnl"/>
        </w:rPr>
        <w:t xml:space="preserve"> a fin de llegar a una solución amistosa. Las partes contaron con los plazos reglamentarios para presentar sus observaciones adicionales sobre el fondo.</w:t>
      </w:r>
      <w:r w:rsidR="008C3098" w:rsidRPr="0007034B">
        <w:rPr>
          <w:rFonts w:asciiTheme="majorHAnsi" w:hAnsiTheme="majorHAnsi"/>
          <w:sz w:val="20"/>
          <w:szCs w:val="20"/>
          <w:lang w:val="es-ES_tradnl"/>
        </w:rPr>
        <w:t xml:space="preserve"> </w:t>
      </w:r>
      <w:r w:rsidR="009014A4" w:rsidRPr="0007034B">
        <w:rPr>
          <w:rFonts w:asciiTheme="majorHAnsi" w:hAnsiTheme="majorHAnsi"/>
          <w:sz w:val="20"/>
          <w:szCs w:val="20"/>
          <w:lang w:val="es-ES_tradnl"/>
        </w:rPr>
        <w:t>Toda la información recibida fue debidamente trasladada entre las partes</w:t>
      </w:r>
      <w:r w:rsidR="004E5107" w:rsidRPr="0007034B">
        <w:rPr>
          <w:rStyle w:val="FootnoteReference"/>
          <w:rFonts w:asciiTheme="majorHAnsi" w:hAnsiTheme="majorHAnsi"/>
          <w:sz w:val="20"/>
          <w:szCs w:val="20"/>
          <w:lang w:val="es-ES_tradnl"/>
        </w:rPr>
        <w:footnoteReference w:id="4"/>
      </w:r>
      <w:r w:rsidR="009014A4" w:rsidRPr="0007034B">
        <w:rPr>
          <w:rFonts w:asciiTheme="majorHAnsi" w:hAnsiTheme="majorHAnsi"/>
          <w:sz w:val="20"/>
          <w:szCs w:val="20"/>
          <w:lang w:val="es-ES_tradnl"/>
        </w:rPr>
        <w:t xml:space="preserve">. </w:t>
      </w:r>
    </w:p>
    <w:p w14:paraId="0FB2EF95" w14:textId="77777777" w:rsidR="004D2868" w:rsidRPr="0007034B" w:rsidRDefault="004D2868" w:rsidP="009014A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Theme="majorHAnsi" w:hAnsiTheme="majorHAnsi"/>
          <w:sz w:val="20"/>
          <w:szCs w:val="20"/>
          <w:lang w:val="es-VE"/>
        </w:rPr>
      </w:pPr>
    </w:p>
    <w:p w14:paraId="2A4832BA" w14:textId="77777777" w:rsidR="00206C92" w:rsidRDefault="00206C92">
      <w:pPr>
        <w:rPr>
          <w:rFonts w:asciiTheme="majorHAnsi" w:eastAsia="Cambria" w:hAnsiTheme="majorHAnsi" w:cs="Cambria"/>
          <w:b/>
          <w:color w:val="000000"/>
          <w:sz w:val="20"/>
          <w:szCs w:val="20"/>
          <w:u w:color="000000"/>
          <w:lang w:val="es-ES_tradnl" w:eastAsia="es-ES"/>
        </w:rPr>
      </w:pPr>
      <w:bookmarkStart w:id="4" w:name="_Toc6349138"/>
      <w:r w:rsidRPr="001D4025">
        <w:rPr>
          <w:lang w:val="es-ES"/>
        </w:rPr>
        <w:br w:type="page"/>
      </w:r>
    </w:p>
    <w:p w14:paraId="0136E5E3" w14:textId="29C29E86" w:rsidR="00D12193" w:rsidRPr="0007034B" w:rsidRDefault="00D12193" w:rsidP="0007034B">
      <w:pPr>
        <w:pStyle w:val="Heading1"/>
      </w:pPr>
      <w:bookmarkStart w:id="5" w:name="_Toc6466631"/>
      <w:r w:rsidRPr="0007034B">
        <w:lastRenderedPageBreak/>
        <w:t>ALEGATOS DE LAS PARTES</w:t>
      </w:r>
      <w:bookmarkEnd w:id="4"/>
      <w:bookmarkEnd w:id="5"/>
    </w:p>
    <w:p w14:paraId="321DDF5A" w14:textId="77777777" w:rsidR="00D83D73" w:rsidRPr="0007034B" w:rsidRDefault="00D83D73" w:rsidP="00E22C6D">
      <w:pPr>
        <w:pStyle w:val="ListParagraph"/>
        <w:suppressAutoHyphens/>
        <w:ind w:left="1440"/>
        <w:rPr>
          <w:rFonts w:asciiTheme="majorHAnsi" w:hAnsiTheme="majorHAnsi"/>
          <w:b/>
          <w:sz w:val="20"/>
          <w:szCs w:val="20"/>
          <w:lang w:val="es-ES_tradnl"/>
        </w:rPr>
      </w:pPr>
    </w:p>
    <w:p w14:paraId="3F0E47C7" w14:textId="31FC991A" w:rsidR="00D12193" w:rsidRPr="00206C92" w:rsidRDefault="0022273F" w:rsidP="00F84E88">
      <w:pPr>
        <w:pStyle w:val="Heading2"/>
      </w:pPr>
      <w:bookmarkStart w:id="6" w:name="_Toc6349139"/>
      <w:bookmarkStart w:id="7" w:name="_Toc6466632"/>
      <w:r w:rsidRPr="00206C92">
        <w:t>Parte peticionaria</w:t>
      </w:r>
      <w:bookmarkEnd w:id="6"/>
      <w:bookmarkEnd w:id="7"/>
      <w:r w:rsidRPr="00206C92">
        <w:t xml:space="preserve"> </w:t>
      </w:r>
    </w:p>
    <w:p w14:paraId="21E47898" w14:textId="77777777" w:rsidR="00361415" w:rsidRPr="0007034B" w:rsidRDefault="00361415" w:rsidP="00E22C6D">
      <w:pPr>
        <w:suppressAutoHyphens/>
        <w:rPr>
          <w:rFonts w:asciiTheme="majorHAnsi" w:hAnsiTheme="majorHAnsi"/>
          <w:sz w:val="20"/>
          <w:szCs w:val="20"/>
          <w:lang w:val="es-ES_tradnl"/>
        </w:rPr>
      </w:pPr>
    </w:p>
    <w:p w14:paraId="54F3328A" w14:textId="77777777" w:rsidR="003D508B" w:rsidRPr="0007034B" w:rsidRDefault="003D508B" w:rsidP="00F23D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lang w:val="es-AR"/>
        </w:rPr>
      </w:pPr>
      <w:r w:rsidRPr="0007034B">
        <w:rPr>
          <w:rFonts w:asciiTheme="majorHAnsi" w:hAnsiTheme="majorHAnsi"/>
          <w:sz w:val="20"/>
          <w:szCs w:val="20"/>
          <w:lang w:val="es-AR"/>
        </w:rPr>
        <w:t xml:space="preserve">La parte peticionaria alega que </w:t>
      </w:r>
      <w:r w:rsidR="004C50FC" w:rsidRPr="0007034B">
        <w:rPr>
          <w:rFonts w:asciiTheme="majorHAnsi" w:hAnsiTheme="majorHAnsi"/>
          <w:sz w:val="20"/>
          <w:szCs w:val="20"/>
          <w:lang w:val="es-AR"/>
        </w:rPr>
        <w:t xml:space="preserve">los hechos del presente caso </w:t>
      </w:r>
      <w:r w:rsidR="00260F02" w:rsidRPr="0007034B">
        <w:rPr>
          <w:rFonts w:asciiTheme="majorHAnsi" w:hAnsiTheme="majorHAnsi"/>
          <w:sz w:val="20"/>
          <w:szCs w:val="20"/>
          <w:lang w:val="es-AR"/>
        </w:rPr>
        <w:t>constituyen el más emblemático accionar del “Plan Cóndor” en lo referido al secuestro y apropiación de niños y niñas en el marco de la coordinación represiva de las dictaduras d</w:t>
      </w:r>
      <w:r w:rsidR="004C50FC" w:rsidRPr="0007034B">
        <w:rPr>
          <w:rFonts w:asciiTheme="majorHAnsi" w:hAnsiTheme="majorHAnsi"/>
          <w:sz w:val="20"/>
          <w:szCs w:val="20"/>
          <w:lang w:val="es-AR"/>
        </w:rPr>
        <w:t>e</w:t>
      </w:r>
      <w:r w:rsidR="00260F02" w:rsidRPr="0007034B">
        <w:rPr>
          <w:rFonts w:asciiTheme="majorHAnsi" w:hAnsiTheme="majorHAnsi"/>
          <w:sz w:val="20"/>
          <w:szCs w:val="20"/>
          <w:lang w:val="es-AR"/>
        </w:rPr>
        <w:t>l</w:t>
      </w:r>
      <w:r w:rsidR="004C50FC" w:rsidRPr="0007034B">
        <w:rPr>
          <w:rFonts w:asciiTheme="majorHAnsi" w:hAnsiTheme="majorHAnsi"/>
          <w:sz w:val="20"/>
          <w:szCs w:val="20"/>
          <w:lang w:val="es-AR"/>
        </w:rPr>
        <w:t xml:space="preserve"> Cono Sur</w:t>
      </w:r>
      <w:r w:rsidR="00260F02" w:rsidRPr="0007034B">
        <w:rPr>
          <w:rFonts w:asciiTheme="majorHAnsi" w:hAnsiTheme="majorHAnsi"/>
          <w:sz w:val="20"/>
          <w:szCs w:val="20"/>
          <w:lang w:val="es-AR"/>
        </w:rPr>
        <w:t>.</w:t>
      </w:r>
      <w:r w:rsidR="00421891" w:rsidRPr="0007034B">
        <w:rPr>
          <w:rFonts w:asciiTheme="majorHAnsi" w:hAnsiTheme="majorHAnsi"/>
          <w:sz w:val="20"/>
          <w:szCs w:val="20"/>
          <w:lang w:val="es-AR"/>
        </w:rPr>
        <w:t xml:space="preserve"> </w:t>
      </w:r>
      <w:r w:rsidR="004C50FC" w:rsidRPr="0007034B">
        <w:rPr>
          <w:rFonts w:asciiTheme="majorHAnsi" w:hAnsiTheme="majorHAnsi"/>
          <w:sz w:val="20"/>
          <w:szCs w:val="20"/>
          <w:lang w:val="es-AR"/>
        </w:rPr>
        <w:t xml:space="preserve">Indica que </w:t>
      </w:r>
      <w:r w:rsidRPr="0007034B">
        <w:rPr>
          <w:rFonts w:asciiTheme="majorHAnsi" w:hAnsiTheme="majorHAnsi"/>
          <w:sz w:val="20"/>
          <w:szCs w:val="20"/>
          <w:lang w:val="es-AR"/>
        </w:rPr>
        <w:t xml:space="preserve">Mario Roger Julien, de nacionalidad uruguaya, y Victoria Lucía Grisonas, argentina nacionalizada uruguaya, vivían en Montevideo, Uruguay, donde en septiembre de 1972 nació el hijo de ambos, Anatole Boris. En 1973, luego del golpe cívico-militar en Uruguay, Mario Julien, al igual que varios opositores a la dictadura uruguaya, se </w:t>
      </w:r>
      <w:r w:rsidR="00081839" w:rsidRPr="0007034B">
        <w:rPr>
          <w:rFonts w:asciiTheme="majorHAnsi" w:hAnsiTheme="majorHAnsi"/>
          <w:sz w:val="20"/>
          <w:szCs w:val="20"/>
          <w:lang w:val="es-AR"/>
        </w:rPr>
        <w:t>debió exiliar</w:t>
      </w:r>
      <w:r w:rsidRPr="0007034B">
        <w:rPr>
          <w:rFonts w:asciiTheme="majorHAnsi" w:hAnsiTheme="majorHAnsi"/>
          <w:sz w:val="20"/>
          <w:szCs w:val="20"/>
          <w:lang w:val="es-AR"/>
        </w:rPr>
        <w:t xml:space="preserve"> en Buenos Aires, Argentina. En 1974 se reunió con él su esposa e hijo y el 7 de mayo de 1975 nació en Buenos Aires la hija de ambos, Victoria Eva. El 24 de marzo de 1976 tuvo lugar el golpe militar en Argentina.    </w:t>
      </w:r>
    </w:p>
    <w:p w14:paraId="10E6B160" w14:textId="77777777" w:rsidR="003D508B" w:rsidRPr="0007034B" w:rsidRDefault="003D508B" w:rsidP="003D508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AR"/>
        </w:rPr>
      </w:pPr>
    </w:p>
    <w:p w14:paraId="7D2F7029" w14:textId="1D5C3568" w:rsidR="003D508B" w:rsidRPr="0007034B" w:rsidRDefault="003D508B" w:rsidP="00F23D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lang w:val="es-AR"/>
        </w:rPr>
      </w:pPr>
      <w:r w:rsidRPr="0007034B">
        <w:rPr>
          <w:rFonts w:asciiTheme="majorHAnsi" w:hAnsiTheme="majorHAnsi"/>
          <w:sz w:val="20"/>
          <w:szCs w:val="20"/>
          <w:lang w:val="es-AR"/>
        </w:rPr>
        <w:t xml:space="preserve">Señala que el 26 de septiembre de 1976 fuerzas militares argentinas y uruguayas llevaron a cabo un violento operativo conjunto </w:t>
      </w:r>
      <w:r w:rsidR="005B181A" w:rsidRPr="0007034B">
        <w:rPr>
          <w:rFonts w:asciiTheme="majorHAnsi" w:hAnsiTheme="majorHAnsi"/>
          <w:sz w:val="20"/>
          <w:szCs w:val="20"/>
          <w:lang w:val="es-AR"/>
        </w:rPr>
        <w:t>en</w:t>
      </w:r>
      <w:r w:rsidRPr="0007034B">
        <w:rPr>
          <w:rFonts w:asciiTheme="majorHAnsi" w:hAnsiTheme="majorHAnsi"/>
          <w:sz w:val="20"/>
          <w:szCs w:val="20"/>
          <w:lang w:val="es-AR"/>
        </w:rPr>
        <w:t xml:space="preserve"> la vivienda de la familia Julien-Grisonas ubicada en la ciudad de San Martín, Provincia de Buenos Aires. Indica que Mario Juli</w:t>
      </w:r>
      <w:r w:rsidR="00081839" w:rsidRPr="0007034B">
        <w:rPr>
          <w:rFonts w:asciiTheme="majorHAnsi" w:hAnsiTheme="majorHAnsi"/>
          <w:sz w:val="20"/>
          <w:szCs w:val="20"/>
          <w:lang w:val="es-AR"/>
        </w:rPr>
        <w:t>e</w:t>
      </w:r>
      <w:r w:rsidRPr="0007034B">
        <w:rPr>
          <w:rFonts w:asciiTheme="majorHAnsi" w:hAnsiTheme="majorHAnsi"/>
          <w:sz w:val="20"/>
          <w:szCs w:val="20"/>
          <w:lang w:val="es-AR"/>
        </w:rPr>
        <w:t>n colocó a su</w:t>
      </w:r>
      <w:r w:rsidR="00E8745C" w:rsidRPr="0007034B">
        <w:rPr>
          <w:rFonts w:asciiTheme="majorHAnsi" w:hAnsiTheme="majorHAnsi"/>
          <w:sz w:val="20"/>
          <w:szCs w:val="20"/>
          <w:lang w:val="es-AR"/>
        </w:rPr>
        <w:t xml:space="preserve"> hijo e hija</w:t>
      </w:r>
      <w:r w:rsidRPr="0007034B">
        <w:rPr>
          <w:rFonts w:asciiTheme="majorHAnsi" w:hAnsiTheme="majorHAnsi"/>
          <w:sz w:val="20"/>
          <w:szCs w:val="20"/>
          <w:lang w:val="es-AR"/>
        </w:rPr>
        <w:t xml:space="preserve"> en la bañera para protegerlos y que luego fue visto muerto fuera de la casa</w:t>
      </w:r>
      <w:r w:rsidR="0036765C" w:rsidRPr="0007034B">
        <w:rPr>
          <w:rFonts w:asciiTheme="majorHAnsi" w:hAnsiTheme="majorHAnsi"/>
          <w:sz w:val="20"/>
          <w:szCs w:val="20"/>
          <w:lang w:val="es-AR"/>
        </w:rPr>
        <w:t xml:space="preserve">. Su cuerpo nunca apareció. </w:t>
      </w:r>
      <w:r w:rsidRPr="0007034B">
        <w:rPr>
          <w:rFonts w:asciiTheme="majorHAnsi" w:hAnsiTheme="majorHAnsi"/>
          <w:sz w:val="20"/>
          <w:szCs w:val="20"/>
          <w:lang w:val="es-AR"/>
        </w:rPr>
        <w:t>Victoria Grisonas fue separada de su</w:t>
      </w:r>
      <w:r w:rsidR="00FC0B74" w:rsidRPr="0007034B">
        <w:rPr>
          <w:rFonts w:asciiTheme="majorHAnsi" w:hAnsiTheme="majorHAnsi"/>
          <w:sz w:val="20"/>
          <w:szCs w:val="20"/>
          <w:lang w:val="es-AR"/>
        </w:rPr>
        <w:t xml:space="preserve"> hijo e hija</w:t>
      </w:r>
      <w:r w:rsidRPr="0007034B">
        <w:rPr>
          <w:rFonts w:asciiTheme="majorHAnsi" w:hAnsiTheme="majorHAnsi"/>
          <w:sz w:val="20"/>
          <w:szCs w:val="20"/>
          <w:lang w:val="es-AR"/>
        </w:rPr>
        <w:t>,</w:t>
      </w:r>
      <w:r w:rsidR="0036765C" w:rsidRPr="0007034B">
        <w:rPr>
          <w:rFonts w:asciiTheme="majorHAnsi" w:hAnsiTheme="majorHAnsi"/>
          <w:sz w:val="20"/>
          <w:szCs w:val="20"/>
          <w:lang w:val="es-AR"/>
        </w:rPr>
        <w:t xml:space="preserve"> </w:t>
      </w:r>
      <w:r w:rsidRPr="0007034B">
        <w:rPr>
          <w:rFonts w:asciiTheme="majorHAnsi" w:hAnsiTheme="majorHAnsi"/>
          <w:sz w:val="20"/>
          <w:szCs w:val="20"/>
          <w:lang w:val="es-AR"/>
        </w:rPr>
        <w:t xml:space="preserve"> brutalmente golpeada</w:t>
      </w:r>
      <w:r w:rsidR="0036765C" w:rsidRPr="0007034B">
        <w:rPr>
          <w:rFonts w:asciiTheme="majorHAnsi" w:hAnsiTheme="majorHAnsi"/>
          <w:sz w:val="20"/>
          <w:szCs w:val="20"/>
          <w:lang w:val="es-AR"/>
        </w:rPr>
        <w:t xml:space="preserve"> </w:t>
      </w:r>
      <w:r w:rsidRPr="0007034B">
        <w:rPr>
          <w:rFonts w:asciiTheme="majorHAnsi" w:hAnsiTheme="majorHAnsi"/>
          <w:sz w:val="20"/>
          <w:szCs w:val="20"/>
          <w:lang w:val="es-AR"/>
        </w:rPr>
        <w:t xml:space="preserve">y arrojada en el baúl de un auto policial. </w:t>
      </w:r>
      <w:r w:rsidR="00B572D3" w:rsidRPr="0007034B">
        <w:rPr>
          <w:rFonts w:asciiTheme="majorHAnsi" w:hAnsiTheme="majorHAnsi"/>
          <w:sz w:val="20"/>
          <w:szCs w:val="20"/>
          <w:lang w:val="es-AR"/>
        </w:rPr>
        <w:t xml:space="preserve">Señala que </w:t>
      </w:r>
      <w:r w:rsidRPr="0007034B">
        <w:rPr>
          <w:rFonts w:asciiTheme="majorHAnsi" w:hAnsiTheme="majorHAnsi"/>
          <w:sz w:val="20"/>
          <w:szCs w:val="20"/>
          <w:lang w:val="es-AR"/>
        </w:rPr>
        <w:t xml:space="preserve">Anatole y Victoria, de 4 años y 16 meses de edad respectivamente, </w:t>
      </w:r>
      <w:r w:rsidR="002B6A60" w:rsidRPr="0007034B">
        <w:rPr>
          <w:rFonts w:asciiTheme="majorHAnsi" w:hAnsiTheme="majorHAnsi"/>
          <w:sz w:val="20"/>
          <w:szCs w:val="20"/>
          <w:lang w:val="es-AR"/>
        </w:rPr>
        <w:t>escucharon</w:t>
      </w:r>
      <w:r w:rsidR="00B572D3" w:rsidRPr="0007034B">
        <w:rPr>
          <w:rFonts w:asciiTheme="majorHAnsi" w:hAnsiTheme="majorHAnsi"/>
          <w:sz w:val="20"/>
          <w:szCs w:val="20"/>
          <w:lang w:val="es-AR"/>
        </w:rPr>
        <w:t xml:space="preserve"> los disparos, vi</w:t>
      </w:r>
      <w:r w:rsidR="002B6A60" w:rsidRPr="0007034B">
        <w:rPr>
          <w:rFonts w:asciiTheme="majorHAnsi" w:hAnsiTheme="majorHAnsi"/>
          <w:sz w:val="20"/>
          <w:szCs w:val="20"/>
          <w:lang w:val="es-AR"/>
        </w:rPr>
        <w:t>eron</w:t>
      </w:r>
      <w:r w:rsidR="00B572D3" w:rsidRPr="0007034B">
        <w:rPr>
          <w:rFonts w:asciiTheme="majorHAnsi" w:hAnsiTheme="majorHAnsi"/>
          <w:sz w:val="20"/>
          <w:szCs w:val="20"/>
          <w:lang w:val="es-AR"/>
        </w:rPr>
        <w:t xml:space="preserve"> ca</w:t>
      </w:r>
      <w:r w:rsidR="00725295" w:rsidRPr="0007034B">
        <w:rPr>
          <w:rFonts w:asciiTheme="majorHAnsi" w:hAnsiTheme="majorHAnsi"/>
          <w:sz w:val="20"/>
          <w:szCs w:val="20"/>
          <w:lang w:val="es-AR"/>
        </w:rPr>
        <w:t xml:space="preserve">er a su padre muerto y </w:t>
      </w:r>
      <w:r w:rsidR="006335D7" w:rsidRPr="0007034B">
        <w:rPr>
          <w:rFonts w:asciiTheme="majorHAnsi" w:hAnsiTheme="majorHAnsi"/>
          <w:sz w:val="20"/>
          <w:szCs w:val="20"/>
          <w:lang w:val="es-AR"/>
        </w:rPr>
        <w:t xml:space="preserve">vieron </w:t>
      </w:r>
      <w:r w:rsidR="00725295" w:rsidRPr="0007034B">
        <w:rPr>
          <w:rFonts w:asciiTheme="majorHAnsi" w:hAnsiTheme="majorHAnsi"/>
          <w:sz w:val="20"/>
          <w:szCs w:val="20"/>
          <w:lang w:val="es-AR"/>
        </w:rPr>
        <w:t>có</w:t>
      </w:r>
      <w:r w:rsidR="00B572D3" w:rsidRPr="0007034B">
        <w:rPr>
          <w:rFonts w:asciiTheme="majorHAnsi" w:hAnsiTheme="majorHAnsi"/>
          <w:sz w:val="20"/>
          <w:szCs w:val="20"/>
          <w:lang w:val="es-AR"/>
        </w:rPr>
        <w:t>mo golpeaban brutalmente a su madre</w:t>
      </w:r>
      <w:r w:rsidR="00E60317" w:rsidRPr="0007034B">
        <w:rPr>
          <w:rFonts w:asciiTheme="majorHAnsi" w:hAnsiTheme="majorHAnsi"/>
          <w:sz w:val="20"/>
          <w:szCs w:val="20"/>
          <w:lang w:val="es-AR"/>
        </w:rPr>
        <w:t xml:space="preserve">, lo cual </w:t>
      </w:r>
      <w:r w:rsidR="006335D7" w:rsidRPr="0007034B">
        <w:rPr>
          <w:rFonts w:asciiTheme="majorHAnsi" w:hAnsiTheme="majorHAnsi"/>
          <w:sz w:val="20"/>
          <w:szCs w:val="20"/>
          <w:lang w:val="es-AR"/>
        </w:rPr>
        <w:t>dejó profundas huellas en sus vidas</w:t>
      </w:r>
      <w:r w:rsidR="002B6A60" w:rsidRPr="0007034B">
        <w:rPr>
          <w:rFonts w:asciiTheme="majorHAnsi" w:hAnsiTheme="majorHAnsi"/>
          <w:sz w:val="20"/>
          <w:szCs w:val="20"/>
          <w:lang w:val="es-AR"/>
        </w:rPr>
        <w:t>. Posteriormente</w:t>
      </w:r>
      <w:r w:rsidR="00B572D3" w:rsidRPr="0007034B">
        <w:rPr>
          <w:rFonts w:asciiTheme="majorHAnsi" w:hAnsiTheme="majorHAnsi"/>
          <w:sz w:val="20"/>
          <w:szCs w:val="20"/>
          <w:lang w:val="es-AR"/>
        </w:rPr>
        <w:t xml:space="preserve"> </w:t>
      </w:r>
      <w:r w:rsidRPr="0007034B">
        <w:rPr>
          <w:rFonts w:asciiTheme="majorHAnsi" w:hAnsiTheme="majorHAnsi"/>
          <w:sz w:val="20"/>
          <w:szCs w:val="20"/>
          <w:lang w:val="es-AR"/>
        </w:rPr>
        <w:t>fueron llevados</w:t>
      </w:r>
      <w:r w:rsidR="0036765C" w:rsidRPr="0007034B">
        <w:rPr>
          <w:rFonts w:asciiTheme="majorHAnsi" w:hAnsiTheme="majorHAnsi"/>
          <w:sz w:val="20"/>
          <w:szCs w:val="20"/>
          <w:lang w:val="es-AR"/>
        </w:rPr>
        <w:t xml:space="preserve">, junto a </w:t>
      </w:r>
      <w:r w:rsidR="006335D7" w:rsidRPr="0007034B">
        <w:rPr>
          <w:rFonts w:asciiTheme="majorHAnsi" w:hAnsiTheme="majorHAnsi"/>
          <w:sz w:val="20"/>
          <w:szCs w:val="20"/>
          <w:lang w:val="es-AR"/>
        </w:rPr>
        <w:t>su madre</w:t>
      </w:r>
      <w:r w:rsidR="0036765C" w:rsidRPr="0007034B">
        <w:rPr>
          <w:rFonts w:asciiTheme="majorHAnsi" w:hAnsiTheme="majorHAnsi"/>
          <w:sz w:val="20"/>
          <w:szCs w:val="20"/>
          <w:lang w:val="es-AR"/>
        </w:rPr>
        <w:t>,</w:t>
      </w:r>
      <w:r w:rsidRPr="0007034B">
        <w:rPr>
          <w:rFonts w:asciiTheme="majorHAnsi" w:hAnsiTheme="majorHAnsi"/>
          <w:sz w:val="20"/>
          <w:szCs w:val="20"/>
          <w:lang w:val="es-AR"/>
        </w:rPr>
        <w:t xml:space="preserve"> al </w:t>
      </w:r>
      <w:r w:rsidR="00C377E4" w:rsidRPr="0007034B">
        <w:rPr>
          <w:rFonts w:asciiTheme="majorHAnsi" w:hAnsiTheme="majorHAnsi"/>
          <w:sz w:val="20"/>
          <w:szCs w:val="20"/>
          <w:lang w:val="es-AR"/>
        </w:rPr>
        <w:t xml:space="preserve">centro clandestino de detención </w:t>
      </w:r>
      <w:r w:rsidRPr="0007034B">
        <w:rPr>
          <w:rFonts w:asciiTheme="majorHAnsi" w:hAnsiTheme="majorHAnsi"/>
          <w:sz w:val="20"/>
          <w:szCs w:val="20"/>
          <w:lang w:val="es-AR"/>
        </w:rPr>
        <w:t>“Automotores Orletti”</w:t>
      </w:r>
      <w:r w:rsidR="0036765C" w:rsidRPr="0007034B">
        <w:rPr>
          <w:rFonts w:asciiTheme="majorHAnsi" w:hAnsiTheme="majorHAnsi"/>
          <w:sz w:val="20"/>
          <w:szCs w:val="20"/>
          <w:lang w:val="es-AR"/>
        </w:rPr>
        <w:t>. Indica que allí Victoria Grisonas fue separada</w:t>
      </w:r>
      <w:r w:rsidR="00DF5138" w:rsidRPr="0007034B">
        <w:rPr>
          <w:rFonts w:asciiTheme="majorHAnsi" w:hAnsiTheme="majorHAnsi"/>
          <w:sz w:val="20"/>
          <w:szCs w:val="20"/>
          <w:lang w:val="es-AR"/>
        </w:rPr>
        <w:t xml:space="preserve"> definitivamente</w:t>
      </w:r>
      <w:r w:rsidR="0036765C" w:rsidRPr="0007034B">
        <w:rPr>
          <w:rFonts w:asciiTheme="majorHAnsi" w:hAnsiTheme="majorHAnsi"/>
          <w:sz w:val="20"/>
          <w:szCs w:val="20"/>
          <w:lang w:val="es-AR"/>
        </w:rPr>
        <w:t xml:space="preserve"> de su</w:t>
      </w:r>
      <w:r w:rsidR="00FC0B74" w:rsidRPr="0007034B">
        <w:rPr>
          <w:rFonts w:asciiTheme="majorHAnsi" w:hAnsiTheme="majorHAnsi"/>
          <w:sz w:val="20"/>
          <w:szCs w:val="20"/>
          <w:lang w:val="es-AR"/>
        </w:rPr>
        <w:t xml:space="preserve"> hijo e hija</w:t>
      </w:r>
      <w:r w:rsidR="0036765C" w:rsidRPr="0007034B">
        <w:rPr>
          <w:rFonts w:asciiTheme="majorHAnsi" w:hAnsiTheme="majorHAnsi"/>
          <w:sz w:val="20"/>
          <w:szCs w:val="20"/>
          <w:lang w:val="es-AR"/>
        </w:rPr>
        <w:t xml:space="preserve"> para ser salvajemente torturada por militares argentinos y uruguayos. Desde ese momento </w:t>
      </w:r>
      <w:r w:rsidR="00081839" w:rsidRPr="0007034B">
        <w:rPr>
          <w:rFonts w:asciiTheme="majorHAnsi" w:hAnsiTheme="majorHAnsi"/>
          <w:sz w:val="20"/>
          <w:szCs w:val="20"/>
          <w:lang w:val="es-AR"/>
        </w:rPr>
        <w:t>se encuentra</w:t>
      </w:r>
      <w:r w:rsidR="0036765C" w:rsidRPr="0007034B">
        <w:rPr>
          <w:rFonts w:asciiTheme="majorHAnsi" w:hAnsiTheme="majorHAnsi"/>
          <w:sz w:val="20"/>
          <w:szCs w:val="20"/>
          <w:lang w:val="es-AR"/>
        </w:rPr>
        <w:t xml:space="preserve"> desaparecida. En</w:t>
      </w:r>
      <w:r w:rsidRPr="0007034B">
        <w:rPr>
          <w:rFonts w:asciiTheme="majorHAnsi" w:hAnsiTheme="majorHAnsi"/>
          <w:sz w:val="20"/>
          <w:szCs w:val="20"/>
          <w:lang w:val="es-AR"/>
        </w:rPr>
        <w:t xml:space="preserve"> octubre </w:t>
      </w:r>
      <w:r w:rsidR="00B572D3" w:rsidRPr="0007034B">
        <w:rPr>
          <w:rFonts w:asciiTheme="majorHAnsi" w:hAnsiTheme="majorHAnsi"/>
          <w:sz w:val="20"/>
          <w:szCs w:val="20"/>
          <w:lang w:val="es-AR"/>
        </w:rPr>
        <w:t xml:space="preserve">de 1976 </w:t>
      </w:r>
      <w:r w:rsidR="0036765C" w:rsidRPr="0007034B">
        <w:rPr>
          <w:rFonts w:asciiTheme="majorHAnsi" w:hAnsiTheme="majorHAnsi"/>
          <w:sz w:val="20"/>
          <w:szCs w:val="20"/>
          <w:lang w:val="es-AR"/>
        </w:rPr>
        <w:t xml:space="preserve">Anatole y Victoria </w:t>
      </w:r>
      <w:r w:rsidRPr="0007034B">
        <w:rPr>
          <w:rFonts w:asciiTheme="majorHAnsi" w:hAnsiTheme="majorHAnsi"/>
          <w:sz w:val="20"/>
          <w:szCs w:val="20"/>
          <w:lang w:val="es-AR"/>
        </w:rPr>
        <w:t xml:space="preserve">fueron trasladados en forma clandestina a Montevideo </w:t>
      </w:r>
      <w:r w:rsidR="0036765C" w:rsidRPr="0007034B">
        <w:rPr>
          <w:rFonts w:asciiTheme="majorHAnsi" w:hAnsiTheme="majorHAnsi"/>
          <w:sz w:val="20"/>
          <w:szCs w:val="20"/>
          <w:lang w:val="es-AR"/>
        </w:rPr>
        <w:t>donde continuaron secuestrados</w:t>
      </w:r>
      <w:r w:rsidRPr="0007034B">
        <w:rPr>
          <w:rFonts w:asciiTheme="majorHAnsi" w:hAnsiTheme="majorHAnsi"/>
          <w:sz w:val="20"/>
          <w:szCs w:val="20"/>
          <w:lang w:val="es-AR"/>
        </w:rPr>
        <w:t xml:space="preserve"> en </w:t>
      </w:r>
      <w:r w:rsidR="0036765C" w:rsidRPr="0007034B">
        <w:rPr>
          <w:rFonts w:asciiTheme="majorHAnsi" w:hAnsiTheme="majorHAnsi"/>
          <w:sz w:val="20"/>
          <w:szCs w:val="20"/>
          <w:lang w:val="es-AR"/>
        </w:rPr>
        <w:t>un centro clandestino de detención perteneciente a</w:t>
      </w:r>
      <w:r w:rsidRPr="0007034B">
        <w:rPr>
          <w:rFonts w:asciiTheme="majorHAnsi" w:hAnsiTheme="majorHAnsi"/>
          <w:sz w:val="20"/>
          <w:szCs w:val="20"/>
          <w:lang w:val="es-AR"/>
        </w:rPr>
        <w:t>l Servicio de Inteligencia de Defensa (“SID”)</w:t>
      </w:r>
      <w:r w:rsidR="00154C85" w:rsidRPr="0007034B">
        <w:rPr>
          <w:rFonts w:asciiTheme="majorHAnsi" w:hAnsiTheme="majorHAnsi"/>
          <w:sz w:val="20"/>
          <w:szCs w:val="20"/>
          <w:lang w:val="es-AR"/>
        </w:rPr>
        <w:t xml:space="preserve"> uruguayo</w:t>
      </w:r>
      <w:r w:rsidRPr="0007034B">
        <w:rPr>
          <w:rFonts w:asciiTheme="majorHAnsi" w:hAnsiTheme="majorHAnsi"/>
          <w:sz w:val="20"/>
          <w:szCs w:val="20"/>
          <w:lang w:val="es-AR"/>
        </w:rPr>
        <w:t>. En ambos centros fueron vistos por vari</w:t>
      </w:r>
      <w:r w:rsidR="00C429A0" w:rsidRPr="0007034B">
        <w:rPr>
          <w:rFonts w:asciiTheme="majorHAnsi" w:hAnsiTheme="majorHAnsi"/>
          <w:sz w:val="20"/>
          <w:szCs w:val="20"/>
          <w:lang w:val="es-AR"/>
        </w:rPr>
        <w:t>as personas detenidas</w:t>
      </w:r>
      <w:r w:rsidRPr="0007034B">
        <w:rPr>
          <w:rFonts w:asciiTheme="majorHAnsi" w:hAnsiTheme="majorHAnsi"/>
          <w:sz w:val="20"/>
          <w:szCs w:val="20"/>
          <w:lang w:val="es-AR"/>
        </w:rPr>
        <w:t xml:space="preserve">. </w:t>
      </w:r>
      <w:r w:rsidR="0036765C" w:rsidRPr="0007034B">
        <w:rPr>
          <w:rFonts w:asciiTheme="majorHAnsi" w:hAnsiTheme="majorHAnsi"/>
          <w:sz w:val="20"/>
          <w:szCs w:val="20"/>
          <w:lang w:val="es-AR"/>
        </w:rPr>
        <w:t>A fines de noviembre de 1976 fueron trasladados</w:t>
      </w:r>
      <w:r w:rsidR="00617C3A" w:rsidRPr="0007034B">
        <w:rPr>
          <w:rFonts w:asciiTheme="majorHAnsi" w:hAnsiTheme="majorHAnsi"/>
          <w:sz w:val="20"/>
          <w:szCs w:val="20"/>
          <w:lang w:val="es-AR"/>
        </w:rPr>
        <w:t xml:space="preserve"> </w:t>
      </w:r>
      <w:r w:rsidR="00154C85" w:rsidRPr="0007034B">
        <w:rPr>
          <w:rFonts w:asciiTheme="majorHAnsi" w:hAnsiTheme="majorHAnsi"/>
          <w:sz w:val="20"/>
          <w:szCs w:val="20"/>
          <w:lang w:val="es-AR"/>
        </w:rPr>
        <w:t xml:space="preserve">en un avión </w:t>
      </w:r>
      <w:r w:rsidR="00617C3A" w:rsidRPr="0007034B">
        <w:rPr>
          <w:rFonts w:asciiTheme="majorHAnsi" w:hAnsiTheme="majorHAnsi"/>
          <w:sz w:val="20"/>
          <w:szCs w:val="20"/>
          <w:lang w:val="es-AR"/>
        </w:rPr>
        <w:t>con rumbo a Chile. D</w:t>
      </w:r>
      <w:r w:rsidRPr="0007034B">
        <w:rPr>
          <w:rFonts w:asciiTheme="majorHAnsi" w:hAnsiTheme="majorHAnsi"/>
          <w:sz w:val="20"/>
          <w:szCs w:val="20"/>
          <w:lang w:val="es-AR"/>
        </w:rPr>
        <w:t>ías antes de la navidad de 1976, fu</w:t>
      </w:r>
      <w:r w:rsidR="00907883" w:rsidRPr="0007034B">
        <w:rPr>
          <w:rFonts w:asciiTheme="majorHAnsi" w:hAnsiTheme="majorHAnsi"/>
          <w:sz w:val="20"/>
          <w:szCs w:val="20"/>
          <w:lang w:val="es-AR"/>
        </w:rPr>
        <w:t>eron abandonados en la P</w:t>
      </w:r>
      <w:r w:rsidR="005C13FE" w:rsidRPr="0007034B">
        <w:rPr>
          <w:rFonts w:asciiTheme="majorHAnsi" w:hAnsiTheme="majorHAnsi"/>
          <w:sz w:val="20"/>
          <w:szCs w:val="20"/>
          <w:lang w:val="es-AR"/>
        </w:rPr>
        <w:t>laza O’</w:t>
      </w:r>
      <w:r w:rsidRPr="0007034B">
        <w:rPr>
          <w:rFonts w:asciiTheme="majorHAnsi" w:hAnsiTheme="majorHAnsi"/>
          <w:sz w:val="20"/>
          <w:szCs w:val="20"/>
          <w:lang w:val="es-AR"/>
        </w:rPr>
        <w:t xml:space="preserve">Higgins de </w:t>
      </w:r>
      <w:r w:rsidR="00111CB5" w:rsidRPr="0007034B">
        <w:rPr>
          <w:rFonts w:asciiTheme="majorHAnsi" w:hAnsiTheme="majorHAnsi"/>
          <w:sz w:val="20"/>
          <w:szCs w:val="20"/>
          <w:lang w:val="es-AR"/>
        </w:rPr>
        <w:t xml:space="preserve">la ciudad de </w:t>
      </w:r>
      <w:r w:rsidRPr="0007034B">
        <w:rPr>
          <w:rFonts w:asciiTheme="majorHAnsi" w:hAnsiTheme="majorHAnsi"/>
          <w:sz w:val="20"/>
          <w:szCs w:val="20"/>
          <w:lang w:val="es-AR"/>
        </w:rPr>
        <w:t xml:space="preserve">Valparaíso y luego hallados, solos e indocumentados, por carabineros. </w:t>
      </w:r>
    </w:p>
    <w:p w14:paraId="1FEECF41" w14:textId="77777777" w:rsidR="003D508B" w:rsidRPr="0007034B" w:rsidRDefault="003D508B" w:rsidP="003D508B">
      <w:pPr>
        <w:pStyle w:val="ListParagraph"/>
        <w:rPr>
          <w:rFonts w:asciiTheme="majorHAnsi" w:hAnsiTheme="majorHAnsi"/>
          <w:sz w:val="20"/>
          <w:szCs w:val="20"/>
          <w:lang w:val="es-AR"/>
        </w:rPr>
      </w:pPr>
    </w:p>
    <w:p w14:paraId="2791BBEB" w14:textId="77777777" w:rsidR="003D508B" w:rsidRPr="0007034B" w:rsidRDefault="003D508B" w:rsidP="00F23D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lang w:val="es-AR"/>
        </w:rPr>
      </w:pPr>
      <w:r w:rsidRPr="0007034B">
        <w:rPr>
          <w:rFonts w:asciiTheme="majorHAnsi" w:hAnsiTheme="majorHAnsi"/>
          <w:sz w:val="20"/>
          <w:szCs w:val="20"/>
          <w:lang w:val="es-AR"/>
        </w:rPr>
        <w:t xml:space="preserve">De acuerdo a la parte peticionaria, luego de permanecer en un orfanato, </w:t>
      </w:r>
      <w:r w:rsidR="007A77CB" w:rsidRPr="0007034B">
        <w:rPr>
          <w:rFonts w:asciiTheme="majorHAnsi" w:hAnsiTheme="majorHAnsi"/>
          <w:sz w:val="20"/>
          <w:szCs w:val="20"/>
          <w:lang w:val="es-AR"/>
        </w:rPr>
        <w:t>fueron entregados</w:t>
      </w:r>
      <w:r w:rsidRPr="0007034B">
        <w:rPr>
          <w:rFonts w:asciiTheme="majorHAnsi" w:hAnsiTheme="majorHAnsi"/>
          <w:sz w:val="20"/>
          <w:szCs w:val="20"/>
          <w:lang w:val="es-AR"/>
        </w:rPr>
        <w:t xml:space="preserve"> en guarda al matrimonio chileno integrado por Jesús Larrabeiti y Silvia Yáñez</w:t>
      </w:r>
      <w:r w:rsidR="00311AF6" w:rsidRPr="0007034B">
        <w:rPr>
          <w:rFonts w:asciiTheme="majorHAnsi" w:hAnsiTheme="majorHAnsi"/>
          <w:sz w:val="20"/>
          <w:szCs w:val="20"/>
          <w:lang w:val="es-AR"/>
        </w:rPr>
        <w:t>, quienes no tenían vinculación con el aparato represivo</w:t>
      </w:r>
      <w:r w:rsidRPr="0007034B">
        <w:rPr>
          <w:rFonts w:asciiTheme="majorHAnsi" w:hAnsiTheme="majorHAnsi"/>
          <w:sz w:val="20"/>
          <w:szCs w:val="20"/>
          <w:lang w:val="es-AR"/>
        </w:rPr>
        <w:t>. Mientras el trámite de adopción se hallaba en curso, la abuela paterna, María Angélica Cáceres de Julien, por circunstancia fortuita</w:t>
      </w:r>
      <w:r w:rsidR="004C50FC" w:rsidRPr="0007034B">
        <w:rPr>
          <w:rFonts w:asciiTheme="majorHAnsi" w:hAnsiTheme="majorHAnsi"/>
          <w:sz w:val="20"/>
          <w:szCs w:val="20"/>
          <w:lang w:val="es-AR"/>
        </w:rPr>
        <w:t>,</w:t>
      </w:r>
      <w:r w:rsidRPr="0007034B">
        <w:rPr>
          <w:rFonts w:asciiTheme="majorHAnsi" w:hAnsiTheme="majorHAnsi"/>
          <w:sz w:val="20"/>
          <w:szCs w:val="20"/>
          <w:lang w:val="es-AR"/>
        </w:rPr>
        <w:t xml:space="preserve"> pudo encontrar a Anatole y Victoria. En agosto de 1979 firmó un documento con el matrimonio Larrabeiti-Yáñez por el cual, entre otros, quedó establecida la filiación biológica de ambos, consignándose </w:t>
      </w:r>
      <w:r w:rsidR="007A77CB" w:rsidRPr="0007034B">
        <w:rPr>
          <w:rFonts w:asciiTheme="majorHAnsi" w:hAnsiTheme="majorHAnsi"/>
          <w:sz w:val="20"/>
          <w:szCs w:val="20"/>
          <w:lang w:val="es-AR"/>
        </w:rPr>
        <w:t xml:space="preserve">tanto </w:t>
      </w:r>
      <w:r w:rsidRPr="0007034B">
        <w:rPr>
          <w:rFonts w:asciiTheme="majorHAnsi" w:hAnsiTheme="majorHAnsi"/>
          <w:sz w:val="20"/>
          <w:szCs w:val="20"/>
          <w:lang w:val="es-AR"/>
        </w:rPr>
        <w:t>sus nombres biológicos (Anatole Boris y Victoria Eva Julien Grisonas)</w:t>
      </w:r>
      <w:r w:rsidR="007A77CB" w:rsidRPr="0007034B">
        <w:rPr>
          <w:rFonts w:asciiTheme="majorHAnsi" w:hAnsiTheme="majorHAnsi"/>
          <w:sz w:val="20"/>
          <w:szCs w:val="20"/>
          <w:lang w:val="es-AR"/>
        </w:rPr>
        <w:t>, como</w:t>
      </w:r>
      <w:r w:rsidRPr="0007034B">
        <w:rPr>
          <w:rFonts w:asciiTheme="majorHAnsi" w:hAnsiTheme="majorHAnsi"/>
          <w:sz w:val="20"/>
          <w:szCs w:val="20"/>
          <w:lang w:val="es-AR"/>
        </w:rPr>
        <w:t xml:space="preserve"> adoptivos (Anatole Alejandro Larrabeiti Yáñez y Claudia Victoria Larrabeiti Yáñez). </w:t>
      </w:r>
    </w:p>
    <w:p w14:paraId="1CE2EEE7" w14:textId="77777777" w:rsidR="003D508B" w:rsidRPr="0007034B" w:rsidRDefault="003D508B" w:rsidP="003D508B">
      <w:pPr>
        <w:pStyle w:val="ListParagraph"/>
        <w:rPr>
          <w:rFonts w:asciiTheme="majorHAnsi" w:hAnsiTheme="majorHAnsi"/>
          <w:sz w:val="20"/>
          <w:szCs w:val="20"/>
          <w:lang w:val="es-AR"/>
        </w:rPr>
      </w:pPr>
    </w:p>
    <w:p w14:paraId="48F3E72A" w14:textId="1D40F540" w:rsidR="00626378" w:rsidRPr="0007034B" w:rsidRDefault="003F0395" w:rsidP="00F23D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lang w:val="es-AR"/>
        </w:rPr>
      </w:pPr>
      <w:r w:rsidRPr="0007034B">
        <w:rPr>
          <w:rFonts w:asciiTheme="majorHAnsi" w:hAnsiTheme="majorHAnsi"/>
          <w:sz w:val="20"/>
          <w:szCs w:val="20"/>
          <w:lang w:val="es-AR"/>
        </w:rPr>
        <w:t>Indica que</w:t>
      </w:r>
      <w:r w:rsidR="00036BCF" w:rsidRPr="0007034B">
        <w:rPr>
          <w:rFonts w:asciiTheme="majorHAnsi" w:hAnsiTheme="majorHAnsi"/>
          <w:sz w:val="20"/>
          <w:szCs w:val="20"/>
          <w:lang w:val="es-AR"/>
        </w:rPr>
        <w:t xml:space="preserve"> el 22 de agosto de 1995 </w:t>
      </w:r>
      <w:r w:rsidR="006F3CE1" w:rsidRPr="0007034B">
        <w:rPr>
          <w:rFonts w:asciiTheme="majorHAnsi" w:hAnsiTheme="majorHAnsi"/>
          <w:color w:val="000000" w:themeColor="text1"/>
          <w:sz w:val="20"/>
          <w:szCs w:val="20"/>
          <w:lang w:val="es-VE"/>
        </w:rPr>
        <w:t>los hermanos Larrabeiti Yáñez</w:t>
      </w:r>
      <w:r w:rsidR="006F3CE1" w:rsidRPr="0007034B">
        <w:rPr>
          <w:rFonts w:asciiTheme="majorHAnsi" w:hAnsiTheme="majorHAnsi"/>
          <w:sz w:val="20"/>
          <w:szCs w:val="20"/>
          <w:lang w:val="es-AR"/>
        </w:rPr>
        <w:t xml:space="preserve"> </w:t>
      </w:r>
      <w:r w:rsidR="00036BCF" w:rsidRPr="0007034B">
        <w:rPr>
          <w:rFonts w:asciiTheme="majorHAnsi" w:hAnsiTheme="majorHAnsi"/>
          <w:sz w:val="20"/>
          <w:szCs w:val="20"/>
          <w:lang w:val="es-AR"/>
        </w:rPr>
        <w:t>iniciaron</w:t>
      </w:r>
      <w:r w:rsidR="00BB4DCC" w:rsidRPr="0007034B">
        <w:rPr>
          <w:rFonts w:asciiTheme="majorHAnsi" w:hAnsiTheme="majorHAnsi"/>
          <w:sz w:val="20"/>
          <w:szCs w:val="20"/>
          <w:lang w:val="es-AR"/>
        </w:rPr>
        <w:t xml:space="preserve"> en Argentina</w:t>
      </w:r>
      <w:r w:rsidR="00036BCF" w:rsidRPr="0007034B">
        <w:rPr>
          <w:rFonts w:asciiTheme="majorHAnsi" w:hAnsiTheme="majorHAnsi"/>
          <w:sz w:val="20"/>
          <w:szCs w:val="20"/>
          <w:lang w:val="es-AR"/>
        </w:rPr>
        <w:t xml:space="preserve"> los trámites administrativos para que les fuera reconocido el beneficio extraordinario de la Ley Nro. 24.411 destinado a los causahabientes de las víctimas de desaparición forzada. Por otra parte</w:t>
      </w:r>
      <w:r w:rsidRPr="0007034B">
        <w:rPr>
          <w:rFonts w:asciiTheme="majorHAnsi" w:hAnsiTheme="majorHAnsi"/>
          <w:sz w:val="20"/>
          <w:szCs w:val="20"/>
          <w:lang w:val="es-AR"/>
        </w:rPr>
        <w:t>,</w:t>
      </w:r>
      <w:r w:rsidR="00036BCF" w:rsidRPr="0007034B">
        <w:rPr>
          <w:rFonts w:asciiTheme="majorHAnsi" w:hAnsiTheme="majorHAnsi"/>
          <w:sz w:val="20"/>
          <w:szCs w:val="20"/>
          <w:lang w:val="es-AR"/>
        </w:rPr>
        <w:t xml:space="preserve"> señala que,</w:t>
      </w:r>
      <w:r w:rsidRPr="0007034B">
        <w:rPr>
          <w:rFonts w:asciiTheme="majorHAnsi" w:hAnsiTheme="majorHAnsi"/>
          <w:sz w:val="20"/>
          <w:szCs w:val="20"/>
          <w:lang w:val="es-AR"/>
        </w:rPr>
        <w:t xml:space="preserve"> debido a las leyes de “</w:t>
      </w:r>
      <w:r w:rsidR="00A9235D" w:rsidRPr="0007034B">
        <w:rPr>
          <w:rFonts w:asciiTheme="majorHAnsi" w:hAnsiTheme="majorHAnsi"/>
          <w:sz w:val="20"/>
          <w:szCs w:val="20"/>
          <w:lang w:val="es-AR"/>
        </w:rPr>
        <w:t>Punto Final</w:t>
      </w:r>
      <w:r w:rsidRPr="0007034B">
        <w:rPr>
          <w:rFonts w:asciiTheme="majorHAnsi" w:hAnsiTheme="majorHAnsi"/>
          <w:sz w:val="20"/>
          <w:szCs w:val="20"/>
          <w:lang w:val="es-AR"/>
        </w:rPr>
        <w:t>”  (Nro. 23.492) y “</w:t>
      </w:r>
      <w:r w:rsidR="00A9235D" w:rsidRPr="0007034B">
        <w:rPr>
          <w:rFonts w:asciiTheme="majorHAnsi" w:hAnsiTheme="majorHAnsi"/>
          <w:sz w:val="20"/>
          <w:szCs w:val="20"/>
          <w:lang w:val="es-AR"/>
        </w:rPr>
        <w:t>Obediencia debida</w:t>
      </w:r>
      <w:r w:rsidRPr="0007034B">
        <w:rPr>
          <w:rFonts w:asciiTheme="majorHAnsi" w:hAnsiTheme="majorHAnsi"/>
          <w:sz w:val="20"/>
          <w:szCs w:val="20"/>
          <w:lang w:val="es-AR"/>
        </w:rPr>
        <w:t>” (Nro. 23.521), así como de los indultos decretados por el Presidente Carlos Menem (Nro. 1002/98 y otros), luego del retorno de la democracia no se pud</w:t>
      </w:r>
      <w:r w:rsidR="00D679A4" w:rsidRPr="0007034B">
        <w:rPr>
          <w:rFonts w:asciiTheme="majorHAnsi" w:hAnsiTheme="majorHAnsi"/>
          <w:sz w:val="20"/>
          <w:szCs w:val="20"/>
          <w:lang w:val="es-AR"/>
        </w:rPr>
        <w:t>ieron</w:t>
      </w:r>
      <w:r w:rsidRPr="0007034B">
        <w:rPr>
          <w:rFonts w:asciiTheme="majorHAnsi" w:hAnsiTheme="majorHAnsi"/>
          <w:sz w:val="20"/>
          <w:szCs w:val="20"/>
          <w:lang w:val="es-AR"/>
        </w:rPr>
        <w:t xml:space="preserve"> investigar los hechos a fin de identificar, juzgar y sancionar a los autores materiales e intelectuales ni conocer el destino de </w:t>
      </w:r>
      <w:r w:rsidR="00081839" w:rsidRPr="0007034B">
        <w:rPr>
          <w:rFonts w:asciiTheme="majorHAnsi" w:hAnsiTheme="majorHAnsi"/>
          <w:sz w:val="20"/>
          <w:szCs w:val="20"/>
          <w:lang w:val="es-AR"/>
        </w:rPr>
        <w:t xml:space="preserve">Mario </w:t>
      </w:r>
      <w:r w:rsidRPr="0007034B">
        <w:rPr>
          <w:rFonts w:asciiTheme="majorHAnsi" w:hAnsiTheme="majorHAnsi"/>
          <w:sz w:val="20"/>
          <w:szCs w:val="20"/>
          <w:lang w:val="es-AR"/>
        </w:rPr>
        <w:t xml:space="preserve">Julien y </w:t>
      </w:r>
      <w:r w:rsidR="00081839" w:rsidRPr="0007034B">
        <w:rPr>
          <w:rFonts w:asciiTheme="majorHAnsi" w:hAnsiTheme="majorHAnsi"/>
          <w:sz w:val="20"/>
          <w:szCs w:val="20"/>
          <w:lang w:val="es-AR"/>
        </w:rPr>
        <w:t xml:space="preserve">Victoria </w:t>
      </w:r>
      <w:r w:rsidRPr="0007034B">
        <w:rPr>
          <w:rFonts w:asciiTheme="majorHAnsi" w:hAnsiTheme="majorHAnsi"/>
          <w:sz w:val="20"/>
          <w:szCs w:val="20"/>
          <w:lang w:val="es-AR"/>
        </w:rPr>
        <w:t xml:space="preserve">Grisonas y, en su caso, localizar sus restos. </w:t>
      </w:r>
      <w:r w:rsidR="005B181A" w:rsidRPr="0007034B">
        <w:rPr>
          <w:rFonts w:asciiTheme="majorHAnsi" w:hAnsiTheme="majorHAnsi"/>
          <w:sz w:val="20"/>
          <w:szCs w:val="20"/>
          <w:lang w:val="es-AR"/>
        </w:rPr>
        <w:t>Alega</w:t>
      </w:r>
      <w:r w:rsidRPr="0007034B">
        <w:rPr>
          <w:rFonts w:asciiTheme="majorHAnsi" w:hAnsiTheme="majorHAnsi"/>
          <w:sz w:val="20"/>
          <w:szCs w:val="20"/>
          <w:lang w:val="es-AR"/>
        </w:rPr>
        <w:t xml:space="preserve"> que, por lo tanto, solo contaron con la acción civil como único medio legal disponible para </w:t>
      </w:r>
      <w:r w:rsidR="00081839" w:rsidRPr="0007034B">
        <w:rPr>
          <w:rFonts w:asciiTheme="majorHAnsi" w:hAnsiTheme="majorHAnsi"/>
          <w:sz w:val="20"/>
          <w:szCs w:val="20"/>
          <w:lang w:val="es-AR"/>
        </w:rPr>
        <w:t>buscar</w:t>
      </w:r>
      <w:r w:rsidRPr="0007034B">
        <w:rPr>
          <w:rFonts w:asciiTheme="majorHAnsi" w:hAnsiTheme="majorHAnsi"/>
          <w:sz w:val="20"/>
          <w:szCs w:val="20"/>
          <w:lang w:val="es-AR"/>
        </w:rPr>
        <w:t xml:space="preserve"> la determinación de la verdad</w:t>
      </w:r>
      <w:r w:rsidR="00D679A4" w:rsidRPr="0007034B">
        <w:rPr>
          <w:rFonts w:asciiTheme="majorHAnsi" w:hAnsiTheme="majorHAnsi"/>
          <w:sz w:val="20"/>
          <w:szCs w:val="20"/>
          <w:lang w:val="es-AR"/>
        </w:rPr>
        <w:t>. Es así que e</w:t>
      </w:r>
      <w:r w:rsidRPr="0007034B">
        <w:rPr>
          <w:rFonts w:asciiTheme="majorHAnsi" w:hAnsiTheme="majorHAnsi"/>
          <w:sz w:val="20"/>
          <w:szCs w:val="20"/>
          <w:lang w:val="es-AR"/>
        </w:rPr>
        <w:t>l 22 de mayo de 1996</w:t>
      </w:r>
      <w:r w:rsidR="00D679A4" w:rsidRPr="0007034B">
        <w:rPr>
          <w:rFonts w:asciiTheme="majorHAnsi" w:hAnsiTheme="majorHAnsi"/>
          <w:sz w:val="20"/>
          <w:szCs w:val="20"/>
          <w:lang w:val="es-AR"/>
        </w:rPr>
        <w:t xml:space="preserve"> </w:t>
      </w:r>
      <w:r w:rsidR="00E03973" w:rsidRPr="0007034B">
        <w:rPr>
          <w:rFonts w:asciiTheme="majorHAnsi" w:hAnsiTheme="majorHAnsi"/>
          <w:sz w:val="20"/>
          <w:szCs w:val="20"/>
          <w:lang w:val="es-AR"/>
        </w:rPr>
        <w:t>los hermanos</w:t>
      </w:r>
      <w:r w:rsidR="00D679A4" w:rsidRPr="0007034B">
        <w:rPr>
          <w:rFonts w:asciiTheme="majorHAnsi" w:hAnsiTheme="majorHAnsi"/>
          <w:sz w:val="20"/>
          <w:szCs w:val="20"/>
          <w:lang w:val="es-AR"/>
        </w:rPr>
        <w:t xml:space="preserve"> interpusieron contra el Estado argentino una acción </w:t>
      </w:r>
      <w:r w:rsidR="004A5DD7" w:rsidRPr="0007034B">
        <w:rPr>
          <w:rFonts w:asciiTheme="majorHAnsi" w:hAnsiTheme="majorHAnsi"/>
          <w:sz w:val="20"/>
          <w:szCs w:val="20"/>
          <w:lang w:val="es-AR"/>
        </w:rPr>
        <w:t xml:space="preserve">civil </w:t>
      </w:r>
      <w:r w:rsidR="000B4EA7" w:rsidRPr="0007034B">
        <w:rPr>
          <w:rFonts w:asciiTheme="majorHAnsi" w:hAnsiTheme="majorHAnsi"/>
          <w:sz w:val="20"/>
          <w:szCs w:val="20"/>
          <w:lang w:val="es-AR"/>
        </w:rPr>
        <w:t xml:space="preserve">(Expediente Nro. 14.846/96) </w:t>
      </w:r>
      <w:r w:rsidR="00D679A4" w:rsidRPr="0007034B">
        <w:rPr>
          <w:rFonts w:asciiTheme="majorHAnsi" w:hAnsiTheme="majorHAnsi"/>
          <w:sz w:val="20"/>
          <w:szCs w:val="20"/>
          <w:lang w:val="es-AR"/>
        </w:rPr>
        <w:t xml:space="preserve">por los daños y perjuicios que les fueron ocasionados tanto como </w:t>
      </w:r>
      <w:r w:rsidR="00FC0B74" w:rsidRPr="0007034B">
        <w:rPr>
          <w:rFonts w:asciiTheme="majorHAnsi" w:hAnsiTheme="majorHAnsi"/>
          <w:sz w:val="20"/>
          <w:szCs w:val="20"/>
          <w:lang w:val="es-AR"/>
        </w:rPr>
        <w:t>hijo e hija</w:t>
      </w:r>
      <w:r w:rsidR="00D679A4" w:rsidRPr="0007034B">
        <w:rPr>
          <w:rFonts w:asciiTheme="majorHAnsi" w:hAnsiTheme="majorHAnsi"/>
          <w:sz w:val="20"/>
          <w:szCs w:val="20"/>
          <w:lang w:val="es-AR"/>
        </w:rPr>
        <w:t xml:space="preserve"> de padres desaparecidos como por los sufrimientos padecidos a título personal. </w:t>
      </w:r>
      <w:r w:rsidR="00626378" w:rsidRPr="0007034B">
        <w:rPr>
          <w:rFonts w:asciiTheme="majorHAnsi" w:hAnsiTheme="majorHAnsi"/>
          <w:sz w:val="20"/>
          <w:szCs w:val="20"/>
          <w:lang w:val="es-AR"/>
        </w:rPr>
        <w:t xml:space="preserve">Al instaurarse </w:t>
      </w:r>
      <w:r w:rsidR="00942CF6" w:rsidRPr="0007034B">
        <w:rPr>
          <w:rFonts w:asciiTheme="majorHAnsi" w:hAnsiTheme="majorHAnsi"/>
          <w:sz w:val="20"/>
          <w:szCs w:val="20"/>
          <w:lang w:val="es-AR"/>
        </w:rPr>
        <w:t>la mencionada</w:t>
      </w:r>
      <w:r w:rsidR="00626378" w:rsidRPr="0007034B">
        <w:rPr>
          <w:rFonts w:asciiTheme="majorHAnsi" w:hAnsiTheme="majorHAnsi"/>
          <w:sz w:val="20"/>
          <w:szCs w:val="20"/>
          <w:lang w:val="es-AR"/>
        </w:rPr>
        <w:t xml:space="preserve"> demanda civil, los trámites para el reconocimiento del beneficio extraordinario de la Ley Nro. 24.411 quedaron suspendidos.</w:t>
      </w:r>
    </w:p>
    <w:p w14:paraId="4FF80887" w14:textId="77777777" w:rsidR="00626378" w:rsidRPr="0007034B" w:rsidRDefault="00626378" w:rsidP="0062637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AR"/>
        </w:rPr>
      </w:pPr>
    </w:p>
    <w:p w14:paraId="796C0DD0" w14:textId="2C7E01E6" w:rsidR="00893145" w:rsidRPr="0007034B" w:rsidRDefault="00893145" w:rsidP="00F23D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lang w:val="es-AR"/>
        </w:rPr>
      </w:pPr>
      <w:r w:rsidRPr="0007034B">
        <w:rPr>
          <w:rFonts w:asciiTheme="majorHAnsi" w:hAnsiTheme="majorHAnsi"/>
          <w:sz w:val="20"/>
          <w:szCs w:val="20"/>
          <w:lang w:val="es-AR"/>
        </w:rPr>
        <w:t xml:space="preserve">Señala la parte peticionaria que, a fin de asumir la defensa del Estado Nacional en dicha </w:t>
      </w:r>
      <w:r w:rsidRPr="0007034B">
        <w:rPr>
          <w:rFonts w:asciiTheme="majorHAnsi" w:hAnsiTheme="majorHAnsi"/>
          <w:i/>
          <w:sz w:val="20"/>
          <w:szCs w:val="20"/>
          <w:lang w:val="es-AR"/>
        </w:rPr>
        <w:t>litis</w:t>
      </w:r>
      <w:r w:rsidRPr="0007034B">
        <w:rPr>
          <w:rFonts w:asciiTheme="majorHAnsi" w:hAnsiTheme="majorHAnsi"/>
          <w:sz w:val="20"/>
          <w:szCs w:val="20"/>
          <w:lang w:val="es-AR"/>
        </w:rPr>
        <w:t>, el Poder Ejecutivo apoderó a la P</w:t>
      </w:r>
      <w:r w:rsidR="00135307" w:rsidRPr="0007034B">
        <w:rPr>
          <w:rFonts w:asciiTheme="majorHAnsi" w:hAnsiTheme="majorHAnsi"/>
          <w:sz w:val="20"/>
          <w:szCs w:val="20"/>
          <w:lang w:val="es-AR"/>
        </w:rPr>
        <w:t>r</w:t>
      </w:r>
      <w:r w:rsidRPr="0007034B">
        <w:rPr>
          <w:rFonts w:asciiTheme="majorHAnsi" w:hAnsiTheme="majorHAnsi"/>
          <w:sz w:val="20"/>
          <w:szCs w:val="20"/>
          <w:lang w:val="es-AR"/>
        </w:rPr>
        <w:t xml:space="preserve">ocuración del Tesoro de la Nación a través del Decreto Nro. 1.025/96, suscrito por los entonces Presidente de la Nación </w:t>
      </w:r>
      <w:r w:rsidR="00081839" w:rsidRPr="0007034B">
        <w:rPr>
          <w:rFonts w:asciiTheme="majorHAnsi" w:hAnsiTheme="majorHAnsi"/>
          <w:sz w:val="20"/>
          <w:szCs w:val="20"/>
          <w:lang w:val="es-AR"/>
        </w:rPr>
        <w:t xml:space="preserve">Carlos Menem </w:t>
      </w:r>
      <w:r w:rsidRPr="0007034B">
        <w:rPr>
          <w:rFonts w:asciiTheme="majorHAnsi" w:hAnsiTheme="majorHAnsi"/>
          <w:sz w:val="20"/>
          <w:szCs w:val="20"/>
          <w:lang w:val="es-AR"/>
        </w:rPr>
        <w:t xml:space="preserve">y </w:t>
      </w:r>
      <w:r w:rsidR="00081839" w:rsidRPr="0007034B">
        <w:rPr>
          <w:rFonts w:asciiTheme="majorHAnsi" w:hAnsiTheme="majorHAnsi"/>
          <w:sz w:val="20"/>
          <w:szCs w:val="20"/>
          <w:lang w:val="es-AR"/>
        </w:rPr>
        <w:t xml:space="preserve">el </w:t>
      </w:r>
      <w:r w:rsidRPr="0007034B">
        <w:rPr>
          <w:rFonts w:asciiTheme="majorHAnsi" w:hAnsiTheme="majorHAnsi"/>
          <w:sz w:val="20"/>
          <w:szCs w:val="20"/>
          <w:lang w:val="es-AR"/>
        </w:rPr>
        <w:t>Ministro del Interior Carlos Corach.</w:t>
      </w:r>
      <w:r w:rsidR="00036342" w:rsidRPr="0007034B">
        <w:rPr>
          <w:rFonts w:asciiTheme="majorHAnsi" w:hAnsiTheme="majorHAnsi"/>
          <w:sz w:val="20"/>
          <w:szCs w:val="20"/>
          <w:lang w:val="es-AR"/>
        </w:rPr>
        <w:t xml:space="preserve"> E</w:t>
      </w:r>
      <w:r w:rsidR="004A5DD7" w:rsidRPr="0007034B">
        <w:rPr>
          <w:rFonts w:asciiTheme="majorHAnsi" w:hAnsiTheme="majorHAnsi"/>
          <w:sz w:val="20"/>
          <w:szCs w:val="20"/>
          <w:lang w:val="es-AR"/>
        </w:rPr>
        <w:t>l</w:t>
      </w:r>
      <w:r w:rsidR="00036342" w:rsidRPr="0007034B">
        <w:rPr>
          <w:rFonts w:asciiTheme="majorHAnsi" w:hAnsiTheme="majorHAnsi"/>
          <w:sz w:val="20"/>
          <w:szCs w:val="20"/>
          <w:lang w:val="es-AR"/>
        </w:rPr>
        <w:t xml:space="preserve"> considerando </w:t>
      </w:r>
      <w:r w:rsidR="004A5DD7" w:rsidRPr="0007034B">
        <w:rPr>
          <w:rFonts w:asciiTheme="majorHAnsi" w:hAnsiTheme="majorHAnsi"/>
          <w:sz w:val="20"/>
          <w:szCs w:val="20"/>
          <w:lang w:val="es-AR"/>
        </w:rPr>
        <w:t>cuarto de dicho</w:t>
      </w:r>
      <w:r w:rsidR="00036342" w:rsidRPr="0007034B">
        <w:rPr>
          <w:rFonts w:asciiTheme="majorHAnsi" w:hAnsiTheme="majorHAnsi"/>
          <w:sz w:val="20"/>
          <w:szCs w:val="20"/>
          <w:lang w:val="es-AR"/>
        </w:rPr>
        <w:t xml:space="preserve"> Decreto estableció: “Que eventualmente el padre de los menores pudo haber sido trasladado </w:t>
      </w:r>
      <w:r w:rsidR="00036342" w:rsidRPr="0007034B">
        <w:rPr>
          <w:rFonts w:asciiTheme="majorHAnsi" w:hAnsiTheme="majorHAnsi"/>
          <w:sz w:val="20"/>
          <w:szCs w:val="20"/>
          <w:lang w:val="es-AR"/>
        </w:rPr>
        <w:lastRenderedPageBreak/>
        <w:t>a la República Oriental del Uruguay y haber permanecido detenido en el Establecimiento Militar de Reclusión “Libertad””.</w:t>
      </w:r>
      <w:r w:rsidR="00661109" w:rsidRPr="0007034B">
        <w:rPr>
          <w:rFonts w:asciiTheme="majorHAnsi" w:hAnsiTheme="majorHAnsi"/>
          <w:sz w:val="20"/>
          <w:szCs w:val="20"/>
          <w:lang w:val="es-AR"/>
        </w:rPr>
        <w:t xml:space="preserve">  Alega la parte peticionaria que si bien resultaba anómalo que en un decreto de apoderamiento se incluyera una conjetura de tal naturaleza, la cual a su vez colisionaba con la fragmentada e incompleta información con la cual contaban p</w:t>
      </w:r>
      <w:r w:rsidR="00073544" w:rsidRPr="0007034B">
        <w:rPr>
          <w:rFonts w:asciiTheme="majorHAnsi" w:hAnsiTheme="majorHAnsi"/>
          <w:sz w:val="20"/>
          <w:szCs w:val="20"/>
          <w:lang w:val="es-AR"/>
        </w:rPr>
        <w:t>ara</w:t>
      </w:r>
      <w:r w:rsidR="00661109" w:rsidRPr="0007034B">
        <w:rPr>
          <w:rFonts w:asciiTheme="majorHAnsi" w:hAnsiTheme="majorHAnsi"/>
          <w:sz w:val="20"/>
          <w:szCs w:val="20"/>
          <w:lang w:val="es-AR"/>
        </w:rPr>
        <w:t xml:space="preserve"> entonces </w:t>
      </w:r>
      <w:r w:rsidR="006F3CE1" w:rsidRPr="0007034B">
        <w:rPr>
          <w:rFonts w:asciiTheme="majorHAnsi" w:hAnsiTheme="majorHAnsi"/>
          <w:color w:val="000000" w:themeColor="text1"/>
          <w:sz w:val="20"/>
          <w:szCs w:val="20"/>
          <w:lang w:val="es-VE"/>
        </w:rPr>
        <w:t>los hermanos Larrabeiti Yáñez</w:t>
      </w:r>
      <w:r w:rsidR="00661109" w:rsidRPr="0007034B">
        <w:rPr>
          <w:rFonts w:asciiTheme="majorHAnsi" w:hAnsiTheme="majorHAnsi"/>
          <w:sz w:val="20"/>
          <w:szCs w:val="20"/>
          <w:lang w:val="es-AR"/>
        </w:rPr>
        <w:t xml:space="preserve">, los altos cargos de los firmantes del decreto “generaron en ellos la angustiosa esperanza de que uno, o quizás ambos padres, pudieran estar con vida”. </w:t>
      </w:r>
      <w:r w:rsidR="00135307" w:rsidRPr="0007034B">
        <w:rPr>
          <w:rFonts w:asciiTheme="majorHAnsi" w:hAnsiTheme="majorHAnsi"/>
          <w:sz w:val="20"/>
          <w:szCs w:val="20"/>
          <w:lang w:val="es-AR"/>
        </w:rPr>
        <w:t xml:space="preserve">Ante </w:t>
      </w:r>
      <w:r w:rsidR="00081839" w:rsidRPr="0007034B">
        <w:rPr>
          <w:rFonts w:asciiTheme="majorHAnsi" w:hAnsiTheme="majorHAnsi"/>
          <w:sz w:val="20"/>
          <w:szCs w:val="20"/>
          <w:lang w:val="es-AR"/>
        </w:rPr>
        <w:t>la falta de respuesta</w:t>
      </w:r>
      <w:r w:rsidR="00135307" w:rsidRPr="0007034B">
        <w:rPr>
          <w:rFonts w:asciiTheme="majorHAnsi" w:hAnsiTheme="majorHAnsi"/>
          <w:sz w:val="20"/>
          <w:szCs w:val="20"/>
          <w:lang w:val="es-AR"/>
        </w:rPr>
        <w:t xml:space="preserve"> a las solicitudes de información realizadas a los firmantes del decreto y sus colaboradores para conocer la información que llevó a tal conjetura, los hermanos promovieron una acción de hábeas corpus, la cual fue rechazada en todas las instancias. Tras la notificación de </w:t>
      </w:r>
      <w:r w:rsidR="00B52EEC" w:rsidRPr="0007034B">
        <w:rPr>
          <w:rFonts w:asciiTheme="majorHAnsi" w:hAnsiTheme="majorHAnsi"/>
          <w:sz w:val="20"/>
          <w:szCs w:val="20"/>
          <w:lang w:val="es-AR"/>
        </w:rPr>
        <w:t xml:space="preserve">una petición </w:t>
      </w:r>
      <w:r w:rsidR="00135307" w:rsidRPr="0007034B">
        <w:rPr>
          <w:rFonts w:asciiTheme="majorHAnsi" w:hAnsiTheme="majorHAnsi"/>
          <w:sz w:val="20"/>
          <w:szCs w:val="20"/>
          <w:lang w:val="es-AR"/>
        </w:rPr>
        <w:t xml:space="preserve">ante la Comisión presentada a raíz de </w:t>
      </w:r>
      <w:r w:rsidR="00081839" w:rsidRPr="0007034B">
        <w:rPr>
          <w:rFonts w:asciiTheme="majorHAnsi" w:hAnsiTheme="majorHAnsi"/>
          <w:sz w:val="20"/>
          <w:szCs w:val="20"/>
          <w:lang w:val="es-AR"/>
        </w:rPr>
        <w:t>la falta de respuesta</w:t>
      </w:r>
      <w:r w:rsidR="00B52EEC" w:rsidRPr="0007034B">
        <w:rPr>
          <w:rFonts w:asciiTheme="majorHAnsi" w:hAnsiTheme="majorHAnsi"/>
          <w:sz w:val="20"/>
          <w:szCs w:val="20"/>
          <w:lang w:val="es-AR"/>
        </w:rPr>
        <w:t xml:space="preserve"> (referida en el</w:t>
      </w:r>
      <w:r w:rsidR="003D3644">
        <w:rPr>
          <w:rFonts w:asciiTheme="majorHAnsi" w:hAnsiTheme="majorHAnsi"/>
          <w:sz w:val="20"/>
          <w:szCs w:val="20"/>
          <w:lang w:val="es-AR"/>
        </w:rPr>
        <w:t xml:space="preserve"> pie de página 3 del</w:t>
      </w:r>
      <w:r w:rsidR="00B52EEC" w:rsidRPr="0007034B">
        <w:rPr>
          <w:rFonts w:asciiTheme="majorHAnsi" w:hAnsiTheme="majorHAnsi"/>
          <w:sz w:val="20"/>
          <w:szCs w:val="20"/>
          <w:lang w:val="es-AR"/>
        </w:rPr>
        <w:t xml:space="preserve"> presente informe)</w:t>
      </w:r>
      <w:r w:rsidR="00135307" w:rsidRPr="0007034B">
        <w:rPr>
          <w:rFonts w:asciiTheme="majorHAnsi" w:hAnsiTheme="majorHAnsi"/>
          <w:sz w:val="20"/>
          <w:szCs w:val="20"/>
          <w:lang w:val="es-AR"/>
        </w:rPr>
        <w:t>, la entonces Subsecretaria de Derechos Humanos reconoció que dicho considerando “tiene el alcance de fundamentar una hipótesis que de ninguna manera resulta comprobada”, con lo cual la parte peticionaria dio por terminada la búsqueda de información.</w:t>
      </w:r>
    </w:p>
    <w:p w14:paraId="415ADE8C" w14:textId="77777777" w:rsidR="00135307" w:rsidRPr="0007034B" w:rsidRDefault="00135307" w:rsidP="0013530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AR"/>
        </w:rPr>
      </w:pPr>
    </w:p>
    <w:p w14:paraId="56186F9C" w14:textId="6FB0D3AB" w:rsidR="00135307" w:rsidRPr="0007034B" w:rsidRDefault="000B4EA7" w:rsidP="00F23D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lang w:val="es-AR"/>
        </w:rPr>
      </w:pPr>
      <w:r w:rsidRPr="0007034B">
        <w:rPr>
          <w:rFonts w:asciiTheme="majorHAnsi" w:hAnsiTheme="majorHAnsi"/>
          <w:sz w:val="20"/>
          <w:szCs w:val="20"/>
          <w:lang w:val="es-AR"/>
        </w:rPr>
        <w:t xml:space="preserve">La parte peticionaria señala que el 26 de agosto de 1998 promovió una nueva acción judicial contra el Estado Nacional (Expediente Nro. 24.518/98) por los daños y perjuicios ocasionados a </w:t>
      </w:r>
      <w:r w:rsidR="006F3CE1" w:rsidRPr="0007034B">
        <w:rPr>
          <w:rFonts w:asciiTheme="majorHAnsi" w:hAnsiTheme="majorHAnsi"/>
          <w:color w:val="000000" w:themeColor="text1"/>
          <w:sz w:val="20"/>
          <w:szCs w:val="20"/>
          <w:lang w:val="es-VE"/>
        </w:rPr>
        <w:t>los hermanos Larrabeiti Yáñez</w:t>
      </w:r>
      <w:r w:rsidRPr="0007034B">
        <w:rPr>
          <w:rFonts w:asciiTheme="majorHAnsi" w:hAnsiTheme="majorHAnsi"/>
          <w:sz w:val="20"/>
          <w:szCs w:val="20"/>
          <w:lang w:val="es-AR"/>
        </w:rPr>
        <w:t xml:space="preserve"> por la expectativa generada por la imprudencia e irresponsabilidad de la conjetura del considerando cuarto del Decreto Nro. 1.025/96.</w:t>
      </w:r>
      <w:r w:rsidR="000556A1" w:rsidRPr="0007034B">
        <w:rPr>
          <w:rFonts w:asciiTheme="majorHAnsi" w:hAnsiTheme="majorHAnsi"/>
          <w:sz w:val="20"/>
          <w:szCs w:val="20"/>
          <w:lang w:val="es-AR"/>
        </w:rPr>
        <w:t xml:space="preserve"> Dicha acción fue rechazada en primera y segunda instancia. La parte peticionaria alega que ambas sentencias carecieron de motivación suficiente y no </w:t>
      </w:r>
      <w:r w:rsidR="006C4926" w:rsidRPr="0007034B">
        <w:rPr>
          <w:rFonts w:asciiTheme="majorHAnsi" w:hAnsiTheme="majorHAnsi"/>
          <w:sz w:val="20"/>
          <w:szCs w:val="20"/>
          <w:lang w:val="es-AR"/>
        </w:rPr>
        <w:t xml:space="preserve">tuvieron en cuenta </w:t>
      </w:r>
      <w:r w:rsidR="0031108E" w:rsidRPr="0007034B">
        <w:rPr>
          <w:rFonts w:asciiTheme="majorHAnsi" w:hAnsiTheme="majorHAnsi"/>
          <w:sz w:val="20"/>
          <w:szCs w:val="20"/>
          <w:lang w:val="es-AR"/>
        </w:rPr>
        <w:t xml:space="preserve">argumentos y pruebas presentados por los actores. El 27 de septiembre de 2005 la Corte Suprema de Justicia de la Nación (“CSJN”) declaró inadmisible el recurso extraordinario interpuesto con base en el artículo 280 del Código Procesal Civil y Comercial de la Nación. Al respecto, la parte peticionaria alega que </w:t>
      </w:r>
      <w:r w:rsidR="002D54E4" w:rsidRPr="0007034B">
        <w:rPr>
          <w:rFonts w:asciiTheme="majorHAnsi" w:hAnsiTheme="majorHAnsi"/>
          <w:sz w:val="20"/>
          <w:szCs w:val="20"/>
          <w:lang w:val="es-AR"/>
        </w:rPr>
        <w:t>dicha norma se encuentra en pugna con los derechos al debido proceso y a la tutela judicial efectiva debido a que faculta la falta de fundamentación y la discrecionalidad.</w:t>
      </w:r>
      <w:r w:rsidR="005D2786" w:rsidRPr="0007034B">
        <w:rPr>
          <w:rFonts w:asciiTheme="majorHAnsi" w:hAnsiTheme="majorHAnsi"/>
          <w:sz w:val="20"/>
          <w:szCs w:val="20"/>
          <w:lang w:val="es-AR"/>
        </w:rPr>
        <w:t xml:space="preserve"> Por último, indica que estos daños forman parte de la petición presentada en 2005 ante la CIDH</w:t>
      </w:r>
      <w:r w:rsidR="001C7F37" w:rsidRPr="0007034B">
        <w:rPr>
          <w:rFonts w:asciiTheme="majorHAnsi" w:hAnsiTheme="majorHAnsi"/>
          <w:sz w:val="20"/>
          <w:szCs w:val="20"/>
          <w:lang w:val="es-AR"/>
        </w:rPr>
        <w:t>, la cual es materia del presente informe de fondo.</w:t>
      </w:r>
    </w:p>
    <w:p w14:paraId="027E89D8" w14:textId="77777777" w:rsidR="00893145" w:rsidRPr="0007034B" w:rsidRDefault="00893145" w:rsidP="00893145">
      <w:pPr>
        <w:pStyle w:val="ListParagraph"/>
        <w:rPr>
          <w:rFonts w:asciiTheme="majorHAnsi" w:hAnsiTheme="majorHAnsi"/>
          <w:sz w:val="20"/>
          <w:szCs w:val="20"/>
          <w:lang w:val="es-AR"/>
        </w:rPr>
      </w:pPr>
    </w:p>
    <w:p w14:paraId="4B7AD299" w14:textId="6393D42F" w:rsidR="00626378" w:rsidRPr="0007034B" w:rsidRDefault="002D54E4" w:rsidP="00F23D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lang w:val="es-AR"/>
        </w:rPr>
      </w:pPr>
      <w:r w:rsidRPr="0007034B">
        <w:rPr>
          <w:rFonts w:asciiTheme="majorHAnsi" w:hAnsiTheme="majorHAnsi"/>
          <w:sz w:val="20"/>
          <w:szCs w:val="20"/>
          <w:lang w:val="es-AR"/>
        </w:rPr>
        <w:t xml:space="preserve">En relación con la causa civil del Expediente Nro. 14.846/96, </w:t>
      </w:r>
      <w:r w:rsidR="00081839" w:rsidRPr="0007034B">
        <w:rPr>
          <w:rFonts w:asciiTheme="majorHAnsi" w:hAnsiTheme="majorHAnsi"/>
          <w:sz w:val="20"/>
          <w:szCs w:val="20"/>
          <w:lang w:val="es-AR"/>
        </w:rPr>
        <w:t xml:space="preserve">la parte peticionaria señala que </w:t>
      </w:r>
      <w:r w:rsidRPr="0007034B">
        <w:rPr>
          <w:rFonts w:asciiTheme="majorHAnsi" w:hAnsiTheme="majorHAnsi"/>
          <w:sz w:val="20"/>
          <w:szCs w:val="20"/>
          <w:lang w:val="es-AR"/>
        </w:rPr>
        <w:t>e</w:t>
      </w:r>
      <w:r w:rsidR="00942CF6" w:rsidRPr="0007034B">
        <w:rPr>
          <w:rFonts w:asciiTheme="majorHAnsi" w:hAnsiTheme="majorHAnsi"/>
          <w:sz w:val="20"/>
          <w:szCs w:val="20"/>
          <w:lang w:val="es-AR"/>
        </w:rPr>
        <w:t xml:space="preserve">l 15 de octubre de 2002 el Juzgado de Primera Instancia de lo Contencioso Administrativo Federal Nro. </w:t>
      </w:r>
      <w:r w:rsidR="00A91C76" w:rsidRPr="0007034B">
        <w:rPr>
          <w:rFonts w:asciiTheme="majorHAnsi" w:hAnsiTheme="majorHAnsi"/>
          <w:sz w:val="20"/>
          <w:szCs w:val="20"/>
          <w:lang w:val="es-AR"/>
        </w:rPr>
        <w:t xml:space="preserve">4 </w:t>
      </w:r>
      <w:r w:rsidR="00942CF6" w:rsidRPr="0007034B">
        <w:rPr>
          <w:rFonts w:asciiTheme="majorHAnsi" w:hAnsiTheme="majorHAnsi"/>
          <w:sz w:val="20"/>
          <w:szCs w:val="20"/>
          <w:lang w:val="es-AR"/>
        </w:rPr>
        <w:t xml:space="preserve">condenó al Estado Nacional al pago de US$ 600.000 más US$ 90.000 por honorarios y costas. </w:t>
      </w:r>
      <w:r w:rsidR="00081839" w:rsidRPr="0007034B">
        <w:rPr>
          <w:rFonts w:asciiTheme="majorHAnsi" w:hAnsiTheme="majorHAnsi"/>
          <w:sz w:val="20"/>
          <w:szCs w:val="20"/>
          <w:lang w:val="es-AR"/>
        </w:rPr>
        <w:t>Indica que</w:t>
      </w:r>
      <w:r w:rsidR="00FD6D56" w:rsidRPr="0007034B">
        <w:rPr>
          <w:rFonts w:asciiTheme="majorHAnsi" w:hAnsiTheme="majorHAnsi"/>
          <w:sz w:val="20"/>
          <w:szCs w:val="20"/>
          <w:lang w:val="es-AR"/>
        </w:rPr>
        <w:t>, ante un recurso de apelación,</w:t>
      </w:r>
      <w:r w:rsidR="00081839" w:rsidRPr="0007034B">
        <w:rPr>
          <w:rFonts w:asciiTheme="majorHAnsi" w:hAnsiTheme="majorHAnsi"/>
          <w:sz w:val="20"/>
          <w:szCs w:val="20"/>
          <w:lang w:val="es-AR"/>
        </w:rPr>
        <w:t xml:space="preserve"> e</w:t>
      </w:r>
      <w:r w:rsidR="00942CF6" w:rsidRPr="0007034B">
        <w:rPr>
          <w:rFonts w:asciiTheme="majorHAnsi" w:hAnsiTheme="majorHAnsi"/>
          <w:sz w:val="20"/>
          <w:szCs w:val="20"/>
          <w:lang w:val="es-AR"/>
        </w:rPr>
        <w:t>l 4 de noviembre de 2004 la Cámara Federal en lo Conten</w:t>
      </w:r>
      <w:r w:rsidR="00A91C76" w:rsidRPr="0007034B">
        <w:rPr>
          <w:rFonts w:asciiTheme="majorHAnsi" w:hAnsiTheme="majorHAnsi"/>
          <w:sz w:val="20"/>
          <w:szCs w:val="20"/>
          <w:lang w:val="es-AR"/>
        </w:rPr>
        <w:t xml:space="preserve">cioso Administrativo </w:t>
      </w:r>
      <w:r w:rsidR="00942CF6" w:rsidRPr="0007034B">
        <w:rPr>
          <w:rFonts w:asciiTheme="majorHAnsi" w:hAnsiTheme="majorHAnsi"/>
          <w:sz w:val="20"/>
          <w:szCs w:val="20"/>
          <w:lang w:val="es-AR"/>
        </w:rPr>
        <w:t xml:space="preserve">reconoció a Victoria </w:t>
      </w:r>
      <w:r w:rsidR="00081839" w:rsidRPr="0007034B">
        <w:rPr>
          <w:rFonts w:asciiTheme="majorHAnsi" w:hAnsiTheme="majorHAnsi"/>
          <w:sz w:val="20"/>
          <w:szCs w:val="20"/>
          <w:lang w:val="es-AR"/>
        </w:rPr>
        <w:t xml:space="preserve">Larrabeiti </w:t>
      </w:r>
      <w:r w:rsidR="00942CF6" w:rsidRPr="0007034B">
        <w:rPr>
          <w:rFonts w:asciiTheme="majorHAnsi" w:hAnsiTheme="majorHAnsi"/>
          <w:sz w:val="20"/>
          <w:szCs w:val="20"/>
          <w:lang w:val="es-AR"/>
        </w:rPr>
        <w:t xml:space="preserve">el derecho a ser indemnizada por una suma de aproximadamente US$ 3.300.000 y declaró prescrita la acción respecto de </w:t>
      </w:r>
      <w:r w:rsidR="00081839" w:rsidRPr="0007034B">
        <w:rPr>
          <w:rFonts w:asciiTheme="majorHAnsi" w:hAnsiTheme="majorHAnsi"/>
          <w:sz w:val="20"/>
          <w:szCs w:val="20"/>
          <w:lang w:val="es-AR"/>
        </w:rPr>
        <w:t>su hermano</w:t>
      </w:r>
      <w:r w:rsidR="00942CF6" w:rsidRPr="0007034B">
        <w:rPr>
          <w:rFonts w:asciiTheme="majorHAnsi" w:hAnsiTheme="majorHAnsi"/>
          <w:sz w:val="20"/>
          <w:szCs w:val="20"/>
          <w:lang w:val="es-AR"/>
        </w:rPr>
        <w:t xml:space="preserve"> por haber transcurrido más de dos años desde su mayoría de edad. </w:t>
      </w:r>
      <w:r w:rsidR="00570259" w:rsidRPr="0007034B">
        <w:rPr>
          <w:rFonts w:asciiTheme="majorHAnsi" w:hAnsiTheme="majorHAnsi"/>
          <w:sz w:val="20"/>
          <w:szCs w:val="20"/>
          <w:lang w:val="es-AR"/>
        </w:rPr>
        <w:t xml:space="preserve">El 30 de octubre de 2007 la </w:t>
      </w:r>
      <w:r w:rsidR="0031108E" w:rsidRPr="0007034B">
        <w:rPr>
          <w:rFonts w:asciiTheme="majorHAnsi" w:hAnsiTheme="majorHAnsi"/>
          <w:sz w:val="20"/>
          <w:szCs w:val="20"/>
          <w:lang w:val="es-AR"/>
        </w:rPr>
        <w:t>CSJN</w:t>
      </w:r>
      <w:r w:rsidR="00570259" w:rsidRPr="0007034B">
        <w:rPr>
          <w:rFonts w:asciiTheme="majorHAnsi" w:hAnsiTheme="majorHAnsi"/>
          <w:sz w:val="20"/>
          <w:szCs w:val="20"/>
          <w:lang w:val="es-AR"/>
        </w:rPr>
        <w:t xml:space="preserve"> declaró prescrita la acción respecto de ambos actores dado que los padres adoptivos estuvieron en condiciones de accionar en nombre de ellos a partir de 1986, fecha de publicación del informe final de la </w:t>
      </w:r>
      <w:r w:rsidR="00EB1851" w:rsidRPr="0007034B">
        <w:rPr>
          <w:rFonts w:asciiTheme="majorHAnsi" w:hAnsiTheme="majorHAnsi"/>
          <w:sz w:val="20"/>
          <w:szCs w:val="20"/>
          <w:lang w:val="es-AR"/>
        </w:rPr>
        <w:t>Comisión Nacional para la Desaparición de Personas (“</w:t>
      </w:r>
      <w:r w:rsidR="00570259" w:rsidRPr="0007034B">
        <w:rPr>
          <w:rFonts w:asciiTheme="majorHAnsi" w:hAnsiTheme="majorHAnsi"/>
          <w:sz w:val="20"/>
          <w:szCs w:val="20"/>
          <w:lang w:val="es-AR"/>
        </w:rPr>
        <w:t>CONAD</w:t>
      </w:r>
      <w:r w:rsidR="00A00030" w:rsidRPr="0007034B">
        <w:rPr>
          <w:rFonts w:asciiTheme="majorHAnsi" w:hAnsiTheme="majorHAnsi"/>
          <w:sz w:val="20"/>
          <w:szCs w:val="20"/>
          <w:lang w:val="es-AR"/>
        </w:rPr>
        <w:t>EP</w:t>
      </w:r>
      <w:r w:rsidR="00EB1851" w:rsidRPr="0007034B">
        <w:rPr>
          <w:rFonts w:asciiTheme="majorHAnsi" w:hAnsiTheme="majorHAnsi"/>
          <w:sz w:val="20"/>
          <w:szCs w:val="20"/>
          <w:lang w:val="es-AR"/>
        </w:rPr>
        <w:t>”)</w:t>
      </w:r>
      <w:r w:rsidR="00570259" w:rsidRPr="0007034B">
        <w:rPr>
          <w:rFonts w:asciiTheme="majorHAnsi" w:hAnsiTheme="majorHAnsi"/>
          <w:sz w:val="20"/>
          <w:szCs w:val="20"/>
          <w:lang w:val="es-AR"/>
        </w:rPr>
        <w:t>, en cuyo anexo figu</w:t>
      </w:r>
      <w:r w:rsidR="002F2FBE" w:rsidRPr="0007034B">
        <w:rPr>
          <w:rFonts w:asciiTheme="majorHAnsi" w:hAnsiTheme="majorHAnsi"/>
          <w:sz w:val="20"/>
          <w:szCs w:val="20"/>
          <w:lang w:val="es-AR"/>
        </w:rPr>
        <w:t>ra el legajo correspondiente a su</w:t>
      </w:r>
      <w:r w:rsidR="00570259" w:rsidRPr="0007034B">
        <w:rPr>
          <w:rFonts w:asciiTheme="majorHAnsi" w:hAnsiTheme="majorHAnsi"/>
          <w:sz w:val="20"/>
          <w:szCs w:val="20"/>
          <w:lang w:val="es-AR"/>
        </w:rPr>
        <w:t>s padres biológicos.</w:t>
      </w:r>
      <w:r w:rsidR="002F2FBE" w:rsidRPr="0007034B">
        <w:rPr>
          <w:rFonts w:asciiTheme="majorHAnsi" w:hAnsiTheme="majorHAnsi"/>
          <w:sz w:val="20"/>
          <w:szCs w:val="20"/>
          <w:lang w:val="es-AR"/>
        </w:rPr>
        <w:t xml:space="preserve"> </w:t>
      </w:r>
      <w:r w:rsidR="00B75C9B" w:rsidRPr="0007034B">
        <w:rPr>
          <w:rFonts w:asciiTheme="majorHAnsi" w:hAnsiTheme="majorHAnsi"/>
          <w:sz w:val="20"/>
          <w:szCs w:val="20"/>
          <w:lang w:val="es-AR"/>
        </w:rPr>
        <w:t xml:space="preserve">El fallo señaló que persiste el derecho de los actores de obtener una reparación basada en las leyes 24.411 y 25.914. </w:t>
      </w:r>
      <w:r w:rsidR="00264F58" w:rsidRPr="0007034B">
        <w:rPr>
          <w:rFonts w:asciiTheme="majorHAnsi" w:hAnsiTheme="majorHAnsi"/>
          <w:sz w:val="20"/>
          <w:szCs w:val="20"/>
          <w:lang w:val="es-AR"/>
        </w:rPr>
        <w:t xml:space="preserve">La parte peticionaria alega, entre otros, que “el mero - e hipotético - conocimiento del informe de la CONADEP no era en modo alguno suficiente para posibilitar una acción judicial”. Señala que el informe en ningún momento menciona a los padres desaparecidos ni tampoco hace referencia al anexo. Indica que el voluminoso anexo que se publicó por separado y tuvo mucha menos difusión que el informe, tan solo dedica a los padres de las víctimas dos escuetos renglones. </w:t>
      </w:r>
      <w:r w:rsidR="00440AB1" w:rsidRPr="0007034B">
        <w:rPr>
          <w:rFonts w:asciiTheme="majorHAnsi" w:hAnsiTheme="majorHAnsi"/>
          <w:sz w:val="20"/>
          <w:szCs w:val="20"/>
          <w:lang w:val="es-AR"/>
        </w:rPr>
        <w:t xml:space="preserve">Señala al respecto que “la hipotética lectura de esos dos renglones, obviamente no satisfacía la necesidad de conocer con mínima precisión los elementos que constituyen toda acción judicial”. </w:t>
      </w:r>
      <w:r w:rsidR="00235903" w:rsidRPr="0007034B">
        <w:rPr>
          <w:rFonts w:asciiTheme="majorHAnsi" w:hAnsiTheme="majorHAnsi"/>
          <w:sz w:val="20"/>
          <w:szCs w:val="20"/>
          <w:lang w:val="es-AR"/>
        </w:rPr>
        <w:t xml:space="preserve">Alega además que el término de prescripción no ha nacido dado que la desaparición forzada no ha cesado. </w:t>
      </w:r>
    </w:p>
    <w:p w14:paraId="41EE1B17" w14:textId="77777777" w:rsidR="00AC1ACC" w:rsidRPr="0007034B" w:rsidRDefault="00AC1ACC" w:rsidP="00AC1AC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AR"/>
        </w:rPr>
      </w:pPr>
    </w:p>
    <w:p w14:paraId="66921439" w14:textId="0B870305" w:rsidR="00AC1ACC" w:rsidRPr="0007034B" w:rsidRDefault="00AC1ACC" w:rsidP="00F23D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lang w:val="es-AR"/>
        </w:rPr>
      </w:pPr>
      <w:r w:rsidRPr="0007034B">
        <w:rPr>
          <w:rFonts w:asciiTheme="majorHAnsi" w:hAnsiTheme="majorHAnsi"/>
          <w:sz w:val="20"/>
          <w:szCs w:val="20"/>
          <w:lang w:val="es-AR"/>
        </w:rPr>
        <w:t>Respecto a las leyes</w:t>
      </w:r>
      <w:r w:rsidR="00BD7DCA" w:rsidRPr="0007034B">
        <w:rPr>
          <w:rFonts w:asciiTheme="majorHAnsi" w:hAnsiTheme="majorHAnsi"/>
          <w:sz w:val="20"/>
          <w:szCs w:val="20"/>
          <w:lang w:val="es-AR"/>
        </w:rPr>
        <w:t xml:space="preserve"> reparatorias, la parte peticionaria alega que las mismas no dan respuesta al presente caso</w:t>
      </w:r>
      <w:r w:rsidR="00D17883" w:rsidRPr="0007034B">
        <w:rPr>
          <w:rFonts w:asciiTheme="majorHAnsi" w:hAnsiTheme="majorHAnsi"/>
          <w:sz w:val="20"/>
          <w:szCs w:val="20"/>
          <w:lang w:val="es-AR"/>
        </w:rPr>
        <w:t xml:space="preserve"> y que el camino a seguir no es “el trámite administrativo con reparación tarifada sino el de una acción judicial con amplitud de prueba y sin tope predeterminado”. </w:t>
      </w:r>
      <w:r w:rsidR="00BD7DCA" w:rsidRPr="0007034B">
        <w:rPr>
          <w:rFonts w:asciiTheme="majorHAnsi" w:hAnsiTheme="majorHAnsi"/>
          <w:sz w:val="20"/>
          <w:szCs w:val="20"/>
          <w:lang w:val="es-AR"/>
        </w:rPr>
        <w:t>En primer lugar, señala que</w:t>
      </w:r>
      <w:r w:rsidRPr="0007034B">
        <w:rPr>
          <w:rFonts w:asciiTheme="majorHAnsi" w:hAnsiTheme="majorHAnsi"/>
          <w:sz w:val="20"/>
          <w:szCs w:val="20"/>
          <w:lang w:val="es-AR"/>
        </w:rPr>
        <w:t xml:space="preserve"> </w:t>
      </w:r>
      <w:r w:rsidR="00BD7DCA" w:rsidRPr="0007034B">
        <w:rPr>
          <w:rFonts w:asciiTheme="majorHAnsi" w:hAnsiTheme="majorHAnsi"/>
          <w:sz w:val="20"/>
          <w:szCs w:val="20"/>
          <w:lang w:val="es-AR"/>
        </w:rPr>
        <w:t xml:space="preserve">la Ley Nro. 24.411 deja fuera de su ámbito a quienes, como ocurrió en el caso de </w:t>
      </w:r>
      <w:r w:rsidR="006F3CE1" w:rsidRPr="0007034B">
        <w:rPr>
          <w:rFonts w:asciiTheme="majorHAnsi" w:hAnsiTheme="majorHAnsi"/>
          <w:color w:val="000000" w:themeColor="text1"/>
          <w:sz w:val="20"/>
          <w:szCs w:val="20"/>
          <w:lang w:val="es-VE"/>
        </w:rPr>
        <w:t>los hermanos Larrabeiti Yáñez</w:t>
      </w:r>
      <w:r w:rsidR="00BD7DCA" w:rsidRPr="0007034B">
        <w:rPr>
          <w:rFonts w:asciiTheme="majorHAnsi" w:hAnsiTheme="majorHAnsi"/>
          <w:sz w:val="20"/>
          <w:szCs w:val="20"/>
          <w:lang w:val="es-AR"/>
        </w:rPr>
        <w:t>, habiendo desaparecido luego reaparecieron</w:t>
      </w:r>
      <w:r w:rsidR="001E1810" w:rsidRPr="0007034B">
        <w:rPr>
          <w:rFonts w:asciiTheme="majorHAnsi" w:hAnsiTheme="majorHAnsi"/>
          <w:sz w:val="20"/>
          <w:szCs w:val="20"/>
          <w:lang w:val="es-AR"/>
        </w:rPr>
        <w:t>, por lo que sólo repara los daños derivados de la desaparición de los padres pero no de las gravísimas violaciones de las que los hermanos fueron víctima</w:t>
      </w:r>
      <w:r w:rsidR="00BD7DCA" w:rsidRPr="0007034B">
        <w:rPr>
          <w:rFonts w:asciiTheme="majorHAnsi" w:hAnsiTheme="majorHAnsi"/>
          <w:sz w:val="20"/>
          <w:szCs w:val="20"/>
          <w:lang w:val="es-AR"/>
        </w:rPr>
        <w:t xml:space="preserve">. </w:t>
      </w:r>
      <w:r w:rsidR="00CA6CB5" w:rsidRPr="0007034B">
        <w:rPr>
          <w:rFonts w:asciiTheme="majorHAnsi" w:hAnsiTheme="majorHAnsi"/>
          <w:sz w:val="20"/>
          <w:szCs w:val="20"/>
          <w:lang w:val="es-AR"/>
        </w:rPr>
        <w:t xml:space="preserve">Señala que la </w:t>
      </w:r>
      <w:r w:rsidR="002B5B28" w:rsidRPr="0007034B">
        <w:rPr>
          <w:rFonts w:asciiTheme="majorHAnsi" w:hAnsiTheme="majorHAnsi"/>
          <w:sz w:val="20"/>
          <w:szCs w:val="20"/>
          <w:lang w:val="es-AR"/>
        </w:rPr>
        <w:t>Ley Nro.</w:t>
      </w:r>
      <w:r w:rsidR="00CA6CB5" w:rsidRPr="0007034B">
        <w:rPr>
          <w:rFonts w:asciiTheme="majorHAnsi" w:hAnsiTheme="majorHAnsi"/>
          <w:sz w:val="20"/>
          <w:szCs w:val="20"/>
          <w:lang w:val="es-AR"/>
        </w:rPr>
        <w:t xml:space="preserve"> 25.914, </w:t>
      </w:r>
      <w:r w:rsidR="00D17883" w:rsidRPr="0007034B">
        <w:rPr>
          <w:rFonts w:asciiTheme="majorHAnsi" w:hAnsiTheme="majorHAnsi"/>
          <w:sz w:val="20"/>
          <w:szCs w:val="20"/>
          <w:lang w:val="es-AR"/>
        </w:rPr>
        <w:t xml:space="preserve">o “ley de hijos”, recién se dictó en agosto de 2004 cuando en el juicio civil ya habían recaído sentencias favorables en primera y segunda instancia. </w:t>
      </w:r>
      <w:r w:rsidR="00BD7DCA" w:rsidRPr="0007034B">
        <w:rPr>
          <w:rFonts w:asciiTheme="majorHAnsi" w:hAnsiTheme="majorHAnsi"/>
          <w:sz w:val="20"/>
          <w:szCs w:val="20"/>
          <w:lang w:val="es-AR"/>
        </w:rPr>
        <w:t xml:space="preserve">Señala que la preocupación principal de los hermanos era conocer la verdad de los hechos y procurar establecer el destino de sus padres, lo cual </w:t>
      </w:r>
      <w:r w:rsidR="001E1810" w:rsidRPr="0007034B">
        <w:rPr>
          <w:rFonts w:asciiTheme="majorHAnsi" w:hAnsiTheme="majorHAnsi"/>
          <w:sz w:val="20"/>
          <w:szCs w:val="20"/>
          <w:lang w:val="es-AR"/>
        </w:rPr>
        <w:t xml:space="preserve">no se puede lograr por medio de leyes reparatorias. Alega que el abandono del trámite administrativo de la </w:t>
      </w:r>
      <w:r w:rsidR="00EC4810" w:rsidRPr="0007034B">
        <w:rPr>
          <w:rFonts w:asciiTheme="majorHAnsi" w:hAnsiTheme="majorHAnsi"/>
          <w:sz w:val="20"/>
          <w:szCs w:val="20"/>
          <w:lang w:val="es-AR"/>
        </w:rPr>
        <w:t>L</w:t>
      </w:r>
      <w:r w:rsidR="001E1810" w:rsidRPr="0007034B">
        <w:rPr>
          <w:rFonts w:asciiTheme="majorHAnsi" w:hAnsiTheme="majorHAnsi"/>
          <w:sz w:val="20"/>
          <w:szCs w:val="20"/>
          <w:lang w:val="es-AR"/>
        </w:rPr>
        <w:t>ey</w:t>
      </w:r>
      <w:r w:rsidR="00EC4810" w:rsidRPr="0007034B">
        <w:rPr>
          <w:rFonts w:asciiTheme="majorHAnsi" w:hAnsiTheme="majorHAnsi"/>
          <w:sz w:val="20"/>
          <w:szCs w:val="20"/>
          <w:lang w:val="es-AR"/>
        </w:rPr>
        <w:t xml:space="preserve"> Nro.</w:t>
      </w:r>
      <w:r w:rsidR="001E1810" w:rsidRPr="0007034B">
        <w:rPr>
          <w:rFonts w:asciiTheme="majorHAnsi" w:hAnsiTheme="majorHAnsi"/>
          <w:sz w:val="20"/>
          <w:szCs w:val="20"/>
          <w:lang w:val="es-AR"/>
        </w:rPr>
        <w:t xml:space="preserve"> 24.411</w:t>
      </w:r>
      <w:r w:rsidR="00A21DFA" w:rsidRPr="0007034B">
        <w:rPr>
          <w:rFonts w:asciiTheme="majorHAnsi" w:hAnsiTheme="majorHAnsi"/>
          <w:sz w:val="20"/>
          <w:szCs w:val="20"/>
          <w:lang w:val="es-AR"/>
        </w:rPr>
        <w:t>, la cual instituyó una reparación tasada y limitada,</w:t>
      </w:r>
      <w:r w:rsidR="001E1810" w:rsidRPr="0007034B">
        <w:rPr>
          <w:rFonts w:asciiTheme="majorHAnsi" w:hAnsiTheme="majorHAnsi"/>
          <w:sz w:val="20"/>
          <w:szCs w:val="20"/>
          <w:lang w:val="es-AR"/>
        </w:rPr>
        <w:t xml:space="preserve"> </w:t>
      </w:r>
      <w:r w:rsidR="00A21DFA" w:rsidRPr="0007034B">
        <w:rPr>
          <w:rFonts w:asciiTheme="majorHAnsi" w:hAnsiTheme="majorHAnsi"/>
          <w:sz w:val="20"/>
          <w:szCs w:val="20"/>
          <w:lang w:val="es-AR"/>
        </w:rPr>
        <w:t>así como</w:t>
      </w:r>
      <w:r w:rsidR="001E1810" w:rsidRPr="0007034B">
        <w:rPr>
          <w:rFonts w:asciiTheme="majorHAnsi" w:hAnsiTheme="majorHAnsi"/>
          <w:sz w:val="20"/>
          <w:szCs w:val="20"/>
          <w:lang w:val="es-AR"/>
        </w:rPr>
        <w:t xml:space="preserve"> la opción por la vía judicial</w:t>
      </w:r>
      <w:r w:rsidR="0098377C" w:rsidRPr="0007034B">
        <w:rPr>
          <w:rFonts w:asciiTheme="majorHAnsi" w:hAnsiTheme="majorHAnsi"/>
          <w:sz w:val="20"/>
          <w:szCs w:val="20"/>
          <w:lang w:val="es-AR"/>
        </w:rPr>
        <w:t>,</w:t>
      </w:r>
      <w:r w:rsidR="001E1810" w:rsidRPr="0007034B">
        <w:rPr>
          <w:rFonts w:asciiTheme="majorHAnsi" w:hAnsiTheme="majorHAnsi"/>
          <w:sz w:val="20"/>
          <w:szCs w:val="20"/>
          <w:lang w:val="es-AR"/>
        </w:rPr>
        <w:t xml:space="preserve"> resultaron ser un acierto </w:t>
      </w:r>
      <w:r w:rsidR="001E1810" w:rsidRPr="0007034B">
        <w:rPr>
          <w:rFonts w:asciiTheme="majorHAnsi" w:hAnsiTheme="majorHAnsi"/>
          <w:sz w:val="20"/>
          <w:szCs w:val="20"/>
          <w:lang w:val="es-AR"/>
        </w:rPr>
        <w:lastRenderedPageBreak/>
        <w:t xml:space="preserve">total y plenamente justificado. </w:t>
      </w:r>
      <w:r w:rsidR="00CD1BA9" w:rsidRPr="0007034B">
        <w:rPr>
          <w:rFonts w:asciiTheme="majorHAnsi" w:hAnsiTheme="majorHAnsi"/>
          <w:sz w:val="20"/>
          <w:szCs w:val="20"/>
          <w:lang w:val="es-AR"/>
        </w:rPr>
        <w:t>Específicamente</w:t>
      </w:r>
      <w:r w:rsidR="003D3644">
        <w:rPr>
          <w:rFonts w:asciiTheme="majorHAnsi" w:hAnsiTheme="majorHAnsi"/>
          <w:sz w:val="20"/>
          <w:szCs w:val="20"/>
          <w:lang w:val="es-AR"/>
        </w:rPr>
        <w:t xml:space="preserve"> alega</w:t>
      </w:r>
      <w:r w:rsidR="00CD1BA9" w:rsidRPr="0007034B">
        <w:rPr>
          <w:rFonts w:asciiTheme="majorHAnsi" w:hAnsiTheme="majorHAnsi"/>
          <w:sz w:val="20"/>
          <w:szCs w:val="20"/>
          <w:lang w:val="es-AR"/>
        </w:rPr>
        <w:t xml:space="preserve"> </w:t>
      </w:r>
      <w:r w:rsidR="001E1810" w:rsidRPr="0007034B">
        <w:rPr>
          <w:rFonts w:asciiTheme="majorHAnsi" w:hAnsiTheme="majorHAnsi"/>
          <w:sz w:val="20"/>
          <w:szCs w:val="20"/>
          <w:lang w:val="es-AR"/>
        </w:rPr>
        <w:t>que, a través de la acción civil, se pu</w:t>
      </w:r>
      <w:r w:rsidR="00A21DFA" w:rsidRPr="0007034B">
        <w:rPr>
          <w:rFonts w:asciiTheme="majorHAnsi" w:hAnsiTheme="majorHAnsi"/>
          <w:sz w:val="20"/>
          <w:szCs w:val="20"/>
          <w:lang w:val="es-AR"/>
        </w:rPr>
        <w:t>d</w:t>
      </w:r>
      <w:r w:rsidR="00EA79F0" w:rsidRPr="0007034B">
        <w:rPr>
          <w:rFonts w:asciiTheme="majorHAnsi" w:hAnsiTheme="majorHAnsi"/>
          <w:sz w:val="20"/>
          <w:szCs w:val="20"/>
          <w:lang w:val="es-AR"/>
        </w:rPr>
        <w:t>o</w:t>
      </w:r>
      <w:r w:rsidR="00A21DFA" w:rsidRPr="0007034B">
        <w:rPr>
          <w:rFonts w:asciiTheme="majorHAnsi" w:hAnsiTheme="majorHAnsi"/>
          <w:sz w:val="20"/>
          <w:szCs w:val="20"/>
          <w:lang w:val="es-AR"/>
        </w:rPr>
        <w:t xml:space="preserve"> ubicar a testigos clave y conocer gran parte de los hechos ocurridos el 26 de septiembre de 1976, muchos años antes de que se pudieran iniciar las acciones penales</w:t>
      </w:r>
      <w:r w:rsidR="00CA6CB5" w:rsidRPr="0007034B">
        <w:rPr>
          <w:rFonts w:asciiTheme="majorHAnsi" w:hAnsiTheme="majorHAnsi"/>
          <w:sz w:val="20"/>
          <w:szCs w:val="20"/>
          <w:lang w:val="es-AR"/>
        </w:rPr>
        <w:t xml:space="preserve">. </w:t>
      </w:r>
      <w:r w:rsidR="000F56FD" w:rsidRPr="0007034B">
        <w:rPr>
          <w:rFonts w:asciiTheme="majorHAnsi" w:hAnsiTheme="majorHAnsi"/>
          <w:sz w:val="20"/>
          <w:szCs w:val="20"/>
          <w:lang w:val="es-AR"/>
        </w:rPr>
        <w:t>Alega además que los hermanos fueron víctimas</w:t>
      </w:r>
      <w:r w:rsidR="00F31DD9" w:rsidRPr="0007034B">
        <w:rPr>
          <w:rFonts w:asciiTheme="majorHAnsi" w:hAnsiTheme="majorHAnsi"/>
          <w:sz w:val="20"/>
          <w:szCs w:val="20"/>
          <w:lang w:val="es-AR"/>
        </w:rPr>
        <w:t xml:space="preserve"> de</w:t>
      </w:r>
      <w:r w:rsidR="000F56FD" w:rsidRPr="0007034B">
        <w:rPr>
          <w:rFonts w:asciiTheme="majorHAnsi" w:hAnsiTheme="majorHAnsi"/>
          <w:sz w:val="20"/>
          <w:szCs w:val="20"/>
          <w:lang w:val="es-AR"/>
        </w:rPr>
        <w:t xml:space="preserve"> otros graves daños que exceden</w:t>
      </w:r>
      <w:r w:rsidR="00F31DD9" w:rsidRPr="0007034B">
        <w:rPr>
          <w:rFonts w:asciiTheme="majorHAnsi" w:hAnsiTheme="majorHAnsi"/>
          <w:sz w:val="20"/>
          <w:szCs w:val="20"/>
          <w:lang w:val="es-AR"/>
        </w:rPr>
        <w:t xml:space="preserve"> los delitos contemplados en</w:t>
      </w:r>
      <w:r w:rsidR="000F56FD" w:rsidRPr="0007034B">
        <w:rPr>
          <w:rFonts w:asciiTheme="majorHAnsi" w:hAnsiTheme="majorHAnsi"/>
          <w:sz w:val="20"/>
          <w:szCs w:val="20"/>
          <w:lang w:val="es-AR"/>
        </w:rPr>
        <w:t xml:space="preserve"> dichas leyes. </w:t>
      </w:r>
      <w:r w:rsidR="00545B34" w:rsidRPr="0007034B">
        <w:rPr>
          <w:rFonts w:asciiTheme="majorHAnsi" w:hAnsiTheme="majorHAnsi"/>
          <w:sz w:val="20"/>
          <w:szCs w:val="20"/>
          <w:lang w:val="es-AR"/>
        </w:rPr>
        <w:t xml:space="preserve">Señala </w:t>
      </w:r>
      <w:r w:rsidR="001B6B8D" w:rsidRPr="0007034B">
        <w:rPr>
          <w:rFonts w:asciiTheme="majorHAnsi" w:hAnsiTheme="majorHAnsi"/>
          <w:sz w:val="20"/>
          <w:szCs w:val="20"/>
          <w:lang w:val="es-AR"/>
        </w:rPr>
        <w:t>asimismo</w:t>
      </w:r>
      <w:r w:rsidR="00545B34" w:rsidRPr="0007034B">
        <w:rPr>
          <w:rFonts w:asciiTheme="majorHAnsi" w:hAnsiTheme="majorHAnsi"/>
          <w:sz w:val="20"/>
          <w:szCs w:val="20"/>
          <w:lang w:val="es-AR"/>
        </w:rPr>
        <w:t xml:space="preserve"> que las leyes 24.411 y 25.914 ofrecían dudas y reparos derivados de un tratamiento uniforme a situaciones muy diversas y que los vaivenes de la economía argentina provocaron bruscas oscilaciones en el valor real de las reparaciones efectivamente percibidas. </w:t>
      </w:r>
      <w:r w:rsidR="001B6B8D" w:rsidRPr="0007034B">
        <w:rPr>
          <w:rFonts w:asciiTheme="majorHAnsi" w:hAnsiTheme="majorHAnsi"/>
          <w:sz w:val="20"/>
          <w:szCs w:val="20"/>
          <w:lang w:val="es-AR"/>
        </w:rPr>
        <w:t>Por otra parte, alega que dichas leyes en modo alguno prohíben, impiden o limitan el reconocimiento de una “indemnización justa” conforme lo establece el artículo 63 de la Convención Americana ni</w:t>
      </w:r>
      <w:r w:rsidR="00E03973" w:rsidRPr="0007034B">
        <w:rPr>
          <w:rFonts w:asciiTheme="majorHAnsi" w:hAnsiTheme="majorHAnsi"/>
          <w:sz w:val="20"/>
          <w:szCs w:val="20"/>
          <w:lang w:val="es-AR"/>
        </w:rPr>
        <w:t xml:space="preserve"> de la reparación integral consagrada </w:t>
      </w:r>
      <w:r w:rsidR="00956683" w:rsidRPr="0007034B">
        <w:rPr>
          <w:rFonts w:asciiTheme="majorHAnsi" w:hAnsiTheme="majorHAnsi"/>
          <w:sz w:val="20"/>
          <w:szCs w:val="20"/>
          <w:lang w:val="es-AR"/>
        </w:rPr>
        <w:t>en</w:t>
      </w:r>
      <w:r w:rsidR="00E03973" w:rsidRPr="0007034B">
        <w:rPr>
          <w:rFonts w:asciiTheme="majorHAnsi" w:hAnsiTheme="majorHAnsi"/>
          <w:sz w:val="20"/>
          <w:szCs w:val="20"/>
          <w:lang w:val="es-AR"/>
        </w:rPr>
        <w:t xml:space="preserve"> la jurisprudencia interamericana.</w:t>
      </w:r>
      <w:r w:rsidR="001B6B8D" w:rsidRPr="0007034B">
        <w:rPr>
          <w:rFonts w:asciiTheme="majorHAnsi" w:hAnsiTheme="majorHAnsi"/>
          <w:sz w:val="20"/>
          <w:szCs w:val="20"/>
          <w:lang w:val="es-AR"/>
        </w:rPr>
        <w:t xml:space="preserve"> </w:t>
      </w:r>
      <w:r w:rsidR="001B6B8D" w:rsidRPr="0007034B">
        <w:rPr>
          <w:rFonts w:asciiTheme="majorHAnsi" w:hAnsiTheme="majorHAnsi"/>
          <w:sz w:val="20"/>
          <w:szCs w:val="20"/>
          <w:lang w:val="es-ES"/>
        </w:rPr>
        <w:t xml:space="preserve"> </w:t>
      </w:r>
    </w:p>
    <w:p w14:paraId="0D1ECADE" w14:textId="77777777" w:rsidR="00DD4A67" w:rsidRPr="0007034B" w:rsidRDefault="00DD4A67" w:rsidP="00DD4A6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AR"/>
        </w:rPr>
      </w:pPr>
    </w:p>
    <w:p w14:paraId="7159594C" w14:textId="1EBBE401" w:rsidR="006F3C8E" w:rsidRPr="0007034B" w:rsidRDefault="00DD4A67" w:rsidP="00F23D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lang w:val="es-AR"/>
        </w:rPr>
      </w:pPr>
      <w:r w:rsidRPr="0007034B">
        <w:rPr>
          <w:rFonts w:asciiTheme="majorHAnsi" w:hAnsiTheme="majorHAnsi"/>
          <w:sz w:val="20"/>
          <w:szCs w:val="20"/>
          <w:lang w:val="es-AR"/>
        </w:rPr>
        <w:t xml:space="preserve">La parte peticionaria indica que </w:t>
      </w:r>
      <w:r w:rsidR="000557CB" w:rsidRPr="0007034B">
        <w:rPr>
          <w:rFonts w:asciiTheme="majorHAnsi" w:hAnsiTheme="majorHAnsi"/>
          <w:sz w:val="20"/>
          <w:szCs w:val="20"/>
          <w:lang w:val="es-AR"/>
        </w:rPr>
        <w:t>en el año 2012 tomaron conocimiento de dos causas penales en trámite respecto de dos ex inspectores de la Policía Federal Argentina por los delitos de privación ilegal de la libertad agravada en perjuicio de Victoria Grisonas y por homicidio agravado en perjuicio de Mario Julien. Se</w:t>
      </w:r>
      <w:r w:rsidR="00640EC4" w:rsidRPr="0007034B">
        <w:rPr>
          <w:rFonts w:asciiTheme="majorHAnsi" w:hAnsiTheme="majorHAnsi"/>
          <w:sz w:val="20"/>
          <w:szCs w:val="20"/>
          <w:lang w:val="es-AR"/>
        </w:rPr>
        <w:t xml:space="preserve">ñala que en dichas causas se descartó la hipótesis inicial de suicidio de Mario Julien, por lo que se modificó la carátula a homicidio agravado. Indica asimismo que </w:t>
      </w:r>
      <w:r w:rsidR="006F3CE1" w:rsidRPr="0007034B">
        <w:rPr>
          <w:rFonts w:asciiTheme="majorHAnsi" w:hAnsiTheme="majorHAnsi"/>
          <w:color w:val="000000" w:themeColor="text1"/>
          <w:sz w:val="20"/>
          <w:szCs w:val="20"/>
          <w:lang w:val="es-VE"/>
        </w:rPr>
        <w:t>los hermanos Larrabeiti Yáñez</w:t>
      </w:r>
      <w:r w:rsidR="006F3CE1" w:rsidRPr="0007034B">
        <w:rPr>
          <w:rFonts w:asciiTheme="majorHAnsi" w:hAnsiTheme="majorHAnsi"/>
          <w:sz w:val="20"/>
          <w:szCs w:val="20"/>
          <w:lang w:val="es-AR"/>
        </w:rPr>
        <w:t xml:space="preserve"> </w:t>
      </w:r>
      <w:r w:rsidR="00640EC4" w:rsidRPr="0007034B">
        <w:rPr>
          <w:rFonts w:asciiTheme="majorHAnsi" w:hAnsiTheme="majorHAnsi"/>
          <w:sz w:val="20"/>
          <w:szCs w:val="20"/>
          <w:lang w:val="es-AR"/>
        </w:rPr>
        <w:t>presentaron un escrito requiriendo la elevaci</w:t>
      </w:r>
      <w:r w:rsidR="007B6990" w:rsidRPr="0007034B">
        <w:rPr>
          <w:rFonts w:asciiTheme="majorHAnsi" w:hAnsiTheme="majorHAnsi"/>
          <w:sz w:val="20"/>
          <w:szCs w:val="20"/>
          <w:lang w:val="es-AR"/>
        </w:rPr>
        <w:t>ón de los autos a juicio</w:t>
      </w:r>
      <w:r w:rsidR="00640EC4" w:rsidRPr="0007034B">
        <w:rPr>
          <w:rFonts w:asciiTheme="majorHAnsi" w:hAnsiTheme="majorHAnsi"/>
          <w:sz w:val="20"/>
          <w:szCs w:val="20"/>
          <w:lang w:val="es-AR"/>
        </w:rPr>
        <w:t xml:space="preserve"> oral y solicitaron </w:t>
      </w:r>
      <w:r w:rsidR="00BE5FE4" w:rsidRPr="0007034B">
        <w:rPr>
          <w:rFonts w:asciiTheme="majorHAnsi" w:hAnsiTheme="majorHAnsi"/>
          <w:sz w:val="20"/>
          <w:szCs w:val="20"/>
          <w:lang w:val="es-AR"/>
        </w:rPr>
        <w:t xml:space="preserve">la práctica de </w:t>
      </w:r>
      <w:r w:rsidR="00640EC4" w:rsidRPr="0007034B">
        <w:rPr>
          <w:rFonts w:asciiTheme="majorHAnsi" w:hAnsiTheme="majorHAnsi"/>
          <w:sz w:val="20"/>
          <w:szCs w:val="20"/>
          <w:lang w:val="es-AR"/>
        </w:rPr>
        <w:t>prueba</w:t>
      </w:r>
      <w:r w:rsidR="00BE5FE4" w:rsidRPr="0007034B">
        <w:rPr>
          <w:rFonts w:asciiTheme="majorHAnsi" w:hAnsiTheme="majorHAnsi"/>
          <w:sz w:val="20"/>
          <w:szCs w:val="20"/>
          <w:lang w:val="es-AR"/>
        </w:rPr>
        <w:t>s</w:t>
      </w:r>
      <w:r w:rsidR="00640EC4" w:rsidRPr="0007034B">
        <w:rPr>
          <w:rFonts w:asciiTheme="majorHAnsi" w:hAnsiTheme="majorHAnsi"/>
          <w:sz w:val="20"/>
          <w:szCs w:val="20"/>
          <w:lang w:val="es-AR"/>
        </w:rPr>
        <w:t xml:space="preserve"> tendientes a localizar los restos de sus padres. </w:t>
      </w:r>
      <w:r w:rsidR="00E30571" w:rsidRPr="0007034B">
        <w:rPr>
          <w:rFonts w:asciiTheme="majorHAnsi" w:hAnsiTheme="majorHAnsi"/>
          <w:sz w:val="20"/>
          <w:szCs w:val="20"/>
          <w:lang w:val="es-AR"/>
        </w:rPr>
        <w:t>Indica que el 11 de septiembre de 2017 el Tribunal Oral Federal Nro. 1</w:t>
      </w:r>
      <w:r w:rsidR="00E8367C" w:rsidRPr="0007034B">
        <w:rPr>
          <w:rFonts w:asciiTheme="majorHAnsi" w:hAnsiTheme="majorHAnsi"/>
          <w:sz w:val="20"/>
          <w:szCs w:val="20"/>
          <w:lang w:val="es-AR"/>
        </w:rPr>
        <w:t>, en el marco de la causa Nro. 2.261</w:t>
      </w:r>
      <w:r w:rsidR="00666A28" w:rsidRPr="0007034B">
        <w:rPr>
          <w:rFonts w:asciiTheme="majorHAnsi" w:hAnsiTheme="majorHAnsi"/>
          <w:sz w:val="20"/>
          <w:szCs w:val="20"/>
          <w:lang w:val="es-AR"/>
        </w:rPr>
        <w:t>,</w:t>
      </w:r>
      <w:r w:rsidR="00E30571" w:rsidRPr="0007034B">
        <w:rPr>
          <w:rFonts w:asciiTheme="majorHAnsi" w:hAnsiTheme="majorHAnsi"/>
          <w:sz w:val="20"/>
          <w:szCs w:val="20"/>
          <w:lang w:val="es-AR"/>
        </w:rPr>
        <w:t xml:space="preserve"> condenó a Rolando Oscar Nerone y a Oscar Roberto Gutiérrez a la pena de seis años de prisión como coautores del delito de privación ilegítima de la libertad en perjuicio de</w:t>
      </w:r>
      <w:r w:rsidR="00E8367C" w:rsidRPr="0007034B">
        <w:rPr>
          <w:rFonts w:asciiTheme="majorHAnsi" w:hAnsiTheme="majorHAnsi"/>
          <w:sz w:val="20"/>
          <w:szCs w:val="20"/>
          <w:lang w:val="es-AR"/>
        </w:rPr>
        <w:t xml:space="preserve"> Victoria Grisonas y los </w:t>
      </w:r>
      <w:r w:rsidR="00E30571" w:rsidRPr="0007034B">
        <w:rPr>
          <w:rFonts w:asciiTheme="majorHAnsi" w:hAnsiTheme="majorHAnsi"/>
          <w:sz w:val="20"/>
          <w:szCs w:val="20"/>
          <w:lang w:val="es-AR"/>
        </w:rPr>
        <w:t>absolvió</w:t>
      </w:r>
      <w:r w:rsidR="00E8367C" w:rsidRPr="0007034B">
        <w:rPr>
          <w:rFonts w:asciiTheme="majorHAnsi" w:hAnsiTheme="majorHAnsi"/>
          <w:sz w:val="20"/>
          <w:szCs w:val="20"/>
          <w:lang w:val="es-AR"/>
        </w:rPr>
        <w:t xml:space="preserve"> por el delito de homicidio agravado en perjuicio de Mario Julien. </w:t>
      </w:r>
    </w:p>
    <w:p w14:paraId="0BC3B0B9" w14:textId="77777777" w:rsidR="006F3C8E" w:rsidRPr="0007034B" w:rsidRDefault="006F3C8E" w:rsidP="006F3C8E">
      <w:pPr>
        <w:pStyle w:val="ListParagraph"/>
        <w:rPr>
          <w:rFonts w:asciiTheme="majorHAnsi" w:hAnsiTheme="majorHAnsi"/>
          <w:sz w:val="20"/>
          <w:szCs w:val="20"/>
          <w:lang w:val="es-AR"/>
        </w:rPr>
      </w:pPr>
    </w:p>
    <w:p w14:paraId="6D5F6346" w14:textId="4E8B6463" w:rsidR="00DD4A67" w:rsidRPr="0007034B" w:rsidRDefault="00F53B3D" w:rsidP="00F23D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lang w:val="es-AR"/>
        </w:rPr>
      </w:pPr>
      <w:r w:rsidRPr="0007034B">
        <w:rPr>
          <w:rFonts w:asciiTheme="majorHAnsi" w:hAnsiTheme="majorHAnsi"/>
          <w:sz w:val="20"/>
          <w:szCs w:val="20"/>
          <w:lang w:val="es-AR"/>
        </w:rPr>
        <w:t>Agrega que e</w:t>
      </w:r>
      <w:r w:rsidR="00E8367C" w:rsidRPr="0007034B">
        <w:rPr>
          <w:rFonts w:asciiTheme="majorHAnsi" w:hAnsiTheme="majorHAnsi"/>
          <w:sz w:val="20"/>
          <w:szCs w:val="20"/>
          <w:lang w:val="es-AR"/>
        </w:rPr>
        <w:t>l 18 de septiembre</w:t>
      </w:r>
      <w:r w:rsidR="006F3C8E" w:rsidRPr="0007034B">
        <w:rPr>
          <w:rFonts w:asciiTheme="majorHAnsi" w:hAnsiTheme="majorHAnsi"/>
          <w:sz w:val="20"/>
          <w:szCs w:val="20"/>
          <w:lang w:val="es-AR"/>
        </w:rPr>
        <w:t xml:space="preserve"> de 2017</w:t>
      </w:r>
      <w:r w:rsidR="00E8367C" w:rsidRPr="0007034B">
        <w:rPr>
          <w:rFonts w:asciiTheme="majorHAnsi" w:hAnsiTheme="majorHAnsi"/>
          <w:sz w:val="20"/>
          <w:szCs w:val="20"/>
          <w:lang w:val="es-AR"/>
        </w:rPr>
        <w:t xml:space="preserve"> los hermanos </w:t>
      </w:r>
      <w:r w:rsidR="006F3C8E" w:rsidRPr="0007034B">
        <w:rPr>
          <w:rFonts w:asciiTheme="majorHAnsi" w:hAnsiTheme="majorHAnsi"/>
          <w:sz w:val="20"/>
          <w:szCs w:val="20"/>
          <w:lang w:val="es-AR"/>
        </w:rPr>
        <w:t xml:space="preserve">Larrabeiti Yáñez </w:t>
      </w:r>
      <w:r w:rsidR="00E8367C" w:rsidRPr="0007034B">
        <w:rPr>
          <w:rFonts w:asciiTheme="majorHAnsi" w:hAnsiTheme="majorHAnsi"/>
          <w:sz w:val="20"/>
          <w:szCs w:val="20"/>
          <w:lang w:val="es-AR"/>
        </w:rPr>
        <w:t>presentaron un escrito de recusación contra el juez en lo Criminal y Correccional Federal Daniel Rafecas</w:t>
      </w:r>
      <w:r w:rsidR="00666A28" w:rsidRPr="0007034B">
        <w:rPr>
          <w:rFonts w:asciiTheme="majorHAnsi" w:hAnsiTheme="majorHAnsi"/>
          <w:sz w:val="20"/>
          <w:szCs w:val="20"/>
          <w:lang w:val="es-AR"/>
        </w:rPr>
        <w:t>, en el marco de la causa Nro. 2.637/04,</w:t>
      </w:r>
      <w:r w:rsidR="00E8367C" w:rsidRPr="0007034B">
        <w:rPr>
          <w:rFonts w:asciiTheme="majorHAnsi" w:hAnsiTheme="majorHAnsi"/>
          <w:sz w:val="20"/>
          <w:szCs w:val="20"/>
          <w:lang w:val="es-AR"/>
        </w:rPr>
        <w:t xml:space="preserve"> por omisión maliciosa y denegación de justicia</w:t>
      </w:r>
      <w:r w:rsidR="00666A28" w:rsidRPr="0007034B">
        <w:rPr>
          <w:rFonts w:asciiTheme="majorHAnsi" w:hAnsiTheme="majorHAnsi"/>
          <w:sz w:val="20"/>
          <w:szCs w:val="20"/>
          <w:lang w:val="es-AR"/>
        </w:rPr>
        <w:t xml:space="preserve">, al no haber incluido en el elevamiento a juicio oral los delitos </w:t>
      </w:r>
      <w:r w:rsidR="00D03376" w:rsidRPr="0007034B">
        <w:rPr>
          <w:rFonts w:asciiTheme="majorHAnsi" w:hAnsiTheme="majorHAnsi"/>
          <w:sz w:val="20"/>
          <w:szCs w:val="20"/>
          <w:lang w:val="es-AR"/>
        </w:rPr>
        <w:t>de los cuales fueron víctimas a título personal</w:t>
      </w:r>
      <w:r w:rsidR="00666A28" w:rsidRPr="0007034B">
        <w:rPr>
          <w:rFonts w:asciiTheme="majorHAnsi" w:hAnsiTheme="majorHAnsi"/>
          <w:sz w:val="20"/>
          <w:szCs w:val="20"/>
          <w:lang w:val="es-AR"/>
        </w:rPr>
        <w:t>.</w:t>
      </w:r>
      <w:r w:rsidR="00D03376" w:rsidRPr="0007034B">
        <w:rPr>
          <w:rFonts w:asciiTheme="majorHAnsi" w:hAnsiTheme="majorHAnsi"/>
          <w:sz w:val="20"/>
          <w:szCs w:val="20"/>
          <w:lang w:val="es-AR"/>
        </w:rPr>
        <w:t xml:space="preserve"> </w:t>
      </w:r>
      <w:r w:rsidR="006F3C8E" w:rsidRPr="0007034B">
        <w:rPr>
          <w:rFonts w:asciiTheme="majorHAnsi" w:hAnsiTheme="majorHAnsi"/>
          <w:sz w:val="20"/>
          <w:szCs w:val="20"/>
          <w:lang w:val="es-AR"/>
        </w:rPr>
        <w:t xml:space="preserve">Asimismo, </w:t>
      </w:r>
      <w:r w:rsidR="008E37CB" w:rsidRPr="0007034B">
        <w:rPr>
          <w:rFonts w:asciiTheme="majorHAnsi" w:hAnsiTheme="majorHAnsi"/>
          <w:sz w:val="20"/>
          <w:szCs w:val="20"/>
          <w:lang w:val="es-AR"/>
        </w:rPr>
        <w:t xml:space="preserve">la parte peticionaria </w:t>
      </w:r>
      <w:r w:rsidR="006F3C8E" w:rsidRPr="0007034B">
        <w:rPr>
          <w:rFonts w:asciiTheme="majorHAnsi" w:hAnsiTheme="majorHAnsi"/>
          <w:sz w:val="20"/>
          <w:szCs w:val="20"/>
          <w:lang w:val="es-AR"/>
        </w:rPr>
        <w:t>indica que Anatole debió constituirse en querellante particular ante “el total desinterés, inacción y pasividad” de la Secretaría de Derechos Humanos</w:t>
      </w:r>
      <w:r w:rsidR="00D45602" w:rsidRPr="0007034B">
        <w:rPr>
          <w:rFonts w:asciiTheme="majorHAnsi" w:hAnsiTheme="majorHAnsi"/>
          <w:sz w:val="20"/>
          <w:szCs w:val="20"/>
          <w:lang w:val="es-AR"/>
        </w:rPr>
        <w:t xml:space="preserve"> del Ministerio de Justicia y Derechos Humanos de la Nación</w:t>
      </w:r>
      <w:r w:rsidR="006F3C8E" w:rsidRPr="0007034B">
        <w:rPr>
          <w:rFonts w:asciiTheme="majorHAnsi" w:hAnsiTheme="majorHAnsi"/>
          <w:sz w:val="20"/>
          <w:szCs w:val="20"/>
          <w:lang w:val="es-AR"/>
        </w:rPr>
        <w:t xml:space="preserve">. Alega que </w:t>
      </w:r>
      <w:r w:rsidR="008E37CB" w:rsidRPr="0007034B">
        <w:rPr>
          <w:rFonts w:asciiTheme="majorHAnsi" w:hAnsiTheme="majorHAnsi"/>
          <w:sz w:val="20"/>
          <w:szCs w:val="20"/>
          <w:lang w:val="es-AR"/>
        </w:rPr>
        <w:t>fue</w:t>
      </w:r>
      <w:r w:rsidR="006F3C8E" w:rsidRPr="0007034B">
        <w:rPr>
          <w:rFonts w:asciiTheme="majorHAnsi" w:hAnsiTheme="majorHAnsi"/>
          <w:sz w:val="20"/>
          <w:szCs w:val="20"/>
          <w:lang w:val="es-AR"/>
        </w:rPr>
        <w:t xml:space="preserve"> </w:t>
      </w:r>
      <w:r w:rsidR="008E37CB" w:rsidRPr="0007034B">
        <w:rPr>
          <w:rFonts w:asciiTheme="majorHAnsi" w:hAnsiTheme="majorHAnsi"/>
          <w:sz w:val="20"/>
          <w:szCs w:val="20"/>
          <w:lang w:val="es-AR"/>
        </w:rPr>
        <w:t xml:space="preserve">gracias </w:t>
      </w:r>
      <w:r w:rsidR="006F3C8E" w:rsidRPr="0007034B">
        <w:rPr>
          <w:rFonts w:asciiTheme="majorHAnsi" w:hAnsiTheme="majorHAnsi"/>
          <w:sz w:val="20"/>
          <w:szCs w:val="20"/>
          <w:lang w:val="es-AR"/>
        </w:rPr>
        <w:t>a la exclusiva actuación de Anatole que se</w:t>
      </w:r>
      <w:r w:rsidR="003B6502" w:rsidRPr="0007034B">
        <w:rPr>
          <w:rFonts w:asciiTheme="majorHAnsi" w:hAnsiTheme="majorHAnsi"/>
          <w:sz w:val="20"/>
          <w:szCs w:val="20"/>
          <w:lang w:val="es-AR"/>
        </w:rPr>
        <w:t xml:space="preserve"> dieron</w:t>
      </w:r>
      <w:r w:rsidR="006F3C8E" w:rsidRPr="0007034B">
        <w:rPr>
          <w:rFonts w:asciiTheme="majorHAnsi" w:hAnsiTheme="majorHAnsi"/>
          <w:sz w:val="20"/>
          <w:szCs w:val="20"/>
          <w:lang w:val="es-AR"/>
        </w:rPr>
        <w:t xml:space="preserve"> algunos sustanciales avances, tales como la ubicación del inmueble sede del hogar familiar, el cual fue apropiado por militares, así como del automóvil y demás bienes de la familia Julien-Grisonas que formaron parte de un importante “</w:t>
      </w:r>
      <w:r w:rsidR="008E37CB" w:rsidRPr="0007034B">
        <w:rPr>
          <w:rFonts w:asciiTheme="majorHAnsi" w:hAnsiTheme="majorHAnsi"/>
          <w:sz w:val="20"/>
          <w:szCs w:val="20"/>
          <w:lang w:val="es-AR"/>
        </w:rPr>
        <w:t>botín</w:t>
      </w:r>
      <w:r w:rsidR="006F3C8E" w:rsidRPr="0007034B">
        <w:rPr>
          <w:rFonts w:asciiTheme="majorHAnsi" w:hAnsiTheme="majorHAnsi"/>
          <w:sz w:val="20"/>
          <w:szCs w:val="20"/>
          <w:lang w:val="es-AR"/>
        </w:rPr>
        <w:t xml:space="preserve"> de guerra” y configuraron un perjuicio patrimonial. </w:t>
      </w:r>
      <w:r w:rsidR="00666A28" w:rsidRPr="0007034B">
        <w:rPr>
          <w:rFonts w:asciiTheme="majorHAnsi" w:hAnsiTheme="majorHAnsi"/>
          <w:sz w:val="20"/>
          <w:szCs w:val="20"/>
          <w:lang w:val="es-AR"/>
        </w:rPr>
        <w:t xml:space="preserve"> </w:t>
      </w:r>
    </w:p>
    <w:p w14:paraId="7F706BDD" w14:textId="77777777" w:rsidR="001B6B8D" w:rsidRPr="0007034B" w:rsidRDefault="001B6B8D" w:rsidP="001B6B8D">
      <w:pPr>
        <w:pStyle w:val="ListParagraph"/>
        <w:rPr>
          <w:rFonts w:asciiTheme="majorHAnsi" w:hAnsiTheme="majorHAnsi"/>
          <w:sz w:val="20"/>
          <w:szCs w:val="20"/>
          <w:lang w:val="es-AR"/>
        </w:rPr>
      </w:pPr>
    </w:p>
    <w:p w14:paraId="16E6EBCF" w14:textId="74A77A67" w:rsidR="001B6B8D" w:rsidRPr="0007034B" w:rsidRDefault="009065DD" w:rsidP="00F23D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lang w:val="es-AR"/>
        </w:rPr>
      </w:pPr>
      <w:r w:rsidRPr="0007034B">
        <w:rPr>
          <w:rFonts w:asciiTheme="majorHAnsi" w:hAnsiTheme="majorHAnsi"/>
          <w:sz w:val="20"/>
          <w:szCs w:val="20"/>
          <w:lang w:val="es-AR"/>
        </w:rPr>
        <w:t>Con base en los hechos descritos, la parte peticionaria alega que</w:t>
      </w:r>
      <w:r w:rsidR="00E42191" w:rsidRPr="0007034B">
        <w:rPr>
          <w:rFonts w:asciiTheme="majorHAnsi" w:hAnsiTheme="majorHAnsi"/>
          <w:sz w:val="20"/>
          <w:szCs w:val="20"/>
          <w:lang w:val="es-AR"/>
        </w:rPr>
        <w:t xml:space="preserve"> el Estado argentino violó los derechos establecidos en los artículos </w:t>
      </w:r>
      <w:r w:rsidR="00275A72" w:rsidRPr="0007034B">
        <w:rPr>
          <w:rFonts w:asciiTheme="majorHAnsi" w:hAnsiTheme="majorHAnsi"/>
          <w:sz w:val="20"/>
          <w:szCs w:val="20"/>
          <w:lang w:val="es-AR"/>
        </w:rPr>
        <w:t xml:space="preserve">4, </w:t>
      </w:r>
      <w:r w:rsidR="00E42191" w:rsidRPr="0007034B">
        <w:rPr>
          <w:rFonts w:asciiTheme="majorHAnsi" w:hAnsiTheme="majorHAnsi"/>
          <w:sz w:val="20"/>
          <w:szCs w:val="20"/>
          <w:lang w:val="es-AR"/>
        </w:rPr>
        <w:t>5, 7, 8</w:t>
      </w:r>
      <w:r w:rsidR="00275A72" w:rsidRPr="0007034B">
        <w:rPr>
          <w:rFonts w:asciiTheme="majorHAnsi" w:hAnsiTheme="majorHAnsi"/>
          <w:sz w:val="20"/>
          <w:szCs w:val="20"/>
          <w:lang w:val="es-AR"/>
        </w:rPr>
        <w:t>.1</w:t>
      </w:r>
      <w:r w:rsidR="00E42191" w:rsidRPr="0007034B">
        <w:rPr>
          <w:rFonts w:asciiTheme="majorHAnsi" w:hAnsiTheme="majorHAnsi"/>
          <w:sz w:val="20"/>
          <w:szCs w:val="20"/>
          <w:lang w:val="es-AR"/>
        </w:rPr>
        <w:t xml:space="preserve">, 11, 17, 18, 19, </w:t>
      </w:r>
      <w:r w:rsidR="00275A72" w:rsidRPr="0007034B">
        <w:rPr>
          <w:rFonts w:asciiTheme="majorHAnsi" w:hAnsiTheme="majorHAnsi"/>
          <w:sz w:val="20"/>
          <w:szCs w:val="20"/>
          <w:lang w:val="es-AR"/>
        </w:rPr>
        <w:t xml:space="preserve">21, </w:t>
      </w:r>
      <w:r w:rsidR="00E42191" w:rsidRPr="0007034B">
        <w:rPr>
          <w:rFonts w:asciiTheme="majorHAnsi" w:hAnsiTheme="majorHAnsi"/>
          <w:sz w:val="20"/>
          <w:szCs w:val="20"/>
          <w:lang w:val="es-AR"/>
        </w:rPr>
        <w:t>22, 24 y 25 de la Convención Americana, en relación con sus artículos 1.1 y 2, así como los establecidos en los artículos I, V, VII, VIII, IX, XVIII</w:t>
      </w:r>
      <w:r w:rsidR="00BD45F2" w:rsidRPr="0007034B">
        <w:rPr>
          <w:rFonts w:asciiTheme="majorHAnsi" w:hAnsiTheme="majorHAnsi"/>
          <w:sz w:val="20"/>
          <w:szCs w:val="20"/>
          <w:lang w:val="es-AR"/>
        </w:rPr>
        <w:t xml:space="preserve"> y</w:t>
      </w:r>
      <w:r w:rsidR="00275A72" w:rsidRPr="0007034B">
        <w:rPr>
          <w:rFonts w:asciiTheme="majorHAnsi" w:hAnsiTheme="majorHAnsi"/>
          <w:sz w:val="20"/>
          <w:szCs w:val="20"/>
          <w:lang w:val="es-AR"/>
        </w:rPr>
        <w:t xml:space="preserve"> XXIV</w:t>
      </w:r>
      <w:r w:rsidR="00E42191" w:rsidRPr="0007034B">
        <w:rPr>
          <w:rFonts w:asciiTheme="majorHAnsi" w:hAnsiTheme="majorHAnsi"/>
          <w:sz w:val="20"/>
          <w:szCs w:val="20"/>
          <w:lang w:val="es-AR"/>
        </w:rPr>
        <w:t xml:space="preserve"> de la Declaración Americana de los Deberes y Derechos del Hombre. </w:t>
      </w:r>
    </w:p>
    <w:p w14:paraId="7DBFC559" w14:textId="77777777" w:rsidR="00E22C6D" w:rsidRPr="0007034B" w:rsidRDefault="00E22C6D" w:rsidP="00E22C6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AR"/>
        </w:rPr>
      </w:pPr>
    </w:p>
    <w:p w14:paraId="42B31EB1" w14:textId="2FC3F827" w:rsidR="00D12193" w:rsidRPr="007E73E1" w:rsidRDefault="0022273F" w:rsidP="00F84E88">
      <w:pPr>
        <w:pStyle w:val="Heading2"/>
      </w:pPr>
      <w:bookmarkStart w:id="8" w:name="_Toc6349140"/>
      <w:bookmarkStart w:id="9" w:name="_Toc6466633"/>
      <w:r w:rsidRPr="007E73E1">
        <w:t>Estado</w:t>
      </w:r>
      <w:bookmarkEnd w:id="8"/>
      <w:bookmarkEnd w:id="9"/>
      <w:r w:rsidR="00CC63CF" w:rsidRPr="007E73E1">
        <w:t xml:space="preserve"> </w:t>
      </w:r>
    </w:p>
    <w:p w14:paraId="6CAD5114" w14:textId="77777777" w:rsidR="007C756A" w:rsidRPr="0007034B" w:rsidRDefault="007C756A" w:rsidP="0022273F">
      <w:pPr>
        <w:suppressAutoHyphens/>
        <w:rPr>
          <w:rFonts w:asciiTheme="majorHAnsi" w:hAnsiTheme="majorHAnsi"/>
          <w:sz w:val="20"/>
          <w:szCs w:val="20"/>
          <w:lang w:val="es-ES_tradnl"/>
        </w:rPr>
      </w:pPr>
    </w:p>
    <w:p w14:paraId="500C51DE" w14:textId="77777777" w:rsidR="00CC63CF" w:rsidRPr="0007034B" w:rsidRDefault="00184774" w:rsidP="00F23D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color w:val="000000" w:themeColor="text1"/>
          <w:sz w:val="20"/>
          <w:szCs w:val="20"/>
          <w:lang w:val="es-VE"/>
        </w:rPr>
      </w:pPr>
      <w:r w:rsidRPr="0007034B">
        <w:rPr>
          <w:rFonts w:asciiTheme="majorHAnsi" w:hAnsiTheme="majorHAnsi"/>
          <w:color w:val="000000" w:themeColor="text1"/>
          <w:sz w:val="20"/>
          <w:szCs w:val="20"/>
          <w:lang w:val="es-VE"/>
        </w:rPr>
        <w:t>El Estado alega que el traslado de la petición por parte de la Comisión luego de más de cuatro años de presentada, atenta contra la certeza y la estabilidad jurídica y priva al Estado argentino de poder ejercer una defensa</w:t>
      </w:r>
      <w:r w:rsidR="0094465F" w:rsidRPr="0007034B">
        <w:rPr>
          <w:rFonts w:asciiTheme="majorHAnsi" w:hAnsiTheme="majorHAnsi"/>
          <w:color w:val="000000" w:themeColor="text1"/>
          <w:sz w:val="20"/>
          <w:szCs w:val="20"/>
          <w:lang w:val="es-VE"/>
        </w:rPr>
        <w:t xml:space="preserve"> adecuada</w:t>
      </w:r>
      <w:r w:rsidRPr="0007034B">
        <w:rPr>
          <w:rFonts w:asciiTheme="majorHAnsi" w:hAnsiTheme="majorHAnsi"/>
          <w:color w:val="000000" w:themeColor="text1"/>
          <w:sz w:val="20"/>
          <w:szCs w:val="20"/>
          <w:lang w:val="es-VE"/>
        </w:rPr>
        <w:t>.</w:t>
      </w:r>
      <w:r w:rsidR="007F7E9A" w:rsidRPr="0007034B">
        <w:rPr>
          <w:rFonts w:asciiTheme="majorHAnsi" w:hAnsiTheme="majorHAnsi"/>
          <w:color w:val="548DD4" w:themeColor="text2" w:themeTint="99"/>
          <w:sz w:val="20"/>
          <w:szCs w:val="20"/>
          <w:lang w:val="es-VE"/>
        </w:rPr>
        <w:t xml:space="preserve"> </w:t>
      </w:r>
    </w:p>
    <w:p w14:paraId="03AD972E" w14:textId="77777777" w:rsidR="00F8380F" w:rsidRPr="0007034B" w:rsidRDefault="00F8380F" w:rsidP="00F838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color w:val="000000" w:themeColor="text1"/>
          <w:sz w:val="20"/>
          <w:szCs w:val="20"/>
          <w:lang w:val="es-VE"/>
        </w:rPr>
      </w:pPr>
    </w:p>
    <w:p w14:paraId="358D77E8" w14:textId="77777777" w:rsidR="00FC3552" w:rsidRPr="0007034B" w:rsidRDefault="003C5BB7" w:rsidP="00F23D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lang w:val="es-VE"/>
        </w:rPr>
      </w:pPr>
      <w:r w:rsidRPr="0007034B">
        <w:rPr>
          <w:rFonts w:asciiTheme="majorHAnsi" w:hAnsiTheme="majorHAnsi"/>
          <w:sz w:val="20"/>
          <w:szCs w:val="20"/>
          <w:lang w:val="es-VE"/>
        </w:rPr>
        <w:t>Por otra parte, s</w:t>
      </w:r>
      <w:r w:rsidR="00FC3552" w:rsidRPr="0007034B">
        <w:rPr>
          <w:rFonts w:asciiTheme="majorHAnsi" w:hAnsiTheme="majorHAnsi"/>
          <w:sz w:val="20"/>
          <w:szCs w:val="20"/>
          <w:lang w:val="es-VE"/>
        </w:rPr>
        <w:t xml:space="preserve">eñala que la petición presentada en el año 1997 referida a las dudas generadas por el considerando cuarto del Decreto Nro. 1025/96 se encuentra excluida del presente análisis, ya que la misma fue desistida por </w:t>
      </w:r>
      <w:r w:rsidR="004F1AF9" w:rsidRPr="0007034B">
        <w:rPr>
          <w:rFonts w:asciiTheme="majorHAnsi" w:hAnsiTheme="majorHAnsi"/>
          <w:sz w:val="20"/>
          <w:szCs w:val="20"/>
          <w:lang w:val="es-VE"/>
        </w:rPr>
        <w:t>la parte peticionaria</w:t>
      </w:r>
      <w:r w:rsidR="00FC3552" w:rsidRPr="0007034B">
        <w:rPr>
          <w:rFonts w:asciiTheme="majorHAnsi" w:hAnsiTheme="majorHAnsi"/>
          <w:sz w:val="20"/>
          <w:szCs w:val="20"/>
          <w:lang w:val="es-VE"/>
        </w:rPr>
        <w:t xml:space="preserve"> el 27 de octubre de 1997. Entiende que los hechos que dan sustento al presente caso “son aquellos acontecidos el 26 de septiembre de 1976, relacionados con la desaparición forzada de los padres de los peticionarios, su privación </w:t>
      </w:r>
      <w:r w:rsidR="00A5173E" w:rsidRPr="0007034B">
        <w:rPr>
          <w:rFonts w:asciiTheme="majorHAnsi" w:hAnsiTheme="majorHAnsi"/>
          <w:sz w:val="20"/>
          <w:szCs w:val="20"/>
          <w:lang w:val="es-VE"/>
        </w:rPr>
        <w:t>ilegítima de la libertad en un centro clandestino de d</w:t>
      </w:r>
      <w:r w:rsidR="00FC3552" w:rsidRPr="0007034B">
        <w:rPr>
          <w:rFonts w:asciiTheme="majorHAnsi" w:hAnsiTheme="majorHAnsi"/>
          <w:sz w:val="20"/>
          <w:szCs w:val="20"/>
          <w:lang w:val="es-VE"/>
        </w:rPr>
        <w:t xml:space="preserve">etención siendo niños, luego su apropiación, traslado a Uruguay, y posterior abandono en Chile”. </w:t>
      </w:r>
    </w:p>
    <w:p w14:paraId="0F3DE1F7" w14:textId="77777777" w:rsidR="00FC3552" w:rsidRPr="0007034B" w:rsidRDefault="00FC3552" w:rsidP="00F838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color w:val="000000" w:themeColor="text1"/>
          <w:sz w:val="20"/>
          <w:szCs w:val="20"/>
          <w:lang w:val="es-VE"/>
        </w:rPr>
      </w:pPr>
    </w:p>
    <w:p w14:paraId="54127CAC" w14:textId="3F013873" w:rsidR="003D1C29" w:rsidRPr="0007034B" w:rsidRDefault="006A22D0" w:rsidP="00F23D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lang w:val="es-VE"/>
        </w:rPr>
      </w:pPr>
      <w:r w:rsidRPr="0007034B">
        <w:rPr>
          <w:rFonts w:asciiTheme="majorHAnsi" w:hAnsiTheme="majorHAnsi"/>
          <w:sz w:val="20"/>
          <w:szCs w:val="20"/>
          <w:lang w:val="es-VE"/>
        </w:rPr>
        <w:t>En relaci</w:t>
      </w:r>
      <w:r w:rsidR="00C93151" w:rsidRPr="0007034B">
        <w:rPr>
          <w:rFonts w:asciiTheme="majorHAnsi" w:hAnsiTheme="majorHAnsi"/>
          <w:sz w:val="20"/>
          <w:szCs w:val="20"/>
          <w:lang w:val="es-VE"/>
        </w:rPr>
        <w:t>ón con la investigación</w:t>
      </w:r>
      <w:r w:rsidRPr="0007034B">
        <w:rPr>
          <w:rFonts w:asciiTheme="majorHAnsi" w:hAnsiTheme="majorHAnsi"/>
          <w:sz w:val="20"/>
          <w:szCs w:val="20"/>
          <w:lang w:val="es-VE"/>
        </w:rPr>
        <w:t xml:space="preserve"> penal</w:t>
      </w:r>
      <w:r w:rsidR="00FC3552" w:rsidRPr="0007034B">
        <w:rPr>
          <w:rFonts w:asciiTheme="majorHAnsi" w:hAnsiTheme="majorHAnsi"/>
          <w:sz w:val="20"/>
          <w:szCs w:val="20"/>
          <w:lang w:val="es-VE"/>
        </w:rPr>
        <w:t xml:space="preserve"> de los hechos, señala que el Estado argentino ha impulsado ininterrumpidamente </w:t>
      </w:r>
      <w:r w:rsidR="00E16A53" w:rsidRPr="0007034B">
        <w:rPr>
          <w:rFonts w:asciiTheme="majorHAnsi" w:hAnsiTheme="majorHAnsi"/>
          <w:sz w:val="20"/>
          <w:szCs w:val="20"/>
          <w:lang w:val="es-VE"/>
        </w:rPr>
        <w:t>“</w:t>
      </w:r>
      <w:r w:rsidR="00FC3552" w:rsidRPr="0007034B">
        <w:rPr>
          <w:rFonts w:asciiTheme="majorHAnsi" w:hAnsiTheme="majorHAnsi"/>
          <w:sz w:val="20"/>
          <w:szCs w:val="20"/>
          <w:lang w:val="es-VE"/>
        </w:rPr>
        <w:t xml:space="preserve">políticas públicas de Memoria, Verdad y Justicia </w:t>
      </w:r>
      <w:r w:rsidR="00E16A53" w:rsidRPr="0007034B">
        <w:rPr>
          <w:rFonts w:asciiTheme="majorHAnsi" w:hAnsiTheme="majorHAnsi"/>
          <w:sz w:val="20"/>
          <w:szCs w:val="20"/>
          <w:lang w:val="es-VE"/>
        </w:rPr>
        <w:t xml:space="preserve"> […] </w:t>
      </w:r>
      <w:r w:rsidR="00FC3552" w:rsidRPr="0007034B">
        <w:rPr>
          <w:rFonts w:asciiTheme="majorHAnsi" w:hAnsiTheme="majorHAnsi"/>
          <w:sz w:val="20"/>
          <w:szCs w:val="20"/>
          <w:lang w:val="es-VE"/>
        </w:rPr>
        <w:t xml:space="preserve">en relación con los crímenes de lesa humanidad perpetrados durante el gobierno militar </w:t>
      </w:r>
      <w:r w:rsidR="00E16A53" w:rsidRPr="0007034B">
        <w:rPr>
          <w:rFonts w:asciiTheme="majorHAnsi" w:hAnsiTheme="majorHAnsi"/>
          <w:sz w:val="20"/>
          <w:szCs w:val="20"/>
          <w:lang w:val="es-VE"/>
        </w:rPr>
        <w:t xml:space="preserve">de facto del período </w:t>
      </w:r>
      <w:r w:rsidR="00FC3552" w:rsidRPr="0007034B">
        <w:rPr>
          <w:rFonts w:asciiTheme="majorHAnsi" w:hAnsiTheme="majorHAnsi"/>
          <w:sz w:val="20"/>
          <w:szCs w:val="20"/>
          <w:lang w:val="es-VE"/>
        </w:rPr>
        <w:t xml:space="preserve"> 1976 </w:t>
      </w:r>
      <w:r w:rsidR="00E16A53" w:rsidRPr="0007034B">
        <w:rPr>
          <w:rFonts w:asciiTheme="majorHAnsi" w:hAnsiTheme="majorHAnsi"/>
          <w:sz w:val="20"/>
          <w:szCs w:val="20"/>
          <w:lang w:val="es-VE"/>
        </w:rPr>
        <w:t>a</w:t>
      </w:r>
      <w:r w:rsidR="00FC3552" w:rsidRPr="0007034B">
        <w:rPr>
          <w:rFonts w:asciiTheme="majorHAnsi" w:hAnsiTheme="majorHAnsi"/>
          <w:sz w:val="20"/>
          <w:szCs w:val="20"/>
          <w:lang w:val="es-VE"/>
        </w:rPr>
        <w:t xml:space="preserve"> 1983</w:t>
      </w:r>
      <w:r w:rsidR="00E16A53" w:rsidRPr="0007034B">
        <w:rPr>
          <w:rFonts w:asciiTheme="majorHAnsi" w:hAnsiTheme="majorHAnsi"/>
          <w:sz w:val="20"/>
          <w:szCs w:val="20"/>
          <w:lang w:val="es-VE"/>
        </w:rPr>
        <w:t>”</w:t>
      </w:r>
      <w:r w:rsidR="00FC3552" w:rsidRPr="0007034B">
        <w:rPr>
          <w:rFonts w:asciiTheme="majorHAnsi" w:hAnsiTheme="majorHAnsi"/>
          <w:sz w:val="20"/>
          <w:szCs w:val="20"/>
          <w:lang w:val="es-VE"/>
        </w:rPr>
        <w:t xml:space="preserve">. En particular, </w:t>
      </w:r>
      <w:r w:rsidR="00C93151" w:rsidRPr="0007034B">
        <w:rPr>
          <w:rFonts w:asciiTheme="majorHAnsi" w:hAnsiTheme="majorHAnsi"/>
          <w:sz w:val="20"/>
          <w:szCs w:val="20"/>
          <w:lang w:val="es-VE"/>
        </w:rPr>
        <w:t>indica que existe una mega causa respecto d</w:t>
      </w:r>
      <w:r w:rsidR="00A5173E" w:rsidRPr="0007034B">
        <w:rPr>
          <w:rFonts w:asciiTheme="majorHAnsi" w:hAnsiTheme="majorHAnsi"/>
          <w:sz w:val="20"/>
          <w:szCs w:val="20"/>
          <w:lang w:val="es-VE"/>
        </w:rPr>
        <w:t>e los crímenes cometidos en el centro clandestino de d</w:t>
      </w:r>
      <w:r w:rsidR="00C93151" w:rsidRPr="0007034B">
        <w:rPr>
          <w:rFonts w:asciiTheme="majorHAnsi" w:hAnsiTheme="majorHAnsi"/>
          <w:sz w:val="20"/>
          <w:szCs w:val="20"/>
          <w:lang w:val="es-VE"/>
        </w:rPr>
        <w:t xml:space="preserve">etención “Automotores Orletti”. </w:t>
      </w:r>
      <w:r w:rsidR="003D1C29" w:rsidRPr="0007034B">
        <w:rPr>
          <w:rFonts w:asciiTheme="majorHAnsi" w:hAnsiTheme="majorHAnsi"/>
          <w:sz w:val="20"/>
          <w:szCs w:val="20"/>
          <w:lang w:val="es-VE"/>
        </w:rPr>
        <w:t xml:space="preserve">Manifiesta que se han celebrado al menos tres juicios orales y públicos por los hechos </w:t>
      </w:r>
      <w:r w:rsidR="003D1C29" w:rsidRPr="0007034B">
        <w:rPr>
          <w:rFonts w:asciiTheme="majorHAnsi" w:hAnsiTheme="majorHAnsi"/>
          <w:sz w:val="20"/>
          <w:szCs w:val="20"/>
          <w:lang w:val="es-VE"/>
        </w:rPr>
        <w:lastRenderedPageBreak/>
        <w:t xml:space="preserve">que tuvieron como víctimas a los hermanos Larrabeiti Yáñez y sus progenitores, en </w:t>
      </w:r>
      <w:r w:rsidR="00513285" w:rsidRPr="0007034B">
        <w:rPr>
          <w:rFonts w:asciiTheme="majorHAnsi" w:hAnsiTheme="majorHAnsi"/>
          <w:sz w:val="20"/>
          <w:szCs w:val="20"/>
          <w:lang w:val="es-VE"/>
        </w:rPr>
        <w:t xml:space="preserve">dos de </w:t>
      </w:r>
      <w:r w:rsidR="003D1C29" w:rsidRPr="0007034B">
        <w:rPr>
          <w:rFonts w:asciiTheme="majorHAnsi" w:hAnsiTheme="majorHAnsi"/>
          <w:sz w:val="20"/>
          <w:szCs w:val="20"/>
          <w:lang w:val="es-VE"/>
        </w:rPr>
        <w:t>los cuales ha habido sentencias condenatorias, encontrándose la otra causa en pleno trámite.</w:t>
      </w:r>
    </w:p>
    <w:p w14:paraId="6445B84F" w14:textId="77777777" w:rsidR="003D1C29" w:rsidRPr="0007034B" w:rsidRDefault="003D1C29" w:rsidP="003D1C29">
      <w:pPr>
        <w:pStyle w:val="ListParagraph"/>
        <w:rPr>
          <w:rFonts w:asciiTheme="majorHAnsi" w:hAnsiTheme="majorHAnsi"/>
          <w:sz w:val="20"/>
          <w:szCs w:val="20"/>
          <w:lang w:val="es-VE"/>
        </w:rPr>
      </w:pPr>
    </w:p>
    <w:p w14:paraId="61BCA921" w14:textId="2CDF6FF1" w:rsidR="004A199D" w:rsidRPr="0007034B" w:rsidRDefault="003D1C29" w:rsidP="00F23D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lang w:val="es-VE"/>
        </w:rPr>
      </w:pPr>
      <w:r w:rsidRPr="0007034B">
        <w:rPr>
          <w:rFonts w:asciiTheme="majorHAnsi" w:hAnsiTheme="majorHAnsi"/>
          <w:sz w:val="20"/>
          <w:szCs w:val="20"/>
          <w:lang w:val="es-VE"/>
        </w:rPr>
        <w:t>Al respecto, s</w:t>
      </w:r>
      <w:r w:rsidR="00C93151" w:rsidRPr="0007034B">
        <w:rPr>
          <w:rFonts w:asciiTheme="majorHAnsi" w:hAnsiTheme="majorHAnsi"/>
          <w:sz w:val="20"/>
          <w:szCs w:val="20"/>
          <w:lang w:val="es-VE"/>
        </w:rPr>
        <w:t xml:space="preserve">eñala que en la fase de investigación conocida coloquialmente como “Orletti I”, caratulada “Guillamondegui, Néstor Horacio y otro s/privación de la libertad agravada, imposición de tormentos y homicidio agravados” </w:t>
      </w:r>
      <w:r w:rsidR="004A199D" w:rsidRPr="0007034B">
        <w:rPr>
          <w:rFonts w:asciiTheme="majorHAnsi" w:hAnsiTheme="majorHAnsi"/>
          <w:sz w:val="20"/>
          <w:szCs w:val="20"/>
          <w:lang w:val="es-VE"/>
        </w:rPr>
        <w:t xml:space="preserve">el 11 de mayo de 2011 </w:t>
      </w:r>
      <w:r w:rsidR="00C93151" w:rsidRPr="0007034B">
        <w:rPr>
          <w:rFonts w:asciiTheme="majorHAnsi" w:hAnsiTheme="majorHAnsi"/>
          <w:sz w:val="20"/>
          <w:szCs w:val="20"/>
          <w:lang w:val="es-VE"/>
        </w:rPr>
        <w:t>el Tribunal Oral en lo Federal Nro. 1</w:t>
      </w:r>
      <w:r w:rsidR="004A199D" w:rsidRPr="0007034B">
        <w:rPr>
          <w:rFonts w:asciiTheme="majorHAnsi" w:hAnsiTheme="majorHAnsi"/>
          <w:sz w:val="20"/>
          <w:szCs w:val="20"/>
          <w:lang w:val="es-VE"/>
        </w:rPr>
        <w:t xml:space="preserve"> condenó a Eduardo Alfredo Ruffo</w:t>
      </w:r>
      <w:r w:rsidR="00C93151" w:rsidRPr="0007034B">
        <w:rPr>
          <w:rFonts w:asciiTheme="majorHAnsi" w:hAnsiTheme="majorHAnsi"/>
          <w:sz w:val="20"/>
          <w:szCs w:val="20"/>
          <w:lang w:val="es-VE"/>
        </w:rPr>
        <w:t>,</w:t>
      </w:r>
      <w:r w:rsidR="004A199D" w:rsidRPr="0007034B">
        <w:rPr>
          <w:rFonts w:asciiTheme="majorHAnsi" w:hAnsiTheme="majorHAnsi"/>
          <w:sz w:val="20"/>
          <w:szCs w:val="20"/>
          <w:lang w:val="es-VE"/>
        </w:rPr>
        <w:t xml:space="preserve"> Raúl Antonio Guglielminetti, Honorio Carlos Martínez Ruiz y Eduardo Rodolfo Cabanillas a penas de entre 20 años </w:t>
      </w:r>
      <w:r w:rsidR="00FA7F3B" w:rsidRPr="0007034B">
        <w:rPr>
          <w:rFonts w:asciiTheme="majorHAnsi" w:hAnsiTheme="majorHAnsi"/>
          <w:sz w:val="20"/>
          <w:szCs w:val="20"/>
          <w:lang w:val="es-VE"/>
        </w:rPr>
        <w:t xml:space="preserve">de prisión </w:t>
      </w:r>
      <w:r w:rsidR="004A199D" w:rsidRPr="0007034B">
        <w:rPr>
          <w:rFonts w:asciiTheme="majorHAnsi" w:hAnsiTheme="majorHAnsi"/>
          <w:sz w:val="20"/>
          <w:szCs w:val="20"/>
          <w:lang w:val="es-VE"/>
        </w:rPr>
        <w:t xml:space="preserve">y prisión perpetua, </w:t>
      </w:r>
      <w:r w:rsidR="00C93151" w:rsidRPr="0007034B">
        <w:rPr>
          <w:rFonts w:asciiTheme="majorHAnsi" w:hAnsiTheme="majorHAnsi"/>
          <w:sz w:val="20"/>
          <w:szCs w:val="20"/>
          <w:lang w:val="es-VE"/>
        </w:rPr>
        <w:t>por la privación ilegal de la libertad y tormentos de Victoria Grisonas</w:t>
      </w:r>
      <w:r w:rsidR="004A199D" w:rsidRPr="0007034B">
        <w:rPr>
          <w:rFonts w:asciiTheme="majorHAnsi" w:hAnsiTheme="majorHAnsi"/>
          <w:sz w:val="20"/>
          <w:szCs w:val="20"/>
          <w:lang w:val="es-VE"/>
        </w:rPr>
        <w:t>.</w:t>
      </w:r>
      <w:r w:rsidR="00FA7F3B" w:rsidRPr="0007034B">
        <w:rPr>
          <w:rFonts w:asciiTheme="majorHAnsi" w:hAnsiTheme="majorHAnsi"/>
          <w:sz w:val="20"/>
          <w:szCs w:val="20"/>
          <w:lang w:val="es-VE"/>
        </w:rPr>
        <w:t xml:space="preserve"> Dicha sentencia fue confirmada por la CSJN, por lo que se encuentra firme.</w:t>
      </w:r>
      <w:r w:rsidR="004A199D" w:rsidRPr="0007034B">
        <w:rPr>
          <w:rFonts w:asciiTheme="majorHAnsi" w:hAnsiTheme="majorHAnsi"/>
          <w:sz w:val="20"/>
          <w:szCs w:val="20"/>
          <w:lang w:val="es-VE"/>
        </w:rPr>
        <w:t xml:space="preserve"> </w:t>
      </w:r>
      <w:r w:rsidR="005F7201" w:rsidRPr="0007034B">
        <w:rPr>
          <w:rFonts w:asciiTheme="majorHAnsi" w:hAnsiTheme="majorHAnsi"/>
          <w:sz w:val="20"/>
          <w:szCs w:val="20"/>
          <w:lang w:val="es-VE"/>
        </w:rPr>
        <w:t>Indica que, si bien no formaba parte del objeto procesal de la causa, dicha sentencia mencionó que junto con Victoria Grisonas fueron privados ilegalmente de su libertad su</w:t>
      </w:r>
      <w:r w:rsidR="00FC0B74" w:rsidRPr="0007034B">
        <w:rPr>
          <w:rFonts w:asciiTheme="majorHAnsi" w:hAnsiTheme="majorHAnsi"/>
          <w:sz w:val="20"/>
          <w:szCs w:val="20"/>
          <w:lang w:val="es-VE"/>
        </w:rPr>
        <w:t xml:space="preserve"> hijo e hija</w:t>
      </w:r>
      <w:r w:rsidR="005F7201" w:rsidRPr="0007034B">
        <w:rPr>
          <w:rFonts w:asciiTheme="majorHAnsi" w:hAnsiTheme="majorHAnsi"/>
          <w:sz w:val="20"/>
          <w:szCs w:val="20"/>
          <w:lang w:val="es-VE"/>
        </w:rPr>
        <w:t xml:space="preserve"> y que en el operativo perdió la vida su esposo, quien a la fecha se encuentra desaparecido. Manifiesta al respecto que esta causa continúa en pleno trámite en relación a los hechos vinculados al secuestro y privación ilegítima de la libertad de Victoria Grisonas y su</w:t>
      </w:r>
      <w:r w:rsidR="00FC0B74" w:rsidRPr="0007034B">
        <w:rPr>
          <w:rFonts w:asciiTheme="majorHAnsi" w:hAnsiTheme="majorHAnsi"/>
          <w:sz w:val="20"/>
          <w:szCs w:val="20"/>
          <w:lang w:val="es-VE"/>
        </w:rPr>
        <w:t xml:space="preserve"> hijo e hija</w:t>
      </w:r>
      <w:r w:rsidR="005F7201" w:rsidRPr="0007034B">
        <w:rPr>
          <w:rFonts w:asciiTheme="majorHAnsi" w:hAnsiTheme="majorHAnsi"/>
          <w:sz w:val="20"/>
          <w:szCs w:val="20"/>
          <w:lang w:val="es-VE"/>
        </w:rPr>
        <w:t xml:space="preserve">, encontrándose pendiente de ejecución varias medidas probatorias, muchas de ellas solicitadas por la querella particular de Anatole Larrabeiti Yáñez. </w:t>
      </w:r>
    </w:p>
    <w:p w14:paraId="1DB14F8D" w14:textId="77777777" w:rsidR="004A199D" w:rsidRPr="0007034B" w:rsidRDefault="004A199D" w:rsidP="004A199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VE"/>
        </w:rPr>
      </w:pPr>
    </w:p>
    <w:p w14:paraId="364591AA" w14:textId="77777777" w:rsidR="006A22D0" w:rsidRPr="0007034B" w:rsidRDefault="00BB5202" w:rsidP="00F23D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lang w:val="es-VE"/>
        </w:rPr>
      </w:pPr>
      <w:r w:rsidRPr="0007034B">
        <w:rPr>
          <w:rFonts w:asciiTheme="majorHAnsi" w:hAnsiTheme="majorHAnsi"/>
          <w:sz w:val="20"/>
          <w:szCs w:val="20"/>
          <w:lang w:val="es-VE"/>
        </w:rPr>
        <w:t>Asimismo</w:t>
      </w:r>
      <w:r w:rsidR="004A199D" w:rsidRPr="0007034B">
        <w:rPr>
          <w:rFonts w:asciiTheme="majorHAnsi" w:hAnsiTheme="majorHAnsi"/>
          <w:sz w:val="20"/>
          <w:szCs w:val="20"/>
          <w:lang w:val="es-VE"/>
        </w:rPr>
        <w:t>, s</w:t>
      </w:r>
      <w:r w:rsidR="006A22D0" w:rsidRPr="0007034B">
        <w:rPr>
          <w:rFonts w:asciiTheme="majorHAnsi" w:hAnsiTheme="majorHAnsi"/>
          <w:sz w:val="20"/>
          <w:szCs w:val="20"/>
          <w:lang w:val="es-VE"/>
        </w:rPr>
        <w:t>eñala que el 11 de septiembre de 2017 Rolando Oscar Nerone y Oscar Roberto Gutiérrez, quienes integraban el Departamento de Asuntos Extranjeros de la Superintendencia de Seguridad Federal de la Policía Federal Argentina</w:t>
      </w:r>
      <w:r w:rsidR="00487D39" w:rsidRPr="0007034B">
        <w:rPr>
          <w:rFonts w:asciiTheme="majorHAnsi" w:hAnsiTheme="majorHAnsi"/>
          <w:sz w:val="20"/>
          <w:szCs w:val="20"/>
          <w:lang w:val="es-VE"/>
        </w:rPr>
        <w:t>,</w:t>
      </w:r>
      <w:r w:rsidR="006A22D0" w:rsidRPr="0007034B">
        <w:rPr>
          <w:rFonts w:asciiTheme="majorHAnsi" w:hAnsiTheme="majorHAnsi"/>
          <w:sz w:val="20"/>
          <w:szCs w:val="20"/>
          <w:lang w:val="es-VE"/>
        </w:rPr>
        <w:t xml:space="preserve"> fueron condenados </w:t>
      </w:r>
      <w:r w:rsidR="00487D39" w:rsidRPr="0007034B">
        <w:rPr>
          <w:rFonts w:asciiTheme="majorHAnsi" w:hAnsiTheme="majorHAnsi"/>
          <w:sz w:val="20"/>
          <w:szCs w:val="20"/>
          <w:lang w:val="es-VE"/>
        </w:rPr>
        <w:t xml:space="preserve">por el Tribunal Oral en lo Federal Nro. 1, en la causa conocida como “Orletti III”, </w:t>
      </w:r>
      <w:r w:rsidR="006A22D0" w:rsidRPr="0007034B">
        <w:rPr>
          <w:rFonts w:asciiTheme="majorHAnsi" w:hAnsiTheme="majorHAnsi"/>
          <w:sz w:val="20"/>
          <w:szCs w:val="20"/>
          <w:lang w:val="es-VE"/>
        </w:rPr>
        <w:t>a seis años de prisión por el secuestro de Victoria Grisonas</w:t>
      </w:r>
      <w:r w:rsidR="00BB4B9A" w:rsidRPr="0007034B">
        <w:rPr>
          <w:rFonts w:asciiTheme="majorHAnsi" w:hAnsiTheme="majorHAnsi"/>
          <w:sz w:val="20"/>
          <w:szCs w:val="20"/>
          <w:lang w:val="es-VE"/>
        </w:rPr>
        <w:t>, y absueltos por el homicidio de Mario Julien</w:t>
      </w:r>
      <w:r w:rsidR="006A22D0" w:rsidRPr="0007034B">
        <w:rPr>
          <w:rFonts w:asciiTheme="majorHAnsi" w:hAnsiTheme="majorHAnsi"/>
          <w:sz w:val="20"/>
          <w:szCs w:val="20"/>
          <w:lang w:val="es-VE"/>
        </w:rPr>
        <w:t xml:space="preserve">. </w:t>
      </w:r>
      <w:r w:rsidR="00487D39" w:rsidRPr="0007034B">
        <w:rPr>
          <w:rFonts w:asciiTheme="majorHAnsi" w:hAnsiTheme="majorHAnsi"/>
          <w:sz w:val="20"/>
          <w:szCs w:val="20"/>
          <w:lang w:val="es-VE"/>
        </w:rPr>
        <w:t>Indica además que la Causa “Vallejo, Orestes y otros s/privación ilegal de la libertad agravada” que tramita el Juzgado de Instrucción en lo Criminal y Correccional Federal de la Capital Nro. 3, Secretaría Nro. 6, se encuentra en la etapa de investigación.</w:t>
      </w:r>
      <w:r w:rsidR="00C93151" w:rsidRPr="0007034B">
        <w:rPr>
          <w:rFonts w:asciiTheme="majorHAnsi" w:hAnsiTheme="majorHAnsi"/>
          <w:sz w:val="20"/>
          <w:szCs w:val="20"/>
          <w:lang w:val="es-VE"/>
        </w:rPr>
        <w:t xml:space="preserve"> </w:t>
      </w:r>
    </w:p>
    <w:p w14:paraId="25F1FE80" w14:textId="77777777" w:rsidR="00BB5202" w:rsidRPr="0007034B" w:rsidRDefault="00BB5202" w:rsidP="00BB5202">
      <w:pPr>
        <w:pStyle w:val="ListParagraph"/>
        <w:rPr>
          <w:rFonts w:asciiTheme="majorHAnsi" w:hAnsiTheme="majorHAnsi"/>
          <w:sz w:val="20"/>
          <w:szCs w:val="20"/>
          <w:lang w:val="es-VE"/>
        </w:rPr>
      </w:pPr>
    </w:p>
    <w:p w14:paraId="4FBD42E0" w14:textId="77777777" w:rsidR="009C6D0E" w:rsidRPr="0007034B" w:rsidRDefault="009C6D0E" w:rsidP="00F23D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lang w:val="es-VE"/>
        </w:rPr>
      </w:pPr>
      <w:r w:rsidRPr="0007034B">
        <w:rPr>
          <w:rFonts w:asciiTheme="majorHAnsi" w:hAnsiTheme="majorHAnsi"/>
          <w:sz w:val="20"/>
          <w:szCs w:val="20"/>
          <w:lang w:val="es-VE"/>
        </w:rPr>
        <w:t>De acuerdo al Estado, la Secretaría de Derechos Humanos y Pluralismo Cultural es querellante en la mayoría de las causas donde se investigan crímenes de lesa humanidad, entre ellas las referidas a “Automotores Orletti”.</w:t>
      </w:r>
      <w:r w:rsidR="003D1C29" w:rsidRPr="0007034B">
        <w:rPr>
          <w:rFonts w:asciiTheme="majorHAnsi" w:hAnsiTheme="majorHAnsi"/>
          <w:sz w:val="20"/>
          <w:szCs w:val="20"/>
          <w:lang w:val="es-VE"/>
        </w:rPr>
        <w:t xml:space="preserve"> </w:t>
      </w:r>
      <w:r w:rsidRPr="0007034B">
        <w:rPr>
          <w:rFonts w:asciiTheme="majorHAnsi" w:hAnsiTheme="majorHAnsi"/>
          <w:sz w:val="20"/>
          <w:szCs w:val="20"/>
          <w:lang w:val="es-VE"/>
        </w:rPr>
        <w:t xml:space="preserve">Indica que </w:t>
      </w:r>
      <w:r w:rsidR="003D1C29" w:rsidRPr="0007034B">
        <w:rPr>
          <w:rFonts w:asciiTheme="majorHAnsi" w:hAnsiTheme="majorHAnsi"/>
          <w:sz w:val="20"/>
          <w:szCs w:val="20"/>
          <w:lang w:val="es-VE"/>
        </w:rPr>
        <w:t>la Secretaría</w:t>
      </w:r>
      <w:r w:rsidR="006F034F" w:rsidRPr="0007034B">
        <w:rPr>
          <w:rFonts w:asciiTheme="majorHAnsi" w:hAnsiTheme="majorHAnsi"/>
          <w:sz w:val="20"/>
          <w:szCs w:val="20"/>
          <w:lang w:val="es-VE"/>
        </w:rPr>
        <w:t xml:space="preserve"> </w:t>
      </w:r>
      <w:r w:rsidR="003D1C29" w:rsidRPr="0007034B">
        <w:rPr>
          <w:rFonts w:asciiTheme="majorHAnsi" w:hAnsiTheme="majorHAnsi"/>
          <w:sz w:val="20"/>
          <w:szCs w:val="20"/>
          <w:lang w:val="es-VE"/>
        </w:rPr>
        <w:t>de Derechos Humanos</w:t>
      </w:r>
      <w:r w:rsidRPr="0007034B">
        <w:rPr>
          <w:rFonts w:asciiTheme="majorHAnsi" w:hAnsiTheme="majorHAnsi"/>
          <w:sz w:val="20"/>
          <w:szCs w:val="20"/>
          <w:lang w:val="es-VE"/>
        </w:rPr>
        <w:t xml:space="preserve"> solicitó que se condene a Oscar Rolando Nerone y a Oscar Roberto Gutiérrez a prisión perpetua como coautores por el secuestro de Victoria Grisonas y el homicidio de Mario Julien, calificándolos como delitos de lesa humanidad.</w:t>
      </w:r>
      <w:r w:rsidR="003D1C29" w:rsidRPr="0007034B">
        <w:rPr>
          <w:rFonts w:asciiTheme="majorHAnsi" w:hAnsiTheme="majorHAnsi"/>
          <w:sz w:val="20"/>
          <w:szCs w:val="20"/>
          <w:lang w:val="es-VE"/>
        </w:rPr>
        <w:t xml:space="preserve"> Señala además que las víctimas tienen el derecho a ejercer la acusación de carácter particular en calidad de querellantes, lo cual en modo alguno puede entenderse como una carga, siendo el ejercicio de este derecho voluntario.</w:t>
      </w:r>
    </w:p>
    <w:p w14:paraId="2ABB6511" w14:textId="77777777" w:rsidR="009C6D0E" w:rsidRPr="0007034B" w:rsidRDefault="009C6D0E" w:rsidP="009C6D0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VE"/>
        </w:rPr>
      </w:pPr>
    </w:p>
    <w:p w14:paraId="722100E9" w14:textId="77777777" w:rsidR="00BB5202" w:rsidRPr="0007034B" w:rsidRDefault="00FC3552" w:rsidP="00F23D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lang w:val="es-VE"/>
        </w:rPr>
      </w:pPr>
      <w:r w:rsidRPr="0007034B">
        <w:rPr>
          <w:rFonts w:asciiTheme="majorHAnsi" w:hAnsiTheme="majorHAnsi"/>
          <w:sz w:val="20"/>
          <w:szCs w:val="20"/>
          <w:lang w:val="es-VE"/>
        </w:rPr>
        <w:t>Asimismo</w:t>
      </w:r>
      <w:r w:rsidR="00BB5202" w:rsidRPr="0007034B">
        <w:rPr>
          <w:rFonts w:asciiTheme="majorHAnsi" w:hAnsiTheme="majorHAnsi"/>
          <w:sz w:val="20"/>
          <w:szCs w:val="20"/>
          <w:lang w:val="es-VE"/>
        </w:rPr>
        <w:t xml:space="preserve">, </w:t>
      </w:r>
      <w:r w:rsidR="009C7698" w:rsidRPr="0007034B">
        <w:rPr>
          <w:rFonts w:asciiTheme="majorHAnsi" w:hAnsiTheme="majorHAnsi"/>
          <w:sz w:val="20"/>
          <w:szCs w:val="20"/>
          <w:lang w:val="es-VE"/>
        </w:rPr>
        <w:t>e</w:t>
      </w:r>
      <w:r w:rsidR="00FA7F3B" w:rsidRPr="0007034B">
        <w:rPr>
          <w:rFonts w:asciiTheme="majorHAnsi" w:hAnsiTheme="majorHAnsi"/>
          <w:sz w:val="20"/>
          <w:szCs w:val="20"/>
          <w:lang w:val="es-VE"/>
        </w:rPr>
        <w:t>l Estado señala que en la Causa penal Nro. 1351 “Nicolaides Cristino y otros s/sustracción, retención y ocultamiento de menores”, conocida coloquialmente como “Plan Sistemático”, caratulada “Franco, Rubén O. y otros s/sustracción de menores de diez años”, el 6 de julio de 2012 el Tribunal Oral Federal Nro. 6 condenó a Jorge Rafael Videla como autor de los delitos de sustracción, retención y ocultamiento de un menor de diez años en concurso ideal con el de hacer incierto el estado civil de un menor de diez años</w:t>
      </w:r>
      <w:r w:rsidR="009C6D0E" w:rsidRPr="0007034B">
        <w:rPr>
          <w:rFonts w:asciiTheme="majorHAnsi" w:hAnsiTheme="majorHAnsi"/>
          <w:sz w:val="20"/>
          <w:szCs w:val="20"/>
          <w:lang w:val="es-VE"/>
        </w:rPr>
        <w:t>,</w:t>
      </w:r>
      <w:r w:rsidR="00FA7F3B" w:rsidRPr="0007034B">
        <w:rPr>
          <w:rFonts w:asciiTheme="majorHAnsi" w:hAnsiTheme="majorHAnsi"/>
          <w:sz w:val="20"/>
          <w:szCs w:val="20"/>
          <w:lang w:val="es-VE"/>
        </w:rPr>
        <w:t xml:space="preserve"> en los casos de los hermanos Larrabeiti Yáñez. </w:t>
      </w:r>
    </w:p>
    <w:p w14:paraId="772CCC46" w14:textId="77777777" w:rsidR="00E7273D" w:rsidRPr="0007034B" w:rsidRDefault="00E7273D" w:rsidP="00E7273D">
      <w:pPr>
        <w:pStyle w:val="ListParagraph"/>
        <w:rPr>
          <w:rFonts w:asciiTheme="majorHAnsi" w:hAnsiTheme="majorHAnsi"/>
          <w:sz w:val="20"/>
          <w:szCs w:val="20"/>
          <w:lang w:val="es-VE"/>
        </w:rPr>
      </w:pPr>
    </w:p>
    <w:p w14:paraId="0CA58D59" w14:textId="12D63410" w:rsidR="00E7273D" w:rsidRPr="0007034B" w:rsidRDefault="00E7273D" w:rsidP="00F23D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lang w:val="es-VE"/>
        </w:rPr>
      </w:pPr>
      <w:r w:rsidRPr="0007034B">
        <w:rPr>
          <w:rFonts w:asciiTheme="majorHAnsi" w:hAnsiTheme="majorHAnsi"/>
          <w:sz w:val="20"/>
          <w:szCs w:val="20"/>
          <w:lang w:val="es-VE"/>
        </w:rPr>
        <w:t xml:space="preserve">Respecto a los daños por los hechos sufridos por </w:t>
      </w:r>
      <w:r w:rsidRPr="0007034B">
        <w:rPr>
          <w:rFonts w:asciiTheme="majorHAnsi" w:hAnsiTheme="majorHAnsi"/>
          <w:sz w:val="20"/>
          <w:szCs w:val="20"/>
          <w:lang w:val="es-AR"/>
        </w:rPr>
        <w:t xml:space="preserve">los hermanos Larrabeiti Yáñez y sus progenitores, el Estado indica que la CSJN declaró prescrita la acción porque no se acreditaron las razones por las cuales los padres adoptivos habrían estado temporalmente impedidos de deducir la demanda, cuando menos a partir del año 1986, </w:t>
      </w:r>
      <w:r w:rsidR="003C5BB7" w:rsidRPr="0007034B">
        <w:rPr>
          <w:rFonts w:asciiTheme="majorHAnsi" w:hAnsiTheme="majorHAnsi"/>
          <w:sz w:val="20"/>
          <w:szCs w:val="20"/>
          <w:lang w:val="es-AR"/>
        </w:rPr>
        <w:t xml:space="preserve">año </w:t>
      </w:r>
      <w:r w:rsidRPr="0007034B">
        <w:rPr>
          <w:rFonts w:asciiTheme="majorHAnsi" w:hAnsiTheme="majorHAnsi"/>
          <w:sz w:val="20"/>
          <w:szCs w:val="20"/>
          <w:lang w:val="es-AR"/>
        </w:rPr>
        <w:t>en que fue publicado el informe de la CONADEP. Manifiesta que en dicha sentencia la CSJN señaló que la admisión de la excepción de prescripción no imp</w:t>
      </w:r>
      <w:r w:rsidR="00272D1F" w:rsidRPr="0007034B">
        <w:rPr>
          <w:rFonts w:asciiTheme="majorHAnsi" w:hAnsiTheme="majorHAnsi"/>
          <w:sz w:val="20"/>
          <w:szCs w:val="20"/>
          <w:lang w:val="es-AR"/>
        </w:rPr>
        <w:t>lica</w:t>
      </w:r>
      <w:r w:rsidRPr="0007034B">
        <w:rPr>
          <w:rFonts w:asciiTheme="majorHAnsi" w:hAnsiTheme="majorHAnsi"/>
          <w:sz w:val="20"/>
          <w:szCs w:val="20"/>
          <w:lang w:val="es-AR"/>
        </w:rPr>
        <w:t xml:space="preserve"> dejar sin reparar los daños a través de las leyes reparatorias Nro. 24.411 y 25.914. El Estado menciona que e</w:t>
      </w:r>
      <w:r w:rsidR="00D66DDF" w:rsidRPr="0007034B">
        <w:rPr>
          <w:rFonts w:asciiTheme="majorHAnsi" w:hAnsiTheme="majorHAnsi"/>
          <w:sz w:val="20"/>
          <w:szCs w:val="20"/>
          <w:lang w:val="es-AR"/>
        </w:rPr>
        <w:t>l</w:t>
      </w:r>
      <w:r w:rsidRPr="0007034B">
        <w:rPr>
          <w:rFonts w:asciiTheme="majorHAnsi" w:hAnsiTheme="majorHAnsi"/>
          <w:sz w:val="20"/>
          <w:szCs w:val="20"/>
          <w:lang w:val="es-AR"/>
        </w:rPr>
        <w:t xml:space="preserve"> criterio según el cual</w:t>
      </w:r>
      <w:r w:rsidR="00D66DDF" w:rsidRPr="0007034B">
        <w:rPr>
          <w:rFonts w:asciiTheme="majorHAnsi" w:hAnsiTheme="majorHAnsi"/>
          <w:sz w:val="20"/>
          <w:szCs w:val="20"/>
          <w:lang w:val="es-AR"/>
        </w:rPr>
        <w:t xml:space="preserve"> la imprescriptibilidad de </w:t>
      </w:r>
      <w:r w:rsidRPr="0007034B">
        <w:rPr>
          <w:rFonts w:asciiTheme="majorHAnsi" w:hAnsiTheme="majorHAnsi"/>
          <w:sz w:val="20"/>
          <w:szCs w:val="20"/>
          <w:lang w:val="es-AR"/>
        </w:rPr>
        <w:t xml:space="preserve">las acciones civiles derivadas de delitos de lesa humanidad no rige </w:t>
      </w:r>
      <w:r w:rsidR="00D66DDF" w:rsidRPr="0007034B">
        <w:rPr>
          <w:rFonts w:asciiTheme="majorHAnsi" w:hAnsiTheme="majorHAnsi"/>
          <w:sz w:val="20"/>
          <w:szCs w:val="20"/>
          <w:lang w:val="es-AR"/>
        </w:rPr>
        <w:t>en casos en que los</w:t>
      </w:r>
      <w:r w:rsidRPr="0007034B">
        <w:rPr>
          <w:rFonts w:asciiTheme="majorHAnsi" w:hAnsiTheme="majorHAnsi"/>
          <w:sz w:val="20"/>
          <w:szCs w:val="20"/>
          <w:lang w:val="es-AR"/>
        </w:rPr>
        <w:t xml:space="preserve"> plazos de prescripción </w:t>
      </w:r>
      <w:r w:rsidR="00D66DDF" w:rsidRPr="0007034B">
        <w:rPr>
          <w:rFonts w:asciiTheme="majorHAnsi" w:hAnsiTheme="majorHAnsi"/>
          <w:sz w:val="20"/>
          <w:szCs w:val="20"/>
          <w:lang w:val="es-AR"/>
        </w:rPr>
        <w:t xml:space="preserve">estaban </w:t>
      </w:r>
      <w:r w:rsidRPr="0007034B">
        <w:rPr>
          <w:rFonts w:asciiTheme="majorHAnsi" w:hAnsiTheme="majorHAnsi"/>
          <w:sz w:val="20"/>
          <w:szCs w:val="20"/>
          <w:lang w:val="es-AR"/>
        </w:rPr>
        <w:t xml:space="preserve">en curso al momento de entrada en vigencia del </w:t>
      </w:r>
      <w:r w:rsidR="00BD08A1" w:rsidRPr="0007034B">
        <w:rPr>
          <w:rFonts w:asciiTheme="majorHAnsi" w:hAnsiTheme="majorHAnsi"/>
          <w:sz w:val="20"/>
          <w:szCs w:val="20"/>
          <w:lang w:val="es-AR"/>
        </w:rPr>
        <w:t xml:space="preserve">nuevo </w:t>
      </w:r>
      <w:r w:rsidRPr="0007034B">
        <w:rPr>
          <w:rFonts w:asciiTheme="majorHAnsi" w:hAnsiTheme="majorHAnsi"/>
          <w:sz w:val="20"/>
          <w:szCs w:val="20"/>
          <w:lang w:val="es-AR"/>
        </w:rPr>
        <w:t>Código</w:t>
      </w:r>
      <w:r w:rsidR="00BD08A1" w:rsidRPr="0007034B">
        <w:rPr>
          <w:rFonts w:asciiTheme="majorHAnsi" w:hAnsiTheme="majorHAnsi"/>
          <w:sz w:val="20"/>
          <w:szCs w:val="20"/>
          <w:lang w:val="es-AR"/>
        </w:rPr>
        <w:t xml:space="preserve"> Civil y Comercial</w:t>
      </w:r>
      <w:r w:rsidRPr="0007034B">
        <w:rPr>
          <w:rFonts w:asciiTheme="majorHAnsi" w:hAnsiTheme="majorHAnsi"/>
          <w:sz w:val="20"/>
          <w:szCs w:val="20"/>
          <w:lang w:val="es-AR"/>
        </w:rPr>
        <w:t>, ha sido confirmad</w:t>
      </w:r>
      <w:r w:rsidR="00D66DDF" w:rsidRPr="0007034B">
        <w:rPr>
          <w:rFonts w:asciiTheme="majorHAnsi" w:hAnsiTheme="majorHAnsi"/>
          <w:sz w:val="20"/>
          <w:szCs w:val="20"/>
          <w:lang w:val="es-AR"/>
        </w:rPr>
        <w:t>a</w:t>
      </w:r>
      <w:r w:rsidRPr="0007034B">
        <w:rPr>
          <w:rFonts w:asciiTheme="majorHAnsi" w:hAnsiTheme="majorHAnsi"/>
          <w:sz w:val="20"/>
          <w:szCs w:val="20"/>
          <w:lang w:val="es-AR"/>
        </w:rPr>
        <w:t xml:space="preserve"> en el último precedente </w:t>
      </w:r>
      <w:r w:rsidR="00D66DDF" w:rsidRPr="0007034B">
        <w:rPr>
          <w:rFonts w:asciiTheme="majorHAnsi" w:hAnsiTheme="majorHAnsi"/>
          <w:sz w:val="20"/>
          <w:szCs w:val="20"/>
          <w:lang w:val="es-AR"/>
        </w:rPr>
        <w:t xml:space="preserve">de la CSJN </w:t>
      </w:r>
      <w:r w:rsidRPr="0007034B">
        <w:rPr>
          <w:rFonts w:asciiTheme="majorHAnsi" w:hAnsiTheme="majorHAnsi"/>
          <w:sz w:val="20"/>
          <w:szCs w:val="20"/>
          <w:lang w:val="es-AR"/>
        </w:rPr>
        <w:t>de fecha 28 de marzo de 2017</w:t>
      </w:r>
      <w:r w:rsidR="008F2A24" w:rsidRPr="0007034B">
        <w:rPr>
          <w:rFonts w:asciiTheme="majorHAnsi" w:hAnsiTheme="majorHAnsi"/>
          <w:sz w:val="20"/>
          <w:szCs w:val="20"/>
          <w:lang w:val="es-AR"/>
        </w:rPr>
        <w:t>, en un caso ajeno a la causa de los hermanos Larrabieti Yáñez</w:t>
      </w:r>
      <w:r w:rsidRPr="0007034B">
        <w:rPr>
          <w:rFonts w:asciiTheme="majorHAnsi" w:hAnsiTheme="majorHAnsi"/>
          <w:sz w:val="20"/>
          <w:szCs w:val="20"/>
          <w:lang w:val="es-AR"/>
        </w:rPr>
        <w:t xml:space="preserve">. </w:t>
      </w:r>
    </w:p>
    <w:p w14:paraId="462C42CF" w14:textId="77777777" w:rsidR="00E7273D" w:rsidRPr="0007034B" w:rsidRDefault="00E7273D" w:rsidP="00E7273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VE"/>
        </w:rPr>
      </w:pPr>
    </w:p>
    <w:p w14:paraId="2B0BD0DF" w14:textId="46785B4E" w:rsidR="00E7273D" w:rsidRPr="0007034B" w:rsidRDefault="003C5BB7" w:rsidP="00F23D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lang w:val="es-VE"/>
        </w:rPr>
      </w:pPr>
      <w:r w:rsidRPr="0007034B">
        <w:rPr>
          <w:rFonts w:asciiTheme="majorHAnsi" w:hAnsiTheme="majorHAnsi"/>
          <w:sz w:val="20"/>
          <w:szCs w:val="20"/>
          <w:lang w:val="es-VE"/>
        </w:rPr>
        <w:t>En relación con</w:t>
      </w:r>
      <w:r w:rsidR="00E7273D" w:rsidRPr="0007034B">
        <w:rPr>
          <w:rFonts w:asciiTheme="majorHAnsi" w:hAnsiTheme="majorHAnsi"/>
          <w:sz w:val="20"/>
          <w:szCs w:val="20"/>
          <w:lang w:val="es-AR"/>
        </w:rPr>
        <w:t xml:space="preserve"> la alegada falta de reparación adecuada, el Estado concluye que las leyes reparatorias resultan ser los mecanismos adecuados para dar una respuesta satisfactoria a los reclamos de índole pecuniaria. </w:t>
      </w:r>
      <w:r w:rsidR="00BD08A1" w:rsidRPr="0007034B">
        <w:rPr>
          <w:rFonts w:asciiTheme="majorHAnsi" w:hAnsiTheme="majorHAnsi"/>
          <w:sz w:val="20"/>
          <w:szCs w:val="20"/>
          <w:lang w:val="es-AR"/>
        </w:rPr>
        <w:t xml:space="preserve">Señala que las mismas reconocieron un beneficio especial a las personas que no hubieran promovido las respectivas acciones de daños y perjuicios en el plazo general de prescripción, por lo que el Estado brindó una respuesta en conformidad con los principios de justicia distributiva para evitar a las </w:t>
      </w:r>
      <w:r w:rsidR="00BD08A1" w:rsidRPr="0007034B">
        <w:rPr>
          <w:rFonts w:asciiTheme="majorHAnsi" w:hAnsiTheme="majorHAnsi"/>
          <w:sz w:val="20"/>
          <w:szCs w:val="20"/>
          <w:lang w:val="es-AR"/>
        </w:rPr>
        <w:lastRenderedPageBreak/>
        <w:t>víctimas la privación de todo resarcimiento.</w:t>
      </w:r>
      <w:r w:rsidR="004F3B60" w:rsidRPr="0007034B">
        <w:rPr>
          <w:rFonts w:asciiTheme="majorHAnsi" w:hAnsiTheme="majorHAnsi"/>
          <w:sz w:val="20"/>
          <w:szCs w:val="20"/>
          <w:lang w:val="es-AR"/>
        </w:rPr>
        <w:t xml:space="preserve"> E</w:t>
      </w:r>
      <w:r w:rsidR="00E7273D" w:rsidRPr="0007034B">
        <w:rPr>
          <w:rFonts w:asciiTheme="majorHAnsi" w:hAnsiTheme="majorHAnsi"/>
          <w:sz w:val="20"/>
          <w:szCs w:val="20"/>
          <w:lang w:val="es-VE"/>
        </w:rPr>
        <w:t xml:space="preserve">l Estado informa que </w:t>
      </w:r>
      <w:r w:rsidR="004F3B60" w:rsidRPr="0007034B">
        <w:rPr>
          <w:rFonts w:asciiTheme="majorHAnsi" w:hAnsiTheme="majorHAnsi"/>
          <w:sz w:val="20"/>
          <w:szCs w:val="20"/>
          <w:lang w:val="es-VE"/>
        </w:rPr>
        <w:t xml:space="preserve">en el presente caso </w:t>
      </w:r>
      <w:r w:rsidR="00E7273D" w:rsidRPr="0007034B">
        <w:rPr>
          <w:rFonts w:asciiTheme="majorHAnsi" w:hAnsiTheme="majorHAnsi"/>
          <w:sz w:val="20"/>
          <w:szCs w:val="20"/>
          <w:lang w:val="es-VE"/>
        </w:rPr>
        <w:t>se inici</w:t>
      </w:r>
      <w:r w:rsidR="003D3644">
        <w:rPr>
          <w:rFonts w:asciiTheme="majorHAnsi" w:hAnsiTheme="majorHAnsi"/>
          <w:sz w:val="20"/>
          <w:szCs w:val="20"/>
          <w:lang w:val="es-VE"/>
        </w:rPr>
        <w:t>aron</w:t>
      </w:r>
      <w:r w:rsidR="00E7273D" w:rsidRPr="0007034B">
        <w:rPr>
          <w:rFonts w:asciiTheme="majorHAnsi" w:hAnsiTheme="majorHAnsi"/>
          <w:sz w:val="20"/>
          <w:szCs w:val="20"/>
          <w:lang w:val="es-VE"/>
        </w:rPr>
        <w:t xml:space="preserve"> </w:t>
      </w:r>
      <w:r w:rsidR="00105519" w:rsidRPr="0007034B">
        <w:rPr>
          <w:rFonts w:asciiTheme="majorHAnsi" w:hAnsiTheme="majorHAnsi"/>
          <w:sz w:val="20"/>
          <w:szCs w:val="20"/>
          <w:lang w:val="es-VE"/>
        </w:rPr>
        <w:t>los</w:t>
      </w:r>
      <w:r w:rsidR="00E7273D" w:rsidRPr="0007034B">
        <w:rPr>
          <w:rFonts w:asciiTheme="majorHAnsi" w:hAnsiTheme="majorHAnsi"/>
          <w:sz w:val="20"/>
          <w:szCs w:val="20"/>
          <w:lang w:val="es-VE"/>
        </w:rPr>
        <w:t xml:space="preserve"> trámite</w:t>
      </w:r>
      <w:r w:rsidR="00105519" w:rsidRPr="0007034B">
        <w:rPr>
          <w:rFonts w:asciiTheme="majorHAnsi" w:hAnsiTheme="majorHAnsi"/>
          <w:sz w:val="20"/>
          <w:szCs w:val="20"/>
          <w:lang w:val="es-VE"/>
        </w:rPr>
        <w:t>s</w:t>
      </w:r>
      <w:r w:rsidR="00E7273D" w:rsidRPr="0007034B">
        <w:rPr>
          <w:rFonts w:asciiTheme="majorHAnsi" w:hAnsiTheme="majorHAnsi"/>
          <w:sz w:val="20"/>
          <w:szCs w:val="20"/>
          <w:lang w:val="es-VE"/>
        </w:rPr>
        <w:t xml:space="preserve"> administrativo</w:t>
      </w:r>
      <w:r w:rsidR="00105519" w:rsidRPr="0007034B">
        <w:rPr>
          <w:rFonts w:asciiTheme="majorHAnsi" w:hAnsiTheme="majorHAnsi"/>
          <w:sz w:val="20"/>
          <w:szCs w:val="20"/>
          <w:lang w:val="es-VE"/>
        </w:rPr>
        <w:t>s</w:t>
      </w:r>
      <w:r w:rsidR="00E7273D" w:rsidRPr="0007034B">
        <w:rPr>
          <w:rFonts w:asciiTheme="majorHAnsi" w:hAnsiTheme="majorHAnsi"/>
          <w:sz w:val="20"/>
          <w:szCs w:val="20"/>
          <w:lang w:val="es-VE"/>
        </w:rPr>
        <w:t xml:space="preserve"> establecido</w:t>
      </w:r>
      <w:r w:rsidR="003D3644">
        <w:rPr>
          <w:rFonts w:asciiTheme="majorHAnsi" w:hAnsiTheme="majorHAnsi"/>
          <w:sz w:val="20"/>
          <w:szCs w:val="20"/>
          <w:lang w:val="es-VE"/>
        </w:rPr>
        <w:t>s</w:t>
      </w:r>
      <w:r w:rsidR="00E7273D" w:rsidRPr="0007034B">
        <w:rPr>
          <w:rFonts w:asciiTheme="majorHAnsi" w:hAnsiTheme="majorHAnsi"/>
          <w:sz w:val="20"/>
          <w:szCs w:val="20"/>
          <w:lang w:val="es-VE"/>
        </w:rPr>
        <w:t xml:space="preserve"> en las </w:t>
      </w:r>
      <w:r w:rsidR="00105519" w:rsidRPr="0007034B">
        <w:rPr>
          <w:rFonts w:asciiTheme="majorHAnsi" w:hAnsiTheme="majorHAnsi"/>
          <w:sz w:val="20"/>
          <w:szCs w:val="20"/>
          <w:lang w:val="es-VE"/>
        </w:rPr>
        <w:t>l</w:t>
      </w:r>
      <w:r w:rsidR="00E7273D" w:rsidRPr="0007034B">
        <w:rPr>
          <w:rFonts w:asciiTheme="majorHAnsi" w:hAnsiTheme="majorHAnsi"/>
          <w:sz w:val="20"/>
          <w:szCs w:val="20"/>
          <w:lang w:val="es-VE"/>
        </w:rPr>
        <w:t xml:space="preserve">eyes </w:t>
      </w:r>
      <w:r w:rsidR="00105519" w:rsidRPr="0007034B">
        <w:rPr>
          <w:rFonts w:asciiTheme="majorHAnsi" w:hAnsiTheme="majorHAnsi"/>
          <w:sz w:val="20"/>
          <w:szCs w:val="20"/>
          <w:lang w:val="es-VE"/>
        </w:rPr>
        <w:t xml:space="preserve">Nro. </w:t>
      </w:r>
      <w:r w:rsidR="00E7273D" w:rsidRPr="0007034B">
        <w:rPr>
          <w:rFonts w:asciiTheme="majorHAnsi" w:hAnsiTheme="majorHAnsi"/>
          <w:sz w:val="20"/>
          <w:szCs w:val="20"/>
          <w:lang w:val="es-VE"/>
        </w:rPr>
        <w:t xml:space="preserve">24.411 y 25.914 a nombre de Mario Julien y de Victoria Grisonas, los cuales fueron en un primer momento archivados dado que había un juicio contra el Estado, y que ante presentaciones del representante de </w:t>
      </w:r>
      <w:r w:rsidR="00E7273D" w:rsidRPr="0007034B">
        <w:rPr>
          <w:rFonts w:asciiTheme="majorHAnsi" w:hAnsiTheme="majorHAnsi"/>
          <w:sz w:val="20"/>
          <w:szCs w:val="20"/>
          <w:lang w:val="es-AR"/>
        </w:rPr>
        <w:t xml:space="preserve">los hermanos Larrabeiti Yáñez en el año 2016 los expedientes fueron desarchivados. </w:t>
      </w:r>
      <w:r w:rsidR="004F3B60" w:rsidRPr="0007034B">
        <w:rPr>
          <w:rFonts w:asciiTheme="majorHAnsi" w:hAnsiTheme="majorHAnsi"/>
          <w:sz w:val="20"/>
          <w:szCs w:val="20"/>
          <w:lang w:val="es-AR"/>
        </w:rPr>
        <w:t>E</w:t>
      </w:r>
      <w:r w:rsidR="0038488B" w:rsidRPr="0007034B">
        <w:rPr>
          <w:rFonts w:asciiTheme="majorHAnsi" w:hAnsiTheme="majorHAnsi"/>
          <w:sz w:val="20"/>
          <w:szCs w:val="20"/>
          <w:lang w:val="es-AR"/>
        </w:rPr>
        <w:t>n su última comunicación presentada en el año 2018 e</w:t>
      </w:r>
      <w:r w:rsidR="004F3B60" w:rsidRPr="0007034B">
        <w:rPr>
          <w:rFonts w:asciiTheme="majorHAnsi" w:hAnsiTheme="majorHAnsi"/>
          <w:sz w:val="20"/>
          <w:szCs w:val="20"/>
          <w:lang w:val="es-AR"/>
        </w:rPr>
        <w:t>l Estado señala que</w:t>
      </w:r>
      <w:r w:rsidRPr="0007034B">
        <w:rPr>
          <w:rFonts w:asciiTheme="majorHAnsi" w:hAnsiTheme="majorHAnsi"/>
          <w:sz w:val="20"/>
          <w:szCs w:val="20"/>
          <w:lang w:val="es-AR"/>
        </w:rPr>
        <w:t>,</w:t>
      </w:r>
      <w:r w:rsidR="004F3B60" w:rsidRPr="0007034B">
        <w:rPr>
          <w:rFonts w:asciiTheme="majorHAnsi" w:hAnsiTheme="majorHAnsi"/>
          <w:sz w:val="20"/>
          <w:szCs w:val="20"/>
          <w:lang w:val="es-AR"/>
        </w:rPr>
        <w:t xml:space="preserve"> si hasta la fecha los hermanos no han tenido acceso a estos beneficios, es debido a la existencia de un reclamo </w:t>
      </w:r>
      <w:r w:rsidR="00E7273D" w:rsidRPr="0007034B">
        <w:rPr>
          <w:rFonts w:asciiTheme="majorHAnsi" w:hAnsiTheme="majorHAnsi"/>
          <w:sz w:val="20"/>
          <w:szCs w:val="20"/>
          <w:lang w:val="es-AR"/>
        </w:rPr>
        <w:t>contra el</w:t>
      </w:r>
      <w:r w:rsidR="004F3B60" w:rsidRPr="0007034B">
        <w:rPr>
          <w:rFonts w:asciiTheme="majorHAnsi" w:hAnsiTheme="majorHAnsi"/>
          <w:sz w:val="20"/>
          <w:szCs w:val="20"/>
          <w:lang w:val="es-AR"/>
        </w:rPr>
        <w:t xml:space="preserve"> </w:t>
      </w:r>
      <w:r w:rsidR="00E7273D" w:rsidRPr="0007034B">
        <w:rPr>
          <w:rFonts w:asciiTheme="majorHAnsi" w:hAnsiTheme="majorHAnsi"/>
          <w:sz w:val="20"/>
          <w:szCs w:val="20"/>
          <w:lang w:val="es-AR"/>
        </w:rPr>
        <w:t>Estado argentino por los mismos hechos. Ante el alegato de la parte peticionaria respecto a que la Ley</w:t>
      </w:r>
      <w:r w:rsidR="000A3729" w:rsidRPr="0007034B">
        <w:rPr>
          <w:rFonts w:asciiTheme="majorHAnsi" w:hAnsiTheme="majorHAnsi"/>
          <w:sz w:val="20"/>
          <w:szCs w:val="20"/>
          <w:lang w:val="es-AR"/>
        </w:rPr>
        <w:t xml:space="preserve"> Nro.</w:t>
      </w:r>
      <w:r w:rsidR="00E7273D" w:rsidRPr="0007034B">
        <w:rPr>
          <w:rFonts w:asciiTheme="majorHAnsi" w:hAnsiTheme="majorHAnsi"/>
          <w:sz w:val="20"/>
          <w:szCs w:val="20"/>
          <w:lang w:val="es-AR"/>
        </w:rPr>
        <w:t xml:space="preserve"> 24.411 contempla solo los casos de desapariciones forzadas seguidas de muerte o que continúan en dicha situación, el Estado indica que en los casos de detenciones ilegales la vía reparatoria adecuada es la Ley</w:t>
      </w:r>
      <w:r w:rsidR="00171E0F" w:rsidRPr="0007034B">
        <w:rPr>
          <w:rFonts w:asciiTheme="majorHAnsi" w:hAnsiTheme="majorHAnsi"/>
          <w:sz w:val="20"/>
          <w:szCs w:val="20"/>
          <w:lang w:val="es-AR"/>
        </w:rPr>
        <w:t xml:space="preserve"> Nro.</w:t>
      </w:r>
      <w:r w:rsidR="00E7273D" w:rsidRPr="0007034B">
        <w:rPr>
          <w:rFonts w:asciiTheme="majorHAnsi" w:hAnsiTheme="majorHAnsi"/>
          <w:sz w:val="20"/>
          <w:szCs w:val="20"/>
          <w:lang w:val="es-AR"/>
        </w:rPr>
        <w:t xml:space="preserve"> 24.043. Señala asimismo que la Ley</w:t>
      </w:r>
      <w:r w:rsidR="000B16BF" w:rsidRPr="0007034B">
        <w:rPr>
          <w:rFonts w:asciiTheme="majorHAnsi" w:hAnsiTheme="majorHAnsi"/>
          <w:sz w:val="20"/>
          <w:szCs w:val="20"/>
          <w:lang w:val="es-AR"/>
        </w:rPr>
        <w:t xml:space="preserve"> Nro.</w:t>
      </w:r>
      <w:r w:rsidR="00E7273D" w:rsidRPr="0007034B">
        <w:rPr>
          <w:rFonts w:asciiTheme="majorHAnsi" w:hAnsiTheme="majorHAnsi"/>
          <w:sz w:val="20"/>
          <w:szCs w:val="20"/>
          <w:lang w:val="es-AR"/>
        </w:rPr>
        <w:t xml:space="preserve"> 25.914 brinda adecuada respuesta a aquellos niños y niñas que hubieran nacido en cautiverio o que hubieran sido privados de su libertad junto a sus progenitores.</w:t>
      </w:r>
    </w:p>
    <w:p w14:paraId="7F58D466" w14:textId="77777777" w:rsidR="008266A7" w:rsidRPr="0007034B" w:rsidRDefault="008266A7" w:rsidP="008266A7">
      <w:pPr>
        <w:pStyle w:val="ListParagraph"/>
        <w:rPr>
          <w:rFonts w:asciiTheme="majorHAnsi" w:hAnsiTheme="majorHAnsi"/>
          <w:color w:val="FF0000"/>
          <w:sz w:val="20"/>
          <w:szCs w:val="20"/>
          <w:lang w:val="es-VE"/>
        </w:rPr>
      </w:pPr>
    </w:p>
    <w:p w14:paraId="0DD941A6" w14:textId="607A9260" w:rsidR="00295EAD" w:rsidRPr="0007034B" w:rsidRDefault="00295EAD" w:rsidP="00F23D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lang w:val="es-VE"/>
        </w:rPr>
      </w:pPr>
      <w:r w:rsidRPr="0007034B">
        <w:rPr>
          <w:rFonts w:asciiTheme="majorHAnsi" w:hAnsiTheme="majorHAnsi"/>
          <w:sz w:val="20"/>
          <w:szCs w:val="20"/>
          <w:lang w:val="es-VE"/>
        </w:rPr>
        <w:t xml:space="preserve">Por lo tanto, con base en el avance de las causas judiciales mencionadas, el Estado concluye que </w:t>
      </w:r>
      <w:r w:rsidR="00E16A53" w:rsidRPr="0007034B">
        <w:rPr>
          <w:rFonts w:asciiTheme="majorHAnsi" w:hAnsiTheme="majorHAnsi"/>
          <w:sz w:val="20"/>
          <w:szCs w:val="20"/>
          <w:lang w:val="es-VE"/>
        </w:rPr>
        <w:t>“</w:t>
      </w:r>
      <w:r w:rsidRPr="0007034B">
        <w:rPr>
          <w:rFonts w:asciiTheme="majorHAnsi" w:hAnsiTheme="majorHAnsi"/>
          <w:sz w:val="20"/>
          <w:szCs w:val="20"/>
          <w:lang w:val="es-VE"/>
        </w:rPr>
        <w:t>no ha violado el derecho a una investigación por los crímenes de lesa humanidad sufridos por los hermanos Larrabeiti Yáñez y sus progenitores</w:t>
      </w:r>
      <w:r w:rsidR="00FD11A5" w:rsidRPr="0007034B">
        <w:rPr>
          <w:rFonts w:asciiTheme="majorHAnsi" w:hAnsiTheme="majorHAnsi"/>
          <w:sz w:val="20"/>
          <w:szCs w:val="20"/>
          <w:lang w:val="es-VE"/>
        </w:rPr>
        <w:t>”</w:t>
      </w:r>
      <w:r w:rsidRPr="0007034B">
        <w:rPr>
          <w:rFonts w:asciiTheme="majorHAnsi" w:hAnsiTheme="majorHAnsi"/>
          <w:sz w:val="20"/>
          <w:szCs w:val="20"/>
          <w:lang w:val="es-VE"/>
        </w:rPr>
        <w:t xml:space="preserve">. Asimismo, concluye que </w:t>
      </w:r>
      <w:r w:rsidR="009D2124" w:rsidRPr="0007034B">
        <w:rPr>
          <w:rFonts w:asciiTheme="majorHAnsi" w:hAnsiTheme="majorHAnsi"/>
          <w:sz w:val="20"/>
          <w:szCs w:val="20"/>
          <w:lang w:val="es-VE"/>
        </w:rPr>
        <w:t xml:space="preserve">las leyes reparatorias son una respuesta adecuada a las pretensiones de los </w:t>
      </w:r>
      <w:r w:rsidR="00E77131" w:rsidRPr="0007034B">
        <w:rPr>
          <w:rFonts w:asciiTheme="majorHAnsi" w:hAnsiTheme="majorHAnsi"/>
          <w:sz w:val="20"/>
          <w:szCs w:val="20"/>
          <w:lang w:val="es-AR"/>
        </w:rPr>
        <w:t>hermanos Larrabeiti Yáñez</w:t>
      </w:r>
      <w:r w:rsidR="009D2124" w:rsidRPr="0007034B">
        <w:rPr>
          <w:rFonts w:asciiTheme="majorHAnsi" w:hAnsiTheme="majorHAnsi"/>
          <w:sz w:val="20"/>
          <w:szCs w:val="20"/>
          <w:lang w:val="es-VE"/>
        </w:rPr>
        <w:t xml:space="preserve">  y respetuosa de los criterios de objetividad, razonabilidad y efectividad, por lo que, existiendo la posibilidad de que perciban una reparación adecuada, resulta improcedente la solicitud de que la CIDH declare que el Estado ha violado dicho derecho. </w:t>
      </w:r>
    </w:p>
    <w:p w14:paraId="62B822B1" w14:textId="77777777" w:rsidR="00BB3625" w:rsidRPr="0007034B" w:rsidRDefault="00BB3625" w:rsidP="00BB3625">
      <w:pPr>
        <w:pStyle w:val="ListParagraph"/>
        <w:rPr>
          <w:rFonts w:asciiTheme="majorHAnsi" w:hAnsiTheme="majorHAnsi"/>
          <w:sz w:val="20"/>
          <w:szCs w:val="20"/>
          <w:lang w:val="es-VE"/>
        </w:rPr>
      </w:pPr>
    </w:p>
    <w:p w14:paraId="4D17D2A4" w14:textId="77777777" w:rsidR="002F43B3" w:rsidRPr="007E73E1" w:rsidRDefault="002F43B3" w:rsidP="007E73E1">
      <w:pPr>
        <w:pStyle w:val="Heading1"/>
      </w:pPr>
      <w:bookmarkStart w:id="10" w:name="_Toc6349141"/>
      <w:bookmarkStart w:id="11" w:name="_Toc6466634"/>
      <w:r w:rsidRPr="007E73E1">
        <w:t>ADMISIBILIDAD</w:t>
      </w:r>
      <w:bookmarkEnd w:id="10"/>
      <w:bookmarkEnd w:id="11"/>
    </w:p>
    <w:p w14:paraId="25F8BE76" w14:textId="77777777" w:rsidR="002F43B3" w:rsidRPr="0007034B" w:rsidRDefault="002F43B3" w:rsidP="002F43B3">
      <w:pPr>
        <w:suppressAutoHyphens/>
        <w:rPr>
          <w:rFonts w:asciiTheme="majorHAnsi" w:hAnsiTheme="majorHAnsi"/>
          <w:b/>
          <w:sz w:val="20"/>
          <w:szCs w:val="20"/>
          <w:lang w:val="es-ES_tradnl"/>
        </w:rPr>
      </w:pPr>
    </w:p>
    <w:p w14:paraId="52AF8963" w14:textId="3E704660" w:rsidR="002F43B3" w:rsidRPr="00F84E88" w:rsidRDefault="007A08CE" w:rsidP="00B14871">
      <w:pPr>
        <w:pStyle w:val="Heading2"/>
        <w:numPr>
          <w:ilvl w:val="0"/>
          <w:numId w:val="63"/>
        </w:numPr>
        <w:ind w:hanging="720"/>
      </w:pPr>
      <w:bookmarkStart w:id="12" w:name="_Toc6349142"/>
      <w:bookmarkStart w:id="13" w:name="_Toc6466635"/>
      <w:r w:rsidRPr="00F84E88">
        <w:t xml:space="preserve">Competencia </w:t>
      </w:r>
      <w:r w:rsidR="00C2408D" w:rsidRPr="00F84E88">
        <w:t>y duplicación de procedimientos y cosa juzgada internacional</w:t>
      </w:r>
      <w:bookmarkEnd w:id="12"/>
      <w:bookmarkEnd w:id="13"/>
    </w:p>
    <w:p w14:paraId="3336709C" w14:textId="77777777" w:rsidR="007A08CE" w:rsidRPr="0007034B" w:rsidRDefault="007A08CE" w:rsidP="007A08CE">
      <w:pPr>
        <w:pStyle w:val="ListParagraph"/>
        <w:suppressAutoHyphens/>
        <w:rPr>
          <w:rFonts w:asciiTheme="majorHAnsi" w:hAnsiTheme="majorHAnsi"/>
          <w:b/>
          <w:sz w:val="20"/>
          <w:szCs w:val="20"/>
          <w:lang w:val="es-ES_tradnl"/>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7A08CE" w:rsidRPr="0007034B" w14:paraId="1696E846" w14:textId="77777777" w:rsidTr="00E8367C">
        <w:trPr>
          <w:cantSplit/>
        </w:trPr>
        <w:tc>
          <w:tcPr>
            <w:tcW w:w="3600" w:type="dxa"/>
            <w:tcBorders>
              <w:top w:val="single" w:sz="4" w:space="0" w:color="auto"/>
              <w:bottom w:val="single" w:sz="6" w:space="0" w:color="auto"/>
            </w:tcBorders>
            <w:shd w:val="clear" w:color="auto" w:fill="386294"/>
            <w:vAlign w:val="center"/>
          </w:tcPr>
          <w:p w14:paraId="4A8ADBC0" w14:textId="77777777" w:rsidR="007A08CE" w:rsidRPr="0007034B" w:rsidRDefault="007A08CE" w:rsidP="00E8367C">
            <w:pPr>
              <w:jc w:val="center"/>
              <w:rPr>
                <w:rFonts w:asciiTheme="majorHAnsi" w:hAnsiTheme="majorHAnsi"/>
                <w:b/>
                <w:bCs/>
                <w:i/>
                <w:color w:val="FFFFFF" w:themeColor="background1"/>
                <w:sz w:val="20"/>
                <w:szCs w:val="20"/>
              </w:rPr>
            </w:pPr>
            <w:r w:rsidRPr="0007034B">
              <w:rPr>
                <w:rFonts w:asciiTheme="majorHAnsi" w:hAnsiTheme="majorHAnsi"/>
                <w:b/>
                <w:bCs/>
                <w:color w:val="FFFFFF" w:themeColor="background1"/>
                <w:sz w:val="20"/>
                <w:szCs w:val="20"/>
              </w:rPr>
              <w:t>Competencia</w:t>
            </w:r>
            <w:r w:rsidRPr="0007034B">
              <w:rPr>
                <w:rFonts w:asciiTheme="majorHAnsi" w:hAnsiTheme="majorHAnsi"/>
                <w:b/>
                <w:bCs/>
                <w:i/>
                <w:color w:val="FFFFFF" w:themeColor="background1"/>
                <w:sz w:val="20"/>
                <w:szCs w:val="20"/>
              </w:rPr>
              <w:t xml:space="preserve"> Ratione personae:</w:t>
            </w:r>
          </w:p>
        </w:tc>
        <w:tc>
          <w:tcPr>
            <w:tcW w:w="5760" w:type="dxa"/>
            <w:vAlign w:val="center"/>
          </w:tcPr>
          <w:p w14:paraId="4C1D2EBD" w14:textId="77777777" w:rsidR="007A08CE" w:rsidRPr="0007034B" w:rsidRDefault="007A08CE" w:rsidP="00E8367C">
            <w:pPr>
              <w:rPr>
                <w:rFonts w:asciiTheme="majorHAnsi" w:hAnsiTheme="majorHAnsi"/>
                <w:bCs/>
                <w:sz w:val="20"/>
                <w:szCs w:val="20"/>
              </w:rPr>
            </w:pPr>
            <w:r w:rsidRPr="0007034B">
              <w:rPr>
                <w:rFonts w:asciiTheme="majorHAnsi" w:hAnsiTheme="majorHAnsi"/>
                <w:bCs/>
                <w:sz w:val="20"/>
                <w:szCs w:val="20"/>
              </w:rPr>
              <w:t>Sí</w:t>
            </w:r>
          </w:p>
        </w:tc>
      </w:tr>
      <w:tr w:rsidR="007A08CE" w:rsidRPr="0007034B" w14:paraId="5587C7B6" w14:textId="77777777" w:rsidTr="00E8367C">
        <w:trPr>
          <w:cantSplit/>
        </w:trPr>
        <w:tc>
          <w:tcPr>
            <w:tcW w:w="3600" w:type="dxa"/>
            <w:tcBorders>
              <w:top w:val="single" w:sz="6" w:space="0" w:color="auto"/>
              <w:bottom w:val="single" w:sz="6" w:space="0" w:color="auto"/>
            </w:tcBorders>
            <w:shd w:val="clear" w:color="auto" w:fill="386294"/>
            <w:vAlign w:val="center"/>
          </w:tcPr>
          <w:p w14:paraId="36597037" w14:textId="77777777" w:rsidR="007A08CE" w:rsidRPr="0007034B" w:rsidRDefault="007A08CE" w:rsidP="00E8367C">
            <w:pPr>
              <w:jc w:val="center"/>
              <w:rPr>
                <w:rFonts w:asciiTheme="majorHAnsi" w:hAnsiTheme="majorHAnsi"/>
                <w:b/>
                <w:bCs/>
                <w:color w:val="FFFFFF" w:themeColor="background1"/>
                <w:sz w:val="20"/>
                <w:szCs w:val="20"/>
              </w:rPr>
            </w:pPr>
            <w:r w:rsidRPr="0007034B">
              <w:rPr>
                <w:rFonts w:asciiTheme="majorHAnsi" w:hAnsiTheme="majorHAnsi"/>
                <w:b/>
                <w:bCs/>
                <w:color w:val="FFFFFF" w:themeColor="background1"/>
                <w:sz w:val="20"/>
                <w:szCs w:val="20"/>
              </w:rPr>
              <w:t>Competencia</w:t>
            </w:r>
            <w:r w:rsidRPr="0007034B">
              <w:rPr>
                <w:rFonts w:asciiTheme="majorHAnsi" w:hAnsiTheme="majorHAnsi"/>
                <w:b/>
                <w:bCs/>
                <w:i/>
                <w:color w:val="FFFFFF" w:themeColor="background1"/>
                <w:sz w:val="20"/>
                <w:szCs w:val="20"/>
              </w:rPr>
              <w:t xml:space="preserve"> Ratione loci</w:t>
            </w:r>
            <w:r w:rsidRPr="0007034B">
              <w:rPr>
                <w:rFonts w:asciiTheme="majorHAnsi" w:hAnsiTheme="majorHAnsi"/>
                <w:b/>
                <w:bCs/>
                <w:color w:val="FFFFFF" w:themeColor="background1"/>
                <w:sz w:val="20"/>
                <w:szCs w:val="20"/>
              </w:rPr>
              <w:t>:</w:t>
            </w:r>
          </w:p>
        </w:tc>
        <w:tc>
          <w:tcPr>
            <w:tcW w:w="5760" w:type="dxa"/>
            <w:vAlign w:val="center"/>
          </w:tcPr>
          <w:p w14:paraId="2032BCF5" w14:textId="77777777" w:rsidR="007A08CE" w:rsidRPr="0007034B" w:rsidRDefault="007A08CE" w:rsidP="00E8367C">
            <w:pPr>
              <w:rPr>
                <w:rFonts w:asciiTheme="majorHAnsi" w:hAnsiTheme="majorHAnsi"/>
                <w:bCs/>
                <w:sz w:val="20"/>
                <w:szCs w:val="20"/>
              </w:rPr>
            </w:pPr>
            <w:r w:rsidRPr="0007034B">
              <w:rPr>
                <w:rFonts w:asciiTheme="majorHAnsi" w:hAnsiTheme="majorHAnsi"/>
                <w:bCs/>
                <w:sz w:val="20"/>
                <w:szCs w:val="20"/>
              </w:rPr>
              <w:t>Sí</w:t>
            </w:r>
          </w:p>
        </w:tc>
      </w:tr>
      <w:tr w:rsidR="007A08CE" w:rsidRPr="0007034B" w14:paraId="2A54F2A4" w14:textId="77777777" w:rsidTr="00E8367C">
        <w:trPr>
          <w:cantSplit/>
        </w:trPr>
        <w:tc>
          <w:tcPr>
            <w:tcW w:w="3600" w:type="dxa"/>
            <w:tcBorders>
              <w:top w:val="single" w:sz="6" w:space="0" w:color="auto"/>
              <w:bottom w:val="single" w:sz="6" w:space="0" w:color="auto"/>
            </w:tcBorders>
            <w:shd w:val="clear" w:color="auto" w:fill="386294"/>
            <w:vAlign w:val="center"/>
          </w:tcPr>
          <w:p w14:paraId="5505809C" w14:textId="77777777" w:rsidR="007A08CE" w:rsidRPr="0007034B" w:rsidRDefault="007A08CE" w:rsidP="00E8367C">
            <w:pPr>
              <w:jc w:val="center"/>
              <w:rPr>
                <w:rFonts w:asciiTheme="majorHAnsi" w:hAnsiTheme="majorHAnsi"/>
                <w:b/>
                <w:bCs/>
                <w:color w:val="FFFFFF" w:themeColor="background1"/>
                <w:sz w:val="20"/>
                <w:szCs w:val="20"/>
              </w:rPr>
            </w:pPr>
            <w:r w:rsidRPr="0007034B">
              <w:rPr>
                <w:rFonts w:asciiTheme="majorHAnsi" w:hAnsiTheme="majorHAnsi"/>
                <w:b/>
                <w:bCs/>
                <w:color w:val="FFFFFF" w:themeColor="background1"/>
                <w:sz w:val="20"/>
                <w:szCs w:val="20"/>
              </w:rPr>
              <w:t>Competencia</w:t>
            </w:r>
            <w:r w:rsidRPr="0007034B">
              <w:rPr>
                <w:rFonts w:asciiTheme="majorHAnsi" w:hAnsiTheme="majorHAnsi"/>
                <w:b/>
                <w:bCs/>
                <w:i/>
                <w:color w:val="FFFFFF" w:themeColor="background1"/>
                <w:sz w:val="20"/>
                <w:szCs w:val="20"/>
              </w:rPr>
              <w:t xml:space="preserve"> Ratione temporis</w:t>
            </w:r>
            <w:r w:rsidRPr="0007034B">
              <w:rPr>
                <w:rFonts w:asciiTheme="majorHAnsi" w:hAnsiTheme="majorHAnsi"/>
                <w:b/>
                <w:bCs/>
                <w:color w:val="FFFFFF" w:themeColor="background1"/>
                <w:sz w:val="20"/>
                <w:szCs w:val="20"/>
              </w:rPr>
              <w:t>:</w:t>
            </w:r>
          </w:p>
        </w:tc>
        <w:tc>
          <w:tcPr>
            <w:tcW w:w="5760" w:type="dxa"/>
            <w:vAlign w:val="center"/>
          </w:tcPr>
          <w:p w14:paraId="4F23C54D" w14:textId="77777777" w:rsidR="007A08CE" w:rsidRPr="0007034B" w:rsidRDefault="007A08CE" w:rsidP="00E8367C">
            <w:pPr>
              <w:rPr>
                <w:rFonts w:asciiTheme="majorHAnsi" w:hAnsiTheme="majorHAnsi"/>
                <w:bCs/>
                <w:sz w:val="20"/>
                <w:szCs w:val="20"/>
              </w:rPr>
            </w:pPr>
            <w:r w:rsidRPr="0007034B">
              <w:rPr>
                <w:rFonts w:asciiTheme="majorHAnsi" w:hAnsiTheme="majorHAnsi"/>
                <w:bCs/>
                <w:sz w:val="20"/>
                <w:szCs w:val="20"/>
              </w:rPr>
              <w:t>Sí</w:t>
            </w:r>
          </w:p>
        </w:tc>
      </w:tr>
      <w:tr w:rsidR="007A08CE" w:rsidRPr="009624E3" w14:paraId="30E36DC9" w14:textId="77777777" w:rsidTr="00E8367C">
        <w:trPr>
          <w:cantSplit/>
        </w:trPr>
        <w:tc>
          <w:tcPr>
            <w:tcW w:w="3600" w:type="dxa"/>
            <w:tcBorders>
              <w:top w:val="single" w:sz="6" w:space="0" w:color="auto"/>
              <w:bottom w:val="single" w:sz="6" w:space="0" w:color="auto"/>
            </w:tcBorders>
            <w:shd w:val="clear" w:color="auto" w:fill="386294"/>
            <w:vAlign w:val="center"/>
          </w:tcPr>
          <w:p w14:paraId="17ED44FD" w14:textId="77777777" w:rsidR="007A08CE" w:rsidRPr="0007034B" w:rsidRDefault="007A08CE" w:rsidP="00E8367C">
            <w:pPr>
              <w:jc w:val="center"/>
              <w:rPr>
                <w:rFonts w:asciiTheme="majorHAnsi" w:hAnsiTheme="majorHAnsi"/>
                <w:b/>
                <w:bCs/>
                <w:color w:val="FFFFFF" w:themeColor="background1"/>
                <w:sz w:val="20"/>
                <w:szCs w:val="20"/>
              </w:rPr>
            </w:pPr>
            <w:r w:rsidRPr="0007034B">
              <w:rPr>
                <w:rFonts w:asciiTheme="majorHAnsi" w:hAnsiTheme="majorHAnsi"/>
                <w:b/>
                <w:bCs/>
                <w:color w:val="FFFFFF" w:themeColor="background1"/>
                <w:sz w:val="20"/>
                <w:szCs w:val="20"/>
              </w:rPr>
              <w:t>Competencia</w:t>
            </w:r>
            <w:r w:rsidRPr="0007034B">
              <w:rPr>
                <w:rFonts w:asciiTheme="majorHAnsi" w:hAnsiTheme="majorHAnsi"/>
                <w:b/>
                <w:bCs/>
                <w:i/>
                <w:color w:val="FFFFFF" w:themeColor="background1"/>
                <w:sz w:val="20"/>
                <w:szCs w:val="20"/>
              </w:rPr>
              <w:t xml:space="preserve"> Ratione materiae</w:t>
            </w:r>
            <w:r w:rsidRPr="0007034B">
              <w:rPr>
                <w:rFonts w:asciiTheme="majorHAnsi" w:hAnsiTheme="majorHAnsi"/>
                <w:b/>
                <w:bCs/>
                <w:color w:val="FFFFFF" w:themeColor="background1"/>
                <w:sz w:val="20"/>
                <w:szCs w:val="20"/>
              </w:rPr>
              <w:t>:</w:t>
            </w:r>
          </w:p>
        </w:tc>
        <w:tc>
          <w:tcPr>
            <w:tcW w:w="5760" w:type="dxa"/>
            <w:vAlign w:val="center"/>
          </w:tcPr>
          <w:p w14:paraId="047C555C" w14:textId="77777777" w:rsidR="007A08CE" w:rsidRPr="0007034B" w:rsidRDefault="007A08CE" w:rsidP="00493D35">
            <w:pPr>
              <w:jc w:val="both"/>
              <w:rPr>
                <w:rFonts w:asciiTheme="majorHAnsi" w:hAnsiTheme="majorHAnsi"/>
                <w:bCs/>
                <w:sz w:val="20"/>
                <w:szCs w:val="20"/>
                <w:lang w:val="es-ES"/>
              </w:rPr>
            </w:pPr>
            <w:r w:rsidRPr="0007034B">
              <w:rPr>
                <w:rFonts w:asciiTheme="majorHAnsi" w:hAnsiTheme="majorHAnsi"/>
                <w:bCs/>
                <w:sz w:val="20"/>
                <w:szCs w:val="20"/>
                <w:lang w:val="es-ES"/>
              </w:rPr>
              <w:t xml:space="preserve">Sí, </w:t>
            </w:r>
            <w:r w:rsidR="008B70F7" w:rsidRPr="0007034B">
              <w:rPr>
                <w:rFonts w:asciiTheme="majorHAnsi" w:hAnsiTheme="majorHAnsi"/>
                <w:bCs/>
                <w:sz w:val="20"/>
                <w:szCs w:val="20"/>
                <w:lang w:val="es-ES"/>
              </w:rPr>
              <w:t>Declaración Americana de los Derechos y Deberes del Hombre (</w:t>
            </w:r>
            <w:r w:rsidR="008E7C1B" w:rsidRPr="0007034B">
              <w:rPr>
                <w:rFonts w:asciiTheme="majorHAnsi" w:hAnsiTheme="majorHAnsi"/>
                <w:bCs/>
                <w:sz w:val="20"/>
                <w:szCs w:val="20"/>
                <w:lang w:val="es-ES"/>
              </w:rPr>
              <w:t xml:space="preserve">depósito de instrumento de </w:t>
            </w:r>
            <w:r w:rsidR="008B70F7" w:rsidRPr="0007034B">
              <w:rPr>
                <w:rFonts w:asciiTheme="majorHAnsi" w:hAnsiTheme="majorHAnsi"/>
                <w:bCs/>
                <w:sz w:val="20"/>
                <w:szCs w:val="20"/>
                <w:lang w:val="es-ES"/>
              </w:rPr>
              <w:t xml:space="preserve">ratificación de la Carta de la OEA el </w:t>
            </w:r>
            <w:r w:rsidR="008E7C1B" w:rsidRPr="0007034B">
              <w:rPr>
                <w:rFonts w:asciiTheme="majorHAnsi" w:hAnsiTheme="majorHAnsi"/>
                <w:bCs/>
                <w:sz w:val="20"/>
                <w:szCs w:val="20"/>
                <w:lang w:val="es-ES"/>
              </w:rPr>
              <w:t>10 de abril de 1956</w:t>
            </w:r>
            <w:r w:rsidR="008B70F7" w:rsidRPr="0007034B">
              <w:rPr>
                <w:rFonts w:asciiTheme="majorHAnsi" w:hAnsiTheme="majorHAnsi"/>
                <w:bCs/>
                <w:sz w:val="20"/>
                <w:szCs w:val="20"/>
                <w:lang w:val="es-ES"/>
              </w:rPr>
              <w:t xml:space="preserve">); </w:t>
            </w:r>
            <w:r w:rsidRPr="0007034B">
              <w:rPr>
                <w:rFonts w:asciiTheme="majorHAnsi" w:hAnsiTheme="majorHAnsi"/>
                <w:bCs/>
                <w:sz w:val="20"/>
                <w:szCs w:val="20"/>
                <w:lang w:val="es-ES"/>
              </w:rPr>
              <w:t xml:space="preserve">Convención Americana sobre Derechos Humanos (depósito de instrumento de ratificación realizado el 5 de septiembre de 1984); </w:t>
            </w:r>
            <w:r w:rsidR="00463CED" w:rsidRPr="0007034B">
              <w:rPr>
                <w:rFonts w:asciiTheme="majorHAnsi" w:hAnsiTheme="majorHAnsi"/>
                <w:bCs/>
                <w:sz w:val="20"/>
                <w:szCs w:val="20"/>
                <w:lang w:val="es-ES"/>
              </w:rPr>
              <w:t>Convención Interamericana sobre Desaparición Forzada de Personas (depósito de instrumento realizado el 28 de febrero de 1996)</w:t>
            </w:r>
            <w:r w:rsidR="00680AA7" w:rsidRPr="0007034B">
              <w:rPr>
                <w:rFonts w:asciiTheme="majorHAnsi" w:hAnsiTheme="majorHAnsi"/>
                <w:bCs/>
                <w:sz w:val="20"/>
                <w:szCs w:val="20"/>
                <w:lang w:val="es-ES"/>
              </w:rPr>
              <w:t xml:space="preserve"> y </w:t>
            </w:r>
            <w:r w:rsidR="00493D35" w:rsidRPr="0007034B">
              <w:rPr>
                <w:rFonts w:asciiTheme="majorHAnsi" w:hAnsiTheme="majorHAnsi"/>
                <w:bCs/>
                <w:sz w:val="20"/>
                <w:szCs w:val="20"/>
                <w:lang w:val="es-ES"/>
              </w:rPr>
              <w:t>Convención Interamericana para Prevenir y Sancionar la Tortura (depósito de instrumento realizado el 31 de marzo de 1989)</w:t>
            </w:r>
          </w:p>
        </w:tc>
      </w:tr>
      <w:tr w:rsidR="00C2408D" w:rsidRPr="0007034B" w14:paraId="53BE2C14" w14:textId="77777777" w:rsidTr="00E8367C">
        <w:trPr>
          <w:cantSplit/>
        </w:trPr>
        <w:tc>
          <w:tcPr>
            <w:tcW w:w="3600" w:type="dxa"/>
            <w:tcBorders>
              <w:top w:val="single" w:sz="6" w:space="0" w:color="auto"/>
              <w:bottom w:val="single" w:sz="6" w:space="0" w:color="auto"/>
            </w:tcBorders>
            <w:shd w:val="clear" w:color="auto" w:fill="386294"/>
            <w:vAlign w:val="center"/>
          </w:tcPr>
          <w:p w14:paraId="1FF776D0" w14:textId="77777777" w:rsidR="00C2408D" w:rsidRPr="0007034B" w:rsidRDefault="00C2408D" w:rsidP="00E8367C">
            <w:pPr>
              <w:jc w:val="center"/>
              <w:rPr>
                <w:rFonts w:asciiTheme="majorHAnsi" w:hAnsiTheme="majorHAnsi"/>
                <w:b/>
                <w:bCs/>
                <w:color w:val="FFFFFF" w:themeColor="background1"/>
                <w:sz w:val="20"/>
                <w:szCs w:val="20"/>
                <w:lang w:val="es-ES"/>
              </w:rPr>
            </w:pPr>
            <w:r w:rsidRPr="0007034B">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7395C547" w14:textId="77777777" w:rsidR="00C2408D" w:rsidRPr="0007034B" w:rsidRDefault="00C2408D" w:rsidP="008E7C1B">
            <w:pPr>
              <w:jc w:val="both"/>
              <w:rPr>
                <w:rFonts w:asciiTheme="majorHAnsi" w:hAnsiTheme="majorHAnsi"/>
                <w:bCs/>
                <w:sz w:val="20"/>
                <w:szCs w:val="20"/>
                <w:lang w:val="es-ES"/>
              </w:rPr>
            </w:pPr>
            <w:r w:rsidRPr="0007034B">
              <w:rPr>
                <w:rFonts w:asciiTheme="majorHAnsi" w:hAnsiTheme="majorHAnsi"/>
                <w:bCs/>
                <w:sz w:val="20"/>
                <w:szCs w:val="20"/>
                <w:lang w:val="es-ES"/>
              </w:rPr>
              <w:t>No</w:t>
            </w:r>
          </w:p>
        </w:tc>
      </w:tr>
    </w:tbl>
    <w:p w14:paraId="41ADDBB3" w14:textId="77777777" w:rsidR="002F43B3" w:rsidRPr="0007034B" w:rsidRDefault="002F43B3" w:rsidP="002F43B3">
      <w:pPr>
        <w:suppressAutoHyphens/>
        <w:rPr>
          <w:rFonts w:asciiTheme="majorHAnsi" w:hAnsiTheme="majorHAnsi"/>
          <w:b/>
          <w:sz w:val="20"/>
          <w:szCs w:val="20"/>
          <w:lang w:val="es-ES_tradnl"/>
        </w:rPr>
      </w:pPr>
    </w:p>
    <w:p w14:paraId="45D2331A" w14:textId="205C01D5" w:rsidR="00BB3625" w:rsidRPr="0007034B" w:rsidRDefault="00493D35" w:rsidP="00F23D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lang w:val="es-VE"/>
        </w:rPr>
      </w:pPr>
      <w:r w:rsidRPr="0007034B">
        <w:rPr>
          <w:rFonts w:asciiTheme="majorHAnsi" w:hAnsiTheme="majorHAnsi"/>
          <w:sz w:val="20"/>
          <w:szCs w:val="20"/>
          <w:lang w:val="es-VE"/>
        </w:rPr>
        <w:t xml:space="preserve">Respecto a la competencia </w:t>
      </w:r>
      <w:r w:rsidRPr="0007034B">
        <w:rPr>
          <w:rFonts w:asciiTheme="majorHAnsi" w:hAnsiTheme="majorHAnsi"/>
          <w:i/>
          <w:sz w:val="20"/>
          <w:szCs w:val="20"/>
          <w:lang w:val="es-VE"/>
        </w:rPr>
        <w:t>ratione loci</w:t>
      </w:r>
      <w:r w:rsidRPr="0007034B">
        <w:rPr>
          <w:rFonts w:asciiTheme="majorHAnsi" w:hAnsiTheme="majorHAnsi"/>
          <w:sz w:val="20"/>
          <w:szCs w:val="20"/>
          <w:lang w:val="es-VE"/>
        </w:rPr>
        <w:t>, l</w:t>
      </w:r>
      <w:r w:rsidR="00BB3625" w:rsidRPr="0007034B">
        <w:rPr>
          <w:rFonts w:asciiTheme="majorHAnsi" w:hAnsiTheme="majorHAnsi"/>
          <w:sz w:val="20"/>
          <w:szCs w:val="20"/>
          <w:lang w:val="es-VE"/>
        </w:rPr>
        <w:t>a Comisi</w:t>
      </w:r>
      <w:r w:rsidR="00BB3625" w:rsidRPr="0007034B">
        <w:rPr>
          <w:rFonts w:asciiTheme="majorHAnsi" w:hAnsiTheme="majorHAnsi"/>
          <w:sz w:val="20"/>
          <w:szCs w:val="20"/>
          <w:lang w:val="es-ES"/>
        </w:rPr>
        <w:t xml:space="preserve">ón </w:t>
      </w:r>
      <w:r w:rsidR="0065427A" w:rsidRPr="0007034B">
        <w:rPr>
          <w:rFonts w:asciiTheme="majorHAnsi" w:hAnsiTheme="majorHAnsi"/>
          <w:sz w:val="20"/>
          <w:szCs w:val="20"/>
          <w:lang w:val="es-ES"/>
        </w:rPr>
        <w:t>aclara</w:t>
      </w:r>
      <w:r w:rsidR="00BB3625" w:rsidRPr="0007034B">
        <w:rPr>
          <w:rFonts w:asciiTheme="majorHAnsi" w:hAnsiTheme="majorHAnsi"/>
          <w:sz w:val="20"/>
          <w:szCs w:val="20"/>
          <w:lang w:val="es-ES"/>
        </w:rPr>
        <w:t xml:space="preserve"> que, si bien los hechos denunciados se llevaron a cabo en el territorio de tres Estados en el marco de la “Operación Cóndor”, la petición ante la CIDH fue presentada exclusivamente contra el Estado de Argentina. Por lo tanto, en el presente informe la Comisión no entrará a analizar la eventual responsabilidad internacional por hechos ocurridos en Uruguay y</w:t>
      </w:r>
      <w:r w:rsidR="0085107C" w:rsidRPr="0007034B">
        <w:rPr>
          <w:rFonts w:asciiTheme="majorHAnsi" w:hAnsiTheme="majorHAnsi"/>
          <w:sz w:val="20"/>
          <w:szCs w:val="20"/>
          <w:lang w:val="es-ES"/>
        </w:rPr>
        <w:t xml:space="preserve"> en Chile, sin perjuicio de efectuar determinaciones de hecho ocurridas en tales países, a fin de entender la integralidad de los hechos sufridos por las presuntas víctimas y el alcance completo de la responsabilidad internacional del Estado de Argentina. </w:t>
      </w:r>
    </w:p>
    <w:p w14:paraId="2BFF3474" w14:textId="77777777" w:rsidR="00493D35" w:rsidRPr="0007034B" w:rsidRDefault="00493D35" w:rsidP="00493D35">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VE"/>
        </w:rPr>
      </w:pPr>
    </w:p>
    <w:p w14:paraId="201CB439" w14:textId="04BF1E07" w:rsidR="0098035E" w:rsidRPr="0007034B" w:rsidRDefault="00493D35" w:rsidP="00F23D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lang w:val="es-VE"/>
        </w:rPr>
      </w:pPr>
      <w:r w:rsidRPr="0007034B">
        <w:rPr>
          <w:rFonts w:asciiTheme="majorHAnsi" w:hAnsiTheme="majorHAnsi"/>
          <w:sz w:val="20"/>
          <w:szCs w:val="20"/>
          <w:lang w:val="es-ES"/>
        </w:rPr>
        <w:t xml:space="preserve">En relación a la competencia </w:t>
      </w:r>
      <w:r w:rsidRPr="0007034B">
        <w:rPr>
          <w:rFonts w:asciiTheme="majorHAnsi" w:hAnsiTheme="majorHAnsi"/>
          <w:i/>
          <w:sz w:val="20"/>
          <w:szCs w:val="20"/>
          <w:lang w:val="es-ES"/>
        </w:rPr>
        <w:t xml:space="preserve">ratione temporis </w:t>
      </w:r>
      <w:r w:rsidRPr="0007034B">
        <w:rPr>
          <w:rFonts w:asciiTheme="majorHAnsi" w:hAnsiTheme="majorHAnsi"/>
          <w:sz w:val="20"/>
          <w:szCs w:val="20"/>
          <w:lang w:val="es-ES"/>
        </w:rPr>
        <w:t xml:space="preserve">y </w:t>
      </w:r>
      <w:r w:rsidRPr="0007034B">
        <w:rPr>
          <w:rFonts w:asciiTheme="majorHAnsi" w:hAnsiTheme="majorHAnsi"/>
          <w:i/>
          <w:sz w:val="20"/>
          <w:szCs w:val="20"/>
          <w:lang w:val="es-ES"/>
        </w:rPr>
        <w:t>ratione materiae</w:t>
      </w:r>
      <w:r w:rsidRPr="0007034B">
        <w:rPr>
          <w:rFonts w:asciiTheme="majorHAnsi" w:hAnsiTheme="majorHAnsi"/>
          <w:sz w:val="20"/>
          <w:szCs w:val="20"/>
          <w:lang w:val="es-ES"/>
        </w:rPr>
        <w:t xml:space="preserve">, la Comisión analizará </w:t>
      </w:r>
      <w:r w:rsidRPr="0007034B">
        <w:rPr>
          <w:rFonts w:asciiTheme="majorHAnsi" w:eastAsia="Times New Roman" w:hAnsiTheme="majorHAnsi"/>
          <w:sz w:val="20"/>
          <w:szCs w:val="20"/>
          <w:lang w:val="es-ES" w:eastAsia="es-ES"/>
        </w:rPr>
        <w:t xml:space="preserve">los hechos del presente caso a la luz de las obligaciones establecidas en la Convención Americana, en la Convención Interamericana sobre Desaparición Forzada de Personas (“CIDFP”) y en la </w:t>
      </w:r>
      <w:r w:rsidRPr="0007034B">
        <w:rPr>
          <w:rFonts w:asciiTheme="majorHAnsi" w:hAnsiTheme="majorHAnsi"/>
          <w:bCs/>
          <w:sz w:val="20"/>
          <w:szCs w:val="20"/>
          <w:lang w:val="es-ES"/>
        </w:rPr>
        <w:t>Convención Interamericana para Prevenir y Sancionar la Tortura (“CIPST”) respecto de aquellos hechos ocurridos con posterioridad a su entrada en vigor o cuya ejecución con</w:t>
      </w:r>
      <w:r w:rsidRPr="0007034B">
        <w:rPr>
          <w:rFonts w:asciiTheme="majorHAnsi" w:eastAsia="Times New Roman" w:hAnsiTheme="majorHAnsi"/>
          <w:sz w:val="20"/>
          <w:szCs w:val="20"/>
          <w:lang w:val="es-ES" w:eastAsia="es-ES"/>
        </w:rPr>
        <w:t>tin</w:t>
      </w:r>
      <w:r w:rsidR="0098035E" w:rsidRPr="0007034B">
        <w:rPr>
          <w:rFonts w:asciiTheme="majorHAnsi" w:eastAsia="Times New Roman" w:hAnsiTheme="majorHAnsi"/>
          <w:sz w:val="20"/>
          <w:szCs w:val="20"/>
          <w:lang w:val="es-ES" w:eastAsia="es-ES"/>
        </w:rPr>
        <w:t>uó</w:t>
      </w:r>
      <w:r w:rsidRPr="0007034B">
        <w:rPr>
          <w:rFonts w:asciiTheme="majorHAnsi" w:eastAsia="Times New Roman" w:hAnsiTheme="majorHAnsi"/>
          <w:sz w:val="20"/>
          <w:szCs w:val="20"/>
          <w:lang w:val="es-ES" w:eastAsia="es-ES"/>
        </w:rPr>
        <w:t xml:space="preserve"> luego de la entrada en vigor de dichos instrumentos</w:t>
      </w:r>
      <w:r w:rsidR="00173DCB" w:rsidRPr="0007034B">
        <w:rPr>
          <w:rFonts w:asciiTheme="majorHAnsi" w:eastAsia="Times New Roman" w:hAnsiTheme="majorHAnsi"/>
          <w:sz w:val="20"/>
          <w:szCs w:val="20"/>
          <w:lang w:val="es-ES" w:eastAsia="es-ES"/>
        </w:rPr>
        <w:t xml:space="preserve"> para el Estado de </w:t>
      </w:r>
      <w:r w:rsidR="00F9670D" w:rsidRPr="0007034B">
        <w:rPr>
          <w:rFonts w:asciiTheme="majorHAnsi" w:eastAsia="Times New Roman" w:hAnsiTheme="majorHAnsi"/>
          <w:sz w:val="20"/>
          <w:szCs w:val="20"/>
          <w:lang w:val="es-ES" w:eastAsia="es-ES"/>
        </w:rPr>
        <w:t>Argentina</w:t>
      </w:r>
      <w:r w:rsidRPr="0007034B">
        <w:rPr>
          <w:rFonts w:asciiTheme="majorHAnsi" w:eastAsia="Times New Roman" w:hAnsiTheme="majorHAnsi"/>
          <w:sz w:val="20"/>
          <w:szCs w:val="20"/>
          <w:lang w:val="es-ES" w:eastAsia="es-ES"/>
        </w:rPr>
        <w:t>. La Comisión analizará los hechos consumados con anterioridad a la entrada en vigor de la Convención Americana</w:t>
      </w:r>
      <w:r w:rsidR="00F357E2" w:rsidRPr="0007034B">
        <w:rPr>
          <w:rFonts w:asciiTheme="majorHAnsi" w:eastAsia="Times New Roman" w:hAnsiTheme="majorHAnsi"/>
          <w:sz w:val="20"/>
          <w:szCs w:val="20"/>
          <w:lang w:val="es-ES" w:eastAsia="es-ES"/>
        </w:rPr>
        <w:t xml:space="preserve"> para dicho Estado,</w:t>
      </w:r>
      <w:r w:rsidRPr="0007034B">
        <w:rPr>
          <w:rFonts w:asciiTheme="majorHAnsi" w:eastAsia="Times New Roman" w:hAnsiTheme="majorHAnsi"/>
          <w:sz w:val="20"/>
          <w:szCs w:val="20"/>
          <w:lang w:val="es-ES" w:eastAsia="es-ES"/>
        </w:rPr>
        <w:t xml:space="preserve"> a la luz de las obligaciones derivadas de la Declaración </w:t>
      </w:r>
      <w:r w:rsidRPr="0007034B">
        <w:rPr>
          <w:rFonts w:asciiTheme="majorHAnsi" w:eastAsia="Times New Roman" w:hAnsiTheme="majorHAnsi"/>
          <w:sz w:val="20"/>
          <w:szCs w:val="20"/>
          <w:lang w:val="es-ES" w:eastAsia="es-ES"/>
        </w:rPr>
        <w:lastRenderedPageBreak/>
        <w:t>Americana.</w:t>
      </w:r>
      <w:r w:rsidR="0098035E" w:rsidRPr="0007034B">
        <w:rPr>
          <w:rFonts w:asciiTheme="majorHAnsi" w:hAnsiTheme="majorHAnsi"/>
          <w:sz w:val="20"/>
          <w:szCs w:val="20"/>
          <w:lang w:val="es-VE"/>
        </w:rPr>
        <w:t xml:space="preserve">  Al respecto, la Comisión recuerda que la Corte Interamericana reconoció explícitamente la fuerza obligatoria de la Declaración Americana al señalar que “los artículos 1(2)(b) y 20 del Estatuto de la Comisión definen la competencia de la misma respecto de los derechos humanos enunciados en la Declaración. O sea que, para los Estados que ratificaron el Protocolo de Buenos Aires, la Declaración Americana constituye, en lo que es pertinente a la Carta de la Organización, una fuente de obligaciones internacionales”</w:t>
      </w:r>
      <w:r w:rsidR="0098035E" w:rsidRPr="0007034B">
        <w:rPr>
          <w:rStyle w:val="FootnoteReference"/>
          <w:rFonts w:asciiTheme="majorHAnsi" w:hAnsiTheme="majorHAnsi"/>
          <w:sz w:val="20"/>
          <w:szCs w:val="20"/>
          <w:lang w:val="es-VE"/>
        </w:rPr>
        <w:footnoteReference w:id="5"/>
      </w:r>
      <w:r w:rsidR="0098035E" w:rsidRPr="0007034B">
        <w:rPr>
          <w:rFonts w:asciiTheme="majorHAnsi" w:hAnsiTheme="majorHAnsi"/>
          <w:sz w:val="20"/>
          <w:szCs w:val="20"/>
          <w:lang w:val="es-VE"/>
        </w:rPr>
        <w:t>.</w:t>
      </w:r>
    </w:p>
    <w:p w14:paraId="35856AB0" w14:textId="77777777" w:rsidR="00E22C6D" w:rsidRPr="0007034B" w:rsidRDefault="00E22C6D" w:rsidP="00E22C6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VE"/>
        </w:rPr>
      </w:pPr>
    </w:p>
    <w:p w14:paraId="6A4B12D7" w14:textId="0AF98A21" w:rsidR="00F90472" w:rsidRPr="0007034B" w:rsidRDefault="00F90472" w:rsidP="00F84E88">
      <w:pPr>
        <w:pStyle w:val="Heading2"/>
      </w:pPr>
      <w:bookmarkStart w:id="14" w:name="_Toc6349143"/>
      <w:bookmarkStart w:id="15" w:name="_Toc6466636"/>
      <w:r w:rsidRPr="0007034B">
        <w:t>Agotamiento de recursos internos y plazo de presentación</w:t>
      </w:r>
      <w:bookmarkEnd w:id="14"/>
      <w:bookmarkEnd w:id="15"/>
    </w:p>
    <w:p w14:paraId="5D1EB558" w14:textId="77777777" w:rsidR="00F90472" w:rsidRPr="0007034B" w:rsidRDefault="00F90472" w:rsidP="00F90472">
      <w:pPr>
        <w:suppressAutoHyphens/>
        <w:rPr>
          <w:rFonts w:asciiTheme="majorHAnsi" w:hAnsiTheme="majorHAnsi"/>
          <w:b/>
          <w:sz w:val="20"/>
          <w:szCs w:val="20"/>
          <w:lang w:val="es-ES_tradnl"/>
        </w:rPr>
      </w:pPr>
    </w:p>
    <w:p w14:paraId="7E1FD8BE" w14:textId="77ECE4C3" w:rsidR="00F87737" w:rsidRPr="0007034B" w:rsidRDefault="007A58B8" w:rsidP="00F23D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lang w:val="es-VE"/>
        </w:rPr>
      </w:pPr>
      <w:r w:rsidRPr="0007034B">
        <w:rPr>
          <w:rFonts w:asciiTheme="majorHAnsi" w:hAnsiTheme="majorHAnsi"/>
          <w:sz w:val="20"/>
          <w:szCs w:val="20"/>
          <w:lang w:val="es-VE"/>
        </w:rPr>
        <w:t xml:space="preserve">En cuanto al requisito de agotamiento de los recursos internos, </w:t>
      </w:r>
      <w:r w:rsidR="00E71C62" w:rsidRPr="0007034B">
        <w:rPr>
          <w:rFonts w:asciiTheme="majorHAnsi" w:hAnsiTheme="majorHAnsi"/>
          <w:sz w:val="20"/>
          <w:szCs w:val="20"/>
          <w:lang w:val="es-VE"/>
        </w:rPr>
        <w:t xml:space="preserve">la Comisión ha establecido que, en casos como el presente, que involucran </w:t>
      </w:r>
      <w:r w:rsidR="007209AB" w:rsidRPr="0007034B">
        <w:rPr>
          <w:rFonts w:asciiTheme="majorHAnsi" w:hAnsiTheme="majorHAnsi"/>
          <w:sz w:val="20"/>
          <w:szCs w:val="20"/>
          <w:lang w:val="es-VE"/>
        </w:rPr>
        <w:t>alegatos de graves</w:t>
      </w:r>
      <w:r w:rsidR="00E71C62" w:rsidRPr="0007034B">
        <w:rPr>
          <w:rFonts w:asciiTheme="majorHAnsi" w:hAnsiTheme="majorHAnsi"/>
          <w:sz w:val="20"/>
          <w:szCs w:val="20"/>
          <w:lang w:val="es-VE"/>
        </w:rPr>
        <w:t xml:space="preserve"> violaciones a los derechos humanos, </w:t>
      </w:r>
      <w:r w:rsidR="00C17CF4" w:rsidRPr="0007034B">
        <w:rPr>
          <w:rFonts w:asciiTheme="majorHAnsi" w:hAnsiTheme="majorHAnsi"/>
          <w:sz w:val="20"/>
          <w:szCs w:val="20"/>
          <w:lang w:val="es-VE"/>
        </w:rPr>
        <w:t>los recursos internos que deben tomarse en cuenta a los efectos de la admisibilidad son los relacionados con la investigación penal y</w:t>
      </w:r>
      <w:r w:rsidR="00D338D4" w:rsidRPr="0007034B">
        <w:rPr>
          <w:rFonts w:asciiTheme="majorHAnsi" w:hAnsiTheme="majorHAnsi"/>
          <w:sz w:val="20"/>
          <w:szCs w:val="20"/>
          <w:lang w:val="es-VE"/>
        </w:rPr>
        <w:t xml:space="preserve"> eventual</w:t>
      </w:r>
      <w:r w:rsidR="00C17CF4" w:rsidRPr="0007034B">
        <w:rPr>
          <w:rFonts w:asciiTheme="majorHAnsi" w:hAnsiTheme="majorHAnsi"/>
          <w:sz w:val="20"/>
          <w:szCs w:val="20"/>
          <w:lang w:val="es-VE"/>
        </w:rPr>
        <w:t xml:space="preserve"> sanción a los responsables, la cual debe ser </w:t>
      </w:r>
      <w:r w:rsidR="00B74D3D" w:rsidRPr="0007034B">
        <w:rPr>
          <w:rFonts w:asciiTheme="majorHAnsi" w:hAnsiTheme="majorHAnsi"/>
          <w:sz w:val="20"/>
          <w:szCs w:val="20"/>
          <w:lang w:val="es-VE"/>
        </w:rPr>
        <w:t>impulsada de oficio</w:t>
      </w:r>
      <w:r w:rsidR="00C17CF4" w:rsidRPr="0007034B">
        <w:rPr>
          <w:rFonts w:asciiTheme="majorHAnsi" w:hAnsiTheme="majorHAnsi"/>
          <w:sz w:val="20"/>
          <w:szCs w:val="20"/>
          <w:lang w:val="es-VE"/>
        </w:rPr>
        <w:t xml:space="preserve"> por el Estado. </w:t>
      </w:r>
      <w:r w:rsidR="00E71C62" w:rsidRPr="0007034B">
        <w:rPr>
          <w:rFonts w:asciiTheme="majorHAnsi" w:hAnsiTheme="majorHAnsi"/>
          <w:sz w:val="20"/>
          <w:szCs w:val="20"/>
          <w:lang w:val="es-VE"/>
        </w:rPr>
        <w:t>L</w:t>
      </w:r>
      <w:r w:rsidRPr="0007034B">
        <w:rPr>
          <w:rFonts w:asciiTheme="majorHAnsi" w:hAnsiTheme="majorHAnsi"/>
          <w:sz w:val="20"/>
          <w:szCs w:val="20"/>
          <w:lang w:val="es-VE"/>
        </w:rPr>
        <w:t>a Comisión observa que</w:t>
      </w:r>
      <w:r w:rsidR="00E71C62" w:rsidRPr="0007034B">
        <w:rPr>
          <w:rFonts w:asciiTheme="majorHAnsi" w:hAnsiTheme="majorHAnsi"/>
          <w:sz w:val="20"/>
          <w:szCs w:val="20"/>
          <w:lang w:val="es-VE"/>
        </w:rPr>
        <w:t>, de acuerdo con la información aportada,</w:t>
      </w:r>
      <w:r w:rsidRPr="0007034B">
        <w:rPr>
          <w:rFonts w:asciiTheme="majorHAnsi" w:hAnsiTheme="majorHAnsi"/>
          <w:sz w:val="20"/>
          <w:szCs w:val="20"/>
          <w:lang w:val="es-VE"/>
        </w:rPr>
        <w:t xml:space="preserve"> </w:t>
      </w:r>
      <w:r w:rsidR="00696768" w:rsidRPr="0007034B">
        <w:rPr>
          <w:rFonts w:asciiTheme="majorHAnsi" w:hAnsiTheme="majorHAnsi"/>
          <w:sz w:val="20"/>
          <w:szCs w:val="20"/>
          <w:lang w:val="es-VE"/>
        </w:rPr>
        <w:t xml:space="preserve">en el presente caso </w:t>
      </w:r>
      <w:r w:rsidR="00E71C62" w:rsidRPr="0007034B">
        <w:rPr>
          <w:rFonts w:asciiTheme="majorHAnsi" w:hAnsiTheme="majorHAnsi"/>
          <w:sz w:val="20"/>
          <w:szCs w:val="20"/>
          <w:lang w:val="es-VE"/>
        </w:rPr>
        <w:t>se han llevado a cabo tres juicios orales</w:t>
      </w:r>
      <w:r w:rsidR="004F11AA" w:rsidRPr="0007034B">
        <w:rPr>
          <w:rFonts w:asciiTheme="majorHAnsi" w:hAnsiTheme="majorHAnsi"/>
          <w:sz w:val="20"/>
          <w:szCs w:val="20"/>
          <w:lang w:val="es-VE"/>
        </w:rPr>
        <w:t xml:space="preserve">. En dos de ellos ha habido condenas a penas de prisión contra agentes del Estado </w:t>
      </w:r>
      <w:r w:rsidR="007209AB" w:rsidRPr="0007034B">
        <w:rPr>
          <w:rFonts w:asciiTheme="majorHAnsi" w:hAnsiTheme="majorHAnsi"/>
          <w:sz w:val="20"/>
          <w:szCs w:val="20"/>
          <w:lang w:val="es-VE"/>
        </w:rPr>
        <w:t>por su participación en la privación ilegal de la libertad</w:t>
      </w:r>
      <w:r w:rsidR="00D960B4" w:rsidRPr="0007034B">
        <w:rPr>
          <w:rFonts w:asciiTheme="majorHAnsi" w:hAnsiTheme="majorHAnsi"/>
          <w:sz w:val="20"/>
          <w:szCs w:val="20"/>
          <w:lang w:val="es-VE"/>
        </w:rPr>
        <w:t>, secuestro</w:t>
      </w:r>
      <w:r w:rsidR="007209AB" w:rsidRPr="0007034B">
        <w:rPr>
          <w:rFonts w:asciiTheme="majorHAnsi" w:hAnsiTheme="majorHAnsi"/>
          <w:sz w:val="20"/>
          <w:szCs w:val="20"/>
          <w:lang w:val="es-VE"/>
        </w:rPr>
        <w:t xml:space="preserve"> y tormentos </w:t>
      </w:r>
      <w:r w:rsidR="00D960B4" w:rsidRPr="0007034B">
        <w:rPr>
          <w:rFonts w:asciiTheme="majorHAnsi" w:hAnsiTheme="majorHAnsi"/>
          <w:sz w:val="20"/>
          <w:szCs w:val="20"/>
          <w:lang w:val="es-VE"/>
        </w:rPr>
        <w:t>contra</w:t>
      </w:r>
      <w:r w:rsidR="007209AB" w:rsidRPr="0007034B">
        <w:rPr>
          <w:rFonts w:asciiTheme="majorHAnsi" w:hAnsiTheme="majorHAnsi"/>
          <w:sz w:val="20"/>
          <w:szCs w:val="20"/>
          <w:lang w:val="es-VE"/>
        </w:rPr>
        <w:t xml:space="preserve"> Victoria Grisonas.</w:t>
      </w:r>
      <w:r w:rsidR="005F6FAA" w:rsidRPr="0007034B">
        <w:rPr>
          <w:rFonts w:asciiTheme="majorHAnsi" w:hAnsiTheme="majorHAnsi"/>
          <w:sz w:val="20"/>
          <w:szCs w:val="20"/>
          <w:lang w:val="es-VE"/>
        </w:rPr>
        <w:t xml:space="preserve"> </w:t>
      </w:r>
      <w:r w:rsidR="00D960B4" w:rsidRPr="0007034B">
        <w:rPr>
          <w:rFonts w:asciiTheme="majorHAnsi" w:hAnsiTheme="majorHAnsi"/>
          <w:sz w:val="20"/>
          <w:szCs w:val="20"/>
          <w:lang w:val="es-VE"/>
        </w:rPr>
        <w:t xml:space="preserve">Dichas sentencias </w:t>
      </w:r>
      <w:r w:rsidR="00B74D3D" w:rsidRPr="0007034B">
        <w:rPr>
          <w:rFonts w:asciiTheme="majorHAnsi" w:hAnsiTheme="majorHAnsi"/>
          <w:sz w:val="20"/>
          <w:szCs w:val="20"/>
          <w:lang w:val="es-VE"/>
        </w:rPr>
        <w:t xml:space="preserve">a su vez </w:t>
      </w:r>
      <w:r w:rsidR="00D960B4" w:rsidRPr="0007034B">
        <w:rPr>
          <w:rFonts w:asciiTheme="majorHAnsi" w:hAnsiTheme="majorHAnsi"/>
          <w:sz w:val="20"/>
          <w:szCs w:val="20"/>
          <w:lang w:val="es-VE"/>
        </w:rPr>
        <w:t xml:space="preserve">declararon absueltos a los agentes en relación con los alegatos sobre el homicidio de Mario Julien. </w:t>
      </w:r>
      <w:r w:rsidR="00696768" w:rsidRPr="0007034B">
        <w:rPr>
          <w:rFonts w:asciiTheme="majorHAnsi" w:hAnsiTheme="majorHAnsi"/>
          <w:sz w:val="20"/>
          <w:szCs w:val="20"/>
          <w:lang w:val="es-VE"/>
        </w:rPr>
        <w:t xml:space="preserve">Respecto a los hechos relativos a los hermanos Larrabeiti Yáñez, </w:t>
      </w:r>
      <w:r w:rsidR="00C71614" w:rsidRPr="0007034B">
        <w:rPr>
          <w:rFonts w:asciiTheme="majorHAnsi" w:hAnsiTheme="majorHAnsi"/>
          <w:sz w:val="20"/>
          <w:szCs w:val="20"/>
          <w:lang w:val="es-VE"/>
        </w:rPr>
        <w:t>de acuerdo con</w:t>
      </w:r>
      <w:r w:rsidR="00696768" w:rsidRPr="0007034B">
        <w:rPr>
          <w:rFonts w:asciiTheme="majorHAnsi" w:hAnsiTheme="majorHAnsi"/>
          <w:sz w:val="20"/>
          <w:szCs w:val="20"/>
          <w:lang w:val="es-VE"/>
        </w:rPr>
        <w:t xml:space="preserve"> </w:t>
      </w:r>
      <w:r w:rsidR="00C71614" w:rsidRPr="0007034B">
        <w:rPr>
          <w:rFonts w:asciiTheme="majorHAnsi" w:hAnsiTheme="majorHAnsi"/>
          <w:sz w:val="20"/>
          <w:szCs w:val="20"/>
          <w:lang w:val="es-VE"/>
        </w:rPr>
        <w:t xml:space="preserve">la información disponible, la causa continúa en trámite. </w:t>
      </w:r>
      <w:r w:rsidR="00F87737" w:rsidRPr="0007034B">
        <w:rPr>
          <w:rFonts w:asciiTheme="majorHAnsi" w:hAnsiTheme="majorHAnsi"/>
          <w:sz w:val="20"/>
          <w:szCs w:val="20"/>
          <w:lang w:val="es-VE"/>
        </w:rPr>
        <w:t xml:space="preserve">Por otra parte, el 6 de julio de 2012 Jorge Rafael Videla fue condenado como autor de los delitos de sustracción, retención y ocultamiento de los casos de los hermanos Larrabeiti Yáñez, entre otros niños y niñas. </w:t>
      </w:r>
    </w:p>
    <w:p w14:paraId="26CAE0D1" w14:textId="77777777" w:rsidR="00F87737" w:rsidRPr="0007034B" w:rsidRDefault="00F87737" w:rsidP="00F8773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VE"/>
        </w:rPr>
      </w:pPr>
    </w:p>
    <w:p w14:paraId="501F8C10" w14:textId="2BE8E7DE" w:rsidR="00C71614" w:rsidRPr="0007034B" w:rsidRDefault="00F87737" w:rsidP="00F23D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0" w:firstLine="0"/>
        <w:jc w:val="both"/>
        <w:rPr>
          <w:rFonts w:asciiTheme="majorHAnsi" w:hAnsiTheme="majorHAnsi"/>
          <w:sz w:val="20"/>
          <w:szCs w:val="20"/>
          <w:lang w:val="es-VE"/>
        </w:rPr>
      </w:pPr>
      <w:r w:rsidRPr="0007034B">
        <w:rPr>
          <w:rFonts w:asciiTheme="majorHAnsi" w:hAnsiTheme="majorHAnsi"/>
          <w:sz w:val="20"/>
          <w:szCs w:val="20"/>
          <w:lang w:val="es-VE"/>
        </w:rPr>
        <w:t>P</w:t>
      </w:r>
      <w:r w:rsidR="00495D98" w:rsidRPr="0007034B">
        <w:rPr>
          <w:rFonts w:asciiTheme="majorHAnsi" w:hAnsiTheme="majorHAnsi"/>
          <w:sz w:val="20"/>
          <w:szCs w:val="20"/>
          <w:lang w:val="es-VE"/>
        </w:rPr>
        <w:t>o</w:t>
      </w:r>
      <w:r w:rsidRPr="0007034B">
        <w:rPr>
          <w:rFonts w:asciiTheme="majorHAnsi" w:hAnsiTheme="majorHAnsi"/>
          <w:sz w:val="20"/>
          <w:szCs w:val="20"/>
          <w:lang w:val="es-VE"/>
        </w:rPr>
        <w:t>r</w:t>
      </w:r>
      <w:r w:rsidR="00495D98" w:rsidRPr="0007034B">
        <w:rPr>
          <w:rFonts w:asciiTheme="majorHAnsi" w:hAnsiTheme="majorHAnsi"/>
          <w:sz w:val="20"/>
          <w:szCs w:val="20"/>
          <w:lang w:val="es-VE"/>
        </w:rPr>
        <w:t xml:space="preserve"> </w:t>
      </w:r>
      <w:r w:rsidR="000B0EFC" w:rsidRPr="0007034B">
        <w:rPr>
          <w:rFonts w:asciiTheme="majorHAnsi" w:hAnsiTheme="majorHAnsi"/>
          <w:sz w:val="20"/>
          <w:szCs w:val="20"/>
          <w:lang w:val="es-VE"/>
        </w:rPr>
        <w:t xml:space="preserve">lo </w:t>
      </w:r>
      <w:r w:rsidR="00495D98" w:rsidRPr="0007034B">
        <w:rPr>
          <w:rFonts w:asciiTheme="majorHAnsi" w:hAnsiTheme="majorHAnsi"/>
          <w:sz w:val="20"/>
          <w:szCs w:val="20"/>
          <w:lang w:val="es-VE"/>
        </w:rPr>
        <w:t>tanto,</w:t>
      </w:r>
      <w:r w:rsidR="00FB10E0" w:rsidRPr="0007034B">
        <w:rPr>
          <w:rFonts w:asciiTheme="majorHAnsi" w:hAnsiTheme="majorHAnsi"/>
          <w:sz w:val="20"/>
          <w:szCs w:val="20"/>
          <w:lang w:val="es-VE"/>
        </w:rPr>
        <w:t xml:space="preserve"> </w:t>
      </w:r>
      <w:r w:rsidR="00D51019" w:rsidRPr="0007034B">
        <w:rPr>
          <w:rFonts w:asciiTheme="majorHAnsi" w:hAnsiTheme="majorHAnsi"/>
          <w:sz w:val="20"/>
          <w:szCs w:val="20"/>
          <w:lang w:val="es-VE"/>
        </w:rPr>
        <w:t xml:space="preserve">si bien </w:t>
      </w:r>
      <w:r w:rsidR="00FB10E0" w:rsidRPr="0007034B">
        <w:rPr>
          <w:rFonts w:asciiTheme="majorHAnsi" w:hAnsiTheme="majorHAnsi"/>
          <w:sz w:val="20"/>
          <w:szCs w:val="20"/>
          <w:lang w:val="es-VE"/>
        </w:rPr>
        <w:t>existen condenas penales en firme</w:t>
      </w:r>
      <w:r w:rsidR="00872D7F" w:rsidRPr="0007034B">
        <w:rPr>
          <w:rFonts w:asciiTheme="majorHAnsi" w:hAnsiTheme="majorHAnsi"/>
          <w:sz w:val="20"/>
          <w:szCs w:val="20"/>
          <w:lang w:val="es-VE"/>
        </w:rPr>
        <w:t xml:space="preserve"> </w:t>
      </w:r>
      <w:r w:rsidR="00645A10" w:rsidRPr="0007034B">
        <w:rPr>
          <w:rFonts w:asciiTheme="majorHAnsi" w:hAnsiTheme="majorHAnsi"/>
          <w:sz w:val="20"/>
          <w:szCs w:val="20"/>
          <w:lang w:val="es-VE"/>
        </w:rPr>
        <w:t>respecto a algunos d</w:t>
      </w:r>
      <w:r w:rsidR="00872D7F" w:rsidRPr="0007034B">
        <w:rPr>
          <w:rFonts w:asciiTheme="majorHAnsi" w:hAnsiTheme="majorHAnsi"/>
          <w:sz w:val="20"/>
          <w:szCs w:val="20"/>
          <w:lang w:val="es-VE"/>
        </w:rPr>
        <w:t xml:space="preserve">e los hechos denunciados en </w:t>
      </w:r>
      <w:r w:rsidR="00D51019" w:rsidRPr="0007034B">
        <w:rPr>
          <w:rFonts w:asciiTheme="majorHAnsi" w:hAnsiTheme="majorHAnsi"/>
          <w:sz w:val="20"/>
          <w:szCs w:val="20"/>
          <w:lang w:val="es-VE"/>
        </w:rPr>
        <w:t>el</w:t>
      </w:r>
      <w:r w:rsidR="00872D7F" w:rsidRPr="0007034B">
        <w:rPr>
          <w:rFonts w:asciiTheme="majorHAnsi" w:hAnsiTheme="majorHAnsi"/>
          <w:sz w:val="20"/>
          <w:szCs w:val="20"/>
          <w:lang w:val="es-VE"/>
        </w:rPr>
        <w:t xml:space="preserve"> presente </w:t>
      </w:r>
      <w:r w:rsidR="00D51019" w:rsidRPr="0007034B">
        <w:rPr>
          <w:rFonts w:asciiTheme="majorHAnsi" w:hAnsiTheme="majorHAnsi"/>
          <w:sz w:val="20"/>
          <w:szCs w:val="20"/>
          <w:lang w:val="es-VE"/>
        </w:rPr>
        <w:t>caso</w:t>
      </w:r>
      <w:r w:rsidR="00FB10E0" w:rsidRPr="0007034B">
        <w:rPr>
          <w:rFonts w:asciiTheme="majorHAnsi" w:hAnsiTheme="majorHAnsi"/>
          <w:sz w:val="20"/>
          <w:szCs w:val="20"/>
          <w:lang w:val="es-VE"/>
        </w:rPr>
        <w:t>,</w:t>
      </w:r>
      <w:r w:rsidR="00D51019" w:rsidRPr="0007034B">
        <w:rPr>
          <w:rFonts w:asciiTheme="majorHAnsi" w:hAnsiTheme="majorHAnsi"/>
          <w:sz w:val="20"/>
          <w:szCs w:val="20"/>
          <w:lang w:val="es-VE"/>
        </w:rPr>
        <w:t xml:space="preserve"> a 42 años de </w:t>
      </w:r>
      <w:r w:rsidR="00C17CF4" w:rsidRPr="0007034B">
        <w:rPr>
          <w:rFonts w:asciiTheme="majorHAnsi" w:hAnsiTheme="majorHAnsi"/>
          <w:sz w:val="20"/>
          <w:szCs w:val="20"/>
          <w:lang w:val="es-VE"/>
        </w:rPr>
        <w:t>estos</w:t>
      </w:r>
      <w:r w:rsidR="00D51019" w:rsidRPr="0007034B">
        <w:rPr>
          <w:rFonts w:asciiTheme="majorHAnsi" w:hAnsiTheme="majorHAnsi"/>
          <w:sz w:val="20"/>
          <w:szCs w:val="20"/>
          <w:lang w:val="es-VE"/>
        </w:rPr>
        <w:t xml:space="preserve"> no se ha esclarecido la verdad ni sancionado a los responsables de</w:t>
      </w:r>
      <w:r w:rsidR="00750A3C" w:rsidRPr="0007034B">
        <w:rPr>
          <w:rFonts w:asciiTheme="majorHAnsi" w:hAnsiTheme="majorHAnsi"/>
          <w:sz w:val="20"/>
          <w:szCs w:val="20"/>
          <w:lang w:val="es-VE"/>
        </w:rPr>
        <w:t xml:space="preserve"> </w:t>
      </w:r>
      <w:r w:rsidR="00FB10E0" w:rsidRPr="0007034B">
        <w:rPr>
          <w:rFonts w:asciiTheme="majorHAnsi" w:hAnsiTheme="majorHAnsi"/>
          <w:sz w:val="20"/>
          <w:szCs w:val="20"/>
          <w:lang w:val="es-VE"/>
        </w:rPr>
        <w:t xml:space="preserve">la </w:t>
      </w:r>
      <w:r w:rsidR="00F90F0D" w:rsidRPr="0007034B">
        <w:rPr>
          <w:rFonts w:asciiTheme="majorHAnsi" w:hAnsiTheme="majorHAnsi"/>
          <w:sz w:val="20"/>
          <w:szCs w:val="20"/>
          <w:lang w:val="es-VE"/>
        </w:rPr>
        <w:t>desaparición</w:t>
      </w:r>
      <w:r w:rsidR="00FB10E0" w:rsidRPr="0007034B">
        <w:rPr>
          <w:rFonts w:asciiTheme="majorHAnsi" w:hAnsiTheme="majorHAnsi"/>
          <w:sz w:val="20"/>
          <w:szCs w:val="20"/>
          <w:lang w:val="es-VE"/>
        </w:rPr>
        <w:t xml:space="preserve"> de Mario Julien</w:t>
      </w:r>
      <w:r w:rsidR="00D51019" w:rsidRPr="0007034B">
        <w:rPr>
          <w:rFonts w:asciiTheme="majorHAnsi" w:hAnsiTheme="majorHAnsi"/>
          <w:sz w:val="20"/>
          <w:szCs w:val="20"/>
          <w:lang w:val="es-VE"/>
        </w:rPr>
        <w:t>, y la causa sobre</w:t>
      </w:r>
      <w:r w:rsidR="004A3C29" w:rsidRPr="0007034B">
        <w:rPr>
          <w:rFonts w:asciiTheme="majorHAnsi" w:hAnsiTheme="majorHAnsi"/>
          <w:sz w:val="20"/>
          <w:szCs w:val="20"/>
          <w:lang w:val="es-VE"/>
        </w:rPr>
        <w:t xml:space="preserve"> los hechos relativos a los hermanos Larrabeiti Yáñez</w:t>
      </w:r>
      <w:r w:rsidR="00D51019" w:rsidRPr="0007034B">
        <w:rPr>
          <w:rFonts w:asciiTheme="majorHAnsi" w:hAnsiTheme="majorHAnsi"/>
          <w:sz w:val="20"/>
          <w:szCs w:val="20"/>
          <w:lang w:val="es-VE"/>
        </w:rPr>
        <w:t xml:space="preserve"> </w:t>
      </w:r>
      <w:r w:rsidR="004A3C29" w:rsidRPr="0007034B">
        <w:rPr>
          <w:rFonts w:asciiTheme="majorHAnsi" w:hAnsiTheme="majorHAnsi"/>
          <w:sz w:val="20"/>
          <w:szCs w:val="20"/>
          <w:lang w:val="es-VE"/>
        </w:rPr>
        <w:t>continúa en trámite.</w:t>
      </w:r>
      <w:r w:rsidR="00D51019" w:rsidRPr="0007034B">
        <w:rPr>
          <w:rFonts w:asciiTheme="majorHAnsi" w:hAnsiTheme="majorHAnsi"/>
          <w:sz w:val="20"/>
          <w:szCs w:val="20"/>
          <w:lang w:val="es-VE"/>
        </w:rPr>
        <w:t xml:space="preserve"> </w:t>
      </w:r>
      <w:r w:rsidR="00FB10E0" w:rsidRPr="0007034B">
        <w:rPr>
          <w:rFonts w:asciiTheme="majorHAnsi" w:hAnsiTheme="majorHAnsi"/>
          <w:sz w:val="20"/>
          <w:szCs w:val="20"/>
          <w:lang w:val="es-VE"/>
        </w:rPr>
        <w:t xml:space="preserve"> </w:t>
      </w:r>
      <w:r w:rsidR="00A9004A" w:rsidRPr="0007034B">
        <w:rPr>
          <w:rFonts w:asciiTheme="majorHAnsi" w:hAnsiTheme="majorHAnsi"/>
          <w:sz w:val="20"/>
          <w:szCs w:val="20"/>
          <w:lang w:val="es-VE"/>
        </w:rPr>
        <w:t>Respecto de Victoria Grisonas, de la información disponible no surge que su alegada desa</w:t>
      </w:r>
      <w:r w:rsidR="00B455DE" w:rsidRPr="0007034B">
        <w:rPr>
          <w:rFonts w:asciiTheme="majorHAnsi" w:hAnsiTheme="majorHAnsi"/>
          <w:sz w:val="20"/>
          <w:szCs w:val="20"/>
          <w:lang w:val="es-VE"/>
        </w:rPr>
        <w:t xml:space="preserve">parición forzada </w:t>
      </w:r>
      <w:r w:rsidR="00526110" w:rsidRPr="0007034B">
        <w:rPr>
          <w:rFonts w:asciiTheme="majorHAnsi" w:hAnsiTheme="majorHAnsi"/>
          <w:sz w:val="20"/>
          <w:szCs w:val="20"/>
          <w:lang w:val="es-VE"/>
        </w:rPr>
        <w:t xml:space="preserve">haya sido esclarecida en su integridad, incluyendo la determinación </w:t>
      </w:r>
      <w:r w:rsidR="00E65491" w:rsidRPr="0007034B">
        <w:rPr>
          <w:rFonts w:asciiTheme="majorHAnsi" w:hAnsiTheme="majorHAnsi"/>
          <w:sz w:val="20"/>
          <w:szCs w:val="20"/>
          <w:lang w:val="es-VE"/>
        </w:rPr>
        <w:t xml:space="preserve">judicial </w:t>
      </w:r>
      <w:r w:rsidR="00526110" w:rsidRPr="0007034B">
        <w:rPr>
          <w:rFonts w:asciiTheme="majorHAnsi" w:hAnsiTheme="majorHAnsi"/>
          <w:sz w:val="20"/>
          <w:szCs w:val="20"/>
          <w:lang w:val="es-VE"/>
        </w:rPr>
        <w:t>de su destino y paradero</w:t>
      </w:r>
      <w:r w:rsidR="00E65491" w:rsidRPr="0007034B">
        <w:rPr>
          <w:rFonts w:asciiTheme="majorHAnsi" w:hAnsiTheme="majorHAnsi"/>
          <w:sz w:val="20"/>
          <w:szCs w:val="20"/>
          <w:lang w:val="es-VE"/>
        </w:rPr>
        <w:t xml:space="preserve">. </w:t>
      </w:r>
      <w:r w:rsidR="00CA57D4" w:rsidRPr="0007034B">
        <w:rPr>
          <w:rFonts w:asciiTheme="majorHAnsi" w:hAnsiTheme="majorHAnsi"/>
          <w:sz w:val="20"/>
          <w:szCs w:val="20"/>
          <w:lang w:val="es-VE"/>
        </w:rPr>
        <w:t>Con base en dicha información</w:t>
      </w:r>
      <w:r w:rsidR="007926E2" w:rsidRPr="0007034B">
        <w:rPr>
          <w:rFonts w:asciiTheme="majorHAnsi" w:hAnsiTheme="majorHAnsi"/>
          <w:sz w:val="20"/>
          <w:szCs w:val="20"/>
          <w:lang w:val="es-VE"/>
        </w:rPr>
        <w:t xml:space="preserve">, </w:t>
      </w:r>
      <w:r w:rsidR="00CA57D4" w:rsidRPr="0007034B">
        <w:rPr>
          <w:rFonts w:asciiTheme="majorHAnsi" w:hAnsiTheme="majorHAnsi"/>
          <w:sz w:val="20"/>
          <w:szCs w:val="20"/>
          <w:lang w:val="es-VE"/>
        </w:rPr>
        <w:t>la Comisión concluye que en el presente caso aplica la excepción al agotamiento de los recursos internos prevista en el artículo 46.2</w:t>
      </w:r>
      <w:r w:rsidR="00C3004A" w:rsidRPr="0007034B">
        <w:rPr>
          <w:rFonts w:asciiTheme="majorHAnsi" w:hAnsiTheme="majorHAnsi"/>
          <w:sz w:val="20"/>
          <w:szCs w:val="20"/>
          <w:lang w:val="es-VE"/>
        </w:rPr>
        <w:t>(</w:t>
      </w:r>
      <w:r w:rsidR="00CA57D4" w:rsidRPr="0007034B">
        <w:rPr>
          <w:rFonts w:asciiTheme="majorHAnsi" w:hAnsiTheme="majorHAnsi"/>
          <w:sz w:val="20"/>
          <w:szCs w:val="20"/>
          <w:lang w:val="es-VE"/>
        </w:rPr>
        <w:t>c</w:t>
      </w:r>
      <w:r w:rsidR="00C3004A" w:rsidRPr="0007034B">
        <w:rPr>
          <w:rFonts w:asciiTheme="majorHAnsi" w:hAnsiTheme="majorHAnsi"/>
          <w:sz w:val="20"/>
          <w:szCs w:val="20"/>
          <w:lang w:val="es-VE"/>
        </w:rPr>
        <w:t>)</w:t>
      </w:r>
      <w:r w:rsidR="00CA57D4" w:rsidRPr="0007034B">
        <w:rPr>
          <w:rFonts w:asciiTheme="majorHAnsi" w:hAnsiTheme="majorHAnsi"/>
          <w:sz w:val="20"/>
          <w:szCs w:val="20"/>
          <w:lang w:val="es-VE"/>
        </w:rPr>
        <w:t xml:space="preserve"> de la Convención, bajo la salvedad que las causas y los efectos que han impedido el agotamiento de los recursos internos en el presente caso serán analizados, en lo pertinente, en el </w:t>
      </w:r>
      <w:r w:rsidR="00531196" w:rsidRPr="0007034B">
        <w:rPr>
          <w:rFonts w:asciiTheme="majorHAnsi" w:hAnsiTheme="majorHAnsi"/>
          <w:sz w:val="20"/>
          <w:szCs w:val="20"/>
          <w:lang w:val="es-VE"/>
        </w:rPr>
        <w:t>análisis sobre el fondo que realizará la Comisión en e</w:t>
      </w:r>
      <w:r w:rsidR="007E3125" w:rsidRPr="0007034B">
        <w:rPr>
          <w:rFonts w:asciiTheme="majorHAnsi" w:hAnsiTheme="majorHAnsi"/>
          <w:sz w:val="20"/>
          <w:szCs w:val="20"/>
          <w:lang w:val="es-VE"/>
        </w:rPr>
        <w:t>l presente</w:t>
      </w:r>
      <w:r w:rsidR="00531196" w:rsidRPr="0007034B">
        <w:rPr>
          <w:rFonts w:asciiTheme="majorHAnsi" w:hAnsiTheme="majorHAnsi"/>
          <w:sz w:val="20"/>
          <w:szCs w:val="20"/>
          <w:lang w:val="es-VE"/>
        </w:rPr>
        <w:t xml:space="preserve"> informe. </w:t>
      </w:r>
    </w:p>
    <w:p w14:paraId="654D2F5B" w14:textId="77777777" w:rsidR="009326DF" w:rsidRPr="0007034B" w:rsidRDefault="009326DF" w:rsidP="009326DF">
      <w:pPr>
        <w:pStyle w:val="ListParagraph"/>
        <w:rPr>
          <w:rFonts w:asciiTheme="majorHAnsi" w:hAnsiTheme="majorHAnsi"/>
          <w:sz w:val="20"/>
          <w:szCs w:val="20"/>
          <w:lang w:val="es-VE"/>
        </w:rPr>
      </w:pPr>
    </w:p>
    <w:p w14:paraId="5D1EA553" w14:textId="2C8A98F8" w:rsidR="00FD71A4" w:rsidRPr="0007034B" w:rsidRDefault="00FD71A4" w:rsidP="00F23D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0" w:firstLine="0"/>
        <w:jc w:val="both"/>
        <w:rPr>
          <w:rFonts w:asciiTheme="majorHAnsi" w:hAnsiTheme="majorHAnsi"/>
          <w:sz w:val="20"/>
          <w:szCs w:val="20"/>
          <w:lang w:val="es-AR"/>
        </w:rPr>
      </w:pPr>
      <w:r w:rsidRPr="0007034B">
        <w:rPr>
          <w:rFonts w:asciiTheme="majorHAnsi" w:hAnsiTheme="majorHAnsi"/>
          <w:sz w:val="20"/>
          <w:szCs w:val="20"/>
          <w:lang w:val="es-ES_tradnl"/>
        </w:rPr>
        <w:t xml:space="preserve">En relación con el </w:t>
      </w:r>
      <w:r w:rsidRPr="0007034B">
        <w:rPr>
          <w:rFonts w:asciiTheme="majorHAnsi" w:hAnsiTheme="majorHAnsi"/>
          <w:sz w:val="20"/>
          <w:szCs w:val="20"/>
          <w:lang w:val="es-AR"/>
        </w:rPr>
        <w:t xml:space="preserve">requisito de plazo de presentación, la petición ante la CIDH fue recibida el 11 de noviembre de 2005, los hechos materia del reclamo tuvieron lugar desde 1976, </w:t>
      </w:r>
      <w:r w:rsidR="000A5612" w:rsidRPr="0007034B">
        <w:rPr>
          <w:rFonts w:asciiTheme="majorHAnsi" w:hAnsiTheme="majorHAnsi"/>
          <w:sz w:val="20"/>
          <w:szCs w:val="20"/>
          <w:lang w:val="es-AR"/>
        </w:rPr>
        <w:t xml:space="preserve">algunos de los hechos alegados no han cesado y </w:t>
      </w:r>
      <w:r w:rsidRPr="0007034B">
        <w:rPr>
          <w:rFonts w:asciiTheme="majorHAnsi" w:hAnsiTheme="majorHAnsi"/>
          <w:sz w:val="20"/>
          <w:szCs w:val="20"/>
          <w:lang w:val="es-AR"/>
        </w:rPr>
        <w:t>los alegados efectos</w:t>
      </w:r>
      <w:r w:rsidR="000A5612" w:rsidRPr="0007034B">
        <w:rPr>
          <w:rFonts w:asciiTheme="majorHAnsi" w:hAnsiTheme="majorHAnsi"/>
          <w:sz w:val="20"/>
          <w:szCs w:val="20"/>
          <w:lang w:val="es-AR"/>
        </w:rPr>
        <w:t xml:space="preserve"> de los demás, incluyendo la supuesta impunidad sobre la mayoría de ellos,</w:t>
      </w:r>
      <w:r w:rsidRPr="0007034B">
        <w:rPr>
          <w:rFonts w:asciiTheme="majorHAnsi" w:hAnsiTheme="majorHAnsi"/>
          <w:sz w:val="20"/>
          <w:szCs w:val="20"/>
          <w:lang w:val="es-AR"/>
        </w:rPr>
        <w:t xml:space="preserve"> se extenderían hasta el presente. Por lo tanto, en vista del contexto y las características del presente caso, y tomando en cuenta </w:t>
      </w:r>
      <w:r w:rsidR="00E02325" w:rsidRPr="0007034B">
        <w:rPr>
          <w:rFonts w:asciiTheme="majorHAnsi" w:hAnsiTheme="majorHAnsi"/>
          <w:sz w:val="20"/>
          <w:szCs w:val="20"/>
          <w:lang w:val="es-AR"/>
        </w:rPr>
        <w:t xml:space="preserve">la continuidad en la ocurrencia de la alegada desaparición forzada, así como el hecho de </w:t>
      </w:r>
      <w:r w:rsidRPr="0007034B">
        <w:rPr>
          <w:rFonts w:asciiTheme="majorHAnsi" w:hAnsiTheme="majorHAnsi"/>
          <w:sz w:val="20"/>
          <w:szCs w:val="20"/>
          <w:lang w:val="es-AR"/>
        </w:rPr>
        <w:t xml:space="preserve">que una de las causas penales está </w:t>
      </w:r>
      <w:r w:rsidR="007E3125" w:rsidRPr="0007034B">
        <w:rPr>
          <w:rFonts w:asciiTheme="majorHAnsi" w:hAnsiTheme="majorHAnsi"/>
          <w:sz w:val="20"/>
          <w:szCs w:val="20"/>
          <w:lang w:val="es-AR"/>
        </w:rPr>
        <w:t xml:space="preserve">aún </w:t>
      </w:r>
      <w:r w:rsidRPr="0007034B">
        <w:rPr>
          <w:rFonts w:asciiTheme="majorHAnsi" w:hAnsiTheme="majorHAnsi"/>
          <w:sz w:val="20"/>
          <w:szCs w:val="20"/>
          <w:lang w:val="es-AR"/>
        </w:rPr>
        <w:t xml:space="preserve">en trámite, la Comisión considera que la petición fue presentada dentro de un plazo razonable y que debe darse por satisfecho el requisito de admisibilidad referente al plazo de presentación. </w:t>
      </w:r>
    </w:p>
    <w:p w14:paraId="7BB9573C" w14:textId="77777777" w:rsidR="00FD71A4" w:rsidRPr="0007034B" w:rsidRDefault="00FD71A4" w:rsidP="00FD71A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Theme="majorHAnsi" w:hAnsiTheme="majorHAnsi"/>
          <w:sz w:val="20"/>
          <w:szCs w:val="20"/>
          <w:lang w:val="es-AR"/>
        </w:rPr>
      </w:pPr>
    </w:p>
    <w:p w14:paraId="1054A331" w14:textId="38AAF443" w:rsidR="00B00334" w:rsidRPr="0007034B" w:rsidRDefault="009326DF" w:rsidP="00F23D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0" w:firstLine="0"/>
        <w:jc w:val="both"/>
        <w:rPr>
          <w:rFonts w:asciiTheme="majorHAnsi" w:hAnsiTheme="majorHAnsi"/>
          <w:b/>
          <w:sz w:val="20"/>
          <w:szCs w:val="20"/>
          <w:lang w:val="es-ES_tradnl"/>
        </w:rPr>
      </w:pPr>
      <w:r w:rsidRPr="0007034B">
        <w:rPr>
          <w:rFonts w:asciiTheme="majorHAnsi" w:hAnsiTheme="majorHAnsi"/>
          <w:sz w:val="20"/>
          <w:szCs w:val="20"/>
          <w:lang w:val="es-ES_tradnl"/>
        </w:rPr>
        <w:t xml:space="preserve">Respecto a la acción civil de daños y perjuicios, la Comisión ha considerado que en casos </w:t>
      </w:r>
      <w:r w:rsidR="00852041" w:rsidRPr="0007034B">
        <w:rPr>
          <w:rFonts w:asciiTheme="majorHAnsi" w:hAnsiTheme="majorHAnsi"/>
          <w:sz w:val="20"/>
          <w:szCs w:val="20"/>
          <w:lang w:val="es-ES_tradnl"/>
        </w:rPr>
        <w:t xml:space="preserve">que involucran alegatos como los del presente caso </w:t>
      </w:r>
      <w:r w:rsidRPr="0007034B">
        <w:rPr>
          <w:rFonts w:asciiTheme="majorHAnsi" w:hAnsiTheme="majorHAnsi"/>
          <w:sz w:val="20"/>
          <w:szCs w:val="20"/>
          <w:lang w:val="es-ES_tradnl"/>
        </w:rPr>
        <w:t>no es necesario entablar o agotar una acción civil antes de acudir al sistema interamericano. Sin embargo, dado que se alegan ante la CIDH violaciones autónomas en el marco de la acción civil, corresponde analizar si se han agotado los recursos internos</w:t>
      </w:r>
      <w:r w:rsidR="0079435D" w:rsidRPr="0007034B">
        <w:rPr>
          <w:rFonts w:asciiTheme="majorHAnsi" w:hAnsiTheme="majorHAnsi"/>
          <w:sz w:val="20"/>
          <w:szCs w:val="20"/>
          <w:lang w:val="es-ES_tradnl"/>
        </w:rPr>
        <w:t xml:space="preserve"> respecto de tales alegatos puntuales</w:t>
      </w:r>
      <w:r w:rsidRPr="0007034B">
        <w:rPr>
          <w:rFonts w:asciiTheme="majorHAnsi" w:hAnsiTheme="majorHAnsi"/>
          <w:sz w:val="20"/>
          <w:szCs w:val="20"/>
          <w:lang w:val="es-ES_tradnl"/>
        </w:rPr>
        <w:t xml:space="preserve">. Al respecto, la Comisión observa que </w:t>
      </w:r>
      <w:r w:rsidR="00D5407F" w:rsidRPr="0007034B">
        <w:rPr>
          <w:rFonts w:asciiTheme="majorHAnsi" w:hAnsiTheme="majorHAnsi"/>
          <w:sz w:val="20"/>
          <w:szCs w:val="20"/>
          <w:lang w:val="es-AR"/>
        </w:rPr>
        <w:t>el 30 de octubre de 2007 la CSJN declaró prescrita la acción civil promovida por los hermanos Larrabeiti Yáñez, por lo que</w:t>
      </w:r>
      <w:r w:rsidR="004F3CAA" w:rsidRPr="0007034B">
        <w:rPr>
          <w:rFonts w:asciiTheme="majorHAnsi" w:hAnsiTheme="majorHAnsi"/>
          <w:sz w:val="20"/>
          <w:szCs w:val="20"/>
          <w:lang w:val="es-AR"/>
        </w:rPr>
        <w:t xml:space="preserve"> al momento del presente pronunciamiento de admisibilidad,</w:t>
      </w:r>
      <w:r w:rsidR="00D5407F" w:rsidRPr="0007034B">
        <w:rPr>
          <w:rFonts w:asciiTheme="majorHAnsi" w:hAnsiTheme="majorHAnsi"/>
          <w:sz w:val="20"/>
          <w:szCs w:val="20"/>
          <w:lang w:val="es-AR"/>
        </w:rPr>
        <w:t xml:space="preserve"> se ha</w:t>
      </w:r>
      <w:r w:rsidR="004621A0" w:rsidRPr="0007034B">
        <w:rPr>
          <w:rFonts w:asciiTheme="majorHAnsi" w:hAnsiTheme="majorHAnsi"/>
          <w:sz w:val="20"/>
          <w:szCs w:val="20"/>
          <w:lang w:val="es-AR"/>
        </w:rPr>
        <w:t>n</w:t>
      </w:r>
      <w:r w:rsidR="00D5407F" w:rsidRPr="0007034B">
        <w:rPr>
          <w:rFonts w:asciiTheme="majorHAnsi" w:hAnsiTheme="majorHAnsi"/>
          <w:sz w:val="20"/>
          <w:szCs w:val="20"/>
          <w:lang w:val="es-AR"/>
        </w:rPr>
        <w:t xml:space="preserve"> cumplido con </w:t>
      </w:r>
      <w:r w:rsidR="00FD71A4" w:rsidRPr="0007034B">
        <w:rPr>
          <w:rFonts w:asciiTheme="majorHAnsi" w:hAnsiTheme="majorHAnsi"/>
          <w:sz w:val="20"/>
          <w:szCs w:val="20"/>
          <w:lang w:val="es-AR"/>
        </w:rPr>
        <w:t>los</w:t>
      </w:r>
      <w:r w:rsidR="00D5407F" w:rsidRPr="0007034B">
        <w:rPr>
          <w:rFonts w:asciiTheme="majorHAnsi" w:hAnsiTheme="majorHAnsi"/>
          <w:sz w:val="20"/>
          <w:szCs w:val="20"/>
          <w:lang w:val="es-AR"/>
        </w:rPr>
        <w:t xml:space="preserve"> requisito</w:t>
      </w:r>
      <w:r w:rsidR="00FD71A4" w:rsidRPr="0007034B">
        <w:rPr>
          <w:rFonts w:asciiTheme="majorHAnsi" w:hAnsiTheme="majorHAnsi"/>
          <w:sz w:val="20"/>
          <w:szCs w:val="20"/>
          <w:lang w:val="es-AR"/>
        </w:rPr>
        <w:t>s</w:t>
      </w:r>
      <w:r w:rsidR="00D5407F" w:rsidRPr="0007034B">
        <w:rPr>
          <w:rFonts w:asciiTheme="majorHAnsi" w:hAnsiTheme="majorHAnsi"/>
          <w:sz w:val="20"/>
          <w:szCs w:val="20"/>
          <w:lang w:val="es-AR"/>
        </w:rPr>
        <w:t xml:space="preserve"> establecido</w:t>
      </w:r>
      <w:r w:rsidR="00FD71A4" w:rsidRPr="0007034B">
        <w:rPr>
          <w:rFonts w:asciiTheme="majorHAnsi" w:hAnsiTheme="majorHAnsi"/>
          <w:sz w:val="20"/>
          <w:szCs w:val="20"/>
          <w:lang w:val="es-AR"/>
        </w:rPr>
        <w:t>s</w:t>
      </w:r>
      <w:r w:rsidR="00D5407F" w:rsidRPr="0007034B">
        <w:rPr>
          <w:rFonts w:asciiTheme="majorHAnsi" w:hAnsiTheme="majorHAnsi"/>
          <w:sz w:val="20"/>
          <w:szCs w:val="20"/>
          <w:lang w:val="es-AR"/>
        </w:rPr>
        <w:t xml:space="preserve"> en l</w:t>
      </w:r>
      <w:r w:rsidR="00FD71A4" w:rsidRPr="0007034B">
        <w:rPr>
          <w:rFonts w:asciiTheme="majorHAnsi" w:hAnsiTheme="majorHAnsi"/>
          <w:sz w:val="20"/>
          <w:szCs w:val="20"/>
          <w:lang w:val="es-AR"/>
        </w:rPr>
        <w:t>os</w:t>
      </w:r>
      <w:r w:rsidR="00D5407F" w:rsidRPr="0007034B">
        <w:rPr>
          <w:rFonts w:asciiTheme="majorHAnsi" w:hAnsiTheme="majorHAnsi"/>
          <w:sz w:val="20"/>
          <w:szCs w:val="20"/>
          <w:lang w:val="es-AR"/>
        </w:rPr>
        <w:t xml:space="preserve"> artículo</w:t>
      </w:r>
      <w:r w:rsidR="00FD71A4" w:rsidRPr="0007034B">
        <w:rPr>
          <w:rFonts w:asciiTheme="majorHAnsi" w:hAnsiTheme="majorHAnsi"/>
          <w:sz w:val="20"/>
          <w:szCs w:val="20"/>
          <w:lang w:val="es-AR"/>
        </w:rPr>
        <w:t>s</w:t>
      </w:r>
      <w:r w:rsidR="00D5407F" w:rsidRPr="0007034B">
        <w:rPr>
          <w:rFonts w:asciiTheme="majorHAnsi" w:hAnsiTheme="majorHAnsi"/>
          <w:sz w:val="20"/>
          <w:szCs w:val="20"/>
          <w:lang w:val="es-AR"/>
        </w:rPr>
        <w:t xml:space="preserve"> 46.1(a)</w:t>
      </w:r>
      <w:r w:rsidR="00FD71A4" w:rsidRPr="0007034B">
        <w:rPr>
          <w:rFonts w:asciiTheme="majorHAnsi" w:hAnsiTheme="majorHAnsi"/>
          <w:sz w:val="20"/>
          <w:szCs w:val="20"/>
          <w:lang w:val="es-AR"/>
        </w:rPr>
        <w:t xml:space="preserve"> y (b)</w:t>
      </w:r>
      <w:r w:rsidR="00D5407F" w:rsidRPr="0007034B">
        <w:rPr>
          <w:rFonts w:asciiTheme="majorHAnsi" w:hAnsiTheme="majorHAnsi"/>
          <w:sz w:val="20"/>
          <w:szCs w:val="20"/>
          <w:lang w:val="es-AR"/>
        </w:rPr>
        <w:t xml:space="preserve"> de la Convención.</w:t>
      </w:r>
    </w:p>
    <w:p w14:paraId="092D3E12" w14:textId="77777777" w:rsidR="00B00334" w:rsidRPr="0007034B" w:rsidRDefault="00B00334" w:rsidP="00F90472">
      <w:pPr>
        <w:suppressAutoHyphens/>
        <w:rPr>
          <w:rFonts w:asciiTheme="majorHAnsi" w:hAnsiTheme="majorHAnsi"/>
          <w:b/>
          <w:sz w:val="20"/>
          <w:szCs w:val="20"/>
          <w:lang w:val="es-ES_tradnl"/>
        </w:rPr>
      </w:pPr>
    </w:p>
    <w:p w14:paraId="3A42A25E" w14:textId="77777777" w:rsidR="00F84E88" w:rsidRDefault="00F84E88">
      <w:pPr>
        <w:rPr>
          <w:rFonts w:asciiTheme="majorHAnsi" w:eastAsia="Times New Roman" w:hAnsiTheme="majorHAnsi" w:cs="Arial"/>
          <w:b/>
          <w:bCs/>
          <w:iCs/>
          <w:sz w:val="20"/>
          <w:szCs w:val="20"/>
          <w:bdr w:val="none" w:sz="0" w:space="0" w:color="auto"/>
          <w:lang w:val="es-ES_tradnl"/>
        </w:rPr>
      </w:pPr>
      <w:bookmarkStart w:id="16" w:name="_Toc6349144"/>
      <w:bookmarkStart w:id="17" w:name="_Toc6466637"/>
      <w:r w:rsidRPr="001D4025">
        <w:rPr>
          <w:lang w:val="es-ES"/>
        </w:rPr>
        <w:br w:type="page"/>
      </w:r>
    </w:p>
    <w:p w14:paraId="27B2F216" w14:textId="3AE69082" w:rsidR="00F90472" w:rsidRPr="0007034B" w:rsidRDefault="00F90472" w:rsidP="00F84E88">
      <w:pPr>
        <w:pStyle w:val="Heading2"/>
      </w:pPr>
      <w:r w:rsidRPr="0007034B">
        <w:lastRenderedPageBreak/>
        <w:t>Caracterización de los hechos alegados</w:t>
      </w:r>
      <w:bookmarkEnd w:id="16"/>
      <w:bookmarkEnd w:id="17"/>
    </w:p>
    <w:p w14:paraId="16FDFCA7" w14:textId="77777777" w:rsidR="00F90472" w:rsidRPr="0007034B" w:rsidRDefault="00F90472" w:rsidP="00F90472">
      <w:pPr>
        <w:suppressAutoHyphens/>
        <w:rPr>
          <w:rFonts w:asciiTheme="majorHAnsi" w:hAnsiTheme="majorHAnsi"/>
          <w:b/>
          <w:sz w:val="20"/>
          <w:szCs w:val="20"/>
          <w:lang w:val="es-ES_tradnl"/>
        </w:rPr>
      </w:pPr>
    </w:p>
    <w:p w14:paraId="28D25129" w14:textId="740DB086" w:rsidR="00541D37" w:rsidRPr="0007034B" w:rsidRDefault="009A771B"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r w:rsidRPr="0007034B">
        <w:rPr>
          <w:rFonts w:asciiTheme="majorHAnsi" w:hAnsiTheme="majorHAnsi"/>
          <w:sz w:val="20"/>
          <w:szCs w:val="20"/>
        </w:rPr>
        <w:t>La Comisión considera que, de resultar probados, los hechos alegados por la parte peticionaria podrían constituir violaciones a los derechos establecidos en los artículos</w:t>
      </w:r>
      <w:r w:rsidR="00FB4F53" w:rsidRPr="0007034B">
        <w:rPr>
          <w:rFonts w:asciiTheme="majorHAnsi" w:hAnsiTheme="majorHAnsi" w:cs="Verdana"/>
          <w:sz w:val="20"/>
          <w:szCs w:val="20"/>
          <w:lang w:val="es-VE"/>
        </w:rPr>
        <w:t xml:space="preserve"> I, V, VI, VII, VIII, XVII, XIX y XXV de la Declaración Americana; artículos</w:t>
      </w:r>
      <w:r w:rsidRPr="0007034B">
        <w:rPr>
          <w:rFonts w:asciiTheme="majorHAnsi" w:hAnsiTheme="majorHAnsi"/>
          <w:sz w:val="20"/>
          <w:szCs w:val="20"/>
        </w:rPr>
        <w:t xml:space="preserve"> </w:t>
      </w:r>
      <w:r w:rsidR="00541D37" w:rsidRPr="0007034B">
        <w:rPr>
          <w:rFonts w:asciiTheme="majorHAnsi" w:hAnsiTheme="majorHAnsi" w:cs="Verdana"/>
          <w:sz w:val="20"/>
          <w:szCs w:val="20"/>
          <w:lang w:val="es-VE"/>
        </w:rPr>
        <w:t>3, 4.1, 5.1, 5.2, 7.1, 8.1</w:t>
      </w:r>
      <w:r w:rsidR="0043493B" w:rsidRPr="0007034B">
        <w:rPr>
          <w:rFonts w:asciiTheme="majorHAnsi" w:hAnsiTheme="majorHAnsi" w:cs="Verdana"/>
          <w:sz w:val="20"/>
          <w:szCs w:val="20"/>
          <w:lang w:val="es-VE"/>
        </w:rPr>
        <w:t xml:space="preserve"> </w:t>
      </w:r>
      <w:r w:rsidR="00541D37" w:rsidRPr="0007034B">
        <w:rPr>
          <w:rFonts w:asciiTheme="majorHAnsi" w:hAnsiTheme="majorHAnsi" w:cs="Verdana"/>
          <w:sz w:val="20"/>
          <w:szCs w:val="20"/>
          <w:lang w:val="es-VE"/>
        </w:rPr>
        <w:t>y 25.1 de la Convención Americana, en relación con sus artículos 1.1 y 2; de los artículos I incisos a) y b) y III de la Convención Interamericana sobre Desaparición Forzada de Personas; y de los artículos 1, 6 y 8 de la Convención Interamericana para Prevenir y Sancionar la Tortura</w:t>
      </w:r>
      <w:r w:rsidR="006D329E" w:rsidRPr="0007034B">
        <w:rPr>
          <w:rFonts w:asciiTheme="majorHAnsi" w:hAnsiTheme="majorHAnsi" w:cs="Verdana"/>
          <w:sz w:val="20"/>
          <w:szCs w:val="20"/>
          <w:lang w:val="es-VE"/>
        </w:rPr>
        <w:t>, en perjuicio de Mario Julien, Victoria Lucía Grisonas, Anatole y Victoria Larrabeiti Yáñez</w:t>
      </w:r>
      <w:r w:rsidRPr="0007034B">
        <w:rPr>
          <w:rFonts w:asciiTheme="majorHAnsi" w:hAnsiTheme="majorHAnsi"/>
          <w:sz w:val="20"/>
          <w:szCs w:val="20"/>
        </w:rPr>
        <w:t xml:space="preserve">. </w:t>
      </w:r>
    </w:p>
    <w:p w14:paraId="2780581B" w14:textId="77777777" w:rsidR="006D329E" w:rsidRPr="0007034B" w:rsidRDefault="006D329E" w:rsidP="006D329E">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rPr>
      </w:pPr>
    </w:p>
    <w:p w14:paraId="01C0BEDB" w14:textId="38D778B2" w:rsidR="006D329E" w:rsidRPr="0007034B" w:rsidRDefault="006D329E"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r w:rsidRPr="0007034B">
        <w:rPr>
          <w:rFonts w:asciiTheme="majorHAnsi" w:hAnsiTheme="majorHAnsi"/>
          <w:sz w:val="20"/>
          <w:szCs w:val="20"/>
        </w:rPr>
        <w:t>Respecto a la alegada violación del artículo 24 de la Convención Americana, de los alegatos de la parte peticionaria y de la documentación disponible, no surge información suficiente para concluir que los hechos del presente caso caractericen una violación al derecho a la igualdad ante la ley.</w:t>
      </w:r>
      <w:r w:rsidR="00C92E55" w:rsidRPr="0007034B">
        <w:rPr>
          <w:rFonts w:asciiTheme="majorHAnsi" w:hAnsiTheme="majorHAnsi"/>
          <w:sz w:val="20"/>
          <w:szCs w:val="20"/>
        </w:rPr>
        <w:t xml:space="preserve">  En cuanto a la alegada violación del artículo 21 de la Convención Americana, la CIDH tampoco cuenta con información suficiente que le permita hacer determinaciones detalladas sobre la posible violación de dicho artículo, sin perjuicio de que esta cuestión deba ser tomada en consideración en las recomendaciones que se formulan en el presente informe, particularmente en lo relativo a la justa compensación. </w:t>
      </w:r>
    </w:p>
    <w:p w14:paraId="5A669021" w14:textId="77777777" w:rsidR="006C1094" w:rsidRPr="0007034B" w:rsidRDefault="006C1094" w:rsidP="00F90472">
      <w:pPr>
        <w:suppressAutoHyphens/>
        <w:rPr>
          <w:rFonts w:asciiTheme="majorHAnsi" w:hAnsiTheme="majorHAnsi"/>
          <w:b/>
          <w:sz w:val="20"/>
          <w:szCs w:val="20"/>
          <w:lang w:val="es-ES_tradnl"/>
        </w:rPr>
      </w:pPr>
    </w:p>
    <w:p w14:paraId="2BB42127" w14:textId="77777777" w:rsidR="00D12193" w:rsidRPr="0007034B" w:rsidRDefault="00D12193" w:rsidP="0007034B">
      <w:pPr>
        <w:pStyle w:val="Heading1"/>
      </w:pPr>
      <w:bookmarkStart w:id="18" w:name="_Toc6349145"/>
      <w:bookmarkStart w:id="19" w:name="_Toc6466638"/>
      <w:r w:rsidRPr="0007034B">
        <w:t>DETERMINACIONES DE HECHO</w:t>
      </w:r>
      <w:bookmarkEnd w:id="18"/>
      <w:bookmarkEnd w:id="19"/>
      <w:r w:rsidR="008A078F" w:rsidRPr="0007034B">
        <w:t xml:space="preserve"> </w:t>
      </w:r>
    </w:p>
    <w:p w14:paraId="38689382" w14:textId="77777777" w:rsidR="007C756A" w:rsidRPr="0007034B" w:rsidRDefault="007C756A" w:rsidP="00E22C6D">
      <w:pPr>
        <w:ind w:left="1440" w:hanging="720"/>
        <w:rPr>
          <w:rFonts w:asciiTheme="majorHAnsi" w:hAnsiTheme="majorHAnsi"/>
          <w:b/>
          <w:sz w:val="20"/>
          <w:szCs w:val="20"/>
          <w:lang w:val="es-ES_tradnl"/>
        </w:rPr>
      </w:pPr>
    </w:p>
    <w:p w14:paraId="1EEFC0DD" w14:textId="1AD97C59" w:rsidR="00215995" w:rsidRPr="0007034B" w:rsidRDefault="00215995" w:rsidP="00B14871">
      <w:pPr>
        <w:pStyle w:val="Heading2"/>
        <w:numPr>
          <w:ilvl w:val="0"/>
          <w:numId w:val="64"/>
        </w:numPr>
        <w:ind w:hanging="720"/>
      </w:pPr>
      <w:bookmarkStart w:id="20" w:name="_Toc6349146"/>
      <w:bookmarkStart w:id="21" w:name="_Toc6466639"/>
      <w:r w:rsidRPr="0007034B">
        <w:t>Contexto</w:t>
      </w:r>
      <w:bookmarkEnd w:id="20"/>
      <w:bookmarkEnd w:id="21"/>
    </w:p>
    <w:p w14:paraId="6EC6A191" w14:textId="77777777" w:rsidR="00215995" w:rsidRPr="0007034B" w:rsidRDefault="00215995" w:rsidP="00E22C6D">
      <w:pPr>
        <w:ind w:left="1440" w:hanging="720"/>
        <w:jc w:val="both"/>
        <w:rPr>
          <w:rFonts w:asciiTheme="majorHAnsi" w:hAnsiTheme="majorHAnsi"/>
          <w:b/>
          <w:sz w:val="20"/>
          <w:szCs w:val="20"/>
          <w:lang w:val="es-ES_tradnl"/>
        </w:rPr>
      </w:pPr>
    </w:p>
    <w:p w14:paraId="55313C39" w14:textId="6DFD8570" w:rsidR="003E2C47" w:rsidRPr="007E73E1" w:rsidRDefault="003E2C47" w:rsidP="007E73E1">
      <w:pPr>
        <w:pStyle w:val="Heading3"/>
      </w:pPr>
      <w:bookmarkStart w:id="22" w:name="_Toc6349147"/>
      <w:bookmarkStart w:id="23" w:name="_Toc6466640"/>
      <w:r w:rsidRPr="007E73E1">
        <w:t>Sobre las graves violaciones a los derechos humanos cometidas durante la dictadura argentina</w:t>
      </w:r>
      <w:bookmarkEnd w:id="22"/>
      <w:bookmarkEnd w:id="23"/>
    </w:p>
    <w:p w14:paraId="5CE03CFC" w14:textId="77777777" w:rsidR="003E2C47" w:rsidRPr="0007034B" w:rsidRDefault="003E2C47" w:rsidP="00E22C6D">
      <w:pPr>
        <w:pStyle w:val="ListParagraph"/>
        <w:ind w:left="1440" w:hanging="720"/>
        <w:jc w:val="both"/>
        <w:rPr>
          <w:rFonts w:asciiTheme="majorHAnsi" w:hAnsiTheme="majorHAnsi"/>
          <w:b/>
          <w:sz w:val="20"/>
          <w:szCs w:val="20"/>
          <w:lang w:val="es-ES_tradnl"/>
        </w:rPr>
      </w:pPr>
    </w:p>
    <w:p w14:paraId="21906711" w14:textId="1A8FCE4B" w:rsidR="003E2C47" w:rsidRPr="0007034B" w:rsidRDefault="003E2C47"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b/>
          <w:sz w:val="20"/>
          <w:szCs w:val="20"/>
        </w:rPr>
      </w:pPr>
      <w:r w:rsidRPr="0007034B">
        <w:rPr>
          <w:rFonts w:asciiTheme="majorHAnsi" w:hAnsiTheme="majorHAnsi"/>
          <w:sz w:val="20"/>
          <w:szCs w:val="20"/>
        </w:rPr>
        <w:t xml:space="preserve">El </w:t>
      </w:r>
      <w:r w:rsidRPr="0007034B">
        <w:rPr>
          <w:rFonts w:asciiTheme="majorHAnsi" w:hAnsiTheme="majorHAnsi"/>
          <w:sz w:val="20"/>
          <w:szCs w:val="20"/>
          <w:lang w:val="es-AR"/>
        </w:rPr>
        <w:t xml:space="preserve">24 de marzo de 1976 las Fuerzas Armadas Argentinas dieron un golpe de Estado que derrocó al gobierno constitucional de María Estela Martínez de Perón, quien había asumido la presidencia tras la muerte del </w:t>
      </w:r>
      <w:r w:rsidR="00731645">
        <w:rPr>
          <w:rFonts w:asciiTheme="majorHAnsi" w:hAnsiTheme="majorHAnsi"/>
          <w:sz w:val="20"/>
          <w:szCs w:val="20"/>
          <w:lang w:val="es-AR"/>
        </w:rPr>
        <w:t>Presidente</w:t>
      </w:r>
      <w:r w:rsidRPr="0007034B">
        <w:rPr>
          <w:rFonts w:asciiTheme="majorHAnsi" w:hAnsiTheme="majorHAnsi"/>
          <w:sz w:val="20"/>
          <w:szCs w:val="20"/>
          <w:lang w:val="es-AR"/>
        </w:rPr>
        <w:t xml:space="preserve"> Juan Domingo Perón el 1 de julio de 1974. De esta forma se instauró una dictadura cívico-militar que duró más de siete años y que se caracterizó por la práctica de graves y sistemáticas violaciones a los derechos humanos. </w:t>
      </w:r>
    </w:p>
    <w:p w14:paraId="3BCEB0A5" w14:textId="77777777" w:rsidR="003E2C47" w:rsidRPr="0007034B" w:rsidRDefault="003E2C47" w:rsidP="003E2C47">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b/>
          <w:sz w:val="20"/>
          <w:szCs w:val="20"/>
        </w:rPr>
      </w:pPr>
    </w:p>
    <w:p w14:paraId="035B8FFF" w14:textId="5C1B1B56" w:rsidR="003E2C47" w:rsidRPr="0007034B" w:rsidRDefault="003E2C47"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b/>
          <w:sz w:val="20"/>
          <w:szCs w:val="20"/>
        </w:rPr>
      </w:pPr>
      <w:r w:rsidRPr="0007034B">
        <w:rPr>
          <w:rFonts w:asciiTheme="majorHAnsi" w:hAnsiTheme="majorHAnsi"/>
          <w:sz w:val="20"/>
          <w:szCs w:val="20"/>
          <w:lang w:val="es-AR"/>
        </w:rPr>
        <w:t xml:space="preserve">A raíz de la recepción de varias denuncias de graves violaciones a los derechos humanos en Argentina antes y después del golpe de Estado, la CIDH decidió realizar una visita </w:t>
      </w:r>
      <w:r w:rsidRPr="0007034B">
        <w:rPr>
          <w:rFonts w:asciiTheme="majorHAnsi" w:hAnsiTheme="majorHAnsi"/>
          <w:i/>
          <w:sz w:val="20"/>
          <w:szCs w:val="20"/>
          <w:lang w:val="es-AR"/>
        </w:rPr>
        <w:t>in loco</w:t>
      </w:r>
      <w:r w:rsidRPr="0007034B">
        <w:rPr>
          <w:rFonts w:asciiTheme="majorHAnsi" w:hAnsiTheme="majorHAnsi"/>
          <w:sz w:val="20"/>
          <w:szCs w:val="20"/>
          <w:lang w:val="es-AR"/>
        </w:rPr>
        <w:t xml:space="preserve"> a</w:t>
      </w:r>
      <w:r w:rsidR="009444B5" w:rsidRPr="0007034B">
        <w:rPr>
          <w:rFonts w:asciiTheme="majorHAnsi" w:hAnsiTheme="majorHAnsi"/>
          <w:sz w:val="20"/>
          <w:szCs w:val="20"/>
          <w:lang w:val="es-AR"/>
        </w:rPr>
        <w:t>l país</w:t>
      </w:r>
      <w:r w:rsidRPr="0007034B">
        <w:rPr>
          <w:rFonts w:asciiTheme="majorHAnsi" w:hAnsiTheme="majorHAnsi"/>
          <w:sz w:val="20"/>
          <w:szCs w:val="20"/>
          <w:lang w:val="es-AR"/>
        </w:rPr>
        <w:t xml:space="preserve">, la cual tuvo lugar del 6 al 20 de septiembre de 1979. En dicha visita la Comisión se reunió con las más altas autoridades públicas, ex-Presidentes de la República, representantes de diferentes credos religiosos, entidades de derechos humanos y familiares de personas desaparecidas, representantes de organizaciones políticas, asociaciones profesionales, organizaciones gremiales y sindicales, entre otras entidades. Además recibió </w:t>
      </w:r>
      <w:r w:rsidR="0099671F" w:rsidRPr="0007034B">
        <w:rPr>
          <w:rFonts w:asciiTheme="majorHAnsi" w:hAnsiTheme="majorHAnsi"/>
          <w:sz w:val="20"/>
          <w:szCs w:val="20"/>
          <w:lang w:val="es-AR"/>
        </w:rPr>
        <w:t xml:space="preserve">4.153 </w:t>
      </w:r>
      <w:r w:rsidRPr="0007034B">
        <w:rPr>
          <w:rFonts w:asciiTheme="majorHAnsi" w:hAnsiTheme="majorHAnsi"/>
          <w:sz w:val="20"/>
          <w:szCs w:val="20"/>
          <w:lang w:val="es-AR"/>
        </w:rPr>
        <w:t xml:space="preserve">peticiones individuales denunciando violaciones a los derechos humanos. La Comisión visitó la ciudad de Buenos Aires y otras localidades del país, entre ellas, Córdoba, Tucumán, La Plata, Trelew y Resistencia. Asimismo, realizó visitas a seis cárceles, dos centros de detención militares, la Superintendencia de Seguridad Federal o Coordinación Federal, la Comisaría No. 9 de Buenos Aires y la Escuela de Mecánica de la Armada. </w:t>
      </w:r>
    </w:p>
    <w:p w14:paraId="6AAFEC3F" w14:textId="77777777" w:rsidR="003E2C47" w:rsidRPr="0007034B" w:rsidRDefault="003E2C47" w:rsidP="003E2C47">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b/>
          <w:sz w:val="20"/>
          <w:szCs w:val="20"/>
        </w:rPr>
      </w:pPr>
    </w:p>
    <w:p w14:paraId="7A071914" w14:textId="77777777" w:rsidR="003E2C47" w:rsidRPr="0007034B" w:rsidRDefault="003E2C47"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b/>
          <w:sz w:val="20"/>
          <w:szCs w:val="20"/>
        </w:rPr>
      </w:pPr>
      <w:r w:rsidRPr="0007034B">
        <w:rPr>
          <w:rFonts w:asciiTheme="majorHAnsi" w:hAnsiTheme="majorHAnsi"/>
          <w:sz w:val="20"/>
          <w:szCs w:val="20"/>
          <w:lang w:val="es-AR"/>
        </w:rPr>
        <w:t xml:space="preserve">Tras dicha visita la CIDH constató la existencia de graves violaciones a los derechos humanos tales como el uso sistemático de la tortura, la desaparición forzada de miles de personas y </w:t>
      </w:r>
      <w:r w:rsidRPr="0007034B">
        <w:rPr>
          <w:rFonts w:asciiTheme="majorHAnsi" w:hAnsiTheme="majorHAnsi" w:cs="Arial"/>
          <w:sz w:val="20"/>
          <w:szCs w:val="20"/>
        </w:rPr>
        <w:t>la existencia de inhumaciones clandestinas en cementerios. Asimismo, verificó la existencia de un gran número de personas que se encontraban detenidas por tiempos indefinidos, sin formulación de cargos precisos, sin proceso y sin medios efectivos de defensa</w:t>
      </w:r>
      <w:r w:rsidRPr="0007034B">
        <w:rPr>
          <w:rFonts w:asciiTheme="majorHAnsi" w:hAnsiTheme="majorHAnsi"/>
          <w:sz w:val="20"/>
          <w:szCs w:val="20"/>
          <w:lang w:val="es-AR"/>
        </w:rPr>
        <w:t xml:space="preserve">. </w:t>
      </w:r>
      <w:r w:rsidRPr="0007034B">
        <w:rPr>
          <w:rFonts w:asciiTheme="majorHAnsi" w:hAnsiTheme="majorHAnsi" w:cs="TimesNewRoman"/>
          <w:sz w:val="20"/>
          <w:szCs w:val="20"/>
          <w:lang w:val="es-AR" w:eastAsia="es-AR"/>
        </w:rPr>
        <w:t>E</w:t>
      </w:r>
      <w:r w:rsidRPr="0007034B">
        <w:rPr>
          <w:rFonts w:asciiTheme="majorHAnsi" w:hAnsiTheme="majorHAnsi"/>
          <w:sz w:val="20"/>
          <w:szCs w:val="20"/>
          <w:lang w:val="es-AR"/>
        </w:rPr>
        <w:t>n su informe publicado en abril de 1980, la CIDH concluyó que, entre 1975 y 1979, se cometieron en Argentina “numerosas y graves” violaciones a los derechos y libertades fundamentales reconocidas en la Declaración Americana</w:t>
      </w:r>
      <w:r w:rsidRPr="0007034B">
        <w:rPr>
          <w:rStyle w:val="FootnoteReference"/>
          <w:rFonts w:asciiTheme="majorHAnsi" w:hAnsiTheme="majorHAnsi"/>
          <w:sz w:val="20"/>
          <w:szCs w:val="20"/>
          <w:lang w:val="es-AR"/>
        </w:rPr>
        <w:footnoteReference w:id="6"/>
      </w:r>
      <w:r w:rsidRPr="0007034B">
        <w:rPr>
          <w:rFonts w:asciiTheme="majorHAnsi" w:hAnsiTheme="majorHAnsi"/>
          <w:sz w:val="20"/>
          <w:szCs w:val="20"/>
          <w:lang w:val="es-AR"/>
        </w:rPr>
        <w:t xml:space="preserve">. Esta visita adquirió una gran trascendencia y representó un hito para las y los familiares de personas desaparecidas y demás víctimas, ya que por primera vez un organismo internacional constataba </w:t>
      </w:r>
      <w:r w:rsidRPr="0007034B">
        <w:rPr>
          <w:rFonts w:asciiTheme="majorHAnsi" w:hAnsiTheme="majorHAnsi"/>
          <w:i/>
          <w:sz w:val="20"/>
          <w:szCs w:val="20"/>
          <w:lang w:val="es-AR"/>
        </w:rPr>
        <w:t>in situ</w:t>
      </w:r>
      <w:r w:rsidRPr="0007034B">
        <w:rPr>
          <w:rFonts w:asciiTheme="majorHAnsi" w:hAnsiTheme="majorHAnsi"/>
          <w:sz w:val="20"/>
          <w:szCs w:val="20"/>
          <w:lang w:val="es-AR"/>
        </w:rPr>
        <w:t xml:space="preserve"> la existencia de graves y sistemáticas violaciones a los derechos humanos y visibilizaba esta situación a nivel internacional. </w:t>
      </w:r>
    </w:p>
    <w:p w14:paraId="7D5A1F8E" w14:textId="77777777" w:rsidR="003E2C47" w:rsidRPr="0007034B" w:rsidRDefault="003E2C47" w:rsidP="003E2C47">
      <w:pPr>
        <w:pStyle w:val="ListParagraph"/>
        <w:rPr>
          <w:rFonts w:asciiTheme="majorHAnsi" w:hAnsiTheme="majorHAnsi"/>
          <w:b/>
          <w:sz w:val="20"/>
          <w:szCs w:val="20"/>
          <w:lang w:val="es-ES"/>
        </w:rPr>
      </w:pPr>
    </w:p>
    <w:p w14:paraId="05797E34" w14:textId="77777777" w:rsidR="003E2C47" w:rsidRPr="0007034B" w:rsidRDefault="003E2C47"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r w:rsidRPr="0007034B">
        <w:rPr>
          <w:rFonts w:asciiTheme="majorHAnsi" w:hAnsiTheme="majorHAnsi"/>
          <w:sz w:val="20"/>
          <w:szCs w:val="20"/>
        </w:rPr>
        <w:lastRenderedPageBreak/>
        <w:t>Tras el regreso a la democracia el 10 de diciembre de 1983, el Presidente Raúl Alfonsín creó la Comisión Nacional sobre la Desaparición de Personas (“CONADEP”), esfuerzo reconocido por la CIDH</w:t>
      </w:r>
      <w:r w:rsidRPr="0007034B">
        <w:rPr>
          <w:rStyle w:val="FootnoteReference"/>
          <w:rFonts w:asciiTheme="majorHAnsi" w:hAnsiTheme="majorHAnsi"/>
          <w:sz w:val="20"/>
          <w:szCs w:val="20"/>
        </w:rPr>
        <w:footnoteReference w:id="7"/>
      </w:r>
      <w:r w:rsidRPr="0007034B">
        <w:rPr>
          <w:rFonts w:asciiTheme="majorHAnsi" w:hAnsiTheme="majorHAnsi"/>
          <w:sz w:val="20"/>
          <w:szCs w:val="20"/>
        </w:rPr>
        <w:t>, cuyo objetivo fue investigar los crímenes cometidos durante la dictadura. La CONADEP elaboró 7.380 legajos de denuncias y en septiembre de 1984 publicó su histórico informe final, llamado “Nunca Más”</w:t>
      </w:r>
      <w:r w:rsidRPr="0007034B">
        <w:rPr>
          <w:rStyle w:val="FootnoteReference"/>
          <w:rFonts w:asciiTheme="majorHAnsi" w:hAnsiTheme="majorHAnsi"/>
          <w:sz w:val="20"/>
          <w:szCs w:val="20"/>
        </w:rPr>
        <w:footnoteReference w:id="8"/>
      </w:r>
      <w:r w:rsidRPr="0007034B">
        <w:rPr>
          <w:rFonts w:asciiTheme="majorHAnsi" w:hAnsiTheme="majorHAnsi"/>
          <w:sz w:val="20"/>
          <w:szCs w:val="20"/>
        </w:rPr>
        <w:t>. Dicho informe identificó la existencia de aproximadamente 340 centros clandestinos de detención en el país y 8.960 personas desaparecidas, cifra que el informe consideró no definitiva dado que muchos casos no habían sido denunciados. Los organismos de derechos humanos actualmente calculan que son 30 mil las personas desaparecidas</w:t>
      </w:r>
      <w:r w:rsidRPr="0007034B">
        <w:rPr>
          <w:rStyle w:val="FootnoteReference"/>
          <w:rFonts w:asciiTheme="majorHAnsi" w:hAnsiTheme="majorHAnsi"/>
          <w:sz w:val="20"/>
          <w:szCs w:val="20"/>
        </w:rPr>
        <w:footnoteReference w:id="9"/>
      </w:r>
      <w:r w:rsidRPr="0007034B">
        <w:rPr>
          <w:rFonts w:asciiTheme="majorHAnsi" w:hAnsiTheme="majorHAnsi"/>
          <w:sz w:val="20"/>
          <w:szCs w:val="20"/>
        </w:rPr>
        <w:t>. Asimismo, la Secretaría de Derechos Humanos de la Nación posteriormente identificó 762 lugares “utilizados por las fuerzas represivas del Estado de forma sistemática o eventual para el alojamiento clandestino o ilegal de personas privadas de su libertad por razones políticas desde fines del año 1974 y, especialmente, a partir de la aplicación del plan sistemático de exterminio ejecutado por la última dictadura cívico militar en todo el territorio nacional”</w:t>
      </w:r>
      <w:r w:rsidRPr="0007034B">
        <w:rPr>
          <w:rStyle w:val="FootnoteReference"/>
          <w:rFonts w:asciiTheme="majorHAnsi" w:hAnsiTheme="majorHAnsi"/>
          <w:sz w:val="20"/>
          <w:szCs w:val="20"/>
        </w:rPr>
        <w:footnoteReference w:id="10"/>
      </w:r>
      <w:r w:rsidRPr="0007034B">
        <w:rPr>
          <w:rFonts w:asciiTheme="majorHAnsi" w:hAnsiTheme="majorHAnsi"/>
          <w:sz w:val="20"/>
          <w:szCs w:val="20"/>
        </w:rPr>
        <w:t xml:space="preserve">. </w:t>
      </w:r>
    </w:p>
    <w:p w14:paraId="20EB4EDC" w14:textId="77777777" w:rsidR="003E2C47" w:rsidRPr="0007034B" w:rsidRDefault="003E2C47" w:rsidP="003E2C47">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rPr>
      </w:pPr>
    </w:p>
    <w:p w14:paraId="7E3D09B6" w14:textId="16F4A9C1" w:rsidR="003E2C47" w:rsidRPr="0007034B" w:rsidRDefault="00C80C95"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r w:rsidRPr="0007034B">
        <w:rPr>
          <w:rFonts w:asciiTheme="majorHAnsi" w:hAnsiTheme="majorHAnsi"/>
          <w:sz w:val="20"/>
          <w:szCs w:val="20"/>
        </w:rPr>
        <w:t xml:space="preserve">Igualmente, </w:t>
      </w:r>
      <w:r w:rsidR="003E2C47" w:rsidRPr="0007034B">
        <w:rPr>
          <w:rFonts w:asciiTheme="majorHAnsi" w:hAnsiTheme="majorHAnsi"/>
          <w:sz w:val="20"/>
          <w:szCs w:val="20"/>
        </w:rPr>
        <w:t>diversas resoluciones judiciales emitidas por tribunales argentinos han acreditado que “entre 1976 y 1983 el gobierno de facto impuso un plan sistemático de represión ilegal” que permitió a miembros de las Fuerzas Armadas y de seguridad “secuestrar, torturar, asesinar, crear centros clandestinos de detención y tortura, con un velo de impunidad y bajo la dirección de quienes controlaban – mediante la usurpación del poder – la totalidad de los mecanismos de control del Estado”</w:t>
      </w:r>
      <w:r w:rsidR="003E2C47" w:rsidRPr="0007034B">
        <w:rPr>
          <w:rStyle w:val="FootnoteReference"/>
          <w:rFonts w:asciiTheme="majorHAnsi" w:hAnsiTheme="majorHAnsi"/>
          <w:sz w:val="20"/>
          <w:szCs w:val="20"/>
        </w:rPr>
        <w:footnoteReference w:id="11"/>
      </w:r>
      <w:r w:rsidR="003E2C47" w:rsidRPr="0007034B">
        <w:rPr>
          <w:rFonts w:asciiTheme="majorHAnsi" w:hAnsiTheme="majorHAnsi"/>
          <w:sz w:val="20"/>
          <w:szCs w:val="20"/>
        </w:rPr>
        <w:t>.</w:t>
      </w:r>
    </w:p>
    <w:p w14:paraId="06AA8960" w14:textId="77777777" w:rsidR="003E2C47" w:rsidRPr="0007034B" w:rsidRDefault="003E2C47" w:rsidP="00C00CB4">
      <w:pPr>
        <w:pStyle w:val="ListParagraph"/>
        <w:ind w:left="0"/>
        <w:jc w:val="both"/>
        <w:rPr>
          <w:rFonts w:asciiTheme="majorHAnsi" w:hAnsiTheme="majorHAnsi"/>
          <w:b/>
          <w:sz w:val="20"/>
          <w:szCs w:val="20"/>
          <w:lang w:val="es-ES_tradnl"/>
        </w:rPr>
      </w:pPr>
    </w:p>
    <w:p w14:paraId="5764DDE6" w14:textId="67056383" w:rsidR="00F873C3" w:rsidRPr="0007034B" w:rsidRDefault="00F873C3" w:rsidP="0007034B">
      <w:pPr>
        <w:pStyle w:val="Heading3"/>
      </w:pPr>
      <w:bookmarkStart w:id="24" w:name="_Toc6349148"/>
      <w:bookmarkStart w:id="25" w:name="_Toc6466641"/>
      <w:r w:rsidRPr="0007034B">
        <w:t xml:space="preserve">Sobre </w:t>
      </w:r>
      <w:r w:rsidR="00E1155F" w:rsidRPr="0007034B">
        <w:t>la coordinación represiva argentino-uruguaya en el marco de la Operación Cóndor</w:t>
      </w:r>
      <w:bookmarkEnd w:id="24"/>
      <w:bookmarkEnd w:id="25"/>
    </w:p>
    <w:p w14:paraId="53A198F8" w14:textId="77777777" w:rsidR="00F873C3" w:rsidRPr="0007034B" w:rsidRDefault="00F873C3" w:rsidP="00C00CB4">
      <w:pPr>
        <w:jc w:val="both"/>
        <w:rPr>
          <w:rFonts w:asciiTheme="majorHAnsi" w:hAnsiTheme="majorHAnsi"/>
          <w:b/>
          <w:sz w:val="20"/>
          <w:szCs w:val="20"/>
          <w:lang w:val="es-ES_tradnl"/>
        </w:rPr>
      </w:pPr>
    </w:p>
    <w:p w14:paraId="797648D1" w14:textId="77777777" w:rsidR="00F873C3" w:rsidRPr="0007034B" w:rsidRDefault="00F873C3"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r w:rsidRPr="0007034B">
        <w:rPr>
          <w:rFonts w:asciiTheme="majorHAnsi" w:hAnsiTheme="majorHAnsi"/>
          <w:sz w:val="20"/>
          <w:szCs w:val="20"/>
        </w:rPr>
        <w:t>Los hechos materia del presente caso se dieron en el contexto de la llamada “Operación Cóndor”. En el Caso Goiburú y otros vs. Paraguay y posteriormente en el Caso Gelman vs. Uruguay, la Corte Interamericana de Derechos Humanos reconoció su existencia en los siguientes términos</w:t>
      </w:r>
      <w:r w:rsidRPr="0007034B">
        <w:rPr>
          <w:rStyle w:val="FootnoteReference"/>
          <w:rFonts w:asciiTheme="majorHAnsi" w:hAnsiTheme="majorHAnsi"/>
          <w:sz w:val="20"/>
          <w:szCs w:val="20"/>
        </w:rPr>
        <w:footnoteReference w:id="12"/>
      </w:r>
      <w:r w:rsidRPr="0007034B">
        <w:rPr>
          <w:rFonts w:asciiTheme="majorHAnsi" w:hAnsiTheme="majorHAnsi"/>
          <w:sz w:val="20"/>
          <w:szCs w:val="20"/>
        </w:rPr>
        <w:t xml:space="preserve">: </w:t>
      </w:r>
    </w:p>
    <w:p w14:paraId="49D47B40" w14:textId="77777777" w:rsidR="00112F04" w:rsidRPr="0007034B" w:rsidRDefault="00112F04" w:rsidP="00112F04">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rPr>
      </w:pPr>
    </w:p>
    <w:p w14:paraId="778933DE" w14:textId="77777777" w:rsidR="00F873C3" w:rsidRPr="001D4025" w:rsidRDefault="00F873C3" w:rsidP="0007034B">
      <w:pPr>
        <w:ind w:left="720" w:right="720"/>
        <w:jc w:val="both"/>
        <w:rPr>
          <w:rFonts w:asciiTheme="majorHAnsi" w:eastAsia="Times New Roman" w:hAnsiTheme="majorHAnsi"/>
          <w:color w:val="000000"/>
          <w:sz w:val="18"/>
          <w:szCs w:val="18"/>
          <w:u w:color="000000"/>
          <w:lang w:val="es-ES_tradnl" w:eastAsia="es-ES"/>
        </w:rPr>
      </w:pPr>
      <w:r w:rsidRPr="001D4025">
        <w:rPr>
          <w:rFonts w:asciiTheme="majorHAnsi" w:eastAsia="Times New Roman" w:hAnsiTheme="majorHAnsi"/>
          <w:color w:val="000000"/>
          <w:sz w:val="18"/>
          <w:szCs w:val="18"/>
          <w:u w:color="000000"/>
          <w:lang w:val="es-ES_tradnl" w:eastAsia="es-ES"/>
        </w:rPr>
        <w:t>La mayoría de los gobiernos dictatoriales de la región del Cono Sur asumieron el poder o estaban en el poder durante la década de los años setenta</w:t>
      </w:r>
      <w:r w:rsidRPr="001D4025">
        <w:rPr>
          <w:rStyle w:val="FootnoteReference"/>
          <w:rFonts w:asciiTheme="majorHAnsi" w:hAnsiTheme="majorHAnsi"/>
          <w:color w:val="000000"/>
          <w:sz w:val="18"/>
          <w:szCs w:val="18"/>
          <w:lang w:val="es-ES_tradnl" w:eastAsia="es-ES"/>
        </w:rPr>
        <w:footnoteReference w:id="13"/>
      </w:r>
      <w:r w:rsidRPr="001D4025">
        <w:rPr>
          <w:rFonts w:asciiTheme="majorHAnsi" w:eastAsia="Times New Roman" w:hAnsiTheme="majorHAnsi"/>
          <w:color w:val="000000"/>
          <w:sz w:val="18"/>
          <w:szCs w:val="18"/>
          <w:u w:color="000000"/>
          <w:lang w:val="es-ES_tradnl" w:eastAsia="es-ES"/>
        </w:rPr>
        <w:t xml:space="preserve">, lo que permitió la represión contra personas denominadas como “elementos subversivos” a nivel inter-estatal. El soporte ideológico de todos estos regímenes era la “doctrina de seguridad nacional”, por medio de la cual visualizaban a los movimientos de izquierda y otros grupos como “enemigos comunes” sin importar su nacionalidad. Miles de ciudadanos del Cono Sur buscaron escapar a la represión de sus países de origen refugiándose en países fronterizos. Frente a ello, las dictaduras crearon una estrategia común de “defensa”. </w:t>
      </w:r>
    </w:p>
    <w:p w14:paraId="6597C1E2" w14:textId="77777777" w:rsidR="00F873C3" w:rsidRPr="001D4025" w:rsidRDefault="00F873C3" w:rsidP="0007034B">
      <w:pPr>
        <w:spacing w:before="120" w:after="120"/>
        <w:ind w:left="720" w:right="720"/>
        <w:jc w:val="both"/>
        <w:rPr>
          <w:rFonts w:asciiTheme="majorHAnsi" w:eastAsia="Times New Roman" w:hAnsiTheme="majorHAnsi"/>
          <w:color w:val="000000"/>
          <w:sz w:val="18"/>
          <w:szCs w:val="18"/>
          <w:u w:color="000000"/>
          <w:lang w:val="es-ES_tradnl" w:eastAsia="es-ES"/>
        </w:rPr>
      </w:pPr>
      <w:r w:rsidRPr="001D4025">
        <w:rPr>
          <w:rFonts w:asciiTheme="majorHAnsi" w:eastAsia="Times New Roman" w:hAnsiTheme="majorHAnsi"/>
          <w:color w:val="000000"/>
          <w:sz w:val="18"/>
          <w:szCs w:val="18"/>
          <w:u w:color="000000"/>
          <w:lang w:val="es-ES_tradnl" w:eastAsia="es-ES"/>
        </w:rPr>
        <w:t>En este marco, tuvo lugar la llamada “Operación Cóndor”, nombre clave que se dio a la alianza que unía a las fuerzas de seguridad y servicios de inteligencia de las dictaduras del Cono Sur en su lucha y represión contra personas designadas como “elementos subversivos”. Las actividades desplegadas como parte de dicha Operación estaban básicamente coordinadas por los militares de los países involucrados. Dicha Operación sistematizó e hizo más efectiva la coordinación clandestina entre “fuerzas de seguridad y militares y servicios de inteligencia” de la región […] Para que la Operación Cóndor funcionara era necesario que el sistema de códigos y comunicaciones fuera eficaz, por lo que las listas de “subversivos buscados” eran manejadas con fluidez por los distintos Estados.</w:t>
      </w:r>
    </w:p>
    <w:p w14:paraId="09F5ED39" w14:textId="77777777" w:rsidR="00F873C3" w:rsidRPr="001D4025" w:rsidRDefault="00F873C3" w:rsidP="0007034B">
      <w:pPr>
        <w:spacing w:before="120" w:after="120"/>
        <w:ind w:left="720" w:right="720"/>
        <w:jc w:val="both"/>
        <w:rPr>
          <w:rFonts w:asciiTheme="majorHAnsi" w:eastAsia="Times New Roman" w:hAnsiTheme="majorHAnsi"/>
          <w:color w:val="000000"/>
          <w:sz w:val="18"/>
          <w:szCs w:val="18"/>
          <w:u w:color="000000"/>
          <w:lang w:val="es-ES_tradnl" w:eastAsia="es-ES"/>
        </w:rPr>
      </w:pPr>
      <w:r w:rsidRPr="001D4025">
        <w:rPr>
          <w:rFonts w:asciiTheme="majorHAnsi" w:eastAsia="Times New Roman" w:hAnsiTheme="majorHAnsi"/>
          <w:color w:val="000000"/>
          <w:sz w:val="18"/>
          <w:szCs w:val="18"/>
          <w:u w:color="000000"/>
          <w:lang w:val="es-ES_tradnl" w:eastAsia="es-ES"/>
        </w:rPr>
        <w:lastRenderedPageBreak/>
        <w:t xml:space="preserve">[…] Es decir, los graves hechos se enmarcan en el carácter flagrante, masivo y sistemático de la represión a que fue sometida la población a escala inter-estatal, pues las estructuras de seguridad estatales fueron coordinadamente desatadas contra las naciones a nivel trans-fronterizo por los gobiernos dictatoriales involucrados. </w:t>
      </w:r>
    </w:p>
    <w:p w14:paraId="3A9A4952" w14:textId="77777777" w:rsidR="00F873C3" w:rsidRPr="001D4025" w:rsidRDefault="00F873C3" w:rsidP="0007034B">
      <w:pPr>
        <w:spacing w:before="120" w:after="120"/>
        <w:ind w:left="720" w:right="720"/>
        <w:jc w:val="both"/>
        <w:rPr>
          <w:rFonts w:asciiTheme="majorHAnsi" w:eastAsia="Times New Roman" w:hAnsiTheme="majorHAnsi"/>
          <w:color w:val="000000"/>
          <w:sz w:val="18"/>
          <w:szCs w:val="18"/>
          <w:u w:color="000000"/>
          <w:lang w:val="es-ES_tradnl" w:eastAsia="es-ES"/>
        </w:rPr>
      </w:pPr>
      <w:r w:rsidRPr="001D4025">
        <w:rPr>
          <w:rFonts w:asciiTheme="majorHAnsi" w:eastAsia="Times New Roman" w:hAnsiTheme="majorHAnsi"/>
          <w:color w:val="000000"/>
          <w:sz w:val="18"/>
          <w:szCs w:val="18"/>
          <w:u w:color="000000"/>
          <w:lang w:val="es-ES_tradnl" w:eastAsia="es-ES"/>
        </w:rPr>
        <w:t>La Corte observa que, en absoluta contradicción con los principales fines y propósitos de la organización de la comunidad internacional, establecidos a niveles universal en la Carta de Naciones Unidas</w:t>
      </w:r>
      <w:r w:rsidRPr="001D4025">
        <w:rPr>
          <w:rStyle w:val="FootnoteReference"/>
          <w:rFonts w:asciiTheme="majorHAnsi" w:hAnsiTheme="majorHAnsi"/>
          <w:color w:val="000000"/>
          <w:sz w:val="18"/>
          <w:szCs w:val="18"/>
          <w:lang w:val="es-ES_tradnl" w:eastAsia="es-ES"/>
        </w:rPr>
        <w:footnoteReference w:id="14"/>
      </w:r>
      <w:r w:rsidRPr="001D4025">
        <w:rPr>
          <w:rFonts w:asciiTheme="majorHAnsi" w:eastAsia="Times New Roman" w:hAnsiTheme="majorHAnsi"/>
          <w:color w:val="000000"/>
          <w:sz w:val="18"/>
          <w:szCs w:val="18"/>
          <w:u w:color="000000"/>
          <w:lang w:val="es-ES_tradnl" w:eastAsia="es-ES"/>
        </w:rPr>
        <w:t xml:space="preserve"> y regional en la Carta de la OEA</w:t>
      </w:r>
      <w:r w:rsidRPr="001D4025">
        <w:rPr>
          <w:rStyle w:val="FootnoteReference"/>
          <w:rFonts w:asciiTheme="majorHAnsi" w:hAnsiTheme="majorHAnsi"/>
          <w:color w:val="000000"/>
          <w:sz w:val="18"/>
          <w:szCs w:val="18"/>
          <w:lang w:val="es-ES_tradnl" w:eastAsia="es-ES"/>
        </w:rPr>
        <w:footnoteReference w:id="15"/>
      </w:r>
      <w:r w:rsidRPr="001D4025">
        <w:rPr>
          <w:rFonts w:asciiTheme="majorHAnsi" w:eastAsia="Times New Roman" w:hAnsiTheme="majorHAnsi"/>
          <w:color w:val="000000"/>
          <w:sz w:val="18"/>
          <w:szCs w:val="18"/>
          <w:u w:color="000000"/>
          <w:lang w:val="es-ES_tradnl" w:eastAsia="es-ES"/>
        </w:rPr>
        <w:t xml:space="preserve"> y la misma Convención Americana, durante la década de los setenta los servicios de inteligencia de varios países del Cono Sur del continente americano conformaron una organización inter-estatal con fines criminales complejamente articulada, cuyos alcances continúan revelándose hoy en día; es decir, se dio una práctica sistemática de “terrorismo de Estado” a nivel inter-estatal.</w:t>
      </w:r>
    </w:p>
    <w:p w14:paraId="4BFBAFAC" w14:textId="77777777" w:rsidR="00F873C3" w:rsidRPr="001D4025" w:rsidRDefault="00F873C3" w:rsidP="0007034B">
      <w:pPr>
        <w:ind w:left="720" w:right="720"/>
        <w:jc w:val="both"/>
        <w:rPr>
          <w:rFonts w:asciiTheme="majorHAnsi" w:eastAsia="Times New Roman" w:hAnsiTheme="majorHAnsi"/>
          <w:color w:val="000000"/>
          <w:sz w:val="18"/>
          <w:szCs w:val="18"/>
          <w:u w:color="000000"/>
          <w:lang w:val="es-ES_tradnl" w:eastAsia="es-ES"/>
        </w:rPr>
      </w:pPr>
      <w:r w:rsidRPr="001D4025">
        <w:rPr>
          <w:rFonts w:asciiTheme="majorHAnsi" w:eastAsia="Times New Roman" w:hAnsiTheme="majorHAnsi"/>
          <w:color w:val="000000"/>
          <w:sz w:val="18"/>
          <w:szCs w:val="18"/>
          <w:u w:color="000000"/>
          <w:lang w:val="es-ES_tradnl" w:eastAsia="es-ES"/>
        </w:rPr>
        <w:t>Esta operación se vio además favorecida por la situación generalizada de impunidad de las graves violaciones a los derechos humanos que existía entonces, propiciada y tolerada por la ausencia de garantías judiciales e ineficacia de las instituciones judiciales para afrontar o contener las sistemáticas violaciones de derechos humanos. Esto tiene estrecha relación con la obligación de investigar los casos de ejecuciones extrajudiciales, desapariciones forzadas y otras graves violaciones a los derechos humanos</w:t>
      </w:r>
      <w:r w:rsidRPr="001D4025">
        <w:rPr>
          <w:rStyle w:val="FootnoteReference"/>
          <w:rFonts w:asciiTheme="majorHAnsi" w:hAnsiTheme="majorHAnsi"/>
          <w:sz w:val="18"/>
          <w:szCs w:val="18"/>
          <w:lang w:val="es-ES_tradnl" w:eastAsia="es-ES"/>
        </w:rPr>
        <w:footnoteReference w:id="16"/>
      </w:r>
      <w:r w:rsidRPr="001D4025">
        <w:rPr>
          <w:rFonts w:asciiTheme="majorHAnsi" w:eastAsia="Times New Roman" w:hAnsiTheme="majorHAnsi"/>
          <w:color w:val="000000"/>
          <w:sz w:val="18"/>
          <w:szCs w:val="18"/>
          <w:u w:color="000000"/>
          <w:lang w:val="es-ES_tradnl" w:eastAsia="es-ES"/>
        </w:rPr>
        <w:t xml:space="preserve">. </w:t>
      </w:r>
    </w:p>
    <w:p w14:paraId="118F2E02" w14:textId="77777777" w:rsidR="006A3FCC" w:rsidRPr="0007034B" w:rsidRDefault="006A3FCC" w:rsidP="0007034B">
      <w:pPr>
        <w:ind w:left="720" w:right="720"/>
        <w:jc w:val="both"/>
        <w:rPr>
          <w:rFonts w:asciiTheme="majorHAnsi" w:eastAsia="Times New Roman" w:hAnsiTheme="majorHAnsi"/>
          <w:color w:val="000000"/>
          <w:sz w:val="20"/>
          <w:szCs w:val="20"/>
          <w:u w:color="000000"/>
          <w:lang w:val="es-ES_tradnl" w:eastAsia="es-ES"/>
        </w:rPr>
      </w:pPr>
    </w:p>
    <w:p w14:paraId="3CE4B202" w14:textId="77777777" w:rsidR="00E1155F" w:rsidRPr="0007034B" w:rsidRDefault="00AE5E50"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r w:rsidRPr="0007034B">
        <w:rPr>
          <w:rFonts w:asciiTheme="majorHAnsi" w:hAnsiTheme="majorHAnsi"/>
          <w:sz w:val="20"/>
          <w:szCs w:val="20"/>
        </w:rPr>
        <w:t>Si bien la “Operación Cóndor” se concretó formalmente en noviembre de 1975</w:t>
      </w:r>
      <w:r w:rsidR="00AA4C3B" w:rsidRPr="0007034B">
        <w:rPr>
          <w:rFonts w:asciiTheme="majorHAnsi" w:hAnsiTheme="majorHAnsi"/>
          <w:sz w:val="20"/>
          <w:szCs w:val="20"/>
        </w:rPr>
        <w:t xml:space="preserve"> en </w:t>
      </w:r>
      <w:r w:rsidR="00482949" w:rsidRPr="0007034B">
        <w:rPr>
          <w:rFonts w:asciiTheme="majorHAnsi" w:hAnsiTheme="majorHAnsi"/>
          <w:sz w:val="20"/>
          <w:szCs w:val="20"/>
        </w:rPr>
        <w:t xml:space="preserve">Santiago de </w:t>
      </w:r>
      <w:r w:rsidR="00AA4C3B" w:rsidRPr="0007034B">
        <w:rPr>
          <w:rFonts w:asciiTheme="majorHAnsi" w:hAnsiTheme="majorHAnsi"/>
          <w:sz w:val="20"/>
          <w:szCs w:val="20"/>
        </w:rPr>
        <w:t>Chile</w:t>
      </w:r>
      <w:r w:rsidRPr="0007034B">
        <w:rPr>
          <w:rFonts w:asciiTheme="majorHAnsi" w:hAnsiTheme="majorHAnsi"/>
          <w:sz w:val="20"/>
          <w:szCs w:val="20"/>
        </w:rPr>
        <w:t xml:space="preserve">, la coordinación represiva comenzó a evidenciarse en Argentina a fines de 1973 y </w:t>
      </w:r>
      <w:r w:rsidR="00FF529C" w:rsidRPr="0007034B">
        <w:rPr>
          <w:rFonts w:asciiTheme="majorHAnsi" w:hAnsiTheme="majorHAnsi"/>
          <w:sz w:val="20"/>
          <w:szCs w:val="20"/>
        </w:rPr>
        <w:t>se increment</w:t>
      </w:r>
      <w:r w:rsidR="001008C3" w:rsidRPr="0007034B">
        <w:rPr>
          <w:rFonts w:asciiTheme="majorHAnsi" w:hAnsiTheme="majorHAnsi"/>
          <w:sz w:val="20"/>
          <w:szCs w:val="20"/>
        </w:rPr>
        <w:t>ó</w:t>
      </w:r>
      <w:r w:rsidR="00FF529C" w:rsidRPr="0007034B">
        <w:rPr>
          <w:rFonts w:asciiTheme="majorHAnsi" w:hAnsiTheme="majorHAnsi"/>
          <w:sz w:val="20"/>
          <w:szCs w:val="20"/>
        </w:rPr>
        <w:t xml:space="preserve"> a partir de febrero de 1974 luego de una reunión en Buenos Aires entre el Comisario </w:t>
      </w:r>
      <w:r w:rsidR="001008C3" w:rsidRPr="0007034B">
        <w:rPr>
          <w:rFonts w:asciiTheme="majorHAnsi" w:hAnsiTheme="majorHAnsi"/>
          <w:sz w:val="20"/>
          <w:szCs w:val="20"/>
        </w:rPr>
        <w:t xml:space="preserve">Alberto </w:t>
      </w:r>
      <w:r w:rsidR="00FF529C" w:rsidRPr="0007034B">
        <w:rPr>
          <w:rFonts w:asciiTheme="majorHAnsi" w:hAnsiTheme="majorHAnsi"/>
          <w:sz w:val="20"/>
          <w:szCs w:val="20"/>
        </w:rPr>
        <w:t>Villar de la División Extranjería de la Policía Federal Argentina y el Comisario</w:t>
      </w:r>
      <w:r w:rsidR="00AA4C3B" w:rsidRPr="0007034B">
        <w:rPr>
          <w:rFonts w:asciiTheme="majorHAnsi" w:hAnsiTheme="majorHAnsi"/>
          <w:sz w:val="20"/>
          <w:szCs w:val="20"/>
        </w:rPr>
        <w:t xml:space="preserve"> de Inteligencia de la Policía Uruguaya</w:t>
      </w:r>
      <w:r w:rsidR="00FF529C" w:rsidRPr="0007034B">
        <w:rPr>
          <w:rFonts w:asciiTheme="majorHAnsi" w:hAnsiTheme="majorHAnsi"/>
          <w:sz w:val="20"/>
          <w:szCs w:val="20"/>
        </w:rPr>
        <w:t xml:space="preserve"> </w:t>
      </w:r>
      <w:r w:rsidR="004F3DA3" w:rsidRPr="0007034B">
        <w:rPr>
          <w:rFonts w:asciiTheme="majorHAnsi" w:hAnsiTheme="majorHAnsi"/>
          <w:sz w:val="20"/>
          <w:szCs w:val="20"/>
        </w:rPr>
        <w:t xml:space="preserve">Hugo </w:t>
      </w:r>
      <w:r w:rsidR="00FF529C" w:rsidRPr="0007034B">
        <w:rPr>
          <w:rFonts w:asciiTheme="majorHAnsi" w:hAnsiTheme="majorHAnsi"/>
          <w:sz w:val="20"/>
          <w:szCs w:val="20"/>
        </w:rPr>
        <w:t xml:space="preserve">Campos Hermida. Las actividades de coordinación represiva se manifestaron </w:t>
      </w:r>
      <w:r w:rsidRPr="0007034B">
        <w:rPr>
          <w:rFonts w:asciiTheme="majorHAnsi" w:hAnsiTheme="majorHAnsi"/>
          <w:sz w:val="20"/>
          <w:szCs w:val="20"/>
        </w:rPr>
        <w:t>a través de arrestos, secuestros y asesinatos de militantes de izquierda por parte de militares y paramilitares</w:t>
      </w:r>
      <w:r w:rsidR="00FF529C" w:rsidRPr="0007034B">
        <w:rPr>
          <w:rStyle w:val="FootnoteReference"/>
          <w:rFonts w:asciiTheme="majorHAnsi" w:hAnsiTheme="majorHAnsi"/>
          <w:sz w:val="20"/>
          <w:szCs w:val="20"/>
        </w:rPr>
        <w:footnoteReference w:id="17"/>
      </w:r>
      <w:r w:rsidRPr="0007034B">
        <w:rPr>
          <w:rFonts w:asciiTheme="majorHAnsi" w:hAnsiTheme="majorHAnsi"/>
          <w:sz w:val="20"/>
          <w:szCs w:val="20"/>
        </w:rPr>
        <w:t xml:space="preserve">. </w:t>
      </w:r>
    </w:p>
    <w:p w14:paraId="2C8DC1CE" w14:textId="77777777" w:rsidR="00BE0F30" w:rsidRPr="0007034B" w:rsidRDefault="00BE0F30" w:rsidP="00BE0F30">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rPr>
      </w:pPr>
    </w:p>
    <w:p w14:paraId="5550D5D3" w14:textId="68D8D710" w:rsidR="00BE0F30" w:rsidRPr="0007034B" w:rsidRDefault="00676E86"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r w:rsidRPr="0007034B">
        <w:rPr>
          <w:rFonts w:asciiTheme="majorHAnsi" w:hAnsiTheme="majorHAnsi"/>
          <w:sz w:val="20"/>
          <w:szCs w:val="20"/>
        </w:rPr>
        <w:t xml:space="preserve">La mayor parte de las víctimas de la coordinación represiva de las dictaduras del Cono Sur, y en particular de la </w:t>
      </w:r>
      <w:r w:rsidR="00EC461B" w:rsidRPr="0007034B">
        <w:rPr>
          <w:rFonts w:asciiTheme="majorHAnsi" w:hAnsiTheme="majorHAnsi"/>
          <w:sz w:val="20"/>
          <w:szCs w:val="20"/>
        </w:rPr>
        <w:t>“</w:t>
      </w:r>
      <w:r w:rsidRPr="0007034B">
        <w:rPr>
          <w:rFonts w:asciiTheme="majorHAnsi" w:hAnsiTheme="majorHAnsi"/>
          <w:sz w:val="20"/>
          <w:szCs w:val="20"/>
        </w:rPr>
        <w:t>Operación Cóndor</w:t>
      </w:r>
      <w:r w:rsidR="00EC461B" w:rsidRPr="0007034B">
        <w:rPr>
          <w:rFonts w:asciiTheme="majorHAnsi" w:hAnsiTheme="majorHAnsi"/>
          <w:sz w:val="20"/>
          <w:szCs w:val="20"/>
        </w:rPr>
        <w:t>”</w:t>
      </w:r>
      <w:r w:rsidRPr="0007034B">
        <w:rPr>
          <w:rFonts w:asciiTheme="majorHAnsi" w:hAnsiTheme="majorHAnsi"/>
          <w:sz w:val="20"/>
          <w:szCs w:val="20"/>
        </w:rPr>
        <w:t xml:space="preserve">, </w:t>
      </w:r>
      <w:r w:rsidR="00C9746A" w:rsidRPr="0007034B">
        <w:rPr>
          <w:rFonts w:asciiTheme="majorHAnsi" w:hAnsiTheme="majorHAnsi"/>
          <w:sz w:val="20"/>
          <w:szCs w:val="20"/>
        </w:rPr>
        <w:t>fueron</w:t>
      </w:r>
      <w:r w:rsidRPr="0007034B">
        <w:rPr>
          <w:rFonts w:asciiTheme="majorHAnsi" w:hAnsiTheme="majorHAnsi"/>
          <w:sz w:val="20"/>
          <w:szCs w:val="20"/>
        </w:rPr>
        <w:t xml:space="preserve"> de nacionalidad uruguaya. </w:t>
      </w:r>
      <w:r w:rsidR="008D6D16" w:rsidRPr="0007034B">
        <w:rPr>
          <w:rFonts w:asciiTheme="majorHAnsi" w:hAnsiTheme="majorHAnsi"/>
          <w:sz w:val="20"/>
          <w:szCs w:val="20"/>
        </w:rPr>
        <w:t>De los</w:t>
      </w:r>
      <w:r w:rsidR="002D3F87" w:rsidRPr="0007034B">
        <w:rPr>
          <w:rFonts w:asciiTheme="majorHAnsi" w:hAnsiTheme="majorHAnsi"/>
          <w:sz w:val="20"/>
          <w:szCs w:val="20"/>
        </w:rPr>
        <w:t xml:space="preserve"> 496 casos </w:t>
      </w:r>
      <w:r w:rsidR="008D6D16" w:rsidRPr="0007034B">
        <w:rPr>
          <w:rFonts w:asciiTheme="majorHAnsi" w:hAnsiTheme="majorHAnsi"/>
          <w:sz w:val="20"/>
          <w:szCs w:val="20"/>
        </w:rPr>
        <w:t>registrados</w:t>
      </w:r>
      <w:r w:rsidR="00C9746A" w:rsidRPr="0007034B">
        <w:rPr>
          <w:rFonts w:asciiTheme="majorHAnsi" w:hAnsiTheme="majorHAnsi"/>
          <w:sz w:val="20"/>
          <w:szCs w:val="20"/>
        </w:rPr>
        <w:t xml:space="preserve"> a la fecha</w:t>
      </w:r>
      <w:r w:rsidR="008D6D16" w:rsidRPr="0007034B">
        <w:rPr>
          <w:rFonts w:asciiTheme="majorHAnsi" w:hAnsiTheme="majorHAnsi"/>
          <w:sz w:val="20"/>
          <w:szCs w:val="20"/>
        </w:rPr>
        <w:t xml:space="preserve"> </w:t>
      </w:r>
      <w:r w:rsidR="002D3F87" w:rsidRPr="0007034B">
        <w:rPr>
          <w:rFonts w:asciiTheme="majorHAnsi" w:hAnsiTheme="majorHAnsi"/>
          <w:sz w:val="20"/>
          <w:szCs w:val="20"/>
        </w:rPr>
        <w:t xml:space="preserve">de víctimas de la coordinación represiva en los países del Cono Sur entre 1970 y 1981 en el marco de la </w:t>
      </w:r>
      <w:r w:rsidR="00BE0F30" w:rsidRPr="0007034B">
        <w:rPr>
          <w:rFonts w:asciiTheme="majorHAnsi" w:hAnsiTheme="majorHAnsi"/>
          <w:sz w:val="20"/>
          <w:szCs w:val="20"/>
        </w:rPr>
        <w:t>“Operación Cóndor”</w:t>
      </w:r>
      <w:r w:rsidR="002D3F87" w:rsidRPr="0007034B">
        <w:rPr>
          <w:rFonts w:asciiTheme="majorHAnsi" w:hAnsiTheme="majorHAnsi"/>
          <w:sz w:val="20"/>
          <w:szCs w:val="20"/>
        </w:rPr>
        <w:t xml:space="preserve"> o </w:t>
      </w:r>
      <w:r w:rsidR="00844B2D" w:rsidRPr="0007034B">
        <w:rPr>
          <w:rFonts w:asciiTheme="majorHAnsi" w:hAnsiTheme="majorHAnsi"/>
          <w:sz w:val="20"/>
          <w:szCs w:val="20"/>
        </w:rPr>
        <w:t xml:space="preserve">en operaciones que siguieron el mismo </w:t>
      </w:r>
      <w:r w:rsidR="00844B2D" w:rsidRPr="0007034B">
        <w:rPr>
          <w:rFonts w:asciiTheme="majorHAnsi" w:hAnsiTheme="majorHAnsi"/>
          <w:i/>
          <w:sz w:val="20"/>
          <w:szCs w:val="20"/>
        </w:rPr>
        <w:t>modus operandi</w:t>
      </w:r>
      <w:r w:rsidR="00D72AAE" w:rsidRPr="0007034B">
        <w:rPr>
          <w:rFonts w:asciiTheme="majorHAnsi" w:hAnsiTheme="majorHAnsi"/>
          <w:sz w:val="20"/>
          <w:szCs w:val="20"/>
        </w:rPr>
        <w:t>, l</w:t>
      </w:r>
      <w:r w:rsidR="00D9311B" w:rsidRPr="0007034B">
        <w:rPr>
          <w:rFonts w:asciiTheme="majorHAnsi" w:hAnsiTheme="majorHAnsi"/>
          <w:sz w:val="20"/>
          <w:szCs w:val="20"/>
        </w:rPr>
        <w:t>a mayoría (2</w:t>
      </w:r>
      <w:r w:rsidR="004C2AEF" w:rsidRPr="0007034B">
        <w:rPr>
          <w:rFonts w:asciiTheme="majorHAnsi" w:hAnsiTheme="majorHAnsi"/>
          <w:sz w:val="20"/>
          <w:szCs w:val="20"/>
        </w:rPr>
        <w:t>47) eran nacionales de Uruguay, lo cual representa un 50%</w:t>
      </w:r>
      <w:r w:rsidR="007075E6" w:rsidRPr="0007034B">
        <w:rPr>
          <w:rStyle w:val="FootnoteReference"/>
          <w:rFonts w:asciiTheme="majorHAnsi" w:hAnsiTheme="majorHAnsi"/>
          <w:sz w:val="20"/>
          <w:szCs w:val="20"/>
        </w:rPr>
        <w:footnoteReference w:id="18"/>
      </w:r>
      <w:r w:rsidR="00315BC3" w:rsidRPr="0007034B">
        <w:rPr>
          <w:rFonts w:asciiTheme="majorHAnsi" w:hAnsiTheme="majorHAnsi"/>
          <w:sz w:val="20"/>
          <w:szCs w:val="20"/>
        </w:rPr>
        <w:t>.</w:t>
      </w:r>
      <w:r w:rsidR="002D3F87" w:rsidRPr="0007034B">
        <w:rPr>
          <w:rFonts w:asciiTheme="majorHAnsi" w:hAnsiTheme="majorHAnsi"/>
          <w:sz w:val="20"/>
          <w:szCs w:val="20"/>
        </w:rPr>
        <w:t xml:space="preserve"> </w:t>
      </w:r>
      <w:r w:rsidR="007075E6" w:rsidRPr="0007034B">
        <w:rPr>
          <w:rFonts w:asciiTheme="majorHAnsi" w:hAnsiTheme="majorHAnsi"/>
          <w:sz w:val="20"/>
          <w:szCs w:val="20"/>
        </w:rPr>
        <w:t xml:space="preserve">Asimismo, de las 109 víctimas de </w:t>
      </w:r>
      <w:r w:rsidR="00FB04B6" w:rsidRPr="0007034B">
        <w:rPr>
          <w:rFonts w:asciiTheme="majorHAnsi" w:hAnsiTheme="majorHAnsi"/>
          <w:sz w:val="20"/>
          <w:szCs w:val="20"/>
        </w:rPr>
        <w:t>la “</w:t>
      </w:r>
      <w:r w:rsidR="007075E6" w:rsidRPr="0007034B">
        <w:rPr>
          <w:rFonts w:asciiTheme="majorHAnsi" w:hAnsiTheme="majorHAnsi"/>
          <w:sz w:val="20"/>
          <w:szCs w:val="20"/>
        </w:rPr>
        <w:t>Operación Cóndor</w:t>
      </w:r>
      <w:r w:rsidR="00FB04B6" w:rsidRPr="0007034B">
        <w:rPr>
          <w:rFonts w:asciiTheme="majorHAnsi" w:hAnsiTheme="majorHAnsi"/>
          <w:sz w:val="20"/>
          <w:szCs w:val="20"/>
        </w:rPr>
        <w:t>”</w:t>
      </w:r>
      <w:r w:rsidR="007075E6" w:rsidRPr="0007034B">
        <w:rPr>
          <w:rFonts w:asciiTheme="majorHAnsi" w:hAnsiTheme="majorHAnsi"/>
          <w:sz w:val="20"/>
          <w:szCs w:val="20"/>
        </w:rPr>
        <w:t xml:space="preserve"> cuyos casos fueron judicializados en Argentina, la mayoría (44%) eran de nacionalidad uruguaya, seguidas de chilenas (20%), argentinas (15%), paraguayas (12%), bolivianas (8%) y peruanas (1%)</w:t>
      </w:r>
      <w:r w:rsidR="007075E6" w:rsidRPr="0007034B">
        <w:rPr>
          <w:rStyle w:val="FootnoteReference"/>
          <w:rFonts w:asciiTheme="majorHAnsi" w:hAnsiTheme="majorHAnsi"/>
          <w:sz w:val="20"/>
          <w:szCs w:val="20"/>
        </w:rPr>
        <w:footnoteReference w:id="19"/>
      </w:r>
      <w:r w:rsidR="00315BC3" w:rsidRPr="0007034B">
        <w:rPr>
          <w:rFonts w:asciiTheme="majorHAnsi" w:hAnsiTheme="majorHAnsi"/>
          <w:sz w:val="20"/>
          <w:szCs w:val="20"/>
        </w:rPr>
        <w:t>.</w:t>
      </w:r>
    </w:p>
    <w:p w14:paraId="1927DF43" w14:textId="77777777" w:rsidR="00E1155F" w:rsidRPr="0007034B" w:rsidRDefault="00E1155F" w:rsidP="00E1155F">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rPr>
      </w:pPr>
    </w:p>
    <w:p w14:paraId="29ACDE7D" w14:textId="77777777" w:rsidR="00A961F7" w:rsidRPr="0007034B" w:rsidRDefault="00A17D90"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r w:rsidRPr="0007034B">
        <w:rPr>
          <w:rFonts w:asciiTheme="majorHAnsi" w:hAnsiTheme="majorHAnsi"/>
          <w:sz w:val="20"/>
          <w:szCs w:val="20"/>
        </w:rPr>
        <w:t xml:space="preserve">A partir de los golpes de Estado en Chile y </w:t>
      </w:r>
      <w:r w:rsidR="00D72AAE" w:rsidRPr="0007034B">
        <w:rPr>
          <w:rFonts w:asciiTheme="majorHAnsi" w:hAnsiTheme="majorHAnsi"/>
          <w:sz w:val="20"/>
          <w:szCs w:val="20"/>
        </w:rPr>
        <w:t xml:space="preserve">en </w:t>
      </w:r>
      <w:r w:rsidRPr="0007034B">
        <w:rPr>
          <w:rFonts w:asciiTheme="majorHAnsi" w:hAnsiTheme="majorHAnsi"/>
          <w:sz w:val="20"/>
          <w:szCs w:val="20"/>
        </w:rPr>
        <w:t xml:space="preserve">Uruguay en 1973, varias personas se refugiaron en Argentina debido a la represión militar en dichos países. </w:t>
      </w:r>
      <w:r w:rsidR="00E1155F" w:rsidRPr="0007034B">
        <w:rPr>
          <w:rFonts w:asciiTheme="majorHAnsi" w:hAnsiTheme="majorHAnsi"/>
          <w:sz w:val="20"/>
          <w:szCs w:val="20"/>
        </w:rPr>
        <w:t>A partir de</w:t>
      </w:r>
      <w:r w:rsidRPr="0007034B">
        <w:rPr>
          <w:rFonts w:asciiTheme="majorHAnsi" w:hAnsiTheme="majorHAnsi"/>
          <w:sz w:val="20"/>
          <w:szCs w:val="20"/>
        </w:rPr>
        <w:t>l golpe de Estado en</w:t>
      </w:r>
      <w:r w:rsidR="00C9746A" w:rsidRPr="0007034B">
        <w:rPr>
          <w:rFonts w:asciiTheme="majorHAnsi" w:hAnsiTheme="majorHAnsi"/>
          <w:sz w:val="20"/>
          <w:szCs w:val="20"/>
        </w:rPr>
        <w:t xml:space="preserve"> Argentina en</w:t>
      </w:r>
      <w:r w:rsidR="00E1155F" w:rsidRPr="0007034B">
        <w:rPr>
          <w:rFonts w:asciiTheme="majorHAnsi" w:hAnsiTheme="majorHAnsi"/>
          <w:sz w:val="20"/>
          <w:szCs w:val="20"/>
        </w:rPr>
        <w:t xml:space="preserve"> 1976</w:t>
      </w:r>
      <w:r w:rsidRPr="0007034B">
        <w:rPr>
          <w:rFonts w:asciiTheme="majorHAnsi" w:hAnsiTheme="majorHAnsi"/>
          <w:sz w:val="20"/>
          <w:szCs w:val="20"/>
        </w:rPr>
        <w:t>,</w:t>
      </w:r>
      <w:r w:rsidR="00E1155F" w:rsidRPr="0007034B">
        <w:rPr>
          <w:rFonts w:asciiTheme="majorHAnsi" w:hAnsiTheme="majorHAnsi"/>
          <w:sz w:val="20"/>
          <w:szCs w:val="20"/>
        </w:rPr>
        <w:t xml:space="preserve"> el número de desapariciones y ejecuciones extrajudiciales de exiliados y refugiados aumentó de manera importante en </w:t>
      </w:r>
      <w:r w:rsidR="001008C3" w:rsidRPr="0007034B">
        <w:rPr>
          <w:rFonts w:asciiTheme="majorHAnsi" w:hAnsiTheme="majorHAnsi"/>
          <w:sz w:val="20"/>
          <w:szCs w:val="20"/>
        </w:rPr>
        <w:t>Argentina</w:t>
      </w:r>
      <w:r w:rsidR="00E1155F" w:rsidRPr="0007034B">
        <w:rPr>
          <w:rFonts w:asciiTheme="majorHAnsi" w:hAnsiTheme="majorHAnsi"/>
          <w:sz w:val="20"/>
          <w:szCs w:val="20"/>
        </w:rPr>
        <w:t>. Ent</w:t>
      </w:r>
      <w:r w:rsidR="00670513" w:rsidRPr="0007034B">
        <w:rPr>
          <w:rFonts w:asciiTheme="majorHAnsi" w:hAnsiTheme="majorHAnsi"/>
          <w:sz w:val="20"/>
          <w:szCs w:val="20"/>
        </w:rPr>
        <w:t>re julio y</w:t>
      </w:r>
      <w:r w:rsidR="00E1155F" w:rsidRPr="0007034B">
        <w:rPr>
          <w:rFonts w:asciiTheme="majorHAnsi" w:hAnsiTheme="majorHAnsi"/>
          <w:sz w:val="20"/>
          <w:szCs w:val="20"/>
        </w:rPr>
        <w:t xml:space="preserve"> octubre de ese año se realizaron operaciones conjuntas de cuerpos militares argentinos y uruguayos </w:t>
      </w:r>
      <w:r w:rsidR="00F10605" w:rsidRPr="0007034B">
        <w:rPr>
          <w:rFonts w:asciiTheme="majorHAnsi" w:hAnsiTheme="majorHAnsi"/>
          <w:sz w:val="20"/>
          <w:szCs w:val="20"/>
        </w:rPr>
        <w:t>en los cuales fueron secuestrada</w:t>
      </w:r>
      <w:r w:rsidR="00E1155F" w:rsidRPr="0007034B">
        <w:rPr>
          <w:rFonts w:asciiTheme="majorHAnsi" w:hAnsiTheme="majorHAnsi"/>
          <w:sz w:val="20"/>
          <w:szCs w:val="20"/>
        </w:rPr>
        <w:t xml:space="preserve">s más de 60 </w:t>
      </w:r>
      <w:r w:rsidR="00F10605" w:rsidRPr="0007034B">
        <w:rPr>
          <w:rFonts w:asciiTheme="majorHAnsi" w:hAnsiTheme="majorHAnsi"/>
          <w:sz w:val="20"/>
          <w:szCs w:val="20"/>
        </w:rPr>
        <w:t xml:space="preserve">personas de nacionalidad </w:t>
      </w:r>
      <w:r w:rsidR="00E1155F" w:rsidRPr="0007034B">
        <w:rPr>
          <w:rFonts w:asciiTheme="majorHAnsi" w:hAnsiTheme="majorHAnsi"/>
          <w:sz w:val="20"/>
          <w:szCs w:val="20"/>
        </w:rPr>
        <w:t>uruguay</w:t>
      </w:r>
      <w:r w:rsidR="00F10605" w:rsidRPr="0007034B">
        <w:rPr>
          <w:rFonts w:asciiTheme="majorHAnsi" w:hAnsiTheme="majorHAnsi"/>
          <w:sz w:val="20"/>
          <w:szCs w:val="20"/>
        </w:rPr>
        <w:t>a</w:t>
      </w:r>
      <w:r w:rsidR="00E1155F" w:rsidRPr="0007034B">
        <w:rPr>
          <w:rFonts w:asciiTheme="majorHAnsi" w:hAnsiTheme="majorHAnsi"/>
          <w:sz w:val="20"/>
          <w:szCs w:val="20"/>
        </w:rPr>
        <w:t xml:space="preserve"> en Buenos Aires</w:t>
      </w:r>
      <w:r w:rsidRPr="0007034B">
        <w:rPr>
          <w:rFonts w:asciiTheme="majorHAnsi" w:hAnsiTheme="majorHAnsi"/>
          <w:sz w:val="20"/>
          <w:szCs w:val="20"/>
        </w:rPr>
        <w:t>, la mayoría militantes del Partido por la Victoria del Pueblo (“PVP”)</w:t>
      </w:r>
      <w:r w:rsidR="001008C3" w:rsidRPr="0007034B">
        <w:rPr>
          <w:rStyle w:val="FootnoteReference"/>
          <w:rFonts w:asciiTheme="majorHAnsi" w:hAnsiTheme="majorHAnsi"/>
          <w:sz w:val="20"/>
          <w:szCs w:val="20"/>
        </w:rPr>
        <w:footnoteReference w:id="20"/>
      </w:r>
      <w:r w:rsidR="00E1155F" w:rsidRPr="0007034B">
        <w:rPr>
          <w:rFonts w:asciiTheme="majorHAnsi" w:hAnsiTheme="majorHAnsi"/>
          <w:sz w:val="20"/>
          <w:szCs w:val="20"/>
        </w:rPr>
        <w:t>.</w:t>
      </w:r>
      <w:r w:rsidR="00F963A6" w:rsidRPr="0007034B">
        <w:rPr>
          <w:rFonts w:asciiTheme="majorHAnsi" w:hAnsiTheme="majorHAnsi"/>
          <w:sz w:val="20"/>
          <w:szCs w:val="20"/>
        </w:rPr>
        <w:t xml:space="preserve"> </w:t>
      </w:r>
      <w:r w:rsidR="008F0F2E" w:rsidRPr="0007034B">
        <w:rPr>
          <w:rFonts w:asciiTheme="majorHAnsi" w:hAnsiTheme="majorHAnsi"/>
          <w:sz w:val="20"/>
          <w:szCs w:val="20"/>
        </w:rPr>
        <w:t xml:space="preserve">Según la </w:t>
      </w:r>
      <w:r w:rsidR="008F0F2E" w:rsidRPr="0007034B">
        <w:rPr>
          <w:rFonts w:asciiTheme="majorHAnsi" w:hAnsiTheme="majorHAnsi"/>
          <w:sz w:val="20"/>
          <w:szCs w:val="20"/>
        </w:rPr>
        <w:lastRenderedPageBreak/>
        <w:t>“Investigación Histórica sobre detenidos desaparecidos” publicada por la Secretaría de Derechos Humanos para el Pasado Reciente de Uruguay</w:t>
      </w:r>
      <w:r w:rsidR="00F52143" w:rsidRPr="0007034B">
        <w:rPr>
          <w:rStyle w:val="FootnoteReference"/>
          <w:rFonts w:asciiTheme="majorHAnsi" w:hAnsiTheme="majorHAnsi"/>
          <w:sz w:val="20"/>
          <w:szCs w:val="20"/>
        </w:rPr>
        <w:footnoteReference w:id="21"/>
      </w:r>
      <w:r w:rsidR="008F0F2E" w:rsidRPr="0007034B">
        <w:rPr>
          <w:rFonts w:asciiTheme="majorHAnsi" w:hAnsiTheme="majorHAnsi"/>
          <w:sz w:val="20"/>
          <w:szCs w:val="20"/>
        </w:rPr>
        <w:t>:</w:t>
      </w:r>
    </w:p>
    <w:p w14:paraId="67E03062" w14:textId="77777777" w:rsidR="008F0F2E" w:rsidRPr="0007034B" w:rsidRDefault="008F0F2E" w:rsidP="008F0F2E">
      <w:pPr>
        <w:pStyle w:val="ListParagraph"/>
        <w:rPr>
          <w:rFonts w:asciiTheme="majorHAnsi" w:hAnsiTheme="majorHAnsi"/>
          <w:sz w:val="20"/>
          <w:szCs w:val="20"/>
          <w:lang w:val="es-ES"/>
        </w:rPr>
      </w:pPr>
    </w:p>
    <w:p w14:paraId="1EAD0AAD" w14:textId="77777777" w:rsidR="008F0F2E" w:rsidRPr="001D4025" w:rsidRDefault="008F0F2E" w:rsidP="0007034B">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firstLine="0"/>
        <w:jc w:val="both"/>
        <w:rPr>
          <w:rFonts w:asciiTheme="majorHAnsi" w:hAnsiTheme="majorHAnsi"/>
          <w:sz w:val="18"/>
          <w:szCs w:val="18"/>
        </w:rPr>
      </w:pPr>
      <w:r w:rsidRPr="001D4025">
        <w:rPr>
          <w:rFonts w:asciiTheme="majorHAnsi" w:hAnsiTheme="majorHAnsi"/>
          <w:sz w:val="18"/>
          <w:szCs w:val="18"/>
        </w:rPr>
        <w:t>El 28 de marzo de 1976 en el Puerto de Colonia fue inspeccionada una casa rodante que en su contrapiso transportaba material propagandístico del P.V.P. Sus tripulantes, dos hombres y una mujer, fueron detenidos por la Prefectura de Colonia y trasladados al cuartel del FUSNA en Montevideo [y luego] al Centro Clandestino de Detención “300 Carlos”</w:t>
      </w:r>
      <w:r w:rsidR="00AC0BB1" w:rsidRPr="001D4025">
        <w:rPr>
          <w:rFonts w:asciiTheme="majorHAnsi" w:hAnsiTheme="majorHAnsi"/>
          <w:sz w:val="18"/>
          <w:szCs w:val="18"/>
        </w:rPr>
        <w:t xml:space="preserve"> […], donde actuaba el OCOA [permaneciendo] en situación de desaparecidos durante casi 7 meses. […] Las consecuencias de estas detenciones fueron importantes para el P.V.P. que, entre marzo y octubre del mismo año, fue duramente reprimido. […] El trabajo de Inteligencia conjunto en Argentina permitió la captura, entre el 09/06 y el 15/07/1976, de 26 militantes P.V.P. […] Entre el 26/08/1976 y el 04/10 del mismo año, otros 29 adultos (24 de ellos desaparecidos hasta el presente) y 8 niños, fueron secuestrados en Argentina.</w:t>
      </w:r>
    </w:p>
    <w:p w14:paraId="6F7F57FA" w14:textId="77777777" w:rsidR="00215995" w:rsidRPr="0007034B" w:rsidRDefault="00215995" w:rsidP="00215995">
      <w:pPr>
        <w:jc w:val="both"/>
        <w:rPr>
          <w:rFonts w:asciiTheme="majorHAnsi" w:hAnsiTheme="majorHAnsi"/>
          <w:b/>
          <w:sz w:val="20"/>
          <w:szCs w:val="20"/>
          <w:lang w:val="es-ES_tradnl"/>
        </w:rPr>
      </w:pPr>
    </w:p>
    <w:p w14:paraId="035EF674" w14:textId="77777777" w:rsidR="00215995" w:rsidRPr="0007034B" w:rsidRDefault="00215995" w:rsidP="0007034B">
      <w:pPr>
        <w:pStyle w:val="Heading3"/>
      </w:pPr>
      <w:bookmarkStart w:id="26" w:name="_Toc6349149"/>
      <w:bookmarkStart w:id="27" w:name="_Toc6466642"/>
      <w:r w:rsidRPr="0007034B">
        <w:t>Sobre el centro clandestino de detención “Automotores Orletti”</w:t>
      </w:r>
      <w:bookmarkEnd w:id="26"/>
      <w:bookmarkEnd w:id="27"/>
    </w:p>
    <w:p w14:paraId="6D217184" w14:textId="77777777" w:rsidR="005A58D2" w:rsidRPr="0007034B" w:rsidRDefault="005A58D2" w:rsidP="005A58D2">
      <w:pPr>
        <w:pStyle w:val="ListParagraph"/>
        <w:ind w:left="1440"/>
        <w:jc w:val="both"/>
        <w:rPr>
          <w:rFonts w:asciiTheme="majorHAnsi" w:hAnsiTheme="majorHAnsi"/>
          <w:b/>
          <w:sz w:val="20"/>
          <w:szCs w:val="20"/>
          <w:lang w:val="es-ES_tradnl"/>
        </w:rPr>
      </w:pPr>
    </w:p>
    <w:p w14:paraId="370CC9B1" w14:textId="77777777" w:rsidR="00B717B5" w:rsidRPr="0007034B" w:rsidRDefault="00A542E7"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r w:rsidRPr="0007034B">
        <w:rPr>
          <w:rFonts w:asciiTheme="majorHAnsi" w:hAnsiTheme="majorHAnsi"/>
          <w:sz w:val="20"/>
          <w:szCs w:val="20"/>
          <w:lang w:val="es-AR"/>
        </w:rPr>
        <w:t>El centro clandestino de detención y tortura conocido como “Automotores Orletti”</w:t>
      </w:r>
      <w:r w:rsidR="00B17E66" w:rsidRPr="0007034B">
        <w:rPr>
          <w:rFonts w:asciiTheme="majorHAnsi" w:hAnsiTheme="majorHAnsi"/>
          <w:sz w:val="20"/>
          <w:szCs w:val="20"/>
          <w:lang w:val="es-AR"/>
        </w:rPr>
        <w:t xml:space="preserve"> </w:t>
      </w:r>
      <w:r w:rsidR="00392E49" w:rsidRPr="0007034B">
        <w:rPr>
          <w:rFonts w:asciiTheme="majorHAnsi" w:hAnsiTheme="majorHAnsi"/>
          <w:sz w:val="20"/>
          <w:szCs w:val="20"/>
          <w:lang w:val="es-AR"/>
        </w:rPr>
        <w:t xml:space="preserve">(“Orletti”) </w:t>
      </w:r>
      <w:r w:rsidR="00E1155F" w:rsidRPr="0007034B">
        <w:rPr>
          <w:rFonts w:asciiTheme="majorHAnsi" w:hAnsiTheme="majorHAnsi"/>
          <w:sz w:val="20"/>
          <w:szCs w:val="20"/>
          <w:lang w:val="es-AR"/>
        </w:rPr>
        <w:t>fue uno de los centros utilizados en el marco de la “Operación Cóndor”. E</w:t>
      </w:r>
      <w:r w:rsidR="00B17E66" w:rsidRPr="0007034B">
        <w:rPr>
          <w:rFonts w:asciiTheme="majorHAnsi" w:hAnsiTheme="majorHAnsi"/>
          <w:sz w:val="20"/>
          <w:szCs w:val="20"/>
          <w:lang w:val="es-AR"/>
        </w:rPr>
        <w:t xml:space="preserve">stuvo ubicado en el barrio de Flores de la Ciudad de Buenos Aires y funcionó entre </w:t>
      </w:r>
      <w:r w:rsidR="000871B5" w:rsidRPr="0007034B">
        <w:rPr>
          <w:rFonts w:asciiTheme="majorHAnsi" w:hAnsiTheme="majorHAnsi"/>
          <w:sz w:val="20"/>
          <w:szCs w:val="20"/>
          <w:lang w:val="es-AR"/>
        </w:rPr>
        <w:t xml:space="preserve">los meses de </w:t>
      </w:r>
      <w:r w:rsidR="00B17E66" w:rsidRPr="0007034B">
        <w:rPr>
          <w:rFonts w:asciiTheme="majorHAnsi" w:hAnsiTheme="majorHAnsi"/>
          <w:sz w:val="20"/>
          <w:szCs w:val="20"/>
          <w:lang w:val="es-AR"/>
        </w:rPr>
        <w:t>mayo y noviembre de 1979</w:t>
      </w:r>
      <w:r w:rsidR="000871B5" w:rsidRPr="0007034B">
        <w:rPr>
          <w:rFonts w:asciiTheme="majorHAnsi" w:hAnsiTheme="majorHAnsi"/>
          <w:sz w:val="20"/>
          <w:szCs w:val="20"/>
          <w:lang w:val="es-AR"/>
        </w:rPr>
        <w:t>,</w:t>
      </w:r>
      <w:r w:rsidR="00B17E66" w:rsidRPr="0007034B">
        <w:rPr>
          <w:rFonts w:asciiTheme="majorHAnsi" w:hAnsiTheme="majorHAnsi"/>
          <w:sz w:val="20"/>
          <w:szCs w:val="20"/>
          <w:lang w:val="es-AR"/>
        </w:rPr>
        <w:t xml:space="preserve"> cuando fue cerrado debido a la fuga de dos personas allí detenidas.</w:t>
      </w:r>
      <w:r w:rsidR="00A2656B" w:rsidRPr="0007034B">
        <w:rPr>
          <w:rFonts w:asciiTheme="majorHAnsi" w:hAnsiTheme="majorHAnsi"/>
          <w:sz w:val="20"/>
          <w:szCs w:val="20"/>
          <w:lang w:val="es-AR"/>
        </w:rPr>
        <w:t xml:space="preserve"> </w:t>
      </w:r>
      <w:r w:rsidR="00A5173E" w:rsidRPr="0007034B">
        <w:rPr>
          <w:rFonts w:asciiTheme="majorHAnsi" w:hAnsiTheme="majorHAnsi"/>
          <w:sz w:val="20"/>
          <w:szCs w:val="20"/>
          <w:lang w:val="es-AR"/>
        </w:rPr>
        <w:t>“Orletti” dependió operacionalmente de la Secretaría de Inteligencia del Estado (</w:t>
      </w:r>
      <w:r w:rsidR="00C9746A" w:rsidRPr="0007034B">
        <w:rPr>
          <w:rFonts w:asciiTheme="majorHAnsi" w:hAnsiTheme="majorHAnsi"/>
          <w:sz w:val="20"/>
          <w:szCs w:val="20"/>
          <w:lang w:val="es-AR"/>
        </w:rPr>
        <w:t>“</w:t>
      </w:r>
      <w:r w:rsidR="00A5173E" w:rsidRPr="0007034B">
        <w:rPr>
          <w:rFonts w:asciiTheme="majorHAnsi" w:hAnsiTheme="majorHAnsi"/>
          <w:sz w:val="20"/>
          <w:szCs w:val="20"/>
          <w:lang w:val="es-AR"/>
        </w:rPr>
        <w:t>SIDE</w:t>
      </w:r>
      <w:r w:rsidR="00C9746A" w:rsidRPr="0007034B">
        <w:rPr>
          <w:rFonts w:asciiTheme="majorHAnsi" w:hAnsiTheme="majorHAnsi"/>
          <w:sz w:val="20"/>
          <w:szCs w:val="20"/>
          <w:lang w:val="es-AR"/>
        </w:rPr>
        <w:t>”</w:t>
      </w:r>
      <w:r w:rsidR="00A5173E" w:rsidRPr="0007034B">
        <w:rPr>
          <w:rFonts w:asciiTheme="majorHAnsi" w:hAnsiTheme="majorHAnsi"/>
          <w:sz w:val="20"/>
          <w:szCs w:val="20"/>
          <w:lang w:val="es-AR"/>
        </w:rPr>
        <w:t>) y p</w:t>
      </w:r>
      <w:r w:rsidRPr="0007034B">
        <w:rPr>
          <w:rFonts w:asciiTheme="majorHAnsi" w:hAnsiTheme="majorHAnsi"/>
          <w:sz w:val="20"/>
          <w:szCs w:val="20"/>
          <w:lang w:val="es-AR"/>
        </w:rPr>
        <w:t>oseía una estructura vertical con “un “Jefe” del personal argentino, representado por Aníbal Gordon</w:t>
      </w:r>
      <w:r w:rsidR="00C4346F" w:rsidRPr="0007034B">
        <w:rPr>
          <w:rFonts w:asciiTheme="majorHAnsi" w:hAnsiTheme="majorHAnsi"/>
          <w:sz w:val="20"/>
          <w:szCs w:val="20"/>
          <w:lang w:val="es-AR"/>
        </w:rPr>
        <w:t>”</w:t>
      </w:r>
      <w:r w:rsidR="00C4346F" w:rsidRPr="0007034B">
        <w:rPr>
          <w:rStyle w:val="FootnoteReference"/>
          <w:rFonts w:asciiTheme="majorHAnsi" w:hAnsiTheme="majorHAnsi"/>
          <w:sz w:val="20"/>
          <w:szCs w:val="20"/>
          <w:lang w:val="es-AR"/>
        </w:rPr>
        <w:footnoteReference w:id="22"/>
      </w:r>
      <w:r w:rsidR="00C4346F" w:rsidRPr="0007034B">
        <w:rPr>
          <w:rFonts w:asciiTheme="majorHAnsi" w:hAnsiTheme="majorHAnsi"/>
          <w:sz w:val="20"/>
          <w:szCs w:val="20"/>
          <w:lang w:val="es-AR"/>
        </w:rPr>
        <w:t>.</w:t>
      </w:r>
      <w:r w:rsidR="00A5173E" w:rsidRPr="0007034B">
        <w:rPr>
          <w:rFonts w:asciiTheme="majorHAnsi" w:hAnsiTheme="majorHAnsi"/>
          <w:sz w:val="20"/>
          <w:szCs w:val="20"/>
          <w:lang w:val="es-AR"/>
        </w:rPr>
        <w:t xml:space="preserve"> </w:t>
      </w:r>
    </w:p>
    <w:p w14:paraId="00A26525" w14:textId="77777777" w:rsidR="00B717B5" w:rsidRPr="0007034B" w:rsidRDefault="00B717B5" w:rsidP="00B717B5">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rPr>
      </w:pPr>
    </w:p>
    <w:p w14:paraId="710EE7BF" w14:textId="77777777" w:rsidR="000842E4" w:rsidRPr="0007034B" w:rsidRDefault="00C9746A"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r w:rsidRPr="0007034B">
        <w:rPr>
          <w:rFonts w:asciiTheme="majorHAnsi" w:hAnsiTheme="majorHAnsi"/>
          <w:sz w:val="20"/>
          <w:szCs w:val="20"/>
        </w:rPr>
        <w:t>Asimismo, e</w:t>
      </w:r>
      <w:r w:rsidR="000842E4" w:rsidRPr="0007034B">
        <w:rPr>
          <w:rFonts w:asciiTheme="majorHAnsi" w:hAnsiTheme="majorHAnsi"/>
          <w:sz w:val="20"/>
          <w:szCs w:val="20"/>
          <w:lang w:val="es-AR"/>
        </w:rPr>
        <w:t xml:space="preserve">n </w:t>
      </w:r>
      <w:r w:rsidR="00B717B5" w:rsidRPr="0007034B">
        <w:rPr>
          <w:rFonts w:asciiTheme="majorHAnsi" w:hAnsiTheme="majorHAnsi"/>
          <w:sz w:val="20"/>
          <w:szCs w:val="20"/>
          <w:lang w:val="es-AR"/>
        </w:rPr>
        <w:t xml:space="preserve">“Orletti” </w:t>
      </w:r>
      <w:r w:rsidR="000842E4" w:rsidRPr="0007034B">
        <w:rPr>
          <w:rFonts w:asciiTheme="majorHAnsi" w:hAnsiTheme="majorHAnsi"/>
          <w:sz w:val="20"/>
          <w:szCs w:val="20"/>
          <w:lang w:val="es-AR"/>
        </w:rPr>
        <w:t xml:space="preserve">se corroboró la </w:t>
      </w:r>
      <w:r w:rsidR="00E27A08" w:rsidRPr="0007034B">
        <w:rPr>
          <w:rFonts w:asciiTheme="majorHAnsi" w:hAnsiTheme="majorHAnsi"/>
          <w:sz w:val="20"/>
          <w:szCs w:val="20"/>
          <w:lang w:val="es-AR"/>
        </w:rPr>
        <w:t>presencia</w:t>
      </w:r>
      <w:r w:rsidR="000842E4" w:rsidRPr="0007034B">
        <w:rPr>
          <w:rFonts w:asciiTheme="majorHAnsi" w:hAnsiTheme="majorHAnsi"/>
          <w:sz w:val="20"/>
          <w:szCs w:val="20"/>
          <w:lang w:val="es-AR"/>
        </w:rPr>
        <w:t xml:space="preserve"> de </w:t>
      </w:r>
      <w:r w:rsidR="000842E4" w:rsidRPr="0007034B">
        <w:rPr>
          <w:rFonts w:asciiTheme="majorHAnsi" w:hAnsiTheme="majorHAnsi"/>
          <w:sz w:val="20"/>
          <w:szCs w:val="20"/>
        </w:rPr>
        <w:t xml:space="preserve">la denominada “Alianza Anticomunista Argentina”, conocida también como “Triple A”. Dicha organización fue creada previo al golpe de Estado, en el año 1974, por </w:t>
      </w:r>
      <w:r w:rsidR="000842E4" w:rsidRPr="0007034B">
        <w:rPr>
          <w:rFonts w:asciiTheme="majorHAnsi" w:hAnsiTheme="majorHAnsi"/>
          <w:sz w:val="20"/>
          <w:szCs w:val="20"/>
          <w:lang w:val="es-AR"/>
        </w:rPr>
        <w:t>José López Rega,</w:t>
      </w:r>
      <w:r w:rsidR="000842E4" w:rsidRPr="0007034B">
        <w:rPr>
          <w:rFonts w:asciiTheme="majorHAnsi" w:hAnsiTheme="majorHAnsi"/>
          <w:sz w:val="20"/>
          <w:szCs w:val="20"/>
        </w:rPr>
        <w:t xml:space="preserve"> entonces Ministro de Bienestar Social del gobierno de la Presidenta </w:t>
      </w:r>
      <w:r w:rsidR="000842E4" w:rsidRPr="0007034B">
        <w:rPr>
          <w:rFonts w:asciiTheme="majorHAnsi" w:hAnsiTheme="majorHAnsi"/>
          <w:sz w:val="20"/>
          <w:szCs w:val="20"/>
          <w:lang w:val="es-AR"/>
        </w:rPr>
        <w:t xml:space="preserve">María Estela Martínez de Perón. </w:t>
      </w:r>
      <w:r w:rsidR="00B717B5" w:rsidRPr="0007034B">
        <w:rPr>
          <w:rFonts w:asciiTheme="majorHAnsi" w:hAnsiTheme="majorHAnsi"/>
          <w:sz w:val="20"/>
          <w:szCs w:val="20"/>
          <w:lang w:val="es-AR"/>
        </w:rPr>
        <w:t>La “Triple A”</w:t>
      </w:r>
      <w:r w:rsidR="000842E4" w:rsidRPr="0007034B">
        <w:rPr>
          <w:rFonts w:asciiTheme="majorHAnsi" w:hAnsiTheme="majorHAnsi"/>
          <w:sz w:val="20"/>
          <w:szCs w:val="20"/>
          <w:lang w:val="es-AR"/>
        </w:rPr>
        <w:t xml:space="preserve"> fue “la expresión del terror instaurado en aquellos años y los venideros, en el marco de la comisión de secuestros, asesinatos, atentados en perjuicio de disidentes políticos; habiendo contado con personal armado de distintas procedencias, entre los que confluyeron agentes policiales, militares, no funcionarios y personal de los servicios de inteligencia”</w:t>
      </w:r>
      <w:r w:rsidR="000842E4" w:rsidRPr="0007034B">
        <w:rPr>
          <w:rStyle w:val="FootnoteReference"/>
          <w:rFonts w:asciiTheme="majorHAnsi" w:hAnsiTheme="majorHAnsi"/>
          <w:sz w:val="20"/>
          <w:szCs w:val="20"/>
          <w:lang w:val="es-AR"/>
        </w:rPr>
        <w:footnoteReference w:id="23"/>
      </w:r>
      <w:r w:rsidR="000842E4" w:rsidRPr="0007034B">
        <w:rPr>
          <w:rFonts w:asciiTheme="majorHAnsi" w:hAnsiTheme="majorHAnsi"/>
          <w:sz w:val="20"/>
          <w:szCs w:val="20"/>
          <w:lang w:val="es-AR"/>
        </w:rPr>
        <w:t>. Fue de público conocimiento la pertenencia de Aníbal Gordon a dicha organización</w:t>
      </w:r>
      <w:r w:rsidR="000842E4" w:rsidRPr="0007034B">
        <w:rPr>
          <w:rStyle w:val="FootnoteReference"/>
          <w:rFonts w:asciiTheme="majorHAnsi" w:hAnsiTheme="majorHAnsi"/>
          <w:sz w:val="20"/>
          <w:szCs w:val="20"/>
          <w:lang w:val="es-AR"/>
        </w:rPr>
        <w:footnoteReference w:id="24"/>
      </w:r>
      <w:r w:rsidR="000842E4" w:rsidRPr="0007034B">
        <w:rPr>
          <w:rFonts w:asciiTheme="majorHAnsi" w:hAnsiTheme="majorHAnsi"/>
          <w:sz w:val="20"/>
          <w:szCs w:val="20"/>
          <w:lang w:val="es-AR"/>
        </w:rPr>
        <w:t xml:space="preserve">. </w:t>
      </w:r>
    </w:p>
    <w:p w14:paraId="63DD8A24" w14:textId="77777777" w:rsidR="000842E4" w:rsidRPr="0007034B" w:rsidRDefault="000842E4" w:rsidP="000842E4">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rPr>
      </w:pPr>
    </w:p>
    <w:p w14:paraId="450960EB" w14:textId="34AAE3A8" w:rsidR="00A542E7" w:rsidRPr="0007034B" w:rsidRDefault="002A0FC7"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r w:rsidRPr="0007034B">
        <w:rPr>
          <w:rFonts w:asciiTheme="majorHAnsi" w:hAnsiTheme="majorHAnsi"/>
          <w:sz w:val="20"/>
          <w:szCs w:val="20"/>
          <w:lang w:val="es-AR"/>
        </w:rPr>
        <w:t>Además del personal argentino dependiente de la SIDE,</w:t>
      </w:r>
      <w:r w:rsidR="00AA300A" w:rsidRPr="0007034B">
        <w:rPr>
          <w:rFonts w:asciiTheme="majorHAnsi" w:hAnsiTheme="majorHAnsi"/>
          <w:sz w:val="20"/>
          <w:szCs w:val="20"/>
          <w:lang w:val="es-AR"/>
        </w:rPr>
        <w:t xml:space="preserve"> actuaban</w:t>
      </w:r>
      <w:r w:rsidRPr="0007034B">
        <w:rPr>
          <w:rFonts w:asciiTheme="majorHAnsi" w:hAnsiTheme="majorHAnsi"/>
          <w:sz w:val="20"/>
          <w:szCs w:val="20"/>
          <w:lang w:val="es-AR"/>
        </w:rPr>
        <w:t xml:space="preserve"> </w:t>
      </w:r>
      <w:r w:rsidR="000842E4" w:rsidRPr="0007034B">
        <w:rPr>
          <w:rFonts w:asciiTheme="majorHAnsi" w:hAnsiTheme="majorHAnsi"/>
          <w:sz w:val="20"/>
          <w:szCs w:val="20"/>
          <w:lang w:val="es-AR"/>
        </w:rPr>
        <w:t xml:space="preserve">en “Orletti” </w:t>
      </w:r>
      <w:r w:rsidRPr="0007034B">
        <w:rPr>
          <w:rFonts w:asciiTheme="majorHAnsi" w:hAnsiTheme="majorHAnsi"/>
          <w:sz w:val="20"/>
          <w:szCs w:val="20"/>
          <w:lang w:val="es-AR"/>
        </w:rPr>
        <w:t>agentes de nacionalidad uruguaya pertenecientes al Servicio de Información de Defensa (SID)</w:t>
      </w:r>
      <w:r w:rsidR="00392E49" w:rsidRPr="0007034B">
        <w:rPr>
          <w:rFonts w:asciiTheme="majorHAnsi" w:hAnsiTheme="majorHAnsi"/>
          <w:sz w:val="20"/>
          <w:szCs w:val="20"/>
          <w:lang w:val="es-AR"/>
        </w:rPr>
        <w:t>,</w:t>
      </w:r>
      <w:r w:rsidRPr="0007034B">
        <w:rPr>
          <w:rFonts w:asciiTheme="majorHAnsi" w:hAnsiTheme="majorHAnsi"/>
          <w:sz w:val="20"/>
          <w:szCs w:val="20"/>
          <w:lang w:val="es-AR"/>
        </w:rPr>
        <w:t xml:space="preserve"> dependiente del Ministerio de Defensa de Uruguay o del Organismo Coordinador de Operaciones Antisubversivas (OCOA).</w:t>
      </w:r>
      <w:r w:rsidR="00392E49" w:rsidRPr="0007034B">
        <w:rPr>
          <w:rFonts w:asciiTheme="majorHAnsi" w:hAnsiTheme="majorHAnsi"/>
          <w:sz w:val="20"/>
          <w:szCs w:val="20"/>
          <w:lang w:val="es-AR"/>
        </w:rPr>
        <w:t xml:space="preserve"> La</w:t>
      </w:r>
      <w:r w:rsidR="00E534AD" w:rsidRPr="0007034B">
        <w:rPr>
          <w:rFonts w:asciiTheme="majorHAnsi" w:hAnsiTheme="majorHAnsi"/>
          <w:sz w:val="20"/>
          <w:szCs w:val="20"/>
          <w:lang w:val="es-AR"/>
        </w:rPr>
        <w:t xml:space="preserve"> actuación conjunta</w:t>
      </w:r>
      <w:r w:rsidR="00392E49" w:rsidRPr="0007034B">
        <w:rPr>
          <w:rFonts w:asciiTheme="majorHAnsi" w:hAnsiTheme="majorHAnsi"/>
          <w:sz w:val="20"/>
          <w:szCs w:val="20"/>
          <w:lang w:val="es-AR"/>
        </w:rPr>
        <w:t xml:space="preserve"> de personal argentino y uruguayo en este centro ha sido reiteradamente invocada por los testigos sobrevivientes. </w:t>
      </w:r>
      <w:r w:rsidR="00775CE3" w:rsidRPr="0007034B">
        <w:rPr>
          <w:rFonts w:asciiTheme="majorHAnsi" w:hAnsiTheme="majorHAnsi"/>
          <w:sz w:val="20"/>
          <w:szCs w:val="20"/>
          <w:lang w:val="es-AR"/>
        </w:rPr>
        <w:t xml:space="preserve">De acuerdo a varios testimonios, </w:t>
      </w:r>
      <w:r w:rsidR="00FA5882" w:rsidRPr="0007034B">
        <w:rPr>
          <w:rFonts w:asciiTheme="majorHAnsi" w:hAnsiTheme="majorHAnsi"/>
          <w:sz w:val="20"/>
          <w:szCs w:val="20"/>
          <w:lang w:val="es-AR"/>
        </w:rPr>
        <w:t xml:space="preserve">el teniente coronel </w:t>
      </w:r>
      <w:r w:rsidR="00206328" w:rsidRPr="0007034B">
        <w:rPr>
          <w:rFonts w:asciiTheme="majorHAnsi" w:hAnsiTheme="majorHAnsi"/>
          <w:sz w:val="20"/>
          <w:szCs w:val="20"/>
          <w:lang w:val="es-AR"/>
        </w:rPr>
        <w:t xml:space="preserve">José Nino </w:t>
      </w:r>
      <w:r w:rsidR="00775CE3" w:rsidRPr="0007034B">
        <w:rPr>
          <w:rFonts w:asciiTheme="majorHAnsi" w:hAnsiTheme="majorHAnsi"/>
          <w:sz w:val="20"/>
          <w:szCs w:val="20"/>
          <w:lang w:val="es-AR"/>
        </w:rPr>
        <w:t xml:space="preserve">Gavazzo, </w:t>
      </w:r>
      <w:r w:rsidR="00FA5882" w:rsidRPr="0007034B">
        <w:rPr>
          <w:rFonts w:asciiTheme="majorHAnsi" w:hAnsiTheme="majorHAnsi"/>
          <w:sz w:val="20"/>
          <w:szCs w:val="20"/>
          <w:lang w:val="es-AR"/>
        </w:rPr>
        <w:t xml:space="preserve">integrante del SID y del OCOA, el coronel Manuel </w:t>
      </w:r>
      <w:r w:rsidR="00775CE3" w:rsidRPr="0007034B">
        <w:rPr>
          <w:rFonts w:asciiTheme="majorHAnsi" w:hAnsiTheme="majorHAnsi"/>
          <w:sz w:val="20"/>
          <w:szCs w:val="20"/>
          <w:lang w:val="es-AR"/>
        </w:rPr>
        <w:t xml:space="preserve">Cordero y </w:t>
      </w:r>
      <w:r w:rsidR="00FA5882" w:rsidRPr="0007034B">
        <w:rPr>
          <w:rFonts w:asciiTheme="majorHAnsi" w:hAnsiTheme="majorHAnsi"/>
          <w:sz w:val="20"/>
          <w:szCs w:val="20"/>
          <w:lang w:val="es-AR"/>
        </w:rPr>
        <w:t xml:space="preserve">el Comisario </w:t>
      </w:r>
      <w:r w:rsidR="00775CE3" w:rsidRPr="0007034B">
        <w:rPr>
          <w:rFonts w:asciiTheme="majorHAnsi" w:hAnsiTheme="majorHAnsi"/>
          <w:sz w:val="20"/>
          <w:szCs w:val="20"/>
          <w:lang w:val="es-AR"/>
        </w:rPr>
        <w:t xml:space="preserve">Campos Hermida fueron vistos en “Orletti”. </w:t>
      </w:r>
      <w:r w:rsidR="003C7EA9" w:rsidRPr="0007034B">
        <w:rPr>
          <w:rFonts w:asciiTheme="majorHAnsi" w:hAnsiTheme="majorHAnsi"/>
          <w:sz w:val="20"/>
          <w:szCs w:val="20"/>
          <w:lang w:val="es-AR"/>
        </w:rPr>
        <w:t>U</w:t>
      </w:r>
      <w:r w:rsidR="00D24585" w:rsidRPr="0007034B">
        <w:rPr>
          <w:rFonts w:asciiTheme="majorHAnsi" w:hAnsiTheme="majorHAnsi"/>
          <w:sz w:val="20"/>
          <w:szCs w:val="20"/>
          <w:lang w:val="es-AR"/>
        </w:rPr>
        <w:t xml:space="preserve">na de </w:t>
      </w:r>
      <w:r w:rsidR="00775CE3" w:rsidRPr="0007034B">
        <w:rPr>
          <w:rFonts w:asciiTheme="majorHAnsi" w:hAnsiTheme="majorHAnsi"/>
          <w:sz w:val="20"/>
          <w:szCs w:val="20"/>
          <w:lang w:val="es-AR"/>
        </w:rPr>
        <w:t>las</w:t>
      </w:r>
      <w:r w:rsidR="00D24585" w:rsidRPr="0007034B">
        <w:rPr>
          <w:rFonts w:asciiTheme="majorHAnsi" w:hAnsiTheme="majorHAnsi"/>
          <w:sz w:val="20"/>
          <w:szCs w:val="20"/>
          <w:lang w:val="es-AR"/>
        </w:rPr>
        <w:t xml:space="preserve"> particularidades</w:t>
      </w:r>
      <w:r w:rsidR="00775CE3" w:rsidRPr="0007034B">
        <w:rPr>
          <w:rFonts w:asciiTheme="majorHAnsi" w:hAnsiTheme="majorHAnsi"/>
          <w:sz w:val="20"/>
          <w:szCs w:val="20"/>
          <w:lang w:val="es-AR"/>
        </w:rPr>
        <w:t xml:space="preserve"> de “Orletti”</w:t>
      </w:r>
      <w:r w:rsidR="00D24585" w:rsidRPr="0007034B">
        <w:rPr>
          <w:rFonts w:asciiTheme="majorHAnsi" w:hAnsiTheme="majorHAnsi"/>
          <w:sz w:val="20"/>
          <w:szCs w:val="20"/>
          <w:lang w:val="es-AR"/>
        </w:rPr>
        <w:t xml:space="preserve"> fue</w:t>
      </w:r>
      <w:r w:rsidR="003C7EA9" w:rsidRPr="0007034B">
        <w:rPr>
          <w:rFonts w:asciiTheme="majorHAnsi" w:hAnsiTheme="majorHAnsi"/>
          <w:sz w:val="20"/>
          <w:szCs w:val="20"/>
          <w:lang w:val="es-AR"/>
        </w:rPr>
        <w:t xml:space="preserve"> además</w:t>
      </w:r>
      <w:r w:rsidR="00D24585" w:rsidRPr="0007034B">
        <w:rPr>
          <w:rFonts w:asciiTheme="majorHAnsi" w:hAnsiTheme="majorHAnsi"/>
          <w:sz w:val="20"/>
          <w:szCs w:val="20"/>
          <w:lang w:val="es-AR"/>
        </w:rPr>
        <w:t xml:space="preserve"> la cantidad de personas extranjeras detenidas, sobre todo uruguayas</w:t>
      </w:r>
      <w:r w:rsidR="00D24585" w:rsidRPr="0007034B">
        <w:rPr>
          <w:rStyle w:val="FootnoteReference"/>
          <w:rFonts w:asciiTheme="majorHAnsi" w:hAnsiTheme="majorHAnsi"/>
          <w:sz w:val="20"/>
          <w:szCs w:val="20"/>
          <w:lang w:val="es-AR"/>
        </w:rPr>
        <w:footnoteReference w:id="25"/>
      </w:r>
      <w:r w:rsidR="00D24585" w:rsidRPr="0007034B">
        <w:rPr>
          <w:rFonts w:asciiTheme="majorHAnsi" w:hAnsiTheme="majorHAnsi"/>
          <w:sz w:val="20"/>
          <w:szCs w:val="20"/>
          <w:lang w:val="es-AR"/>
        </w:rPr>
        <w:t xml:space="preserve">. La mayoría de ellas estaban relacionadas con la militancia política </w:t>
      </w:r>
      <w:r w:rsidR="003D3716" w:rsidRPr="0007034B">
        <w:rPr>
          <w:rFonts w:asciiTheme="majorHAnsi" w:hAnsiTheme="majorHAnsi"/>
          <w:sz w:val="20"/>
          <w:szCs w:val="20"/>
          <w:lang w:val="es-AR"/>
        </w:rPr>
        <w:t xml:space="preserve">uruguaya, en particular del </w:t>
      </w:r>
      <w:r w:rsidR="00D24585" w:rsidRPr="0007034B">
        <w:rPr>
          <w:rFonts w:asciiTheme="majorHAnsi" w:hAnsiTheme="majorHAnsi"/>
          <w:sz w:val="20"/>
          <w:szCs w:val="20"/>
          <w:lang w:val="es-AR"/>
        </w:rPr>
        <w:t>PV</w:t>
      </w:r>
      <w:r w:rsidR="00FD5E62" w:rsidRPr="0007034B">
        <w:rPr>
          <w:rFonts w:asciiTheme="majorHAnsi" w:hAnsiTheme="majorHAnsi"/>
          <w:sz w:val="20"/>
          <w:szCs w:val="20"/>
          <w:lang w:val="es-AR"/>
        </w:rPr>
        <w:t>P</w:t>
      </w:r>
      <w:r w:rsidR="00C9746A" w:rsidRPr="0007034B">
        <w:rPr>
          <w:rFonts w:asciiTheme="majorHAnsi" w:hAnsiTheme="majorHAnsi"/>
          <w:sz w:val="20"/>
          <w:szCs w:val="20"/>
          <w:lang w:val="es-AR"/>
        </w:rPr>
        <w:t>. Este partido fue con</w:t>
      </w:r>
      <w:r w:rsidR="00D148C5" w:rsidRPr="0007034B">
        <w:rPr>
          <w:rFonts w:asciiTheme="majorHAnsi" w:hAnsiTheme="majorHAnsi"/>
          <w:sz w:val="20"/>
          <w:szCs w:val="20"/>
          <w:lang w:val="es-AR"/>
        </w:rPr>
        <w:t xml:space="preserve">formado en Argentina en julio de 1975 por </w:t>
      </w:r>
      <w:r w:rsidR="00775CE3" w:rsidRPr="0007034B">
        <w:rPr>
          <w:rFonts w:asciiTheme="majorHAnsi" w:hAnsiTheme="majorHAnsi"/>
          <w:sz w:val="20"/>
          <w:szCs w:val="20"/>
          <w:lang w:val="es-AR"/>
        </w:rPr>
        <w:t>militantes</w:t>
      </w:r>
      <w:r w:rsidR="00D148C5" w:rsidRPr="0007034B">
        <w:rPr>
          <w:rFonts w:asciiTheme="majorHAnsi" w:hAnsiTheme="majorHAnsi"/>
          <w:sz w:val="20"/>
          <w:szCs w:val="20"/>
          <w:lang w:val="es-AR"/>
        </w:rPr>
        <w:t xml:space="preserve"> </w:t>
      </w:r>
      <w:r w:rsidR="00584562" w:rsidRPr="0007034B">
        <w:rPr>
          <w:rFonts w:asciiTheme="majorHAnsi" w:hAnsiTheme="majorHAnsi"/>
          <w:sz w:val="20"/>
          <w:szCs w:val="20"/>
          <w:lang w:val="es-AR"/>
        </w:rPr>
        <w:t xml:space="preserve">uruguayos </w:t>
      </w:r>
      <w:r w:rsidR="00D148C5" w:rsidRPr="0007034B">
        <w:rPr>
          <w:rFonts w:asciiTheme="majorHAnsi" w:hAnsiTheme="majorHAnsi"/>
          <w:sz w:val="20"/>
          <w:szCs w:val="20"/>
          <w:lang w:val="es-AR"/>
        </w:rPr>
        <w:t>provenientes de la Federación Anarquista Uruguaya (FAU)</w:t>
      </w:r>
      <w:r w:rsidR="00E27A08" w:rsidRPr="0007034B">
        <w:rPr>
          <w:rFonts w:asciiTheme="majorHAnsi" w:hAnsiTheme="majorHAnsi"/>
          <w:sz w:val="20"/>
          <w:szCs w:val="20"/>
          <w:lang w:val="es-AR"/>
        </w:rPr>
        <w:t>, la cual</w:t>
      </w:r>
      <w:r w:rsidR="00D148C5" w:rsidRPr="0007034B">
        <w:rPr>
          <w:rFonts w:asciiTheme="majorHAnsi" w:hAnsiTheme="majorHAnsi"/>
          <w:sz w:val="20"/>
          <w:szCs w:val="20"/>
          <w:lang w:val="es-AR"/>
        </w:rPr>
        <w:t xml:space="preserve"> posteriormente conformó la Resistencia Obrero Estudiantil </w:t>
      </w:r>
      <w:r w:rsidR="00D148C5" w:rsidRPr="0007034B">
        <w:rPr>
          <w:rFonts w:asciiTheme="majorHAnsi" w:hAnsiTheme="majorHAnsi"/>
          <w:sz w:val="20"/>
          <w:szCs w:val="20"/>
          <w:lang w:val="es-AR"/>
        </w:rPr>
        <w:lastRenderedPageBreak/>
        <w:t>(ROE) y la Organización Popular Revolucionaria y 33 (OPR 33)</w:t>
      </w:r>
      <w:r w:rsidR="00D24585" w:rsidRPr="0007034B">
        <w:rPr>
          <w:rFonts w:asciiTheme="majorHAnsi" w:hAnsiTheme="majorHAnsi"/>
          <w:sz w:val="20"/>
          <w:szCs w:val="20"/>
          <w:lang w:val="es-AR"/>
        </w:rPr>
        <w:t xml:space="preserve">. </w:t>
      </w:r>
      <w:r w:rsidR="003C7EA9" w:rsidRPr="0007034B">
        <w:rPr>
          <w:rFonts w:asciiTheme="majorHAnsi" w:hAnsiTheme="majorHAnsi"/>
          <w:sz w:val="20"/>
          <w:szCs w:val="20"/>
          <w:lang w:val="es-AR"/>
        </w:rPr>
        <w:t>Por lo tanto,</w:t>
      </w:r>
      <w:r w:rsidR="00D61890" w:rsidRPr="0007034B">
        <w:rPr>
          <w:rFonts w:asciiTheme="majorHAnsi" w:hAnsiTheme="majorHAnsi"/>
          <w:sz w:val="20"/>
          <w:szCs w:val="20"/>
          <w:lang w:val="es-AR"/>
        </w:rPr>
        <w:t xml:space="preserve"> </w:t>
      </w:r>
      <w:r w:rsidR="003C7EA9" w:rsidRPr="0007034B">
        <w:rPr>
          <w:rFonts w:asciiTheme="majorHAnsi" w:hAnsiTheme="majorHAnsi"/>
          <w:sz w:val="20"/>
          <w:szCs w:val="20"/>
          <w:lang w:val="es-AR"/>
        </w:rPr>
        <w:t>“</w:t>
      </w:r>
      <w:r w:rsidR="00D61890" w:rsidRPr="0007034B">
        <w:rPr>
          <w:rFonts w:asciiTheme="majorHAnsi" w:hAnsiTheme="majorHAnsi"/>
          <w:sz w:val="20"/>
          <w:szCs w:val="20"/>
          <w:lang w:val="es-AR"/>
        </w:rPr>
        <w:t>Orletti”</w:t>
      </w:r>
      <w:r w:rsidR="00E27A08" w:rsidRPr="0007034B">
        <w:rPr>
          <w:rFonts w:asciiTheme="majorHAnsi" w:hAnsiTheme="majorHAnsi"/>
          <w:sz w:val="20"/>
          <w:szCs w:val="20"/>
          <w:lang w:val="es-AR"/>
        </w:rPr>
        <w:t xml:space="preserve"> funcionó como principal base </w:t>
      </w:r>
      <w:r w:rsidR="00EC10A0" w:rsidRPr="0007034B">
        <w:rPr>
          <w:rFonts w:asciiTheme="majorHAnsi" w:hAnsiTheme="majorHAnsi"/>
          <w:sz w:val="20"/>
          <w:szCs w:val="20"/>
          <w:lang w:val="es-AR"/>
        </w:rPr>
        <w:t>de la SIDE y de la inteligencia uruguaya que operaba en Argentina</w:t>
      </w:r>
      <w:r w:rsidR="00981FE7" w:rsidRPr="0007034B">
        <w:rPr>
          <w:rFonts w:asciiTheme="majorHAnsi" w:hAnsiTheme="majorHAnsi"/>
          <w:sz w:val="20"/>
          <w:szCs w:val="20"/>
          <w:lang w:val="es-AR"/>
        </w:rPr>
        <w:t>, en el marco de</w:t>
      </w:r>
      <w:r w:rsidR="00EC10A0" w:rsidRPr="0007034B">
        <w:rPr>
          <w:rFonts w:asciiTheme="majorHAnsi" w:hAnsiTheme="majorHAnsi"/>
          <w:sz w:val="20"/>
          <w:szCs w:val="20"/>
          <w:lang w:val="es-AR"/>
        </w:rPr>
        <w:t xml:space="preserve"> la coordinación</w:t>
      </w:r>
      <w:r w:rsidR="00981FE7" w:rsidRPr="0007034B">
        <w:rPr>
          <w:rFonts w:asciiTheme="majorHAnsi" w:hAnsiTheme="majorHAnsi"/>
          <w:sz w:val="20"/>
          <w:szCs w:val="20"/>
          <w:lang w:val="es-AR"/>
        </w:rPr>
        <w:t xml:space="preserve"> </w:t>
      </w:r>
      <w:r w:rsidR="003C7EA9" w:rsidRPr="0007034B">
        <w:rPr>
          <w:rFonts w:asciiTheme="majorHAnsi" w:hAnsiTheme="majorHAnsi"/>
          <w:sz w:val="20"/>
          <w:szCs w:val="20"/>
          <w:lang w:val="es-AR"/>
        </w:rPr>
        <w:t>represiva de la</w:t>
      </w:r>
      <w:r w:rsidR="00D61890" w:rsidRPr="0007034B">
        <w:rPr>
          <w:rFonts w:asciiTheme="majorHAnsi" w:hAnsiTheme="majorHAnsi"/>
          <w:sz w:val="20"/>
          <w:szCs w:val="20"/>
          <w:lang w:val="es-AR"/>
        </w:rPr>
        <w:t xml:space="preserve"> “Operación Cóndor”</w:t>
      </w:r>
      <w:r w:rsidR="00186F1B" w:rsidRPr="0007034B">
        <w:rPr>
          <w:rStyle w:val="FootnoteReference"/>
          <w:rFonts w:asciiTheme="majorHAnsi" w:hAnsiTheme="majorHAnsi"/>
          <w:sz w:val="20"/>
          <w:szCs w:val="20"/>
          <w:lang w:val="es-AR"/>
        </w:rPr>
        <w:footnoteReference w:id="26"/>
      </w:r>
      <w:r w:rsidR="00D61890" w:rsidRPr="0007034B">
        <w:rPr>
          <w:rFonts w:asciiTheme="majorHAnsi" w:hAnsiTheme="majorHAnsi"/>
          <w:sz w:val="20"/>
          <w:szCs w:val="20"/>
          <w:lang w:val="es-AR"/>
        </w:rPr>
        <w:t>.</w:t>
      </w:r>
      <w:r w:rsidR="00BA0225" w:rsidRPr="0007034B">
        <w:rPr>
          <w:rFonts w:asciiTheme="majorHAnsi" w:hAnsiTheme="majorHAnsi"/>
          <w:sz w:val="20"/>
          <w:szCs w:val="20"/>
          <w:lang w:val="es-AR"/>
        </w:rPr>
        <w:t xml:space="preserve"> </w:t>
      </w:r>
    </w:p>
    <w:p w14:paraId="13D7E90C" w14:textId="77777777" w:rsidR="00D24585" w:rsidRPr="0007034B" w:rsidRDefault="00D24585" w:rsidP="00D24585">
      <w:pPr>
        <w:pStyle w:val="ListParagraph"/>
        <w:rPr>
          <w:rFonts w:asciiTheme="majorHAnsi" w:hAnsiTheme="majorHAnsi"/>
          <w:sz w:val="20"/>
          <w:szCs w:val="20"/>
          <w:lang w:val="es-ES"/>
        </w:rPr>
      </w:pPr>
    </w:p>
    <w:p w14:paraId="5D142462" w14:textId="77777777" w:rsidR="00D92CE7" w:rsidRPr="0007034B" w:rsidRDefault="00E27A08"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r w:rsidRPr="0007034B">
        <w:rPr>
          <w:rFonts w:asciiTheme="majorHAnsi" w:hAnsiTheme="majorHAnsi"/>
          <w:sz w:val="20"/>
          <w:szCs w:val="20"/>
        </w:rPr>
        <w:t xml:space="preserve">Sobre las condiciones de detención en “Orletti”, </w:t>
      </w:r>
      <w:r w:rsidR="00981FE7" w:rsidRPr="0007034B">
        <w:rPr>
          <w:rFonts w:asciiTheme="majorHAnsi" w:hAnsiTheme="majorHAnsi"/>
          <w:sz w:val="20"/>
          <w:szCs w:val="20"/>
        </w:rPr>
        <w:t xml:space="preserve">los tribunales </w:t>
      </w:r>
      <w:r w:rsidR="003D3716" w:rsidRPr="0007034B">
        <w:rPr>
          <w:rFonts w:asciiTheme="majorHAnsi" w:hAnsiTheme="majorHAnsi"/>
          <w:sz w:val="20"/>
          <w:szCs w:val="20"/>
        </w:rPr>
        <w:t xml:space="preserve">argentinos </w:t>
      </w:r>
      <w:r w:rsidR="00981FE7" w:rsidRPr="0007034B">
        <w:rPr>
          <w:rFonts w:asciiTheme="majorHAnsi" w:hAnsiTheme="majorHAnsi"/>
          <w:sz w:val="20"/>
          <w:szCs w:val="20"/>
        </w:rPr>
        <w:t>han establecido que “en forma generalizada, las víctimas fueron sometidas a distintas pautas de cautividad o condiciones infrahumadas [sic] de vida”.</w:t>
      </w:r>
      <w:r w:rsidR="00D067C4" w:rsidRPr="0007034B">
        <w:rPr>
          <w:rFonts w:asciiTheme="majorHAnsi" w:hAnsiTheme="majorHAnsi"/>
          <w:sz w:val="20"/>
          <w:szCs w:val="20"/>
        </w:rPr>
        <w:t xml:space="preserve"> Los relatos de varias víctimas han sido coincidentes en </w:t>
      </w:r>
      <w:r w:rsidR="00B23750" w:rsidRPr="0007034B">
        <w:rPr>
          <w:rFonts w:asciiTheme="majorHAnsi" w:hAnsiTheme="majorHAnsi"/>
          <w:sz w:val="20"/>
          <w:szCs w:val="20"/>
        </w:rPr>
        <w:t>la rutina de tortura por la cual cada persona detenida debía pasar</w:t>
      </w:r>
      <w:r w:rsidR="00D067C4" w:rsidRPr="0007034B">
        <w:rPr>
          <w:rFonts w:asciiTheme="majorHAnsi" w:hAnsiTheme="majorHAnsi"/>
          <w:sz w:val="20"/>
          <w:szCs w:val="20"/>
        </w:rPr>
        <w:t xml:space="preserve">. Por turnos, y casi siempre por la noche, </w:t>
      </w:r>
      <w:r w:rsidR="00C44300" w:rsidRPr="0007034B">
        <w:rPr>
          <w:rFonts w:asciiTheme="majorHAnsi" w:hAnsiTheme="majorHAnsi"/>
          <w:sz w:val="20"/>
          <w:szCs w:val="20"/>
        </w:rPr>
        <w:t>eran subidas a la parte superior del centro</w:t>
      </w:r>
      <w:r w:rsidR="00D067C4" w:rsidRPr="0007034B">
        <w:rPr>
          <w:rFonts w:asciiTheme="majorHAnsi" w:hAnsiTheme="majorHAnsi"/>
          <w:sz w:val="20"/>
          <w:szCs w:val="20"/>
        </w:rPr>
        <w:t xml:space="preserve"> para ser interrogadas. Allí eran </w:t>
      </w:r>
      <w:r w:rsidR="00C44300" w:rsidRPr="0007034B">
        <w:rPr>
          <w:rFonts w:asciiTheme="majorHAnsi" w:hAnsiTheme="majorHAnsi"/>
          <w:sz w:val="20"/>
          <w:szCs w:val="20"/>
        </w:rPr>
        <w:t xml:space="preserve">esposadas por detrás, </w:t>
      </w:r>
      <w:r w:rsidR="00D067C4" w:rsidRPr="0007034B">
        <w:rPr>
          <w:rFonts w:asciiTheme="majorHAnsi" w:hAnsiTheme="majorHAnsi"/>
          <w:sz w:val="20"/>
          <w:szCs w:val="20"/>
        </w:rPr>
        <w:t>colgadas de un “gancho” hasta que los pies quedaban a unos 20 o 30 cm. del piso y por la cintura se les colocaba una especi</w:t>
      </w:r>
      <w:r w:rsidR="00C56DC9" w:rsidRPr="0007034B">
        <w:rPr>
          <w:rFonts w:asciiTheme="majorHAnsi" w:hAnsiTheme="majorHAnsi"/>
          <w:sz w:val="20"/>
          <w:szCs w:val="20"/>
        </w:rPr>
        <w:t>e</w:t>
      </w:r>
      <w:r w:rsidR="00D067C4" w:rsidRPr="0007034B">
        <w:rPr>
          <w:rFonts w:asciiTheme="majorHAnsi" w:hAnsiTheme="majorHAnsi"/>
          <w:sz w:val="20"/>
          <w:szCs w:val="20"/>
        </w:rPr>
        <w:t xml:space="preserve"> de cinturón con cables que producían un shock eléctrico en todo el cuerpo. En el piso se colocaba agua y sal gruesa </w:t>
      </w:r>
      <w:r w:rsidR="00C44300" w:rsidRPr="0007034B">
        <w:rPr>
          <w:rFonts w:asciiTheme="majorHAnsi" w:hAnsiTheme="majorHAnsi"/>
          <w:sz w:val="20"/>
          <w:szCs w:val="20"/>
        </w:rPr>
        <w:t>y cuando la víctima perdía toda resistencia</w:t>
      </w:r>
      <w:r w:rsidR="00B23750" w:rsidRPr="0007034B">
        <w:rPr>
          <w:rFonts w:asciiTheme="majorHAnsi" w:hAnsiTheme="majorHAnsi"/>
          <w:sz w:val="20"/>
          <w:szCs w:val="20"/>
        </w:rPr>
        <w:t>,</w:t>
      </w:r>
      <w:r w:rsidR="00C44300" w:rsidRPr="0007034B">
        <w:rPr>
          <w:rFonts w:asciiTheme="majorHAnsi" w:hAnsiTheme="majorHAnsi"/>
          <w:sz w:val="20"/>
          <w:szCs w:val="20"/>
        </w:rPr>
        <w:t xml:space="preserve"> los pies llegaban al piso </w:t>
      </w:r>
      <w:r w:rsidR="00157EDE" w:rsidRPr="0007034B">
        <w:rPr>
          <w:rFonts w:asciiTheme="majorHAnsi" w:hAnsiTheme="majorHAnsi"/>
          <w:sz w:val="20"/>
          <w:szCs w:val="20"/>
        </w:rPr>
        <w:t>y</w:t>
      </w:r>
      <w:r w:rsidR="00C44300" w:rsidRPr="0007034B">
        <w:rPr>
          <w:rFonts w:asciiTheme="majorHAnsi" w:hAnsiTheme="majorHAnsi"/>
          <w:sz w:val="20"/>
          <w:szCs w:val="20"/>
        </w:rPr>
        <w:t xml:space="preserve"> la electricidad era reconducida hacia arriba. Mientras tanto, baldes de agua fría eran tirados sobre el cuerpo para que la sensación del shock eléctrico se intensificara al extremo</w:t>
      </w:r>
      <w:r w:rsidR="00B23750" w:rsidRPr="0007034B">
        <w:rPr>
          <w:rStyle w:val="FootnoteReference"/>
          <w:rFonts w:asciiTheme="majorHAnsi" w:hAnsiTheme="majorHAnsi"/>
          <w:sz w:val="20"/>
          <w:szCs w:val="20"/>
        </w:rPr>
        <w:footnoteReference w:id="27"/>
      </w:r>
      <w:r w:rsidR="00C44300" w:rsidRPr="0007034B">
        <w:rPr>
          <w:rFonts w:asciiTheme="majorHAnsi" w:hAnsiTheme="majorHAnsi"/>
          <w:sz w:val="20"/>
          <w:szCs w:val="20"/>
        </w:rPr>
        <w:t xml:space="preserve">. </w:t>
      </w:r>
      <w:r w:rsidR="00D92CE7" w:rsidRPr="0007034B">
        <w:rPr>
          <w:rFonts w:asciiTheme="majorHAnsi" w:hAnsiTheme="majorHAnsi"/>
          <w:sz w:val="20"/>
          <w:szCs w:val="20"/>
        </w:rPr>
        <w:t xml:space="preserve">La mayoría de </w:t>
      </w:r>
      <w:r w:rsidR="009D329C" w:rsidRPr="0007034B">
        <w:rPr>
          <w:rFonts w:asciiTheme="majorHAnsi" w:hAnsiTheme="majorHAnsi"/>
          <w:sz w:val="20"/>
          <w:szCs w:val="20"/>
        </w:rPr>
        <w:t xml:space="preserve">las </w:t>
      </w:r>
      <w:r w:rsidR="00D92CE7" w:rsidRPr="0007034B">
        <w:rPr>
          <w:rFonts w:asciiTheme="majorHAnsi" w:hAnsiTheme="majorHAnsi"/>
          <w:sz w:val="20"/>
          <w:szCs w:val="20"/>
        </w:rPr>
        <w:t>persona</w:t>
      </w:r>
      <w:r w:rsidR="009D329C" w:rsidRPr="0007034B">
        <w:rPr>
          <w:rFonts w:asciiTheme="majorHAnsi" w:hAnsiTheme="majorHAnsi"/>
          <w:sz w:val="20"/>
          <w:szCs w:val="20"/>
        </w:rPr>
        <w:t>s</w:t>
      </w:r>
      <w:r w:rsidR="00D92CE7" w:rsidRPr="0007034B">
        <w:rPr>
          <w:rFonts w:asciiTheme="majorHAnsi" w:hAnsiTheme="majorHAnsi"/>
          <w:sz w:val="20"/>
          <w:szCs w:val="20"/>
        </w:rPr>
        <w:t xml:space="preserve"> uruguayas </w:t>
      </w:r>
      <w:r w:rsidR="009D329C" w:rsidRPr="0007034B">
        <w:rPr>
          <w:rFonts w:asciiTheme="majorHAnsi" w:hAnsiTheme="majorHAnsi"/>
          <w:sz w:val="20"/>
          <w:szCs w:val="20"/>
        </w:rPr>
        <w:t>detenidas</w:t>
      </w:r>
      <w:r w:rsidR="00D92CE7" w:rsidRPr="0007034B">
        <w:rPr>
          <w:rFonts w:asciiTheme="majorHAnsi" w:hAnsiTheme="majorHAnsi"/>
          <w:sz w:val="20"/>
          <w:szCs w:val="20"/>
        </w:rPr>
        <w:t xml:space="preserve"> en “Orletti” fueron trasladadas a Uruguay. El primer traslado ocurrió </w:t>
      </w:r>
      <w:r w:rsidR="002E7CA6" w:rsidRPr="0007034B">
        <w:rPr>
          <w:rFonts w:asciiTheme="majorHAnsi" w:hAnsiTheme="majorHAnsi"/>
          <w:sz w:val="20"/>
          <w:szCs w:val="20"/>
        </w:rPr>
        <w:t>en</w:t>
      </w:r>
      <w:r w:rsidR="00D92CE7" w:rsidRPr="0007034B">
        <w:rPr>
          <w:rFonts w:asciiTheme="majorHAnsi" w:hAnsiTheme="majorHAnsi"/>
          <w:sz w:val="20"/>
          <w:szCs w:val="20"/>
        </w:rPr>
        <w:t xml:space="preserve"> junio de 1976 </w:t>
      </w:r>
      <w:r w:rsidR="00FA5E8A" w:rsidRPr="0007034B">
        <w:rPr>
          <w:rFonts w:asciiTheme="majorHAnsi" w:hAnsiTheme="majorHAnsi"/>
          <w:sz w:val="20"/>
          <w:szCs w:val="20"/>
        </w:rPr>
        <w:t xml:space="preserve">en un avión militar </w:t>
      </w:r>
      <w:r w:rsidR="00D92CE7" w:rsidRPr="0007034B">
        <w:rPr>
          <w:rFonts w:asciiTheme="majorHAnsi" w:hAnsiTheme="majorHAnsi"/>
          <w:sz w:val="20"/>
          <w:szCs w:val="20"/>
        </w:rPr>
        <w:t xml:space="preserve">y comprendió a 26 personas. </w:t>
      </w:r>
      <w:r w:rsidR="00270851" w:rsidRPr="0007034B">
        <w:rPr>
          <w:rFonts w:asciiTheme="majorHAnsi" w:hAnsiTheme="majorHAnsi"/>
          <w:sz w:val="20"/>
          <w:szCs w:val="20"/>
        </w:rPr>
        <w:t>Posteriormente se llev</w:t>
      </w:r>
      <w:r w:rsidR="0095596F" w:rsidRPr="0007034B">
        <w:rPr>
          <w:rFonts w:asciiTheme="majorHAnsi" w:hAnsiTheme="majorHAnsi"/>
          <w:sz w:val="20"/>
          <w:szCs w:val="20"/>
        </w:rPr>
        <w:t xml:space="preserve">ó a cabo un segundo vuelo de 22 personas y otros </w:t>
      </w:r>
      <w:r w:rsidR="0065207F" w:rsidRPr="0007034B">
        <w:rPr>
          <w:rFonts w:asciiTheme="majorHAnsi" w:hAnsiTheme="majorHAnsi"/>
          <w:sz w:val="20"/>
          <w:szCs w:val="20"/>
        </w:rPr>
        <w:t xml:space="preserve">traslados </w:t>
      </w:r>
      <w:r w:rsidR="00270851" w:rsidRPr="0007034B">
        <w:rPr>
          <w:rFonts w:asciiTheme="majorHAnsi" w:hAnsiTheme="majorHAnsi"/>
          <w:sz w:val="20"/>
          <w:szCs w:val="20"/>
        </w:rPr>
        <w:t>en grupos más reducidos</w:t>
      </w:r>
      <w:r w:rsidR="00270851" w:rsidRPr="0007034B">
        <w:rPr>
          <w:rStyle w:val="FootnoteReference"/>
          <w:rFonts w:asciiTheme="majorHAnsi" w:hAnsiTheme="majorHAnsi"/>
          <w:sz w:val="20"/>
          <w:szCs w:val="20"/>
        </w:rPr>
        <w:footnoteReference w:id="28"/>
      </w:r>
      <w:r w:rsidR="00270851" w:rsidRPr="0007034B">
        <w:rPr>
          <w:rFonts w:asciiTheme="majorHAnsi" w:hAnsiTheme="majorHAnsi"/>
          <w:sz w:val="20"/>
          <w:szCs w:val="20"/>
        </w:rPr>
        <w:t xml:space="preserve">. </w:t>
      </w:r>
      <w:r w:rsidR="00D92CE7" w:rsidRPr="0007034B">
        <w:rPr>
          <w:rFonts w:asciiTheme="majorHAnsi" w:hAnsiTheme="majorHAnsi"/>
          <w:sz w:val="20"/>
          <w:szCs w:val="20"/>
        </w:rPr>
        <w:t xml:space="preserve"> </w:t>
      </w:r>
    </w:p>
    <w:p w14:paraId="68C4B830" w14:textId="77777777" w:rsidR="00215995" w:rsidRPr="0007034B" w:rsidRDefault="00215995" w:rsidP="00517ADB">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rPr>
      </w:pPr>
    </w:p>
    <w:p w14:paraId="5DDAFB8D" w14:textId="77777777" w:rsidR="005A58D2" w:rsidRPr="0007034B" w:rsidRDefault="005A58D2" w:rsidP="0007034B">
      <w:pPr>
        <w:pStyle w:val="Heading3"/>
      </w:pPr>
      <w:bookmarkStart w:id="28" w:name="_Toc6349150"/>
      <w:bookmarkStart w:id="29" w:name="_Toc6466643"/>
      <w:r w:rsidRPr="0007034B">
        <w:t>Sobre la sustracción y apropiación de niños y niñas en el marco de la “Operación Cóndor”</w:t>
      </w:r>
      <w:bookmarkEnd w:id="28"/>
      <w:bookmarkEnd w:id="29"/>
    </w:p>
    <w:p w14:paraId="34F14290" w14:textId="77777777" w:rsidR="00215995" w:rsidRPr="0007034B" w:rsidRDefault="00215995" w:rsidP="00517ADB">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rPr>
      </w:pPr>
    </w:p>
    <w:p w14:paraId="26936F32" w14:textId="77777777" w:rsidR="00C375BD" w:rsidRPr="0007034B" w:rsidRDefault="007D653C"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r w:rsidRPr="0007034B">
        <w:rPr>
          <w:rFonts w:asciiTheme="majorHAnsi" w:hAnsiTheme="majorHAnsi"/>
          <w:sz w:val="20"/>
          <w:szCs w:val="20"/>
        </w:rPr>
        <w:t xml:space="preserve">Las operaciones represivas clandestinas llevadas a cabo en el marco de la “Operación Cóndor” muchas veces incluyeron la sustracción y apropiación de niños y niñas, luego que sus progenitores eran </w:t>
      </w:r>
      <w:r w:rsidR="00C56DC9" w:rsidRPr="0007034B">
        <w:rPr>
          <w:rFonts w:asciiTheme="majorHAnsi" w:hAnsiTheme="majorHAnsi"/>
          <w:sz w:val="20"/>
          <w:szCs w:val="20"/>
        </w:rPr>
        <w:t xml:space="preserve">desaparecidos o </w:t>
      </w:r>
      <w:r w:rsidRPr="0007034B">
        <w:rPr>
          <w:rFonts w:asciiTheme="majorHAnsi" w:hAnsiTheme="majorHAnsi"/>
          <w:sz w:val="20"/>
          <w:szCs w:val="20"/>
        </w:rPr>
        <w:t>ejecutados</w:t>
      </w:r>
      <w:r w:rsidR="00AD5EB6" w:rsidRPr="0007034B">
        <w:rPr>
          <w:rFonts w:asciiTheme="majorHAnsi" w:hAnsiTheme="majorHAnsi"/>
          <w:sz w:val="20"/>
          <w:szCs w:val="20"/>
        </w:rPr>
        <w:t xml:space="preserve">. Respecto a la práctica llevada a cabo en Argentina durante la dictadura, </w:t>
      </w:r>
      <w:r w:rsidR="00EC4E06" w:rsidRPr="0007034B">
        <w:rPr>
          <w:rFonts w:asciiTheme="majorHAnsi" w:hAnsiTheme="majorHAnsi"/>
          <w:sz w:val="20"/>
          <w:szCs w:val="20"/>
        </w:rPr>
        <w:t>la Corte Interamericana de Derechos Humanos estableció lo siguiente:</w:t>
      </w:r>
      <w:r w:rsidRPr="0007034B">
        <w:rPr>
          <w:rStyle w:val="FootnoteReference"/>
          <w:rFonts w:asciiTheme="majorHAnsi" w:hAnsiTheme="majorHAnsi"/>
          <w:sz w:val="20"/>
          <w:szCs w:val="20"/>
        </w:rPr>
        <w:footnoteReference w:id="29"/>
      </w:r>
      <w:r w:rsidR="00C375BD" w:rsidRPr="0007034B">
        <w:rPr>
          <w:rFonts w:asciiTheme="majorHAnsi" w:hAnsiTheme="majorHAnsi"/>
          <w:sz w:val="20"/>
          <w:szCs w:val="20"/>
        </w:rPr>
        <w:t xml:space="preserve"> </w:t>
      </w:r>
    </w:p>
    <w:p w14:paraId="011DA5B0" w14:textId="77777777" w:rsidR="00EC4E06" w:rsidRPr="0007034B" w:rsidRDefault="00EC4E06" w:rsidP="00EC4E06">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rPr>
      </w:pPr>
    </w:p>
    <w:p w14:paraId="696A0037" w14:textId="77777777" w:rsidR="00EC4E06" w:rsidRPr="001D4025" w:rsidRDefault="00EC4E06" w:rsidP="00EC4E06">
      <w:pPr>
        <w:pStyle w:val="NoSpacing"/>
        <w:ind w:left="720" w:right="720"/>
        <w:jc w:val="both"/>
        <w:rPr>
          <w:rFonts w:asciiTheme="majorHAnsi" w:eastAsia="Times New Roman" w:hAnsiTheme="majorHAnsi"/>
          <w:color w:val="000000"/>
          <w:sz w:val="18"/>
          <w:szCs w:val="18"/>
          <w:u w:color="000000"/>
          <w:bdr w:val="nil"/>
          <w:lang w:eastAsia="es-ES"/>
        </w:rPr>
      </w:pPr>
      <w:r w:rsidRPr="001D4025">
        <w:rPr>
          <w:rFonts w:asciiTheme="majorHAnsi" w:eastAsia="Times New Roman" w:hAnsiTheme="majorHAnsi"/>
          <w:color w:val="000000"/>
          <w:sz w:val="18"/>
          <w:szCs w:val="18"/>
          <w:u w:color="000000"/>
          <w:bdr w:val="nil"/>
          <w:lang w:eastAsia="es-ES"/>
        </w:rPr>
        <w:t xml:space="preserve">La jurisprudencia argentina ha señalado en varias resoluciones que, “en el período del auto-denominado Proceso de Reorganización Nacional, se sustraían menores [de edad] de la esfera de custodia de sus padres [y que esa práctica constituía un] hecho público y notorio”. Las mujeres embarazadas detenidas en el marco de las operaciones de contrainsurgencia eran mantenidas vivas hasta que dieran a luz para después sustraer sus niños y desaparecerlas, mientras que, en numerosos casos, los niños y niñas eran entregados a familias de militares o policías, luego de que sus padres fueran desaparecidos o ejecutados. </w:t>
      </w:r>
    </w:p>
    <w:p w14:paraId="22972F6D" w14:textId="77777777" w:rsidR="00EC4E06" w:rsidRPr="001D4025" w:rsidRDefault="00EC4E06" w:rsidP="00EC4E06">
      <w:pPr>
        <w:pStyle w:val="NoSpacing"/>
        <w:ind w:left="720" w:right="720"/>
        <w:jc w:val="both"/>
        <w:rPr>
          <w:rFonts w:asciiTheme="majorHAnsi" w:eastAsia="Times New Roman" w:hAnsiTheme="majorHAnsi"/>
          <w:color w:val="000000"/>
          <w:sz w:val="18"/>
          <w:szCs w:val="18"/>
          <w:u w:color="000000"/>
          <w:bdr w:val="nil"/>
          <w:lang w:eastAsia="es-ES"/>
        </w:rPr>
      </w:pPr>
    </w:p>
    <w:p w14:paraId="1D0327B1" w14:textId="77777777" w:rsidR="00EC4E06" w:rsidRPr="001D4025" w:rsidRDefault="00EC4E06" w:rsidP="00EC4E06">
      <w:pPr>
        <w:pStyle w:val="NoSpacing"/>
        <w:ind w:left="720" w:right="720"/>
        <w:jc w:val="both"/>
        <w:rPr>
          <w:rFonts w:asciiTheme="majorHAnsi" w:eastAsia="Times New Roman" w:hAnsiTheme="majorHAnsi"/>
          <w:color w:val="000000"/>
          <w:sz w:val="18"/>
          <w:szCs w:val="18"/>
          <w:u w:color="000000"/>
          <w:bdr w:val="nil"/>
          <w:lang w:eastAsia="es-ES"/>
        </w:rPr>
      </w:pPr>
      <w:r w:rsidRPr="001D4025">
        <w:rPr>
          <w:rFonts w:asciiTheme="majorHAnsi" w:eastAsia="Times New Roman" w:hAnsiTheme="majorHAnsi"/>
          <w:color w:val="000000"/>
          <w:sz w:val="18"/>
          <w:szCs w:val="18"/>
          <w:u w:color="000000"/>
          <w:bdr w:val="nil"/>
          <w:lang w:eastAsia="es-ES"/>
        </w:rPr>
        <w:t>Por lo general, la política de “apoderamiento de menores [de edad]” se llevaba a cabo en las siguientes etapas: a) los niños y niñas eran sustraídos del “poder de sus legítimos tenedores cuando estos pudieran resultar sospechosos de tener vínculos con la subversión o disidentes políticos con el régimen de facto, y de acuerdo con los informes de inteligencia” o eran sustraídos durante la detención clandestina de sus madres”; b) luego eran conducidos “a lugares situados dentro de dependencias de la fuerza pública o bajo su dependencia operativa”; c) se “entrega[ban] los menores [de edad] sustraídos a integrantes de las fuerzas armadas o de seguridad, o a terceras personas, con el objeto de que estos los retuviesen y ocultasen de sus legítimos tenedores”; d) “en el marco de las apropiaciones ordenadas, y con el objeto de impedir el restablecimiento del vínculo con la familia, [se suprimía] el estado civil de los mismos, inscribiéndolos como hijos de quienes los retuviesen u ocultasen, y e) se les “inserta[ba] o [hacía] insertar datos falsos en constataciones y certificados de nacimiento y documentos destinados a acreditar la identidad de los menores [de edad]”.</w:t>
      </w:r>
    </w:p>
    <w:p w14:paraId="1D166288" w14:textId="77777777" w:rsidR="00EC4E06" w:rsidRPr="001D4025" w:rsidRDefault="00EC4E06" w:rsidP="00EC4E06">
      <w:pPr>
        <w:pStyle w:val="NoSpacing"/>
        <w:ind w:left="720" w:right="720"/>
        <w:jc w:val="both"/>
        <w:rPr>
          <w:rFonts w:asciiTheme="majorHAnsi" w:eastAsia="Times New Roman" w:hAnsiTheme="majorHAnsi"/>
          <w:color w:val="000000"/>
          <w:sz w:val="18"/>
          <w:szCs w:val="18"/>
          <w:u w:color="000000"/>
          <w:bdr w:val="nil"/>
          <w:lang w:eastAsia="es-ES"/>
        </w:rPr>
      </w:pPr>
    </w:p>
    <w:p w14:paraId="7ECEBBD7" w14:textId="77777777" w:rsidR="00EC4E06" w:rsidRPr="001D4025" w:rsidRDefault="00EC4E06" w:rsidP="00EC4E06">
      <w:pPr>
        <w:pStyle w:val="NoSpacing"/>
        <w:ind w:left="720" w:right="720"/>
        <w:jc w:val="both"/>
        <w:rPr>
          <w:rFonts w:asciiTheme="majorHAnsi" w:eastAsia="Times New Roman" w:hAnsiTheme="majorHAnsi"/>
          <w:color w:val="000000"/>
          <w:sz w:val="18"/>
          <w:szCs w:val="18"/>
          <w:u w:color="000000"/>
          <w:bdr w:val="nil"/>
          <w:lang w:eastAsia="es-ES"/>
        </w:rPr>
      </w:pPr>
      <w:r w:rsidRPr="001D4025">
        <w:rPr>
          <w:rFonts w:asciiTheme="majorHAnsi" w:eastAsia="Times New Roman" w:hAnsiTheme="majorHAnsi"/>
          <w:color w:val="000000"/>
          <w:sz w:val="18"/>
          <w:szCs w:val="18"/>
          <w:u w:color="000000"/>
          <w:bdr w:val="nil"/>
          <w:lang w:eastAsia="es-ES"/>
        </w:rPr>
        <w:lastRenderedPageBreak/>
        <w:t>En cuanto a los fines perseguidos con las sustracciones y apropiaciones ilícitas, estos podían corresponder: a) a una forma de tráfico para adopción irregular de niños y niñas; b) a un castigo hacia sus padres o a sus abuelos de una ideología percibida como opositora al régimen autoritario, o c) a una motivación ideológica más profunda relacionada con una voluntad de trasladar por la fuerza a los hijos de los integrantes de los grupos opositores, para de esa manera, evitar que los familiares de los desaparecidos se puedan erigir un día en “elemento[s] potencialmente subversivo”.</w:t>
      </w:r>
      <w:r w:rsidRPr="001D4025">
        <w:rPr>
          <w:rFonts w:asciiTheme="majorHAnsi" w:eastAsia="Times New Roman" w:hAnsiTheme="majorHAnsi"/>
          <w:sz w:val="18"/>
          <w:szCs w:val="18"/>
          <w:u w:color="000000"/>
          <w:bdr w:val="nil"/>
          <w:lang w:eastAsia="es-ES"/>
        </w:rPr>
        <w:t xml:space="preserve"> </w:t>
      </w:r>
    </w:p>
    <w:p w14:paraId="5C092F66" w14:textId="77777777" w:rsidR="007D653C" w:rsidRPr="0007034B" w:rsidRDefault="00AD5EB6" w:rsidP="00EC4E06">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rPr>
      </w:pPr>
      <w:r w:rsidRPr="0007034B">
        <w:rPr>
          <w:rFonts w:asciiTheme="majorHAnsi" w:hAnsiTheme="majorHAnsi"/>
          <w:sz w:val="20"/>
          <w:szCs w:val="20"/>
        </w:rPr>
        <w:t xml:space="preserve"> </w:t>
      </w:r>
    </w:p>
    <w:p w14:paraId="676C457A" w14:textId="0BFADBAB" w:rsidR="00DE7370" w:rsidRPr="007E73E1" w:rsidRDefault="00DE7370" w:rsidP="00F84E88">
      <w:pPr>
        <w:pStyle w:val="Heading2"/>
      </w:pPr>
      <w:bookmarkStart w:id="30" w:name="_Toc6349151"/>
      <w:bookmarkStart w:id="31" w:name="_Toc6466644"/>
      <w:r w:rsidRPr="007E73E1">
        <w:t>Marco normativo relevante</w:t>
      </w:r>
      <w:bookmarkEnd w:id="30"/>
      <w:bookmarkEnd w:id="31"/>
    </w:p>
    <w:p w14:paraId="3FB248F7" w14:textId="77777777" w:rsidR="00DE7370" w:rsidRPr="0007034B" w:rsidRDefault="00DE7370" w:rsidP="004B524E">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b/>
          <w:sz w:val="20"/>
          <w:szCs w:val="20"/>
        </w:rPr>
      </w:pPr>
    </w:p>
    <w:p w14:paraId="312269A6" w14:textId="61BF704E" w:rsidR="00CD0D35" w:rsidRPr="0007034B" w:rsidRDefault="00CD0D35"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r w:rsidRPr="0007034B">
        <w:rPr>
          <w:rFonts w:asciiTheme="majorHAnsi" w:hAnsiTheme="majorHAnsi"/>
          <w:sz w:val="20"/>
          <w:szCs w:val="20"/>
        </w:rPr>
        <w:t>La Ley 23.492, llamada de “</w:t>
      </w:r>
      <w:r w:rsidR="00391170" w:rsidRPr="0007034B">
        <w:rPr>
          <w:rFonts w:asciiTheme="majorHAnsi" w:hAnsiTheme="majorHAnsi"/>
          <w:sz w:val="20"/>
          <w:szCs w:val="20"/>
        </w:rPr>
        <w:t>Punto Final</w:t>
      </w:r>
      <w:r w:rsidRPr="0007034B">
        <w:rPr>
          <w:rFonts w:asciiTheme="majorHAnsi" w:hAnsiTheme="majorHAnsi"/>
          <w:sz w:val="20"/>
          <w:szCs w:val="20"/>
        </w:rPr>
        <w:t>”, promulgada el 24 diciembre de 1986, establecía en sus partes pertinentes lo siguiente:</w:t>
      </w:r>
    </w:p>
    <w:p w14:paraId="648A7900" w14:textId="77777777" w:rsidR="00CD0D35" w:rsidRPr="0007034B" w:rsidRDefault="00CD0D35" w:rsidP="001E3923">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rPr>
      </w:pPr>
    </w:p>
    <w:p w14:paraId="4F02C903" w14:textId="66E3E1AC" w:rsidR="001E3923" w:rsidRPr="001D4025" w:rsidRDefault="001E3923" w:rsidP="004D2EFD">
      <w:pPr>
        <w:pBdr>
          <w:top w:val="none" w:sz="0" w:space="0" w:color="auto"/>
          <w:left w:val="none" w:sz="0" w:space="0" w:color="auto"/>
          <w:bottom w:val="none" w:sz="0" w:space="0" w:color="auto"/>
          <w:right w:val="none" w:sz="0" w:space="0" w:color="auto"/>
          <w:between w:val="none" w:sz="0" w:space="0" w:color="auto"/>
          <w:bar w:val="none" w:sz="0" w:color="auto"/>
        </w:pBdr>
        <w:ind w:left="720" w:right="600"/>
        <w:jc w:val="both"/>
        <w:rPr>
          <w:rFonts w:asciiTheme="majorHAnsi" w:eastAsia="Times New Roman" w:hAnsiTheme="majorHAnsi"/>
          <w:color w:val="000000"/>
          <w:sz w:val="18"/>
          <w:szCs w:val="18"/>
          <w:u w:color="000000"/>
          <w:lang w:val="es-ES_tradnl" w:eastAsia="es-ES"/>
        </w:rPr>
      </w:pPr>
      <w:r w:rsidRPr="001D4025">
        <w:rPr>
          <w:rFonts w:asciiTheme="majorHAnsi" w:eastAsia="Times New Roman" w:hAnsiTheme="majorHAnsi"/>
          <w:color w:val="000000"/>
          <w:sz w:val="18"/>
          <w:szCs w:val="18"/>
          <w:u w:color="000000"/>
          <w:lang w:val="es-ES_tradnl" w:eastAsia="es-ES"/>
        </w:rPr>
        <w:t>Artículo. 1º.-Se extinguirá la acción penal respecto de toda persona por su presunta participación en cualquier grado, en los delitos del artículo 10 de la Ley Nº 23.049, que no estuviere prófugo, o declarado en rebeldía, o que no haya sido ordenada su citación a prestar declaración indagatoria, por tribunal competente, antes de los sesenta días corridos a partir de la fecha de promulgación de la presente ley.</w:t>
      </w:r>
    </w:p>
    <w:p w14:paraId="38E65C0C" w14:textId="77777777" w:rsidR="001E3923" w:rsidRPr="001D4025" w:rsidRDefault="001E3923" w:rsidP="004D2EFD">
      <w:pPr>
        <w:pBdr>
          <w:top w:val="none" w:sz="0" w:space="0" w:color="auto"/>
          <w:left w:val="none" w:sz="0" w:space="0" w:color="auto"/>
          <w:bottom w:val="none" w:sz="0" w:space="0" w:color="auto"/>
          <w:right w:val="none" w:sz="0" w:space="0" w:color="auto"/>
          <w:between w:val="none" w:sz="0" w:space="0" w:color="auto"/>
          <w:bar w:val="none" w:sz="0" w:color="auto"/>
        </w:pBdr>
        <w:ind w:left="720" w:right="600"/>
        <w:jc w:val="both"/>
        <w:rPr>
          <w:rFonts w:asciiTheme="majorHAnsi" w:eastAsia="Times New Roman" w:hAnsiTheme="majorHAnsi"/>
          <w:color w:val="000000"/>
          <w:sz w:val="18"/>
          <w:szCs w:val="18"/>
          <w:u w:color="000000"/>
          <w:lang w:val="es-ES_tradnl" w:eastAsia="es-ES"/>
        </w:rPr>
      </w:pPr>
      <w:r w:rsidRPr="001D4025">
        <w:rPr>
          <w:rFonts w:asciiTheme="majorHAnsi" w:eastAsia="Times New Roman" w:hAnsiTheme="majorHAnsi"/>
          <w:color w:val="000000"/>
          <w:sz w:val="18"/>
          <w:szCs w:val="18"/>
          <w:u w:color="000000"/>
          <w:lang w:val="es-ES_tradnl" w:eastAsia="es-ES"/>
        </w:rPr>
        <w:t>En las mismas condiciones se extinguirá la acción penal contra toda persona que hubiere cometido delitos vinculados a la instauración de formas violentas de acción política hasta el 10 de diciembre de 1983.</w:t>
      </w:r>
    </w:p>
    <w:p w14:paraId="6BC0273A" w14:textId="05042182" w:rsidR="001E3923" w:rsidRPr="001D4025" w:rsidRDefault="001E3923" w:rsidP="004D2EFD">
      <w:pPr>
        <w:pBdr>
          <w:top w:val="none" w:sz="0" w:space="0" w:color="auto"/>
          <w:left w:val="none" w:sz="0" w:space="0" w:color="auto"/>
          <w:bottom w:val="none" w:sz="0" w:space="0" w:color="auto"/>
          <w:right w:val="none" w:sz="0" w:space="0" w:color="auto"/>
          <w:between w:val="none" w:sz="0" w:space="0" w:color="auto"/>
          <w:bar w:val="none" w:sz="0" w:color="auto"/>
        </w:pBdr>
        <w:ind w:left="720" w:right="600"/>
        <w:jc w:val="both"/>
        <w:rPr>
          <w:rFonts w:asciiTheme="majorHAnsi" w:eastAsia="Times New Roman" w:hAnsiTheme="majorHAnsi"/>
          <w:color w:val="000000"/>
          <w:sz w:val="18"/>
          <w:szCs w:val="18"/>
          <w:u w:color="000000"/>
          <w:lang w:val="es-ES_tradnl" w:eastAsia="es-ES"/>
        </w:rPr>
      </w:pPr>
      <w:r w:rsidRPr="001D4025">
        <w:rPr>
          <w:rFonts w:asciiTheme="majorHAnsi" w:eastAsia="Times New Roman" w:hAnsiTheme="majorHAnsi"/>
          <w:color w:val="000000"/>
          <w:sz w:val="18"/>
          <w:szCs w:val="18"/>
          <w:u w:color="000000"/>
          <w:lang w:val="es-ES_tradnl" w:eastAsia="es-ES"/>
        </w:rPr>
        <w:t>[…]</w:t>
      </w:r>
    </w:p>
    <w:p w14:paraId="45ADD8D3" w14:textId="77777777" w:rsidR="001E3923" w:rsidRPr="001D4025" w:rsidRDefault="001E3923" w:rsidP="004D2EFD">
      <w:pPr>
        <w:pBdr>
          <w:top w:val="none" w:sz="0" w:space="0" w:color="auto"/>
          <w:left w:val="none" w:sz="0" w:space="0" w:color="auto"/>
          <w:bottom w:val="none" w:sz="0" w:space="0" w:color="auto"/>
          <w:right w:val="none" w:sz="0" w:space="0" w:color="auto"/>
          <w:between w:val="none" w:sz="0" w:space="0" w:color="auto"/>
          <w:bar w:val="none" w:sz="0" w:color="auto"/>
        </w:pBdr>
        <w:ind w:left="720" w:right="600"/>
        <w:jc w:val="both"/>
        <w:rPr>
          <w:rFonts w:asciiTheme="majorHAnsi" w:eastAsia="Times New Roman" w:hAnsiTheme="majorHAnsi"/>
          <w:color w:val="000000"/>
          <w:sz w:val="18"/>
          <w:szCs w:val="18"/>
          <w:u w:color="000000"/>
          <w:lang w:val="es-ES_tradnl" w:eastAsia="es-ES"/>
        </w:rPr>
      </w:pPr>
      <w:r w:rsidRPr="001D4025">
        <w:rPr>
          <w:rFonts w:asciiTheme="majorHAnsi" w:eastAsia="Times New Roman" w:hAnsiTheme="majorHAnsi"/>
          <w:color w:val="000000"/>
          <w:sz w:val="18"/>
          <w:szCs w:val="18"/>
          <w:u w:color="000000"/>
          <w:lang w:val="es-ES_tradnl" w:eastAsia="es-ES"/>
        </w:rPr>
        <w:t>Artículo 5°-La presente ley no extingue las acciones penales en los casos de delitos de sustitución de estado civil y de sustracción y ocultación de menores.</w:t>
      </w:r>
    </w:p>
    <w:p w14:paraId="39640120" w14:textId="77777777" w:rsidR="001E3923" w:rsidRPr="001D4025" w:rsidRDefault="001E3923" w:rsidP="004D2EFD">
      <w:pPr>
        <w:pBdr>
          <w:top w:val="none" w:sz="0" w:space="0" w:color="auto"/>
          <w:left w:val="none" w:sz="0" w:space="0" w:color="auto"/>
          <w:bottom w:val="none" w:sz="0" w:space="0" w:color="auto"/>
          <w:right w:val="none" w:sz="0" w:space="0" w:color="auto"/>
          <w:between w:val="none" w:sz="0" w:space="0" w:color="auto"/>
          <w:bar w:val="none" w:sz="0" w:color="auto"/>
        </w:pBdr>
        <w:ind w:left="720" w:right="600"/>
        <w:jc w:val="both"/>
        <w:rPr>
          <w:rFonts w:asciiTheme="majorHAnsi" w:eastAsia="Times New Roman" w:hAnsiTheme="majorHAnsi"/>
          <w:color w:val="000000"/>
          <w:sz w:val="18"/>
          <w:szCs w:val="18"/>
          <w:u w:color="000000"/>
          <w:lang w:val="es-ES_tradnl" w:eastAsia="es-ES"/>
        </w:rPr>
      </w:pPr>
      <w:r w:rsidRPr="001D4025">
        <w:rPr>
          <w:rFonts w:asciiTheme="majorHAnsi" w:eastAsia="Times New Roman" w:hAnsiTheme="majorHAnsi"/>
          <w:color w:val="000000"/>
          <w:sz w:val="18"/>
          <w:szCs w:val="18"/>
          <w:u w:color="000000"/>
          <w:lang w:val="es-ES_tradnl" w:eastAsia="es-ES"/>
        </w:rPr>
        <w:t>Artículo 6°-La extinción dispuesta en el artículo. 1° no comprende a las acciones civiles.</w:t>
      </w:r>
    </w:p>
    <w:p w14:paraId="1963012D" w14:textId="77777777" w:rsidR="001E3923" w:rsidRPr="0007034B" w:rsidRDefault="001E3923" w:rsidP="00A9235D">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lang w:val="es-ES"/>
        </w:rPr>
      </w:pPr>
    </w:p>
    <w:p w14:paraId="657E8389" w14:textId="77777777" w:rsidR="00A9235D" w:rsidRPr="0007034B" w:rsidRDefault="001E3923"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r w:rsidRPr="0007034B">
        <w:rPr>
          <w:rFonts w:asciiTheme="majorHAnsi" w:hAnsiTheme="majorHAnsi"/>
          <w:sz w:val="20"/>
          <w:szCs w:val="20"/>
        </w:rPr>
        <w:t>La Ley 23.521, llamada de “</w:t>
      </w:r>
      <w:r w:rsidR="00391170" w:rsidRPr="0007034B">
        <w:rPr>
          <w:rFonts w:asciiTheme="majorHAnsi" w:hAnsiTheme="majorHAnsi"/>
          <w:sz w:val="20"/>
          <w:szCs w:val="20"/>
        </w:rPr>
        <w:t>Obediencia Debida</w:t>
      </w:r>
      <w:r w:rsidRPr="0007034B">
        <w:rPr>
          <w:rFonts w:asciiTheme="majorHAnsi" w:hAnsiTheme="majorHAnsi"/>
          <w:sz w:val="20"/>
          <w:szCs w:val="20"/>
        </w:rPr>
        <w:t>”</w:t>
      </w:r>
      <w:r w:rsidR="00B31086" w:rsidRPr="0007034B">
        <w:rPr>
          <w:rFonts w:asciiTheme="majorHAnsi" w:hAnsiTheme="majorHAnsi"/>
          <w:sz w:val="20"/>
          <w:szCs w:val="20"/>
        </w:rPr>
        <w:t>,</w:t>
      </w:r>
      <w:r w:rsidR="00A9235D" w:rsidRPr="0007034B">
        <w:rPr>
          <w:rFonts w:asciiTheme="majorHAnsi" w:hAnsiTheme="majorHAnsi"/>
          <w:sz w:val="20"/>
          <w:szCs w:val="20"/>
        </w:rPr>
        <w:t xml:space="preserve"> promulgada el 8 de junio de 1987, estableció en sus partes pertinentes:</w:t>
      </w:r>
      <w:r w:rsidR="00B31086" w:rsidRPr="0007034B">
        <w:rPr>
          <w:rFonts w:asciiTheme="majorHAnsi" w:hAnsiTheme="majorHAnsi"/>
          <w:sz w:val="20"/>
          <w:szCs w:val="20"/>
        </w:rPr>
        <w:t xml:space="preserve"> </w:t>
      </w:r>
    </w:p>
    <w:p w14:paraId="283E45DB" w14:textId="77777777" w:rsidR="00FA6FB3" w:rsidRPr="0007034B" w:rsidRDefault="00FA6FB3" w:rsidP="004D2EFD">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600" w:right="600"/>
        <w:jc w:val="both"/>
        <w:rPr>
          <w:rFonts w:asciiTheme="majorHAnsi" w:eastAsia="Times New Roman" w:hAnsiTheme="majorHAnsi"/>
          <w:color w:val="000000"/>
          <w:sz w:val="20"/>
          <w:szCs w:val="20"/>
          <w:u w:color="000000"/>
          <w:lang w:val="es-ES_tradnl" w:eastAsia="es-ES"/>
        </w:rPr>
      </w:pPr>
    </w:p>
    <w:p w14:paraId="4422A47B" w14:textId="77777777" w:rsidR="00B16E47" w:rsidRPr="001D4025" w:rsidRDefault="00B16E47" w:rsidP="004D2EFD">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right="600"/>
        <w:jc w:val="both"/>
        <w:rPr>
          <w:rFonts w:asciiTheme="majorHAnsi" w:eastAsia="Times New Roman" w:hAnsiTheme="majorHAnsi"/>
          <w:color w:val="000000"/>
          <w:sz w:val="18"/>
          <w:szCs w:val="18"/>
          <w:u w:color="000000"/>
          <w:lang w:val="es-ES_tradnl" w:eastAsia="es-ES"/>
        </w:rPr>
      </w:pPr>
      <w:r w:rsidRPr="001D4025">
        <w:rPr>
          <w:rFonts w:asciiTheme="majorHAnsi" w:eastAsia="Times New Roman" w:hAnsiTheme="majorHAnsi"/>
          <w:color w:val="000000"/>
          <w:sz w:val="18"/>
          <w:szCs w:val="18"/>
          <w:u w:color="000000"/>
          <w:lang w:val="es-ES_tradnl" w:eastAsia="es-ES"/>
        </w:rPr>
        <w:t>Artículo. 1º -Se presume sin admitir prueba en contrario que quienes a la fecha de comisión del hecho revistaban como oficiales jefes, oficiales subalternos, suboficiales y personal de tropa de las Fuerzas Armadas, de seguridad, policiales y penitenciarias, no son punibles por los delitos a que se refiere el artículo 10 punto 1 de la ley Nº 23.049 por haber obrado en virtud de obediencia debida</w:t>
      </w:r>
    </w:p>
    <w:p w14:paraId="780A97E8" w14:textId="77777777" w:rsidR="00FA6FB3" w:rsidRPr="001D4025" w:rsidRDefault="00FA6FB3" w:rsidP="004D2EFD">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right="600"/>
        <w:jc w:val="both"/>
        <w:rPr>
          <w:rFonts w:asciiTheme="majorHAnsi" w:eastAsia="Times New Roman" w:hAnsiTheme="majorHAnsi"/>
          <w:color w:val="000000"/>
          <w:sz w:val="18"/>
          <w:szCs w:val="18"/>
          <w:u w:color="000000"/>
          <w:lang w:val="es-ES_tradnl" w:eastAsia="es-ES"/>
        </w:rPr>
      </w:pPr>
    </w:p>
    <w:p w14:paraId="000CED03" w14:textId="084444F8" w:rsidR="00B16E47" w:rsidRPr="001D4025" w:rsidRDefault="00B16E47" w:rsidP="004D2EFD">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right="600"/>
        <w:jc w:val="both"/>
        <w:rPr>
          <w:rFonts w:asciiTheme="majorHAnsi" w:eastAsia="Times New Roman" w:hAnsiTheme="majorHAnsi"/>
          <w:color w:val="000000"/>
          <w:sz w:val="18"/>
          <w:szCs w:val="18"/>
          <w:u w:color="000000"/>
          <w:lang w:val="es-ES_tradnl" w:eastAsia="es-ES"/>
        </w:rPr>
      </w:pPr>
      <w:r w:rsidRPr="001D4025">
        <w:rPr>
          <w:rFonts w:asciiTheme="majorHAnsi" w:eastAsia="Times New Roman" w:hAnsiTheme="majorHAnsi"/>
          <w:color w:val="000000"/>
          <w:sz w:val="18"/>
          <w:szCs w:val="18"/>
          <w:u w:color="000000"/>
          <w:lang w:val="es-ES_tradnl" w:eastAsia="es-ES"/>
        </w:rPr>
        <w:t xml:space="preserve">La misma presunción será aplicada a los oficiales superiores que no hubieran revistado como comandante en jefe, jefe de zona, jefe de subzona o jefe de fuerza de seguridad, policial o penitenciaria si no se resuelve judicialmente, antes de los treinta </w:t>
      </w:r>
      <w:r w:rsidR="00FA6FB3" w:rsidRPr="001D4025">
        <w:rPr>
          <w:rFonts w:asciiTheme="majorHAnsi" w:eastAsia="Times New Roman" w:hAnsiTheme="majorHAnsi"/>
          <w:color w:val="000000"/>
          <w:sz w:val="18"/>
          <w:szCs w:val="18"/>
          <w:u w:color="000000"/>
          <w:lang w:val="es-ES_tradnl" w:eastAsia="es-ES"/>
        </w:rPr>
        <w:t>días</w:t>
      </w:r>
      <w:r w:rsidRPr="001D4025">
        <w:rPr>
          <w:rFonts w:asciiTheme="majorHAnsi" w:eastAsia="Times New Roman" w:hAnsiTheme="majorHAnsi"/>
          <w:color w:val="000000"/>
          <w:sz w:val="18"/>
          <w:szCs w:val="18"/>
          <w:u w:color="000000"/>
          <w:lang w:val="es-ES_tradnl" w:eastAsia="es-ES"/>
        </w:rPr>
        <w:t xml:space="preserve"> de promulgación de esta ley, que tuvieron capacidad decisoria o participaron en la elaboración de las órdenes.</w:t>
      </w:r>
    </w:p>
    <w:p w14:paraId="497285B5" w14:textId="77777777" w:rsidR="00FA6FB3" w:rsidRPr="001D4025" w:rsidRDefault="00FA6FB3" w:rsidP="004D2EFD">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right="600"/>
        <w:jc w:val="both"/>
        <w:rPr>
          <w:rFonts w:asciiTheme="majorHAnsi" w:eastAsia="Times New Roman" w:hAnsiTheme="majorHAnsi"/>
          <w:color w:val="000000"/>
          <w:sz w:val="18"/>
          <w:szCs w:val="18"/>
          <w:u w:color="000000"/>
          <w:lang w:val="es-ES_tradnl" w:eastAsia="es-ES"/>
        </w:rPr>
      </w:pPr>
    </w:p>
    <w:p w14:paraId="0AED35E7" w14:textId="3E168F66" w:rsidR="00B16E47" w:rsidRPr="001D4025" w:rsidRDefault="00B16E47" w:rsidP="004D2EFD">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right="600"/>
        <w:jc w:val="both"/>
        <w:rPr>
          <w:rFonts w:asciiTheme="majorHAnsi" w:eastAsia="Times New Roman" w:hAnsiTheme="majorHAnsi"/>
          <w:color w:val="000000"/>
          <w:sz w:val="18"/>
          <w:szCs w:val="18"/>
          <w:u w:color="000000"/>
          <w:lang w:val="es-ES_tradnl" w:eastAsia="es-ES"/>
        </w:rPr>
      </w:pPr>
      <w:r w:rsidRPr="001D4025">
        <w:rPr>
          <w:rFonts w:asciiTheme="majorHAnsi" w:eastAsia="Times New Roman" w:hAnsiTheme="majorHAnsi"/>
          <w:color w:val="000000"/>
          <w:sz w:val="18"/>
          <w:szCs w:val="18"/>
          <w:u w:color="000000"/>
          <w:lang w:val="es-ES_tradnl" w:eastAsia="es-ES"/>
        </w:rPr>
        <w:t xml:space="preserve">En tales casos se considerará de pleno derecho que las personas mencionadas obraron en estado de coerción bajo subordinación a la autoridad superior y en cumplimiento de </w:t>
      </w:r>
      <w:r w:rsidR="00FA6FB3" w:rsidRPr="001D4025">
        <w:rPr>
          <w:rFonts w:asciiTheme="majorHAnsi" w:eastAsia="Times New Roman" w:hAnsiTheme="majorHAnsi"/>
          <w:color w:val="000000"/>
          <w:sz w:val="18"/>
          <w:szCs w:val="18"/>
          <w:u w:color="000000"/>
          <w:lang w:val="es-ES_tradnl" w:eastAsia="es-ES"/>
        </w:rPr>
        <w:t>órdenes</w:t>
      </w:r>
      <w:r w:rsidRPr="001D4025">
        <w:rPr>
          <w:rFonts w:asciiTheme="majorHAnsi" w:eastAsia="Times New Roman" w:hAnsiTheme="majorHAnsi"/>
          <w:color w:val="000000"/>
          <w:sz w:val="18"/>
          <w:szCs w:val="18"/>
          <w:u w:color="000000"/>
          <w:lang w:val="es-ES_tradnl" w:eastAsia="es-ES"/>
        </w:rPr>
        <w:t>, sin facultad o posibilidad de inspección, oposición o resistencia a ellas en cuanto a su oportunidad y legitimidad.</w:t>
      </w:r>
    </w:p>
    <w:p w14:paraId="49805648" w14:textId="77777777" w:rsidR="00FA6FB3" w:rsidRPr="001D4025" w:rsidRDefault="00FA6FB3" w:rsidP="004D2EFD">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right="600"/>
        <w:jc w:val="both"/>
        <w:rPr>
          <w:rFonts w:asciiTheme="majorHAnsi" w:eastAsia="Times New Roman" w:hAnsiTheme="majorHAnsi"/>
          <w:color w:val="000000"/>
          <w:sz w:val="18"/>
          <w:szCs w:val="18"/>
          <w:u w:color="000000"/>
          <w:lang w:val="es-ES_tradnl" w:eastAsia="es-ES"/>
        </w:rPr>
      </w:pPr>
    </w:p>
    <w:p w14:paraId="4939A008" w14:textId="77777777" w:rsidR="00B16E47" w:rsidRPr="001D4025" w:rsidRDefault="00B16E47" w:rsidP="004D2EFD">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right="600"/>
        <w:jc w:val="both"/>
        <w:rPr>
          <w:rFonts w:asciiTheme="majorHAnsi" w:eastAsia="Times New Roman" w:hAnsiTheme="majorHAnsi"/>
          <w:color w:val="000000"/>
          <w:sz w:val="18"/>
          <w:szCs w:val="18"/>
          <w:u w:color="000000"/>
          <w:lang w:val="es-ES_tradnl" w:eastAsia="es-ES"/>
        </w:rPr>
      </w:pPr>
      <w:r w:rsidRPr="001D4025">
        <w:rPr>
          <w:rFonts w:asciiTheme="majorHAnsi" w:eastAsia="Times New Roman" w:hAnsiTheme="majorHAnsi"/>
          <w:color w:val="000000"/>
          <w:sz w:val="18"/>
          <w:szCs w:val="18"/>
          <w:u w:color="000000"/>
          <w:lang w:val="es-ES_tradnl" w:eastAsia="es-ES"/>
        </w:rPr>
        <w:t>Artículo. 2°-La presunción establecida en el artículo anterior no será aplicable respecto de los delitos de violación, sustracción y ocultación de menores o sustitución de su estado civil y apropiación extensiva de inmuebles.</w:t>
      </w:r>
    </w:p>
    <w:p w14:paraId="4FB7BDDD" w14:textId="77777777" w:rsidR="005A323C" w:rsidRPr="0007034B" w:rsidRDefault="005A323C" w:rsidP="004D2EFD">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rPr>
      </w:pPr>
    </w:p>
    <w:p w14:paraId="0CA66E37" w14:textId="77777777" w:rsidR="005A323C" w:rsidRPr="0007034B" w:rsidRDefault="005A323C"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r w:rsidRPr="0007034B">
        <w:rPr>
          <w:rFonts w:asciiTheme="majorHAnsi" w:hAnsiTheme="majorHAnsi"/>
          <w:sz w:val="20"/>
          <w:szCs w:val="20"/>
        </w:rPr>
        <w:t>La Ley 25.779 promulgada el 2 de septiembre de 2003 estableció:</w:t>
      </w:r>
    </w:p>
    <w:p w14:paraId="707021FF" w14:textId="77777777" w:rsidR="005A323C" w:rsidRPr="0007034B" w:rsidRDefault="005A323C" w:rsidP="004D2EFD">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rPr>
      </w:pPr>
    </w:p>
    <w:p w14:paraId="18D52B00" w14:textId="6AC7D245" w:rsidR="005A323C" w:rsidRPr="001D4025" w:rsidRDefault="005A323C" w:rsidP="004D2EFD">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18"/>
          <w:szCs w:val="18"/>
        </w:rPr>
      </w:pPr>
      <w:r w:rsidRPr="001D4025">
        <w:rPr>
          <w:rFonts w:asciiTheme="majorHAnsi" w:hAnsiTheme="majorHAnsi"/>
          <w:sz w:val="18"/>
          <w:szCs w:val="18"/>
        </w:rPr>
        <w:t>ARTICULO 1º — Decláranse insanablemente nulas las Leyes 23.492 y 23.521.</w:t>
      </w:r>
    </w:p>
    <w:p w14:paraId="44DF601D" w14:textId="77777777" w:rsidR="005A323C" w:rsidRPr="0007034B" w:rsidRDefault="005A323C" w:rsidP="004D2EFD">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rPr>
      </w:pPr>
    </w:p>
    <w:p w14:paraId="35A5F7EF" w14:textId="36F9A3AE" w:rsidR="00477300" w:rsidRPr="0007034B" w:rsidRDefault="002A49A3"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r w:rsidRPr="0007034B">
        <w:rPr>
          <w:rFonts w:asciiTheme="majorHAnsi" w:hAnsiTheme="majorHAnsi"/>
          <w:sz w:val="20"/>
          <w:szCs w:val="20"/>
        </w:rPr>
        <w:t xml:space="preserve">La Comisión observa que las partes hacen referencia a la aplicación y alcance de las llamadas “leyes reparatorias” así como de normativa procesal interna. Al respecto, la Comisión observa que, a raíz de la primera </w:t>
      </w:r>
      <w:r w:rsidRPr="0007034B">
        <w:rPr>
          <w:rFonts w:asciiTheme="majorHAnsi" w:hAnsiTheme="majorHAnsi"/>
          <w:color w:val="auto"/>
          <w:sz w:val="20"/>
          <w:szCs w:val="20"/>
          <w:lang w:val="es-US"/>
        </w:rPr>
        <w:t xml:space="preserve">solución amistosa del Sistema Interamericano relativa a una denuncia contra Argentina presentada por un grupo de personas detenidas a disposición del Poder Ejecutivo Nacional durante la dictadura y que no habían sido reparadas por prescripción de la acción </w:t>
      </w:r>
      <w:r w:rsidR="008A0858" w:rsidRPr="0007034B">
        <w:rPr>
          <w:rFonts w:asciiTheme="majorHAnsi" w:hAnsiTheme="majorHAnsi"/>
          <w:color w:val="auto"/>
          <w:sz w:val="20"/>
          <w:szCs w:val="20"/>
          <w:lang w:val="es-US"/>
        </w:rPr>
        <w:t>civil</w:t>
      </w:r>
      <w:r w:rsidRPr="0007034B">
        <w:rPr>
          <w:rStyle w:val="FootnoteReference"/>
          <w:rFonts w:asciiTheme="majorHAnsi" w:hAnsiTheme="majorHAnsi"/>
          <w:color w:val="auto"/>
          <w:sz w:val="20"/>
          <w:szCs w:val="20"/>
          <w:lang w:val="es-US"/>
        </w:rPr>
        <w:footnoteReference w:id="30"/>
      </w:r>
      <w:r w:rsidRPr="0007034B">
        <w:rPr>
          <w:rFonts w:asciiTheme="majorHAnsi" w:hAnsiTheme="majorHAnsi"/>
          <w:color w:val="auto"/>
          <w:sz w:val="20"/>
          <w:szCs w:val="20"/>
          <w:lang w:val="es-US"/>
        </w:rPr>
        <w:t xml:space="preserve">, se dictó el decreto No. 70/91, el cual dispuso la indemnización para las personas que entraban dentro de sus supuestos. La Ley 24.043, aprobada en </w:t>
      </w:r>
      <w:r w:rsidRPr="0007034B">
        <w:rPr>
          <w:rFonts w:asciiTheme="majorHAnsi" w:hAnsiTheme="majorHAnsi"/>
          <w:color w:val="auto"/>
          <w:sz w:val="20"/>
          <w:szCs w:val="20"/>
          <w:lang w:val="es-US"/>
        </w:rPr>
        <w:lastRenderedPageBreak/>
        <w:t xml:space="preserve">diciembre de 1991, amplió el espectro de beneficiarios al comprender a quienes hubieran estado a disposición del PEN hasta el 10 de diciembre de 1983 y quienes hubiesen sufrido detención en virtud de actos emanados de tribunales militares. </w:t>
      </w:r>
      <w:r w:rsidR="00477300" w:rsidRPr="0007034B">
        <w:rPr>
          <w:rFonts w:asciiTheme="majorHAnsi" w:hAnsiTheme="majorHAnsi"/>
          <w:sz w:val="20"/>
          <w:szCs w:val="20"/>
        </w:rPr>
        <w:t>La Ley 24.043, promulgada el 23 de diciembre de 1991, indica:</w:t>
      </w:r>
    </w:p>
    <w:p w14:paraId="3B255B40" w14:textId="77777777" w:rsidR="00477300" w:rsidRPr="0007034B" w:rsidRDefault="00477300" w:rsidP="005A3A2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20"/>
          <w:szCs w:val="20"/>
          <w:u w:color="000000"/>
          <w:lang w:val="es-ES_tradnl" w:eastAsia="es-ES"/>
        </w:rPr>
      </w:pPr>
    </w:p>
    <w:p w14:paraId="232A6E68" w14:textId="77777777" w:rsidR="005A3A2D" w:rsidRPr="001D4025" w:rsidRDefault="005A3A2D" w:rsidP="005A3A2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18"/>
          <w:szCs w:val="18"/>
          <w:u w:color="000000"/>
          <w:lang w:val="es-ES_tradnl" w:eastAsia="es-ES"/>
        </w:rPr>
      </w:pPr>
      <w:r w:rsidRPr="001D4025">
        <w:rPr>
          <w:rFonts w:asciiTheme="majorHAnsi" w:eastAsia="Times New Roman" w:hAnsiTheme="majorHAnsi"/>
          <w:color w:val="000000"/>
          <w:sz w:val="18"/>
          <w:szCs w:val="18"/>
          <w:u w:color="000000"/>
          <w:lang w:val="es-ES_tradnl" w:eastAsia="es-ES"/>
        </w:rPr>
        <w:t>ARTICULO 1° — Las personas que durante la vigencia del estado de sitio hubieran sido puestas a disposición del Poder Ejecutivo Nacional, por decisión de éste, o que siendo civiles hubiesen sufrido detención en virtud de actos emanados de tribunales militares, hayan o no iniciado juicio por daños y perjuicios, podrán acogerse a los beneficios de esta ley, siempre que no hubiesen percibido indemnización alguna en virtud de sentencia judicial, con motivo de los hechos contemplados en la presente.</w:t>
      </w:r>
    </w:p>
    <w:p w14:paraId="2DDA628D" w14:textId="77777777" w:rsidR="005A3A2D" w:rsidRPr="001D4025" w:rsidRDefault="005A3A2D" w:rsidP="005A3A2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18"/>
          <w:szCs w:val="18"/>
          <w:u w:color="000000"/>
          <w:lang w:val="es-ES_tradnl" w:eastAsia="es-ES"/>
        </w:rPr>
      </w:pPr>
      <w:r w:rsidRPr="001D4025">
        <w:rPr>
          <w:rFonts w:asciiTheme="majorHAnsi" w:eastAsia="Times New Roman" w:hAnsiTheme="majorHAnsi"/>
          <w:color w:val="000000"/>
          <w:sz w:val="18"/>
          <w:szCs w:val="18"/>
          <w:u w:color="000000"/>
          <w:lang w:val="es-ES_tradnl" w:eastAsia="es-ES"/>
        </w:rPr>
        <w:t>ARTICULO 2° — Para acogerse a los beneficios de esta ley, las personas mencionadas en el artículo anterior deberán reunir alguno de los siguientes requisitos:</w:t>
      </w:r>
    </w:p>
    <w:p w14:paraId="2E037BBD" w14:textId="77777777" w:rsidR="005A3A2D" w:rsidRPr="001D4025" w:rsidRDefault="005A3A2D" w:rsidP="005A3A2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18"/>
          <w:szCs w:val="18"/>
          <w:u w:color="000000"/>
          <w:lang w:val="es-ES_tradnl" w:eastAsia="es-ES"/>
        </w:rPr>
      </w:pPr>
      <w:r w:rsidRPr="001D4025">
        <w:rPr>
          <w:rFonts w:asciiTheme="majorHAnsi" w:eastAsia="Times New Roman" w:hAnsiTheme="majorHAnsi"/>
          <w:color w:val="000000"/>
          <w:sz w:val="18"/>
          <w:szCs w:val="18"/>
          <w:u w:color="000000"/>
          <w:lang w:val="es-ES_tradnl" w:eastAsia="es-ES"/>
        </w:rPr>
        <w:t>a) Haber sido puestas a disposición del Poder Ejecutivo Nacional antes del 10 de diciembre de 1983.</w:t>
      </w:r>
    </w:p>
    <w:p w14:paraId="56AEC432" w14:textId="77777777" w:rsidR="005A3A2D" w:rsidRPr="001D4025" w:rsidRDefault="005A3A2D" w:rsidP="005A3A2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18"/>
          <w:szCs w:val="18"/>
          <w:u w:color="000000"/>
          <w:lang w:val="es-ES_tradnl" w:eastAsia="es-ES"/>
        </w:rPr>
      </w:pPr>
      <w:r w:rsidRPr="001D4025">
        <w:rPr>
          <w:rFonts w:asciiTheme="majorHAnsi" w:eastAsia="Times New Roman" w:hAnsiTheme="majorHAnsi"/>
          <w:color w:val="000000"/>
          <w:sz w:val="18"/>
          <w:szCs w:val="18"/>
          <w:u w:color="000000"/>
          <w:lang w:val="es-ES_tradnl" w:eastAsia="es-ES"/>
        </w:rPr>
        <w:t>b) En condición de civiles, haber sido privadas de su libertad por actos emanados de tribunales militares, haya habido o no sentencia condenatoria en este fuero.</w:t>
      </w:r>
    </w:p>
    <w:p w14:paraId="09A99765" w14:textId="77777777" w:rsidR="005A3A2D" w:rsidRPr="001D4025" w:rsidRDefault="005A3A2D" w:rsidP="005A3A2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18"/>
          <w:szCs w:val="18"/>
          <w:u w:color="000000"/>
          <w:lang w:val="es-ES_tradnl" w:eastAsia="es-ES"/>
        </w:rPr>
      </w:pPr>
      <w:r w:rsidRPr="001D4025">
        <w:rPr>
          <w:rFonts w:asciiTheme="majorHAnsi" w:eastAsia="Times New Roman" w:hAnsiTheme="majorHAnsi"/>
          <w:color w:val="000000"/>
          <w:sz w:val="18"/>
          <w:szCs w:val="18"/>
          <w:u w:color="000000"/>
          <w:lang w:val="es-ES_tradnl" w:eastAsia="es-ES"/>
        </w:rPr>
        <w:t>[…]</w:t>
      </w:r>
    </w:p>
    <w:p w14:paraId="4A21C061" w14:textId="77777777" w:rsidR="005A3A2D" w:rsidRPr="001D4025" w:rsidRDefault="005A3A2D" w:rsidP="005A3A2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18"/>
          <w:szCs w:val="18"/>
          <w:u w:color="000000"/>
          <w:lang w:val="es-ES_tradnl" w:eastAsia="es-ES"/>
        </w:rPr>
      </w:pPr>
      <w:r w:rsidRPr="001D4025">
        <w:rPr>
          <w:rFonts w:asciiTheme="majorHAnsi" w:eastAsia="Times New Roman" w:hAnsiTheme="majorHAnsi"/>
          <w:color w:val="000000"/>
          <w:sz w:val="18"/>
          <w:szCs w:val="18"/>
          <w:u w:color="000000"/>
          <w:lang w:val="es-ES_tradnl" w:eastAsia="es-ES"/>
        </w:rPr>
        <w:t>ARTICULO 5° — Los derechos otorgados por esta ley podrán ser ejercidos por las personas mencionadas en el artículo 1 o, en caso de fallecimiento, por sus derechohabientes.</w:t>
      </w:r>
    </w:p>
    <w:p w14:paraId="0BDE160B" w14:textId="77777777" w:rsidR="005A3A2D" w:rsidRPr="001D4025" w:rsidRDefault="005A3A2D" w:rsidP="005A3A2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18"/>
          <w:szCs w:val="18"/>
          <w:u w:color="000000"/>
          <w:lang w:val="es-ES_tradnl" w:eastAsia="es-ES"/>
        </w:rPr>
      </w:pPr>
      <w:r w:rsidRPr="001D4025">
        <w:rPr>
          <w:rFonts w:asciiTheme="majorHAnsi" w:eastAsia="Times New Roman" w:hAnsiTheme="majorHAnsi"/>
          <w:color w:val="000000"/>
          <w:sz w:val="18"/>
          <w:szCs w:val="18"/>
          <w:u w:color="000000"/>
          <w:lang w:val="es-ES_tradnl" w:eastAsia="es-ES"/>
        </w:rPr>
        <w:t>[…]</w:t>
      </w:r>
    </w:p>
    <w:p w14:paraId="62005E70" w14:textId="77777777" w:rsidR="005A3A2D" w:rsidRPr="001D4025" w:rsidRDefault="005A3A2D" w:rsidP="005A3A2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18"/>
          <w:szCs w:val="18"/>
          <w:u w:color="000000"/>
          <w:lang w:val="es-ES_tradnl" w:eastAsia="es-ES"/>
        </w:rPr>
      </w:pPr>
      <w:r w:rsidRPr="001D4025">
        <w:rPr>
          <w:rFonts w:asciiTheme="majorHAnsi" w:eastAsia="Times New Roman" w:hAnsiTheme="majorHAnsi"/>
          <w:color w:val="000000"/>
          <w:sz w:val="18"/>
          <w:szCs w:val="18"/>
          <w:u w:color="000000"/>
          <w:lang w:val="es-ES_tradnl" w:eastAsia="es-ES"/>
        </w:rPr>
        <w:t>ARTICULO 9° — El pago del beneficio importa la renuncia a todo derecho por indemnización de daños y perjuicios en razón de la privación de libertad, arresto, puesta a disposición del Poder Ejecutivo, muerte o lesiones y será excluyente de todo otro beneficio o indemnización por el mismo concepto.</w:t>
      </w:r>
    </w:p>
    <w:p w14:paraId="4333E29A" w14:textId="77777777" w:rsidR="00477300" w:rsidRPr="0007034B" w:rsidRDefault="00477300" w:rsidP="005A3A2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20"/>
          <w:szCs w:val="20"/>
          <w:u w:color="000000"/>
          <w:lang w:val="es-ES_tradnl" w:eastAsia="es-ES"/>
        </w:rPr>
      </w:pPr>
    </w:p>
    <w:p w14:paraId="388907B6" w14:textId="77777777" w:rsidR="00A55963" w:rsidRPr="0007034B" w:rsidRDefault="00A55963"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r w:rsidRPr="0007034B">
        <w:rPr>
          <w:rFonts w:asciiTheme="majorHAnsi" w:hAnsiTheme="majorHAnsi"/>
          <w:color w:val="auto"/>
          <w:sz w:val="20"/>
          <w:szCs w:val="20"/>
        </w:rPr>
        <w:t>Esta</w:t>
      </w:r>
      <w:r w:rsidRPr="0007034B">
        <w:rPr>
          <w:rFonts w:asciiTheme="majorHAnsi" w:hAnsiTheme="majorHAnsi"/>
          <w:color w:val="auto"/>
          <w:sz w:val="20"/>
          <w:szCs w:val="20"/>
          <w:lang w:val="es-US"/>
        </w:rPr>
        <w:t xml:space="preserve"> ley, a su vez, se enmarca en la política del Estado de reparar a las víctimas del terrorismo del Estado en la última dictadura cívico-militar. En este sentido, el Estado ha aprobado diversas leyes que prevén la indemnización a varios grupos de beneficiarios, leyes cuyas partes pertinentes se transcriben a continuación.</w:t>
      </w:r>
    </w:p>
    <w:p w14:paraId="7BF99BD1" w14:textId="77777777" w:rsidR="00A55963" w:rsidRPr="0007034B" w:rsidRDefault="00A55963" w:rsidP="00A55963">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rPr>
      </w:pPr>
    </w:p>
    <w:p w14:paraId="31DBA4CD" w14:textId="77777777" w:rsidR="008A6C26" w:rsidRPr="0007034B" w:rsidRDefault="008A6C26"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r w:rsidRPr="0007034B">
        <w:rPr>
          <w:rFonts w:asciiTheme="majorHAnsi" w:hAnsiTheme="majorHAnsi"/>
          <w:sz w:val="20"/>
          <w:szCs w:val="20"/>
        </w:rPr>
        <w:t>La Ley 24.321, promulgada el 11 de mayo de 1994, establece:</w:t>
      </w:r>
    </w:p>
    <w:p w14:paraId="524E1A53" w14:textId="77777777" w:rsidR="008A6C26" w:rsidRPr="0007034B" w:rsidRDefault="008A6C26" w:rsidP="001E61C4">
      <w:pPr>
        <w:pStyle w:val="ListParagraph"/>
        <w:rPr>
          <w:rFonts w:asciiTheme="majorHAnsi" w:eastAsia="Times New Roman" w:hAnsiTheme="majorHAnsi" w:cs="Times New Roman"/>
          <w:sz w:val="20"/>
          <w:szCs w:val="20"/>
          <w:lang w:val="es-ES_tradnl"/>
        </w:rPr>
      </w:pPr>
    </w:p>
    <w:p w14:paraId="1954B16E" w14:textId="77777777" w:rsidR="001E61C4" w:rsidRPr="001D4025" w:rsidRDefault="001E61C4" w:rsidP="001E61C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18"/>
          <w:szCs w:val="18"/>
          <w:u w:color="000000"/>
          <w:lang w:val="es-ES_tradnl" w:eastAsia="es-ES"/>
        </w:rPr>
      </w:pPr>
      <w:r w:rsidRPr="001D4025">
        <w:rPr>
          <w:rFonts w:asciiTheme="majorHAnsi" w:eastAsia="Times New Roman" w:hAnsiTheme="majorHAnsi"/>
          <w:color w:val="000000"/>
          <w:sz w:val="18"/>
          <w:szCs w:val="18"/>
          <w:u w:color="000000"/>
          <w:lang w:val="es-ES_tradnl" w:eastAsia="es-ES"/>
        </w:rPr>
        <w:t>ARTICULO 1º-Podrá declararse la ausencia por desaparición forzada de toda aquella persona que hasta el 10 de diciembre de 1983, hubiera desaparecido involuntariamente del lugar de su domicilio o residencia, sin que se tenga noticia de su paradero.</w:t>
      </w:r>
    </w:p>
    <w:p w14:paraId="6127832E" w14:textId="77777777" w:rsidR="001E61C4" w:rsidRPr="001D4025" w:rsidRDefault="001E61C4" w:rsidP="001E61C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18"/>
          <w:szCs w:val="18"/>
          <w:u w:color="000000"/>
          <w:lang w:val="es-ES_tradnl" w:eastAsia="es-ES"/>
        </w:rPr>
      </w:pPr>
      <w:r w:rsidRPr="001D4025">
        <w:rPr>
          <w:rFonts w:asciiTheme="majorHAnsi" w:eastAsia="Times New Roman" w:hAnsiTheme="majorHAnsi"/>
          <w:color w:val="000000"/>
          <w:sz w:val="18"/>
          <w:szCs w:val="18"/>
          <w:u w:color="000000"/>
          <w:lang w:val="es-ES_tradnl" w:eastAsia="es-ES"/>
        </w:rPr>
        <w:t>ARTICULO 2º-A los efectos de esta ley se entiende por desaparición forzada de personas, cuando se hubiere privado a alguien de su libertad personal y el hecho fuese seguido por la desaparición de la víctima, o si ésta hubiera sido alojada en lugares clandestinos de detención o privada, bajo cualquier otra forma, del derecho a la jurisdicción. La misma deberá ser justificada mediante denuncia ya presentada ante autoridad judicial competente, la ex Comisión Nacional sobre la Desaparición de Personas (decreto 158/83), o la Subsecretaría de Derechos Humanos y Sociales del Ministerio del Interior o la ex Dirección Nacional de Derechos Humanos.</w:t>
      </w:r>
    </w:p>
    <w:p w14:paraId="43E05AB8" w14:textId="77777777" w:rsidR="001E61C4" w:rsidRPr="0007034B" w:rsidRDefault="001E61C4" w:rsidP="001E61C4">
      <w:pPr>
        <w:pStyle w:val="ListParagraph"/>
        <w:rPr>
          <w:rFonts w:asciiTheme="majorHAnsi" w:eastAsia="Times New Roman" w:hAnsiTheme="majorHAnsi" w:cs="Times New Roman"/>
          <w:sz w:val="20"/>
          <w:szCs w:val="20"/>
          <w:lang w:val="es-ES_tradnl"/>
        </w:rPr>
      </w:pPr>
    </w:p>
    <w:p w14:paraId="11052AF9" w14:textId="77777777" w:rsidR="00EA0980" w:rsidRPr="0007034B" w:rsidRDefault="00EA0980"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r w:rsidRPr="0007034B">
        <w:rPr>
          <w:rFonts w:asciiTheme="majorHAnsi" w:hAnsiTheme="majorHAnsi"/>
          <w:sz w:val="20"/>
          <w:szCs w:val="20"/>
        </w:rPr>
        <w:t>La Ley 24.411</w:t>
      </w:r>
      <w:r w:rsidR="004119FF" w:rsidRPr="0007034B">
        <w:rPr>
          <w:rFonts w:asciiTheme="majorHAnsi" w:hAnsiTheme="majorHAnsi"/>
          <w:sz w:val="20"/>
          <w:szCs w:val="20"/>
        </w:rPr>
        <w:t>, promulgada el 28 de diciembre de 1994</w:t>
      </w:r>
      <w:r w:rsidR="00CE33CD" w:rsidRPr="0007034B">
        <w:rPr>
          <w:rFonts w:asciiTheme="majorHAnsi" w:hAnsiTheme="majorHAnsi"/>
          <w:sz w:val="20"/>
          <w:szCs w:val="20"/>
        </w:rPr>
        <w:t>, reformada por la Ley 24.823 promulgada el 23 de mayo de 1997,</w:t>
      </w:r>
      <w:r w:rsidR="004119FF" w:rsidRPr="0007034B">
        <w:rPr>
          <w:rFonts w:asciiTheme="majorHAnsi" w:hAnsiTheme="majorHAnsi"/>
          <w:sz w:val="20"/>
          <w:szCs w:val="20"/>
        </w:rPr>
        <w:t xml:space="preserve"> </w:t>
      </w:r>
      <w:r w:rsidR="007512BD" w:rsidRPr="0007034B">
        <w:rPr>
          <w:rFonts w:asciiTheme="majorHAnsi" w:hAnsiTheme="majorHAnsi"/>
          <w:sz w:val="20"/>
          <w:szCs w:val="20"/>
        </w:rPr>
        <w:t>señala</w:t>
      </w:r>
      <w:r w:rsidR="004119FF" w:rsidRPr="0007034B">
        <w:rPr>
          <w:rFonts w:asciiTheme="majorHAnsi" w:hAnsiTheme="majorHAnsi"/>
          <w:sz w:val="20"/>
          <w:szCs w:val="20"/>
        </w:rPr>
        <w:t xml:space="preserve">: </w:t>
      </w:r>
    </w:p>
    <w:p w14:paraId="0E4E5C0A" w14:textId="77777777" w:rsidR="009929A6" w:rsidRPr="0007034B" w:rsidRDefault="009929A6" w:rsidP="009929A6">
      <w:pPr>
        <w:pStyle w:val="ListParagraph"/>
        <w:rPr>
          <w:rFonts w:asciiTheme="majorHAnsi" w:hAnsiTheme="majorHAnsi"/>
          <w:sz w:val="20"/>
          <w:szCs w:val="20"/>
          <w:lang w:val="es-ES"/>
        </w:rPr>
      </w:pPr>
    </w:p>
    <w:p w14:paraId="6F2DAD58" w14:textId="77777777" w:rsidR="004119FF" w:rsidRPr="001D4025" w:rsidRDefault="004119FF" w:rsidP="008D0E4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18"/>
          <w:szCs w:val="18"/>
          <w:u w:color="000000"/>
          <w:lang w:val="es-ES_tradnl" w:eastAsia="es-ES"/>
        </w:rPr>
      </w:pPr>
      <w:r w:rsidRPr="001D4025">
        <w:rPr>
          <w:rFonts w:asciiTheme="majorHAnsi" w:eastAsia="Times New Roman" w:hAnsiTheme="majorHAnsi"/>
          <w:color w:val="000000"/>
          <w:sz w:val="18"/>
          <w:szCs w:val="18"/>
          <w:u w:color="000000"/>
          <w:lang w:val="es-ES_tradnl" w:eastAsia="es-ES"/>
        </w:rPr>
        <w:t>ARTICULO 1º — Las personas que al momento de la promulgación de la presente ley se encuentren en situación de desaparición forzada, tendrán derecho a percibir, por medio de sus causahabientes, un beneficio extraordinario equivalente a la remuneración mensual de los agentes Nivel A del escalafón para el personal civil de la administración pública nacional aprobado por el decreto 993/91, por el coeficiente 100.</w:t>
      </w:r>
    </w:p>
    <w:p w14:paraId="465FEE46" w14:textId="77777777" w:rsidR="004119FF" w:rsidRPr="001D4025" w:rsidRDefault="004119FF" w:rsidP="008D0E4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18"/>
          <w:szCs w:val="18"/>
          <w:u w:color="000000"/>
          <w:lang w:val="es-ES_tradnl" w:eastAsia="es-ES"/>
        </w:rPr>
      </w:pPr>
      <w:r w:rsidRPr="001D4025">
        <w:rPr>
          <w:rFonts w:asciiTheme="majorHAnsi" w:eastAsia="Times New Roman" w:hAnsiTheme="majorHAnsi"/>
          <w:color w:val="000000"/>
          <w:sz w:val="18"/>
          <w:szCs w:val="18"/>
          <w:u w:color="000000"/>
          <w:lang w:val="es-ES_tradnl" w:eastAsia="es-ES"/>
        </w:rPr>
        <w:t>A los efectos de esta ley, se entiende por desaparición forzada de personas, cuando se hubiera privado a alguien de su libertad personal y el hecho fuese seguido por la desaparición de la víctima, o si ésta hubiera sido alojada en lugares clandestinos de detención o privada bajo cualquier otra forma del derecho a la jurisdicción.</w:t>
      </w:r>
    </w:p>
    <w:p w14:paraId="6944BD15" w14:textId="77777777" w:rsidR="004119FF" w:rsidRPr="001D4025" w:rsidRDefault="004119FF" w:rsidP="008D0E4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18"/>
          <w:szCs w:val="18"/>
          <w:u w:color="000000"/>
          <w:lang w:val="es-ES_tradnl" w:eastAsia="es-ES"/>
        </w:rPr>
      </w:pPr>
      <w:r w:rsidRPr="001D4025">
        <w:rPr>
          <w:rFonts w:asciiTheme="majorHAnsi" w:eastAsia="Times New Roman" w:hAnsiTheme="majorHAnsi"/>
          <w:color w:val="000000"/>
          <w:sz w:val="18"/>
          <w:szCs w:val="18"/>
          <w:u w:color="000000"/>
          <w:lang w:val="es-ES_tradnl" w:eastAsia="es-ES"/>
        </w:rPr>
        <w:t>ARTICULO 2º — Tendrán derecho a percibir igual beneficio que el establecido en el artículo 1º los causahabientes de toda persona que hubiese fallecido como consecuencia del accionar de las fuerzas armadas, de seguridad, o de cualquier grupo paramilitar con anterioridad al 10-12-83.</w:t>
      </w:r>
    </w:p>
    <w:p w14:paraId="0D16BDAD" w14:textId="77777777" w:rsidR="004119FF" w:rsidRPr="001D4025" w:rsidRDefault="004119FF" w:rsidP="008D0E4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18"/>
          <w:szCs w:val="18"/>
          <w:u w:color="000000"/>
          <w:lang w:val="es-ES_tradnl" w:eastAsia="es-ES"/>
        </w:rPr>
      </w:pPr>
      <w:r w:rsidRPr="001D4025">
        <w:rPr>
          <w:rFonts w:asciiTheme="majorHAnsi" w:eastAsia="Times New Roman" w:hAnsiTheme="majorHAnsi"/>
          <w:color w:val="000000"/>
          <w:sz w:val="18"/>
          <w:szCs w:val="18"/>
          <w:u w:color="000000"/>
          <w:lang w:val="es-ES_tradnl" w:eastAsia="es-ES"/>
        </w:rPr>
        <w:t>[…]</w:t>
      </w:r>
    </w:p>
    <w:p w14:paraId="3C7750AB" w14:textId="77777777" w:rsidR="004119FF" w:rsidRPr="001D4025" w:rsidRDefault="004119FF" w:rsidP="008D0E4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18"/>
          <w:szCs w:val="18"/>
          <w:u w:color="000000"/>
          <w:lang w:val="es-ES_tradnl" w:eastAsia="es-ES"/>
        </w:rPr>
      </w:pPr>
      <w:r w:rsidRPr="001D4025">
        <w:rPr>
          <w:rFonts w:asciiTheme="majorHAnsi" w:eastAsia="Times New Roman" w:hAnsiTheme="majorHAnsi"/>
          <w:color w:val="000000"/>
          <w:sz w:val="18"/>
          <w:szCs w:val="18"/>
          <w:u w:color="000000"/>
          <w:lang w:val="es-ES_tradnl" w:eastAsia="es-ES"/>
        </w:rPr>
        <w:lastRenderedPageBreak/>
        <w:t>ARTICULO 5º — En caso de aparición de las personas mencionadas en el artículo 1º, se deberá comunicar esta circunstancia al juez competente, pero no habrá obligación de reintegrar el beneficio si ya hubiera sido obtenido.</w:t>
      </w:r>
    </w:p>
    <w:p w14:paraId="485E7A26" w14:textId="77777777" w:rsidR="004119FF" w:rsidRPr="001D4025" w:rsidRDefault="004119FF" w:rsidP="008D0E4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18"/>
          <w:szCs w:val="18"/>
          <w:u w:color="000000"/>
          <w:lang w:val="es-ES_tradnl" w:eastAsia="es-ES"/>
        </w:rPr>
      </w:pPr>
      <w:r w:rsidRPr="001D4025">
        <w:rPr>
          <w:rFonts w:asciiTheme="majorHAnsi" w:eastAsia="Times New Roman" w:hAnsiTheme="majorHAnsi"/>
          <w:color w:val="000000"/>
          <w:sz w:val="18"/>
          <w:szCs w:val="18"/>
          <w:u w:color="000000"/>
          <w:lang w:val="es-ES_tradnl" w:eastAsia="es-ES"/>
        </w:rPr>
        <w:t>[…]</w:t>
      </w:r>
    </w:p>
    <w:p w14:paraId="6B80EF53" w14:textId="77777777" w:rsidR="004119FF" w:rsidRPr="001D4025" w:rsidRDefault="004119FF" w:rsidP="008D0E4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18"/>
          <w:szCs w:val="18"/>
          <w:u w:color="000000"/>
          <w:lang w:val="es-ES_tradnl" w:eastAsia="es-ES"/>
        </w:rPr>
      </w:pPr>
      <w:r w:rsidRPr="001D4025">
        <w:rPr>
          <w:rFonts w:asciiTheme="majorHAnsi" w:eastAsia="Times New Roman" w:hAnsiTheme="majorHAnsi"/>
          <w:color w:val="000000"/>
          <w:sz w:val="18"/>
          <w:szCs w:val="18"/>
          <w:u w:color="000000"/>
          <w:lang w:val="es-ES_tradnl" w:eastAsia="es-ES"/>
        </w:rPr>
        <w:t>ARTICULO 7º — La solicitud del beneficio deberá efectuarse, bajo apercibimiento de caducidad, dentro de los ciento ochenta (180) días de la fecha de entrada en vigencia de la presente.</w:t>
      </w:r>
    </w:p>
    <w:p w14:paraId="4C6A3618" w14:textId="77777777" w:rsidR="00DE7370" w:rsidRPr="0007034B" w:rsidRDefault="00DE7370" w:rsidP="004119FF">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firstLine="0"/>
        <w:jc w:val="both"/>
        <w:rPr>
          <w:rFonts w:asciiTheme="majorHAnsi" w:hAnsiTheme="majorHAnsi"/>
          <w:sz w:val="20"/>
          <w:szCs w:val="20"/>
        </w:rPr>
      </w:pPr>
    </w:p>
    <w:p w14:paraId="21AA02C6" w14:textId="77777777" w:rsidR="00712978" w:rsidRPr="0007034B" w:rsidRDefault="002C2EB7"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r w:rsidRPr="0007034B">
        <w:rPr>
          <w:rFonts w:asciiTheme="majorHAnsi" w:hAnsiTheme="majorHAnsi"/>
          <w:sz w:val="20"/>
          <w:szCs w:val="20"/>
        </w:rPr>
        <w:t xml:space="preserve">La Ley </w:t>
      </w:r>
      <w:r w:rsidR="00CE33CD" w:rsidRPr="0007034B">
        <w:rPr>
          <w:rFonts w:asciiTheme="majorHAnsi" w:hAnsiTheme="majorHAnsi"/>
          <w:sz w:val="20"/>
          <w:szCs w:val="20"/>
        </w:rPr>
        <w:t>25.914</w:t>
      </w:r>
      <w:r w:rsidR="00712978" w:rsidRPr="0007034B">
        <w:rPr>
          <w:rFonts w:asciiTheme="majorHAnsi" w:hAnsiTheme="majorHAnsi"/>
          <w:sz w:val="20"/>
          <w:szCs w:val="20"/>
        </w:rPr>
        <w:t xml:space="preserve">, promulgada el 25 de agosto de 2004, </w:t>
      </w:r>
      <w:r w:rsidR="007512BD" w:rsidRPr="0007034B">
        <w:rPr>
          <w:rFonts w:asciiTheme="majorHAnsi" w:hAnsiTheme="majorHAnsi"/>
          <w:sz w:val="20"/>
          <w:szCs w:val="20"/>
        </w:rPr>
        <w:t>indica</w:t>
      </w:r>
      <w:r w:rsidR="00712978" w:rsidRPr="0007034B">
        <w:rPr>
          <w:rFonts w:asciiTheme="majorHAnsi" w:hAnsiTheme="majorHAnsi"/>
          <w:sz w:val="20"/>
          <w:szCs w:val="20"/>
        </w:rPr>
        <w:t>:</w:t>
      </w:r>
    </w:p>
    <w:p w14:paraId="1239276C" w14:textId="77777777" w:rsidR="00712978" w:rsidRPr="0007034B" w:rsidRDefault="00712978" w:rsidP="00712978">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firstLine="0"/>
        <w:jc w:val="both"/>
        <w:rPr>
          <w:rFonts w:asciiTheme="majorHAnsi" w:hAnsiTheme="majorHAnsi"/>
          <w:sz w:val="20"/>
          <w:szCs w:val="20"/>
        </w:rPr>
      </w:pPr>
    </w:p>
    <w:p w14:paraId="35AA0445" w14:textId="77777777" w:rsidR="00712978" w:rsidRPr="001D4025" w:rsidRDefault="00712978" w:rsidP="0071297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18"/>
          <w:szCs w:val="18"/>
          <w:u w:color="000000"/>
          <w:lang w:val="es-ES_tradnl" w:eastAsia="es-ES"/>
        </w:rPr>
      </w:pPr>
      <w:r w:rsidRPr="001D4025">
        <w:rPr>
          <w:rFonts w:asciiTheme="majorHAnsi" w:eastAsia="Times New Roman" w:hAnsiTheme="majorHAnsi"/>
          <w:color w:val="000000"/>
          <w:sz w:val="18"/>
          <w:szCs w:val="18"/>
          <w:u w:color="000000"/>
          <w:lang w:val="es-ES_tradnl" w:eastAsia="es-ES"/>
        </w:rPr>
        <w:t>ARTICULO 1° — Las personas que hubieren nacido durante la privación de la libertad de su madre, o que, siendo menores, hubiesen permanecido en cualquier circunstancia detenidos en relación a sus padres, siempre que cualquiera de éstos hubiese estado detenido y/o detenido-desaparecido por razones políticas, ya sea a disposición del Poder Ejecutivo nacional y/o tribunales militares y/o áreas militares, con independencia de su situación judicial, podrán acogerse a los beneficios instituidos en la presente ley.</w:t>
      </w:r>
    </w:p>
    <w:p w14:paraId="5672A115" w14:textId="77777777" w:rsidR="00712978" w:rsidRPr="001D4025" w:rsidRDefault="00712978" w:rsidP="0071297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18"/>
          <w:szCs w:val="18"/>
          <w:u w:color="000000"/>
          <w:lang w:val="es-ES_tradnl" w:eastAsia="es-ES"/>
        </w:rPr>
      </w:pPr>
      <w:r w:rsidRPr="001D4025">
        <w:rPr>
          <w:rFonts w:asciiTheme="majorHAnsi" w:eastAsia="Times New Roman" w:hAnsiTheme="majorHAnsi"/>
          <w:color w:val="000000"/>
          <w:sz w:val="18"/>
          <w:szCs w:val="18"/>
          <w:u w:color="000000"/>
          <w:lang w:val="es-ES_tradnl" w:eastAsia="es-ES"/>
        </w:rPr>
        <w:t>Las personas que por alguna de las circunstancias establecidas en la presente, hayan sido víctimas de sustitución de identidad recibirán la reparación que esta ley determina.</w:t>
      </w:r>
    </w:p>
    <w:p w14:paraId="069A908D" w14:textId="77777777" w:rsidR="00712978" w:rsidRPr="001D4025" w:rsidRDefault="00712978" w:rsidP="0071297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18"/>
          <w:szCs w:val="18"/>
          <w:u w:color="000000"/>
          <w:lang w:val="es-ES_tradnl" w:eastAsia="es-ES"/>
        </w:rPr>
      </w:pPr>
      <w:r w:rsidRPr="001D4025">
        <w:rPr>
          <w:rFonts w:asciiTheme="majorHAnsi" w:eastAsia="Times New Roman" w:hAnsiTheme="majorHAnsi"/>
          <w:color w:val="000000"/>
          <w:sz w:val="18"/>
          <w:szCs w:val="18"/>
          <w:u w:color="000000"/>
          <w:lang w:val="es-ES_tradnl" w:eastAsia="es-ES"/>
        </w:rPr>
        <w:t>El presente beneficio es incompatible con cualquier indemnización percibida en virtud de sentencia judicial, con motivo de los hechos contemplados en la presente.</w:t>
      </w:r>
    </w:p>
    <w:p w14:paraId="72A8369A" w14:textId="77777777" w:rsidR="00712978" w:rsidRPr="001D4025" w:rsidRDefault="00712978" w:rsidP="0071297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18"/>
          <w:szCs w:val="18"/>
          <w:u w:color="000000"/>
          <w:lang w:val="es-ES_tradnl" w:eastAsia="es-ES"/>
        </w:rPr>
      </w:pPr>
      <w:r w:rsidRPr="001D4025">
        <w:rPr>
          <w:rFonts w:asciiTheme="majorHAnsi" w:eastAsia="Times New Roman" w:hAnsiTheme="majorHAnsi"/>
          <w:color w:val="000000"/>
          <w:sz w:val="18"/>
          <w:szCs w:val="18"/>
          <w:u w:color="000000"/>
          <w:lang w:val="es-ES_tradnl" w:eastAsia="es-ES"/>
        </w:rPr>
        <w:t>ARTICULO 2° — Para acogerse a los beneficios de esta ley, las personas mencionadas en el artículo anterior deberán acreditar ante la autoridad de aplicación, el cumplimiento de los siguientes requisitos:</w:t>
      </w:r>
    </w:p>
    <w:p w14:paraId="3A43B9CA" w14:textId="77777777" w:rsidR="00712978" w:rsidRPr="001D4025" w:rsidRDefault="00712978" w:rsidP="0071297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18"/>
          <w:szCs w:val="18"/>
          <w:u w:color="000000"/>
          <w:lang w:val="es-ES_tradnl" w:eastAsia="es-ES"/>
        </w:rPr>
      </w:pPr>
      <w:r w:rsidRPr="001D4025">
        <w:rPr>
          <w:rFonts w:asciiTheme="majorHAnsi" w:eastAsia="Times New Roman" w:hAnsiTheme="majorHAnsi"/>
          <w:color w:val="000000"/>
          <w:sz w:val="18"/>
          <w:szCs w:val="18"/>
          <w:u w:color="000000"/>
          <w:lang w:val="es-ES_tradnl" w:eastAsia="es-ES"/>
        </w:rPr>
        <w:t>a) Para quienes hayan nacido durante la detención y/o cautiverio de su madre, constancia de la fecha de nacimiento, anterior al 10 de diciembre de 1983, y acreditación, por cualquier medio de prueba, de que su madre se encontraba detenida y/o desaparecida por razones políticas a disposición del Poder Ejecutivo nacional, y/o tribunales militares y/o áreas militares, con independencia de su situación judicial;</w:t>
      </w:r>
    </w:p>
    <w:p w14:paraId="533B605C" w14:textId="77777777" w:rsidR="00712978" w:rsidRPr="001D4025" w:rsidRDefault="00712978" w:rsidP="0071297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18"/>
          <w:szCs w:val="18"/>
          <w:u w:color="000000"/>
          <w:lang w:val="es-ES_tradnl" w:eastAsia="es-ES"/>
        </w:rPr>
      </w:pPr>
      <w:r w:rsidRPr="001D4025">
        <w:rPr>
          <w:rFonts w:asciiTheme="majorHAnsi" w:eastAsia="Times New Roman" w:hAnsiTheme="majorHAnsi"/>
          <w:color w:val="000000"/>
          <w:sz w:val="18"/>
          <w:szCs w:val="18"/>
          <w:u w:color="000000"/>
          <w:lang w:val="es-ES_tradnl" w:eastAsia="es-ES"/>
        </w:rPr>
        <w:t>b) En el supuesto de menores nacidos fuera de los establecimientos carcelarios y/o de cautiverio, acreditar por cualquier medio de prueba su permanencia en los mismos y las condiciones requeridas en el artículo 1° de la presente ley en alguno de sus padres;</w:t>
      </w:r>
    </w:p>
    <w:p w14:paraId="27EC8B6E" w14:textId="77777777" w:rsidR="00712978" w:rsidRPr="001D4025" w:rsidRDefault="00712978" w:rsidP="0071297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18"/>
          <w:szCs w:val="18"/>
          <w:u w:color="000000"/>
          <w:lang w:val="es-ES_tradnl" w:eastAsia="es-ES"/>
        </w:rPr>
      </w:pPr>
      <w:r w:rsidRPr="001D4025">
        <w:rPr>
          <w:rFonts w:asciiTheme="majorHAnsi" w:eastAsia="Times New Roman" w:hAnsiTheme="majorHAnsi"/>
          <w:color w:val="000000"/>
          <w:sz w:val="18"/>
          <w:szCs w:val="18"/>
          <w:u w:color="000000"/>
          <w:lang w:val="es-ES_tradnl" w:eastAsia="es-ES"/>
        </w:rPr>
        <w:t>c) Sentencia judicial rectificatoria de la identidad en los casos del segundo párrafo del artículo 1°. Quedan exceptuados de acompañar tal sentencia aquellos que encontrándose en esta situación hayan sido adoptados plenamente y de buena fe, debiendo probar por cualquier medio la desaparición forzada de sus padres.</w:t>
      </w:r>
    </w:p>
    <w:p w14:paraId="38ADC4EA" w14:textId="77777777" w:rsidR="00712978" w:rsidRPr="001D4025" w:rsidRDefault="00712978" w:rsidP="0071297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18"/>
          <w:szCs w:val="18"/>
          <w:u w:color="000000"/>
          <w:lang w:val="es-ES_tradnl" w:eastAsia="es-ES"/>
        </w:rPr>
      </w:pPr>
      <w:r w:rsidRPr="001D4025">
        <w:rPr>
          <w:rFonts w:asciiTheme="majorHAnsi" w:eastAsia="Times New Roman" w:hAnsiTheme="majorHAnsi"/>
          <w:color w:val="000000"/>
          <w:sz w:val="18"/>
          <w:szCs w:val="18"/>
          <w:u w:color="000000"/>
          <w:lang w:val="es-ES_tradnl" w:eastAsia="es-ES"/>
        </w:rPr>
        <w:t>[…]</w:t>
      </w:r>
    </w:p>
    <w:p w14:paraId="7D68298F" w14:textId="77777777" w:rsidR="00712978" w:rsidRPr="001D4025" w:rsidRDefault="00712978" w:rsidP="0071297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18"/>
          <w:szCs w:val="18"/>
          <w:u w:color="000000"/>
          <w:lang w:val="es-ES_tradnl" w:eastAsia="es-ES"/>
        </w:rPr>
      </w:pPr>
      <w:r w:rsidRPr="001D4025">
        <w:rPr>
          <w:rFonts w:asciiTheme="majorHAnsi" w:eastAsia="Times New Roman" w:hAnsiTheme="majorHAnsi"/>
          <w:color w:val="000000"/>
          <w:sz w:val="18"/>
          <w:szCs w:val="18"/>
          <w:u w:color="000000"/>
          <w:lang w:val="es-ES_tradnl" w:eastAsia="es-ES"/>
        </w:rPr>
        <w:t>ARTICULO 5° — El pago del beneficio importa la renuncia a todo derecho de indemnización por daños y perjuicios fundado en las causales previstas por esta ley y, es excluyente de todo otro beneficio o indemnización por el mismo concepto.</w:t>
      </w:r>
    </w:p>
    <w:p w14:paraId="200F4A03" w14:textId="77777777" w:rsidR="009929A6" w:rsidRPr="0007034B" w:rsidRDefault="008D0E42" w:rsidP="00712978">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firstLine="0"/>
        <w:jc w:val="both"/>
        <w:rPr>
          <w:rFonts w:asciiTheme="majorHAnsi" w:hAnsiTheme="majorHAnsi"/>
          <w:sz w:val="20"/>
          <w:szCs w:val="20"/>
        </w:rPr>
      </w:pPr>
      <w:r w:rsidRPr="0007034B">
        <w:rPr>
          <w:rFonts w:asciiTheme="majorHAnsi" w:hAnsiTheme="majorHAnsi"/>
          <w:sz w:val="20"/>
          <w:szCs w:val="20"/>
        </w:rPr>
        <w:t xml:space="preserve"> </w:t>
      </w:r>
    </w:p>
    <w:p w14:paraId="059720B2" w14:textId="77777777" w:rsidR="00E926B4" w:rsidRPr="0007034B" w:rsidRDefault="00E926B4"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r w:rsidRPr="0007034B">
        <w:rPr>
          <w:rFonts w:asciiTheme="majorHAnsi" w:hAnsiTheme="majorHAnsi"/>
          <w:sz w:val="20"/>
          <w:szCs w:val="20"/>
        </w:rPr>
        <w:t xml:space="preserve">La Ley </w:t>
      </w:r>
      <w:r w:rsidR="00485CA1" w:rsidRPr="0007034B">
        <w:rPr>
          <w:rFonts w:asciiTheme="majorHAnsi" w:hAnsiTheme="majorHAnsi"/>
          <w:sz w:val="20"/>
          <w:szCs w:val="20"/>
        </w:rPr>
        <w:t>26.679</w:t>
      </w:r>
      <w:r w:rsidRPr="0007034B">
        <w:rPr>
          <w:rFonts w:asciiTheme="majorHAnsi" w:hAnsiTheme="majorHAnsi"/>
          <w:sz w:val="20"/>
          <w:szCs w:val="20"/>
        </w:rPr>
        <w:t xml:space="preserve">, promulgada el </w:t>
      </w:r>
      <w:r w:rsidR="00485CA1" w:rsidRPr="0007034B">
        <w:rPr>
          <w:rFonts w:asciiTheme="majorHAnsi" w:hAnsiTheme="majorHAnsi"/>
          <w:sz w:val="20"/>
          <w:szCs w:val="20"/>
        </w:rPr>
        <w:t>5 de mayo de 2011</w:t>
      </w:r>
      <w:r w:rsidRPr="0007034B">
        <w:rPr>
          <w:rFonts w:asciiTheme="majorHAnsi" w:hAnsiTheme="majorHAnsi"/>
          <w:sz w:val="20"/>
          <w:szCs w:val="20"/>
        </w:rPr>
        <w:t>, establece:</w:t>
      </w:r>
    </w:p>
    <w:p w14:paraId="11CE0AB5" w14:textId="77777777" w:rsidR="00E926B4" w:rsidRPr="0007034B" w:rsidRDefault="00E926B4" w:rsidP="00485CA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firstLine="0"/>
        <w:jc w:val="both"/>
        <w:rPr>
          <w:rFonts w:asciiTheme="majorHAnsi" w:hAnsiTheme="majorHAnsi"/>
          <w:sz w:val="20"/>
          <w:szCs w:val="20"/>
        </w:rPr>
      </w:pPr>
    </w:p>
    <w:p w14:paraId="287D8484" w14:textId="77777777" w:rsidR="00485CA1" w:rsidRPr="001D4025" w:rsidRDefault="00485CA1" w:rsidP="00485CA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18"/>
          <w:szCs w:val="18"/>
          <w:u w:color="000000"/>
          <w:lang w:val="es-ES_tradnl" w:eastAsia="es-ES"/>
        </w:rPr>
      </w:pPr>
      <w:r w:rsidRPr="001D4025">
        <w:rPr>
          <w:rFonts w:asciiTheme="majorHAnsi" w:eastAsia="Times New Roman" w:hAnsiTheme="majorHAnsi"/>
          <w:color w:val="000000"/>
          <w:sz w:val="18"/>
          <w:szCs w:val="18"/>
          <w:u w:color="000000"/>
          <w:lang w:val="es-ES_tradnl" w:eastAsia="es-ES"/>
        </w:rPr>
        <w:t>ARTICULO 1º — Incorpórase como artículo 142 ter del Código Penal el siguiente texto:</w:t>
      </w:r>
    </w:p>
    <w:p w14:paraId="72518FB8" w14:textId="77777777" w:rsidR="00485CA1" w:rsidRPr="001D4025" w:rsidRDefault="00485CA1" w:rsidP="0007034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18"/>
          <w:szCs w:val="18"/>
          <w:u w:color="000000"/>
          <w:lang w:val="es-ES_tradnl" w:eastAsia="es-ES"/>
        </w:rPr>
      </w:pPr>
      <w:r w:rsidRPr="001D4025">
        <w:rPr>
          <w:rFonts w:asciiTheme="majorHAnsi" w:eastAsia="Times New Roman" w:hAnsiTheme="majorHAnsi"/>
          <w:color w:val="000000"/>
          <w:sz w:val="18"/>
          <w:szCs w:val="18"/>
          <w:u w:color="000000"/>
          <w:lang w:val="es-ES_tradnl" w:eastAsia="es-ES"/>
        </w:rPr>
        <w:t>Artículo 142 ter: Se impondrá prisión de DIEZ (10) a VEINTICINCO (25) años e inhabilitación absoluta y perpetua para el ejercicio de cualquier función pública y para tareas de seguridad privada, al funcionario público o a la persona o miembro de un grupo de personas que, actuando con la autorización, el apoyo o la aquiescencia del Estado, de cualquier forma, privare de la libertad a una o más personas, cuando este accionar fuera seguido de la falta de información o de la negativa a reconocer dicha privación de libertad o de informar sobre el paradero de la persona.</w:t>
      </w:r>
    </w:p>
    <w:p w14:paraId="3E0388E5" w14:textId="77777777" w:rsidR="00485CA1" w:rsidRPr="001D4025" w:rsidRDefault="00485CA1" w:rsidP="00485CA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18"/>
          <w:szCs w:val="18"/>
          <w:u w:color="000000"/>
          <w:lang w:val="es-ES_tradnl" w:eastAsia="es-ES"/>
        </w:rPr>
      </w:pPr>
      <w:r w:rsidRPr="001D4025">
        <w:rPr>
          <w:rFonts w:asciiTheme="majorHAnsi" w:eastAsia="Times New Roman" w:hAnsiTheme="majorHAnsi"/>
          <w:color w:val="000000"/>
          <w:sz w:val="18"/>
          <w:szCs w:val="18"/>
          <w:u w:color="000000"/>
          <w:lang w:val="es-ES_tradnl" w:eastAsia="es-ES"/>
        </w:rPr>
        <w:t>La pena será de prisión perpetua si resultare la muerte o si la víctima fuere una mujer embarazada, una persona menor de DIECIOCHO (18) años, una persona mayor de SETENTA (70) años o una persona con discapacidad. La misma pena se impondrá cuando la víctima sea una persona nacida durante la desaparición forzada de su madre.</w:t>
      </w:r>
    </w:p>
    <w:p w14:paraId="28A78732" w14:textId="77777777" w:rsidR="00485CA1" w:rsidRPr="001D4025" w:rsidRDefault="00485CA1" w:rsidP="00485CA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color w:val="000000"/>
          <w:sz w:val="18"/>
          <w:szCs w:val="18"/>
          <w:u w:color="000000"/>
          <w:lang w:val="es-ES_tradnl" w:eastAsia="es-ES"/>
        </w:rPr>
      </w:pPr>
      <w:r w:rsidRPr="001D4025">
        <w:rPr>
          <w:rFonts w:asciiTheme="majorHAnsi" w:eastAsia="Times New Roman" w:hAnsiTheme="majorHAnsi"/>
          <w:color w:val="000000"/>
          <w:sz w:val="18"/>
          <w:szCs w:val="18"/>
          <w:u w:color="000000"/>
          <w:lang w:val="es-ES_tradnl" w:eastAsia="es-ES"/>
        </w:rPr>
        <w:t>La escala penal prevista en el presente artículo podrá reducirse en un tercio del máximo y en la mitad del mínimo respecto de los autores o partícipes que liberen con vida a la víctima o proporcionen información que permita su efectiva aparición con vida.</w:t>
      </w:r>
    </w:p>
    <w:p w14:paraId="3DFA4003" w14:textId="77777777" w:rsidR="00E926B4" w:rsidRPr="0007034B" w:rsidRDefault="00E926B4" w:rsidP="00485CA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firstLine="0"/>
        <w:jc w:val="both"/>
        <w:rPr>
          <w:rFonts w:asciiTheme="majorHAnsi" w:hAnsiTheme="majorHAnsi"/>
          <w:sz w:val="20"/>
          <w:szCs w:val="20"/>
        </w:rPr>
      </w:pPr>
    </w:p>
    <w:p w14:paraId="44768B6E" w14:textId="77777777" w:rsidR="00564205" w:rsidRPr="0007034B" w:rsidRDefault="00564205"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r w:rsidRPr="0007034B">
        <w:rPr>
          <w:rFonts w:asciiTheme="majorHAnsi" w:hAnsiTheme="majorHAnsi"/>
          <w:sz w:val="20"/>
          <w:szCs w:val="20"/>
        </w:rPr>
        <w:t>El a</w:t>
      </w:r>
      <w:r w:rsidR="00EA3E35" w:rsidRPr="0007034B">
        <w:rPr>
          <w:rFonts w:asciiTheme="majorHAnsi" w:hAnsiTheme="majorHAnsi"/>
          <w:sz w:val="20"/>
          <w:szCs w:val="20"/>
        </w:rPr>
        <w:t>rtículo 280 del Código Procesal Civil y Comercial de la Nación</w:t>
      </w:r>
      <w:r w:rsidRPr="0007034B">
        <w:rPr>
          <w:rFonts w:asciiTheme="majorHAnsi" w:hAnsiTheme="majorHAnsi"/>
          <w:sz w:val="20"/>
          <w:szCs w:val="20"/>
        </w:rPr>
        <w:t xml:space="preserve"> que regula el recurso extraordinario ante la Corte Suprema de Justicia de la Nación establece:</w:t>
      </w:r>
    </w:p>
    <w:p w14:paraId="12CFDAB9" w14:textId="77777777" w:rsidR="00564205" w:rsidRPr="0007034B" w:rsidRDefault="00564205" w:rsidP="00564205">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rPr>
      </w:pPr>
    </w:p>
    <w:p w14:paraId="4B06A3ED" w14:textId="77777777" w:rsidR="00564205" w:rsidRPr="001D4025" w:rsidRDefault="00564205" w:rsidP="00564205">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firstLine="0"/>
        <w:jc w:val="both"/>
        <w:rPr>
          <w:rFonts w:asciiTheme="majorHAnsi" w:hAnsiTheme="majorHAnsi"/>
          <w:sz w:val="18"/>
          <w:szCs w:val="18"/>
        </w:rPr>
      </w:pPr>
      <w:r w:rsidRPr="001D4025">
        <w:rPr>
          <w:rFonts w:asciiTheme="majorHAnsi" w:hAnsiTheme="majorHAnsi"/>
          <w:sz w:val="18"/>
          <w:szCs w:val="18"/>
        </w:rPr>
        <w:lastRenderedPageBreak/>
        <w:t>Cuando la Corte Suprema conociere por recurso extraordinario, la recepción de la causa implicará el llamamiento de autos. La Corte, según su sana discreción, y con la sola invocación de esta norma, podrá rechazar el recurso extraordinario, por falta de agravio federal suficiente o cuando las cuestiones planteadas resultaren insustanciales o carentes de trascendencia.</w:t>
      </w:r>
    </w:p>
    <w:p w14:paraId="58CBA831" w14:textId="77777777" w:rsidR="00A857DA" w:rsidRPr="0007034B" w:rsidRDefault="00A857DA" w:rsidP="00A857DA">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rPr>
      </w:pPr>
    </w:p>
    <w:p w14:paraId="18004BA0" w14:textId="77777777" w:rsidR="00A857DA" w:rsidRPr="0007034B" w:rsidRDefault="00A857DA"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r w:rsidRPr="0007034B">
        <w:rPr>
          <w:rFonts w:asciiTheme="majorHAnsi" w:hAnsiTheme="majorHAnsi"/>
          <w:sz w:val="20"/>
          <w:szCs w:val="20"/>
        </w:rPr>
        <w:t xml:space="preserve">El 1 de agosto de 2015 entró en vigencia el Código Civil y Comercial de la Nación cuyo artículo 2561, último párrafo, establece que </w:t>
      </w:r>
      <w:r w:rsidR="0015597B" w:rsidRPr="0007034B">
        <w:rPr>
          <w:rFonts w:asciiTheme="majorHAnsi" w:hAnsiTheme="majorHAnsi"/>
          <w:sz w:val="20"/>
          <w:szCs w:val="20"/>
        </w:rPr>
        <w:t>“[l]as acciones civiles derivadas de delitos de lesa humanidad son imprescriptibles”. Asimismo, el artículo 2537, primer párrafo, de dicho Código establece que “[l]os plazos de prescripción en curso al momento de entrada en vigencia de una nueva ley se rigen por la ley anterior”.</w:t>
      </w:r>
    </w:p>
    <w:p w14:paraId="5E61FB36" w14:textId="77777777" w:rsidR="00564205" w:rsidRPr="0007034B" w:rsidRDefault="00564205" w:rsidP="00564205">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rPr>
      </w:pPr>
    </w:p>
    <w:p w14:paraId="6FEF2865" w14:textId="77777777" w:rsidR="007303D3" w:rsidRPr="007E73E1" w:rsidRDefault="0025031D" w:rsidP="00F84E88">
      <w:pPr>
        <w:pStyle w:val="Heading2"/>
      </w:pPr>
      <w:bookmarkStart w:id="32" w:name="_Toc6349152"/>
      <w:bookmarkStart w:id="33" w:name="_Toc6466645"/>
      <w:r w:rsidRPr="007E73E1">
        <w:t>S</w:t>
      </w:r>
      <w:r w:rsidR="007303D3" w:rsidRPr="007E73E1">
        <w:t xml:space="preserve">obre </w:t>
      </w:r>
      <w:r w:rsidR="003C3C62" w:rsidRPr="007E73E1">
        <w:t>la familia Julien - Grisonas</w:t>
      </w:r>
      <w:bookmarkEnd w:id="32"/>
      <w:bookmarkEnd w:id="33"/>
    </w:p>
    <w:p w14:paraId="44EDAC78" w14:textId="77777777" w:rsidR="007303D3" w:rsidRPr="0007034B" w:rsidRDefault="007303D3" w:rsidP="007303D3">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1440" w:firstLine="0"/>
        <w:jc w:val="both"/>
        <w:rPr>
          <w:rFonts w:asciiTheme="majorHAnsi" w:hAnsiTheme="majorHAnsi"/>
          <w:b/>
          <w:sz w:val="20"/>
          <w:szCs w:val="20"/>
        </w:rPr>
      </w:pPr>
    </w:p>
    <w:p w14:paraId="6CFE4225" w14:textId="3E40D52E" w:rsidR="0056360D" w:rsidRPr="0007034B" w:rsidRDefault="0025031D"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r w:rsidRPr="0007034B">
        <w:rPr>
          <w:rFonts w:asciiTheme="majorHAnsi" w:hAnsiTheme="majorHAnsi"/>
          <w:sz w:val="20"/>
          <w:szCs w:val="20"/>
        </w:rPr>
        <w:t xml:space="preserve">Según la información disponible, </w:t>
      </w:r>
      <w:r w:rsidR="00AD6DCD" w:rsidRPr="0007034B">
        <w:rPr>
          <w:rFonts w:asciiTheme="majorHAnsi" w:hAnsiTheme="majorHAnsi"/>
          <w:sz w:val="20"/>
          <w:szCs w:val="20"/>
        </w:rPr>
        <w:t xml:space="preserve">Mario Roger Julien </w:t>
      </w:r>
      <w:r w:rsidR="00265AE8" w:rsidRPr="0007034B">
        <w:rPr>
          <w:rFonts w:asciiTheme="majorHAnsi" w:hAnsiTheme="majorHAnsi"/>
          <w:sz w:val="20"/>
          <w:szCs w:val="20"/>
        </w:rPr>
        <w:t>Cáceres</w:t>
      </w:r>
      <w:r w:rsidR="00CC54F6" w:rsidRPr="0007034B">
        <w:rPr>
          <w:rFonts w:asciiTheme="majorHAnsi" w:hAnsiTheme="majorHAnsi"/>
          <w:sz w:val="20"/>
          <w:szCs w:val="20"/>
        </w:rPr>
        <w:t xml:space="preserve"> naci</w:t>
      </w:r>
      <w:r w:rsidRPr="0007034B">
        <w:rPr>
          <w:rFonts w:asciiTheme="majorHAnsi" w:hAnsiTheme="majorHAnsi"/>
          <w:sz w:val="20"/>
          <w:szCs w:val="20"/>
        </w:rPr>
        <w:t>ó</w:t>
      </w:r>
      <w:r w:rsidR="00AD6DCD" w:rsidRPr="0007034B">
        <w:rPr>
          <w:rFonts w:asciiTheme="majorHAnsi" w:hAnsiTheme="majorHAnsi"/>
          <w:sz w:val="20"/>
          <w:szCs w:val="20"/>
        </w:rPr>
        <w:t xml:space="preserve"> en Montevideo, Uruguay, el </w:t>
      </w:r>
      <w:r w:rsidR="00265AE8" w:rsidRPr="0007034B">
        <w:rPr>
          <w:rFonts w:asciiTheme="majorHAnsi" w:hAnsiTheme="majorHAnsi"/>
          <w:sz w:val="20"/>
          <w:szCs w:val="20"/>
        </w:rPr>
        <w:t>29 de abril de 1943</w:t>
      </w:r>
      <w:r w:rsidR="00CC54F6" w:rsidRPr="0007034B">
        <w:rPr>
          <w:rFonts w:asciiTheme="majorHAnsi" w:hAnsiTheme="majorHAnsi"/>
          <w:sz w:val="20"/>
          <w:szCs w:val="20"/>
        </w:rPr>
        <w:t xml:space="preserve">, </w:t>
      </w:r>
      <w:r w:rsidR="007512BD" w:rsidRPr="0007034B">
        <w:rPr>
          <w:rFonts w:asciiTheme="majorHAnsi" w:hAnsiTheme="majorHAnsi"/>
          <w:sz w:val="20"/>
          <w:szCs w:val="20"/>
        </w:rPr>
        <w:t>ciudad donde</w:t>
      </w:r>
      <w:r w:rsidRPr="0007034B">
        <w:rPr>
          <w:rFonts w:asciiTheme="majorHAnsi" w:hAnsiTheme="majorHAnsi"/>
          <w:sz w:val="20"/>
          <w:szCs w:val="20"/>
        </w:rPr>
        <w:t xml:space="preserve"> </w:t>
      </w:r>
      <w:r w:rsidR="006C6B70" w:rsidRPr="0007034B">
        <w:rPr>
          <w:rFonts w:asciiTheme="majorHAnsi" w:hAnsiTheme="majorHAnsi"/>
          <w:sz w:val="20"/>
          <w:szCs w:val="20"/>
        </w:rPr>
        <w:t>trabajaba como ceramista y obrero gráfico</w:t>
      </w:r>
      <w:r w:rsidR="00AD3CE0" w:rsidRPr="0007034B">
        <w:rPr>
          <w:rFonts w:asciiTheme="majorHAnsi" w:hAnsiTheme="majorHAnsi"/>
          <w:sz w:val="20"/>
          <w:szCs w:val="20"/>
        </w:rPr>
        <w:t>. Era además</w:t>
      </w:r>
      <w:r w:rsidR="00CC54F6" w:rsidRPr="0007034B">
        <w:rPr>
          <w:rFonts w:asciiTheme="majorHAnsi" w:hAnsiTheme="majorHAnsi"/>
          <w:sz w:val="20"/>
          <w:szCs w:val="20"/>
        </w:rPr>
        <w:t xml:space="preserve"> estudiante de la Escuela de Bellas Artes</w:t>
      </w:r>
      <w:r w:rsidR="00407ED4" w:rsidRPr="0007034B">
        <w:rPr>
          <w:rFonts w:asciiTheme="majorHAnsi" w:hAnsiTheme="majorHAnsi"/>
          <w:sz w:val="20"/>
          <w:szCs w:val="20"/>
        </w:rPr>
        <w:t xml:space="preserve"> y miembro del Sindicato de Artes Gráficas</w:t>
      </w:r>
      <w:r w:rsidR="00265AE8" w:rsidRPr="0007034B">
        <w:rPr>
          <w:rFonts w:asciiTheme="majorHAnsi" w:hAnsiTheme="majorHAnsi"/>
          <w:sz w:val="20"/>
          <w:szCs w:val="20"/>
        </w:rPr>
        <w:t xml:space="preserve">. </w:t>
      </w:r>
      <w:r w:rsidR="0056360D" w:rsidRPr="0007034B">
        <w:rPr>
          <w:rFonts w:asciiTheme="majorHAnsi" w:hAnsiTheme="majorHAnsi"/>
          <w:sz w:val="20"/>
          <w:szCs w:val="20"/>
        </w:rPr>
        <w:t xml:space="preserve">Debido a su militancia política en la FAU y en la OPR 33, </w:t>
      </w:r>
      <w:r w:rsidR="00DA221C" w:rsidRPr="0007034B">
        <w:rPr>
          <w:rFonts w:asciiTheme="majorHAnsi" w:hAnsiTheme="majorHAnsi"/>
          <w:sz w:val="20"/>
          <w:szCs w:val="20"/>
        </w:rPr>
        <w:t xml:space="preserve">en agosto de 1970 </w:t>
      </w:r>
      <w:r w:rsidR="0056360D" w:rsidRPr="0007034B">
        <w:rPr>
          <w:rFonts w:asciiTheme="majorHAnsi" w:hAnsiTheme="majorHAnsi"/>
          <w:sz w:val="20"/>
          <w:szCs w:val="20"/>
        </w:rPr>
        <w:t>fue</w:t>
      </w:r>
      <w:r w:rsidR="00DA221C" w:rsidRPr="0007034B">
        <w:rPr>
          <w:rFonts w:asciiTheme="majorHAnsi" w:hAnsiTheme="majorHAnsi"/>
          <w:sz w:val="20"/>
          <w:szCs w:val="20"/>
        </w:rPr>
        <w:t xml:space="preserve"> procesado por “actividades subversivas”</w:t>
      </w:r>
      <w:r w:rsidR="0056360D" w:rsidRPr="0007034B">
        <w:rPr>
          <w:rFonts w:asciiTheme="majorHAnsi" w:hAnsiTheme="majorHAnsi"/>
          <w:sz w:val="20"/>
          <w:szCs w:val="20"/>
        </w:rPr>
        <w:t xml:space="preserve"> </w:t>
      </w:r>
      <w:r w:rsidR="00DA221C" w:rsidRPr="0007034B">
        <w:rPr>
          <w:rFonts w:asciiTheme="majorHAnsi" w:hAnsiTheme="majorHAnsi"/>
          <w:sz w:val="20"/>
          <w:szCs w:val="20"/>
        </w:rPr>
        <w:t>y</w:t>
      </w:r>
      <w:r w:rsidR="0056360D" w:rsidRPr="0007034B">
        <w:rPr>
          <w:rFonts w:asciiTheme="majorHAnsi" w:hAnsiTheme="majorHAnsi"/>
          <w:sz w:val="20"/>
          <w:szCs w:val="20"/>
        </w:rPr>
        <w:t xml:space="preserve"> privado de la libertad en el Penal de Puntas Carretas en Montevideo, de donde se fugó en</w:t>
      </w:r>
      <w:r w:rsidR="00441561" w:rsidRPr="0007034B">
        <w:rPr>
          <w:rFonts w:asciiTheme="majorHAnsi" w:hAnsiTheme="majorHAnsi"/>
          <w:sz w:val="20"/>
          <w:szCs w:val="20"/>
        </w:rPr>
        <w:t xml:space="preserve"> septiembre de</w:t>
      </w:r>
      <w:r w:rsidR="0056360D" w:rsidRPr="0007034B">
        <w:rPr>
          <w:rFonts w:asciiTheme="majorHAnsi" w:hAnsiTheme="majorHAnsi"/>
          <w:sz w:val="20"/>
          <w:szCs w:val="20"/>
        </w:rPr>
        <w:t xml:space="preserve"> 1971 en el marco de una fuga masiva de militantes.</w:t>
      </w:r>
      <w:r w:rsidR="00441561" w:rsidRPr="0007034B">
        <w:rPr>
          <w:rFonts w:asciiTheme="majorHAnsi" w:hAnsiTheme="majorHAnsi"/>
          <w:sz w:val="20"/>
          <w:szCs w:val="20"/>
        </w:rPr>
        <w:t xml:space="preserve"> En 1973 </w:t>
      </w:r>
      <w:r w:rsidR="00DB4127" w:rsidRPr="0007034B">
        <w:rPr>
          <w:rFonts w:asciiTheme="majorHAnsi" w:hAnsiTheme="majorHAnsi"/>
          <w:sz w:val="20"/>
          <w:szCs w:val="20"/>
        </w:rPr>
        <w:t>obtuvo el estatuto de refugiado</w:t>
      </w:r>
      <w:r w:rsidR="00441561" w:rsidRPr="0007034B">
        <w:rPr>
          <w:rFonts w:asciiTheme="majorHAnsi" w:hAnsiTheme="majorHAnsi"/>
          <w:sz w:val="20"/>
          <w:szCs w:val="20"/>
        </w:rPr>
        <w:t xml:space="preserve"> </w:t>
      </w:r>
      <w:r w:rsidR="00CF2147" w:rsidRPr="0007034B">
        <w:rPr>
          <w:rFonts w:asciiTheme="majorHAnsi" w:hAnsiTheme="majorHAnsi"/>
          <w:sz w:val="20"/>
          <w:szCs w:val="20"/>
        </w:rPr>
        <w:t>de</w:t>
      </w:r>
      <w:r w:rsidR="008959E3" w:rsidRPr="0007034B">
        <w:rPr>
          <w:rFonts w:asciiTheme="majorHAnsi" w:hAnsiTheme="majorHAnsi"/>
          <w:sz w:val="20"/>
          <w:szCs w:val="20"/>
        </w:rPr>
        <w:t>l Alto Comisionado de las Naciones Unidas para los Refugiados (</w:t>
      </w:r>
      <w:r w:rsidR="00CF2147" w:rsidRPr="0007034B">
        <w:rPr>
          <w:rFonts w:asciiTheme="majorHAnsi" w:hAnsiTheme="majorHAnsi"/>
          <w:sz w:val="20"/>
          <w:szCs w:val="20"/>
        </w:rPr>
        <w:t>ACNUR</w:t>
      </w:r>
      <w:r w:rsidR="008959E3" w:rsidRPr="0007034B">
        <w:rPr>
          <w:rFonts w:asciiTheme="majorHAnsi" w:hAnsiTheme="majorHAnsi"/>
          <w:sz w:val="20"/>
          <w:szCs w:val="20"/>
        </w:rPr>
        <w:t>)</w:t>
      </w:r>
      <w:r w:rsidR="00CF2147" w:rsidRPr="0007034B">
        <w:rPr>
          <w:rFonts w:asciiTheme="majorHAnsi" w:hAnsiTheme="majorHAnsi"/>
          <w:sz w:val="20"/>
          <w:szCs w:val="20"/>
        </w:rPr>
        <w:t xml:space="preserve"> </w:t>
      </w:r>
      <w:r w:rsidR="00441561" w:rsidRPr="0007034B">
        <w:rPr>
          <w:rFonts w:asciiTheme="majorHAnsi" w:hAnsiTheme="majorHAnsi"/>
          <w:sz w:val="20"/>
          <w:szCs w:val="20"/>
        </w:rPr>
        <w:t>en la República Argentina por motivos políticos</w:t>
      </w:r>
      <w:r w:rsidR="00CF2147" w:rsidRPr="0007034B">
        <w:rPr>
          <w:rStyle w:val="FootnoteReference"/>
          <w:rFonts w:asciiTheme="majorHAnsi" w:hAnsiTheme="majorHAnsi"/>
          <w:sz w:val="20"/>
          <w:szCs w:val="20"/>
        </w:rPr>
        <w:footnoteReference w:id="31"/>
      </w:r>
      <w:r w:rsidR="00B46025" w:rsidRPr="0007034B">
        <w:rPr>
          <w:rFonts w:asciiTheme="majorHAnsi" w:hAnsiTheme="majorHAnsi"/>
          <w:sz w:val="20"/>
          <w:szCs w:val="20"/>
        </w:rPr>
        <w:t>.</w:t>
      </w:r>
      <w:r w:rsidR="00441561" w:rsidRPr="0007034B">
        <w:rPr>
          <w:rFonts w:asciiTheme="majorHAnsi" w:hAnsiTheme="majorHAnsi"/>
          <w:sz w:val="20"/>
          <w:szCs w:val="20"/>
        </w:rPr>
        <w:t xml:space="preserve"> </w:t>
      </w:r>
      <w:r w:rsidR="00F24850" w:rsidRPr="0007034B">
        <w:rPr>
          <w:rFonts w:asciiTheme="majorHAnsi" w:hAnsiTheme="majorHAnsi"/>
          <w:sz w:val="20"/>
          <w:szCs w:val="20"/>
        </w:rPr>
        <w:t>Trabajó en Buenos Aires como mecánico dental</w:t>
      </w:r>
      <w:r w:rsidR="00074F17" w:rsidRPr="0007034B">
        <w:rPr>
          <w:rStyle w:val="FootnoteReference"/>
          <w:rFonts w:asciiTheme="majorHAnsi" w:hAnsiTheme="majorHAnsi"/>
          <w:sz w:val="20"/>
          <w:szCs w:val="20"/>
        </w:rPr>
        <w:footnoteReference w:id="32"/>
      </w:r>
      <w:r w:rsidR="00B46025" w:rsidRPr="0007034B">
        <w:rPr>
          <w:rFonts w:asciiTheme="majorHAnsi" w:hAnsiTheme="majorHAnsi"/>
          <w:sz w:val="20"/>
          <w:szCs w:val="20"/>
        </w:rPr>
        <w:t>.</w:t>
      </w:r>
      <w:r w:rsidR="00F24850" w:rsidRPr="0007034B">
        <w:rPr>
          <w:rFonts w:asciiTheme="majorHAnsi" w:hAnsiTheme="majorHAnsi"/>
          <w:sz w:val="20"/>
          <w:szCs w:val="20"/>
        </w:rPr>
        <w:t xml:space="preserve"> </w:t>
      </w:r>
      <w:r w:rsidR="00AD3CE0" w:rsidRPr="0007034B">
        <w:rPr>
          <w:rFonts w:asciiTheme="majorHAnsi" w:hAnsiTheme="majorHAnsi"/>
          <w:sz w:val="20"/>
          <w:szCs w:val="20"/>
        </w:rPr>
        <w:t xml:space="preserve">Mario Julien perdió la vida en el marco de un operativo militar </w:t>
      </w:r>
      <w:r w:rsidR="005B01E9" w:rsidRPr="0007034B">
        <w:rPr>
          <w:rFonts w:asciiTheme="majorHAnsi" w:hAnsiTheme="majorHAnsi"/>
          <w:sz w:val="20"/>
          <w:szCs w:val="20"/>
        </w:rPr>
        <w:t xml:space="preserve">ocurrido </w:t>
      </w:r>
      <w:r w:rsidR="00AD3CE0" w:rsidRPr="0007034B">
        <w:rPr>
          <w:rFonts w:asciiTheme="majorHAnsi" w:hAnsiTheme="majorHAnsi"/>
          <w:sz w:val="20"/>
          <w:szCs w:val="20"/>
        </w:rPr>
        <w:t>el 26 de septiembre de 197</w:t>
      </w:r>
      <w:r w:rsidR="007369A1" w:rsidRPr="0007034B">
        <w:rPr>
          <w:rFonts w:asciiTheme="majorHAnsi" w:hAnsiTheme="majorHAnsi"/>
          <w:sz w:val="20"/>
          <w:szCs w:val="20"/>
        </w:rPr>
        <w:t>6</w:t>
      </w:r>
      <w:r w:rsidR="00AD3CE0" w:rsidRPr="0007034B">
        <w:rPr>
          <w:rFonts w:asciiTheme="majorHAnsi" w:hAnsiTheme="majorHAnsi"/>
          <w:sz w:val="20"/>
          <w:szCs w:val="20"/>
        </w:rPr>
        <w:t xml:space="preserve">, </w:t>
      </w:r>
      <w:r w:rsidR="00B444CE" w:rsidRPr="0007034B">
        <w:rPr>
          <w:rFonts w:asciiTheme="majorHAnsi" w:hAnsiTheme="majorHAnsi"/>
          <w:sz w:val="20"/>
          <w:szCs w:val="20"/>
        </w:rPr>
        <w:t>permaneciendo s</w:t>
      </w:r>
      <w:r w:rsidR="00AA6899" w:rsidRPr="0007034B">
        <w:rPr>
          <w:rFonts w:asciiTheme="majorHAnsi" w:hAnsiTheme="majorHAnsi"/>
          <w:sz w:val="20"/>
          <w:szCs w:val="20"/>
        </w:rPr>
        <w:t xml:space="preserve">us restos </w:t>
      </w:r>
      <w:r w:rsidR="00AD3CE0" w:rsidRPr="0007034B">
        <w:rPr>
          <w:rFonts w:asciiTheme="majorHAnsi" w:hAnsiTheme="majorHAnsi"/>
          <w:sz w:val="20"/>
          <w:szCs w:val="20"/>
        </w:rPr>
        <w:t xml:space="preserve">a la fecha </w:t>
      </w:r>
      <w:r w:rsidR="00B444CE" w:rsidRPr="0007034B">
        <w:rPr>
          <w:rFonts w:asciiTheme="majorHAnsi" w:hAnsiTheme="majorHAnsi"/>
          <w:sz w:val="20"/>
          <w:szCs w:val="20"/>
        </w:rPr>
        <w:t>desaparecidos</w:t>
      </w:r>
      <w:r w:rsidR="00033B4A" w:rsidRPr="0007034B">
        <w:rPr>
          <w:rStyle w:val="FootnoteReference"/>
          <w:rFonts w:asciiTheme="majorHAnsi" w:hAnsiTheme="majorHAnsi"/>
          <w:sz w:val="20"/>
          <w:szCs w:val="20"/>
        </w:rPr>
        <w:footnoteReference w:id="33"/>
      </w:r>
      <w:r w:rsidR="00B46025" w:rsidRPr="0007034B">
        <w:rPr>
          <w:rFonts w:asciiTheme="majorHAnsi" w:hAnsiTheme="majorHAnsi"/>
          <w:sz w:val="20"/>
          <w:szCs w:val="20"/>
        </w:rPr>
        <w:t>.</w:t>
      </w:r>
      <w:r w:rsidR="00AD3CE0" w:rsidRPr="0007034B">
        <w:rPr>
          <w:rFonts w:asciiTheme="majorHAnsi" w:hAnsiTheme="majorHAnsi"/>
          <w:sz w:val="20"/>
          <w:szCs w:val="20"/>
        </w:rPr>
        <w:t xml:space="preserve"> </w:t>
      </w:r>
    </w:p>
    <w:p w14:paraId="713C7B60" w14:textId="77777777" w:rsidR="0056360D" w:rsidRPr="0007034B" w:rsidRDefault="0056360D" w:rsidP="0056360D">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rPr>
      </w:pPr>
    </w:p>
    <w:p w14:paraId="38560E7B" w14:textId="7F2DBF63" w:rsidR="00F10E3E" w:rsidRPr="0007034B" w:rsidRDefault="0056360D"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b/>
          <w:sz w:val="20"/>
          <w:szCs w:val="20"/>
        </w:rPr>
      </w:pPr>
      <w:r w:rsidRPr="0007034B">
        <w:rPr>
          <w:rFonts w:asciiTheme="majorHAnsi" w:hAnsiTheme="majorHAnsi"/>
          <w:sz w:val="20"/>
          <w:szCs w:val="20"/>
        </w:rPr>
        <w:t>Victoria Lucía Grisonas</w:t>
      </w:r>
      <w:r w:rsidR="00C629CB" w:rsidRPr="0007034B">
        <w:rPr>
          <w:rFonts w:asciiTheme="majorHAnsi" w:hAnsiTheme="majorHAnsi"/>
          <w:sz w:val="20"/>
          <w:szCs w:val="20"/>
        </w:rPr>
        <w:t xml:space="preserve"> Andrijauskaite</w:t>
      </w:r>
      <w:r w:rsidRPr="0007034B">
        <w:rPr>
          <w:rFonts w:asciiTheme="majorHAnsi" w:hAnsiTheme="majorHAnsi"/>
          <w:sz w:val="20"/>
          <w:szCs w:val="20"/>
        </w:rPr>
        <w:t xml:space="preserve"> naci</w:t>
      </w:r>
      <w:r w:rsidR="00F963A6" w:rsidRPr="0007034B">
        <w:rPr>
          <w:rFonts w:asciiTheme="majorHAnsi" w:hAnsiTheme="majorHAnsi"/>
          <w:sz w:val="20"/>
          <w:szCs w:val="20"/>
        </w:rPr>
        <w:t>ó</w:t>
      </w:r>
      <w:r w:rsidRPr="0007034B">
        <w:rPr>
          <w:rFonts w:asciiTheme="majorHAnsi" w:hAnsiTheme="majorHAnsi"/>
          <w:sz w:val="20"/>
          <w:szCs w:val="20"/>
        </w:rPr>
        <w:t xml:space="preserve"> en Buenos Aires, Argentina, el 16 de abril de 1945</w:t>
      </w:r>
      <w:r w:rsidR="00AA6899" w:rsidRPr="0007034B">
        <w:rPr>
          <w:rFonts w:asciiTheme="majorHAnsi" w:hAnsiTheme="majorHAnsi"/>
          <w:sz w:val="20"/>
          <w:szCs w:val="20"/>
        </w:rPr>
        <w:t xml:space="preserve"> y posteriormente obtuvo la ciudadanía uruguaya por naturalización</w:t>
      </w:r>
      <w:r w:rsidR="008A5A4E" w:rsidRPr="0007034B">
        <w:rPr>
          <w:rFonts w:asciiTheme="majorHAnsi" w:hAnsiTheme="majorHAnsi"/>
          <w:sz w:val="20"/>
          <w:szCs w:val="20"/>
        </w:rPr>
        <w:t xml:space="preserve">. </w:t>
      </w:r>
      <w:r w:rsidR="00AA6899" w:rsidRPr="0007034B">
        <w:rPr>
          <w:rFonts w:asciiTheme="majorHAnsi" w:hAnsiTheme="majorHAnsi"/>
          <w:sz w:val="20"/>
          <w:szCs w:val="20"/>
        </w:rPr>
        <w:t>Era h</w:t>
      </w:r>
      <w:r w:rsidR="008A5A4E" w:rsidRPr="0007034B">
        <w:rPr>
          <w:rFonts w:asciiTheme="majorHAnsi" w:hAnsiTheme="majorHAnsi"/>
          <w:sz w:val="20"/>
          <w:szCs w:val="20"/>
        </w:rPr>
        <w:t xml:space="preserve">ija de Anatolio Grisonas, Encargado de Negocios de la Legación de Lituania </w:t>
      </w:r>
      <w:r w:rsidR="00DA221C" w:rsidRPr="0007034B">
        <w:rPr>
          <w:rFonts w:asciiTheme="majorHAnsi" w:hAnsiTheme="majorHAnsi"/>
          <w:sz w:val="20"/>
          <w:szCs w:val="20"/>
        </w:rPr>
        <w:t>en</w:t>
      </w:r>
      <w:r w:rsidR="008A5A4E" w:rsidRPr="0007034B">
        <w:rPr>
          <w:rFonts w:asciiTheme="majorHAnsi" w:hAnsiTheme="majorHAnsi"/>
          <w:sz w:val="20"/>
          <w:szCs w:val="20"/>
        </w:rPr>
        <w:t xml:space="preserve"> Urugu</w:t>
      </w:r>
      <w:r w:rsidR="00DA221C" w:rsidRPr="0007034B">
        <w:rPr>
          <w:rFonts w:asciiTheme="majorHAnsi" w:hAnsiTheme="majorHAnsi"/>
          <w:sz w:val="20"/>
          <w:szCs w:val="20"/>
        </w:rPr>
        <w:t>a</w:t>
      </w:r>
      <w:r w:rsidR="008A5A4E" w:rsidRPr="0007034B">
        <w:rPr>
          <w:rFonts w:asciiTheme="majorHAnsi" w:hAnsiTheme="majorHAnsi"/>
          <w:sz w:val="20"/>
          <w:szCs w:val="20"/>
        </w:rPr>
        <w:t>y</w:t>
      </w:r>
      <w:r w:rsidRPr="0007034B">
        <w:rPr>
          <w:rFonts w:asciiTheme="majorHAnsi" w:hAnsiTheme="majorHAnsi"/>
          <w:sz w:val="20"/>
          <w:szCs w:val="20"/>
        </w:rPr>
        <w:t xml:space="preserve">, </w:t>
      </w:r>
      <w:r w:rsidR="00AA6899" w:rsidRPr="0007034B">
        <w:rPr>
          <w:rFonts w:asciiTheme="majorHAnsi" w:hAnsiTheme="majorHAnsi"/>
          <w:sz w:val="20"/>
          <w:szCs w:val="20"/>
        </w:rPr>
        <w:t>y</w:t>
      </w:r>
      <w:r w:rsidR="00787E47" w:rsidRPr="0007034B">
        <w:rPr>
          <w:rFonts w:asciiTheme="majorHAnsi" w:hAnsiTheme="majorHAnsi"/>
          <w:sz w:val="20"/>
          <w:szCs w:val="20"/>
        </w:rPr>
        <w:t xml:space="preserve"> de</w:t>
      </w:r>
      <w:r w:rsidR="00AA6899" w:rsidRPr="0007034B">
        <w:rPr>
          <w:rFonts w:asciiTheme="majorHAnsi" w:hAnsiTheme="majorHAnsi"/>
          <w:sz w:val="20"/>
          <w:szCs w:val="20"/>
        </w:rPr>
        <w:t xml:space="preserve"> Lucía Andrijauskaite. Victoria Grisonas</w:t>
      </w:r>
      <w:r w:rsidR="004D6BE0" w:rsidRPr="0007034B">
        <w:rPr>
          <w:rFonts w:asciiTheme="majorHAnsi" w:hAnsiTheme="majorHAnsi"/>
          <w:sz w:val="20"/>
          <w:szCs w:val="20"/>
        </w:rPr>
        <w:t xml:space="preserve"> se </w:t>
      </w:r>
      <w:r w:rsidR="00F10E3E" w:rsidRPr="0007034B">
        <w:rPr>
          <w:rFonts w:asciiTheme="majorHAnsi" w:hAnsiTheme="majorHAnsi"/>
          <w:sz w:val="20"/>
          <w:szCs w:val="20"/>
        </w:rPr>
        <w:t>casó</w:t>
      </w:r>
      <w:r w:rsidR="00AA6899" w:rsidRPr="0007034B">
        <w:rPr>
          <w:rFonts w:asciiTheme="majorHAnsi" w:hAnsiTheme="majorHAnsi"/>
          <w:sz w:val="20"/>
          <w:szCs w:val="20"/>
        </w:rPr>
        <w:t xml:space="preserve"> en Uruguay</w:t>
      </w:r>
      <w:r w:rsidR="00F10E3E" w:rsidRPr="0007034B">
        <w:rPr>
          <w:rFonts w:asciiTheme="majorHAnsi" w:hAnsiTheme="majorHAnsi"/>
          <w:sz w:val="20"/>
          <w:szCs w:val="20"/>
        </w:rPr>
        <w:t xml:space="preserve"> con Mario Juli</w:t>
      </w:r>
      <w:r w:rsidR="00B82AB7" w:rsidRPr="0007034B">
        <w:rPr>
          <w:rFonts w:asciiTheme="majorHAnsi" w:hAnsiTheme="majorHAnsi"/>
          <w:sz w:val="20"/>
          <w:szCs w:val="20"/>
        </w:rPr>
        <w:t>e</w:t>
      </w:r>
      <w:r w:rsidR="00F10E3E" w:rsidRPr="0007034B">
        <w:rPr>
          <w:rFonts w:asciiTheme="majorHAnsi" w:hAnsiTheme="majorHAnsi"/>
          <w:sz w:val="20"/>
          <w:szCs w:val="20"/>
        </w:rPr>
        <w:t>n</w:t>
      </w:r>
      <w:r w:rsidR="00B6000A" w:rsidRPr="0007034B">
        <w:rPr>
          <w:rFonts w:asciiTheme="majorHAnsi" w:hAnsiTheme="majorHAnsi"/>
          <w:sz w:val="20"/>
          <w:szCs w:val="20"/>
        </w:rPr>
        <w:t xml:space="preserve">. </w:t>
      </w:r>
      <w:r w:rsidR="00F10E3E" w:rsidRPr="0007034B">
        <w:rPr>
          <w:rFonts w:asciiTheme="majorHAnsi" w:hAnsiTheme="majorHAnsi"/>
          <w:sz w:val="20"/>
          <w:szCs w:val="20"/>
        </w:rPr>
        <w:t xml:space="preserve">El 1 de agosto de 1970 fue </w:t>
      </w:r>
      <w:r w:rsidR="00787E47" w:rsidRPr="0007034B">
        <w:rPr>
          <w:rFonts w:asciiTheme="majorHAnsi" w:hAnsiTheme="majorHAnsi"/>
          <w:sz w:val="20"/>
          <w:szCs w:val="20"/>
        </w:rPr>
        <w:t>detenida</w:t>
      </w:r>
      <w:r w:rsidR="00F10E3E" w:rsidRPr="0007034B">
        <w:rPr>
          <w:rFonts w:asciiTheme="majorHAnsi" w:hAnsiTheme="majorHAnsi"/>
          <w:sz w:val="20"/>
          <w:szCs w:val="20"/>
        </w:rPr>
        <w:t xml:space="preserve"> junto con su esposo por “actividades subversivas” y en el marco de las Medidas Prontas de Seguridad fue internada en la Escuela de Nurses “Dr. Carlos Nery”.</w:t>
      </w:r>
      <w:r w:rsidR="00441561" w:rsidRPr="0007034B">
        <w:rPr>
          <w:rFonts w:asciiTheme="majorHAnsi" w:hAnsiTheme="majorHAnsi"/>
          <w:sz w:val="20"/>
          <w:szCs w:val="20"/>
        </w:rPr>
        <w:t xml:space="preserve"> En 1974  Victoria Grisonas se reunió con su marido en la ciudad de Buenos Aires.</w:t>
      </w:r>
      <w:r w:rsidR="00033B4A" w:rsidRPr="0007034B">
        <w:rPr>
          <w:rFonts w:asciiTheme="majorHAnsi" w:hAnsiTheme="majorHAnsi"/>
          <w:sz w:val="20"/>
          <w:szCs w:val="20"/>
        </w:rPr>
        <w:t xml:space="preserve"> Fue detenida en el marco del operativo militar </w:t>
      </w:r>
      <w:r w:rsidR="0025031D" w:rsidRPr="0007034B">
        <w:rPr>
          <w:rFonts w:asciiTheme="majorHAnsi" w:hAnsiTheme="majorHAnsi"/>
          <w:sz w:val="20"/>
          <w:szCs w:val="20"/>
        </w:rPr>
        <w:t>realizado</w:t>
      </w:r>
      <w:r w:rsidR="00033B4A" w:rsidRPr="0007034B">
        <w:rPr>
          <w:rFonts w:asciiTheme="majorHAnsi" w:hAnsiTheme="majorHAnsi"/>
          <w:sz w:val="20"/>
          <w:szCs w:val="20"/>
        </w:rPr>
        <w:t xml:space="preserve"> el 26 de septiembre de 197</w:t>
      </w:r>
      <w:r w:rsidR="007369A1" w:rsidRPr="0007034B">
        <w:rPr>
          <w:rFonts w:asciiTheme="majorHAnsi" w:hAnsiTheme="majorHAnsi"/>
          <w:sz w:val="20"/>
          <w:szCs w:val="20"/>
        </w:rPr>
        <w:t>6</w:t>
      </w:r>
      <w:r w:rsidR="00F24850" w:rsidRPr="0007034B">
        <w:rPr>
          <w:rFonts w:asciiTheme="majorHAnsi" w:hAnsiTheme="majorHAnsi"/>
          <w:sz w:val="20"/>
          <w:szCs w:val="20"/>
        </w:rPr>
        <w:t xml:space="preserve"> y llevada a “Orletti”, permaneciendo a la fecha desaparecida</w:t>
      </w:r>
      <w:r w:rsidR="00F10E3E" w:rsidRPr="0007034B">
        <w:rPr>
          <w:rStyle w:val="FootnoteReference"/>
          <w:rFonts w:asciiTheme="majorHAnsi" w:hAnsiTheme="majorHAnsi"/>
          <w:sz w:val="20"/>
          <w:szCs w:val="20"/>
        </w:rPr>
        <w:footnoteReference w:id="34"/>
      </w:r>
      <w:r w:rsidR="00F40182" w:rsidRPr="0007034B">
        <w:rPr>
          <w:rFonts w:asciiTheme="majorHAnsi" w:hAnsiTheme="majorHAnsi"/>
          <w:sz w:val="20"/>
          <w:szCs w:val="20"/>
        </w:rPr>
        <w:t>.</w:t>
      </w:r>
      <w:r w:rsidR="00F10E3E" w:rsidRPr="0007034B">
        <w:rPr>
          <w:rFonts w:asciiTheme="majorHAnsi" w:hAnsiTheme="majorHAnsi"/>
          <w:sz w:val="20"/>
          <w:szCs w:val="20"/>
        </w:rPr>
        <w:t xml:space="preserve"> </w:t>
      </w:r>
    </w:p>
    <w:p w14:paraId="58766138" w14:textId="77777777" w:rsidR="00F10E3E" w:rsidRPr="0007034B" w:rsidRDefault="00F10E3E" w:rsidP="00F10E3E">
      <w:pPr>
        <w:pStyle w:val="ListParagraph"/>
        <w:rPr>
          <w:rFonts w:asciiTheme="majorHAnsi" w:hAnsiTheme="majorHAnsi"/>
          <w:sz w:val="20"/>
          <w:szCs w:val="20"/>
          <w:lang w:val="es-ES"/>
        </w:rPr>
      </w:pPr>
    </w:p>
    <w:p w14:paraId="507C87B2" w14:textId="35D3EFF6" w:rsidR="007303D3" w:rsidRPr="0007034B" w:rsidRDefault="00F10E3E"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b/>
          <w:sz w:val="20"/>
          <w:szCs w:val="20"/>
        </w:rPr>
      </w:pPr>
      <w:r w:rsidRPr="0007034B">
        <w:rPr>
          <w:rFonts w:asciiTheme="majorHAnsi" w:hAnsiTheme="majorHAnsi"/>
          <w:sz w:val="20"/>
          <w:szCs w:val="20"/>
          <w:lang w:val="es-ES"/>
        </w:rPr>
        <w:t xml:space="preserve">Anatole Boris Julien Grisonas, hijo de Mario Julien y Victoria Grisonas, nació en Montevideo </w:t>
      </w:r>
      <w:r w:rsidR="005C2B3A" w:rsidRPr="0007034B">
        <w:rPr>
          <w:rFonts w:asciiTheme="majorHAnsi" w:hAnsiTheme="majorHAnsi"/>
          <w:sz w:val="20"/>
          <w:szCs w:val="20"/>
          <w:lang w:val="es-ES"/>
        </w:rPr>
        <w:t>e</w:t>
      </w:r>
      <w:r w:rsidR="004619DE" w:rsidRPr="0007034B">
        <w:rPr>
          <w:rFonts w:asciiTheme="majorHAnsi" w:hAnsiTheme="majorHAnsi"/>
          <w:sz w:val="20"/>
          <w:szCs w:val="20"/>
          <w:lang w:val="es-ES"/>
        </w:rPr>
        <w:t>l 25 de</w:t>
      </w:r>
      <w:r w:rsidR="00B6000A" w:rsidRPr="0007034B">
        <w:rPr>
          <w:rFonts w:asciiTheme="majorHAnsi" w:hAnsiTheme="majorHAnsi"/>
          <w:sz w:val="20"/>
          <w:szCs w:val="20"/>
        </w:rPr>
        <w:t xml:space="preserve"> septiembre de 1972. </w:t>
      </w:r>
      <w:r w:rsidR="00441561" w:rsidRPr="0007034B">
        <w:rPr>
          <w:rFonts w:asciiTheme="majorHAnsi" w:hAnsiTheme="majorHAnsi"/>
          <w:sz w:val="20"/>
          <w:szCs w:val="20"/>
        </w:rPr>
        <w:t>En 1974 emigró junto a su madre a la ciudad de Buenos Aires</w:t>
      </w:r>
      <w:r w:rsidR="00AA6899" w:rsidRPr="0007034B">
        <w:rPr>
          <w:rFonts w:asciiTheme="majorHAnsi" w:hAnsiTheme="majorHAnsi"/>
          <w:sz w:val="20"/>
          <w:szCs w:val="20"/>
        </w:rPr>
        <w:t>. Victoria Eva Julien Grisonas</w:t>
      </w:r>
      <w:r w:rsidR="007369A1" w:rsidRPr="0007034B">
        <w:rPr>
          <w:rFonts w:asciiTheme="majorHAnsi" w:hAnsiTheme="majorHAnsi"/>
          <w:sz w:val="20"/>
          <w:szCs w:val="20"/>
        </w:rPr>
        <w:t>,</w:t>
      </w:r>
      <w:r w:rsidR="00AA6899" w:rsidRPr="0007034B">
        <w:rPr>
          <w:rFonts w:asciiTheme="majorHAnsi" w:hAnsiTheme="majorHAnsi"/>
          <w:sz w:val="20"/>
          <w:szCs w:val="20"/>
        </w:rPr>
        <w:t xml:space="preserve"> </w:t>
      </w:r>
      <w:r w:rsidR="0025031D" w:rsidRPr="0007034B">
        <w:rPr>
          <w:rFonts w:asciiTheme="majorHAnsi" w:hAnsiTheme="majorHAnsi"/>
          <w:sz w:val="20"/>
          <w:szCs w:val="20"/>
        </w:rPr>
        <w:t xml:space="preserve">segunda hija del matrimonio Julien-Grisonas, </w:t>
      </w:r>
      <w:r w:rsidR="00AA6899" w:rsidRPr="0007034B">
        <w:rPr>
          <w:rFonts w:asciiTheme="majorHAnsi" w:hAnsiTheme="majorHAnsi"/>
          <w:sz w:val="20"/>
          <w:szCs w:val="20"/>
        </w:rPr>
        <w:t xml:space="preserve">nació en Buenos Aires el </w:t>
      </w:r>
      <w:r w:rsidR="007369A1" w:rsidRPr="0007034B">
        <w:rPr>
          <w:rFonts w:asciiTheme="majorHAnsi" w:hAnsiTheme="majorHAnsi"/>
          <w:sz w:val="20"/>
          <w:szCs w:val="20"/>
        </w:rPr>
        <w:t>7 de mayo de 1975. Ambos hermanos fueron detenidos junto a su madre en el operativo del 26 de septiembre de 1976, llevados a “Orletti”</w:t>
      </w:r>
      <w:r w:rsidR="00E6243F" w:rsidRPr="0007034B">
        <w:rPr>
          <w:rFonts w:asciiTheme="majorHAnsi" w:hAnsiTheme="majorHAnsi"/>
          <w:sz w:val="20"/>
          <w:szCs w:val="20"/>
        </w:rPr>
        <w:t xml:space="preserve"> </w:t>
      </w:r>
      <w:r w:rsidR="007369A1" w:rsidRPr="0007034B">
        <w:rPr>
          <w:rFonts w:asciiTheme="majorHAnsi" w:hAnsiTheme="majorHAnsi"/>
          <w:sz w:val="20"/>
          <w:szCs w:val="20"/>
        </w:rPr>
        <w:t>y luego trasladados clandestinamente a Uruguay y posteriormente a Chile, donde fueron abandonados en la Plaza O´Higgins de Valparaíso el 22 de diciembre de 1976</w:t>
      </w:r>
      <w:r w:rsidR="00441561" w:rsidRPr="0007034B">
        <w:rPr>
          <w:rFonts w:asciiTheme="majorHAnsi" w:hAnsiTheme="majorHAnsi"/>
          <w:sz w:val="20"/>
          <w:szCs w:val="20"/>
        </w:rPr>
        <w:t>.</w:t>
      </w:r>
      <w:r w:rsidR="007369A1" w:rsidRPr="0007034B">
        <w:rPr>
          <w:rFonts w:asciiTheme="majorHAnsi" w:hAnsiTheme="majorHAnsi"/>
          <w:sz w:val="20"/>
          <w:szCs w:val="20"/>
        </w:rPr>
        <w:t xml:space="preserve"> Luego de pasar por un orfanato, fueron adoptados en 1979 por el matrimonio </w:t>
      </w:r>
      <w:r w:rsidR="00872936" w:rsidRPr="0007034B">
        <w:rPr>
          <w:rFonts w:asciiTheme="majorHAnsi" w:hAnsiTheme="majorHAnsi"/>
          <w:sz w:val="20"/>
          <w:szCs w:val="20"/>
        </w:rPr>
        <w:t xml:space="preserve">chileno </w:t>
      </w:r>
      <w:r w:rsidR="007369A1" w:rsidRPr="0007034B">
        <w:rPr>
          <w:rFonts w:asciiTheme="majorHAnsi" w:hAnsiTheme="majorHAnsi"/>
          <w:sz w:val="20"/>
          <w:szCs w:val="20"/>
        </w:rPr>
        <w:t xml:space="preserve">constituido por Jesús Larrabeiti y </w:t>
      </w:r>
      <w:r w:rsidR="00872936" w:rsidRPr="0007034B">
        <w:rPr>
          <w:rFonts w:asciiTheme="majorHAnsi" w:hAnsiTheme="majorHAnsi"/>
          <w:sz w:val="20"/>
          <w:szCs w:val="20"/>
          <w:lang w:val="es-AR"/>
        </w:rPr>
        <w:t>Silvia Yáñez</w:t>
      </w:r>
      <w:r w:rsidR="001555EE" w:rsidRPr="0007034B">
        <w:rPr>
          <w:rFonts w:asciiTheme="majorHAnsi" w:hAnsiTheme="majorHAnsi"/>
          <w:sz w:val="20"/>
          <w:szCs w:val="20"/>
          <w:lang w:val="es-AR"/>
        </w:rPr>
        <w:t xml:space="preserve"> siendo registrados como Anatole Alejandro y Claudia Victoria Larrabeiti Yáñez</w:t>
      </w:r>
      <w:r w:rsidR="00872936" w:rsidRPr="0007034B">
        <w:rPr>
          <w:rFonts w:asciiTheme="majorHAnsi" w:hAnsiTheme="majorHAnsi"/>
          <w:sz w:val="20"/>
          <w:szCs w:val="20"/>
          <w:lang w:val="es-AR"/>
        </w:rPr>
        <w:t xml:space="preserve">. Ese mismo año la abuela biológica paterna dio con el paradero de los hermanos, quienes si bien permanecieron con su familia adoptiva, </w:t>
      </w:r>
      <w:r w:rsidR="00872936" w:rsidRPr="0007034B">
        <w:rPr>
          <w:rFonts w:asciiTheme="majorHAnsi" w:hAnsiTheme="majorHAnsi"/>
          <w:sz w:val="20"/>
          <w:szCs w:val="20"/>
          <w:lang w:val="es-AR"/>
        </w:rPr>
        <w:lastRenderedPageBreak/>
        <w:t>recobraron su identidad y los vínculos con la familia biológica</w:t>
      </w:r>
      <w:r w:rsidR="005E22FA" w:rsidRPr="0007034B">
        <w:rPr>
          <w:rStyle w:val="FootnoteReference"/>
          <w:rFonts w:asciiTheme="majorHAnsi" w:hAnsiTheme="majorHAnsi"/>
          <w:sz w:val="20"/>
          <w:szCs w:val="20"/>
          <w:lang w:val="es-AR"/>
        </w:rPr>
        <w:footnoteReference w:id="35"/>
      </w:r>
      <w:r w:rsidR="00B97C2B" w:rsidRPr="0007034B">
        <w:rPr>
          <w:rFonts w:asciiTheme="majorHAnsi" w:hAnsiTheme="majorHAnsi"/>
          <w:sz w:val="20"/>
          <w:szCs w:val="20"/>
          <w:lang w:val="es-AR"/>
        </w:rPr>
        <w:t>.</w:t>
      </w:r>
      <w:r w:rsidR="00872936" w:rsidRPr="0007034B">
        <w:rPr>
          <w:rFonts w:asciiTheme="majorHAnsi" w:hAnsiTheme="majorHAnsi"/>
          <w:sz w:val="20"/>
          <w:szCs w:val="20"/>
          <w:lang w:val="es-AR"/>
        </w:rPr>
        <w:t xml:space="preserve"> Anatole y Victoria viven actualmente en Chile donde ejercen las profesiones de fiscal y psicóloga respectivamente</w:t>
      </w:r>
      <w:r w:rsidR="0049717B" w:rsidRPr="0007034B">
        <w:rPr>
          <w:rStyle w:val="FootnoteReference"/>
          <w:rFonts w:asciiTheme="majorHAnsi" w:hAnsiTheme="majorHAnsi"/>
          <w:sz w:val="20"/>
          <w:szCs w:val="20"/>
          <w:lang w:val="es-AR"/>
        </w:rPr>
        <w:footnoteReference w:id="36"/>
      </w:r>
      <w:r w:rsidR="00B97C2B" w:rsidRPr="0007034B">
        <w:rPr>
          <w:rFonts w:asciiTheme="majorHAnsi" w:hAnsiTheme="majorHAnsi"/>
          <w:sz w:val="20"/>
          <w:szCs w:val="20"/>
          <w:lang w:val="es-AR"/>
        </w:rPr>
        <w:t>.</w:t>
      </w:r>
      <w:r w:rsidR="00872936" w:rsidRPr="0007034B">
        <w:rPr>
          <w:rFonts w:asciiTheme="majorHAnsi" w:hAnsiTheme="majorHAnsi"/>
          <w:sz w:val="20"/>
          <w:szCs w:val="20"/>
          <w:lang w:val="es-AR"/>
        </w:rPr>
        <w:t xml:space="preserve"> </w:t>
      </w:r>
    </w:p>
    <w:p w14:paraId="546E9626" w14:textId="77777777" w:rsidR="00AA3F67" w:rsidRPr="0007034B" w:rsidRDefault="00AA3F67" w:rsidP="00AA3F67">
      <w:pPr>
        <w:pStyle w:val="ListParagraph"/>
        <w:rPr>
          <w:rFonts w:asciiTheme="majorHAnsi" w:hAnsiTheme="majorHAnsi"/>
          <w:b/>
          <w:sz w:val="20"/>
          <w:szCs w:val="20"/>
          <w:lang w:val="es-ES"/>
        </w:rPr>
      </w:pPr>
    </w:p>
    <w:p w14:paraId="31830B85" w14:textId="77777777" w:rsidR="00097398" w:rsidRPr="0007034B" w:rsidRDefault="00097398" w:rsidP="00F84E88">
      <w:pPr>
        <w:pStyle w:val="Heading2"/>
      </w:pPr>
      <w:bookmarkStart w:id="34" w:name="_Toc6349153"/>
      <w:bookmarkStart w:id="35" w:name="_Toc6466646"/>
      <w:r w:rsidRPr="0007034B">
        <w:t>Hechos del caso</w:t>
      </w:r>
      <w:bookmarkEnd w:id="34"/>
      <w:bookmarkEnd w:id="35"/>
    </w:p>
    <w:p w14:paraId="0B5DAD62" w14:textId="77777777" w:rsidR="00097398" w:rsidRPr="0007034B" w:rsidRDefault="00097398" w:rsidP="00097398">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b/>
          <w:sz w:val="20"/>
          <w:szCs w:val="20"/>
        </w:rPr>
      </w:pPr>
    </w:p>
    <w:p w14:paraId="23D147B1" w14:textId="4F71E6C2" w:rsidR="00215995" w:rsidRPr="007E73E1" w:rsidRDefault="007303D3" w:rsidP="00B14871">
      <w:pPr>
        <w:pStyle w:val="Heading3"/>
        <w:numPr>
          <w:ilvl w:val="0"/>
          <w:numId w:val="66"/>
        </w:numPr>
        <w:ind w:hanging="720"/>
      </w:pPr>
      <w:bookmarkStart w:id="36" w:name="_Toc6349154"/>
      <w:bookmarkStart w:id="37" w:name="_Toc6466647"/>
      <w:r w:rsidRPr="007E73E1">
        <w:t>Sobre e</w:t>
      </w:r>
      <w:r w:rsidR="00334A1D" w:rsidRPr="007E73E1">
        <w:t>l operativo llevado a cabo el 26 de septiembre de 197</w:t>
      </w:r>
      <w:r w:rsidR="007369A1" w:rsidRPr="007E73E1">
        <w:t>6</w:t>
      </w:r>
      <w:bookmarkEnd w:id="36"/>
      <w:bookmarkEnd w:id="37"/>
    </w:p>
    <w:p w14:paraId="2EB828E5" w14:textId="77777777" w:rsidR="00334A1D" w:rsidRPr="0007034B" w:rsidRDefault="00334A1D" w:rsidP="00334A1D">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360" w:firstLine="0"/>
        <w:jc w:val="both"/>
        <w:rPr>
          <w:rFonts w:asciiTheme="majorHAnsi" w:hAnsiTheme="majorHAnsi"/>
          <w:sz w:val="20"/>
          <w:szCs w:val="20"/>
        </w:rPr>
      </w:pPr>
    </w:p>
    <w:p w14:paraId="6A0599A1" w14:textId="42BD5347" w:rsidR="00221FBF" w:rsidRPr="0007034B" w:rsidRDefault="00C375BD"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4678"/>
        </w:tabs>
        <w:suppressAutoHyphens/>
        <w:ind w:left="0" w:firstLine="0"/>
        <w:jc w:val="both"/>
        <w:rPr>
          <w:rFonts w:asciiTheme="majorHAnsi" w:hAnsiTheme="majorHAnsi"/>
          <w:sz w:val="20"/>
          <w:szCs w:val="20"/>
        </w:rPr>
      </w:pPr>
      <w:r w:rsidRPr="0007034B">
        <w:rPr>
          <w:rFonts w:asciiTheme="majorHAnsi" w:hAnsiTheme="majorHAnsi"/>
          <w:sz w:val="20"/>
          <w:szCs w:val="20"/>
        </w:rPr>
        <w:t>El do</w:t>
      </w:r>
      <w:r w:rsidR="005D0FEE" w:rsidRPr="0007034B">
        <w:rPr>
          <w:rFonts w:asciiTheme="majorHAnsi" w:hAnsiTheme="majorHAnsi"/>
          <w:sz w:val="20"/>
          <w:szCs w:val="20"/>
        </w:rPr>
        <w:t>mingo 26 de septiembre de 1976</w:t>
      </w:r>
      <w:r w:rsidRPr="0007034B">
        <w:rPr>
          <w:rFonts w:asciiTheme="majorHAnsi" w:hAnsiTheme="majorHAnsi"/>
          <w:sz w:val="20"/>
          <w:szCs w:val="20"/>
        </w:rPr>
        <w:t xml:space="preserve"> se llevó a cabo un operativo </w:t>
      </w:r>
      <w:r w:rsidR="000D6989" w:rsidRPr="0007034B">
        <w:rPr>
          <w:rFonts w:asciiTheme="majorHAnsi" w:hAnsiTheme="majorHAnsi"/>
          <w:sz w:val="20"/>
          <w:szCs w:val="20"/>
        </w:rPr>
        <w:t xml:space="preserve">policial y </w:t>
      </w:r>
      <w:r w:rsidRPr="0007034B">
        <w:rPr>
          <w:rFonts w:asciiTheme="majorHAnsi" w:hAnsiTheme="majorHAnsi"/>
          <w:sz w:val="20"/>
          <w:szCs w:val="20"/>
        </w:rPr>
        <w:t>milita</w:t>
      </w:r>
      <w:r w:rsidR="005D59A1" w:rsidRPr="0007034B">
        <w:rPr>
          <w:rFonts w:asciiTheme="majorHAnsi" w:hAnsiTheme="majorHAnsi"/>
          <w:sz w:val="20"/>
          <w:szCs w:val="20"/>
        </w:rPr>
        <w:t>r en la casa de la familia Julie</w:t>
      </w:r>
      <w:r w:rsidRPr="0007034B">
        <w:rPr>
          <w:rFonts w:asciiTheme="majorHAnsi" w:hAnsiTheme="majorHAnsi"/>
          <w:sz w:val="20"/>
          <w:szCs w:val="20"/>
        </w:rPr>
        <w:t>n-Grisonas</w:t>
      </w:r>
      <w:r w:rsidR="005D0FEE" w:rsidRPr="0007034B">
        <w:rPr>
          <w:rFonts w:asciiTheme="majorHAnsi" w:hAnsiTheme="majorHAnsi"/>
          <w:sz w:val="20"/>
          <w:szCs w:val="20"/>
        </w:rPr>
        <w:t>,</w:t>
      </w:r>
      <w:r w:rsidRPr="0007034B">
        <w:rPr>
          <w:rFonts w:asciiTheme="majorHAnsi" w:hAnsiTheme="majorHAnsi"/>
          <w:sz w:val="20"/>
          <w:szCs w:val="20"/>
        </w:rPr>
        <w:t xml:space="preserve"> ubicada en </w:t>
      </w:r>
      <w:r w:rsidR="0039582B" w:rsidRPr="0007034B">
        <w:rPr>
          <w:rFonts w:asciiTheme="majorHAnsi" w:hAnsiTheme="majorHAnsi"/>
          <w:sz w:val="20"/>
          <w:szCs w:val="20"/>
        </w:rPr>
        <w:t xml:space="preserve">la calle Mitre 1050 </w:t>
      </w:r>
      <w:r w:rsidR="00937B96" w:rsidRPr="0007034B">
        <w:rPr>
          <w:rFonts w:asciiTheme="majorHAnsi" w:hAnsiTheme="majorHAnsi"/>
          <w:sz w:val="20"/>
          <w:szCs w:val="20"/>
        </w:rPr>
        <w:t xml:space="preserve">esquina calle Carlos Gardel </w:t>
      </w:r>
      <w:r w:rsidR="0039582B" w:rsidRPr="0007034B">
        <w:rPr>
          <w:rFonts w:asciiTheme="majorHAnsi" w:hAnsiTheme="majorHAnsi"/>
          <w:sz w:val="20"/>
          <w:szCs w:val="20"/>
        </w:rPr>
        <w:t>de la localidad de San Martín, Provincia de Buenos Aires</w:t>
      </w:r>
      <w:r w:rsidR="005D0FEE" w:rsidRPr="0007034B">
        <w:rPr>
          <w:rFonts w:asciiTheme="majorHAnsi" w:hAnsiTheme="majorHAnsi"/>
          <w:sz w:val="20"/>
          <w:szCs w:val="20"/>
        </w:rPr>
        <w:t>, el cual inició a primeras horas de la tarde y se extendió hasta el atardecer</w:t>
      </w:r>
      <w:r w:rsidRPr="0007034B">
        <w:rPr>
          <w:rFonts w:asciiTheme="majorHAnsi" w:hAnsiTheme="majorHAnsi"/>
          <w:sz w:val="20"/>
          <w:szCs w:val="20"/>
        </w:rPr>
        <w:t xml:space="preserve">. </w:t>
      </w:r>
      <w:r w:rsidR="000C347B" w:rsidRPr="0007034B">
        <w:rPr>
          <w:rFonts w:asciiTheme="majorHAnsi" w:hAnsiTheme="majorHAnsi"/>
          <w:sz w:val="20"/>
          <w:szCs w:val="20"/>
        </w:rPr>
        <w:t>Se tiene por acreditado que el operativo estuvo a cargo de la SIDE y</w:t>
      </w:r>
      <w:r w:rsidR="002877B8" w:rsidRPr="0007034B">
        <w:rPr>
          <w:rFonts w:asciiTheme="majorHAnsi" w:hAnsiTheme="majorHAnsi"/>
          <w:sz w:val="20"/>
          <w:szCs w:val="20"/>
        </w:rPr>
        <w:t xml:space="preserve"> de</w:t>
      </w:r>
      <w:r w:rsidR="000C347B" w:rsidRPr="0007034B">
        <w:rPr>
          <w:rFonts w:asciiTheme="majorHAnsi" w:hAnsiTheme="majorHAnsi"/>
          <w:sz w:val="20"/>
          <w:szCs w:val="20"/>
        </w:rPr>
        <w:t xml:space="preserve"> la Policía Federal, y que también participó personal del Ejército. </w:t>
      </w:r>
      <w:r w:rsidRPr="0007034B">
        <w:rPr>
          <w:rFonts w:asciiTheme="majorHAnsi" w:hAnsiTheme="majorHAnsi"/>
          <w:sz w:val="20"/>
          <w:szCs w:val="20"/>
        </w:rPr>
        <w:t xml:space="preserve">El despliegue del aparato represivo contó con un gran </w:t>
      </w:r>
      <w:r w:rsidR="00B92582" w:rsidRPr="0007034B">
        <w:rPr>
          <w:rFonts w:asciiTheme="majorHAnsi" w:hAnsiTheme="majorHAnsi"/>
          <w:sz w:val="20"/>
          <w:szCs w:val="20"/>
        </w:rPr>
        <w:t>número</w:t>
      </w:r>
      <w:r w:rsidRPr="0007034B">
        <w:rPr>
          <w:rFonts w:asciiTheme="majorHAnsi" w:hAnsiTheme="majorHAnsi"/>
          <w:sz w:val="20"/>
          <w:szCs w:val="20"/>
        </w:rPr>
        <w:t xml:space="preserve"> de efectivos</w:t>
      </w:r>
      <w:r w:rsidR="000C347B" w:rsidRPr="0007034B">
        <w:rPr>
          <w:rFonts w:asciiTheme="majorHAnsi" w:hAnsiTheme="majorHAnsi"/>
          <w:sz w:val="20"/>
          <w:szCs w:val="20"/>
        </w:rPr>
        <w:t xml:space="preserve"> fuertemente armados, la mayoría uniformados</w:t>
      </w:r>
      <w:r w:rsidRPr="0007034B">
        <w:rPr>
          <w:rFonts w:asciiTheme="majorHAnsi" w:hAnsiTheme="majorHAnsi"/>
          <w:sz w:val="20"/>
          <w:szCs w:val="20"/>
        </w:rPr>
        <w:t xml:space="preserve">, una gran cantidad de vehículos y dos tanquetas que cortaron el tráfico en ambos extremos de la cuadra. </w:t>
      </w:r>
      <w:r w:rsidR="00B92582" w:rsidRPr="0007034B">
        <w:rPr>
          <w:rFonts w:asciiTheme="majorHAnsi" w:hAnsiTheme="majorHAnsi"/>
          <w:sz w:val="20"/>
          <w:szCs w:val="20"/>
        </w:rPr>
        <w:t xml:space="preserve">La zona fue literalmente tomada por las fuerzas militares </w:t>
      </w:r>
      <w:r w:rsidR="000C347B" w:rsidRPr="0007034B">
        <w:rPr>
          <w:rFonts w:asciiTheme="majorHAnsi" w:hAnsiTheme="majorHAnsi"/>
          <w:sz w:val="20"/>
          <w:szCs w:val="20"/>
        </w:rPr>
        <w:t xml:space="preserve">y policiales, quienes </w:t>
      </w:r>
      <w:r w:rsidR="00B92582" w:rsidRPr="0007034B">
        <w:rPr>
          <w:rFonts w:asciiTheme="majorHAnsi" w:hAnsiTheme="majorHAnsi"/>
          <w:sz w:val="20"/>
          <w:szCs w:val="20"/>
        </w:rPr>
        <w:t xml:space="preserve">habrían cortado la luz eléctrica </w:t>
      </w:r>
      <w:r w:rsidR="005D59A1" w:rsidRPr="0007034B">
        <w:rPr>
          <w:rFonts w:asciiTheme="majorHAnsi" w:hAnsiTheme="majorHAnsi"/>
          <w:sz w:val="20"/>
          <w:szCs w:val="20"/>
        </w:rPr>
        <w:t>y</w:t>
      </w:r>
      <w:r w:rsidR="00B92582" w:rsidRPr="0007034B">
        <w:rPr>
          <w:rFonts w:asciiTheme="majorHAnsi" w:hAnsiTheme="majorHAnsi"/>
          <w:sz w:val="20"/>
          <w:szCs w:val="20"/>
        </w:rPr>
        <w:t xml:space="preserve"> las líneas telefónicas de la manzana</w:t>
      </w:r>
      <w:r w:rsidR="00221FBF" w:rsidRPr="0007034B">
        <w:rPr>
          <w:rStyle w:val="FootnoteReference"/>
          <w:rFonts w:asciiTheme="majorHAnsi" w:hAnsiTheme="majorHAnsi"/>
          <w:sz w:val="20"/>
          <w:szCs w:val="20"/>
        </w:rPr>
        <w:footnoteReference w:id="37"/>
      </w:r>
      <w:r w:rsidR="00F24BC3" w:rsidRPr="0007034B">
        <w:rPr>
          <w:rStyle w:val="FootnoteReference"/>
          <w:rFonts w:asciiTheme="majorHAnsi" w:hAnsiTheme="majorHAnsi"/>
          <w:sz w:val="20"/>
          <w:szCs w:val="20"/>
        </w:rPr>
        <w:t>.</w:t>
      </w:r>
      <w:r w:rsidR="00221FBF" w:rsidRPr="0007034B">
        <w:rPr>
          <w:rFonts w:asciiTheme="majorHAnsi" w:hAnsiTheme="majorHAnsi"/>
          <w:sz w:val="20"/>
          <w:szCs w:val="20"/>
        </w:rPr>
        <w:t xml:space="preserve"> </w:t>
      </w:r>
      <w:r w:rsidR="002D262B" w:rsidRPr="0007034B">
        <w:rPr>
          <w:rFonts w:asciiTheme="majorHAnsi" w:hAnsiTheme="majorHAnsi"/>
          <w:sz w:val="20"/>
          <w:szCs w:val="20"/>
        </w:rPr>
        <w:t xml:space="preserve">De acuerdo </w:t>
      </w:r>
      <w:r w:rsidR="004E17ED" w:rsidRPr="0007034B">
        <w:rPr>
          <w:rFonts w:asciiTheme="majorHAnsi" w:hAnsiTheme="majorHAnsi"/>
          <w:sz w:val="20"/>
          <w:szCs w:val="20"/>
        </w:rPr>
        <w:t>con</w:t>
      </w:r>
      <w:r w:rsidR="002D262B" w:rsidRPr="0007034B">
        <w:rPr>
          <w:rFonts w:asciiTheme="majorHAnsi" w:hAnsiTheme="majorHAnsi"/>
          <w:sz w:val="20"/>
          <w:szCs w:val="20"/>
        </w:rPr>
        <w:t xml:space="preserve"> una actuación administrativa iniciada al día siguiente del operativo debido a una herida recibida por el inspector de la </w:t>
      </w:r>
      <w:r w:rsidR="00E504BE" w:rsidRPr="0007034B">
        <w:rPr>
          <w:rFonts w:asciiTheme="majorHAnsi" w:hAnsiTheme="majorHAnsi"/>
          <w:sz w:val="20"/>
          <w:szCs w:val="20"/>
        </w:rPr>
        <w:t xml:space="preserve">policía Rolando Oscar Nerone, </w:t>
      </w:r>
      <w:r w:rsidR="002877B8" w:rsidRPr="0007034B">
        <w:rPr>
          <w:rFonts w:asciiTheme="majorHAnsi" w:hAnsiTheme="majorHAnsi"/>
          <w:sz w:val="20"/>
          <w:szCs w:val="20"/>
        </w:rPr>
        <w:t xml:space="preserve">el objetivo del operativo era </w:t>
      </w:r>
      <w:r w:rsidR="00E504BE" w:rsidRPr="0007034B">
        <w:rPr>
          <w:rFonts w:asciiTheme="majorHAnsi" w:hAnsiTheme="majorHAnsi"/>
          <w:sz w:val="20"/>
          <w:szCs w:val="20"/>
        </w:rPr>
        <w:t>“</w:t>
      </w:r>
      <w:r w:rsidR="002877B8" w:rsidRPr="0007034B">
        <w:rPr>
          <w:rFonts w:asciiTheme="majorHAnsi" w:hAnsiTheme="majorHAnsi"/>
          <w:sz w:val="20"/>
          <w:szCs w:val="20"/>
        </w:rPr>
        <w:t>e</w:t>
      </w:r>
      <w:r w:rsidR="00E504BE" w:rsidRPr="0007034B">
        <w:rPr>
          <w:rFonts w:asciiTheme="majorHAnsi" w:hAnsiTheme="majorHAnsi"/>
          <w:sz w:val="20"/>
          <w:szCs w:val="20"/>
        </w:rPr>
        <w:t>l desbaratamiento del sector militar de la organización subversiva O.P.R.33 (ORGANIZACIÓN POPULAR REVOLUCIONARIA 33 ORIENTALES)”</w:t>
      </w:r>
      <w:r w:rsidR="00E504BE" w:rsidRPr="0007034B">
        <w:rPr>
          <w:rStyle w:val="FootnoteReference"/>
          <w:rFonts w:asciiTheme="majorHAnsi" w:hAnsiTheme="majorHAnsi"/>
          <w:sz w:val="20"/>
          <w:szCs w:val="20"/>
        </w:rPr>
        <w:footnoteReference w:id="38"/>
      </w:r>
      <w:r w:rsidR="00CB6111" w:rsidRPr="0007034B">
        <w:rPr>
          <w:rFonts w:asciiTheme="majorHAnsi" w:hAnsiTheme="majorHAnsi"/>
          <w:sz w:val="20"/>
          <w:szCs w:val="20"/>
        </w:rPr>
        <w:t>.</w:t>
      </w:r>
      <w:r w:rsidR="005D59A1" w:rsidRPr="0007034B">
        <w:rPr>
          <w:rFonts w:asciiTheme="majorHAnsi" w:hAnsiTheme="majorHAnsi"/>
          <w:sz w:val="20"/>
          <w:szCs w:val="20"/>
        </w:rPr>
        <w:t xml:space="preserve"> </w:t>
      </w:r>
    </w:p>
    <w:p w14:paraId="73E3976B" w14:textId="77777777" w:rsidR="00221FBF" w:rsidRPr="0007034B" w:rsidRDefault="00221FBF" w:rsidP="00221FBF">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rPr>
      </w:pPr>
    </w:p>
    <w:p w14:paraId="7D34CD38" w14:textId="34E99BAC" w:rsidR="00717726" w:rsidRPr="0007034B" w:rsidRDefault="005D59A1"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r w:rsidRPr="0007034B">
        <w:rPr>
          <w:rFonts w:asciiTheme="majorHAnsi" w:hAnsiTheme="majorHAnsi"/>
          <w:sz w:val="20"/>
          <w:szCs w:val="20"/>
        </w:rPr>
        <w:t>Debido a la intensa y continua cantidad de disparos contra la vivienda, Mario Julien habría decidido escapar por los fondos, siendo detenido en una casa ubicada en la misma esquina.</w:t>
      </w:r>
      <w:r w:rsidR="00221FBF" w:rsidRPr="0007034B">
        <w:rPr>
          <w:rFonts w:asciiTheme="majorHAnsi" w:hAnsiTheme="majorHAnsi"/>
          <w:sz w:val="20"/>
          <w:szCs w:val="20"/>
        </w:rPr>
        <w:t xml:space="preserve"> Uno de los vecino</w:t>
      </w:r>
      <w:r w:rsidR="00984352" w:rsidRPr="0007034B">
        <w:rPr>
          <w:rFonts w:asciiTheme="majorHAnsi" w:hAnsiTheme="majorHAnsi"/>
          <w:sz w:val="20"/>
          <w:szCs w:val="20"/>
        </w:rPr>
        <w:t>s</w:t>
      </w:r>
      <w:r w:rsidR="00221FBF" w:rsidRPr="0007034B">
        <w:rPr>
          <w:rFonts w:asciiTheme="majorHAnsi" w:hAnsiTheme="majorHAnsi"/>
          <w:sz w:val="20"/>
          <w:szCs w:val="20"/>
        </w:rPr>
        <w:t xml:space="preserve"> declaró que Julien “salió de la casa detenido por [los] militares que lo llevaron hasta la esquina del bar, y allí cayó al piso, como muerto, aunque no podría asegurar que ya estaba muerto en ese momento. Su cuerpo cayó sobre la calle”</w:t>
      </w:r>
      <w:r w:rsidR="00221FBF" w:rsidRPr="0007034B">
        <w:rPr>
          <w:rStyle w:val="FootnoteReference"/>
          <w:rFonts w:asciiTheme="majorHAnsi" w:hAnsiTheme="majorHAnsi"/>
          <w:sz w:val="20"/>
          <w:szCs w:val="20"/>
        </w:rPr>
        <w:footnoteReference w:id="39"/>
      </w:r>
      <w:r w:rsidR="000D6E8C" w:rsidRPr="0007034B">
        <w:rPr>
          <w:rFonts w:asciiTheme="majorHAnsi" w:hAnsiTheme="majorHAnsi"/>
          <w:sz w:val="20"/>
          <w:szCs w:val="20"/>
        </w:rPr>
        <w:t>.</w:t>
      </w:r>
      <w:r w:rsidRPr="0007034B">
        <w:rPr>
          <w:rFonts w:asciiTheme="majorHAnsi" w:hAnsiTheme="majorHAnsi"/>
          <w:sz w:val="20"/>
          <w:szCs w:val="20"/>
        </w:rPr>
        <w:t xml:space="preserve"> </w:t>
      </w:r>
      <w:r w:rsidR="00AF4489" w:rsidRPr="0007034B">
        <w:rPr>
          <w:rFonts w:asciiTheme="majorHAnsi" w:hAnsiTheme="majorHAnsi"/>
          <w:sz w:val="20"/>
          <w:szCs w:val="20"/>
        </w:rPr>
        <w:t>Una de las hipótesis que se manej</w:t>
      </w:r>
      <w:r w:rsidR="005A587F" w:rsidRPr="0007034B">
        <w:rPr>
          <w:rFonts w:asciiTheme="majorHAnsi" w:hAnsiTheme="majorHAnsi"/>
          <w:sz w:val="20"/>
          <w:szCs w:val="20"/>
        </w:rPr>
        <w:t>ó inicialmente fue</w:t>
      </w:r>
      <w:r w:rsidR="00AF4489" w:rsidRPr="0007034B">
        <w:rPr>
          <w:rFonts w:asciiTheme="majorHAnsi" w:hAnsiTheme="majorHAnsi"/>
          <w:sz w:val="20"/>
          <w:szCs w:val="20"/>
        </w:rPr>
        <w:t xml:space="preserve"> que Julien se habría suicidado</w:t>
      </w:r>
      <w:r w:rsidR="009769C9" w:rsidRPr="0007034B">
        <w:rPr>
          <w:rFonts w:asciiTheme="majorHAnsi" w:hAnsiTheme="majorHAnsi"/>
          <w:sz w:val="20"/>
          <w:szCs w:val="20"/>
        </w:rPr>
        <w:t xml:space="preserve"> al momento de ser detenido ingiriendo una pastilla de cianuro. El mismo testigo r</w:t>
      </w:r>
      <w:r w:rsidR="00221FBF" w:rsidRPr="0007034B">
        <w:rPr>
          <w:rFonts w:asciiTheme="majorHAnsi" w:hAnsiTheme="majorHAnsi"/>
          <w:sz w:val="20"/>
          <w:szCs w:val="20"/>
        </w:rPr>
        <w:t>elató</w:t>
      </w:r>
      <w:r w:rsidR="00984352" w:rsidRPr="0007034B">
        <w:rPr>
          <w:rFonts w:asciiTheme="majorHAnsi" w:hAnsiTheme="majorHAnsi"/>
          <w:sz w:val="20"/>
          <w:szCs w:val="20"/>
        </w:rPr>
        <w:t xml:space="preserve"> </w:t>
      </w:r>
      <w:r w:rsidR="00AF4489" w:rsidRPr="0007034B">
        <w:rPr>
          <w:rFonts w:asciiTheme="majorHAnsi" w:hAnsiTheme="majorHAnsi"/>
          <w:sz w:val="20"/>
          <w:szCs w:val="20"/>
        </w:rPr>
        <w:t xml:space="preserve">además </w:t>
      </w:r>
      <w:r w:rsidR="00221FBF" w:rsidRPr="0007034B">
        <w:rPr>
          <w:rFonts w:asciiTheme="majorHAnsi" w:hAnsiTheme="majorHAnsi"/>
          <w:sz w:val="20"/>
          <w:szCs w:val="20"/>
        </w:rPr>
        <w:t xml:space="preserve">que </w:t>
      </w:r>
      <w:r w:rsidR="003F62A1" w:rsidRPr="0007034B">
        <w:rPr>
          <w:rFonts w:asciiTheme="majorHAnsi" w:hAnsiTheme="majorHAnsi"/>
          <w:sz w:val="20"/>
          <w:szCs w:val="20"/>
        </w:rPr>
        <w:t xml:space="preserve">“automáticamente de que cayó muerto el hombre, […] sacaron a la mujer y a sus hijos de la cuarta casa, se ve que ella también había salido por los fondos de las casas. A ella lo que le hicieron fue terrible, le sacaron a los chicos, se los llevaron, la golpearon tremendamente, recuerdo que la agarraban los militares desde los brazos y las piernas la levantaban y la tiraban al </w:t>
      </w:r>
      <w:r w:rsidR="00984352" w:rsidRPr="0007034B">
        <w:rPr>
          <w:rFonts w:asciiTheme="majorHAnsi" w:hAnsiTheme="majorHAnsi"/>
          <w:sz w:val="20"/>
          <w:szCs w:val="20"/>
        </w:rPr>
        <w:t>piso, era tremendo lo que le hac</w:t>
      </w:r>
      <w:r w:rsidR="003F62A1" w:rsidRPr="0007034B">
        <w:rPr>
          <w:rFonts w:asciiTheme="majorHAnsi" w:hAnsiTheme="majorHAnsi"/>
          <w:sz w:val="20"/>
          <w:szCs w:val="20"/>
        </w:rPr>
        <w:t>ían a esa mujer”</w:t>
      </w:r>
      <w:r w:rsidR="003F62A1" w:rsidRPr="0007034B">
        <w:rPr>
          <w:rStyle w:val="FootnoteReference"/>
          <w:rFonts w:asciiTheme="majorHAnsi" w:hAnsiTheme="majorHAnsi"/>
          <w:sz w:val="20"/>
          <w:szCs w:val="20"/>
        </w:rPr>
        <w:footnoteReference w:id="40"/>
      </w:r>
      <w:r w:rsidR="00530CD6" w:rsidRPr="0007034B">
        <w:rPr>
          <w:rFonts w:asciiTheme="majorHAnsi" w:hAnsiTheme="majorHAnsi"/>
          <w:sz w:val="20"/>
          <w:szCs w:val="20"/>
        </w:rPr>
        <w:t>.</w:t>
      </w:r>
      <w:r w:rsidR="00221FBF" w:rsidRPr="0007034B">
        <w:rPr>
          <w:rFonts w:asciiTheme="majorHAnsi" w:hAnsiTheme="majorHAnsi"/>
          <w:sz w:val="20"/>
          <w:szCs w:val="20"/>
        </w:rPr>
        <w:t xml:space="preserve"> </w:t>
      </w:r>
      <w:r w:rsidR="00984352" w:rsidRPr="0007034B">
        <w:rPr>
          <w:rFonts w:asciiTheme="majorHAnsi" w:hAnsiTheme="majorHAnsi"/>
          <w:sz w:val="20"/>
          <w:szCs w:val="20"/>
        </w:rPr>
        <w:t>Señaló</w:t>
      </w:r>
      <w:r w:rsidR="001F05E3" w:rsidRPr="0007034B">
        <w:rPr>
          <w:rFonts w:asciiTheme="majorHAnsi" w:hAnsiTheme="majorHAnsi"/>
          <w:sz w:val="20"/>
          <w:szCs w:val="20"/>
        </w:rPr>
        <w:t xml:space="preserve"> que a los niños los llevaron a una estación de servicio YPF que estaba en una esquina y los sentaron arriba del mostrador</w:t>
      </w:r>
      <w:r w:rsidR="001F05E3" w:rsidRPr="0007034B">
        <w:rPr>
          <w:rStyle w:val="FootnoteReference"/>
          <w:rFonts w:asciiTheme="majorHAnsi" w:hAnsiTheme="majorHAnsi"/>
          <w:sz w:val="20"/>
          <w:szCs w:val="20"/>
        </w:rPr>
        <w:footnoteReference w:id="41"/>
      </w:r>
      <w:r w:rsidR="00530CD6" w:rsidRPr="0007034B">
        <w:rPr>
          <w:rFonts w:asciiTheme="majorHAnsi" w:hAnsiTheme="majorHAnsi"/>
          <w:sz w:val="20"/>
          <w:szCs w:val="20"/>
        </w:rPr>
        <w:t>.</w:t>
      </w:r>
      <w:r w:rsidR="001F05E3" w:rsidRPr="0007034B">
        <w:rPr>
          <w:rFonts w:asciiTheme="majorHAnsi" w:hAnsiTheme="majorHAnsi"/>
          <w:sz w:val="20"/>
          <w:szCs w:val="20"/>
        </w:rPr>
        <w:t xml:space="preserve"> </w:t>
      </w:r>
      <w:r w:rsidR="00DE110C" w:rsidRPr="0007034B">
        <w:rPr>
          <w:rFonts w:asciiTheme="majorHAnsi" w:hAnsiTheme="majorHAnsi"/>
          <w:sz w:val="20"/>
          <w:szCs w:val="20"/>
        </w:rPr>
        <w:t xml:space="preserve">Otro vecino declaró que vio </w:t>
      </w:r>
      <w:r w:rsidR="00795F8C" w:rsidRPr="0007034B">
        <w:rPr>
          <w:rFonts w:asciiTheme="majorHAnsi" w:hAnsiTheme="majorHAnsi"/>
          <w:sz w:val="20"/>
          <w:szCs w:val="20"/>
        </w:rPr>
        <w:t>cuando</w:t>
      </w:r>
      <w:r w:rsidR="00084A1C" w:rsidRPr="0007034B">
        <w:rPr>
          <w:rFonts w:asciiTheme="majorHAnsi" w:hAnsiTheme="majorHAnsi"/>
          <w:sz w:val="20"/>
          <w:szCs w:val="20"/>
        </w:rPr>
        <w:t xml:space="preserve"> unos militares </w:t>
      </w:r>
      <w:r w:rsidR="00F820E8" w:rsidRPr="0007034B">
        <w:rPr>
          <w:rFonts w:asciiTheme="majorHAnsi" w:hAnsiTheme="majorHAnsi"/>
          <w:sz w:val="20"/>
          <w:szCs w:val="20"/>
        </w:rPr>
        <w:t xml:space="preserve">que venían desde la casa de la familia Julien-Grisonas </w:t>
      </w:r>
      <w:r w:rsidR="00084A1C" w:rsidRPr="0007034B">
        <w:rPr>
          <w:rFonts w:asciiTheme="majorHAnsi" w:hAnsiTheme="majorHAnsi"/>
          <w:sz w:val="20"/>
          <w:szCs w:val="20"/>
        </w:rPr>
        <w:t>traían a los niños</w:t>
      </w:r>
      <w:r w:rsidR="00795F8C" w:rsidRPr="0007034B">
        <w:rPr>
          <w:rFonts w:asciiTheme="majorHAnsi" w:hAnsiTheme="majorHAnsi"/>
          <w:sz w:val="20"/>
          <w:szCs w:val="20"/>
        </w:rPr>
        <w:t>, quienes lloraban</w:t>
      </w:r>
      <w:r w:rsidR="001F05E3" w:rsidRPr="0007034B">
        <w:rPr>
          <w:rFonts w:asciiTheme="majorHAnsi" w:hAnsiTheme="majorHAnsi"/>
          <w:sz w:val="20"/>
          <w:szCs w:val="20"/>
        </w:rPr>
        <w:t>, y que u</w:t>
      </w:r>
      <w:r w:rsidR="00795F8C" w:rsidRPr="0007034B">
        <w:rPr>
          <w:rFonts w:asciiTheme="majorHAnsi" w:hAnsiTheme="majorHAnsi"/>
          <w:sz w:val="20"/>
          <w:szCs w:val="20"/>
        </w:rPr>
        <w:t>n vecino le contó que cuando los niños gritaron por su madre los militares le dijeron “la yegua de tu madre ya no está más”</w:t>
      </w:r>
      <w:r w:rsidR="0074554B" w:rsidRPr="0007034B">
        <w:rPr>
          <w:rStyle w:val="FootnoteReference"/>
          <w:rFonts w:asciiTheme="majorHAnsi" w:hAnsiTheme="majorHAnsi"/>
          <w:sz w:val="20"/>
          <w:szCs w:val="20"/>
        </w:rPr>
        <w:footnoteReference w:id="42"/>
      </w:r>
      <w:r w:rsidR="001D78B3" w:rsidRPr="0007034B">
        <w:rPr>
          <w:rFonts w:asciiTheme="majorHAnsi" w:hAnsiTheme="majorHAnsi"/>
          <w:sz w:val="20"/>
          <w:szCs w:val="20"/>
        </w:rPr>
        <w:t>.</w:t>
      </w:r>
      <w:r w:rsidR="00717726" w:rsidRPr="0007034B">
        <w:rPr>
          <w:rFonts w:asciiTheme="majorHAnsi" w:hAnsiTheme="majorHAnsi"/>
          <w:sz w:val="20"/>
          <w:szCs w:val="20"/>
        </w:rPr>
        <w:t xml:space="preserve"> Anatole recuerda “ir caminando con alguien tomado de la mano, que también lleva[ba] a su hermana, en brazos, y cuando mira hacia atrás, observa a sus padres </w:t>
      </w:r>
      <w:r w:rsidR="00717726" w:rsidRPr="0007034B">
        <w:rPr>
          <w:rFonts w:asciiTheme="majorHAnsi" w:hAnsiTheme="majorHAnsi"/>
          <w:sz w:val="20"/>
          <w:szCs w:val="20"/>
        </w:rPr>
        <w:lastRenderedPageBreak/>
        <w:t>tendidos boca abajo en el piso, con las manos abiertas, mientras personas les apuntaban con armas, uno de ellos cerca de su madre, con uniforme, cas</w:t>
      </w:r>
      <w:r w:rsidR="00206387" w:rsidRPr="0007034B">
        <w:rPr>
          <w:rFonts w:asciiTheme="majorHAnsi" w:hAnsiTheme="majorHAnsi"/>
          <w:sz w:val="20"/>
          <w:szCs w:val="20"/>
        </w:rPr>
        <w:t>c</w:t>
      </w:r>
      <w:r w:rsidR="00717726" w:rsidRPr="0007034B">
        <w:rPr>
          <w:rFonts w:asciiTheme="majorHAnsi" w:hAnsiTheme="majorHAnsi"/>
          <w:sz w:val="20"/>
          <w:szCs w:val="20"/>
        </w:rPr>
        <w:t>o y metralleta”</w:t>
      </w:r>
      <w:r w:rsidR="00717726" w:rsidRPr="0007034B">
        <w:rPr>
          <w:rStyle w:val="FootnoteReference"/>
          <w:rFonts w:asciiTheme="majorHAnsi" w:hAnsiTheme="majorHAnsi"/>
          <w:sz w:val="20"/>
          <w:szCs w:val="20"/>
        </w:rPr>
        <w:footnoteReference w:id="43"/>
      </w:r>
      <w:r w:rsidR="00530CD6" w:rsidRPr="0007034B">
        <w:rPr>
          <w:rFonts w:asciiTheme="majorHAnsi" w:hAnsiTheme="majorHAnsi"/>
          <w:sz w:val="20"/>
          <w:szCs w:val="20"/>
        </w:rPr>
        <w:t>.</w:t>
      </w:r>
    </w:p>
    <w:p w14:paraId="6DB1C62A" w14:textId="77777777" w:rsidR="00765996" w:rsidRPr="0007034B" w:rsidRDefault="00765996" w:rsidP="00765996">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rPr>
      </w:pPr>
    </w:p>
    <w:p w14:paraId="580C3DF4" w14:textId="1E21BEE8" w:rsidR="00046E37" w:rsidRPr="007E73E1" w:rsidRDefault="00046E37" w:rsidP="007E73E1">
      <w:pPr>
        <w:pStyle w:val="Heading3"/>
      </w:pPr>
      <w:bookmarkStart w:id="38" w:name="_Toc6349155"/>
      <w:bookmarkStart w:id="39" w:name="_Toc6466648"/>
      <w:r w:rsidRPr="007E73E1">
        <w:t xml:space="preserve">Sobre la detención en “Automotores Orletti” y los traslados a Uruguay y </w:t>
      </w:r>
      <w:r w:rsidR="00501774" w:rsidRPr="007E73E1">
        <w:t xml:space="preserve">a </w:t>
      </w:r>
      <w:r w:rsidRPr="007E73E1">
        <w:t>Chile</w:t>
      </w:r>
      <w:bookmarkEnd w:id="38"/>
      <w:bookmarkEnd w:id="39"/>
    </w:p>
    <w:p w14:paraId="68B1ADDA" w14:textId="77777777" w:rsidR="00046E37" w:rsidRPr="0007034B" w:rsidRDefault="00046E37" w:rsidP="00765996">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rPr>
      </w:pPr>
    </w:p>
    <w:p w14:paraId="036779D6" w14:textId="5B989660" w:rsidR="00765996" w:rsidRPr="0007034B" w:rsidRDefault="00CB7ECB"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r w:rsidRPr="0007034B">
        <w:rPr>
          <w:rFonts w:asciiTheme="majorHAnsi" w:hAnsiTheme="majorHAnsi"/>
          <w:sz w:val="20"/>
          <w:szCs w:val="20"/>
        </w:rPr>
        <w:t xml:space="preserve">Está acreditado que </w:t>
      </w:r>
      <w:r w:rsidR="00765996" w:rsidRPr="0007034B">
        <w:rPr>
          <w:rFonts w:asciiTheme="majorHAnsi" w:hAnsiTheme="majorHAnsi"/>
          <w:sz w:val="20"/>
          <w:szCs w:val="20"/>
        </w:rPr>
        <w:t xml:space="preserve">Victoria Grisonas y </w:t>
      </w:r>
      <w:r w:rsidR="00206387" w:rsidRPr="0007034B">
        <w:rPr>
          <w:rFonts w:asciiTheme="majorHAnsi" w:hAnsiTheme="majorHAnsi"/>
          <w:sz w:val="20"/>
          <w:szCs w:val="20"/>
        </w:rPr>
        <w:t>su hijo</w:t>
      </w:r>
      <w:r w:rsidR="00FC0B74" w:rsidRPr="0007034B">
        <w:rPr>
          <w:rFonts w:asciiTheme="majorHAnsi" w:hAnsiTheme="majorHAnsi"/>
          <w:sz w:val="20"/>
          <w:szCs w:val="20"/>
        </w:rPr>
        <w:t xml:space="preserve"> e hija</w:t>
      </w:r>
      <w:r w:rsidR="00765996" w:rsidRPr="0007034B">
        <w:rPr>
          <w:rFonts w:asciiTheme="majorHAnsi" w:hAnsiTheme="majorHAnsi"/>
          <w:sz w:val="20"/>
          <w:szCs w:val="20"/>
        </w:rPr>
        <w:t xml:space="preserve"> </w:t>
      </w:r>
      <w:r w:rsidRPr="0007034B">
        <w:rPr>
          <w:rFonts w:asciiTheme="majorHAnsi" w:hAnsiTheme="majorHAnsi"/>
          <w:sz w:val="20"/>
          <w:szCs w:val="20"/>
        </w:rPr>
        <w:t xml:space="preserve">fueron posteriormente trasladados a </w:t>
      </w:r>
      <w:r w:rsidR="00765996" w:rsidRPr="0007034B">
        <w:rPr>
          <w:rFonts w:asciiTheme="majorHAnsi" w:hAnsiTheme="majorHAnsi"/>
          <w:sz w:val="20"/>
          <w:szCs w:val="20"/>
        </w:rPr>
        <w:t>“Orletti”</w:t>
      </w:r>
      <w:r w:rsidRPr="0007034B">
        <w:rPr>
          <w:rFonts w:asciiTheme="majorHAnsi" w:hAnsiTheme="majorHAnsi"/>
          <w:sz w:val="20"/>
          <w:szCs w:val="20"/>
        </w:rPr>
        <w:t>, donde fueron vistos por varios testigos</w:t>
      </w:r>
      <w:r w:rsidR="009227E8" w:rsidRPr="0007034B">
        <w:rPr>
          <w:rFonts w:asciiTheme="majorHAnsi" w:hAnsiTheme="majorHAnsi"/>
          <w:sz w:val="20"/>
          <w:szCs w:val="20"/>
        </w:rPr>
        <w:t xml:space="preserve">, quienes también indicaron ver a los niños </w:t>
      </w:r>
      <w:r w:rsidR="00E15F93" w:rsidRPr="0007034B">
        <w:rPr>
          <w:rFonts w:asciiTheme="majorHAnsi" w:hAnsiTheme="majorHAnsi"/>
          <w:sz w:val="20"/>
          <w:szCs w:val="20"/>
        </w:rPr>
        <w:t>junto a</w:t>
      </w:r>
      <w:r w:rsidR="009227E8" w:rsidRPr="0007034B">
        <w:rPr>
          <w:rFonts w:asciiTheme="majorHAnsi" w:hAnsiTheme="majorHAnsi"/>
          <w:sz w:val="20"/>
          <w:szCs w:val="20"/>
        </w:rPr>
        <w:t xml:space="preserve"> María Claudia García embarazada de Macarena Gelman</w:t>
      </w:r>
      <w:r w:rsidR="009227E8" w:rsidRPr="0007034B">
        <w:rPr>
          <w:rStyle w:val="FootnoteReference"/>
          <w:rFonts w:asciiTheme="majorHAnsi" w:hAnsiTheme="majorHAnsi"/>
          <w:sz w:val="20"/>
          <w:szCs w:val="20"/>
        </w:rPr>
        <w:footnoteReference w:id="44"/>
      </w:r>
      <w:r w:rsidR="007D39F4" w:rsidRPr="0007034B">
        <w:rPr>
          <w:rFonts w:asciiTheme="majorHAnsi" w:hAnsiTheme="majorHAnsi"/>
          <w:sz w:val="20"/>
          <w:szCs w:val="20"/>
        </w:rPr>
        <w:t>,</w:t>
      </w:r>
      <w:r w:rsidR="009227E8" w:rsidRPr="0007034B">
        <w:rPr>
          <w:rFonts w:asciiTheme="majorHAnsi" w:hAnsiTheme="majorHAnsi"/>
          <w:sz w:val="20"/>
          <w:szCs w:val="20"/>
        </w:rPr>
        <w:t xml:space="preserve"> víctimas del Caso Gelman vs. Uruguay decidido por la Corte Interamericana</w:t>
      </w:r>
      <w:r w:rsidR="00765996" w:rsidRPr="0007034B">
        <w:rPr>
          <w:rFonts w:asciiTheme="majorHAnsi" w:hAnsiTheme="majorHAnsi"/>
          <w:sz w:val="20"/>
          <w:szCs w:val="20"/>
        </w:rPr>
        <w:t>.</w:t>
      </w:r>
      <w:r w:rsidRPr="0007034B">
        <w:rPr>
          <w:rFonts w:asciiTheme="majorHAnsi" w:hAnsiTheme="majorHAnsi"/>
          <w:sz w:val="20"/>
          <w:szCs w:val="20"/>
        </w:rPr>
        <w:t xml:space="preserve"> </w:t>
      </w:r>
      <w:r w:rsidR="0024391C" w:rsidRPr="0007034B">
        <w:rPr>
          <w:rFonts w:asciiTheme="majorHAnsi" w:hAnsiTheme="majorHAnsi"/>
          <w:sz w:val="20"/>
          <w:szCs w:val="20"/>
        </w:rPr>
        <w:t>Está también acreditado que Victoria Grisonas fue sometida a torturas</w:t>
      </w:r>
      <w:r w:rsidR="0024391C" w:rsidRPr="0007034B">
        <w:rPr>
          <w:rStyle w:val="FootnoteReference"/>
          <w:rFonts w:asciiTheme="majorHAnsi" w:hAnsiTheme="majorHAnsi"/>
          <w:sz w:val="20"/>
          <w:szCs w:val="20"/>
        </w:rPr>
        <w:footnoteReference w:id="45"/>
      </w:r>
      <w:r w:rsidR="00A712B4" w:rsidRPr="0007034B">
        <w:rPr>
          <w:rFonts w:asciiTheme="majorHAnsi" w:hAnsiTheme="majorHAnsi"/>
          <w:sz w:val="20"/>
          <w:szCs w:val="20"/>
        </w:rPr>
        <w:t>.</w:t>
      </w:r>
      <w:r w:rsidR="0024391C" w:rsidRPr="0007034B">
        <w:rPr>
          <w:rFonts w:asciiTheme="majorHAnsi" w:hAnsiTheme="majorHAnsi"/>
          <w:sz w:val="20"/>
          <w:szCs w:val="20"/>
        </w:rPr>
        <w:t xml:space="preserve"> </w:t>
      </w:r>
      <w:r w:rsidR="00E15F93" w:rsidRPr="0007034B">
        <w:rPr>
          <w:rFonts w:asciiTheme="majorHAnsi" w:hAnsiTheme="majorHAnsi"/>
          <w:sz w:val="20"/>
          <w:szCs w:val="20"/>
        </w:rPr>
        <w:t xml:space="preserve">De acuerdo </w:t>
      </w:r>
      <w:r w:rsidR="004E17ED" w:rsidRPr="0007034B">
        <w:rPr>
          <w:rFonts w:asciiTheme="majorHAnsi" w:hAnsiTheme="majorHAnsi"/>
          <w:sz w:val="20"/>
          <w:szCs w:val="20"/>
        </w:rPr>
        <w:t>con</w:t>
      </w:r>
      <w:r w:rsidR="00E15F93" w:rsidRPr="0007034B">
        <w:rPr>
          <w:rFonts w:asciiTheme="majorHAnsi" w:hAnsiTheme="majorHAnsi"/>
          <w:sz w:val="20"/>
          <w:szCs w:val="20"/>
        </w:rPr>
        <w:t xml:space="preserve"> testigos, Victoria Grisonas fue subida al segundo piso de “Orletti” y luego no volvió a ser vista.</w:t>
      </w:r>
      <w:r w:rsidR="00343433" w:rsidRPr="0007034B">
        <w:rPr>
          <w:rFonts w:asciiTheme="majorHAnsi" w:hAnsiTheme="majorHAnsi"/>
          <w:sz w:val="20"/>
          <w:szCs w:val="20"/>
        </w:rPr>
        <w:t xml:space="preserve"> Según </w:t>
      </w:r>
      <w:r w:rsidR="008C0E7F" w:rsidRPr="0007034B">
        <w:rPr>
          <w:rFonts w:asciiTheme="majorHAnsi" w:hAnsiTheme="majorHAnsi"/>
          <w:sz w:val="20"/>
          <w:szCs w:val="20"/>
        </w:rPr>
        <w:t>un detenido que habló con Anatole en “Orletti”, éste</w:t>
      </w:r>
      <w:r w:rsidR="00A35F0B" w:rsidRPr="0007034B">
        <w:rPr>
          <w:rFonts w:asciiTheme="majorHAnsi" w:hAnsiTheme="majorHAnsi"/>
          <w:sz w:val="20"/>
          <w:szCs w:val="20"/>
        </w:rPr>
        <w:t xml:space="preserve"> le mencionó </w:t>
      </w:r>
      <w:r w:rsidR="00E6324C" w:rsidRPr="0007034B">
        <w:rPr>
          <w:rFonts w:asciiTheme="majorHAnsi" w:hAnsiTheme="majorHAnsi"/>
          <w:sz w:val="20"/>
          <w:szCs w:val="20"/>
        </w:rPr>
        <w:t>que</w:t>
      </w:r>
      <w:r w:rsidR="00A35F0B" w:rsidRPr="0007034B">
        <w:rPr>
          <w:rFonts w:asciiTheme="majorHAnsi" w:hAnsiTheme="majorHAnsi"/>
          <w:sz w:val="20"/>
          <w:szCs w:val="20"/>
        </w:rPr>
        <w:t xml:space="preserve"> “había varias personas, entre </w:t>
      </w:r>
      <w:r w:rsidR="00A918B4" w:rsidRPr="0007034B">
        <w:rPr>
          <w:rFonts w:asciiTheme="majorHAnsi" w:hAnsiTheme="majorHAnsi"/>
          <w:sz w:val="20"/>
          <w:szCs w:val="20"/>
        </w:rPr>
        <w:t>las cuales mencionó a su madre -</w:t>
      </w:r>
      <w:r w:rsidR="00A35F0B" w:rsidRPr="0007034B">
        <w:rPr>
          <w:rFonts w:asciiTheme="majorHAnsi" w:hAnsiTheme="majorHAnsi"/>
          <w:sz w:val="20"/>
          <w:szCs w:val="20"/>
        </w:rPr>
        <w:t xml:space="preserve">diciendo que había sido arrastrada de los pelos y hacía el gesto de ello- su hermana, y aproximadamente otras 15 personas” y </w:t>
      </w:r>
      <w:r w:rsidR="00E6324C" w:rsidRPr="0007034B">
        <w:rPr>
          <w:rFonts w:asciiTheme="majorHAnsi" w:hAnsiTheme="majorHAnsi"/>
          <w:sz w:val="20"/>
          <w:szCs w:val="20"/>
        </w:rPr>
        <w:t xml:space="preserve">personas </w:t>
      </w:r>
      <w:r w:rsidR="00A35F0B" w:rsidRPr="0007034B">
        <w:rPr>
          <w:rFonts w:asciiTheme="majorHAnsi" w:hAnsiTheme="majorHAnsi"/>
          <w:sz w:val="20"/>
          <w:szCs w:val="20"/>
        </w:rPr>
        <w:t>amiga</w:t>
      </w:r>
      <w:r w:rsidR="00E6324C" w:rsidRPr="0007034B">
        <w:rPr>
          <w:rFonts w:asciiTheme="majorHAnsi" w:hAnsiTheme="majorHAnsi"/>
          <w:sz w:val="20"/>
          <w:szCs w:val="20"/>
        </w:rPr>
        <w:t>s</w:t>
      </w:r>
      <w:r w:rsidR="00A35F0B" w:rsidRPr="0007034B">
        <w:rPr>
          <w:rFonts w:asciiTheme="majorHAnsi" w:hAnsiTheme="majorHAnsi"/>
          <w:sz w:val="20"/>
          <w:szCs w:val="20"/>
        </w:rPr>
        <w:t xml:space="preserve"> de sus padres.</w:t>
      </w:r>
      <w:r w:rsidR="00A35F0B" w:rsidRPr="0007034B">
        <w:rPr>
          <w:rStyle w:val="FootnoteReference"/>
          <w:rFonts w:asciiTheme="majorHAnsi" w:hAnsiTheme="majorHAnsi"/>
          <w:sz w:val="20"/>
          <w:szCs w:val="20"/>
        </w:rPr>
        <w:footnoteReference w:id="46"/>
      </w:r>
      <w:r w:rsidR="00A35F0B" w:rsidRPr="0007034B">
        <w:rPr>
          <w:rFonts w:asciiTheme="majorHAnsi" w:hAnsiTheme="majorHAnsi"/>
          <w:sz w:val="20"/>
          <w:szCs w:val="20"/>
        </w:rPr>
        <w:t xml:space="preserve"> </w:t>
      </w:r>
    </w:p>
    <w:p w14:paraId="33B9C0F6" w14:textId="77777777" w:rsidR="009606FD" w:rsidRPr="0007034B" w:rsidRDefault="009606FD" w:rsidP="009606FD">
      <w:pPr>
        <w:pStyle w:val="ListParagraph"/>
        <w:rPr>
          <w:rFonts w:asciiTheme="majorHAnsi" w:hAnsiTheme="majorHAnsi"/>
          <w:sz w:val="20"/>
          <w:szCs w:val="20"/>
          <w:lang w:val="es-ES"/>
        </w:rPr>
      </w:pPr>
    </w:p>
    <w:p w14:paraId="782C7C60" w14:textId="07CDC55C" w:rsidR="0087035D" w:rsidRPr="0007034B" w:rsidRDefault="00BB75A3"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r w:rsidRPr="0007034B">
        <w:rPr>
          <w:rFonts w:asciiTheme="majorHAnsi" w:hAnsiTheme="majorHAnsi"/>
          <w:sz w:val="20"/>
          <w:szCs w:val="20"/>
        </w:rPr>
        <w:t>E</w:t>
      </w:r>
      <w:r w:rsidR="00E30371" w:rsidRPr="0007034B">
        <w:rPr>
          <w:rFonts w:asciiTheme="majorHAnsi" w:hAnsiTheme="majorHAnsi"/>
          <w:sz w:val="20"/>
          <w:szCs w:val="20"/>
        </w:rPr>
        <w:t>n octubre de 1976</w:t>
      </w:r>
      <w:r w:rsidRPr="0007034B">
        <w:rPr>
          <w:rFonts w:asciiTheme="majorHAnsi" w:hAnsiTheme="majorHAnsi"/>
          <w:sz w:val="20"/>
          <w:szCs w:val="20"/>
        </w:rPr>
        <w:t xml:space="preserve"> l</w:t>
      </w:r>
      <w:r w:rsidR="009606FD" w:rsidRPr="0007034B">
        <w:rPr>
          <w:rFonts w:asciiTheme="majorHAnsi" w:hAnsiTheme="majorHAnsi"/>
          <w:sz w:val="20"/>
          <w:szCs w:val="20"/>
        </w:rPr>
        <w:t xml:space="preserve">os hermanos fueron trasladados a Montevideo, Uruguay, y llevados a </w:t>
      </w:r>
      <w:r w:rsidR="002E7CA6" w:rsidRPr="0007034B">
        <w:rPr>
          <w:rFonts w:asciiTheme="majorHAnsi" w:hAnsiTheme="majorHAnsi"/>
          <w:sz w:val="20"/>
          <w:szCs w:val="20"/>
        </w:rPr>
        <w:t>l</w:t>
      </w:r>
      <w:r w:rsidR="00602F19" w:rsidRPr="0007034B">
        <w:rPr>
          <w:rFonts w:asciiTheme="majorHAnsi" w:hAnsiTheme="majorHAnsi"/>
          <w:sz w:val="20"/>
          <w:szCs w:val="20"/>
        </w:rPr>
        <w:t>a s</w:t>
      </w:r>
      <w:r w:rsidR="002E7CA6" w:rsidRPr="0007034B">
        <w:rPr>
          <w:rFonts w:asciiTheme="majorHAnsi" w:hAnsiTheme="majorHAnsi"/>
          <w:sz w:val="20"/>
          <w:szCs w:val="20"/>
        </w:rPr>
        <w:t>ede de</w:t>
      </w:r>
      <w:r w:rsidR="00602F19" w:rsidRPr="0007034B">
        <w:rPr>
          <w:rFonts w:asciiTheme="majorHAnsi" w:hAnsiTheme="majorHAnsi"/>
          <w:sz w:val="20"/>
          <w:szCs w:val="20"/>
        </w:rPr>
        <w:t>l Servicio de</w:t>
      </w:r>
      <w:r w:rsidR="002E7CA6" w:rsidRPr="0007034B">
        <w:rPr>
          <w:rFonts w:asciiTheme="majorHAnsi" w:hAnsiTheme="majorHAnsi"/>
          <w:sz w:val="20"/>
          <w:szCs w:val="20"/>
        </w:rPr>
        <w:t xml:space="preserve"> Información </w:t>
      </w:r>
      <w:r w:rsidR="00602F19" w:rsidRPr="0007034B">
        <w:rPr>
          <w:rFonts w:asciiTheme="majorHAnsi" w:hAnsiTheme="majorHAnsi"/>
          <w:sz w:val="20"/>
          <w:szCs w:val="20"/>
        </w:rPr>
        <w:t>de</w:t>
      </w:r>
      <w:r w:rsidR="002E7CA6" w:rsidRPr="0007034B">
        <w:rPr>
          <w:rFonts w:asciiTheme="majorHAnsi" w:hAnsiTheme="majorHAnsi"/>
          <w:sz w:val="20"/>
          <w:szCs w:val="20"/>
        </w:rPr>
        <w:t xml:space="preserve"> Defensa (SID)</w:t>
      </w:r>
      <w:r w:rsidR="009606FD" w:rsidRPr="0007034B">
        <w:rPr>
          <w:rFonts w:asciiTheme="majorHAnsi" w:hAnsiTheme="majorHAnsi"/>
          <w:sz w:val="20"/>
          <w:szCs w:val="20"/>
        </w:rPr>
        <w:t xml:space="preserve"> ubicada en Boulevard Artigas</w:t>
      </w:r>
      <w:r w:rsidR="002E7CA6" w:rsidRPr="0007034B">
        <w:rPr>
          <w:rFonts w:asciiTheme="majorHAnsi" w:hAnsiTheme="majorHAnsi"/>
          <w:sz w:val="20"/>
          <w:szCs w:val="20"/>
        </w:rPr>
        <w:t xml:space="preserve"> y Palmar</w:t>
      </w:r>
      <w:r w:rsidR="009606FD" w:rsidRPr="0007034B">
        <w:rPr>
          <w:rFonts w:asciiTheme="majorHAnsi" w:hAnsiTheme="majorHAnsi"/>
          <w:sz w:val="20"/>
          <w:szCs w:val="20"/>
        </w:rPr>
        <w:t>. Según testigos, la gran mayoría de las personas detenidas estaban en el subsuelo mientras que en la planta baja se encontraban los ni</w:t>
      </w:r>
      <w:r w:rsidR="004458D0" w:rsidRPr="0007034B">
        <w:rPr>
          <w:rFonts w:asciiTheme="majorHAnsi" w:hAnsiTheme="majorHAnsi"/>
          <w:sz w:val="20"/>
          <w:szCs w:val="20"/>
        </w:rPr>
        <w:t>ños junto</w:t>
      </w:r>
      <w:r w:rsidR="009606FD" w:rsidRPr="0007034B">
        <w:rPr>
          <w:rFonts w:asciiTheme="majorHAnsi" w:hAnsiTheme="majorHAnsi"/>
          <w:sz w:val="20"/>
          <w:szCs w:val="20"/>
        </w:rPr>
        <w:t xml:space="preserve"> </w:t>
      </w:r>
      <w:r w:rsidR="004458D0" w:rsidRPr="0007034B">
        <w:rPr>
          <w:rFonts w:asciiTheme="majorHAnsi" w:hAnsiTheme="majorHAnsi"/>
          <w:sz w:val="20"/>
          <w:szCs w:val="20"/>
        </w:rPr>
        <w:t xml:space="preserve">a </w:t>
      </w:r>
      <w:r w:rsidR="009606FD" w:rsidRPr="0007034B">
        <w:rPr>
          <w:rFonts w:asciiTheme="majorHAnsi" w:hAnsiTheme="majorHAnsi"/>
          <w:sz w:val="20"/>
          <w:szCs w:val="20"/>
        </w:rPr>
        <w:t>María Claudia García</w:t>
      </w:r>
      <w:r w:rsidRPr="0007034B">
        <w:rPr>
          <w:rFonts w:asciiTheme="majorHAnsi" w:hAnsiTheme="majorHAnsi"/>
          <w:sz w:val="20"/>
          <w:szCs w:val="20"/>
        </w:rPr>
        <w:t>, quien también había sido trasladada a Uruguay</w:t>
      </w:r>
      <w:r w:rsidR="009606FD" w:rsidRPr="0007034B">
        <w:rPr>
          <w:rFonts w:asciiTheme="majorHAnsi" w:hAnsiTheme="majorHAnsi"/>
          <w:sz w:val="20"/>
          <w:szCs w:val="20"/>
        </w:rPr>
        <w:t xml:space="preserve">. </w:t>
      </w:r>
      <w:r w:rsidRPr="0007034B">
        <w:rPr>
          <w:rFonts w:asciiTheme="majorHAnsi" w:hAnsiTheme="majorHAnsi"/>
          <w:sz w:val="20"/>
          <w:szCs w:val="20"/>
        </w:rPr>
        <w:t>Los hermanos p</w:t>
      </w:r>
      <w:r w:rsidR="00602F19" w:rsidRPr="0007034B">
        <w:rPr>
          <w:rFonts w:asciiTheme="majorHAnsi" w:hAnsiTheme="majorHAnsi"/>
          <w:sz w:val="20"/>
          <w:szCs w:val="20"/>
        </w:rPr>
        <w:t xml:space="preserve">ermanecieron en el SID hasta </w:t>
      </w:r>
      <w:r w:rsidR="00924EF6" w:rsidRPr="0007034B">
        <w:rPr>
          <w:rFonts w:asciiTheme="majorHAnsi" w:hAnsiTheme="majorHAnsi"/>
          <w:sz w:val="20"/>
          <w:szCs w:val="20"/>
        </w:rPr>
        <w:t>diciembre</w:t>
      </w:r>
      <w:r w:rsidR="00602F19" w:rsidRPr="0007034B">
        <w:rPr>
          <w:rFonts w:asciiTheme="majorHAnsi" w:hAnsiTheme="majorHAnsi"/>
          <w:sz w:val="20"/>
          <w:szCs w:val="20"/>
        </w:rPr>
        <w:t xml:space="preserve"> de 1976 cuando</w:t>
      </w:r>
      <w:r w:rsidR="00924EF6" w:rsidRPr="0007034B">
        <w:rPr>
          <w:rFonts w:asciiTheme="majorHAnsi" w:hAnsiTheme="majorHAnsi"/>
          <w:sz w:val="20"/>
          <w:szCs w:val="20"/>
        </w:rPr>
        <w:t xml:space="preserve"> fueron trasladados a Chile. N</w:t>
      </w:r>
      <w:r w:rsidR="00F424D9" w:rsidRPr="0007034B">
        <w:rPr>
          <w:rFonts w:asciiTheme="majorHAnsi" w:hAnsiTheme="majorHAnsi"/>
          <w:sz w:val="20"/>
          <w:szCs w:val="20"/>
        </w:rPr>
        <w:t xml:space="preserve">o existe </w:t>
      </w:r>
      <w:r w:rsidR="001F2225" w:rsidRPr="0007034B">
        <w:rPr>
          <w:rFonts w:asciiTheme="majorHAnsi" w:hAnsiTheme="majorHAnsi"/>
          <w:sz w:val="20"/>
          <w:szCs w:val="20"/>
        </w:rPr>
        <w:t xml:space="preserve">constancia de </w:t>
      </w:r>
      <w:r w:rsidR="00F424D9" w:rsidRPr="0007034B">
        <w:rPr>
          <w:rFonts w:asciiTheme="majorHAnsi" w:hAnsiTheme="majorHAnsi"/>
          <w:sz w:val="20"/>
          <w:szCs w:val="20"/>
        </w:rPr>
        <w:t>un ingreso legal a</w:t>
      </w:r>
      <w:r w:rsidR="004458D0" w:rsidRPr="0007034B">
        <w:rPr>
          <w:rFonts w:asciiTheme="majorHAnsi" w:hAnsiTheme="majorHAnsi"/>
          <w:sz w:val="20"/>
          <w:szCs w:val="20"/>
        </w:rPr>
        <w:t>l país</w:t>
      </w:r>
      <w:r w:rsidR="004E17ED" w:rsidRPr="0007034B">
        <w:rPr>
          <w:rFonts w:asciiTheme="majorHAnsi" w:hAnsiTheme="majorHAnsi"/>
          <w:sz w:val="20"/>
          <w:szCs w:val="20"/>
        </w:rPr>
        <w:t>,</w:t>
      </w:r>
      <w:r w:rsidR="00924EF6" w:rsidRPr="0007034B">
        <w:rPr>
          <w:rFonts w:asciiTheme="majorHAnsi" w:hAnsiTheme="majorHAnsi"/>
          <w:sz w:val="20"/>
          <w:szCs w:val="20"/>
        </w:rPr>
        <w:t xml:space="preserve"> </w:t>
      </w:r>
      <w:r w:rsidR="001F2225" w:rsidRPr="0007034B">
        <w:rPr>
          <w:rFonts w:asciiTheme="majorHAnsi" w:hAnsiTheme="majorHAnsi"/>
          <w:sz w:val="20"/>
          <w:szCs w:val="20"/>
        </w:rPr>
        <w:t xml:space="preserve">pero se tiene conocimiento que realizaron el viaje </w:t>
      </w:r>
      <w:r w:rsidR="00C419CD" w:rsidRPr="0007034B">
        <w:rPr>
          <w:rFonts w:asciiTheme="majorHAnsi" w:hAnsiTheme="majorHAnsi"/>
          <w:sz w:val="20"/>
          <w:szCs w:val="20"/>
        </w:rPr>
        <w:t>en avión</w:t>
      </w:r>
      <w:r w:rsidR="00924EF6" w:rsidRPr="0007034B">
        <w:rPr>
          <w:rFonts w:asciiTheme="majorHAnsi" w:hAnsiTheme="majorHAnsi"/>
          <w:sz w:val="20"/>
          <w:szCs w:val="20"/>
        </w:rPr>
        <w:t xml:space="preserve"> por el relato de Anatole</w:t>
      </w:r>
      <w:r w:rsidR="00602F19" w:rsidRPr="0007034B">
        <w:rPr>
          <w:rFonts w:asciiTheme="majorHAnsi" w:hAnsiTheme="majorHAnsi"/>
          <w:sz w:val="20"/>
          <w:szCs w:val="20"/>
        </w:rPr>
        <w:t>,</w:t>
      </w:r>
      <w:r w:rsidR="00924EF6" w:rsidRPr="0007034B">
        <w:rPr>
          <w:rFonts w:asciiTheme="majorHAnsi" w:hAnsiTheme="majorHAnsi"/>
          <w:sz w:val="20"/>
          <w:szCs w:val="20"/>
        </w:rPr>
        <w:t xml:space="preserve"> quien </w:t>
      </w:r>
      <w:r w:rsidR="00F424D9" w:rsidRPr="0007034B">
        <w:rPr>
          <w:rFonts w:asciiTheme="majorHAnsi" w:hAnsiTheme="majorHAnsi"/>
          <w:sz w:val="20"/>
          <w:szCs w:val="20"/>
        </w:rPr>
        <w:t>recuerda “estar en un avión pequeño, donde le dieron permiso para ir a ver la cabina, que estaba abierta, siendo la primera vez que veía el volante de un avión y montañas, que luego supo eran de la Cordillera”</w:t>
      </w:r>
      <w:r w:rsidR="00C419CD" w:rsidRPr="0007034B">
        <w:rPr>
          <w:rStyle w:val="FootnoteReference"/>
          <w:rFonts w:asciiTheme="majorHAnsi" w:hAnsiTheme="majorHAnsi"/>
          <w:sz w:val="20"/>
          <w:szCs w:val="20"/>
        </w:rPr>
        <w:footnoteReference w:id="47"/>
      </w:r>
      <w:r w:rsidR="004A1FE3" w:rsidRPr="0007034B">
        <w:rPr>
          <w:rFonts w:asciiTheme="majorHAnsi" w:hAnsiTheme="majorHAnsi"/>
          <w:sz w:val="20"/>
          <w:szCs w:val="20"/>
        </w:rPr>
        <w:t>.</w:t>
      </w:r>
      <w:r w:rsidR="00C857F8" w:rsidRPr="0007034B">
        <w:rPr>
          <w:rFonts w:asciiTheme="majorHAnsi" w:hAnsiTheme="majorHAnsi"/>
          <w:sz w:val="20"/>
          <w:szCs w:val="20"/>
        </w:rPr>
        <w:t xml:space="preserve"> </w:t>
      </w:r>
    </w:p>
    <w:p w14:paraId="5DAC5500" w14:textId="77777777" w:rsidR="0087035D" w:rsidRPr="0007034B" w:rsidRDefault="0087035D" w:rsidP="0087035D">
      <w:pPr>
        <w:pStyle w:val="ListParagraph"/>
        <w:rPr>
          <w:rFonts w:asciiTheme="majorHAnsi" w:hAnsiTheme="majorHAnsi"/>
          <w:sz w:val="20"/>
          <w:szCs w:val="20"/>
          <w:lang w:val="es-ES_tradnl"/>
        </w:rPr>
      </w:pPr>
    </w:p>
    <w:p w14:paraId="097F2E5C" w14:textId="26F29FFE" w:rsidR="001D0ED5" w:rsidRPr="00463806" w:rsidRDefault="00C857F8"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r w:rsidRPr="00463806">
        <w:rPr>
          <w:rFonts w:asciiTheme="majorHAnsi" w:hAnsiTheme="majorHAnsi"/>
          <w:sz w:val="20"/>
          <w:szCs w:val="20"/>
        </w:rPr>
        <w:t>Los hermanos fueron abandonados</w:t>
      </w:r>
      <w:r w:rsidR="005C13FE" w:rsidRPr="00463806">
        <w:rPr>
          <w:rFonts w:asciiTheme="majorHAnsi" w:hAnsiTheme="majorHAnsi"/>
          <w:sz w:val="20"/>
          <w:szCs w:val="20"/>
        </w:rPr>
        <w:t xml:space="preserve"> en la p</w:t>
      </w:r>
      <w:r w:rsidRPr="00463806">
        <w:rPr>
          <w:rFonts w:asciiTheme="majorHAnsi" w:hAnsiTheme="majorHAnsi"/>
          <w:sz w:val="20"/>
          <w:szCs w:val="20"/>
        </w:rPr>
        <w:t xml:space="preserve">laza </w:t>
      </w:r>
      <w:r w:rsidR="005C13FE" w:rsidRPr="00463806">
        <w:rPr>
          <w:rFonts w:asciiTheme="majorHAnsi" w:hAnsiTheme="majorHAnsi"/>
          <w:sz w:val="20"/>
          <w:szCs w:val="20"/>
          <w:lang w:val="es-AR"/>
        </w:rPr>
        <w:t>O’Higgins</w:t>
      </w:r>
      <w:r w:rsidRPr="00463806">
        <w:rPr>
          <w:rFonts w:asciiTheme="majorHAnsi" w:hAnsiTheme="majorHAnsi"/>
          <w:sz w:val="20"/>
          <w:szCs w:val="20"/>
        </w:rPr>
        <w:t xml:space="preserve"> en Valparaíso el 22 de diciembre de 1976</w:t>
      </w:r>
      <w:r w:rsidR="00463806" w:rsidRPr="00463806">
        <w:rPr>
          <w:rFonts w:asciiTheme="majorHAnsi" w:hAnsiTheme="majorHAnsi"/>
          <w:sz w:val="20"/>
          <w:szCs w:val="20"/>
        </w:rPr>
        <w:t xml:space="preserve"> donde fueron encontrados por carabineros</w:t>
      </w:r>
      <w:r w:rsidRPr="00463806">
        <w:rPr>
          <w:rFonts w:asciiTheme="majorHAnsi" w:hAnsiTheme="majorHAnsi"/>
          <w:sz w:val="20"/>
          <w:szCs w:val="20"/>
        </w:rPr>
        <w:t xml:space="preserve">. </w:t>
      </w:r>
      <w:r w:rsidR="00953403" w:rsidRPr="00463806">
        <w:rPr>
          <w:rFonts w:asciiTheme="majorHAnsi" w:hAnsiTheme="majorHAnsi"/>
          <w:sz w:val="20"/>
          <w:szCs w:val="20"/>
        </w:rPr>
        <w:t>Seg</w:t>
      </w:r>
      <w:r w:rsidR="00953403" w:rsidRPr="00463806">
        <w:rPr>
          <w:rFonts w:asciiTheme="majorHAnsi" w:hAnsiTheme="majorHAnsi"/>
          <w:sz w:val="20"/>
          <w:szCs w:val="20"/>
          <w:lang w:val="es-CO"/>
        </w:rPr>
        <w:t xml:space="preserve">ún la parte peticionaria y </w:t>
      </w:r>
      <w:r w:rsidR="00463806" w:rsidRPr="00463806">
        <w:rPr>
          <w:rFonts w:asciiTheme="majorHAnsi" w:hAnsiTheme="majorHAnsi"/>
          <w:sz w:val="20"/>
          <w:szCs w:val="20"/>
          <w:lang w:val="es-CO"/>
        </w:rPr>
        <w:t>según se ve</w:t>
      </w:r>
      <w:r w:rsidR="00953403" w:rsidRPr="00463806">
        <w:rPr>
          <w:rFonts w:asciiTheme="majorHAnsi" w:hAnsiTheme="majorHAnsi"/>
          <w:sz w:val="20"/>
          <w:szCs w:val="20"/>
          <w:lang w:val="es-CO"/>
        </w:rPr>
        <w:t xml:space="preserve"> reflejado en el expediente </w:t>
      </w:r>
      <w:r w:rsidR="00463806" w:rsidRPr="00463806">
        <w:rPr>
          <w:rFonts w:asciiTheme="majorHAnsi" w:hAnsiTheme="majorHAnsi"/>
          <w:sz w:val="20"/>
          <w:szCs w:val="20"/>
          <w:lang w:val="es-CO"/>
        </w:rPr>
        <w:t>judicial</w:t>
      </w:r>
      <w:r w:rsidR="00953403" w:rsidRPr="00463806">
        <w:rPr>
          <w:rFonts w:asciiTheme="majorHAnsi" w:hAnsiTheme="majorHAnsi"/>
          <w:sz w:val="20"/>
          <w:szCs w:val="20"/>
          <w:lang w:val="es-CO"/>
        </w:rPr>
        <w:t xml:space="preserve">, </w:t>
      </w:r>
      <w:r w:rsidR="00953403" w:rsidRPr="00463806">
        <w:rPr>
          <w:rFonts w:asciiTheme="majorHAnsi" w:hAnsiTheme="majorHAnsi"/>
          <w:sz w:val="20"/>
          <w:szCs w:val="20"/>
        </w:rPr>
        <w:t>u</w:t>
      </w:r>
      <w:r w:rsidR="00907883" w:rsidRPr="00463806">
        <w:rPr>
          <w:rFonts w:asciiTheme="majorHAnsi" w:hAnsiTheme="majorHAnsi"/>
          <w:sz w:val="20"/>
          <w:szCs w:val="20"/>
        </w:rPr>
        <w:t>na nota de prensa publicada en el peri</w:t>
      </w:r>
      <w:r w:rsidR="00907883" w:rsidRPr="00463806">
        <w:rPr>
          <w:rFonts w:asciiTheme="majorHAnsi" w:hAnsiTheme="majorHAnsi"/>
          <w:sz w:val="20"/>
          <w:szCs w:val="20"/>
          <w:lang w:val="es-ES"/>
        </w:rPr>
        <w:t xml:space="preserve">ódico “El Mercurio” </w:t>
      </w:r>
      <w:r w:rsidR="00463806" w:rsidRPr="00463806">
        <w:rPr>
          <w:rFonts w:asciiTheme="majorHAnsi" w:hAnsiTheme="majorHAnsi"/>
          <w:sz w:val="20"/>
          <w:szCs w:val="20"/>
          <w:lang w:val="es-ES"/>
        </w:rPr>
        <w:t>dio detalles sobre este hecho y</w:t>
      </w:r>
      <w:r w:rsidR="00953403" w:rsidRPr="00463806">
        <w:rPr>
          <w:rFonts w:asciiTheme="majorHAnsi" w:hAnsiTheme="majorHAnsi"/>
          <w:sz w:val="20"/>
          <w:szCs w:val="20"/>
          <w:lang w:val="es-AR"/>
        </w:rPr>
        <w:t xml:space="preserve"> sobre la manera en que fueron encontrados</w:t>
      </w:r>
      <w:r w:rsidR="00953403" w:rsidRPr="00463806">
        <w:rPr>
          <w:rFonts w:asciiTheme="majorHAnsi" w:eastAsia="Cambria" w:hAnsiTheme="majorHAnsi" w:cs="Cambria"/>
          <w:sz w:val="20"/>
          <w:szCs w:val="20"/>
          <w:lang w:val="es-ES"/>
        </w:rPr>
        <w:t>.</w:t>
      </w:r>
      <w:r w:rsidR="00463806" w:rsidRPr="00463806">
        <w:rPr>
          <w:rFonts w:asciiTheme="majorHAnsi" w:eastAsia="Cambria" w:hAnsiTheme="majorHAnsi" w:cs="Cambria"/>
          <w:sz w:val="20"/>
          <w:szCs w:val="20"/>
          <w:lang w:val="es-ES"/>
        </w:rPr>
        <w:t xml:space="preserve"> </w:t>
      </w:r>
      <w:r w:rsidR="001D0ED5" w:rsidRPr="00463806">
        <w:rPr>
          <w:rFonts w:asciiTheme="majorHAnsi" w:hAnsiTheme="majorHAnsi"/>
          <w:sz w:val="20"/>
          <w:szCs w:val="20"/>
        </w:rPr>
        <w:t xml:space="preserve">Se desconoce el motivo por el cual </w:t>
      </w:r>
      <w:r w:rsidR="00463806">
        <w:rPr>
          <w:rFonts w:asciiTheme="majorHAnsi" w:hAnsiTheme="majorHAnsi"/>
          <w:sz w:val="20"/>
          <w:szCs w:val="20"/>
        </w:rPr>
        <w:t xml:space="preserve">los hermanos </w:t>
      </w:r>
      <w:r w:rsidR="001D0ED5" w:rsidRPr="00463806">
        <w:rPr>
          <w:rFonts w:asciiTheme="majorHAnsi" w:hAnsiTheme="majorHAnsi"/>
          <w:sz w:val="20"/>
          <w:szCs w:val="20"/>
        </w:rPr>
        <w:t>fueron llevados a Chile. De acuerdo a algunos testimonios en sede judicial, existía una idea de “botín de guerra”, de que “los niños fueran reeducados, en principio, por la familia de militares y policía</w:t>
      </w:r>
      <w:r w:rsidR="0092720A" w:rsidRPr="00463806">
        <w:rPr>
          <w:rFonts w:asciiTheme="majorHAnsi" w:hAnsiTheme="majorHAnsi"/>
          <w:sz w:val="20"/>
          <w:szCs w:val="20"/>
        </w:rPr>
        <w:t>s</w:t>
      </w:r>
      <w:r w:rsidR="001D0ED5" w:rsidRPr="00463806">
        <w:rPr>
          <w:rFonts w:asciiTheme="majorHAnsi" w:hAnsiTheme="majorHAnsi"/>
          <w:sz w:val="20"/>
          <w:szCs w:val="20"/>
        </w:rPr>
        <w:t>, tratar de borrar la identidad y nacionalidad de esas criaturas, por eso</w:t>
      </w:r>
      <w:r w:rsidR="006C7B2C" w:rsidRPr="00463806">
        <w:rPr>
          <w:rFonts w:asciiTheme="majorHAnsi" w:hAnsiTheme="majorHAnsi"/>
          <w:sz w:val="20"/>
          <w:szCs w:val="20"/>
        </w:rPr>
        <w:t xml:space="preserve"> los intercambios, y cuando est</w:t>
      </w:r>
      <w:r w:rsidR="001D0ED5" w:rsidRPr="00463806">
        <w:rPr>
          <w:rFonts w:asciiTheme="majorHAnsi" w:hAnsiTheme="majorHAnsi"/>
          <w:sz w:val="20"/>
          <w:szCs w:val="20"/>
        </w:rPr>
        <w:t>os niños llegaron a Chile por la edad del mayor, la persona que iba a ser receptora de los menores no se quiso hacer cargo de ellos”</w:t>
      </w:r>
      <w:r w:rsidR="001D0ED5" w:rsidRPr="0007034B">
        <w:rPr>
          <w:rStyle w:val="FootnoteReference"/>
          <w:rFonts w:asciiTheme="majorHAnsi" w:hAnsiTheme="majorHAnsi"/>
          <w:sz w:val="20"/>
          <w:szCs w:val="20"/>
        </w:rPr>
        <w:footnoteReference w:id="48"/>
      </w:r>
      <w:r w:rsidR="006F3891" w:rsidRPr="00463806">
        <w:rPr>
          <w:rFonts w:asciiTheme="majorHAnsi" w:hAnsiTheme="majorHAnsi"/>
          <w:sz w:val="20"/>
          <w:szCs w:val="20"/>
        </w:rPr>
        <w:t>.</w:t>
      </w:r>
      <w:r w:rsidR="001D0ED5" w:rsidRPr="00463806">
        <w:rPr>
          <w:rFonts w:asciiTheme="majorHAnsi" w:hAnsiTheme="majorHAnsi"/>
          <w:sz w:val="20"/>
          <w:szCs w:val="20"/>
        </w:rPr>
        <w:t xml:space="preserve"> Seg</w:t>
      </w:r>
      <w:r w:rsidR="001D0ED5" w:rsidRPr="00463806">
        <w:rPr>
          <w:rFonts w:asciiTheme="majorHAnsi" w:hAnsiTheme="majorHAnsi"/>
          <w:sz w:val="20"/>
          <w:szCs w:val="20"/>
          <w:lang w:val="es-ES"/>
        </w:rPr>
        <w:t>ún declaraciones de Victoria, “como actuaron militares argentinos y uruguayos, y […] su hermano podía llegar a reconocer a alguien, los dejaron en un país distinto a los mencionados. Tal vez, algo falló en la familia que los podía llegar a recibir o simplemente iban a abandonarlos allí de todos modos”</w:t>
      </w:r>
      <w:r w:rsidR="001D0ED5" w:rsidRPr="0007034B">
        <w:rPr>
          <w:rStyle w:val="FootnoteReference"/>
          <w:rFonts w:asciiTheme="majorHAnsi" w:hAnsiTheme="majorHAnsi"/>
          <w:sz w:val="20"/>
          <w:szCs w:val="20"/>
          <w:lang w:val="es-ES"/>
        </w:rPr>
        <w:footnoteReference w:id="49"/>
      </w:r>
      <w:r w:rsidR="00EA2F61" w:rsidRPr="00463806">
        <w:rPr>
          <w:rFonts w:asciiTheme="majorHAnsi" w:hAnsiTheme="majorHAnsi"/>
          <w:sz w:val="20"/>
          <w:szCs w:val="20"/>
          <w:lang w:val="es-ES"/>
        </w:rPr>
        <w:t>.</w:t>
      </w:r>
      <w:r w:rsidR="001D0ED5" w:rsidRPr="00463806">
        <w:rPr>
          <w:rFonts w:asciiTheme="majorHAnsi" w:hAnsiTheme="majorHAnsi"/>
          <w:sz w:val="20"/>
          <w:szCs w:val="20"/>
          <w:lang w:val="es-ES"/>
        </w:rPr>
        <w:t xml:space="preserve"> </w:t>
      </w:r>
    </w:p>
    <w:p w14:paraId="6F2224F5" w14:textId="77777777" w:rsidR="005916EF" w:rsidRPr="0007034B" w:rsidRDefault="005916EF" w:rsidP="005916EF">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rPr>
      </w:pPr>
    </w:p>
    <w:p w14:paraId="0BF0CB49" w14:textId="2A2C0898" w:rsidR="005916EF" w:rsidRPr="0007034B" w:rsidRDefault="00EE6585"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r w:rsidRPr="0007034B">
        <w:rPr>
          <w:rFonts w:asciiTheme="majorHAnsi" w:hAnsiTheme="majorHAnsi"/>
          <w:sz w:val="20"/>
          <w:szCs w:val="20"/>
        </w:rPr>
        <w:lastRenderedPageBreak/>
        <w:t>Luego de permanecer unos meses en un orfanato</w:t>
      </w:r>
      <w:r w:rsidR="00DD1582" w:rsidRPr="0007034B">
        <w:rPr>
          <w:rFonts w:asciiTheme="majorHAnsi" w:hAnsiTheme="majorHAnsi"/>
          <w:sz w:val="20"/>
          <w:szCs w:val="20"/>
        </w:rPr>
        <w:t xml:space="preserve"> fueron separados y conducidos a distintas casas hasta que</w:t>
      </w:r>
      <w:r w:rsidRPr="0007034B">
        <w:rPr>
          <w:rFonts w:asciiTheme="majorHAnsi" w:hAnsiTheme="majorHAnsi"/>
          <w:sz w:val="20"/>
          <w:szCs w:val="20"/>
          <w:lang w:val="es-AR"/>
        </w:rPr>
        <w:t xml:space="preserve"> </w:t>
      </w:r>
      <w:r w:rsidR="005916EF" w:rsidRPr="0007034B">
        <w:rPr>
          <w:rFonts w:asciiTheme="majorHAnsi" w:hAnsiTheme="majorHAnsi"/>
          <w:sz w:val="20"/>
          <w:szCs w:val="20"/>
          <w:lang w:val="es-AR"/>
        </w:rPr>
        <w:t xml:space="preserve">fueron entregados en guarda al matrimonio chileno integrado por Jesús Larrabeiti y Silvia Yáñez, </w:t>
      </w:r>
      <w:r w:rsidR="009F7334" w:rsidRPr="0007034B">
        <w:rPr>
          <w:rFonts w:asciiTheme="majorHAnsi" w:hAnsiTheme="majorHAnsi"/>
          <w:sz w:val="20"/>
          <w:szCs w:val="20"/>
          <w:lang w:val="es-AR"/>
        </w:rPr>
        <w:t xml:space="preserve">él cirujano dental y ella educadora, </w:t>
      </w:r>
      <w:r w:rsidR="005916EF" w:rsidRPr="0007034B">
        <w:rPr>
          <w:rFonts w:asciiTheme="majorHAnsi" w:hAnsiTheme="majorHAnsi"/>
          <w:sz w:val="20"/>
          <w:szCs w:val="20"/>
          <w:lang w:val="es-AR"/>
        </w:rPr>
        <w:t xml:space="preserve">quienes no tenían </w:t>
      </w:r>
      <w:r w:rsidR="009F7334" w:rsidRPr="0007034B">
        <w:rPr>
          <w:rFonts w:asciiTheme="majorHAnsi" w:hAnsiTheme="majorHAnsi"/>
          <w:sz w:val="20"/>
          <w:szCs w:val="20"/>
          <w:lang w:val="es-AR"/>
        </w:rPr>
        <w:t>vínculos</w:t>
      </w:r>
      <w:r w:rsidR="005916EF" w:rsidRPr="0007034B">
        <w:rPr>
          <w:rFonts w:asciiTheme="majorHAnsi" w:hAnsiTheme="majorHAnsi"/>
          <w:sz w:val="20"/>
          <w:szCs w:val="20"/>
          <w:lang w:val="es-AR"/>
        </w:rPr>
        <w:t xml:space="preserve"> con el aparato represivo</w:t>
      </w:r>
      <w:r w:rsidR="009F7334" w:rsidRPr="0007034B">
        <w:rPr>
          <w:rFonts w:asciiTheme="majorHAnsi" w:hAnsiTheme="majorHAnsi"/>
          <w:sz w:val="20"/>
          <w:szCs w:val="20"/>
          <w:lang w:val="es-AR"/>
        </w:rPr>
        <w:t xml:space="preserve">. </w:t>
      </w:r>
      <w:r w:rsidR="00DD1582" w:rsidRPr="0007034B">
        <w:rPr>
          <w:rFonts w:asciiTheme="majorHAnsi" w:hAnsiTheme="majorHAnsi"/>
          <w:sz w:val="20"/>
          <w:szCs w:val="20"/>
          <w:lang w:val="es-AR"/>
        </w:rPr>
        <w:t>En 1979, cuando estaban por firmar el acta de adopción, surgieron sospechas de que fueran hijo</w:t>
      </w:r>
      <w:r w:rsidR="00FC0B74" w:rsidRPr="0007034B">
        <w:rPr>
          <w:rFonts w:asciiTheme="majorHAnsi" w:hAnsiTheme="majorHAnsi"/>
          <w:sz w:val="20"/>
          <w:szCs w:val="20"/>
          <w:lang w:val="es-AR"/>
        </w:rPr>
        <w:t xml:space="preserve"> e hija</w:t>
      </w:r>
      <w:r w:rsidR="00DD1582" w:rsidRPr="0007034B">
        <w:rPr>
          <w:rFonts w:asciiTheme="majorHAnsi" w:hAnsiTheme="majorHAnsi"/>
          <w:sz w:val="20"/>
          <w:szCs w:val="20"/>
          <w:lang w:val="es-AR"/>
        </w:rPr>
        <w:t xml:space="preserve"> de desaparecidos uruguayos, por lo que el matrimonio no firmó el acta y esperó a que se aclarara la situación</w:t>
      </w:r>
      <w:r w:rsidR="00DD1582" w:rsidRPr="0007034B">
        <w:rPr>
          <w:rStyle w:val="FootnoteReference"/>
          <w:rFonts w:asciiTheme="majorHAnsi" w:hAnsiTheme="majorHAnsi"/>
          <w:sz w:val="20"/>
          <w:szCs w:val="20"/>
          <w:lang w:val="es-AR"/>
        </w:rPr>
        <w:footnoteReference w:id="50"/>
      </w:r>
      <w:r w:rsidR="00380D10" w:rsidRPr="0007034B">
        <w:rPr>
          <w:rFonts w:asciiTheme="majorHAnsi" w:hAnsiTheme="majorHAnsi"/>
          <w:sz w:val="20"/>
          <w:szCs w:val="20"/>
          <w:lang w:val="es-AR"/>
        </w:rPr>
        <w:t>.</w:t>
      </w:r>
    </w:p>
    <w:p w14:paraId="2FB361CC" w14:textId="77777777" w:rsidR="00215995" w:rsidRPr="0007034B" w:rsidRDefault="00215995" w:rsidP="00517ADB">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rPr>
      </w:pPr>
    </w:p>
    <w:p w14:paraId="0FBBA462" w14:textId="77777777" w:rsidR="00BF49F7" w:rsidRPr="007E73E1" w:rsidRDefault="00BF49F7" w:rsidP="007E73E1">
      <w:pPr>
        <w:pStyle w:val="Heading3"/>
      </w:pPr>
      <w:bookmarkStart w:id="40" w:name="_Toc6349156"/>
      <w:bookmarkStart w:id="41" w:name="_Toc6466649"/>
      <w:r w:rsidRPr="007E73E1">
        <w:t>Sobre la búsqueda de los familiares</w:t>
      </w:r>
      <w:bookmarkEnd w:id="40"/>
      <w:bookmarkEnd w:id="41"/>
    </w:p>
    <w:p w14:paraId="2C9DEBD7" w14:textId="77777777" w:rsidR="00BF49F7" w:rsidRPr="0007034B" w:rsidRDefault="00BF49F7" w:rsidP="00BF49F7">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1440" w:firstLine="0"/>
        <w:jc w:val="both"/>
        <w:rPr>
          <w:rFonts w:asciiTheme="majorHAnsi" w:hAnsiTheme="majorHAnsi"/>
          <w:b/>
          <w:sz w:val="20"/>
          <w:szCs w:val="20"/>
        </w:rPr>
      </w:pPr>
    </w:p>
    <w:p w14:paraId="416D5F56" w14:textId="5707BA21" w:rsidR="00BF49F7" w:rsidRPr="0007034B" w:rsidRDefault="00BF49F7"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r w:rsidRPr="0007034B">
        <w:rPr>
          <w:rFonts w:asciiTheme="majorHAnsi" w:hAnsiTheme="majorHAnsi"/>
          <w:sz w:val="20"/>
          <w:szCs w:val="20"/>
        </w:rPr>
        <w:t xml:space="preserve">Con posterioridad a la desaparición de la familia Julien-Grisonas, las señoras Angélica Cáceres y Lucía Andrijauskaite, abuelas paterna y materna respectivamente, emprendieron una intensa labor de búsqueda de </w:t>
      </w:r>
      <w:r w:rsidR="008959E3" w:rsidRPr="0007034B">
        <w:rPr>
          <w:rFonts w:asciiTheme="majorHAnsi" w:hAnsiTheme="majorHAnsi"/>
          <w:sz w:val="20"/>
          <w:szCs w:val="20"/>
        </w:rPr>
        <w:t>la familia Julien-Grisonas</w:t>
      </w:r>
      <w:r w:rsidRPr="0007034B">
        <w:rPr>
          <w:rFonts w:asciiTheme="majorHAnsi" w:hAnsiTheme="majorHAnsi"/>
          <w:sz w:val="20"/>
          <w:szCs w:val="20"/>
        </w:rPr>
        <w:t xml:space="preserve">, a nivel nacional e internacional, distribuyendo fotos de </w:t>
      </w:r>
      <w:r w:rsidR="0092720A" w:rsidRPr="0007034B">
        <w:rPr>
          <w:rFonts w:asciiTheme="majorHAnsi" w:hAnsiTheme="majorHAnsi"/>
          <w:sz w:val="20"/>
          <w:szCs w:val="20"/>
        </w:rPr>
        <w:t>su nieto y nieta</w:t>
      </w:r>
      <w:r w:rsidRPr="0007034B">
        <w:rPr>
          <w:rFonts w:asciiTheme="majorHAnsi" w:hAnsiTheme="majorHAnsi"/>
          <w:sz w:val="20"/>
          <w:szCs w:val="20"/>
        </w:rPr>
        <w:t xml:space="preserve"> en varios países</w:t>
      </w:r>
      <w:r w:rsidRPr="0007034B">
        <w:rPr>
          <w:rStyle w:val="FootnoteReference"/>
          <w:rFonts w:asciiTheme="majorHAnsi" w:hAnsiTheme="majorHAnsi"/>
          <w:sz w:val="20"/>
          <w:szCs w:val="20"/>
        </w:rPr>
        <w:footnoteReference w:id="51"/>
      </w:r>
      <w:r w:rsidR="00A75185" w:rsidRPr="0007034B">
        <w:rPr>
          <w:rFonts w:asciiTheme="majorHAnsi" w:hAnsiTheme="majorHAnsi"/>
          <w:sz w:val="20"/>
          <w:szCs w:val="20"/>
        </w:rPr>
        <w:t>.</w:t>
      </w:r>
      <w:r w:rsidR="008959E3" w:rsidRPr="0007034B">
        <w:rPr>
          <w:rFonts w:asciiTheme="majorHAnsi" w:hAnsiTheme="majorHAnsi"/>
          <w:sz w:val="20"/>
          <w:szCs w:val="20"/>
        </w:rPr>
        <w:t xml:space="preserve"> Asimismo, denunciaron los hechos ante ACNUR y realizaron diversas gestiones ante organismos militares y gubernamentales en Argentina y Uruguay</w:t>
      </w:r>
      <w:r w:rsidR="008959E3" w:rsidRPr="0007034B">
        <w:rPr>
          <w:rStyle w:val="FootnoteReference"/>
          <w:rFonts w:asciiTheme="majorHAnsi" w:hAnsiTheme="majorHAnsi"/>
          <w:sz w:val="20"/>
          <w:szCs w:val="20"/>
        </w:rPr>
        <w:footnoteReference w:id="52"/>
      </w:r>
      <w:r w:rsidR="0082465B" w:rsidRPr="0007034B">
        <w:rPr>
          <w:rFonts w:asciiTheme="majorHAnsi" w:hAnsiTheme="majorHAnsi"/>
          <w:sz w:val="20"/>
          <w:szCs w:val="20"/>
        </w:rPr>
        <w:t>.</w:t>
      </w:r>
    </w:p>
    <w:p w14:paraId="1BEF43FB" w14:textId="77777777" w:rsidR="00BF49F7" w:rsidRPr="0007034B" w:rsidRDefault="00BF49F7" w:rsidP="00BF49F7">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rPr>
      </w:pPr>
    </w:p>
    <w:p w14:paraId="450FB093" w14:textId="5E7C6A1D" w:rsidR="009A693B" w:rsidRPr="0007034B" w:rsidRDefault="00433185"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r w:rsidRPr="0007034B">
        <w:rPr>
          <w:rFonts w:asciiTheme="majorHAnsi" w:hAnsiTheme="majorHAnsi"/>
          <w:sz w:val="20"/>
          <w:szCs w:val="20"/>
        </w:rPr>
        <w:t>Por otra parte, e</w:t>
      </w:r>
      <w:r w:rsidR="009F69B8" w:rsidRPr="0007034B">
        <w:rPr>
          <w:rFonts w:asciiTheme="majorHAnsi" w:hAnsiTheme="majorHAnsi"/>
          <w:sz w:val="20"/>
          <w:szCs w:val="20"/>
        </w:rPr>
        <w:t xml:space="preserve">l 8 de junio de 1977 se interpuso una acción de habeas corpus a favor de Victoria Grisonas, Mario </w:t>
      </w:r>
      <w:r w:rsidR="0092720A" w:rsidRPr="0007034B">
        <w:rPr>
          <w:rFonts w:asciiTheme="majorHAnsi" w:hAnsiTheme="majorHAnsi"/>
          <w:sz w:val="20"/>
          <w:szCs w:val="20"/>
        </w:rPr>
        <w:t>Julien</w:t>
      </w:r>
      <w:r w:rsidR="009F69B8" w:rsidRPr="0007034B">
        <w:rPr>
          <w:rFonts w:asciiTheme="majorHAnsi" w:hAnsiTheme="majorHAnsi"/>
          <w:sz w:val="20"/>
          <w:szCs w:val="20"/>
        </w:rPr>
        <w:t xml:space="preserve"> e hijos ante el Juzgado Nacional en lo Criminal y Correccional Federal No. 2, </w:t>
      </w:r>
      <w:r w:rsidR="00396B4A" w:rsidRPr="0007034B">
        <w:rPr>
          <w:rFonts w:asciiTheme="majorHAnsi" w:hAnsiTheme="majorHAnsi"/>
          <w:sz w:val="20"/>
          <w:szCs w:val="20"/>
        </w:rPr>
        <w:t>iniciándose la c</w:t>
      </w:r>
      <w:r w:rsidR="009F69B8" w:rsidRPr="0007034B">
        <w:rPr>
          <w:rFonts w:asciiTheme="majorHAnsi" w:hAnsiTheme="majorHAnsi"/>
          <w:sz w:val="20"/>
          <w:szCs w:val="20"/>
        </w:rPr>
        <w:t>ausa No. 11.407. A</w:t>
      </w:r>
      <w:r w:rsidR="00C9154C" w:rsidRPr="0007034B">
        <w:rPr>
          <w:rFonts w:asciiTheme="majorHAnsi" w:hAnsiTheme="majorHAnsi"/>
          <w:sz w:val="20"/>
          <w:szCs w:val="20"/>
        </w:rPr>
        <w:t xml:space="preserve">simismo, </w:t>
      </w:r>
      <w:r w:rsidRPr="0007034B">
        <w:rPr>
          <w:rFonts w:asciiTheme="majorHAnsi" w:hAnsiTheme="majorHAnsi"/>
          <w:sz w:val="20"/>
          <w:szCs w:val="20"/>
        </w:rPr>
        <w:t>el 4 de agosto de 1977</w:t>
      </w:r>
      <w:r w:rsidR="00396B4A" w:rsidRPr="0007034B">
        <w:rPr>
          <w:rFonts w:asciiTheme="majorHAnsi" w:hAnsiTheme="majorHAnsi"/>
          <w:sz w:val="20"/>
          <w:szCs w:val="20"/>
        </w:rPr>
        <w:t xml:space="preserve"> se inicia la causa No. 41.803 ante </w:t>
      </w:r>
      <w:r w:rsidRPr="0007034B">
        <w:rPr>
          <w:rFonts w:asciiTheme="majorHAnsi" w:hAnsiTheme="majorHAnsi"/>
          <w:sz w:val="20"/>
          <w:szCs w:val="20"/>
        </w:rPr>
        <w:t>el Juzgado en lo Penal No. 6 del Departamento Judicial de La Plata, caratulada “Cáceres de Julien, María Angélica interpone recurso de habeas corpus a favor de Julien Cáceres, Mario Roger”.</w:t>
      </w:r>
      <w:r w:rsidR="000E05FD" w:rsidRPr="0007034B">
        <w:rPr>
          <w:rFonts w:asciiTheme="majorHAnsi" w:hAnsiTheme="majorHAnsi"/>
          <w:sz w:val="20"/>
          <w:szCs w:val="20"/>
        </w:rPr>
        <w:t xml:space="preserve"> El 16 de octubre de 1979 se inició la causa No. 14.711 caratulada “Julien Cáceres, Mario Roger y Grisonas, Victoria Lucía s/priv. ileg. libertad” ante el Juzgado Nacional de Primera Instancia en lo Criminal de Instrucción No. 14</w:t>
      </w:r>
      <w:r w:rsidR="000E05FD" w:rsidRPr="0007034B">
        <w:rPr>
          <w:rStyle w:val="FootnoteReference"/>
          <w:rFonts w:asciiTheme="majorHAnsi" w:hAnsiTheme="majorHAnsi"/>
          <w:sz w:val="20"/>
          <w:szCs w:val="20"/>
        </w:rPr>
        <w:footnoteReference w:id="53"/>
      </w:r>
      <w:r w:rsidR="00F30930" w:rsidRPr="0007034B">
        <w:rPr>
          <w:rFonts w:asciiTheme="majorHAnsi" w:hAnsiTheme="majorHAnsi"/>
          <w:sz w:val="20"/>
          <w:szCs w:val="20"/>
        </w:rPr>
        <w:t>.</w:t>
      </w:r>
      <w:r w:rsidR="000E05FD" w:rsidRPr="0007034B">
        <w:rPr>
          <w:rFonts w:asciiTheme="majorHAnsi" w:hAnsiTheme="majorHAnsi"/>
          <w:sz w:val="20"/>
          <w:szCs w:val="20"/>
        </w:rPr>
        <w:t xml:space="preserve"> No existe información sobre </w:t>
      </w:r>
      <w:r w:rsidR="0092720A" w:rsidRPr="0007034B">
        <w:rPr>
          <w:rFonts w:asciiTheme="majorHAnsi" w:hAnsiTheme="majorHAnsi"/>
          <w:sz w:val="20"/>
          <w:szCs w:val="20"/>
        </w:rPr>
        <w:t>las acciones emprendidas por las autoridades en el marco de dichas causas</w:t>
      </w:r>
      <w:r w:rsidR="000E05FD" w:rsidRPr="0007034B">
        <w:rPr>
          <w:rFonts w:asciiTheme="majorHAnsi" w:hAnsiTheme="majorHAnsi"/>
          <w:sz w:val="20"/>
          <w:szCs w:val="20"/>
        </w:rPr>
        <w:t>.</w:t>
      </w:r>
    </w:p>
    <w:p w14:paraId="05F5E0AE" w14:textId="77777777" w:rsidR="009A693B" w:rsidRPr="0007034B" w:rsidRDefault="009A693B" w:rsidP="009A693B">
      <w:pPr>
        <w:pStyle w:val="ListParagraph"/>
        <w:rPr>
          <w:rFonts w:asciiTheme="majorHAnsi" w:hAnsiTheme="majorHAnsi"/>
          <w:sz w:val="20"/>
          <w:szCs w:val="20"/>
          <w:lang w:val="es-ES"/>
        </w:rPr>
      </w:pPr>
    </w:p>
    <w:p w14:paraId="44B92E8E" w14:textId="21079266" w:rsidR="009A693B" w:rsidRPr="0007034B" w:rsidRDefault="003077D8"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r w:rsidRPr="0007034B">
        <w:rPr>
          <w:rFonts w:asciiTheme="majorHAnsi" w:hAnsiTheme="majorHAnsi"/>
          <w:sz w:val="20"/>
          <w:szCs w:val="20"/>
        </w:rPr>
        <w:t xml:space="preserve">Asimismo, en 1984 la señora </w:t>
      </w:r>
      <w:r w:rsidR="000A77CC" w:rsidRPr="0007034B">
        <w:rPr>
          <w:rFonts w:asciiTheme="majorHAnsi" w:hAnsiTheme="majorHAnsi"/>
          <w:sz w:val="20"/>
          <w:szCs w:val="20"/>
        </w:rPr>
        <w:t xml:space="preserve">María Angélica Cáceres denunció la desaparición de su hijo y nuera ante la CONADEP. A raíz de dichas denuncias, el Informe Final de la CONADEP publicado </w:t>
      </w:r>
      <w:r w:rsidR="0062658B" w:rsidRPr="0007034B">
        <w:rPr>
          <w:rFonts w:asciiTheme="majorHAnsi" w:hAnsiTheme="majorHAnsi"/>
          <w:sz w:val="20"/>
          <w:szCs w:val="20"/>
        </w:rPr>
        <w:t>en 1986</w:t>
      </w:r>
      <w:r w:rsidR="000A77CC" w:rsidRPr="0007034B">
        <w:rPr>
          <w:rFonts w:asciiTheme="majorHAnsi" w:hAnsiTheme="majorHAnsi"/>
          <w:sz w:val="20"/>
          <w:szCs w:val="20"/>
        </w:rPr>
        <w:t xml:space="preserve"> incluyó los legajos No. 2950 y 2951 relativos a las referidas desapariciones forzadas</w:t>
      </w:r>
      <w:r w:rsidR="000A77CC" w:rsidRPr="0007034B">
        <w:rPr>
          <w:rStyle w:val="FootnoteReference"/>
          <w:rFonts w:asciiTheme="majorHAnsi" w:hAnsiTheme="majorHAnsi"/>
          <w:sz w:val="20"/>
          <w:szCs w:val="20"/>
        </w:rPr>
        <w:footnoteReference w:id="54"/>
      </w:r>
      <w:r w:rsidR="004E65E3" w:rsidRPr="0007034B">
        <w:rPr>
          <w:rFonts w:asciiTheme="majorHAnsi" w:hAnsiTheme="majorHAnsi"/>
          <w:sz w:val="20"/>
          <w:szCs w:val="20"/>
        </w:rPr>
        <w:t>.</w:t>
      </w:r>
      <w:r w:rsidR="000A77CC" w:rsidRPr="0007034B">
        <w:rPr>
          <w:rFonts w:asciiTheme="majorHAnsi" w:hAnsiTheme="majorHAnsi"/>
          <w:sz w:val="20"/>
          <w:szCs w:val="20"/>
        </w:rPr>
        <w:t xml:space="preserve"> </w:t>
      </w:r>
      <w:r w:rsidR="009A693B" w:rsidRPr="0007034B">
        <w:rPr>
          <w:rFonts w:asciiTheme="majorHAnsi" w:hAnsiTheme="majorHAnsi"/>
          <w:sz w:val="20"/>
          <w:szCs w:val="20"/>
        </w:rPr>
        <w:t>La primera impresión, de 40.000 ejemplares, se agotó en las primeras 48 horas de venta</w:t>
      </w:r>
      <w:r w:rsidR="009A693B" w:rsidRPr="0007034B">
        <w:rPr>
          <w:rStyle w:val="FootnoteReference"/>
          <w:rFonts w:asciiTheme="majorHAnsi" w:hAnsiTheme="majorHAnsi"/>
          <w:sz w:val="20"/>
          <w:szCs w:val="20"/>
        </w:rPr>
        <w:footnoteReference w:id="55"/>
      </w:r>
      <w:r w:rsidR="000A50CC" w:rsidRPr="0007034B">
        <w:rPr>
          <w:rFonts w:asciiTheme="majorHAnsi" w:hAnsiTheme="majorHAnsi"/>
          <w:sz w:val="20"/>
          <w:szCs w:val="20"/>
        </w:rPr>
        <w:t>.</w:t>
      </w:r>
      <w:r w:rsidR="009A693B" w:rsidRPr="0007034B">
        <w:rPr>
          <w:rFonts w:asciiTheme="majorHAnsi" w:hAnsiTheme="majorHAnsi"/>
          <w:sz w:val="20"/>
          <w:szCs w:val="20"/>
        </w:rPr>
        <w:t xml:space="preserve"> </w:t>
      </w:r>
    </w:p>
    <w:p w14:paraId="0F3BD209" w14:textId="77777777" w:rsidR="00C9154C" w:rsidRPr="0007034B" w:rsidRDefault="009C55B9" w:rsidP="009C55B9">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3272"/>
        </w:tabs>
        <w:suppressAutoHyphens/>
        <w:ind w:left="0" w:firstLine="0"/>
        <w:jc w:val="both"/>
        <w:rPr>
          <w:rFonts w:asciiTheme="majorHAnsi" w:hAnsiTheme="majorHAnsi"/>
          <w:sz w:val="20"/>
          <w:szCs w:val="20"/>
          <w:lang w:val="es-ES"/>
        </w:rPr>
      </w:pPr>
      <w:r w:rsidRPr="0007034B">
        <w:rPr>
          <w:rFonts w:asciiTheme="majorHAnsi" w:hAnsiTheme="majorHAnsi"/>
          <w:sz w:val="20"/>
          <w:szCs w:val="20"/>
        </w:rPr>
        <w:tab/>
      </w:r>
    </w:p>
    <w:p w14:paraId="04F54B96" w14:textId="77777777" w:rsidR="00A11518" w:rsidRPr="007E73E1" w:rsidRDefault="00A11518" w:rsidP="007E73E1">
      <w:pPr>
        <w:pStyle w:val="Heading3"/>
      </w:pPr>
      <w:bookmarkStart w:id="42" w:name="_Toc6349157"/>
      <w:bookmarkStart w:id="43" w:name="_Toc6466650"/>
      <w:r w:rsidRPr="007E73E1">
        <w:t xml:space="preserve">Sobre la recuperación de la identidad </w:t>
      </w:r>
      <w:r w:rsidR="005916EF" w:rsidRPr="007E73E1">
        <w:t>de los hermanos Larrabeiti Yáñez</w:t>
      </w:r>
      <w:bookmarkEnd w:id="42"/>
      <w:bookmarkEnd w:id="43"/>
    </w:p>
    <w:p w14:paraId="51616254" w14:textId="77777777" w:rsidR="001B6D6C" w:rsidRPr="0007034B" w:rsidRDefault="001B6D6C" w:rsidP="001B6D6C">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rPr>
      </w:pPr>
    </w:p>
    <w:p w14:paraId="20060A22" w14:textId="3A8811FF" w:rsidR="00214EA2" w:rsidRPr="0007034B" w:rsidRDefault="00214EA2"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r w:rsidRPr="0007034B">
        <w:rPr>
          <w:rFonts w:asciiTheme="majorHAnsi" w:hAnsiTheme="majorHAnsi"/>
          <w:sz w:val="20"/>
          <w:szCs w:val="20"/>
        </w:rPr>
        <w:t xml:space="preserve">En </w:t>
      </w:r>
      <w:r w:rsidR="00E970C6" w:rsidRPr="0007034B">
        <w:rPr>
          <w:rFonts w:asciiTheme="majorHAnsi" w:hAnsiTheme="majorHAnsi"/>
          <w:sz w:val="20"/>
          <w:szCs w:val="20"/>
        </w:rPr>
        <w:t>1979, María Bernabela Herrera Sanguine</w:t>
      </w:r>
      <w:r w:rsidR="001B6D6C" w:rsidRPr="0007034B">
        <w:rPr>
          <w:rFonts w:asciiTheme="majorHAnsi" w:hAnsiTheme="majorHAnsi"/>
          <w:sz w:val="20"/>
          <w:szCs w:val="20"/>
        </w:rPr>
        <w:t>t</w:t>
      </w:r>
      <w:r w:rsidR="00E970C6" w:rsidRPr="0007034B">
        <w:rPr>
          <w:rFonts w:asciiTheme="majorHAnsi" w:hAnsiTheme="majorHAnsi"/>
          <w:sz w:val="20"/>
          <w:szCs w:val="20"/>
        </w:rPr>
        <w:t xml:space="preserve">ti, uruguaya entonces encargada de la oficina de ACNUR en Chile, recibió </w:t>
      </w:r>
      <w:r w:rsidR="001B6D6C" w:rsidRPr="0007034B">
        <w:rPr>
          <w:rFonts w:asciiTheme="majorHAnsi" w:hAnsiTheme="majorHAnsi"/>
          <w:sz w:val="20"/>
          <w:szCs w:val="20"/>
        </w:rPr>
        <w:t>una carta de</w:t>
      </w:r>
      <w:r w:rsidR="00121C9C" w:rsidRPr="0007034B">
        <w:rPr>
          <w:rFonts w:asciiTheme="majorHAnsi" w:hAnsiTheme="majorHAnsi"/>
          <w:sz w:val="20"/>
          <w:szCs w:val="20"/>
        </w:rPr>
        <w:t>l</w:t>
      </w:r>
      <w:r w:rsidR="001B6D6C" w:rsidRPr="0007034B">
        <w:rPr>
          <w:rFonts w:asciiTheme="majorHAnsi" w:hAnsiTheme="majorHAnsi"/>
          <w:sz w:val="20"/>
          <w:szCs w:val="20"/>
        </w:rPr>
        <w:t xml:space="preserve"> </w:t>
      </w:r>
      <w:r w:rsidR="00121C9C" w:rsidRPr="0007034B">
        <w:rPr>
          <w:rFonts w:asciiTheme="majorHAnsi" w:hAnsiTheme="majorHAnsi"/>
          <w:sz w:val="20"/>
          <w:szCs w:val="20"/>
        </w:rPr>
        <w:t>presidente</w:t>
      </w:r>
      <w:r w:rsidR="001B6D6C" w:rsidRPr="0007034B">
        <w:rPr>
          <w:rFonts w:asciiTheme="majorHAnsi" w:hAnsiTheme="majorHAnsi"/>
          <w:sz w:val="20"/>
          <w:szCs w:val="20"/>
        </w:rPr>
        <w:t xml:space="preserve"> </w:t>
      </w:r>
      <w:r w:rsidR="00BC492B" w:rsidRPr="0007034B">
        <w:rPr>
          <w:rFonts w:asciiTheme="majorHAnsi" w:hAnsiTheme="majorHAnsi"/>
          <w:sz w:val="20"/>
          <w:szCs w:val="20"/>
        </w:rPr>
        <w:t>de La Cimade</w:t>
      </w:r>
      <w:r w:rsidR="001B6D6C" w:rsidRPr="0007034B">
        <w:rPr>
          <w:rFonts w:asciiTheme="majorHAnsi" w:hAnsiTheme="majorHAnsi"/>
          <w:sz w:val="20"/>
          <w:szCs w:val="20"/>
        </w:rPr>
        <w:t xml:space="preserve">, </w:t>
      </w:r>
      <w:r w:rsidR="00121C9C" w:rsidRPr="0007034B">
        <w:rPr>
          <w:rFonts w:asciiTheme="majorHAnsi" w:hAnsiTheme="majorHAnsi"/>
          <w:sz w:val="20"/>
          <w:szCs w:val="20"/>
        </w:rPr>
        <w:t xml:space="preserve">organización francesa </w:t>
      </w:r>
      <w:r w:rsidR="00A21519" w:rsidRPr="0007034B">
        <w:rPr>
          <w:rFonts w:asciiTheme="majorHAnsi" w:hAnsiTheme="majorHAnsi"/>
          <w:sz w:val="20"/>
          <w:szCs w:val="20"/>
        </w:rPr>
        <w:t xml:space="preserve">que trabajaba con migrantes y refugiados, </w:t>
      </w:r>
      <w:r w:rsidR="001B6D6C" w:rsidRPr="0007034B">
        <w:rPr>
          <w:rFonts w:asciiTheme="majorHAnsi" w:hAnsiTheme="majorHAnsi"/>
          <w:sz w:val="20"/>
          <w:szCs w:val="20"/>
        </w:rPr>
        <w:t xml:space="preserve">indicando que una asistente social chilena que había llegado a la ciudad de Caracas, Venezuela, </w:t>
      </w:r>
      <w:r w:rsidR="00810176" w:rsidRPr="0007034B">
        <w:rPr>
          <w:rFonts w:asciiTheme="majorHAnsi" w:hAnsiTheme="majorHAnsi"/>
          <w:sz w:val="20"/>
          <w:szCs w:val="20"/>
        </w:rPr>
        <w:t xml:space="preserve">al ver una foto de los hermanos Larrabeiti Yáñez señaló que podrían ser dos niños que vio </w:t>
      </w:r>
      <w:r w:rsidR="001B6D6C" w:rsidRPr="0007034B">
        <w:rPr>
          <w:rFonts w:asciiTheme="majorHAnsi" w:hAnsiTheme="majorHAnsi"/>
          <w:sz w:val="20"/>
          <w:szCs w:val="20"/>
        </w:rPr>
        <w:t xml:space="preserve">en Valparaíso. </w:t>
      </w:r>
      <w:r w:rsidR="00810176" w:rsidRPr="0007034B">
        <w:rPr>
          <w:rFonts w:asciiTheme="majorHAnsi" w:hAnsiTheme="majorHAnsi"/>
          <w:sz w:val="20"/>
          <w:szCs w:val="20"/>
        </w:rPr>
        <w:t>L</w:t>
      </w:r>
      <w:r w:rsidR="001B6D6C" w:rsidRPr="0007034B">
        <w:rPr>
          <w:rFonts w:asciiTheme="majorHAnsi" w:hAnsiTheme="majorHAnsi"/>
          <w:sz w:val="20"/>
          <w:szCs w:val="20"/>
        </w:rPr>
        <w:t xml:space="preserve">a Sra. Herrera solicitó a Clamor, una organización brasileña que trabajaba con ACNUR y que contaba con una filial en Valparaíso, que verificara la información. Al verificar que la información era veraz, se pusieron en contacto con la </w:t>
      </w:r>
      <w:r w:rsidR="0065336D" w:rsidRPr="0007034B">
        <w:rPr>
          <w:rFonts w:asciiTheme="majorHAnsi" w:hAnsiTheme="majorHAnsi"/>
          <w:sz w:val="20"/>
          <w:szCs w:val="20"/>
          <w:lang w:val="es-AR"/>
        </w:rPr>
        <w:t>señora</w:t>
      </w:r>
      <w:r w:rsidR="0065336D" w:rsidRPr="0007034B">
        <w:rPr>
          <w:rFonts w:asciiTheme="majorHAnsi" w:hAnsiTheme="majorHAnsi"/>
          <w:sz w:val="20"/>
          <w:szCs w:val="20"/>
        </w:rPr>
        <w:t xml:space="preserve"> </w:t>
      </w:r>
      <w:r w:rsidR="00810176" w:rsidRPr="0007034B">
        <w:rPr>
          <w:rFonts w:asciiTheme="majorHAnsi" w:hAnsiTheme="majorHAnsi"/>
          <w:sz w:val="20"/>
          <w:szCs w:val="20"/>
        </w:rPr>
        <w:t xml:space="preserve">Angélica </w:t>
      </w:r>
      <w:r w:rsidR="001B6D6C" w:rsidRPr="0007034B">
        <w:rPr>
          <w:rFonts w:asciiTheme="majorHAnsi" w:hAnsiTheme="majorHAnsi"/>
          <w:sz w:val="20"/>
          <w:szCs w:val="20"/>
        </w:rPr>
        <w:t xml:space="preserve">Cáceres, </w:t>
      </w:r>
      <w:r w:rsidRPr="0007034B">
        <w:rPr>
          <w:rFonts w:asciiTheme="majorHAnsi" w:hAnsiTheme="majorHAnsi"/>
          <w:sz w:val="20"/>
          <w:szCs w:val="20"/>
        </w:rPr>
        <w:t xml:space="preserve">quien viajó a Valparaíso en julio de 1979. La abuela, junto </w:t>
      </w:r>
      <w:r w:rsidR="00A21519" w:rsidRPr="0007034B">
        <w:rPr>
          <w:rFonts w:asciiTheme="majorHAnsi" w:hAnsiTheme="majorHAnsi"/>
          <w:sz w:val="20"/>
          <w:szCs w:val="20"/>
        </w:rPr>
        <w:t>a</w:t>
      </w:r>
      <w:r w:rsidRPr="0007034B">
        <w:rPr>
          <w:rFonts w:asciiTheme="majorHAnsi" w:hAnsiTheme="majorHAnsi"/>
          <w:sz w:val="20"/>
          <w:szCs w:val="20"/>
        </w:rPr>
        <w:t xml:space="preserve"> la </w:t>
      </w:r>
      <w:r w:rsidR="0065336D" w:rsidRPr="0007034B">
        <w:rPr>
          <w:rFonts w:asciiTheme="majorHAnsi" w:hAnsiTheme="majorHAnsi"/>
          <w:sz w:val="20"/>
          <w:szCs w:val="20"/>
          <w:lang w:val="es-AR"/>
        </w:rPr>
        <w:t>señora</w:t>
      </w:r>
      <w:r w:rsidRPr="0007034B">
        <w:rPr>
          <w:rFonts w:asciiTheme="majorHAnsi" w:hAnsiTheme="majorHAnsi"/>
          <w:sz w:val="20"/>
          <w:szCs w:val="20"/>
        </w:rPr>
        <w:t xml:space="preserve"> Herrera, fueron al colegio donde estudiaba Anatole y el director llamó al padre adoptivo, quien fue al colegio a reunirse </w:t>
      </w:r>
      <w:r w:rsidRPr="0007034B">
        <w:rPr>
          <w:rFonts w:asciiTheme="majorHAnsi" w:hAnsiTheme="majorHAnsi"/>
          <w:sz w:val="20"/>
          <w:szCs w:val="20"/>
        </w:rPr>
        <w:lastRenderedPageBreak/>
        <w:t xml:space="preserve">con la </w:t>
      </w:r>
      <w:r w:rsidR="0065336D" w:rsidRPr="0007034B">
        <w:rPr>
          <w:rFonts w:asciiTheme="majorHAnsi" w:hAnsiTheme="majorHAnsi"/>
          <w:sz w:val="20"/>
          <w:szCs w:val="20"/>
          <w:lang w:val="es-AR"/>
        </w:rPr>
        <w:t>señora</w:t>
      </w:r>
      <w:r w:rsidRPr="0007034B">
        <w:rPr>
          <w:rFonts w:asciiTheme="majorHAnsi" w:hAnsiTheme="majorHAnsi"/>
          <w:sz w:val="20"/>
          <w:szCs w:val="20"/>
        </w:rPr>
        <w:t xml:space="preserve"> Cáceres.</w:t>
      </w:r>
      <w:r w:rsidR="00554A19" w:rsidRPr="0007034B">
        <w:rPr>
          <w:rFonts w:asciiTheme="majorHAnsi" w:hAnsiTheme="majorHAnsi"/>
          <w:sz w:val="20"/>
          <w:szCs w:val="20"/>
        </w:rPr>
        <w:t xml:space="preserve"> Luego de conversar ambos en privado, se convencieron </w:t>
      </w:r>
      <w:r w:rsidR="00A21519" w:rsidRPr="0007034B">
        <w:rPr>
          <w:rFonts w:asciiTheme="majorHAnsi" w:hAnsiTheme="majorHAnsi"/>
          <w:sz w:val="20"/>
          <w:szCs w:val="20"/>
        </w:rPr>
        <w:t xml:space="preserve">de </w:t>
      </w:r>
      <w:r w:rsidR="00554A19" w:rsidRPr="0007034B">
        <w:rPr>
          <w:rFonts w:asciiTheme="majorHAnsi" w:hAnsiTheme="majorHAnsi"/>
          <w:sz w:val="20"/>
          <w:szCs w:val="20"/>
        </w:rPr>
        <w:t xml:space="preserve">que </w:t>
      </w:r>
      <w:r w:rsidR="00A21519" w:rsidRPr="0007034B">
        <w:rPr>
          <w:rFonts w:asciiTheme="majorHAnsi" w:hAnsiTheme="majorHAnsi"/>
          <w:sz w:val="20"/>
          <w:szCs w:val="20"/>
        </w:rPr>
        <w:t>se trataba de</w:t>
      </w:r>
      <w:r w:rsidR="00554A19" w:rsidRPr="0007034B">
        <w:rPr>
          <w:rFonts w:asciiTheme="majorHAnsi" w:hAnsiTheme="majorHAnsi"/>
          <w:sz w:val="20"/>
          <w:szCs w:val="20"/>
        </w:rPr>
        <w:t xml:space="preserve"> los nietos que la </w:t>
      </w:r>
      <w:r w:rsidR="0065336D" w:rsidRPr="0007034B">
        <w:rPr>
          <w:rFonts w:asciiTheme="majorHAnsi" w:hAnsiTheme="majorHAnsi"/>
          <w:sz w:val="20"/>
          <w:szCs w:val="20"/>
          <w:lang w:val="es-AR"/>
        </w:rPr>
        <w:t>señora</w:t>
      </w:r>
      <w:r w:rsidR="00554A19" w:rsidRPr="0007034B">
        <w:rPr>
          <w:rFonts w:asciiTheme="majorHAnsi" w:hAnsiTheme="majorHAnsi"/>
          <w:sz w:val="20"/>
          <w:szCs w:val="20"/>
        </w:rPr>
        <w:t xml:space="preserve"> Cáceres estuvo buscando durante tres años</w:t>
      </w:r>
      <w:r w:rsidR="00362618" w:rsidRPr="0007034B">
        <w:rPr>
          <w:rStyle w:val="FootnoteReference"/>
          <w:rFonts w:asciiTheme="majorHAnsi" w:hAnsiTheme="majorHAnsi"/>
          <w:sz w:val="20"/>
          <w:szCs w:val="20"/>
        </w:rPr>
        <w:footnoteReference w:id="56"/>
      </w:r>
      <w:r w:rsidR="0099389B" w:rsidRPr="0007034B">
        <w:rPr>
          <w:rFonts w:asciiTheme="majorHAnsi" w:hAnsiTheme="majorHAnsi"/>
          <w:sz w:val="20"/>
          <w:szCs w:val="20"/>
        </w:rPr>
        <w:t>.</w:t>
      </w:r>
      <w:r w:rsidR="00554A19" w:rsidRPr="0007034B">
        <w:rPr>
          <w:rFonts w:asciiTheme="majorHAnsi" w:hAnsiTheme="majorHAnsi"/>
          <w:sz w:val="20"/>
          <w:szCs w:val="20"/>
        </w:rPr>
        <w:t xml:space="preserve"> </w:t>
      </w:r>
    </w:p>
    <w:p w14:paraId="22BF771F" w14:textId="77777777" w:rsidR="0065336D" w:rsidRPr="0007034B" w:rsidRDefault="0065336D" w:rsidP="0065336D">
      <w:pPr>
        <w:pStyle w:val="ListParagraph"/>
        <w:rPr>
          <w:rFonts w:asciiTheme="majorHAnsi" w:hAnsiTheme="majorHAnsi"/>
          <w:sz w:val="20"/>
          <w:szCs w:val="20"/>
          <w:lang w:val="es-ES"/>
        </w:rPr>
      </w:pPr>
    </w:p>
    <w:p w14:paraId="26499FA7" w14:textId="11272D4B" w:rsidR="0065336D" w:rsidRPr="0007034B" w:rsidRDefault="00EA2101" w:rsidP="00F23D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lang w:val="es-AR"/>
        </w:rPr>
      </w:pPr>
      <w:r w:rsidRPr="0007034B">
        <w:rPr>
          <w:rFonts w:asciiTheme="majorHAnsi" w:hAnsiTheme="majorHAnsi"/>
          <w:sz w:val="20"/>
          <w:szCs w:val="20"/>
          <w:lang w:val="es-AR"/>
        </w:rPr>
        <w:t>El 2 de</w:t>
      </w:r>
      <w:r w:rsidR="0065336D" w:rsidRPr="0007034B">
        <w:rPr>
          <w:rFonts w:asciiTheme="majorHAnsi" w:hAnsiTheme="majorHAnsi"/>
          <w:sz w:val="20"/>
          <w:szCs w:val="20"/>
          <w:lang w:val="es-AR"/>
        </w:rPr>
        <w:t xml:space="preserve"> agosto de 1979 la señora Cáceres</w:t>
      </w:r>
      <w:r w:rsidRPr="0007034B">
        <w:rPr>
          <w:rFonts w:asciiTheme="majorHAnsi" w:hAnsiTheme="majorHAnsi"/>
          <w:sz w:val="20"/>
          <w:szCs w:val="20"/>
          <w:lang w:val="es-AR"/>
        </w:rPr>
        <w:t xml:space="preserve">, en nombre de su cónyuge y de la señora </w:t>
      </w:r>
      <w:r w:rsidRPr="0007034B">
        <w:rPr>
          <w:rFonts w:asciiTheme="majorHAnsi" w:hAnsiTheme="majorHAnsi"/>
          <w:sz w:val="20"/>
          <w:szCs w:val="20"/>
          <w:lang w:val="es-ES"/>
        </w:rPr>
        <w:t>Andrijauskaite,</w:t>
      </w:r>
      <w:r w:rsidR="0065336D" w:rsidRPr="0007034B">
        <w:rPr>
          <w:rFonts w:asciiTheme="majorHAnsi" w:hAnsiTheme="majorHAnsi"/>
          <w:sz w:val="20"/>
          <w:szCs w:val="20"/>
          <w:lang w:val="es-AR"/>
        </w:rPr>
        <w:t xml:space="preserve"> firmó un </w:t>
      </w:r>
      <w:r w:rsidRPr="0007034B">
        <w:rPr>
          <w:rFonts w:asciiTheme="majorHAnsi" w:hAnsiTheme="majorHAnsi"/>
          <w:sz w:val="20"/>
          <w:szCs w:val="20"/>
          <w:lang w:val="es-AR"/>
        </w:rPr>
        <w:t xml:space="preserve">certificado notarial </w:t>
      </w:r>
      <w:r w:rsidR="0065336D" w:rsidRPr="0007034B">
        <w:rPr>
          <w:rFonts w:asciiTheme="majorHAnsi" w:hAnsiTheme="majorHAnsi"/>
          <w:sz w:val="20"/>
          <w:szCs w:val="20"/>
          <w:lang w:val="es-AR"/>
        </w:rPr>
        <w:t xml:space="preserve">con el matrimonio Larrabeiti-Yáñez </w:t>
      </w:r>
      <w:r w:rsidRPr="0007034B">
        <w:rPr>
          <w:rFonts w:asciiTheme="majorHAnsi" w:hAnsiTheme="majorHAnsi"/>
          <w:sz w:val="20"/>
          <w:szCs w:val="20"/>
          <w:lang w:val="es-AR"/>
        </w:rPr>
        <w:t xml:space="preserve">dejando establecida la </w:t>
      </w:r>
      <w:r w:rsidR="0065336D" w:rsidRPr="0007034B">
        <w:rPr>
          <w:rFonts w:asciiTheme="majorHAnsi" w:hAnsiTheme="majorHAnsi"/>
          <w:sz w:val="20"/>
          <w:szCs w:val="20"/>
          <w:lang w:val="es-AR"/>
        </w:rPr>
        <w:t xml:space="preserve">filiación biológica de </w:t>
      </w:r>
      <w:r w:rsidRPr="0007034B">
        <w:rPr>
          <w:rFonts w:asciiTheme="majorHAnsi" w:hAnsiTheme="majorHAnsi"/>
          <w:sz w:val="20"/>
          <w:szCs w:val="20"/>
          <w:lang w:val="es-AR"/>
        </w:rPr>
        <w:t>los niños</w:t>
      </w:r>
      <w:r w:rsidR="0065336D" w:rsidRPr="0007034B">
        <w:rPr>
          <w:rFonts w:asciiTheme="majorHAnsi" w:hAnsiTheme="majorHAnsi"/>
          <w:sz w:val="20"/>
          <w:szCs w:val="20"/>
          <w:lang w:val="es-AR"/>
        </w:rPr>
        <w:t xml:space="preserve">, consignándose tanto sus nombres biológicos (Anatole Boris y Victoria Eva Julien Grisonas), como adoptivos (Anatole Alejandro Larrabeiti Yáñez y Claudia Victoria Larrabeiti Yáñez). </w:t>
      </w:r>
      <w:r w:rsidRPr="0007034B">
        <w:rPr>
          <w:rFonts w:asciiTheme="majorHAnsi" w:hAnsiTheme="majorHAnsi"/>
          <w:sz w:val="20"/>
          <w:szCs w:val="20"/>
          <w:lang w:val="es-AR"/>
        </w:rPr>
        <w:t>La señora Cáceres además consintió la adopción y s</w:t>
      </w:r>
      <w:r w:rsidR="009A11DF" w:rsidRPr="0007034B">
        <w:rPr>
          <w:rFonts w:asciiTheme="majorHAnsi" w:hAnsiTheme="majorHAnsi"/>
          <w:sz w:val="20"/>
          <w:szCs w:val="20"/>
          <w:lang w:val="es-AR"/>
        </w:rPr>
        <w:t xml:space="preserve">e acordó que </w:t>
      </w:r>
      <w:r w:rsidR="007301EA" w:rsidRPr="0007034B">
        <w:rPr>
          <w:rFonts w:asciiTheme="majorHAnsi" w:hAnsiTheme="majorHAnsi"/>
          <w:sz w:val="20"/>
          <w:szCs w:val="20"/>
          <w:lang w:val="es-AR"/>
        </w:rPr>
        <w:t xml:space="preserve">los hermanos </w:t>
      </w:r>
      <w:r w:rsidRPr="0007034B">
        <w:rPr>
          <w:rFonts w:asciiTheme="majorHAnsi" w:hAnsiTheme="majorHAnsi"/>
          <w:sz w:val="20"/>
          <w:szCs w:val="20"/>
          <w:lang w:val="es-AR"/>
        </w:rPr>
        <w:t xml:space="preserve">mantuvieran vínculos con </w:t>
      </w:r>
      <w:r w:rsidR="007301EA" w:rsidRPr="0007034B">
        <w:rPr>
          <w:rFonts w:asciiTheme="majorHAnsi" w:hAnsiTheme="majorHAnsi"/>
          <w:sz w:val="20"/>
          <w:szCs w:val="20"/>
          <w:lang w:val="es-AR"/>
        </w:rPr>
        <w:t>su familia biológica</w:t>
      </w:r>
      <w:r w:rsidRPr="0007034B">
        <w:rPr>
          <w:rStyle w:val="FootnoteReference"/>
          <w:rFonts w:asciiTheme="majorHAnsi" w:hAnsiTheme="majorHAnsi"/>
          <w:sz w:val="20"/>
          <w:szCs w:val="20"/>
          <w:lang w:val="es-AR"/>
        </w:rPr>
        <w:footnoteReference w:id="57"/>
      </w:r>
      <w:r w:rsidR="009F46D9" w:rsidRPr="0007034B">
        <w:rPr>
          <w:rFonts w:asciiTheme="majorHAnsi" w:hAnsiTheme="majorHAnsi"/>
          <w:sz w:val="20"/>
          <w:szCs w:val="20"/>
          <w:lang w:val="es-AR"/>
        </w:rPr>
        <w:t>.</w:t>
      </w:r>
    </w:p>
    <w:p w14:paraId="717E96C4" w14:textId="77777777" w:rsidR="0065336D" w:rsidRPr="0007034B" w:rsidRDefault="0065336D" w:rsidP="009A11DF">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rPr>
      </w:pPr>
    </w:p>
    <w:p w14:paraId="206AD9E3" w14:textId="77777777" w:rsidR="009C55B9" w:rsidRPr="0007034B" w:rsidRDefault="009C55B9" w:rsidP="00F84E88">
      <w:pPr>
        <w:pStyle w:val="Heading2"/>
      </w:pPr>
      <w:bookmarkStart w:id="44" w:name="_Toc6349158"/>
      <w:bookmarkStart w:id="45" w:name="_Toc6466651"/>
      <w:r w:rsidRPr="0007034B">
        <w:t>Sobre las reparaciones administrativas</w:t>
      </w:r>
      <w:bookmarkEnd w:id="44"/>
      <w:bookmarkEnd w:id="45"/>
    </w:p>
    <w:p w14:paraId="3E359688" w14:textId="77777777" w:rsidR="009C55B9" w:rsidRPr="0007034B" w:rsidRDefault="009C55B9" w:rsidP="009C55B9">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rPr>
      </w:pPr>
    </w:p>
    <w:p w14:paraId="28DCBAAC" w14:textId="3C79033C" w:rsidR="00EE3847" w:rsidRPr="0007034B" w:rsidRDefault="009C55B9"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rPr>
      </w:pPr>
      <w:r w:rsidRPr="0007034B">
        <w:rPr>
          <w:rFonts w:asciiTheme="majorHAnsi" w:hAnsiTheme="majorHAnsi"/>
          <w:sz w:val="20"/>
          <w:szCs w:val="20"/>
        </w:rPr>
        <w:t xml:space="preserve">El 22 de agosto de 1995 los hermanos Larrabeiti Yáñez solicitaron los beneficios de la </w:t>
      </w:r>
      <w:r w:rsidR="00FC3D35" w:rsidRPr="0007034B">
        <w:rPr>
          <w:rFonts w:asciiTheme="majorHAnsi" w:hAnsiTheme="majorHAnsi"/>
          <w:sz w:val="20"/>
          <w:szCs w:val="20"/>
        </w:rPr>
        <w:t>L</w:t>
      </w:r>
      <w:r w:rsidRPr="0007034B">
        <w:rPr>
          <w:rFonts w:asciiTheme="majorHAnsi" w:hAnsiTheme="majorHAnsi"/>
          <w:sz w:val="20"/>
          <w:szCs w:val="20"/>
        </w:rPr>
        <w:t>ey</w:t>
      </w:r>
      <w:r w:rsidR="00FC3D35" w:rsidRPr="0007034B">
        <w:rPr>
          <w:rFonts w:asciiTheme="majorHAnsi" w:hAnsiTheme="majorHAnsi"/>
          <w:sz w:val="20"/>
          <w:szCs w:val="20"/>
        </w:rPr>
        <w:t xml:space="preserve"> Nro.</w:t>
      </w:r>
      <w:r w:rsidRPr="0007034B">
        <w:rPr>
          <w:rFonts w:asciiTheme="majorHAnsi" w:hAnsiTheme="majorHAnsi"/>
          <w:sz w:val="20"/>
          <w:szCs w:val="20"/>
        </w:rPr>
        <w:t xml:space="preserve"> 24.411 y, a pedido de ellos, el 2 de junio de 1997 se dictó la sentencia de ausencia por desaparición forzada de Mario Julien y Victoria Grisonas en los términos de la </w:t>
      </w:r>
      <w:r w:rsidR="00764C26" w:rsidRPr="0007034B">
        <w:rPr>
          <w:rFonts w:asciiTheme="majorHAnsi" w:hAnsiTheme="majorHAnsi"/>
          <w:sz w:val="20"/>
          <w:szCs w:val="20"/>
        </w:rPr>
        <w:t>L</w:t>
      </w:r>
      <w:r w:rsidRPr="0007034B">
        <w:rPr>
          <w:rFonts w:asciiTheme="majorHAnsi" w:hAnsiTheme="majorHAnsi"/>
          <w:sz w:val="20"/>
          <w:szCs w:val="20"/>
        </w:rPr>
        <w:t>ey</w:t>
      </w:r>
      <w:r w:rsidR="00764C26" w:rsidRPr="0007034B">
        <w:rPr>
          <w:rFonts w:asciiTheme="majorHAnsi" w:hAnsiTheme="majorHAnsi"/>
          <w:sz w:val="20"/>
          <w:szCs w:val="20"/>
        </w:rPr>
        <w:t xml:space="preserve"> Nro.</w:t>
      </w:r>
      <w:r w:rsidRPr="0007034B">
        <w:rPr>
          <w:rFonts w:asciiTheme="majorHAnsi" w:hAnsiTheme="majorHAnsi"/>
          <w:sz w:val="20"/>
          <w:szCs w:val="20"/>
        </w:rPr>
        <w:t xml:space="preserve"> 24.321</w:t>
      </w:r>
      <w:r w:rsidRPr="0007034B">
        <w:rPr>
          <w:rStyle w:val="FootnoteReference"/>
          <w:rFonts w:asciiTheme="majorHAnsi" w:hAnsiTheme="majorHAnsi"/>
          <w:sz w:val="20"/>
          <w:szCs w:val="20"/>
        </w:rPr>
        <w:footnoteReference w:id="58"/>
      </w:r>
      <w:r w:rsidR="00D66879" w:rsidRPr="0007034B">
        <w:rPr>
          <w:rFonts w:asciiTheme="majorHAnsi" w:hAnsiTheme="majorHAnsi"/>
          <w:sz w:val="20"/>
          <w:szCs w:val="20"/>
        </w:rPr>
        <w:t>.</w:t>
      </w:r>
      <w:r w:rsidR="008E00A8" w:rsidRPr="0007034B">
        <w:rPr>
          <w:rFonts w:asciiTheme="majorHAnsi" w:hAnsiTheme="majorHAnsi"/>
          <w:sz w:val="20"/>
          <w:szCs w:val="20"/>
        </w:rPr>
        <w:t xml:space="preserve"> </w:t>
      </w:r>
      <w:r w:rsidR="00C26EE9" w:rsidRPr="0007034B">
        <w:rPr>
          <w:rFonts w:asciiTheme="majorHAnsi" w:hAnsiTheme="majorHAnsi"/>
          <w:sz w:val="20"/>
          <w:szCs w:val="20"/>
        </w:rPr>
        <w:t xml:space="preserve">De </w:t>
      </w:r>
      <w:r w:rsidR="00A37E1A" w:rsidRPr="0007034B">
        <w:rPr>
          <w:rFonts w:asciiTheme="majorHAnsi" w:hAnsiTheme="majorHAnsi"/>
          <w:sz w:val="20"/>
          <w:szCs w:val="20"/>
        </w:rPr>
        <w:t>acuerdo con</w:t>
      </w:r>
      <w:r w:rsidR="00C26EE9" w:rsidRPr="0007034B">
        <w:rPr>
          <w:rFonts w:asciiTheme="majorHAnsi" w:hAnsiTheme="majorHAnsi"/>
          <w:sz w:val="20"/>
          <w:szCs w:val="20"/>
        </w:rPr>
        <w:t xml:space="preserve"> la información proporcionada por el Estado, </w:t>
      </w:r>
      <w:r w:rsidR="00A37E1A" w:rsidRPr="0007034B">
        <w:rPr>
          <w:rFonts w:asciiTheme="majorHAnsi" w:hAnsiTheme="majorHAnsi"/>
          <w:sz w:val="20"/>
          <w:szCs w:val="20"/>
        </w:rPr>
        <w:t>los hermanos Larrabeiti</w:t>
      </w:r>
      <w:r w:rsidR="00564205" w:rsidRPr="0007034B">
        <w:rPr>
          <w:rFonts w:asciiTheme="majorHAnsi" w:hAnsiTheme="majorHAnsi"/>
          <w:sz w:val="20"/>
          <w:szCs w:val="20"/>
        </w:rPr>
        <w:t xml:space="preserve"> Yáñez iniciaron el trámite administrativo establecido en la Ley</w:t>
      </w:r>
      <w:r w:rsidR="009C40B1" w:rsidRPr="0007034B">
        <w:rPr>
          <w:rFonts w:asciiTheme="majorHAnsi" w:hAnsiTheme="majorHAnsi"/>
          <w:sz w:val="20"/>
          <w:szCs w:val="20"/>
        </w:rPr>
        <w:t xml:space="preserve"> Nro.</w:t>
      </w:r>
      <w:r w:rsidR="00564205" w:rsidRPr="0007034B">
        <w:rPr>
          <w:rFonts w:asciiTheme="majorHAnsi" w:hAnsiTheme="majorHAnsi"/>
          <w:sz w:val="20"/>
          <w:szCs w:val="20"/>
        </w:rPr>
        <w:t xml:space="preserve"> 24.411 para la obtención de reparaciones</w:t>
      </w:r>
      <w:r w:rsidR="00C91F47" w:rsidRPr="0007034B">
        <w:rPr>
          <w:rFonts w:asciiTheme="majorHAnsi" w:hAnsiTheme="majorHAnsi"/>
          <w:sz w:val="20"/>
          <w:szCs w:val="20"/>
        </w:rPr>
        <w:t xml:space="preserve"> por la desaparición forzada de sus padres biológicos (Expediente No. 33.011/12 a nombre de Grisonas, Victoria Lucía y No. 30.246/12 a nombre de Julien, Mario Roger). Ante la existencia de una demanda civil contra el Estado Nacional</w:t>
      </w:r>
      <w:r w:rsidR="00002B2E" w:rsidRPr="0007034B">
        <w:rPr>
          <w:rFonts w:asciiTheme="majorHAnsi" w:hAnsiTheme="majorHAnsi"/>
          <w:sz w:val="20"/>
          <w:szCs w:val="20"/>
        </w:rPr>
        <w:t>, que se describirá más adelante,</w:t>
      </w:r>
      <w:r w:rsidR="00C91F47" w:rsidRPr="0007034B">
        <w:rPr>
          <w:rFonts w:asciiTheme="majorHAnsi" w:hAnsiTheme="majorHAnsi"/>
          <w:sz w:val="20"/>
          <w:szCs w:val="20"/>
        </w:rPr>
        <w:t xml:space="preserve"> dichos expedientes habrían sido archivados provisoriamente, siendo desarchivados el 27 de noviembre de 2017</w:t>
      </w:r>
      <w:r w:rsidR="00C91F47" w:rsidRPr="0007034B">
        <w:rPr>
          <w:rStyle w:val="FootnoteReference"/>
          <w:rFonts w:asciiTheme="majorHAnsi" w:hAnsiTheme="majorHAnsi"/>
          <w:sz w:val="20"/>
          <w:szCs w:val="20"/>
        </w:rPr>
        <w:footnoteReference w:id="59"/>
      </w:r>
      <w:r w:rsidR="00002B2E" w:rsidRPr="0007034B">
        <w:rPr>
          <w:rFonts w:asciiTheme="majorHAnsi" w:hAnsiTheme="majorHAnsi"/>
          <w:sz w:val="20"/>
          <w:szCs w:val="20"/>
        </w:rPr>
        <w:t>.</w:t>
      </w:r>
      <w:r w:rsidR="00C91F47" w:rsidRPr="0007034B">
        <w:rPr>
          <w:rFonts w:asciiTheme="majorHAnsi" w:hAnsiTheme="majorHAnsi"/>
          <w:sz w:val="20"/>
          <w:szCs w:val="20"/>
        </w:rPr>
        <w:t xml:space="preserve"> No existe información en el expediente ante la CIDH que indique que los hermanos Larrabeiti Yáñez hayan continuado el trámite y obtenido las respectivas reparaciones.</w:t>
      </w:r>
    </w:p>
    <w:p w14:paraId="36F2151A" w14:textId="77777777" w:rsidR="00543509" w:rsidRPr="0007034B" w:rsidRDefault="00543509" w:rsidP="00543509">
      <w:pPr>
        <w:pStyle w:val="ListParagraph"/>
        <w:rPr>
          <w:rFonts w:asciiTheme="majorHAnsi" w:hAnsiTheme="majorHAnsi"/>
          <w:sz w:val="20"/>
          <w:szCs w:val="20"/>
          <w:lang w:val="es-ES"/>
        </w:rPr>
      </w:pPr>
    </w:p>
    <w:p w14:paraId="00205E44" w14:textId="097DE7AC" w:rsidR="00543509" w:rsidRPr="0007034B" w:rsidRDefault="00543509"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rPr>
      </w:pPr>
      <w:r w:rsidRPr="0007034B">
        <w:rPr>
          <w:rFonts w:asciiTheme="majorHAnsi" w:hAnsiTheme="majorHAnsi"/>
          <w:sz w:val="20"/>
          <w:szCs w:val="20"/>
        </w:rPr>
        <w:t>Asimismo, de acuerdo a la información disponible, Victoria y Anatole Larrabeiti Yáñez iniciaron el trámite administrativo establecido en la Ley</w:t>
      </w:r>
      <w:r w:rsidR="00FF2F0C" w:rsidRPr="0007034B">
        <w:rPr>
          <w:rFonts w:asciiTheme="majorHAnsi" w:hAnsiTheme="majorHAnsi"/>
          <w:sz w:val="20"/>
          <w:szCs w:val="20"/>
        </w:rPr>
        <w:t xml:space="preserve"> Nro.</w:t>
      </w:r>
      <w:r w:rsidRPr="0007034B">
        <w:rPr>
          <w:rFonts w:asciiTheme="majorHAnsi" w:hAnsiTheme="majorHAnsi"/>
          <w:sz w:val="20"/>
          <w:szCs w:val="20"/>
        </w:rPr>
        <w:t xml:space="preserve"> 25.914 para la obtención de reparaciones por sus detenciones en “Orletti” (Expedientes No. 66.255/17 y No. 55.600/16 respectivamente). En un primer momento fueron archivados por la existencia de una demanda civil contra el Estado Nacional por los mismos hechos</w:t>
      </w:r>
      <w:r w:rsidR="00EA7874" w:rsidRPr="0007034B">
        <w:rPr>
          <w:rFonts w:asciiTheme="majorHAnsi" w:hAnsiTheme="majorHAnsi"/>
          <w:sz w:val="20"/>
          <w:szCs w:val="20"/>
        </w:rPr>
        <w:t>, siendo desarchivados en 2016</w:t>
      </w:r>
      <w:r w:rsidR="00EA7874" w:rsidRPr="0007034B">
        <w:rPr>
          <w:rStyle w:val="FootnoteReference"/>
          <w:rFonts w:asciiTheme="majorHAnsi" w:hAnsiTheme="majorHAnsi"/>
          <w:sz w:val="20"/>
          <w:szCs w:val="20"/>
        </w:rPr>
        <w:footnoteReference w:id="60"/>
      </w:r>
      <w:r w:rsidR="007D0F3F" w:rsidRPr="0007034B">
        <w:rPr>
          <w:rFonts w:asciiTheme="majorHAnsi" w:hAnsiTheme="majorHAnsi"/>
          <w:sz w:val="20"/>
          <w:szCs w:val="20"/>
        </w:rPr>
        <w:t>.</w:t>
      </w:r>
      <w:r w:rsidR="00EA7874" w:rsidRPr="0007034B">
        <w:rPr>
          <w:rFonts w:asciiTheme="majorHAnsi" w:hAnsiTheme="majorHAnsi"/>
          <w:sz w:val="20"/>
          <w:szCs w:val="20"/>
        </w:rPr>
        <w:t xml:space="preserve"> Tampoco existe información en el expediente ante la CIDH que indique que los hermanos Larrabeiti Yáñez hayan continuado el trámite y obtenido las respectivas reparaciones.</w:t>
      </w:r>
    </w:p>
    <w:p w14:paraId="74CD05AE" w14:textId="77777777" w:rsidR="009A693B" w:rsidRPr="0007034B" w:rsidRDefault="009A693B" w:rsidP="009C55B9">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1440" w:firstLine="0"/>
        <w:jc w:val="both"/>
        <w:rPr>
          <w:rFonts w:asciiTheme="majorHAnsi" w:hAnsiTheme="majorHAnsi"/>
          <w:b/>
          <w:sz w:val="20"/>
          <w:szCs w:val="20"/>
        </w:rPr>
      </w:pPr>
    </w:p>
    <w:p w14:paraId="785FE024" w14:textId="77777777" w:rsidR="007670F6" w:rsidRPr="0007034B" w:rsidRDefault="007670F6" w:rsidP="00F84E88">
      <w:pPr>
        <w:pStyle w:val="Heading2"/>
      </w:pPr>
      <w:bookmarkStart w:id="46" w:name="_Toc6349159"/>
      <w:bookmarkStart w:id="47" w:name="_Toc6466652"/>
      <w:r w:rsidRPr="0007034B">
        <w:t>Sobre los procesos civiles</w:t>
      </w:r>
      <w:bookmarkEnd w:id="46"/>
      <w:bookmarkEnd w:id="47"/>
    </w:p>
    <w:p w14:paraId="1126BDF1" w14:textId="77777777" w:rsidR="007670F6" w:rsidRPr="0007034B" w:rsidRDefault="007670F6" w:rsidP="005F511B">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rPr>
      </w:pPr>
    </w:p>
    <w:p w14:paraId="16517994" w14:textId="77777777" w:rsidR="002D56A0" w:rsidRPr="0007034B" w:rsidRDefault="002A75D0"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r w:rsidRPr="0007034B">
        <w:rPr>
          <w:rFonts w:asciiTheme="majorHAnsi" w:hAnsiTheme="majorHAnsi"/>
          <w:sz w:val="20"/>
          <w:szCs w:val="20"/>
        </w:rPr>
        <w:t xml:space="preserve">El </w:t>
      </w:r>
      <w:r w:rsidR="007670F6" w:rsidRPr="0007034B">
        <w:rPr>
          <w:rFonts w:asciiTheme="majorHAnsi" w:hAnsiTheme="majorHAnsi"/>
          <w:sz w:val="20"/>
          <w:szCs w:val="20"/>
        </w:rPr>
        <w:t>9 de junio de 1996</w:t>
      </w:r>
      <w:r w:rsidRPr="0007034B">
        <w:rPr>
          <w:rFonts w:asciiTheme="majorHAnsi" w:hAnsiTheme="majorHAnsi"/>
          <w:sz w:val="20"/>
          <w:szCs w:val="20"/>
        </w:rPr>
        <w:t xml:space="preserve"> los hermanos Larrabeiti Yáñez presentaron </w:t>
      </w:r>
      <w:r w:rsidR="00E30529" w:rsidRPr="0007034B">
        <w:rPr>
          <w:rFonts w:asciiTheme="majorHAnsi" w:hAnsiTheme="majorHAnsi"/>
          <w:sz w:val="20"/>
          <w:szCs w:val="20"/>
        </w:rPr>
        <w:t xml:space="preserve">una demanda civil contra el Estado </w:t>
      </w:r>
      <w:r w:rsidR="002D56A0" w:rsidRPr="0007034B">
        <w:rPr>
          <w:rFonts w:asciiTheme="majorHAnsi" w:hAnsiTheme="majorHAnsi"/>
          <w:sz w:val="20"/>
          <w:szCs w:val="20"/>
        </w:rPr>
        <w:t xml:space="preserve">Nacional </w:t>
      </w:r>
      <w:r w:rsidR="00E30529" w:rsidRPr="0007034B">
        <w:rPr>
          <w:rFonts w:asciiTheme="majorHAnsi" w:hAnsiTheme="majorHAnsi"/>
          <w:sz w:val="20"/>
          <w:szCs w:val="20"/>
        </w:rPr>
        <w:t xml:space="preserve">ante el Juzgado </w:t>
      </w:r>
      <w:r w:rsidR="009621ED" w:rsidRPr="0007034B">
        <w:rPr>
          <w:rFonts w:asciiTheme="majorHAnsi" w:hAnsiTheme="majorHAnsi"/>
          <w:sz w:val="20"/>
          <w:szCs w:val="20"/>
        </w:rPr>
        <w:t>Nacional</w:t>
      </w:r>
      <w:r w:rsidR="00E30529" w:rsidRPr="0007034B">
        <w:rPr>
          <w:rFonts w:asciiTheme="majorHAnsi" w:hAnsiTheme="majorHAnsi"/>
          <w:sz w:val="20"/>
          <w:szCs w:val="20"/>
        </w:rPr>
        <w:t xml:space="preserve"> de Primera Instancia de lo Contencioso Administrativo Federal No. 4, la cual se caratuló “Larrabeiti Yáñez, Anatole y otra c. Estado Nacional s/daños y perjuicios” (Expediente No. </w:t>
      </w:r>
      <w:r w:rsidR="007670F6" w:rsidRPr="0007034B">
        <w:rPr>
          <w:rFonts w:asciiTheme="majorHAnsi" w:hAnsiTheme="majorHAnsi"/>
          <w:sz w:val="20"/>
          <w:szCs w:val="20"/>
        </w:rPr>
        <w:t>14.846/96) por los daños causados a ellos y a sus padres</w:t>
      </w:r>
      <w:r w:rsidR="002D56A0" w:rsidRPr="0007034B">
        <w:rPr>
          <w:rFonts w:asciiTheme="majorHAnsi" w:hAnsiTheme="majorHAnsi"/>
          <w:sz w:val="20"/>
          <w:szCs w:val="20"/>
        </w:rPr>
        <w:t xml:space="preserve"> como consecuencia del operativo militar del 26 de septiembre de 1976</w:t>
      </w:r>
      <w:r w:rsidR="007670F6" w:rsidRPr="0007034B">
        <w:rPr>
          <w:rFonts w:asciiTheme="majorHAnsi" w:hAnsiTheme="majorHAnsi"/>
          <w:sz w:val="20"/>
          <w:szCs w:val="20"/>
        </w:rPr>
        <w:t>. El 6 de septiembre de 1996</w:t>
      </w:r>
      <w:r w:rsidR="002D56A0" w:rsidRPr="0007034B">
        <w:rPr>
          <w:rFonts w:asciiTheme="majorHAnsi" w:hAnsiTheme="majorHAnsi"/>
          <w:sz w:val="20"/>
          <w:szCs w:val="20"/>
        </w:rPr>
        <w:t xml:space="preserve"> el entonces Presidente de la República, Carlos </w:t>
      </w:r>
      <w:r w:rsidR="000A5814" w:rsidRPr="0007034B">
        <w:rPr>
          <w:rFonts w:asciiTheme="majorHAnsi" w:hAnsiTheme="majorHAnsi"/>
          <w:sz w:val="20"/>
          <w:szCs w:val="20"/>
        </w:rPr>
        <w:t xml:space="preserve">Saúl </w:t>
      </w:r>
      <w:r w:rsidR="002D56A0" w:rsidRPr="0007034B">
        <w:rPr>
          <w:rFonts w:asciiTheme="majorHAnsi" w:hAnsiTheme="majorHAnsi"/>
          <w:sz w:val="20"/>
          <w:szCs w:val="20"/>
        </w:rPr>
        <w:t>Menem, emitió el Decreto 1025/96 autorizando a la Procuración del Tesoro de la Nación a asumir la defensa del Estado Nacional en dicho juicio. Los considerandos tercer</w:t>
      </w:r>
      <w:r w:rsidR="0058796C" w:rsidRPr="0007034B">
        <w:rPr>
          <w:rFonts w:asciiTheme="majorHAnsi" w:hAnsiTheme="majorHAnsi"/>
          <w:sz w:val="20"/>
          <w:szCs w:val="20"/>
        </w:rPr>
        <w:t>o,</w:t>
      </w:r>
      <w:r w:rsidR="002D56A0" w:rsidRPr="0007034B">
        <w:rPr>
          <w:rFonts w:asciiTheme="majorHAnsi" w:hAnsiTheme="majorHAnsi"/>
          <w:sz w:val="20"/>
          <w:szCs w:val="20"/>
        </w:rPr>
        <w:t xml:space="preserve"> cuarto </w:t>
      </w:r>
      <w:r w:rsidR="0058796C" w:rsidRPr="0007034B">
        <w:rPr>
          <w:rFonts w:asciiTheme="majorHAnsi" w:hAnsiTheme="majorHAnsi"/>
          <w:sz w:val="20"/>
          <w:szCs w:val="20"/>
        </w:rPr>
        <w:t xml:space="preserve">y quinto </w:t>
      </w:r>
      <w:r w:rsidR="002D56A0" w:rsidRPr="0007034B">
        <w:rPr>
          <w:rFonts w:asciiTheme="majorHAnsi" w:hAnsiTheme="majorHAnsi"/>
          <w:sz w:val="20"/>
          <w:szCs w:val="20"/>
        </w:rPr>
        <w:t>de dicho decreto establecieron</w:t>
      </w:r>
      <w:r w:rsidR="009B6051" w:rsidRPr="0007034B">
        <w:rPr>
          <w:rStyle w:val="FootnoteReference"/>
          <w:rFonts w:asciiTheme="majorHAnsi" w:hAnsiTheme="majorHAnsi"/>
          <w:sz w:val="20"/>
          <w:szCs w:val="20"/>
        </w:rPr>
        <w:footnoteReference w:id="61"/>
      </w:r>
      <w:r w:rsidR="002D56A0" w:rsidRPr="0007034B">
        <w:rPr>
          <w:rFonts w:asciiTheme="majorHAnsi" w:hAnsiTheme="majorHAnsi"/>
          <w:sz w:val="20"/>
          <w:szCs w:val="20"/>
        </w:rPr>
        <w:t>:</w:t>
      </w:r>
    </w:p>
    <w:p w14:paraId="4EB1F0FD" w14:textId="77777777" w:rsidR="002D56A0" w:rsidRPr="0007034B" w:rsidRDefault="002D56A0" w:rsidP="002D56A0">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1B770C07" w14:textId="3E2D60EA" w:rsidR="002D56A0" w:rsidRPr="001D4025" w:rsidRDefault="002D56A0" w:rsidP="009B605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firstLine="0"/>
        <w:jc w:val="both"/>
        <w:rPr>
          <w:rFonts w:asciiTheme="majorHAnsi" w:hAnsiTheme="majorHAnsi"/>
          <w:sz w:val="18"/>
          <w:szCs w:val="18"/>
        </w:rPr>
      </w:pPr>
      <w:r w:rsidRPr="001D4025">
        <w:rPr>
          <w:rFonts w:asciiTheme="majorHAnsi" w:hAnsiTheme="majorHAnsi"/>
          <w:sz w:val="18"/>
          <w:szCs w:val="18"/>
        </w:rPr>
        <w:t>Que los actores reconocen implícitamente, a partir de la prueba documental que acompañan, que en el procedimiento del que fueron víctimas habrían intervenido fuerzas conjuntas de los ejércitos uruguayo y argentino.</w:t>
      </w:r>
    </w:p>
    <w:p w14:paraId="41153485" w14:textId="77777777" w:rsidR="002D56A0" w:rsidRPr="001D4025" w:rsidRDefault="002D56A0" w:rsidP="009B605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firstLine="0"/>
        <w:jc w:val="both"/>
        <w:rPr>
          <w:rFonts w:asciiTheme="majorHAnsi" w:hAnsiTheme="majorHAnsi"/>
          <w:sz w:val="18"/>
          <w:szCs w:val="18"/>
        </w:rPr>
      </w:pPr>
    </w:p>
    <w:p w14:paraId="658CB332" w14:textId="77777777" w:rsidR="0058796C" w:rsidRPr="001D4025" w:rsidRDefault="002D56A0" w:rsidP="009B605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firstLine="0"/>
        <w:jc w:val="both"/>
        <w:rPr>
          <w:rFonts w:asciiTheme="majorHAnsi" w:hAnsiTheme="majorHAnsi"/>
          <w:sz w:val="18"/>
          <w:szCs w:val="18"/>
        </w:rPr>
      </w:pPr>
      <w:r w:rsidRPr="001D4025">
        <w:rPr>
          <w:rFonts w:asciiTheme="majorHAnsi" w:hAnsiTheme="majorHAnsi"/>
          <w:sz w:val="18"/>
          <w:szCs w:val="18"/>
        </w:rPr>
        <w:lastRenderedPageBreak/>
        <w:t>Que eventualmente el padre de los menores pudo haber sido trasladado a la República Oriental del Uruguay y haber permanecido detenido en el Establecimiento Militar de Reclusión No. 1 “Libertad”.</w:t>
      </w:r>
    </w:p>
    <w:p w14:paraId="61C3800B" w14:textId="77777777" w:rsidR="0058796C" w:rsidRPr="001D4025" w:rsidRDefault="0058796C" w:rsidP="009B605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firstLine="0"/>
        <w:jc w:val="both"/>
        <w:rPr>
          <w:rFonts w:asciiTheme="majorHAnsi" w:hAnsiTheme="majorHAnsi"/>
          <w:sz w:val="18"/>
          <w:szCs w:val="18"/>
        </w:rPr>
      </w:pPr>
    </w:p>
    <w:p w14:paraId="24142201" w14:textId="6DEBCA05" w:rsidR="005F511B" w:rsidRPr="001D4025" w:rsidRDefault="00FB5481" w:rsidP="009B605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firstLine="0"/>
        <w:jc w:val="both"/>
        <w:rPr>
          <w:rFonts w:asciiTheme="majorHAnsi" w:hAnsiTheme="majorHAnsi"/>
          <w:sz w:val="18"/>
          <w:szCs w:val="18"/>
        </w:rPr>
      </w:pPr>
      <w:r w:rsidRPr="001D4025">
        <w:rPr>
          <w:rFonts w:asciiTheme="majorHAnsi" w:hAnsiTheme="majorHAnsi"/>
          <w:sz w:val="18"/>
          <w:szCs w:val="18"/>
        </w:rPr>
        <w:t>Que atento las connotaciones de la presente acción que eventualmente podrá requerir la citación como tercero de un Estado extranjero (la República Oriental del Uruguay) y, fundamentalmente por guardar conexidad con otras causas en las que oportunamente se confió la representación del Estado Nacional a la Procuración del Tesoro de la Nación, corresponde adoptar el mismo criterio en el caso, a fin de proveer  una mejor defensa al estado Nacional y sostener así una postura uniforme.</w:t>
      </w:r>
      <w:r w:rsidR="002D56A0" w:rsidRPr="001D4025">
        <w:rPr>
          <w:rFonts w:asciiTheme="majorHAnsi" w:hAnsiTheme="majorHAnsi"/>
          <w:sz w:val="18"/>
          <w:szCs w:val="18"/>
        </w:rPr>
        <w:t xml:space="preserve"> </w:t>
      </w:r>
    </w:p>
    <w:p w14:paraId="33694B71" w14:textId="77777777" w:rsidR="00215995" w:rsidRPr="0007034B" w:rsidRDefault="00215995" w:rsidP="00517ADB">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rPr>
      </w:pPr>
    </w:p>
    <w:p w14:paraId="6980080A" w14:textId="6AD8277A" w:rsidR="00885211" w:rsidRPr="0007034B" w:rsidRDefault="002A5849"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r w:rsidRPr="0007034B">
        <w:rPr>
          <w:rFonts w:asciiTheme="majorHAnsi" w:hAnsiTheme="majorHAnsi"/>
          <w:sz w:val="20"/>
          <w:szCs w:val="20"/>
        </w:rPr>
        <w:t>El 26 de septiembre de 1996</w:t>
      </w:r>
      <w:r w:rsidR="00E54A14" w:rsidRPr="0007034B">
        <w:rPr>
          <w:rFonts w:asciiTheme="majorHAnsi" w:hAnsiTheme="majorHAnsi"/>
          <w:sz w:val="20"/>
          <w:szCs w:val="20"/>
        </w:rPr>
        <w:t xml:space="preserve"> </w:t>
      </w:r>
      <w:r w:rsidR="00E54A14" w:rsidRPr="0007034B">
        <w:rPr>
          <w:rFonts w:asciiTheme="majorHAnsi" w:hAnsiTheme="majorHAnsi"/>
          <w:color w:val="000000" w:themeColor="text1"/>
          <w:sz w:val="20"/>
          <w:szCs w:val="20"/>
          <w:lang w:val="es-VE"/>
        </w:rPr>
        <w:t>el señor Marques Iraola,</w:t>
      </w:r>
      <w:r w:rsidR="00DD2017" w:rsidRPr="0007034B">
        <w:rPr>
          <w:rFonts w:asciiTheme="majorHAnsi" w:hAnsiTheme="majorHAnsi"/>
          <w:sz w:val="20"/>
          <w:szCs w:val="20"/>
        </w:rPr>
        <w:t xml:space="preserve"> parte peticionaria y representante de los hermanos Larrabeiti Yáñez en la demanda civil, envió una comunicación al Presidente Menem solicitando </w:t>
      </w:r>
      <w:r w:rsidR="00A956B9" w:rsidRPr="0007034B">
        <w:rPr>
          <w:rFonts w:asciiTheme="majorHAnsi" w:hAnsiTheme="majorHAnsi"/>
          <w:sz w:val="20"/>
          <w:szCs w:val="20"/>
        </w:rPr>
        <w:t xml:space="preserve">“toda la información seria con que se cuenta para intentar, si así fuere verosímil, ubicar a [Mario </w:t>
      </w:r>
      <w:r w:rsidR="008E00A8" w:rsidRPr="0007034B">
        <w:rPr>
          <w:rFonts w:asciiTheme="majorHAnsi" w:hAnsiTheme="majorHAnsi"/>
          <w:sz w:val="20"/>
          <w:szCs w:val="20"/>
        </w:rPr>
        <w:t>Julien</w:t>
      </w:r>
      <w:r w:rsidR="00A956B9" w:rsidRPr="0007034B">
        <w:rPr>
          <w:rFonts w:asciiTheme="majorHAnsi" w:hAnsiTheme="majorHAnsi"/>
          <w:sz w:val="20"/>
          <w:szCs w:val="20"/>
        </w:rPr>
        <w:t>], eventualmente con vida, o qué fue realmente de él según la versión del decreto”</w:t>
      </w:r>
      <w:r w:rsidR="00A956B9" w:rsidRPr="0007034B">
        <w:rPr>
          <w:rStyle w:val="FootnoteReference"/>
          <w:rFonts w:asciiTheme="majorHAnsi" w:hAnsiTheme="majorHAnsi"/>
          <w:sz w:val="20"/>
          <w:szCs w:val="20"/>
        </w:rPr>
        <w:footnoteReference w:id="62"/>
      </w:r>
      <w:r w:rsidR="00662CAF" w:rsidRPr="0007034B">
        <w:rPr>
          <w:rFonts w:asciiTheme="majorHAnsi" w:hAnsiTheme="majorHAnsi"/>
          <w:sz w:val="20"/>
          <w:szCs w:val="20"/>
        </w:rPr>
        <w:t>.</w:t>
      </w:r>
      <w:r w:rsidR="000E05FD" w:rsidRPr="0007034B">
        <w:rPr>
          <w:rFonts w:asciiTheme="majorHAnsi" w:hAnsiTheme="majorHAnsi"/>
          <w:sz w:val="20"/>
          <w:szCs w:val="20"/>
        </w:rPr>
        <w:t xml:space="preserve"> Ante la falta de respuesta, el 15 de agosto de 1997, </w:t>
      </w:r>
      <w:r w:rsidR="00E54A14" w:rsidRPr="0007034B">
        <w:rPr>
          <w:rFonts w:asciiTheme="majorHAnsi" w:hAnsiTheme="majorHAnsi"/>
          <w:color w:val="000000" w:themeColor="text1"/>
          <w:sz w:val="20"/>
          <w:szCs w:val="20"/>
          <w:lang w:val="es-VE"/>
        </w:rPr>
        <w:t>el señor Marques Iraola envió una comunicación al Ministro del Interior Carlos V. Corach solicitando una “explicación concreta, fundada y circunstanciada del referido cuarto considerando del Decreto No. 1.025/96 que permita a [sus] mandantes saber acerca de la suerte corrida por sus padres biológicos (si bien respecto de su madre, el decreto guarda un ominoso silencio), aunque más no sea para proseguir las múltiples averiguaciones intentadas sin éxito, y, al menos, conocer mejor qué fue de ellos y procurar dar con sus restos”</w:t>
      </w:r>
      <w:r w:rsidR="00E54A14" w:rsidRPr="0007034B">
        <w:rPr>
          <w:rStyle w:val="FootnoteReference"/>
          <w:rFonts w:asciiTheme="majorHAnsi" w:hAnsiTheme="majorHAnsi"/>
          <w:color w:val="000000" w:themeColor="text1"/>
          <w:sz w:val="20"/>
          <w:szCs w:val="20"/>
          <w:lang w:val="es-VE"/>
        </w:rPr>
        <w:footnoteReference w:id="63"/>
      </w:r>
      <w:r w:rsidR="00A56218" w:rsidRPr="0007034B">
        <w:rPr>
          <w:rFonts w:asciiTheme="majorHAnsi" w:hAnsiTheme="majorHAnsi"/>
          <w:color w:val="000000" w:themeColor="text1"/>
          <w:sz w:val="20"/>
          <w:szCs w:val="20"/>
          <w:lang w:val="es-VE"/>
        </w:rPr>
        <w:t>.</w:t>
      </w:r>
      <w:r w:rsidR="00082685" w:rsidRPr="0007034B">
        <w:rPr>
          <w:rFonts w:asciiTheme="majorHAnsi" w:hAnsiTheme="majorHAnsi"/>
          <w:color w:val="000000" w:themeColor="text1"/>
          <w:sz w:val="20"/>
          <w:szCs w:val="20"/>
          <w:lang w:val="es-VE"/>
        </w:rPr>
        <w:t xml:space="preserve"> </w:t>
      </w:r>
      <w:r w:rsidR="00885211" w:rsidRPr="0007034B">
        <w:rPr>
          <w:rFonts w:asciiTheme="majorHAnsi" w:hAnsiTheme="majorHAnsi"/>
          <w:color w:val="000000" w:themeColor="text1"/>
          <w:sz w:val="20"/>
          <w:szCs w:val="20"/>
          <w:lang w:val="es-VE"/>
        </w:rPr>
        <w:t>Asimismo, los hermanos Larrabeiti Y</w:t>
      </w:r>
      <w:r w:rsidR="00885211" w:rsidRPr="0007034B">
        <w:rPr>
          <w:rFonts w:asciiTheme="majorHAnsi" w:hAnsiTheme="majorHAnsi"/>
          <w:color w:val="000000" w:themeColor="text1"/>
          <w:sz w:val="20"/>
          <w:szCs w:val="20"/>
          <w:lang w:val="es-ES"/>
        </w:rPr>
        <w:t>áñez promovieron una acción de habeas corpus que fue rechazada, motivando posteriormente un recurso ante la CSJN que tampoco prosperó (Causa M 1.981/96)</w:t>
      </w:r>
      <w:r w:rsidR="00885211" w:rsidRPr="0007034B">
        <w:rPr>
          <w:rStyle w:val="FootnoteReference"/>
          <w:rFonts w:asciiTheme="majorHAnsi" w:hAnsiTheme="majorHAnsi"/>
          <w:color w:val="000000" w:themeColor="text1"/>
          <w:sz w:val="20"/>
          <w:szCs w:val="20"/>
          <w:lang w:val="es-ES"/>
        </w:rPr>
        <w:footnoteReference w:id="64"/>
      </w:r>
      <w:r w:rsidR="00A56218" w:rsidRPr="0007034B">
        <w:rPr>
          <w:rFonts w:asciiTheme="majorHAnsi" w:hAnsiTheme="majorHAnsi"/>
          <w:color w:val="000000" w:themeColor="text1"/>
          <w:sz w:val="20"/>
          <w:szCs w:val="20"/>
          <w:lang w:val="es-ES"/>
        </w:rPr>
        <w:t>.</w:t>
      </w:r>
    </w:p>
    <w:p w14:paraId="6FC1473D" w14:textId="77777777" w:rsidR="00885211" w:rsidRPr="0007034B" w:rsidRDefault="00885211" w:rsidP="0088521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rPr>
      </w:pPr>
    </w:p>
    <w:p w14:paraId="64D6E6AB" w14:textId="016F61B2" w:rsidR="00327340" w:rsidRPr="0007034B" w:rsidRDefault="00090E9A"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r w:rsidRPr="0007034B">
        <w:rPr>
          <w:rFonts w:asciiTheme="majorHAnsi" w:hAnsiTheme="majorHAnsi"/>
          <w:sz w:val="20"/>
          <w:szCs w:val="20"/>
        </w:rPr>
        <w:t xml:space="preserve">El 3 de septiembre de 1997 </w:t>
      </w:r>
      <w:r w:rsidR="00E16A5D" w:rsidRPr="0007034B">
        <w:rPr>
          <w:rFonts w:asciiTheme="majorHAnsi" w:hAnsiTheme="majorHAnsi"/>
          <w:sz w:val="20"/>
          <w:szCs w:val="20"/>
        </w:rPr>
        <w:t>la Subsecretaria de Derechos Humanos y Sociales del Ministerio del Interior env</w:t>
      </w:r>
      <w:r w:rsidR="00A0166A" w:rsidRPr="0007034B">
        <w:rPr>
          <w:rFonts w:asciiTheme="majorHAnsi" w:hAnsiTheme="majorHAnsi"/>
          <w:sz w:val="20"/>
          <w:szCs w:val="20"/>
        </w:rPr>
        <w:t>ió</w:t>
      </w:r>
      <w:r w:rsidR="00E16A5D" w:rsidRPr="0007034B">
        <w:rPr>
          <w:rFonts w:asciiTheme="majorHAnsi" w:hAnsiTheme="majorHAnsi"/>
          <w:sz w:val="20"/>
          <w:szCs w:val="20"/>
        </w:rPr>
        <w:t xml:space="preserve"> una comunicación al </w:t>
      </w:r>
      <w:r w:rsidR="00E16A5D" w:rsidRPr="0007034B">
        <w:rPr>
          <w:rFonts w:asciiTheme="majorHAnsi" w:hAnsiTheme="majorHAnsi"/>
          <w:color w:val="000000" w:themeColor="text1"/>
          <w:sz w:val="20"/>
          <w:szCs w:val="20"/>
          <w:lang w:val="es-VE"/>
        </w:rPr>
        <w:t xml:space="preserve">señor Marques Iraola </w:t>
      </w:r>
      <w:r w:rsidR="0013251C" w:rsidRPr="0007034B">
        <w:rPr>
          <w:rFonts w:asciiTheme="majorHAnsi" w:hAnsiTheme="majorHAnsi"/>
          <w:color w:val="000000" w:themeColor="text1"/>
          <w:sz w:val="20"/>
          <w:szCs w:val="20"/>
          <w:lang w:val="es-VE"/>
        </w:rPr>
        <w:t>indicando que</w:t>
      </w:r>
      <w:r w:rsidR="00E16A5D" w:rsidRPr="0007034B">
        <w:rPr>
          <w:rFonts w:asciiTheme="majorHAnsi" w:hAnsiTheme="majorHAnsi"/>
          <w:color w:val="000000" w:themeColor="text1"/>
          <w:sz w:val="20"/>
          <w:szCs w:val="20"/>
          <w:lang w:val="es-VE"/>
        </w:rPr>
        <w:t xml:space="preserve"> </w:t>
      </w:r>
      <w:r w:rsidR="0013251C" w:rsidRPr="0007034B">
        <w:rPr>
          <w:rFonts w:asciiTheme="majorHAnsi" w:hAnsiTheme="majorHAnsi"/>
          <w:color w:val="000000" w:themeColor="text1"/>
          <w:sz w:val="20"/>
          <w:szCs w:val="20"/>
          <w:lang w:val="es-VE"/>
        </w:rPr>
        <w:t>la única información que obraba en el Ministerio era la del Archivo de la CONADEP</w:t>
      </w:r>
      <w:r w:rsidR="00327340" w:rsidRPr="0007034B">
        <w:rPr>
          <w:rFonts w:asciiTheme="majorHAnsi" w:hAnsiTheme="majorHAnsi"/>
          <w:color w:val="000000" w:themeColor="text1"/>
          <w:sz w:val="20"/>
          <w:szCs w:val="20"/>
          <w:lang w:val="es-VE"/>
        </w:rPr>
        <w:t xml:space="preserve"> y que “el considerando cuarto del decreto 1025/96 tiene el alcance de fundamentar una hipótesis que de ninguna forma resulta comprobada como claramente surge del mismo”</w:t>
      </w:r>
      <w:r w:rsidR="00441D6C" w:rsidRPr="0007034B">
        <w:rPr>
          <w:rStyle w:val="FootnoteReference"/>
          <w:rFonts w:asciiTheme="majorHAnsi" w:hAnsiTheme="majorHAnsi"/>
          <w:color w:val="000000" w:themeColor="text1"/>
          <w:sz w:val="20"/>
          <w:szCs w:val="20"/>
          <w:lang w:val="es-VE"/>
        </w:rPr>
        <w:footnoteReference w:id="65"/>
      </w:r>
      <w:r w:rsidR="009B0C57" w:rsidRPr="0007034B">
        <w:rPr>
          <w:rFonts w:asciiTheme="majorHAnsi" w:hAnsiTheme="majorHAnsi"/>
          <w:color w:val="000000" w:themeColor="text1"/>
          <w:sz w:val="20"/>
          <w:szCs w:val="20"/>
          <w:lang w:val="es-VE"/>
        </w:rPr>
        <w:t>.</w:t>
      </w:r>
    </w:p>
    <w:p w14:paraId="235C2389" w14:textId="77777777" w:rsidR="00C46063" w:rsidRPr="0007034B" w:rsidRDefault="00C46063" w:rsidP="00C46063">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rPr>
      </w:pPr>
    </w:p>
    <w:p w14:paraId="20CC0A73" w14:textId="52EFD3B3" w:rsidR="00B3382C" w:rsidRPr="007E73E1" w:rsidRDefault="00B3382C" w:rsidP="00B14871">
      <w:pPr>
        <w:pStyle w:val="Heading3"/>
        <w:numPr>
          <w:ilvl w:val="0"/>
          <w:numId w:val="67"/>
        </w:numPr>
        <w:ind w:hanging="720"/>
      </w:pPr>
      <w:bookmarkStart w:id="48" w:name="_Toc6349160"/>
      <w:bookmarkStart w:id="49" w:name="_Toc6466653"/>
      <w:r w:rsidRPr="007E73E1">
        <w:t>Expediente No. 24.518/98</w:t>
      </w:r>
      <w:bookmarkEnd w:id="48"/>
      <w:bookmarkEnd w:id="49"/>
    </w:p>
    <w:p w14:paraId="4EB9A2C9" w14:textId="77777777" w:rsidR="00B3382C" w:rsidRPr="0007034B" w:rsidRDefault="00B3382C" w:rsidP="00B3382C">
      <w:pPr>
        <w:pStyle w:val="ListParagraph"/>
        <w:rPr>
          <w:rFonts w:asciiTheme="majorHAnsi" w:hAnsiTheme="majorHAnsi"/>
          <w:sz w:val="20"/>
          <w:szCs w:val="20"/>
          <w:lang w:val="es-ES"/>
        </w:rPr>
      </w:pPr>
    </w:p>
    <w:p w14:paraId="42A6DE06" w14:textId="77777777" w:rsidR="00B3382C" w:rsidRPr="0007034B" w:rsidRDefault="00B3382C"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r w:rsidRPr="0007034B">
        <w:rPr>
          <w:rFonts w:asciiTheme="majorHAnsi" w:hAnsiTheme="majorHAnsi"/>
          <w:sz w:val="20"/>
          <w:szCs w:val="20"/>
        </w:rPr>
        <w:t>El 26 de agosto de 1998 los hermanos Larrabeiti Yáñez presentaron una acción civil contra el Ministerio del Interior “por los daños y perjuicios sufridos, primordialmente morales, por la inesperada y vital esperanza de que su padre se encontrase con vida, y quizás su madre también”</w:t>
      </w:r>
      <w:r w:rsidRPr="0007034B">
        <w:rPr>
          <w:rStyle w:val="FootnoteReference"/>
          <w:rFonts w:asciiTheme="majorHAnsi" w:hAnsiTheme="majorHAnsi"/>
          <w:sz w:val="20"/>
          <w:szCs w:val="20"/>
        </w:rPr>
        <w:footnoteReference w:id="66"/>
      </w:r>
      <w:r w:rsidRPr="0007034B">
        <w:rPr>
          <w:rFonts w:asciiTheme="majorHAnsi" w:hAnsiTheme="majorHAnsi"/>
          <w:sz w:val="20"/>
          <w:szCs w:val="20"/>
        </w:rPr>
        <w:t xml:space="preserve">, generada por el considerando cuarto del Decreto 1025/96 (causa caratulada “Larrabeiti Yáñez, Anatole Alejandro y otra c. Estado Nacional (Ministerio del Interior) s/daños y perjuicios”, Expediente 24.518/98). Dicha demanda fue rechazada el 13 de agosto de 2003 por considerar la jueza que las expresiones contenidas en el considerando cuarto se fundaron en </w:t>
      </w:r>
      <w:r w:rsidR="00472960" w:rsidRPr="0007034B">
        <w:rPr>
          <w:rFonts w:asciiTheme="majorHAnsi" w:hAnsiTheme="majorHAnsi"/>
          <w:sz w:val="20"/>
          <w:szCs w:val="20"/>
        </w:rPr>
        <w:t xml:space="preserve">la siguiente </w:t>
      </w:r>
      <w:r w:rsidRPr="0007034B">
        <w:rPr>
          <w:rFonts w:asciiTheme="majorHAnsi" w:hAnsiTheme="majorHAnsi"/>
          <w:sz w:val="20"/>
          <w:szCs w:val="20"/>
        </w:rPr>
        <w:t>información contenida en el legajo No. 2951 del informe de la CONADEP, presentado por la parte actora</w:t>
      </w:r>
      <w:r w:rsidRPr="0007034B">
        <w:rPr>
          <w:rStyle w:val="FootnoteReference"/>
          <w:rFonts w:asciiTheme="majorHAnsi" w:hAnsiTheme="majorHAnsi"/>
          <w:sz w:val="20"/>
          <w:szCs w:val="20"/>
        </w:rPr>
        <w:footnoteReference w:id="67"/>
      </w:r>
      <w:r w:rsidRPr="0007034B">
        <w:rPr>
          <w:rFonts w:asciiTheme="majorHAnsi" w:hAnsiTheme="majorHAnsi"/>
          <w:sz w:val="20"/>
          <w:szCs w:val="20"/>
        </w:rPr>
        <w:t>:</w:t>
      </w:r>
    </w:p>
    <w:p w14:paraId="16A06054" w14:textId="77777777" w:rsidR="00B3382C" w:rsidRPr="0007034B" w:rsidRDefault="00B3382C" w:rsidP="00B3382C">
      <w:pPr>
        <w:pStyle w:val="ListParagraph"/>
        <w:rPr>
          <w:rFonts w:asciiTheme="majorHAnsi" w:hAnsiTheme="majorHAnsi"/>
          <w:sz w:val="20"/>
          <w:szCs w:val="20"/>
          <w:lang w:val="es-ES"/>
        </w:rPr>
      </w:pPr>
    </w:p>
    <w:p w14:paraId="219C2952" w14:textId="08269CFC" w:rsidR="00B3382C" w:rsidRPr="001D4025" w:rsidRDefault="00B3382C" w:rsidP="00B3382C">
      <w:pPr>
        <w:pStyle w:val="ListParagraph"/>
        <w:ind w:right="720"/>
        <w:jc w:val="both"/>
        <w:rPr>
          <w:rFonts w:asciiTheme="majorHAnsi" w:hAnsiTheme="majorHAnsi"/>
          <w:sz w:val="18"/>
          <w:szCs w:val="18"/>
          <w:lang w:val="es-ES"/>
        </w:rPr>
      </w:pPr>
      <w:r w:rsidRPr="001D4025">
        <w:rPr>
          <w:rFonts w:asciiTheme="majorHAnsi" w:hAnsiTheme="majorHAnsi"/>
          <w:sz w:val="18"/>
          <w:szCs w:val="18"/>
          <w:lang w:val="es-ES"/>
        </w:rPr>
        <w:t xml:space="preserve">…RECONOCIMIENTO DE LA DETENCIÓN POR ESCRITO O DE OTRA FORMA: En oportunidad de la misión que realizaran a Uruguay el Profesor Robert Goldman de los Estados Unidos, el Senador Martínez Bjorkman de España y Jean-Louis Weil, de Francia desde el 12 al 18 de diciembre de 1977 a </w:t>
      </w:r>
      <w:r w:rsidRPr="001D4025">
        <w:rPr>
          <w:rFonts w:asciiTheme="majorHAnsi" w:hAnsiTheme="majorHAnsi"/>
          <w:sz w:val="18"/>
          <w:szCs w:val="18"/>
          <w:lang w:val="es-ES"/>
        </w:rPr>
        <w:lastRenderedPageBreak/>
        <w:t>investigar la situación de los prisioneros políticos y de las personas desaparecidas arrojó el siguiente resultado sobre el caso del Sr. JULIEN: en entrevista mantenida con el Coronel Silva Ledesma, Presidente del Supremo Tribunal Militar, este le confirmó, Roger JULIEN se encontraba detenido e inculpado desde octubre de 1976 (fecha que coincide con los secuestros y desapariciones de la familia JULIEN y otras personas) y que se encontraba detenido en el Establecimiento Militar de Reclusión No. 1 “Libertad”. A pesar de las diligencias realizadas por sus familiares ante las autoridades del Penal, estas negaron siempre tenerlo detenido. El gobierno uruguayo se comprometió a brindar información adicional sobre las personas desaparecidas en Argentina y Paraguay, lo que nunca realizó. (Ver Circular del S.I.J.A.U. 1 de febrero de 16978)…</w:t>
      </w:r>
    </w:p>
    <w:p w14:paraId="7EE9E81B" w14:textId="77777777" w:rsidR="00B3382C" w:rsidRPr="0007034B" w:rsidRDefault="00B3382C" w:rsidP="00B3382C">
      <w:pPr>
        <w:pStyle w:val="ListParagraph"/>
        <w:rPr>
          <w:rFonts w:asciiTheme="majorHAnsi" w:hAnsiTheme="majorHAnsi"/>
          <w:sz w:val="20"/>
          <w:szCs w:val="20"/>
          <w:lang w:val="es-ES"/>
        </w:rPr>
      </w:pPr>
    </w:p>
    <w:p w14:paraId="6E7A5249" w14:textId="4C61125A" w:rsidR="00B3382C" w:rsidRPr="0007034B" w:rsidRDefault="00B3382C"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r w:rsidRPr="0007034B">
        <w:rPr>
          <w:rFonts w:asciiTheme="majorHAnsi" w:hAnsiTheme="majorHAnsi"/>
          <w:sz w:val="20"/>
          <w:szCs w:val="20"/>
        </w:rPr>
        <w:t>El 28 de octubre de 2003 los hermanos Larrabeiti Yáñez interpusieron recurso de apelación alegando que el legajo No. 2951 del informe de la CONADEP contiene la declaración de la señora Cáceres de Julien indicando que su hijo falleció en el operativo militar. Alegaron asimismo que las fojas del legajo tenidas en cuenta en la sentencia están sin firmar y sin indicación de la persona que las redactó, que “los dichos del coronel Silva Ledesma constituyeron una burda mentira a la que los militares recurrían usualmente pretendiendo “legalizar” a los desaparecidos”, y que nunca se les proporcionó una “prueba de vida” a los delegados extranjeros</w:t>
      </w:r>
      <w:r w:rsidRPr="0007034B">
        <w:rPr>
          <w:rStyle w:val="FootnoteReference"/>
          <w:rFonts w:asciiTheme="majorHAnsi" w:hAnsiTheme="majorHAnsi"/>
          <w:sz w:val="20"/>
          <w:szCs w:val="20"/>
        </w:rPr>
        <w:footnoteReference w:id="68"/>
      </w:r>
      <w:r w:rsidR="006E5E9C" w:rsidRPr="0007034B">
        <w:rPr>
          <w:rFonts w:asciiTheme="majorHAnsi" w:hAnsiTheme="majorHAnsi"/>
          <w:sz w:val="20"/>
          <w:szCs w:val="20"/>
        </w:rPr>
        <w:t>.</w:t>
      </w:r>
      <w:r w:rsidRPr="0007034B">
        <w:rPr>
          <w:rFonts w:asciiTheme="majorHAnsi" w:hAnsiTheme="majorHAnsi"/>
          <w:sz w:val="20"/>
          <w:szCs w:val="20"/>
        </w:rPr>
        <w:t xml:space="preserve"> </w:t>
      </w:r>
    </w:p>
    <w:p w14:paraId="65B3ABBC" w14:textId="77777777" w:rsidR="00B3382C" w:rsidRPr="0007034B" w:rsidRDefault="00B3382C" w:rsidP="00B3382C">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rPr>
      </w:pPr>
    </w:p>
    <w:p w14:paraId="38D036D2" w14:textId="4309DBA0" w:rsidR="00B3382C" w:rsidRPr="0007034B" w:rsidRDefault="00B3382C"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r w:rsidRPr="0007034B">
        <w:rPr>
          <w:rFonts w:asciiTheme="majorHAnsi" w:hAnsiTheme="majorHAnsi"/>
          <w:sz w:val="20"/>
          <w:szCs w:val="20"/>
        </w:rPr>
        <w:t xml:space="preserve">El 22 de junio de 2004 la Sala II de la Cámara Nacional de Apelaciones en lo Contencioso Administrativo Federal confirmó la sentencia de primera instancia bajo el mismo fundamento utilizado por el </w:t>
      </w:r>
      <w:r w:rsidRPr="0007034B">
        <w:rPr>
          <w:rFonts w:asciiTheme="majorHAnsi" w:hAnsiTheme="majorHAnsi"/>
          <w:i/>
          <w:sz w:val="20"/>
          <w:szCs w:val="20"/>
        </w:rPr>
        <w:t>a quo</w:t>
      </w:r>
      <w:r w:rsidRPr="0007034B">
        <w:rPr>
          <w:rFonts w:asciiTheme="majorHAnsi" w:hAnsiTheme="majorHAnsi"/>
          <w:sz w:val="20"/>
          <w:szCs w:val="20"/>
        </w:rPr>
        <w:t>. Al respecto, estableció que</w:t>
      </w:r>
      <w:r w:rsidRPr="0007034B">
        <w:rPr>
          <w:rStyle w:val="FootnoteReference"/>
          <w:rFonts w:asciiTheme="majorHAnsi" w:hAnsiTheme="majorHAnsi"/>
          <w:sz w:val="20"/>
          <w:szCs w:val="20"/>
        </w:rPr>
        <w:footnoteReference w:id="69"/>
      </w:r>
      <w:r w:rsidR="000504FD" w:rsidRPr="0007034B">
        <w:rPr>
          <w:rFonts w:asciiTheme="majorHAnsi" w:hAnsiTheme="majorHAnsi"/>
          <w:sz w:val="20"/>
          <w:szCs w:val="20"/>
        </w:rPr>
        <w:t>:</w:t>
      </w:r>
    </w:p>
    <w:p w14:paraId="26D3E2DE" w14:textId="77777777" w:rsidR="00B3382C" w:rsidRPr="0007034B" w:rsidRDefault="00B3382C" w:rsidP="00B3382C">
      <w:pPr>
        <w:pStyle w:val="ListParagraph"/>
        <w:rPr>
          <w:rFonts w:asciiTheme="majorHAnsi" w:hAnsiTheme="majorHAnsi"/>
          <w:sz w:val="20"/>
          <w:szCs w:val="20"/>
          <w:lang w:val="es-ES"/>
        </w:rPr>
      </w:pPr>
    </w:p>
    <w:p w14:paraId="29B32A8D" w14:textId="77777777" w:rsidR="00B3382C" w:rsidRPr="001D4025" w:rsidRDefault="00B3382C" w:rsidP="00F23D41">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uppressAutoHyphens/>
        <w:ind w:right="720" w:firstLine="0"/>
        <w:jc w:val="both"/>
        <w:rPr>
          <w:rFonts w:asciiTheme="majorHAnsi" w:hAnsiTheme="majorHAnsi"/>
          <w:sz w:val="18"/>
          <w:szCs w:val="18"/>
        </w:rPr>
      </w:pPr>
      <w:r w:rsidRPr="001D4025">
        <w:rPr>
          <w:rFonts w:asciiTheme="majorHAnsi" w:hAnsiTheme="majorHAnsi"/>
          <w:sz w:val="18"/>
          <w:szCs w:val="18"/>
          <w:lang w:val="es-ES"/>
        </w:rPr>
        <w:t>e</w:t>
      </w:r>
      <w:r w:rsidRPr="001D4025">
        <w:rPr>
          <w:rFonts w:asciiTheme="majorHAnsi" w:hAnsiTheme="majorHAnsi"/>
          <w:sz w:val="18"/>
          <w:szCs w:val="18"/>
        </w:rPr>
        <w:t>l decreto en cuestión resulta ser un acto de la administración que no estaba destinado a producir efectos en terceros, esto es, fuera del ámbito de su sede, sino sólo a apoderar a la Procuración del Tesoro de la Nación […]</w:t>
      </w:r>
    </w:p>
    <w:p w14:paraId="59743D23" w14:textId="77777777" w:rsidR="00B3382C" w:rsidRPr="001D4025" w:rsidRDefault="00B3382C" w:rsidP="00F23D41">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uppressAutoHyphens/>
        <w:ind w:right="720" w:firstLine="0"/>
        <w:jc w:val="both"/>
        <w:rPr>
          <w:rFonts w:asciiTheme="majorHAnsi" w:hAnsiTheme="majorHAnsi"/>
          <w:sz w:val="18"/>
          <w:szCs w:val="18"/>
        </w:rPr>
      </w:pPr>
      <w:r w:rsidRPr="001D4025">
        <w:rPr>
          <w:rFonts w:asciiTheme="majorHAnsi" w:hAnsiTheme="majorHAnsi"/>
          <w:sz w:val="18"/>
          <w:szCs w:val="18"/>
        </w:rPr>
        <w:t>que el considerando […] no puede interpretarse aisladamente del contexto en el que está inserto, esto implica que debe necesariamente relacionárselo con los considerandos que lo anteceden y los que le siguen, y advertir que aquél se refiere a la demanda y documental obrante en el expte. que lo motiva – […] copia del legajo No. 2951 -</w:t>
      </w:r>
    </w:p>
    <w:p w14:paraId="5B5A405B" w14:textId="77777777" w:rsidR="00B3382C" w:rsidRPr="001D4025" w:rsidRDefault="00B3382C" w:rsidP="00F23D41">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uppressAutoHyphens/>
        <w:ind w:right="720" w:firstLine="0"/>
        <w:jc w:val="both"/>
        <w:rPr>
          <w:rFonts w:asciiTheme="majorHAnsi" w:hAnsiTheme="majorHAnsi"/>
          <w:sz w:val="18"/>
          <w:szCs w:val="18"/>
        </w:rPr>
      </w:pPr>
      <w:r w:rsidRPr="001D4025">
        <w:rPr>
          <w:rFonts w:asciiTheme="majorHAnsi" w:hAnsiTheme="majorHAnsi"/>
          <w:sz w:val="18"/>
          <w:szCs w:val="18"/>
        </w:rPr>
        <w:t>[…] el origen de la esperanza invocada por los actores, está en el legajo No. 2951 [del informe de la CONADEP] y no en el decreto 1025/96.</w:t>
      </w:r>
    </w:p>
    <w:p w14:paraId="3063B854" w14:textId="77777777" w:rsidR="00B3382C" w:rsidRPr="0007034B" w:rsidRDefault="00B3382C" w:rsidP="00B3382C">
      <w:pPr>
        <w:pStyle w:val="ListParagraph"/>
        <w:rPr>
          <w:rFonts w:asciiTheme="majorHAnsi" w:hAnsiTheme="majorHAnsi"/>
          <w:sz w:val="20"/>
          <w:szCs w:val="20"/>
          <w:lang w:val="es-ES"/>
        </w:rPr>
      </w:pPr>
    </w:p>
    <w:p w14:paraId="7CA33D1D" w14:textId="3F8F558A" w:rsidR="00B3382C" w:rsidRPr="0007034B" w:rsidRDefault="00B3382C"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r w:rsidRPr="0007034B">
        <w:rPr>
          <w:rFonts w:asciiTheme="majorHAnsi" w:hAnsiTheme="majorHAnsi"/>
          <w:sz w:val="20"/>
          <w:szCs w:val="20"/>
        </w:rPr>
        <w:t xml:space="preserve"> El 3 de agosto de 2004 los hermanos Larrabeiti Yáñez interpusieron recurso extraordinario contra la sentencia dictada en sede de apelación por considerarla arbitraria</w:t>
      </w:r>
      <w:r w:rsidRPr="0007034B">
        <w:rPr>
          <w:rStyle w:val="FootnoteReference"/>
          <w:rFonts w:asciiTheme="majorHAnsi" w:hAnsiTheme="majorHAnsi"/>
          <w:sz w:val="20"/>
          <w:szCs w:val="20"/>
        </w:rPr>
        <w:footnoteReference w:id="70"/>
      </w:r>
      <w:r w:rsidR="005E6AC4" w:rsidRPr="0007034B">
        <w:rPr>
          <w:rFonts w:asciiTheme="majorHAnsi" w:hAnsiTheme="majorHAnsi"/>
          <w:sz w:val="20"/>
          <w:szCs w:val="20"/>
        </w:rPr>
        <w:t>.</w:t>
      </w:r>
      <w:r w:rsidRPr="0007034B">
        <w:rPr>
          <w:rFonts w:asciiTheme="majorHAnsi" w:hAnsiTheme="majorHAnsi"/>
          <w:sz w:val="20"/>
          <w:szCs w:val="20"/>
        </w:rPr>
        <w:t xml:space="preserve"> Dicho recurso fue denegado el 16 de noviembre de 2004 con base en el siguiente fundamento</w:t>
      </w:r>
      <w:r w:rsidRPr="0007034B">
        <w:rPr>
          <w:rStyle w:val="FootnoteReference"/>
          <w:rFonts w:asciiTheme="majorHAnsi" w:hAnsiTheme="majorHAnsi"/>
          <w:sz w:val="20"/>
          <w:szCs w:val="20"/>
        </w:rPr>
        <w:footnoteReference w:id="71"/>
      </w:r>
      <w:r w:rsidR="005E6AC4" w:rsidRPr="0007034B">
        <w:rPr>
          <w:rFonts w:asciiTheme="majorHAnsi" w:hAnsiTheme="majorHAnsi"/>
          <w:sz w:val="20"/>
          <w:szCs w:val="20"/>
        </w:rPr>
        <w:t>:</w:t>
      </w:r>
    </w:p>
    <w:p w14:paraId="1D6C7022" w14:textId="77777777" w:rsidR="00B3382C" w:rsidRPr="0007034B" w:rsidRDefault="00B3382C" w:rsidP="00B3382C">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rPr>
      </w:pPr>
    </w:p>
    <w:p w14:paraId="64167FB9" w14:textId="11DACAFB" w:rsidR="00B3382C" w:rsidRPr="001D4025" w:rsidRDefault="00B3382C" w:rsidP="00B3382C">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firstLine="0"/>
        <w:jc w:val="both"/>
        <w:rPr>
          <w:rFonts w:asciiTheme="majorHAnsi" w:hAnsiTheme="majorHAnsi"/>
          <w:sz w:val="18"/>
          <w:szCs w:val="18"/>
        </w:rPr>
      </w:pPr>
      <w:r w:rsidRPr="001D4025">
        <w:rPr>
          <w:rFonts w:asciiTheme="majorHAnsi" w:hAnsiTheme="majorHAnsi"/>
          <w:sz w:val="18"/>
          <w:szCs w:val="18"/>
        </w:rPr>
        <w:t>[…] la doctrina de la arbitrariedad no tiene por objeto corregir fallos equivocados o que se consideren tales sino que atiende solamente a supuestos de excepción en los que fallas de razonamiento lógico en que se sustenta la sentencia o una manifiesta carencia de fundamentación normativa, impiden considerar el pronunciamiento apelado como acto jurisdiccional válido (Fallos C.C. 304:267; 279; 375, entre muchos otros). El recurrente no demuestra que tal supuesto de excepción se configure en el presente caso pues su discrepancia con lo resuelto no es suficiente a tal fin.</w:t>
      </w:r>
    </w:p>
    <w:p w14:paraId="4E2EBEF6" w14:textId="77777777" w:rsidR="00B3382C" w:rsidRPr="0007034B" w:rsidRDefault="00B3382C" w:rsidP="00B3382C">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rPr>
      </w:pPr>
    </w:p>
    <w:p w14:paraId="7260CCA4" w14:textId="37CA3CF6" w:rsidR="00B3382C" w:rsidRPr="0007034B" w:rsidRDefault="00B3382C"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r w:rsidRPr="0007034B">
        <w:rPr>
          <w:rFonts w:asciiTheme="majorHAnsi" w:hAnsiTheme="majorHAnsi"/>
          <w:sz w:val="20"/>
          <w:szCs w:val="20"/>
        </w:rPr>
        <w:t xml:space="preserve">El 10 de diciembre de 2004 los hermanos Larrabieti Yáñez presentaron recurso de queja ante la </w:t>
      </w:r>
      <w:r w:rsidR="00472960" w:rsidRPr="0007034B">
        <w:rPr>
          <w:rFonts w:asciiTheme="majorHAnsi" w:hAnsiTheme="majorHAnsi"/>
          <w:sz w:val="20"/>
          <w:szCs w:val="20"/>
        </w:rPr>
        <w:t>CSJN</w:t>
      </w:r>
      <w:r w:rsidRPr="0007034B">
        <w:rPr>
          <w:rFonts w:asciiTheme="majorHAnsi" w:hAnsiTheme="majorHAnsi"/>
          <w:sz w:val="20"/>
          <w:szCs w:val="20"/>
        </w:rPr>
        <w:t xml:space="preserve"> alegando, entre otros, que la sentencia recurrida prescindió de elementos de prueba expresamente </w:t>
      </w:r>
      <w:r w:rsidRPr="0007034B">
        <w:rPr>
          <w:rFonts w:asciiTheme="majorHAnsi" w:hAnsiTheme="majorHAnsi"/>
          <w:sz w:val="20"/>
          <w:szCs w:val="20"/>
        </w:rPr>
        <w:lastRenderedPageBreak/>
        <w:t>invocados</w:t>
      </w:r>
      <w:r w:rsidRPr="0007034B">
        <w:rPr>
          <w:rStyle w:val="FootnoteReference"/>
          <w:rFonts w:asciiTheme="majorHAnsi" w:hAnsiTheme="majorHAnsi"/>
          <w:sz w:val="20"/>
          <w:szCs w:val="20"/>
        </w:rPr>
        <w:footnoteReference w:id="72"/>
      </w:r>
      <w:r w:rsidR="0052541B" w:rsidRPr="0007034B">
        <w:rPr>
          <w:rFonts w:asciiTheme="majorHAnsi" w:hAnsiTheme="majorHAnsi"/>
          <w:sz w:val="20"/>
          <w:szCs w:val="20"/>
        </w:rPr>
        <w:t>.</w:t>
      </w:r>
      <w:r w:rsidRPr="0007034B">
        <w:rPr>
          <w:rFonts w:asciiTheme="majorHAnsi" w:hAnsiTheme="majorHAnsi"/>
          <w:sz w:val="20"/>
          <w:szCs w:val="20"/>
        </w:rPr>
        <w:t xml:space="preserve"> El 27 de septiembre de 2005 la </w:t>
      </w:r>
      <w:r w:rsidR="00472960" w:rsidRPr="0007034B">
        <w:rPr>
          <w:rFonts w:asciiTheme="majorHAnsi" w:hAnsiTheme="majorHAnsi"/>
          <w:sz w:val="20"/>
          <w:szCs w:val="20"/>
        </w:rPr>
        <w:t>CSJN</w:t>
      </w:r>
      <w:r w:rsidRPr="0007034B">
        <w:rPr>
          <w:rFonts w:asciiTheme="majorHAnsi" w:hAnsiTheme="majorHAnsi"/>
          <w:sz w:val="20"/>
          <w:szCs w:val="20"/>
        </w:rPr>
        <w:t xml:space="preserve"> declaró inadmisible el recurso con base en lo establecido en el artículo 280 del Código Procesal Civil y Comercial de la Nación.</w:t>
      </w:r>
      <w:r w:rsidR="00CC437A" w:rsidRPr="0007034B">
        <w:rPr>
          <w:rFonts w:asciiTheme="majorHAnsi" w:hAnsiTheme="majorHAnsi"/>
          <w:sz w:val="20"/>
          <w:szCs w:val="20"/>
        </w:rPr>
        <w:t xml:space="preserve"> El considerando único de dicha decisión estableció: “Que el recurso extraordinario, cuya denegación origina la presente queja es inadmisible (art. 280 del Código Procesal Civil y Comercial de la Nación)</w:t>
      </w:r>
      <w:r w:rsidR="00E47A92" w:rsidRPr="0007034B">
        <w:rPr>
          <w:rFonts w:asciiTheme="majorHAnsi" w:hAnsiTheme="majorHAnsi"/>
          <w:sz w:val="20"/>
          <w:szCs w:val="20"/>
        </w:rPr>
        <w:t>.</w:t>
      </w:r>
      <w:r w:rsidR="00D2070C" w:rsidRPr="0007034B">
        <w:rPr>
          <w:rFonts w:asciiTheme="majorHAnsi" w:hAnsiTheme="majorHAnsi"/>
          <w:sz w:val="20"/>
          <w:szCs w:val="20"/>
        </w:rPr>
        <w:t xml:space="preserve"> </w:t>
      </w:r>
      <w:r w:rsidR="00E47A92" w:rsidRPr="0007034B">
        <w:rPr>
          <w:rFonts w:asciiTheme="majorHAnsi" w:hAnsiTheme="majorHAnsi"/>
          <w:sz w:val="20"/>
          <w:szCs w:val="20"/>
        </w:rPr>
        <w:t>Por ello, se desestima la queja. Notifíquese y, oportunamente, archívese</w:t>
      </w:r>
      <w:r w:rsidR="00CC437A" w:rsidRPr="0007034B">
        <w:rPr>
          <w:rFonts w:asciiTheme="majorHAnsi" w:hAnsiTheme="majorHAnsi"/>
          <w:sz w:val="20"/>
          <w:szCs w:val="20"/>
        </w:rPr>
        <w:t>”</w:t>
      </w:r>
      <w:r w:rsidRPr="0007034B">
        <w:rPr>
          <w:rStyle w:val="FootnoteReference"/>
          <w:rFonts w:asciiTheme="majorHAnsi" w:hAnsiTheme="majorHAnsi"/>
          <w:sz w:val="20"/>
          <w:szCs w:val="20"/>
        </w:rPr>
        <w:footnoteReference w:id="73"/>
      </w:r>
      <w:r w:rsidR="00184913" w:rsidRPr="0007034B">
        <w:rPr>
          <w:rFonts w:asciiTheme="majorHAnsi" w:hAnsiTheme="majorHAnsi"/>
          <w:sz w:val="20"/>
          <w:szCs w:val="20"/>
        </w:rPr>
        <w:t>.</w:t>
      </w:r>
      <w:r w:rsidRPr="0007034B">
        <w:rPr>
          <w:rFonts w:asciiTheme="majorHAnsi" w:hAnsiTheme="majorHAnsi"/>
          <w:sz w:val="20"/>
          <w:szCs w:val="20"/>
        </w:rPr>
        <w:t xml:space="preserve"> </w:t>
      </w:r>
    </w:p>
    <w:p w14:paraId="0697914A" w14:textId="77777777" w:rsidR="00B3382C" w:rsidRPr="0007034B" w:rsidRDefault="00B3382C" w:rsidP="00B3382C">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1440" w:firstLine="0"/>
        <w:jc w:val="both"/>
        <w:rPr>
          <w:rFonts w:asciiTheme="majorHAnsi" w:hAnsiTheme="majorHAnsi"/>
          <w:b/>
          <w:sz w:val="20"/>
          <w:szCs w:val="20"/>
        </w:rPr>
      </w:pPr>
    </w:p>
    <w:p w14:paraId="7FAD71F6" w14:textId="553FB7FC" w:rsidR="00C46063" w:rsidRPr="007E73E1" w:rsidRDefault="00C46063" w:rsidP="007E73E1">
      <w:pPr>
        <w:pStyle w:val="Heading3"/>
      </w:pPr>
      <w:bookmarkStart w:id="50" w:name="_Toc6349161"/>
      <w:bookmarkStart w:id="51" w:name="_Toc6466654"/>
      <w:r w:rsidRPr="007E73E1">
        <w:t>Expediente No. 14.846/96</w:t>
      </w:r>
      <w:bookmarkEnd w:id="50"/>
      <w:bookmarkEnd w:id="51"/>
    </w:p>
    <w:p w14:paraId="3BF9DF68" w14:textId="77777777" w:rsidR="00C46063" w:rsidRPr="0007034B" w:rsidRDefault="00C46063" w:rsidP="00C46063">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b/>
          <w:sz w:val="20"/>
          <w:szCs w:val="20"/>
        </w:rPr>
      </w:pPr>
    </w:p>
    <w:p w14:paraId="7BFC6821" w14:textId="64918142" w:rsidR="00C7325A" w:rsidRPr="0007034B" w:rsidRDefault="003C6865"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r w:rsidRPr="0007034B">
        <w:rPr>
          <w:rFonts w:asciiTheme="majorHAnsi" w:hAnsiTheme="majorHAnsi"/>
          <w:color w:val="000000" w:themeColor="text1"/>
          <w:sz w:val="20"/>
          <w:szCs w:val="20"/>
          <w:lang w:val="es-VE"/>
        </w:rPr>
        <w:t xml:space="preserve">De acuerdo a los alegatos de las partes, </w:t>
      </w:r>
      <w:r w:rsidR="0082186F" w:rsidRPr="0007034B">
        <w:rPr>
          <w:rFonts w:asciiTheme="majorHAnsi" w:hAnsiTheme="majorHAnsi"/>
          <w:color w:val="000000" w:themeColor="text1"/>
          <w:sz w:val="20"/>
          <w:szCs w:val="20"/>
          <w:lang w:val="es-VE"/>
        </w:rPr>
        <w:t xml:space="preserve">el 15 de octubre de 2002 </w:t>
      </w:r>
      <w:r w:rsidR="0007131A" w:rsidRPr="0007034B">
        <w:rPr>
          <w:rFonts w:asciiTheme="majorHAnsi" w:hAnsiTheme="majorHAnsi"/>
          <w:color w:val="000000" w:themeColor="text1"/>
          <w:sz w:val="20"/>
          <w:szCs w:val="20"/>
          <w:lang w:val="es-VE"/>
        </w:rPr>
        <w:t>el</w:t>
      </w:r>
      <w:r w:rsidR="00B358BC" w:rsidRPr="0007034B">
        <w:rPr>
          <w:rFonts w:asciiTheme="majorHAnsi" w:hAnsiTheme="majorHAnsi"/>
          <w:color w:val="000000" w:themeColor="text1"/>
          <w:sz w:val="20"/>
          <w:szCs w:val="20"/>
          <w:lang w:val="es-VE"/>
        </w:rPr>
        <w:t xml:space="preserve"> Juzgado de P</w:t>
      </w:r>
      <w:r w:rsidR="0082186F" w:rsidRPr="0007034B">
        <w:rPr>
          <w:rFonts w:asciiTheme="majorHAnsi" w:hAnsiTheme="majorHAnsi"/>
          <w:color w:val="000000" w:themeColor="text1"/>
          <w:sz w:val="20"/>
          <w:szCs w:val="20"/>
          <w:lang w:val="es-VE"/>
        </w:rPr>
        <w:t xml:space="preserve">rimera </w:t>
      </w:r>
      <w:r w:rsidR="00B358BC" w:rsidRPr="0007034B">
        <w:rPr>
          <w:rFonts w:asciiTheme="majorHAnsi" w:hAnsiTheme="majorHAnsi"/>
          <w:color w:val="000000" w:themeColor="text1"/>
          <w:sz w:val="20"/>
          <w:szCs w:val="20"/>
          <w:lang w:val="es-VE"/>
        </w:rPr>
        <w:t>I</w:t>
      </w:r>
      <w:r w:rsidR="0082186F" w:rsidRPr="0007034B">
        <w:rPr>
          <w:rFonts w:asciiTheme="majorHAnsi" w:hAnsiTheme="majorHAnsi"/>
          <w:color w:val="000000" w:themeColor="text1"/>
          <w:sz w:val="20"/>
          <w:szCs w:val="20"/>
          <w:lang w:val="es-VE"/>
        </w:rPr>
        <w:t xml:space="preserve">nstancia </w:t>
      </w:r>
      <w:r w:rsidR="0007131A" w:rsidRPr="0007034B">
        <w:rPr>
          <w:rFonts w:asciiTheme="majorHAnsi" w:hAnsiTheme="majorHAnsi"/>
          <w:color w:val="000000" w:themeColor="text1"/>
          <w:sz w:val="20"/>
          <w:szCs w:val="20"/>
          <w:lang w:val="es-VE"/>
        </w:rPr>
        <w:t xml:space="preserve">en lo Contencioso Administrativo Federal </w:t>
      </w:r>
      <w:r w:rsidR="0082186F" w:rsidRPr="0007034B">
        <w:rPr>
          <w:rFonts w:asciiTheme="majorHAnsi" w:hAnsiTheme="majorHAnsi"/>
          <w:color w:val="000000" w:themeColor="text1"/>
          <w:sz w:val="20"/>
          <w:szCs w:val="20"/>
          <w:lang w:val="es-VE"/>
        </w:rPr>
        <w:t xml:space="preserve">condenó al Estado Nacional al pago de US$ 600.000 </w:t>
      </w:r>
      <w:r w:rsidR="000A489C" w:rsidRPr="0007034B">
        <w:rPr>
          <w:rFonts w:asciiTheme="majorHAnsi" w:hAnsiTheme="majorHAnsi"/>
          <w:color w:val="000000" w:themeColor="text1"/>
          <w:sz w:val="20"/>
          <w:szCs w:val="20"/>
          <w:lang w:val="es-VE"/>
        </w:rPr>
        <w:t xml:space="preserve">en concepto de daños y perjuicios </w:t>
      </w:r>
      <w:r w:rsidR="00CA4823" w:rsidRPr="0007034B">
        <w:rPr>
          <w:rFonts w:asciiTheme="majorHAnsi" w:hAnsiTheme="majorHAnsi"/>
          <w:color w:val="000000" w:themeColor="text1"/>
          <w:sz w:val="20"/>
          <w:szCs w:val="20"/>
          <w:lang w:val="es-VE"/>
        </w:rPr>
        <w:t>más el pago de US$ 90.000 por honorarios y costas. Al respecto, la sentencia estableció que “el hecho generador del daño nunca concluyó […] En verdad, el hecho que genera el daño es, justamente, la desaparición, que es una sola circunstancia que llega hasta el presente”</w:t>
      </w:r>
      <w:r w:rsidR="00CA4823" w:rsidRPr="0007034B">
        <w:rPr>
          <w:rStyle w:val="FootnoteReference"/>
          <w:rFonts w:asciiTheme="majorHAnsi" w:hAnsiTheme="majorHAnsi"/>
          <w:color w:val="000000" w:themeColor="text1"/>
          <w:sz w:val="20"/>
          <w:szCs w:val="20"/>
          <w:lang w:val="es-VE"/>
        </w:rPr>
        <w:footnoteReference w:id="74"/>
      </w:r>
      <w:r w:rsidR="00C61D45" w:rsidRPr="0007034B">
        <w:rPr>
          <w:rFonts w:asciiTheme="majorHAnsi" w:hAnsiTheme="majorHAnsi"/>
          <w:color w:val="000000" w:themeColor="text1"/>
          <w:sz w:val="20"/>
          <w:szCs w:val="20"/>
          <w:lang w:val="es-VE"/>
        </w:rPr>
        <w:t>.</w:t>
      </w:r>
      <w:r w:rsidR="000A489C" w:rsidRPr="0007034B">
        <w:rPr>
          <w:rFonts w:asciiTheme="majorHAnsi" w:hAnsiTheme="majorHAnsi"/>
          <w:color w:val="000000" w:themeColor="text1"/>
          <w:sz w:val="20"/>
          <w:szCs w:val="20"/>
          <w:lang w:val="es-VE"/>
        </w:rPr>
        <w:t xml:space="preserve"> </w:t>
      </w:r>
    </w:p>
    <w:p w14:paraId="1D33A18B" w14:textId="77777777" w:rsidR="00C7325A" w:rsidRPr="0007034B" w:rsidRDefault="00C7325A" w:rsidP="00C7325A">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rPr>
      </w:pPr>
    </w:p>
    <w:p w14:paraId="60C9062B" w14:textId="1F116468" w:rsidR="003C6865" w:rsidRPr="0007034B" w:rsidRDefault="00881C31"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r w:rsidRPr="0007034B">
        <w:rPr>
          <w:rFonts w:asciiTheme="majorHAnsi" w:hAnsiTheme="majorHAnsi"/>
          <w:color w:val="000000" w:themeColor="text1"/>
          <w:sz w:val="20"/>
          <w:szCs w:val="20"/>
          <w:lang w:val="es-VE"/>
        </w:rPr>
        <w:t>E</w:t>
      </w:r>
      <w:r w:rsidR="00472960" w:rsidRPr="0007034B">
        <w:rPr>
          <w:rFonts w:asciiTheme="majorHAnsi" w:hAnsiTheme="majorHAnsi"/>
          <w:color w:val="000000" w:themeColor="text1"/>
          <w:sz w:val="20"/>
          <w:szCs w:val="20"/>
          <w:lang w:val="es-VE"/>
        </w:rPr>
        <w:t>n segunda instancia, e</w:t>
      </w:r>
      <w:r w:rsidR="00726098" w:rsidRPr="0007034B">
        <w:rPr>
          <w:rFonts w:asciiTheme="majorHAnsi" w:hAnsiTheme="majorHAnsi"/>
          <w:color w:val="000000" w:themeColor="text1"/>
          <w:sz w:val="20"/>
          <w:szCs w:val="20"/>
          <w:lang w:val="es-VE"/>
        </w:rPr>
        <w:t>l 4 de noviembre de 2004 la Sala III de la Cámara Federal en lo Contencioso Administrativo</w:t>
      </w:r>
      <w:r w:rsidR="00C7325A" w:rsidRPr="0007034B">
        <w:rPr>
          <w:rFonts w:asciiTheme="majorHAnsi" w:hAnsiTheme="majorHAnsi"/>
          <w:color w:val="000000" w:themeColor="text1"/>
          <w:sz w:val="20"/>
          <w:szCs w:val="20"/>
          <w:lang w:val="es-VE"/>
        </w:rPr>
        <w:t xml:space="preserve"> admitió parcialmente la demanda a favor de Victoria Larrabeiti Yáñez y condenó al Estado Nacional a pagar 250.000 pesos, más intereses desde el 26 de septiembre de 1976, en concepto de indemnización de los daños y perjuicios derivados de la desaparición forzada de su padre y madre</w:t>
      </w:r>
      <w:r w:rsidR="002E6720" w:rsidRPr="0007034B">
        <w:rPr>
          <w:rStyle w:val="FootnoteReference"/>
          <w:rFonts w:asciiTheme="majorHAnsi" w:hAnsiTheme="majorHAnsi"/>
          <w:color w:val="000000" w:themeColor="text1"/>
          <w:sz w:val="20"/>
          <w:szCs w:val="20"/>
          <w:lang w:val="es-VE"/>
        </w:rPr>
        <w:footnoteReference w:id="75"/>
      </w:r>
      <w:r w:rsidR="00E43009" w:rsidRPr="0007034B">
        <w:rPr>
          <w:rFonts w:asciiTheme="majorHAnsi" w:hAnsiTheme="majorHAnsi"/>
          <w:color w:val="000000" w:themeColor="text1"/>
          <w:sz w:val="20"/>
          <w:szCs w:val="20"/>
          <w:lang w:val="es-VE"/>
        </w:rPr>
        <w:t>.</w:t>
      </w:r>
      <w:r w:rsidR="00C7325A" w:rsidRPr="0007034B">
        <w:rPr>
          <w:rFonts w:asciiTheme="majorHAnsi" w:hAnsiTheme="majorHAnsi"/>
          <w:color w:val="000000" w:themeColor="text1"/>
          <w:sz w:val="20"/>
          <w:szCs w:val="20"/>
          <w:lang w:val="es-VE"/>
        </w:rPr>
        <w:t xml:space="preserve"> </w:t>
      </w:r>
      <w:r w:rsidR="002E6720" w:rsidRPr="0007034B">
        <w:rPr>
          <w:rFonts w:asciiTheme="majorHAnsi" w:hAnsiTheme="majorHAnsi"/>
          <w:color w:val="000000" w:themeColor="text1"/>
          <w:sz w:val="20"/>
          <w:szCs w:val="20"/>
          <w:lang w:val="es-VE"/>
        </w:rPr>
        <w:t>De acuerdo a la parte peticionaria, considerando los intereses desde el 26 de septiembre de 1976, al año 2004 la suma ascendía a aproximadamente US$ 3.300.000</w:t>
      </w:r>
      <w:r w:rsidR="002E6720" w:rsidRPr="0007034B">
        <w:rPr>
          <w:rStyle w:val="FootnoteReference"/>
          <w:rFonts w:asciiTheme="majorHAnsi" w:hAnsiTheme="majorHAnsi"/>
          <w:color w:val="000000" w:themeColor="text1"/>
          <w:sz w:val="20"/>
          <w:szCs w:val="20"/>
          <w:lang w:val="es-VE"/>
        </w:rPr>
        <w:footnoteReference w:id="76"/>
      </w:r>
      <w:r w:rsidR="00894B6E" w:rsidRPr="0007034B">
        <w:rPr>
          <w:rFonts w:asciiTheme="majorHAnsi" w:hAnsiTheme="majorHAnsi"/>
          <w:color w:val="000000" w:themeColor="text1"/>
          <w:sz w:val="20"/>
          <w:szCs w:val="20"/>
          <w:lang w:val="es-VE"/>
        </w:rPr>
        <w:t>.</w:t>
      </w:r>
      <w:r w:rsidR="002E6720" w:rsidRPr="0007034B">
        <w:rPr>
          <w:rFonts w:asciiTheme="majorHAnsi" w:hAnsiTheme="majorHAnsi"/>
          <w:color w:val="000000" w:themeColor="text1"/>
          <w:sz w:val="20"/>
          <w:szCs w:val="20"/>
          <w:lang w:val="es-VE"/>
        </w:rPr>
        <w:t xml:space="preserve"> </w:t>
      </w:r>
      <w:r w:rsidR="00C7325A" w:rsidRPr="0007034B">
        <w:rPr>
          <w:rFonts w:asciiTheme="majorHAnsi" w:hAnsiTheme="majorHAnsi"/>
          <w:color w:val="000000" w:themeColor="text1"/>
          <w:sz w:val="20"/>
          <w:szCs w:val="20"/>
          <w:lang w:val="es-VE"/>
        </w:rPr>
        <w:t xml:space="preserve">Asimismo, </w:t>
      </w:r>
      <w:r w:rsidR="002E6720" w:rsidRPr="0007034B">
        <w:rPr>
          <w:rFonts w:asciiTheme="majorHAnsi" w:hAnsiTheme="majorHAnsi"/>
          <w:color w:val="000000" w:themeColor="text1"/>
          <w:sz w:val="20"/>
          <w:szCs w:val="20"/>
          <w:lang w:val="es-VE"/>
        </w:rPr>
        <w:t xml:space="preserve">dicha sentencia </w:t>
      </w:r>
      <w:r w:rsidR="00C7325A" w:rsidRPr="0007034B">
        <w:rPr>
          <w:rFonts w:asciiTheme="majorHAnsi" w:hAnsiTheme="majorHAnsi"/>
          <w:color w:val="000000" w:themeColor="text1"/>
          <w:sz w:val="20"/>
          <w:szCs w:val="20"/>
          <w:lang w:val="es-VE"/>
        </w:rPr>
        <w:t>declaró</w:t>
      </w:r>
      <w:r w:rsidR="00E44897" w:rsidRPr="0007034B">
        <w:rPr>
          <w:rFonts w:asciiTheme="majorHAnsi" w:hAnsiTheme="majorHAnsi"/>
          <w:color w:val="000000" w:themeColor="text1"/>
          <w:sz w:val="20"/>
          <w:szCs w:val="20"/>
          <w:lang w:val="es-VE"/>
        </w:rPr>
        <w:t xml:space="preserve"> la prescripción de</w:t>
      </w:r>
      <w:r w:rsidR="00C7325A" w:rsidRPr="0007034B">
        <w:rPr>
          <w:rFonts w:asciiTheme="majorHAnsi" w:hAnsiTheme="majorHAnsi"/>
          <w:color w:val="000000" w:themeColor="text1"/>
          <w:sz w:val="20"/>
          <w:szCs w:val="20"/>
          <w:lang w:val="es-VE"/>
        </w:rPr>
        <w:t xml:space="preserve"> la acción </w:t>
      </w:r>
      <w:r w:rsidR="000A7144" w:rsidRPr="0007034B">
        <w:rPr>
          <w:rFonts w:asciiTheme="majorHAnsi" w:hAnsiTheme="majorHAnsi"/>
          <w:color w:val="000000" w:themeColor="text1"/>
          <w:sz w:val="20"/>
          <w:szCs w:val="20"/>
          <w:lang w:val="es-VE"/>
        </w:rPr>
        <w:t>respecto de</w:t>
      </w:r>
      <w:r w:rsidR="00C7325A" w:rsidRPr="0007034B">
        <w:rPr>
          <w:rFonts w:asciiTheme="majorHAnsi" w:hAnsiTheme="majorHAnsi"/>
          <w:color w:val="000000" w:themeColor="text1"/>
          <w:sz w:val="20"/>
          <w:szCs w:val="20"/>
          <w:lang w:val="es-VE"/>
        </w:rPr>
        <w:t xml:space="preserve"> </w:t>
      </w:r>
      <w:r w:rsidR="000A7144" w:rsidRPr="0007034B">
        <w:rPr>
          <w:rFonts w:asciiTheme="majorHAnsi" w:hAnsiTheme="majorHAnsi"/>
          <w:color w:val="000000" w:themeColor="text1"/>
          <w:sz w:val="20"/>
          <w:szCs w:val="20"/>
          <w:lang w:val="es-VE"/>
        </w:rPr>
        <w:t>Anatole</w:t>
      </w:r>
      <w:r w:rsidR="00386717" w:rsidRPr="0007034B">
        <w:rPr>
          <w:rFonts w:asciiTheme="majorHAnsi" w:hAnsiTheme="majorHAnsi"/>
          <w:color w:val="000000" w:themeColor="text1"/>
          <w:sz w:val="20"/>
          <w:szCs w:val="20"/>
          <w:lang w:val="es-VE"/>
        </w:rPr>
        <w:t xml:space="preserve"> por haber transcurrido el plazo de dos años establecido en el artículo 4037 del Código Civil </w:t>
      </w:r>
      <w:r w:rsidR="000A7144" w:rsidRPr="0007034B">
        <w:rPr>
          <w:rFonts w:asciiTheme="majorHAnsi" w:hAnsiTheme="majorHAnsi"/>
          <w:color w:val="000000" w:themeColor="text1"/>
          <w:sz w:val="20"/>
          <w:szCs w:val="20"/>
          <w:lang w:val="es-VE"/>
        </w:rPr>
        <w:t>desde que adquirió la mayoría de edad</w:t>
      </w:r>
      <w:r w:rsidR="000A7144" w:rsidRPr="0007034B">
        <w:rPr>
          <w:rStyle w:val="FootnoteReference"/>
          <w:rFonts w:asciiTheme="majorHAnsi" w:hAnsiTheme="majorHAnsi"/>
          <w:color w:val="000000" w:themeColor="text1"/>
          <w:sz w:val="20"/>
          <w:szCs w:val="20"/>
          <w:lang w:val="es-VE"/>
        </w:rPr>
        <w:footnoteReference w:id="77"/>
      </w:r>
      <w:r w:rsidR="007E3A17" w:rsidRPr="0007034B">
        <w:rPr>
          <w:rFonts w:asciiTheme="majorHAnsi" w:hAnsiTheme="majorHAnsi"/>
          <w:color w:val="000000" w:themeColor="text1"/>
          <w:sz w:val="20"/>
          <w:szCs w:val="20"/>
          <w:lang w:val="es-VE"/>
        </w:rPr>
        <w:t>.</w:t>
      </w:r>
    </w:p>
    <w:p w14:paraId="1AFE9410" w14:textId="77777777" w:rsidR="009748AA" w:rsidRPr="0007034B" w:rsidRDefault="009748AA" w:rsidP="009748AA">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rPr>
      </w:pPr>
    </w:p>
    <w:p w14:paraId="3382E7A1" w14:textId="7945BBC0" w:rsidR="005820BF" w:rsidRPr="0007034B" w:rsidRDefault="003077D8"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r w:rsidRPr="0007034B">
        <w:rPr>
          <w:rFonts w:asciiTheme="majorHAnsi" w:hAnsiTheme="majorHAnsi"/>
          <w:sz w:val="20"/>
          <w:szCs w:val="20"/>
        </w:rPr>
        <w:t>Contra dicha decisión los hermanos interpusieron recurso extraordinario ante la SCJN y el Estado interpuso recurso ordinario ante la misma Corte</w:t>
      </w:r>
      <w:r w:rsidR="00386717" w:rsidRPr="0007034B">
        <w:rPr>
          <w:rFonts w:asciiTheme="majorHAnsi" w:hAnsiTheme="majorHAnsi"/>
          <w:sz w:val="20"/>
          <w:szCs w:val="20"/>
        </w:rPr>
        <w:t xml:space="preserve"> con base en </w:t>
      </w:r>
      <w:r w:rsidR="005A1C6C" w:rsidRPr="0007034B">
        <w:rPr>
          <w:rFonts w:asciiTheme="majorHAnsi" w:hAnsiTheme="majorHAnsi"/>
          <w:sz w:val="20"/>
          <w:szCs w:val="20"/>
        </w:rPr>
        <w:t>normativa legal vigente en la época que permitía la presentación de un recurso ordinario ante la SCJN por parte del Estado Nacional cuando éste era el demandado y cuando se trataba de una indemnización superior a determinado monto</w:t>
      </w:r>
      <w:r w:rsidR="000A7144" w:rsidRPr="0007034B">
        <w:rPr>
          <w:rStyle w:val="FootnoteReference"/>
          <w:rFonts w:asciiTheme="majorHAnsi" w:hAnsiTheme="majorHAnsi"/>
          <w:sz w:val="20"/>
          <w:szCs w:val="20"/>
        </w:rPr>
        <w:footnoteReference w:id="78"/>
      </w:r>
      <w:r w:rsidR="007E3A17" w:rsidRPr="0007034B">
        <w:rPr>
          <w:rFonts w:asciiTheme="majorHAnsi" w:hAnsiTheme="majorHAnsi"/>
          <w:sz w:val="20"/>
          <w:szCs w:val="20"/>
        </w:rPr>
        <w:t>.</w:t>
      </w:r>
      <w:r w:rsidRPr="0007034B">
        <w:rPr>
          <w:rFonts w:asciiTheme="majorHAnsi" w:hAnsiTheme="majorHAnsi"/>
          <w:sz w:val="20"/>
          <w:szCs w:val="20"/>
        </w:rPr>
        <w:t xml:space="preserve"> </w:t>
      </w:r>
      <w:r w:rsidR="00472960" w:rsidRPr="0007034B">
        <w:rPr>
          <w:rFonts w:asciiTheme="majorHAnsi" w:hAnsiTheme="majorHAnsi"/>
          <w:sz w:val="20"/>
          <w:szCs w:val="20"/>
        </w:rPr>
        <w:t>En dicho recurso l</w:t>
      </w:r>
      <w:r w:rsidR="005820BF" w:rsidRPr="0007034B">
        <w:rPr>
          <w:rFonts w:asciiTheme="majorHAnsi" w:hAnsiTheme="majorHAnsi"/>
          <w:sz w:val="20"/>
          <w:szCs w:val="20"/>
        </w:rPr>
        <w:t>os hermanos Larrabeiti Yáñez alegaron que:</w:t>
      </w:r>
      <w:r w:rsidR="005700C6" w:rsidRPr="0007034B">
        <w:rPr>
          <w:rStyle w:val="FootnoteReference"/>
          <w:rFonts w:asciiTheme="majorHAnsi" w:hAnsiTheme="majorHAnsi"/>
          <w:sz w:val="20"/>
          <w:szCs w:val="20"/>
        </w:rPr>
        <w:footnoteReference w:id="79"/>
      </w:r>
    </w:p>
    <w:p w14:paraId="3FFCDFB5" w14:textId="77777777" w:rsidR="005820BF" w:rsidRPr="0007034B" w:rsidRDefault="005820BF" w:rsidP="005820BF">
      <w:pPr>
        <w:pStyle w:val="ListParagraph"/>
        <w:rPr>
          <w:rFonts w:asciiTheme="majorHAnsi" w:hAnsiTheme="majorHAnsi"/>
          <w:sz w:val="20"/>
          <w:szCs w:val="20"/>
          <w:lang w:val="es-CO"/>
        </w:rPr>
      </w:pPr>
    </w:p>
    <w:p w14:paraId="631F02E3" w14:textId="62C71944" w:rsidR="005820BF" w:rsidRPr="001D4025" w:rsidRDefault="005820BF" w:rsidP="00D209F3">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firstLine="0"/>
        <w:jc w:val="both"/>
        <w:rPr>
          <w:rFonts w:asciiTheme="majorHAnsi" w:hAnsiTheme="majorHAnsi"/>
          <w:sz w:val="18"/>
          <w:szCs w:val="18"/>
        </w:rPr>
      </w:pPr>
      <w:r w:rsidRPr="001D4025">
        <w:rPr>
          <w:rFonts w:asciiTheme="majorHAnsi" w:hAnsiTheme="majorHAnsi"/>
          <w:sz w:val="18"/>
          <w:szCs w:val="18"/>
        </w:rPr>
        <w:t>[…] el plazo de la prescripción bienal sólo puede computarse desde el 2 de junio de 1997, fecha en la cual se dictó la sentencia de ausencia de desaparición forzada en los términos de la ley 24.321, […] que la acción civil no puede comenzar a prescribir porque los delitos que le dieron origen son de lesa humanidad e imprescriptibles</w:t>
      </w:r>
      <w:r w:rsidR="00D209F3" w:rsidRPr="001D4025">
        <w:rPr>
          <w:rFonts w:asciiTheme="majorHAnsi" w:hAnsiTheme="majorHAnsi"/>
          <w:sz w:val="18"/>
          <w:szCs w:val="18"/>
        </w:rPr>
        <w:t>,</w:t>
      </w:r>
      <w:r w:rsidRPr="001D4025">
        <w:rPr>
          <w:rFonts w:asciiTheme="majorHAnsi" w:hAnsiTheme="majorHAnsi"/>
          <w:sz w:val="18"/>
          <w:szCs w:val="18"/>
        </w:rPr>
        <w:t xml:space="preserve"> [</w:t>
      </w:r>
      <w:r w:rsidR="00D209F3" w:rsidRPr="001D4025">
        <w:rPr>
          <w:rFonts w:asciiTheme="majorHAnsi" w:hAnsiTheme="majorHAnsi"/>
          <w:sz w:val="18"/>
          <w:szCs w:val="18"/>
        </w:rPr>
        <w:t>….</w:t>
      </w:r>
      <w:r w:rsidRPr="001D4025">
        <w:rPr>
          <w:rFonts w:asciiTheme="majorHAnsi" w:hAnsiTheme="majorHAnsi"/>
          <w:sz w:val="18"/>
          <w:szCs w:val="18"/>
        </w:rPr>
        <w:t>] que el monto de la indemnización reconocida por la cámara a Claudia Victoria Larrabeiti Yáñez es arbitrario porque se lo fijó sin sustento en las constancias de</w:t>
      </w:r>
      <w:r w:rsidR="00D209F3" w:rsidRPr="001D4025">
        <w:rPr>
          <w:rFonts w:asciiTheme="majorHAnsi" w:hAnsiTheme="majorHAnsi"/>
          <w:sz w:val="18"/>
          <w:szCs w:val="18"/>
        </w:rPr>
        <w:t xml:space="preserve"> </w:t>
      </w:r>
      <w:r w:rsidRPr="001D4025">
        <w:rPr>
          <w:rFonts w:asciiTheme="majorHAnsi" w:hAnsiTheme="majorHAnsi"/>
          <w:sz w:val="18"/>
          <w:szCs w:val="18"/>
        </w:rPr>
        <w:t>la causa al omitir, entre otros rubros, el daño material ocasionado por el despojo de la vivienda familiar</w:t>
      </w:r>
      <w:r w:rsidR="00D209F3" w:rsidRPr="001D4025">
        <w:rPr>
          <w:rFonts w:asciiTheme="majorHAnsi" w:hAnsiTheme="majorHAnsi"/>
          <w:sz w:val="18"/>
          <w:szCs w:val="18"/>
        </w:rPr>
        <w:t xml:space="preserve"> [y] </w:t>
      </w:r>
      <w:r w:rsidR="00737ADD" w:rsidRPr="001D4025">
        <w:rPr>
          <w:rFonts w:asciiTheme="majorHAnsi" w:hAnsiTheme="majorHAnsi"/>
          <w:sz w:val="18"/>
          <w:szCs w:val="18"/>
        </w:rPr>
        <w:t>que</w:t>
      </w:r>
      <w:r w:rsidR="00D209F3" w:rsidRPr="001D4025">
        <w:rPr>
          <w:rFonts w:asciiTheme="majorHAnsi" w:hAnsiTheme="majorHAnsi"/>
          <w:sz w:val="18"/>
          <w:szCs w:val="18"/>
        </w:rPr>
        <w:t xml:space="preserve"> la ley 24.411 constituye una reparación parcial, que en particular no comprende el padecimiento moral personalmente experimentado por los demandantes con motivo de los hechos que dieron lugar a la causa.</w:t>
      </w:r>
    </w:p>
    <w:p w14:paraId="37BE9A07" w14:textId="77777777" w:rsidR="005820BF" w:rsidRPr="0007034B" w:rsidRDefault="005820BF" w:rsidP="005820BF">
      <w:pPr>
        <w:pStyle w:val="ListParagraph"/>
        <w:rPr>
          <w:rFonts w:asciiTheme="majorHAnsi" w:hAnsiTheme="majorHAnsi"/>
          <w:sz w:val="20"/>
          <w:szCs w:val="20"/>
          <w:lang w:val="es-ES"/>
        </w:rPr>
      </w:pPr>
    </w:p>
    <w:p w14:paraId="2627D709" w14:textId="44F08A7F" w:rsidR="00B171E0" w:rsidRPr="0007034B" w:rsidRDefault="00386717"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r w:rsidRPr="0007034B">
        <w:rPr>
          <w:rFonts w:asciiTheme="majorHAnsi" w:hAnsiTheme="majorHAnsi"/>
          <w:sz w:val="20"/>
          <w:szCs w:val="20"/>
        </w:rPr>
        <w:t>El 30 de octubre de 2007 la SCJN</w:t>
      </w:r>
      <w:r w:rsidR="00B3382C" w:rsidRPr="0007034B">
        <w:rPr>
          <w:rFonts w:asciiTheme="majorHAnsi" w:hAnsiTheme="majorHAnsi"/>
          <w:sz w:val="20"/>
          <w:szCs w:val="20"/>
        </w:rPr>
        <w:t xml:space="preserve"> </w:t>
      </w:r>
      <w:r w:rsidR="00BD38D0" w:rsidRPr="0007034B">
        <w:rPr>
          <w:rFonts w:asciiTheme="majorHAnsi" w:hAnsiTheme="majorHAnsi"/>
          <w:sz w:val="20"/>
          <w:szCs w:val="20"/>
        </w:rPr>
        <w:t>hizo lugar al recurso ordinario interpuesto por el Estado Nacional y rechazó el interpuesto por los demandantes dejando sin efecto la sentencia impugnada</w:t>
      </w:r>
      <w:r w:rsidR="00E016EB" w:rsidRPr="0007034B">
        <w:rPr>
          <w:rFonts w:asciiTheme="majorHAnsi" w:hAnsiTheme="majorHAnsi"/>
          <w:sz w:val="20"/>
          <w:szCs w:val="20"/>
        </w:rPr>
        <w:t>,</w:t>
      </w:r>
      <w:r w:rsidR="00BD38D0" w:rsidRPr="0007034B">
        <w:rPr>
          <w:rFonts w:asciiTheme="majorHAnsi" w:hAnsiTheme="majorHAnsi"/>
          <w:sz w:val="20"/>
          <w:szCs w:val="20"/>
        </w:rPr>
        <w:t xml:space="preserve"> declarando</w:t>
      </w:r>
      <w:r w:rsidR="00527582" w:rsidRPr="0007034B">
        <w:rPr>
          <w:rFonts w:asciiTheme="majorHAnsi" w:hAnsiTheme="majorHAnsi"/>
          <w:sz w:val="20"/>
          <w:szCs w:val="20"/>
        </w:rPr>
        <w:t xml:space="preserve"> la prescripción de </w:t>
      </w:r>
      <w:r w:rsidR="00BD38D0" w:rsidRPr="0007034B">
        <w:rPr>
          <w:rFonts w:asciiTheme="majorHAnsi" w:hAnsiTheme="majorHAnsi"/>
          <w:sz w:val="20"/>
          <w:szCs w:val="20"/>
        </w:rPr>
        <w:t xml:space="preserve">la acción respecto </w:t>
      </w:r>
      <w:r w:rsidR="00472960" w:rsidRPr="0007034B">
        <w:rPr>
          <w:rFonts w:asciiTheme="majorHAnsi" w:hAnsiTheme="majorHAnsi"/>
          <w:sz w:val="20"/>
          <w:szCs w:val="20"/>
        </w:rPr>
        <w:t>tanto de Victoria como</w:t>
      </w:r>
      <w:r w:rsidR="00BD38D0" w:rsidRPr="0007034B">
        <w:rPr>
          <w:rFonts w:asciiTheme="majorHAnsi" w:hAnsiTheme="majorHAnsi"/>
          <w:sz w:val="20"/>
          <w:szCs w:val="20"/>
        </w:rPr>
        <w:t xml:space="preserve"> de Anatole Larrabeiti Yáñez</w:t>
      </w:r>
      <w:r w:rsidR="00E016EB" w:rsidRPr="0007034B">
        <w:rPr>
          <w:rFonts w:asciiTheme="majorHAnsi" w:hAnsiTheme="majorHAnsi"/>
          <w:sz w:val="20"/>
          <w:szCs w:val="20"/>
        </w:rPr>
        <w:t>, sin perjuicio del derecho a la reparación reconocida en las leyes</w:t>
      </w:r>
      <w:r w:rsidR="00636A04" w:rsidRPr="0007034B">
        <w:rPr>
          <w:rFonts w:asciiTheme="majorHAnsi" w:hAnsiTheme="majorHAnsi"/>
          <w:sz w:val="20"/>
          <w:szCs w:val="20"/>
        </w:rPr>
        <w:t xml:space="preserve"> Nro.</w:t>
      </w:r>
      <w:r w:rsidR="00E016EB" w:rsidRPr="0007034B">
        <w:rPr>
          <w:rFonts w:asciiTheme="majorHAnsi" w:hAnsiTheme="majorHAnsi"/>
          <w:sz w:val="20"/>
          <w:szCs w:val="20"/>
        </w:rPr>
        <w:t xml:space="preserve"> 24.411 y 25.914</w:t>
      </w:r>
      <w:r w:rsidR="00BD38D0" w:rsidRPr="0007034B">
        <w:rPr>
          <w:rFonts w:asciiTheme="majorHAnsi" w:hAnsiTheme="majorHAnsi"/>
          <w:sz w:val="20"/>
          <w:szCs w:val="20"/>
        </w:rPr>
        <w:t xml:space="preserve">. La Corte </w:t>
      </w:r>
      <w:r w:rsidR="00E016EB" w:rsidRPr="0007034B">
        <w:rPr>
          <w:rFonts w:asciiTheme="majorHAnsi" w:hAnsiTheme="majorHAnsi"/>
          <w:sz w:val="20"/>
          <w:szCs w:val="20"/>
        </w:rPr>
        <w:t>consideró</w:t>
      </w:r>
      <w:r w:rsidR="00BD38D0" w:rsidRPr="0007034B">
        <w:rPr>
          <w:rFonts w:asciiTheme="majorHAnsi" w:hAnsiTheme="majorHAnsi"/>
          <w:sz w:val="20"/>
          <w:szCs w:val="20"/>
        </w:rPr>
        <w:t xml:space="preserve"> que los padres </w:t>
      </w:r>
      <w:r w:rsidR="00BD38D0" w:rsidRPr="0007034B">
        <w:rPr>
          <w:rFonts w:asciiTheme="majorHAnsi" w:hAnsiTheme="majorHAnsi"/>
          <w:sz w:val="20"/>
          <w:szCs w:val="20"/>
        </w:rPr>
        <w:lastRenderedPageBreak/>
        <w:t>adoptivos deberían haber deducido la demanda “cuanto menos a partir de 1986, año en que fue publicado el informe final elaborado por la Comisión Nacional para la Desaparición de Personas por la Editorial Universitaria de Buenos Aires, bajo el título “Nunca Más”, en cuyo anexo figura el listado de los detenidos y desaparecidos, y los números de legajo correspondientes a los padres biológicos de los actores”.</w:t>
      </w:r>
      <w:r w:rsidR="00B171E0" w:rsidRPr="0007034B">
        <w:rPr>
          <w:rFonts w:asciiTheme="majorHAnsi" w:hAnsiTheme="majorHAnsi"/>
          <w:sz w:val="20"/>
          <w:szCs w:val="20"/>
        </w:rPr>
        <w:t xml:space="preserve"> </w:t>
      </w:r>
      <w:r w:rsidR="001E5670" w:rsidRPr="0007034B">
        <w:rPr>
          <w:rFonts w:asciiTheme="majorHAnsi" w:hAnsiTheme="majorHAnsi"/>
          <w:sz w:val="20"/>
          <w:szCs w:val="20"/>
        </w:rPr>
        <w:t>E</w:t>
      </w:r>
      <w:r w:rsidR="00E60EBA">
        <w:rPr>
          <w:rFonts w:asciiTheme="majorHAnsi" w:hAnsiTheme="majorHAnsi"/>
          <w:sz w:val="20"/>
          <w:szCs w:val="20"/>
        </w:rPr>
        <w:t>n</w:t>
      </w:r>
      <w:r w:rsidR="001E5670" w:rsidRPr="0007034B">
        <w:rPr>
          <w:rFonts w:asciiTheme="majorHAnsi" w:hAnsiTheme="majorHAnsi"/>
          <w:sz w:val="20"/>
          <w:szCs w:val="20"/>
        </w:rPr>
        <w:t xml:space="preserve"> la</w:t>
      </w:r>
      <w:r w:rsidR="00B171E0" w:rsidRPr="0007034B">
        <w:rPr>
          <w:rFonts w:asciiTheme="majorHAnsi" w:hAnsiTheme="majorHAnsi"/>
          <w:sz w:val="20"/>
          <w:szCs w:val="20"/>
        </w:rPr>
        <w:t xml:space="preserve"> sentencia</w:t>
      </w:r>
      <w:r w:rsidR="001E5670" w:rsidRPr="0007034B">
        <w:rPr>
          <w:rFonts w:asciiTheme="majorHAnsi" w:hAnsiTheme="majorHAnsi"/>
          <w:sz w:val="20"/>
          <w:szCs w:val="20"/>
        </w:rPr>
        <w:t xml:space="preserve"> se</w:t>
      </w:r>
      <w:r w:rsidR="00B171E0" w:rsidRPr="0007034B">
        <w:rPr>
          <w:rFonts w:asciiTheme="majorHAnsi" w:hAnsiTheme="majorHAnsi"/>
          <w:sz w:val="20"/>
          <w:szCs w:val="20"/>
        </w:rPr>
        <w:t xml:space="preserve"> estableció asimismo que</w:t>
      </w:r>
      <w:r w:rsidR="00B171E0" w:rsidRPr="0007034B">
        <w:rPr>
          <w:rStyle w:val="FootnoteReference"/>
          <w:rFonts w:asciiTheme="majorHAnsi" w:hAnsiTheme="majorHAnsi"/>
          <w:sz w:val="20"/>
          <w:szCs w:val="20"/>
        </w:rPr>
        <w:footnoteReference w:id="80"/>
      </w:r>
      <w:r w:rsidR="001E5670" w:rsidRPr="0007034B">
        <w:rPr>
          <w:rFonts w:asciiTheme="majorHAnsi" w:hAnsiTheme="majorHAnsi"/>
          <w:sz w:val="20"/>
          <w:szCs w:val="20"/>
        </w:rPr>
        <w:t>:</w:t>
      </w:r>
      <w:r w:rsidR="00B171E0" w:rsidRPr="0007034B">
        <w:rPr>
          <w:rFonts w:asciiTheme="majorHAnsi" w:hAnsiTheme="majorHAnsi"/>
          <w:sz w:val="20"/>
          <w:szCs w:val="20"/>
        </w:rPr>
        <w:t xml:space="preserve"> </w:t>
      </w:r>
    </w:p>
    <w:p w14:paraId="61713B99" w14:textId="77777777" w:rsidR="00B171E0" w:rsidRPr="0007034B" w:rsidRDefault="00B171E0" w:rsidP="00B171E0">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rPr>
      </w:pPr>
    </w:p>
    <w:p w14:paraId="500859C9" w14:textId="0E03CEAF" w:rsidR="009748AA" w:rsidRPr="001D4025" w:rsidRDefault="00B171E0" w:rsidP="00655C22">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firstLine="0"/>
        <w:jc w:val="both"/>
        <w:rPr>
          <w:rFonts w:asciiTheme="majorHAnsi" w:hAnsiTheme="majorHAnsi"/>
          <w:sz w:val="18"/>
          <w:szCs w:val="18"/>
        </w:rPr>
      </w:pPr>
      <w:r w:rsidRPr="001D4025">
        <w:rPr>
          <w:rFonts w:asciiTheme="majorHAnsi" w:hAnsiTheme="majorHAnsi"/>
          <w:sz w:val="18"/>
          <w:szCs w:val="18"/>
        </w:rPr>
        <w:t xml:space="preserve">[…] no es atendible el argumento en virtud del cual la acción para reclamar el resarcimiento patrimonial es imprescriptible porque nace de delitos de lesa humanidad, imprescriptibles desde la óptica del reproche penal. Ello así porque </w:t>
      </w:r>
      <w:r w:rsidR="00655C22" w:rsidRPr="001D4025">
        <w:rPr>
          <w:rFonts w:asciiTheme="majorHAnsi" w:hAnsiTheme="majorHAnsi"/>
          <w:sz w:val="18"/>
          <w:szCs w:val="18"/>
        </w:rPr>
        <w:t>la primera atañe a materia disponible y renunciable, mientras que la segunda, relativa a la persecución de los delitos de lesa humanidad, se funda en la necesidad de que los crímenes de esa naturaleza no queden impunes, es decir, en razones que exceden el interés patrimonial de los particulares afectados.</w:t>
      </w:r>
    </w:p>
    <w:p w14:paraId="6B6961DD" w14:textId="77777777" w:rsidR="00C46063" w:rsidRPr="0007034B" w:rsidRDefault="00C46063" w:rsidP="00C46063">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rPr>
      </w:pPr>
    </w:p>
    <w:p w14:paraId="44DC4010" w14:textId="3FF54C98" w:rsidR="00B023BD" w:rsidRPr="0007034B" w:rsidRDefault="00B023BD"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r w:rsidRPr="0007034B">
        <w:rPr>
          <w:rFonts w:asciiTheme="majorHAnsi" w:hAnsiTheme="majorHAnsi"/>
          <w:sz w:val="20"/>
          <w:szCs w:val="20"/>
        </w:rPr>
        <w:t xml:space="preserve">De acuerdo a la información disponible, </w:t>
      </w:r>
      <w:r w:rsidR="00A038A2" w:rsidRPr="0007034B">
        <w:rPr>
          <w:rFonts w:asciiTheme="majorHAnsi" w:hAnsiTheme="majorHAnsi"/>
          <w:sz w:val="20"/>
          <w:szCs w:val="20"/>
        </w:rPr>
        <w:t>a la fecha</w:t>
      </w:r>
      <w:r w:rsidR="006A474E" w:rsidRPr="0007034B">
        <w:rPr>
          <w:rFonts w:asciiTheme="majorHAnsi" w:hAnsiTheme="majorHAnsi"/>
          <w:sz w:val="20"/>
          <w:szCs w:val="20"/>
        </w:rPr>
        <w:t>,</w:t>
      </w:r>
      <w:r w:rsidR="00CA7FEB" w:rsidRPr="0007034B">
        <w:rPr>
          <w:rFonts w:asciiTheme="majorHAnsi" w:hAnsiTheme="majorHAnsi"/>
          <w:sz w:val="20"/>
          <w:szCs w:val="20"/>
        </w:rPr>
        <w:t xml:space="preserve"> el criterio jurisprudencial de la SCJN es que </w:t>
      </w:r>
      <w:r w:rsidR="006A474E" w:rsidRPr="0007034B">
        <w:rPr>
          <w:rFonts w:asciiTheme="majorHAnsi" w:hAnsiTheme="majorHAnsi"/>
          <w:sz w:val="20"/>
          <w:szCs w:val="20"/>
        </w:rPr>
        <w:t xml:space="preserve">la imprescriptibilidad de las acciones civiles derivadas de delitos de lesa humanidad establecida en </w:t>
      </w:r>
      <w:r w:rsidR="00CA7FEB" w:rsidRPr="0007034B">
        <w:rPr>
          <w:rFonts w:asciiTheme="majorHAnsi" w:hAnsiTheme="majorHAnsi"/>
          <w:sz w:val="20"/>
          <w:szCs w:val="20"/>
        </w:rPr>
        <w:t xml:space="preserve">el artículo 2561 del nuevo Código Civil y Comercial de la Nación, no rige para los casos </w:t>
      </w:r>
      <w:r w:rsidR="00A038A2" w:rsidRPr="0007034B">
        <w:rPr>
          <w:rFonts w:asciiTheme="majorHAnsi" w:hAnsiTheme="majorHAnsi"/>
          <w:sz w:val="20"/>
          <w:szCs w:val="20"/>
        </w:rPr>
        <w:t>de desapariciones forzadas ocurridas durante la dictadura,</w:t>
      </w:r>
      <w:r w:rsidR="000476B0" w:rsidRPr="0007034B">
        <w:rPr>
          <w:rFonts w:asciiTheme="majorHAnsi" w:hAnsiTheme="majorHAnsi"/>
          <w:sz w:val="20"/>
          <w:szCs w:val="20"/>
        </w:rPr>
        <w:t xml:space="preserve"> toda vez que el artículo 2537 de dicho Código indica que los plazos de prescripción en curso al momento de la entrada en vigencia del Código se rigen por la ley anterior.</w:t>
      </w:r>
      <w:r w:rsidR="00A038A2" w:rsidRPr="0007034B">
        <w:rPr>
          <w:rFonts w:asciiTheme="majorHAnsi" w:hAnsiTheme="majorHAnsi"/>
          <w:sz w:val="20"/>
          <w:szCs w:val="20"/>
        </w:rPr>
        <w:t xml:space="preserve"> La SCJN en un fallo dictado en el año 2018 en un caso de desaparición forzada, señaló que </w:t>
      </w:r>
      <w:r w:rsidR="006A474E" w:rsidRPr="0007034B">
        <w:rPr>
          <w:rFonts w:asciiTheme="majorHAnsi" w:hAnsiTheme="majorHAnsi"/>
          <w:sz w:val="20"/>
          <w:szCs w:val="20"/>
        </w:rPr>
        <w:t>“[</w:t>
      </w:r>
      <w:r w:rsidR="00524CE1" w:rsidRPr="0007034B">
        <w:rPr>
          <w:rFonts w:asciiTheme="majorHAnsi" w:hAnsiTheme="majorHAnsi"/>
          <w:sz w:val="20"/>
          <w:szCs w:val="20"/>
        </w:rPr>
        <w:t>no</w:t>
      </w:r>
      <w:r w:rsidR="006A474E" w:rsidRPr="0007034B">
        <w:rPr>
          <w:rFonts w:asciiTheme="majorHAnsi" w:hAnsiTheme="majorHAnsi"/>
          <w:sz w:val="20"/>
          <w:szCs w:val="20"/>
        </w:rPr>
        <w:t>]</w:t>
      </w:r>
      <w:r w:rsidR="00524CE1" w:rsidRPr="0007034B">
        <w:rPr>
          <w:rFonts w:asciiTheme="majorHAnsi" w:hAnsiTheme="majorHAnsi"/>
          <w:sz w:val="20"/>
          <w:szCs w:val="20"/>
        </w:rPr>
        <w:t xml:space="preserve"> resultaría aplicable al caso la imprescriptibilidad fijada en el artículo 2561 </w:t>
      </w:r>
      <w:r w:rsidR="00524CE1" w:rsidRPr="0007034B">
        <w:rPr>
          <w:rFonts w:asciiTheme="majorHAnsi" w:hAnsiTheme="majorHAnsi"/>
          <w:i/>
          <w:sz w:val="20"/>
          <w:szCs w:val="20"/>
        </w:rPr>
        <w:t>in fine</w:t>
      </w:r>
      <w:r w:rsidR="00524CE1" w:rsidRPr="0007034B">
        <w:rPr>
          <w:rFonts w:asciiTheme="majorHAnsi" w:hAnsiTheme="majorHAnsi"/>
          <w:sz w:val="20"/>
          <w:szCs w:val="20"/>
        </w:rPr>
        <w:t xml:space="preserve"> del Código Civil y Comercial, en vi</w:t>
      </w:r>
      <w:r w:rsidR="00BE51FE" w:rsidRPr="0007034B">
        <w:rPr>
          <w:rFonts w:asciiTheme="majorHAnsi" w:hAnsiTheme="majorHAnsi"/>
          <w:sz w:val="20"/>
          <w:szCs w:val="20"/>
        </w:rPr>
        <w:t>r</w:t>
      </w:r>
      <w:r w:rsidR="00524CE1" w:rsidRPr="0007034B">
        <w:rPr>
          <w:rFonts w:asciiTheme="majorHAnsi" w:hAnsiTheme="majorHAnsi"/>
          <w:sz w:val="20"/>
          <w:szCs w:val="20"/>
        </w:rPr>
        <w:t>tud de lo dispuesto expresamente por el artículo 2537 del mismo cuerpo legal”</w:t>
      </w:r>
      <w:r w:rsidR="00524CE1" w:rsidRPr="0007034B">
        <w:rPr>
          <w:rStyle w:val="FootnoteReference"/>
          <w:rFonts w:asciiTheme="majorHAnsi" w:hAnsiTheme="majorHAnsi"/>
          <w:sz w:val="20"/>
          <w:szCs w:val="20"/>
        </w:rPr>
        <w:footnoteReference w:id="81"/>
      </w:r>
      <w:r w:rsidR="00EC2D3D" w:rsidRPr="0007034B">
        <w:rPr>
          <w:rFonts w:asciiTheme="majorHAnsi" w:hAnsiTheme="majorHAnsi"/>
          <w:sz w:val="20"/>
          <w:szCs w:val="20"/>
        </w:rPr>
        <w:t>.</w:t>
      </w:r>
      <w:r w:rsidR="00BE51FE" w:rsidRPr="0007034B">
        <w:rPr>
          <w:rFonts w:asciiTheme="majorHAnsi" w:hAnsiTheme="majorHAnsi"/>
          <w:sz w:val="20"/>
          <w:szCs w:val="20"/>
        </w:rPr>
        <w:t xml:space="preserve"> En el mismo fallo la Corte reiteró el criterio según el cual, en casos de desaparición forzada de personas, “el punto de arranque del curso de la prescripción puede situarse –entre otras posibilidades- en la fecha en que, mediante una sentencia judicial, se determine el fallecimiento presunto de la víctima del delito”</w:t>
      </w:r>
      <w:r w:rsidR="00BE51FE" w:rsidRPr="0007034B">
        <w:rPr>
          <w:rStyle w:val="FootnoteReference"/>
          <w:rFonts w:asciiTheme="majorHAnsi" w:hAnsiTheme="majorHAnsi"/>
          <w:sz w:val="20"/>
          <w:szCs w:val="20"/>
        </w:rPr>
        <w:footnoteReference w:id="82"/>
      </w:r>
      <w:r w:rsidR="00341CE1" w:rsidRPr="0007034B">
        <w:rPr>
          <w:rFonts w:asciiTheme="majorHAnsi" w:hAnsiTheme="majorHAnsi"/>
          <w:sz w:val="20"/>
          <w:szCs w:val="20"/>
        </w:rPr>
        <w:t>.</w:t>
      </w:r>
    </w:p>
    <w:p w14:paraId="50928B7D" w14:textId="77777777" w:rsidR="00981E03" w:rsidRPr="0007034B" w:rsidRDefault="00981E03" w:rsidP="00C46063">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rPr>
      </w:pPr>
    </w:p>
    <w:p w14:paraId="20FE26E9" w14:textId="77777777" w:rsidR="00187360" w:rsidRPr="0007034B" w:rsidRDefault="00187360" w:rsidP="00F84E88">
      <w:pPr>
        <w:pStyle w:val="Heading2"/>
      </w:pPr>
      <w:bookmarkStart w:id="52" w:name="_Toc6349162"/>
      <w:bookmarkStart w:id="53" w:name="_Toc6466655"/>
      <w:r w:rsidRPr="0007034B">
        <w:t>Sobre los procesos penales</w:t>
      </w:r>
      <w:bookmarkEnd w:id="52"/>
      <w:bookmarkEnd w:id="53"/>
    </w:p>
    <w:p w14:paraId="51276CB8" w14:textId="77777777" w:rsidR="00573D4D" w:rsidRPr="0007034B" w:rsidRDefault="00573D4D" w:rsidP="00573D4D">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b/>
          <w:sz w:val="20"/>
          <w:szCs w:val="20"/>
        </w:rPr>
      </w:pPr>
    </w:p>
    <w:p w14:paraId="7082B1E5" w14:textId="0A804838" w:rsidR="00A03C59" w:rsidRPr="0007034B" w:rsidRDefault="00FD4F25"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r w:rsidRPr="0007034B">
        <w:rPr>
          <w:rFonts w:asciiTheme="majorHAnsi" w:hAnsiTheme="majorHAnsi"/>
          <w:sz w:val="20"/>
          <w:szCs w:val="20"/>
        </w:rPr>
        <w:t xml:space="preserve">El 24 de diciembre de 1986 </w:t>
      </w:r>
      <w:r w:rsidR="00AB4B5A" w:rsidRPr="0007034B">
        <w:rPr>
          <w:rFonts w:asciiTheme="majorHAnsi" w:hAnsiTheme="majorHAnsi"/>
          <w:sz w:val="20"/>
          <w:szCs w:val="20"/>
          <w:lang w:val="es-AR"/>
        </w:rPr>
        <w:t xml:space="preserve">y el 8 de junio de 1987 </w:t>
      </w:r>
      <w:r w:rsidR="00AB4B5A" w:rsidRPr="0007034B">
        <w:rPr>
          <w:rFonts w:asciiTheme="majorHAnsi" w:hAnsiTheme="majorHAnsi"/>
          <w:sz w:val="20"/>
          <w:szCs w:val="20"/>
        </w:rPr>
        <w:t>se promulgaron</w:t>
      </w:r>
      <w:r w:rsidRPr="0007034B">
        <w:rPr>
          <w:rFonts w:asciiTheme="majorHAnsi" w:hAnsiTheme="majorHAnsi"/>
          <w:sz w:val="20"/>
          <w:szCs w:val="20"/>
        </w:rPr>
        <w:t xml:space="preserve"> la</w:t>
      </w:r>
      <w:r w:rsidR="00AB4B5A" w:rsidRPr="0007034B">
        <w:rPr>
          <w:rFonts w:asciiTheme="majorHAnsi" w:hAnsiTheme="majorHAnsi"/>
          <w:sz w:val="20"/>
          <w:szCs w:val="20"/>
        </w:rPr>
        <w:t>s</w:t>
      </w:r>
      <w:r w:rsidRPr="0007034B">
        <w:rPr>
          <w:rFonts w:asciiTheme="majorHAnsi" w:hAnsiTheme="majorHAnsi"/>
          <w:sz w:val="20"/>
          <w:szCs w:val="20"/>
        </w:rPr>
        <w:t xml:space="preserve"> Ley</w:t>
      </w:r>
      <w:r w:rsidR="00AB4B5A" w:rsidRPr="0007034B">
        <w:rPr>
          <w:rFonts w:asciiTheme="majorHAnsi" w:hAnsiTheme="majorHAnsi"/>
          <w:sz w:val="20"/>
          <w:szCs w:val="20"/>
        </w:rPr>
        <w:t>es</w:t>
      </w:r>
      <w:r w:rsidRPr="0007034B">
        <w:rPr>
          <w:rFonts w:asciiTheme="majorHAnsi" w:hAnsiTheme="majorHAnsi"/>
          <w:sz w:val="20"/>
          <w:szCs w:val="20"/>
        </w:rPr>
        <w:t xml:space="preserve"> </w:t>
      </w:r>
      <w:r w:rsidRPr="0007034B">
        <w:rPr>
          <w:rFonts w:asciiTheme="majorHAnsi" w:hAnsiTheme="majorHAnsi"/>
          <w:sz w:val="20"/>
          <w:szCs w:val="20"/>
          <w:lang w:val="es-AR"/>
        </w:rPr>
        <w:t>Nro. 23.492, llamada de “</w:t>
      </w:r>
      <w:r w:rsidR="00A9235D" w:rsidRPr="0007034B">
        <w:rPr>
          <w:rFonts w:asciiTheme="majorHAnsi" w:hAnsiTheme="majorHAnsi"/>
          <w:sz w:val="20"/>
          <w:szCs w:val="20"/>
          <w:lang w:val="es-AR"/>
        </w:rPr>
        <w:t>Punto Final</w:t>
      </w:r>
      <w:r w:rsidRPr="0007034B">
        <w:rPr>
          <w:rFonts w:asciiTheme="majorHAnsi" w:hAnsiTheme="majorHAnsi"/>
          <w:sz w:val="20"/>
          <w:szCs w:val="20"/>
          <w:lang w:val="es-AR"/>
        </w:rPr>
        <w:t>”</w:t>
      </w:r>
      <w:r w:rsidR="00AE5324" w:rsidRPr="0007034B">
        <w:rPr>
          <w:rFonts w:asciiTheme="majorHAnsi" w:hAnsiTheme="majorHAnsi"/>
          <w:sz w:val="20"/>
          <w:szCs w:val="20"/>
          <w:lang w:val="es-AR"/>
        </w:rPr>
        <w:t>,</w:t>
      </w:r>
      <w:r w:rsidRPr="0007034B">
        <w:rPr>
          <w:rFonts w:asciiTheme="majorHAnsi" w:hAnsiTheme="majorHAnsi"/>
          <w:sz w:val="20"/>
          <w:szCs w:val="20"/>
          <w:lang w:val="es-AR"/>
        </w:rPr>
        <w:t xml:space="preserve"> </w:t>
      </w:r>
      <w:r w:rsidR="00AB4B5A" w:rsidRPr="0007034B">
        <w:rPr>
          <w:rFonts w:asciiTheme="majorHAnsi" w:hAnsiTheme="majorHAnsi"/>
          <w:sz w:val="20"/>
          <w:szCs w:val="20"/>
          <w:lang w:val="es-AR"/>
        </w:rPr>
        <w:t>y</w:t>
      </w:r>
      <w:r w:rsidRPr="0007034B">
        <w:rPr>
          <w:rFonts w:asciiTheme="majorHAnsi" w:hAnsiTheme="majorHAnsi"/>
          <w:sz w:val="20"/>
          <w:szCs w:val="20"/>
          <w:lang w:val="es-AR"/>
        </w:rPr>
        <w:t xml:space="preserve"> Nro. 23.521</w:t>
      </w:r>
      <w:r w:rsidR="00AB4B5A" w:rsidRPr="0007034B">
        <w:rPr>
          <w:rFonts w:asciiTheme="majorHAnsi" w:hAnsiTheme="majorHAnsi"/>
          <w:sz w:val="20"/>
          <w:szCs w:val="20"/>
          <w:lang w:val="es-AR"/>
        </w:rPr>
        <w:t>,</w:t>
      </w:r>
      <w:r w:rsidRPr="0007034B">
        <w:rPr>
          <w:rFonts w:asciiTheme="majorHAnsi" w:hAnsiTheme="majorHAnsi"/>
          <w:sz w:val="20"/>
          <w:szCs w:val="20"/>
          <w:lang w:val="es-AR"/>
        </w:rPr>
        <w:t xml:space="preserve"> llamada de “</w:t>
      </w:r>
      <w:r w:rsidR="00A9235D" w:rsidRPr="0007034B">
        <w:rPr>
          <w:rFonts w:asciiTheme="majorHAnsi" w:hAnsiTheme="majorHAnsi"/>
          <w:sz w:val="20"/>
          <w:szCs w:val="20"/>
          <w:lang w:val="es-AR"/>
        </w:rPr>
        <w:t>Obediencia debida</w:t>
      </w:r>
      <w:r w:rsidRPr="0007034B">
        <w:rPr>
          <w:rFonts w:asciiTheme="majorHAnsi" w:hAnsiTheme="majorHAnsi"/>
          <w:sz w:val="20"/>
          <w:szCs w:val="20"/>
          <w:lang w:val="es-AR"/>
        </w:rPr>
        <w:t>”</w:t>
      </w:r>
      <w:r w:rsidR="003F5B8C" w:rsidRPr="0007034B">
        <w:rPr>
          <w:rFonts w:asciiTheme="majorHAnsi" w:hAnsiTheme="majorHAnsi"/>
          <w:sz w:val="20"/>
          <w:szCs w:val="20"/>
          <w:lang w:val="es-AR"/>
        </w:rPr>
        <w:t>,</w:t>
      </w:r>
      <w:r w:rsidR="00941697" w:rsidRPr="0007034B">
        <w:rPr>
          <w:rFonts w:asciiTheme="majorHAnsi" w:hAnsiTheme="majorHAnsi"/>
          <w:sz w:val="20"/>
          <w:szCs w:val="20"/>
          <w:lang w:val="es-AR"/>
        </w:rPr>
        <w:t xml:space="preserve"> </w:t>
      </w:r>
      <w:r w:rsidR="00AB4B5A" w:rsidRPr="0007034B">
        <w:rPr>
          <w:rFonts w:asciiTheme="majorHAnsi" w:hAnsiTheme="majorHAnsi"/>
          <w:sz w:val="20"/>
          <w:szCs w:val="20"/>
          <w:lang w:val="es-AR"/>
        </w:rPr>
        <w:t xml:space="preserve">respectivamente, </w:t>
      </w:r>
      <w:r w:rsidR="00941697" w:rsidRPr="0007034B">
        <w:rPr>
          <w:rFonts w:asciiTheme="majorHAnsi" w:hAnsiTheme="majorHAnsi"/>
          <w:sz w:val="20"/>
          <w:szCs w:val="20"/>
          <w:lang w:val="es-AR"/>
        </w:rPr>
        <w:t>las cuales</w:t>
      </w:r>
      <w:r w:rsidR="003F5B8C" w:rsidRPr="0007034B">
        <w:rPr>
          <w:rFonts w:asciiTheme="majorHAnsi" w:hAnsiTheme="majorHAnsi"/>
          <w:sz w:val="20"/>
          <w:szCs w:val="20"/>
          <w:lang w:val="es-AR"/>
        </w:rPr>
        <w:t>, junto con</w:t>
      </w:r>
      <w:r w:rsidR="00941697" w:rsidRPr="0007034B">
        <w:rPr>
          <w:rFonts w:asciiTheme="majorHAnsi" w:hAnsiTheme="majorHAnsi"/>
          <w:sz w:val="20"/>
          <w:szCs w:val="20"/>
          <w:lang w:val="es-AR"/>
        </w:rPr>
        <w:t xml:space="preserve"> </w:t>
      </w:r>
      <w:r w:rsidR="003F5B8C" w:rsidRPr="0007034B">
        <w:rPr>
          <w:rFonts w:asciiTheme="majorHAnsi" w:hAnsiTheme="majorHAnsi"/>
          <w:sz w:val="20"/>
          <w:szCs w:val="20"/>
          <w:lang w:val="es-AR"/>
        </w:rPr>
        <w:t xml:space="preserve">los indultos decretados por el Presidente Carlos Menem (Nro. 1002/98 y otros), </w:t>
      </w:r>
      <w:r w:rsidR="005C3AD5" w:rsidRPr="0007034B">
        <w:rPr>
          <w:rFonts w:asciiTheme="majorHAnsi" w:hAnsiTheme="majorHAnsi"/>
          <w:sz w:val="20"/>
          <w:szCs w:val="20"/>
          <w:lang w:val="es-AR"/>
        </w:rPr>
        <w:t xml:space="preserve">provocaron que un gran número de causas penales que se habían abierto luego del retorno a la democracia con el fin de investigar los hechos cometidos durante </w:t>
      </w:r>
      <w:r w:rsidR="00CA3D64" w:rsidRPr="0007034B">
        <w:rPr>
          <w:rFonts w:asciiTheme="majorHAnsi" w:hAnsiTheme="majorHAnsi"/>
          <w:sz w:val="20"/>
          <w:szCs w:val="20"/>
          <w:lang w:val="es-AR"/>
        </w:rPr>
        <w:t>la dictadura</w:t>
      </w:r>
      <w:r w:rsidR="00AE5324" w:rsidRPr="0007034B">
        <w:rPr>
          <w:rFonts w:asciiTheme="majorHAnsi" w:hAnsiTheme="majorHAnsi"/>
          <w:sz w:val="20"/>
          <w:szCs w:val="20"/>
          <w:lang w:val="es-AR"/>
        </w:rPr>
        <w:t>,</w:t>
      </w:r>
      <w:r w:rsidR="00CA3D64" w:rsidRPr="0007034B">
        <w:rPr>
          <w:rFonts w:asciiTheme="majorHAnsi" w:hAnsiTheme="majorHAnsi"/>
          <w:sz w:val="20"/>
          <w:szCs w:val="20"/>
          <w:lang w:val="es-AR"/>
        </w:rPr>
        <w:t xml:space="preserve"> quedaran paralizada</w:t>
      </w:r>
      <w:r w:rsidR="005C3AD5" w:rsidRPr="0007034B">
        <w:rPr>
          <w:rFonts w:asciiTheme="majorHAnsi" w:hAnsiTheme="majorHAnsi"/>
          <w:sz w:val="20"/>
          <w:szCs w:val="20"/>
          <w:lang w:val="es-AR"/>
        </w:rPr>
        <w:t xml:space="preserve">s. </w:t>
      </w:r>
      <w:r w:rsidR="00AE5324" w:rsidRPr="0007034B">
        <w:rPr>
          <w:rFonts w:asciiTheme="majorHAnsi" w:hAnsiTheme="majorHAnsi"/>
          <w:sz w:val="20"/>
          <w:szCs w:val="20"/>
          <w:lang w:val="es-AR"/>
        </w:rPr>
        <w:t>El 3 de septiembre de 2003, mediante la Ley No. 25.779, el Congreso Nacional declaró nulas</w:t>
      </w:r>
      <w:r w:rsidR="004D7941" w:rsidRPr="0007034B">
        <w:rPr>
          <w:rFonts w:asciiTheme="majorHAnsi" w:hAnsiTheme="majorHAnsi"/>
          <w:sz w:val="20"/>
          <w:szCs w:val="20"/>
          <w:lang w:val="es-AR"/>
        </w:rPr>
        <w:t xml:space="preserve"> dichas leyes</w:t>
      </w:r>
      <w:r w:rsidR="00AE5324" w:rsidRPr="0007034B">
        <w:rPr>
          <w:rFonts w:asciiTheme="majorHAnsi" w:hAnsiTheme="majorHAnsi"/>
          <w:sz w:val="20"/>
          <w:szCs w:val="20"/>
          <w:lang w:val="es-AR"/>
        </w:rPr>
        <w:t xml:space="preserve">. </w:t>
      </w:r>
      <w:r w:rsidR="00787A87" w:rsidRPr="0007034B">
        <w:rPr>
          <w:rFonts w:asciiTheme="majorHAnsi" w:hAnsiTheme="majorHAnsi"/>
          <w:sz w:val="20"/>
          <w:szCs w:val="20"/>
          <w:lang w:val="es-AR"/>
        </w:rPr>
        <w:t xml:space="preserve">El </w:t>
      </w:r>
      <w:r w:rsidR="00AE5324" w:rsidRPr="0007034B">
        <w:rPr>
          <w:rFonts w:asciiTheme="majorHAnsi" w:hAnsiTheme="majorHAnsi"/>
          <w:sz w:val="20"/>
          <w:szCs w:val="20"/>
          <w:lang w:val="es-AR"/>
        </w:rPr>
        <w:t>14 de junio de 2005</w:t>
      </w:r>
      <w:r w:rsidR="00787A87" w:rsidRPr="0007034B">
        <w:rPr>
          <w:rFonts w:asciiTheme="majorHAnsi" w:hAnsiTheme="majorHAnsi"/>
          <w:sz w:val="20"/>
          <w:szCs w:val="20"/>
          <w:lang w:val="es-AR"/>
        </w:rPr>
        <w:t xml:space="preserve"> la CSJN en el caso “Simón, Julio Héctor” declaró </w:t>
      </w:r>
      <w:r w:rsidR="004D7941" w:rsidRPr="0007034B">
        <w:rPr>
          <w:rFonts w:asciiTheme="majorHAnsi" w:hAnsiTheme="majorHAnsi"/>
          <w:sz w:val="20"/>
          <w:szCs w:val="20"/>
          <w:lang w:val="es-AR"/>
        </w:rPr>
        <w:t xml:space="preserve">la </w:t>
      </w:r>
      <w:r w:rsidR="00787A87" w:rsidRPr="0007034B">
        <w:rPr>
          <w:rFonts w:asciiTheme="majorHAnsi" w:hAnsiTheme="majorHAnsi"/>
          <w:sz w:val="20"/>
          <w:szCs w:val="20"/>
          <w:lang w:val="es-AR"/>
        </w:rPr>
        <w:t>inconstitucionalidad</w:t>
      </w:r>
      <w:r w:rsidR="004D7941" w:rsidRPr="0007034B">
        <w:rPr>
          <w:rFonts w:asciiTheme="majorHAnsi" w:hAnsiTheme="majorHAnsi"/>
          <w:sz w:val="20"/>
          <w:szCs w:val="20"/>
          <w:lang w:val="es-AR"/>
        </w:rPr>
        <w:t xml:space="preserve"> las leyes Nro. 23.492 y Nro. 23.521 y declar</w:t>
      </w:r>
      <w:r w:rsidR="004D7941" w:rsidRPr="0007034B">
        <w:rPr>
          <w:rFonts w:asciiTheme="majorHAnsi" w:hAnsiTheme="majorHAnsi"/>
          <w:sz w:val="20"/>
          <w:szCs w:val="20"/>
          <w:lang w:val="es-ES"/>
        </w:rPr>
        <w:t>ó la validez de</w:t>
      </w:r>
      <w:r w:rsidR="004D7941" w:rsidRPr="0007034B">
        <w:rPr>
          <w:rFonts w:asciiTheme="majorHAnsi" w:hAnsiTheme="majorHAnsi"/>
          <w:sz w:val="20"/>
          <w:szCs w:val="20"/>
          <w:lang w:val="es-AR"/>
        </w:rPr>
        <w:t xml:space="preserve"> la Ley No. 25.779</w:t>
      </w:r>
      <w:r w:rsidR="004D7941" w:rsidRPr="0007034B">
        <w:rPr>
          <w:rStyle w:val="FootnoteReference"/>
          <w:rFonts w:asciiTheme="majorHAnsi" w:hAnsiTheme="majorHAnsi"/>
          <w:sz w:val="20"/>
          <w:szCs w:val="20"/>
          <w:lang w:val="es-AR"/>
        </w:rPr>
        <w:footnoteReference w:id="83"/>
      </w:r>
      <w:r w:rsidR="00FA428D" w:rsidRPr="0007034B">
        <w:rPr>
          <w:rFonts w:asciiTheme="majorHAnsi" w:hAnsiTheme="majorHAnsi"/>
          <w:sz w:val="20"/>
          <w:szCs w:val="20"/>
          <w:lang w:val="es-AR"/>
        </w:rPr>
        <w:t>.</w:t>
      </w:r>
      <w:r w:rsidR="00787A87" w:rsidRPr="0007034B">
        <w:rPr>
          <w:rFonts w:asciiTheme="majorHAnsi" w:hAnsiTheme="majorHAnsi"/>
          <w:sz w:val="20"/>
          <w:szCs w:val="20"/>
          <w:lang w:val="es-AR"/>
        </w:rPr>
        <w:t xml:space="preserve"> A partir de estas decisiones se produjo la apertura y avance de una gran cantidad de causas</w:t>
      </w:r>
      <w:r w:rsidR="00CA3D64" w:rsidRPr="0007034B">
        <w:rPr>
          <w:rFonts w:asciiTheme="majorHAnsi" w:hAnsiTheme="majorHAnsi"/>
          <w:sz w:val="20"/>
          <w:szCs w:val="20"/>
          <w:lang w:val="es-AR"/>
        </w:rPr>
        <w:t xml:space="preserve"> por graves violaciones a los derechos humanos ocurridas durante la dictadura</w:t>
      </w:r>
      <w:r w:rsidR="00787A87" w:rsidRPr="0007034B">
        <w:rPr>
          <w:rStyle w:val="FootnoteReference"/>
          <w:rFonts w:asciiTheme="majorHAnsi" w:hAnsiTheme="majorHAnsi"/>
          <w:sz w:val="20"/>
          <w:szCs w:val="20"/>
          <w:lang w:val="es-AR"/>
        </w:rPr>
        <w:footnoteReference w:id="84"/>
      </w:r>
      <w:r w:rsidR="003475B6" w:rsidRPr="0007034B">
        <w:rPr>
          <w:rFonts w:asciiTheme="majorHAnsi" w:hAnsiTheme="majorHAnsi"/>
          <w:sz w:val="20"/>
          <w:szCs w:val="20"/>
          <w:lang w:val="es-AR"/>
        </w:rPr>
        <w:t xml:space="preserve">. </w:t>
      </w:r>
      <w:r w:rsidR="00A03C59" w:rsidRPr="0007034B">
        <w:rPr>
          <w:rFonts w:asciiTheme="majorHAnsi" w:hAnsiTheme="majorHAnsi"/>
          <w:sz w:val="20"/>
          <w:szCs w:val="20"/>
          <w:lang w:val="es-AR"/>
        </w:rPr>
        <w:t>Entre las “megacausas” llevadas a cabo por la justicia argentina, se encuentra la relativa a “Automotores Orletti”, la cual se ha dividido en cuatro tramos, denominados Orletti I, II, III y IV.</w:t>
      </w:r>
    </w:p>
    <w:p w14:paraId="60EFA356" w14:textId="77777777" w:rsidR="00BB1499" w:rsidRPr="0007034B" w:rsidRDefault="00BB1499" w:rsidP="00573D4D">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b/>
          <w:sz w:val="20"/>
          <w:szCs w:val="20"/>
        </w:rPr>
      </w:pPr>
    </w:p>
    <w:p w14:paraId="645A11E7" w14:textId="6A8F12A7" w:rsidR="00573D4D" w:rsidRPr="007E73E1" w:rsidRDefault="00573D4D" w:rsidP="00B14871">
      <w:pPr>
        <w:pStyle w:val="Heading3"/>
        <w:numPr>
          <w:ilvl w:val="0"/>
          <w:numId w:val="68"/>
        </w:numPr>
        <w:ind w:hanging="720"/>
      </w:pPr>
      <w:bookmarkStart w:id="54" w:name="_Toc6349163"/>
      <w:bookmarkStart w:id="55" w:name="_Toc6466656"/>
      <w:r w:rsidRPr="007E73E1">
        <w:t>Causa</w:t>
      </w:r>
      <w:r w:rsidR="004D4B91" w:rsidRPr="007E73E1">
        <w:t xml:space="preserve"> No. 1627 “Guillamondegui, Néstor Horacio y otros s/privación ilegal de la libertad agravada, imposición de tormentos y homicidio calificado”</w:t>
      </w:r>
      <w:bookmarkEnd w:id="54"/>
      <w:bookmarkEnd w:id="55"/>
    </w:p>
    <w:p w14:paraId="6E6DA7D4" w14:textId="77777777" w:rsidR="006C6DE7" w:rsidRPr="0007034B" w:rsidRDefault="006C6DE7" w:rsidP="004D4B9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360" w:firstLine="0"/>
        <w:jc w:val="both"/>
        <w:rPr>
          <w:rFonts w:asciiTheme="majorHAnsi" w:hAnsiTheme="majorHAnsi"/>
          <w:b/>
          <w:sz w:val="20"/>
          <w:szCs w:val="20"/>
        </w:rPr>
      </w:pPr>
    </w:p>
    <w:p w14:paraId="7FCC52D8" w14:textId="76170ECA" w:rsidR="00F61AE7" w:rsidRPr="0007034B" w:rsidRDefault="00F61AE7"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r w:rsidRPr="0007034B">
        <w:rPr>
          <w:rFonts w:asciiTheme="majorHAnsi" w:hAnsiTheme="majorHAnsi"/>
          <w:sz w:val="20"/>
          <w:szCs w:val="20"/>
          <w:lang w:val="es-VE"/>
        </w:rPr>
        <w:t>El 6 de septiembre de 2006 se decretó el procesamiento con prisión preventiva de Néstor Horacio Guillamondegui, Rubén Victor Visuara, Eduardo Rodolfo Cabanillas, Honorio Carlos Martinez Ruiz y Raúl Antonio Guglielminetti</w:t>
      </w:r>
      <w:r w:rsidR="00B20F26" w:rsidRPr="0007034B">
        <w:rPr>
          <w:rFonts w:asciiTheme="majorHAnsi" w:hAnsiTheme="majorHAnsi"/>
          <w:sz w:val="20"/>
          <w:szCs w:val="20"/>
          <w:lang w:val="es-VE"/>
        </w:rPr>
        <w:t>, ex agentes de</w:t>
      </w:r>
      <w:r w:rsidR="00F42410" w:rsidRPr="0007034B">
        <w:rPr>
          <w:rFonts w:asciiTheme="majorHAnsi" w:hAnsiTheme="majorHAnsi"/>
          <w:sz w:val="20"/>
          <w:szCs w:val="20"/>
          <w:lang w:val="es-VE"/>
        </w:rPr>
        <w:t xml:space="preserve"> </w:t>
      </w:r>
      <w:r w:rsidR="00B20F26" w:rsidRPr="0007034B">
        <w:rPr>
          <w:rFonts w:asciiTheme="majorHAnsi" w:hAnsiTheme="majorHAnsi"/>
          <w:sz w:val="20"/>
          <w:szCs w:val="20"/>
          <w:lang w:val="es-VE"/>
        </w:rPr>
        <w:t>l</w:t>
      </w:r>
      <w:r w:rsidR="00F42410" w:rsidRPr="0007034B">
        <w:rPr>
          <w:rFonts w:asciiTheme="majorHAnsi" w:hAnsiTheme="majorHAnsi"/>
          <w:sz w:val="20"/>
          <w:szCs w:val="20"/>
          <w:lang w:val="es-VE"/>
        </w:rPr>
        <w:t>a SIDE</w:t>
      </w:r>
      <w:r w:rsidR="00B20F26" w:rsidRPr="0007034B">
        <w:rPr>
          <w:rFonts w:asciiTheme="majorHAnsi" w:hAnsiTheme="majorHAnsi"/>
          <w:sz w:val="20"/>
          <w:szCs w:val="20"/>
          <w:lang w:val="es-VE"/>
        </w:rPr>
        <w:t>,</w:t>
      </w:r>
      <w:r w:rsidRPr="0007034B">
        <w:rPr>
          <w:rFonts w:asciiTheme="majorHAnsi" w:hAnsiTheme="majorHAnsi"/>
          <w:sz w:val="20"/>
          <w:szCs w:val="20"/>
          <w:lang w:val="es-VE"/>
        </w:rPr>
        <w:t xml:space="preserve"> por 65 casos de privaciones ilegales de la libertad y tormentos </w:t>
      </w:r>
      <w:r w:rsidRPr="0007034B">
        <w:rPr>
          <w:rFonts w:asciiTheme="majorHAnsi" w:hAnsiTheme="majorHAnsi"/>
          <w:sz w:val="20"/>
          <w:szCs w:val="20"/>
          <w:lang w:val="es-VE"/>
        </w:rPr>
        <w:lastRenderedPageBreak/>
        <w:t>ocurridas en “Orletti”. El 23 de noviembre del mismo año se decretó el procesamiento con prisión preventiva de Eduardo Alfredo Ruffo y el 4 de septiembre de 2008 se elevaron las actuaciones a juicio</w:t>
      </w:r>
      <w:r w:rsidRPr="0007034B">
        <w:rPr>
          <w:rStyle w:val="FootnoteReference"/>
          <w:rFonts w:asciiTheme="majorHAnsi" w:hAnsiTheme="majorHAnsi"/>
          <w:sz w:val="20"/>
          <w:szCs w:val="20"/>
          <w:lang w:val="es-VE"/>
        </w:rPr>
        <w:footnoteReference w:id="85"/>
      </w:r>
      <w:r w:rsidR="00A87C92" w:rsidRPr="0007034B">
        <w:rPr>
          <w:rFonts w:asciiTheme="majorHAnsi" w:hAnsiTheme="majorHAnsi"/>
          <w:sz w:val="20"/>
          <w:szCs w:val="20"/>
          <w:lang w:val="es-VE"/>
        </w:rPr>
        <w:t>.</w:t>
      </w:r>
      <w:r w:rsidRPr="0007034B">
        <w:rPr>
          <w:rFonts w:asciiTheme="majorHAnsi" w:hAnsiTheme="majorHAnsi"/>
          <w:sz w:val="20"/>
          <w:szCs w:val="20"/>
          <w:lang w:val="es-VE"/>
        </w:rPr>
        <w:t xml:space="preserve"> </w:t>
      </w:r>
    </w:p>
    <w:p w14:paraId="5C9318C9" w14:textId="77777777" w:rsidR="00F61AE7" w:rsidRPr="0007034B" w:rsidRDefault="00F61AE7" w:rsidP="00F61AE7">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rPr>
      </w:pPr>
    </w:p>
    <w:p w14:paraId="122ABBA7" w14:textId="77777777" w:rsidR="007D5837" w:rsidRPr="0007034B" w:rsidRDefault="0052248C"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r w:rsidRPr="0007034B">
        <w:rPr>
          <w:rFonts w:asciiTheme="majorHAnsi" w:hAnsiTheme="majorHAnsi"/>
          <w:sz w:val="20"/>
          <w:szCs w:val="20"/>
        </w:rPr>
        <w:t xml:space="preserve">El 31 de mayo de 2011 el Tribunal Oral en lo Criminal Federal No. 1, en el marco de la causa </w:t>
      </w:r>
      <w:r w:rsidR="007D5837" w:rsidRPr="0007034B">
        <w:rPr>
          <w:rFonts w:asciiTheme="majorHAnsi" w:hAnsiTheme="majorHAnsi"/>
          <w:sz w:val="20"/>
          <w:szCs w:val="20"/>
        </w:rPr>
        <w:t xml:space="preserve">No. 1627 caratulada “Guillamondegui, Néstor Horacio y otros s/privación ilegal de la libertad agravada, imposición de tormentos y homicidio calificado”, </w:t>
      </w:r>
      <w:r w:rsidRPr="0007034B">
        <w:rPr>
          <w:rFonts w:asciiTheme="majorHAnsi" w:hAnsiTheme="majorHAnsi"/>
          <w:sz w:val="20"/>
          <w:szCs w:val="20"/>
        </w:rPr>
        <w:t>conocida como “Orletti  I”</w:t>
      </w:r>
      <w:r w:rsidR="007D5837" w:rsidRPr="0007034B">
        <w:rPr>
          <w:rFonts w:asciiTheme="majorHAnsi" w:hAnsiTheme="majorHAnsi"/>
          <w:sz w:val="20"/>
          <w:szCs w:val="20"/>
        </w:rPr>
        <w:t>,</w:t>
      </w:r>
      <w:r w:rsidRPr="0007034B">
        <w:rPr>
          <w:rFonts w:asciiTheme="majorHAnsi" w:hAnsiTheme="majorHAnsi"/>
          <w:sz w:val="20"/>
          <w:szCs w:val="20"/>
        </w:rPr>
        <w:t xml:space="preserve"> condenó a </w:t>
      </w:r>
      <w:r w:rsidR="00BA520E" w:rsidRPr="0007034B">
        <w:rPr>
          <w:rFonts w:asciiTheme="majorHAnsi" w:hAnsiTheme="majorHAnsi"/>
          <w:sz w:val="20"/>
          <w:szCs w:val="20"/>
          <w:lang w:val="es-VE"/>
        </w:rPr>
        <w:t xml:space="preserve">Eduardo Rodolfo Cabanillas, </w:t>
      </w:r>
      <w:r w:rsidR="00E31D05" w:rsidRPr="0007034B">
        <w:rPr>
          <w:rFonts w:asciiTheme="majorHAnsi" w:hAnsiTheme="majorHAnsi"/>
          <w:sz w:val="20"/>
          <w:szCs w:val="20"/>
          <w:lang w:val="es-VE"/>
        </w:rPr>
        <w:t xml:space="preserve">Eduardo Alfredo Ruffo, </w:t>
      </w:r>
      <w:r w:rsidR="00BA520E" w:rsidRPr="0007034B">
        <w:rPr>
          <w:rFonts w:asciiTheme="majorHAnsi" w:hAnsiTheme="majorHAnsi"/>
          <w:sz w:val="20"/>
          <w:szCs w:val="20"/>
          <w:lang w:val="es-VE"/>
        </w:rPr>
        <w:t xml:space="preserve">Honorio Carlos Martínez Ruiz </w:t>
      </w:r>
      <w:r w:rsidR="00E31D05" w:rsidRPr="0007034B">
        <w:rPr>
          <w:rFonts w:asciiTheme="majorHAnsi" w:hAnsiTheme="majorHAnsi"/>
          <w:sz w:val="20"/>
          <w:szCs w:val="20"/>
          <w:lang w:val="es-VE"/>
        </w:rPr>
        <w:t xml:space="preserve">y a </w:t>
      </w:r>
      <w:r w:rsidRPr="0007034B">
        <w:rPr>
          <w:rFonts w:asciiTheme="majorHAnsi" w:hAnsiTheme="majorHAnsi"/>
          <w:sz w:val="20"/>
          <w:szCs w:val="20"/>
          <w:lang w:val="es-VE"/>
        </w:rPr>
        <w:t>Raúl Antonio Guglielminetti</w:t>
      </w:r>
      <w:r w:rsidR="00E31D05" w:rsidRPr="0007034B">
        <w:rPr>
          <w:rFonts w:asciiTheme="majorHAnsi" w:hAnsiTheme="majorHAnsi"/>
          <w:sz w:val="20"/>
          <w:szCs w:val="20"/>
          <w:lang w:val="es-VE"/>
        </w:rPr>
        <w:t xml:space="preserve"> </w:t>
      </w:r>
      <w:r w:rsidRPr="0007034B">
        <w:rPr>
          <w:rFonts w:asciiTheme="majorHAnsi" w:hAnsiTheme="majorHAnsi"/>
          <w:sz w:val="20"/>
          <w:szCs w:val="20"/>
          <w:lang w:val="es-VE"/>
        </w:rPr>
        <w:t>a penas de</w:t>
      </w:r>
      <w:r w:rsidR="007D5837" w:rsidRPr="0007034B">
        <w:rPr>
          <w:rFonts w:asciiTheme="majorHAnsi" w:hAnsiTheme="majorHAnsi"/>
          <w:sz w:val="20"/>
          <w:szCs w:val="20"/>
          <w:lang w:val="es-VE"/>
        </w:rPr>
        <w:t xml:space="preserve"> prisión perpetua, 25 años </w:t>
      </w:r>
      <w:r w:rsidR="00E31D05" w:rsidRPr="0007034B">
        <w:rPr>
          <w:rFonts w:asciiTheme="majorHAnsi" w:hAnsiTheme="majorHAnsi"/>
          <w:sz w:val="20"/>
          <w:szCs w:val="20"/>
          <w:lang w:val="es-VE"/>
        </w:rPr>
        <w:t xml:space="preserve">(Ruffo y Martínez Ruiz) </w:t>
      </w:r>
      <w:r w:rsidR="007D5837" w:rsidRPr="0007034B">
        <w:rPr>
          <w:rFonts w:asciiTheme="majorHAnsi" w:hAnsiTheme="majorHAnsi"/>
          <w:sz w:val="20"/>
          <w:szCs w:val="20"/>
          <w:lang w:val="es-VE"/>
        </w:rPr>
        <w:t>y 20 años respectivamente, por delitos cometidos en “Orletti</w:t>
      </w:r>
      <w:r w:rsidR="00472960" w:rsidRPr="0007034B">
        <w:rPr>
          <w:rFonts w:asciiTheme="majorHAnsi" w:hAnsiTheme="majorHAnsi"/>
          <w:sz w:val="20"/>
          <w:szCs w:val="20"/>
          <w:lang w:val="es-VE"/>
        </w:rPr>
        <w:t>”</w:t>
      </w:r>
      <w:r w:rsidR="007D5837" w:rsidRPr="0007034B">
        <w:rPr>
          <w:rFonts w:asciiTheme="majorHAnsi" w:hAnsiTheme="majorHAnsi"/>
          <w:sz w:val="20"/>
          <w:szCs w:val="20"/>
          <w:lang w:val="es-VE"/>
        </w:rPr>
        <w:t>, entre ellos</w:t>
      </w:r>
      <w:r w:rsidRPr="0007034B">
        <w:rPr>
          <w:rFonts w:asciiTheme="majorHAnsi" w:hAnsiTheme="majorHAnsi"/>
          <w:sz w:val="20"/>
          <w:szCs w:val="20"/>
          <w:lang w:val="es-VE"/>
        </w:rPr>
        <w:t xml:space="preserve"> por la privación ilegal de la libertad y tormentos de Victoria Grisonas.</w:t>
      </w:r>
      <w:r w:rsidR="00554542" w:rsidRPr="0007034B">
        <w:rPr>
          <w:rFonts w:asciiTheme="majorHAnsi" w:hAnsiTheme="majorHAnsi"/>
          <w:sz w:val="20"/>
          <w:szCs w:val="20"/>
          <w:lang w:val="es-VE"/>
        </w:rPr>
        <w:t xml:space="preserve"> </w:t>
      </w:r>
    </w:p>
    <w:p w14:paraId="0C6DA6F9" w14:textId="77777777" w:rsidR="007D5837" w:rsidRPr="0007034B" w:rsidRDefault="007D5837" w:rsidP="007D5837">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rPr>
      </w:pPr>
    </w:p>
    <w:p w14:paraId="65AB65DD" w14:textId="37A998EE" w:rsidR="008B7008" w:rsidRPr="0007034B" w:rsidRDefault="00F657BB"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r w:rsidRPr="0007034B">
        <w:rPr>
          <w:rFonts w:asciiTheme="majorHAnsi" w:hAnsiTheme="majorHAnsi"/>
          <w:sz w:val="20"/>
          <w:szCs w:val="20"/>
          <w:lang w:val="es-VE"/>
        </w:rPr>
        <w:t xml:space="preserve">En dicha </w:t>
      </w:r>
      <w:r w:rsidR="00554542" w:rsidRPr="0007034B">
        <w:rPr>
          <w:rFonts w:asciiTheme="majorHAnsi" w:hAnsiTheme="majorHAnsi"/>
          <w:sz w:val="20"/>
          <w:szCs w:val="20"/>
          <w:lang w:val="es-VE"/>
        </w:rPr>
        <w:t>sentencia</w:t>
      </w:r>
      <w:r w:rsidRPr="0007034B">
        <w:rPr>
          <w:rFonts w:asciiTheme="majorHAnsi" w:hAnsiTheme="majorHAnsi"/>
          <w:sz w:val="20"/>
          <w:szCs w:val="20"/>
          <w:lang w:val="es-VE"/>
        </w:rPr>
        <w:t xml:space="preserve"> se</w:t>
      </w:r>
      <w:r w:rsidR="00554542" w:rsidRPr="0007034B">
        <w:rPr>
          <w:rFonts w:asciiTheme="majorHAnsi" w:hAnsiTheme="majorHAnsi"/>
          <w:sz w:val="20"/>
          <w:szCs w:val="20"/>
          <w:lang w:val="es-VE"/>
        </w:rPr>
        <w:t xml:space="preserve"> consideró “acreditada con plena certeza la privación ilegal de la libertad que sufriera Victoria Lucía Grisonas, como así también su alojamiento en el ccdt “Automotores Orletti”, el padecimiento de torturas y de condiciones inhumanas de detención”</w:t>
      </w:r>
      <w:r w:rsidR="00554542" w:rsidRPr="0007034B">
        <w:rPr>
          <w:rStyle w:val="FootnoteReference"/>
          <w:rFonts w:asciiTheme="majorHAnsi" w:hAnsiTheme="majorHAnsi"/>
          <w:sz w:val="20"/>
          <w:szCs w:val="20"/>
          <w:lang w:val="es-VE"/>
        </w:rPr>
        <w:footnoteReference w:id="86"/>
      </w:r>
      <w:r w:rsidR="00430E0F" w:rsidRPr="0007034B">
        <w:rPr>
          <w:rFonts w:asciiTheme="majorHAnsi" w:hAnsiTheme="majorHAnsi"/>
          <w:sz w:val="20"/>
          <w:szCs w:val="20"/>
          <w:lang w:val="es-VE"/>
        </w:rPr>
        <w:t>.</w:t>
      </w:r>
      <w:r w:rsidR="007D5837" w:rsidRPr="0007034B">
        <w:rPr>
          <w:rFonts w:asciiTheme="majorHAnsi" w:hAnsiTheme="majorHAnsi"/>
          <w:sz w:val="20"/>
          <w:szCs w:val="20"/>
          <w:lang w:val="es-VE"/>
        </w:rPr>
        <w:t xml:space="preserve"> Asimismo, la sentencia </w:t>
      </w:r>
      <w:r w:rsidR="007D2AB5" w:rsidRPr="0007034B">
        <w:rPr>
          <w:rFonts w:asciiTheme="majorHAnsi" w:hAnsiTheme="majorHAnsi"/>
          <w:sz w:val="20"/>
          <w:szCs w:val="20"/>
          <w:lang w:val="es-VE"/>
        </w:rPr>
        <w:t>solicitó</w:t>
      </w:r>
      <w:r w:rsidR="007D5837" w:rsidRPr="0007034B">
        <w:rPr>
          <w:rFonts w:asciiTheme="majorHAnsi" w:hAnsiTheme="majorHAnsi"/>
          <w:sz w:val="20"/>
          <w:szCs w:val="20"/>
          <w:lang w:val="es-VE"/>
        </w:rPr>
        <w:t xml:space="preserve"> que se extraigan testimonios de las piezas procesales pertinentes a los efectos de investigar la posible participación delictiva de Rolando Nerone y de otras personas dependientes, para la época de los hechos, del Departamento de Asuntos Extranjeros de la Policía Federal Argentina </w:t>
      </w:r>
      <w:r w:rsidR="007F4F70" w:rsidRPr="0007034B">
        <w:rPr>
          <w:rFonts w:asciiTheme="majorHAnsi" w:hAnsiTheme="majorHAnsi"/>
          <w:sz w:val="20"/>
          <w:szCs w:val="20"/>
          <w:lang w:val="es-VE"/>
        </w:rPr>
        <w:t>“</w:t>
      </w:r>
      <w:r w:rsidR="007D5837" w:rsidRPr="0007034B">
        <w:rPr>
          <w:rFonts w:asciiTheme="majorHAnsi" w:hAnsiTheme="majorHAnsi"/>
          <w:sz w:val="20"/>
          <w:szCs w:val="20"/>
          <w:lang w:val="es-VE"/>
        </w:rPr>
        <w:t>en el secuestro de la familia Grisonas</w:t>
      </w:r>
      <w:r w:rsidR="007F4F70" w:rsidRPr="0007034B">
        <w:rPr>
          <w:rFonts w:asciiTheme="majorHAnsi" w:hAnsiTheme="majorHAnsi"/>
          <w:sz w:val="20"/>
          <w:szCs w:val="20"/>
          <w:lang w:val="es-VE"/>
        </w:rPr>
        <w:t>”</w:t>
      </w:r>
      <w:r w:rsidR="004030A4" w:rsidRPr="0007034B">
        <w:rPr>
          <w:rFonts w:asciiTheme="majorHAnsi" w:hAnsiTheme="majorHAnsi"/>
          <w:sz w:val="20"/>
          <w:szCs w:val="20"/>
          <w:lang w:val="es-VE"/>
        </w:rPr>
        <w:t xml:space="preserve"> y se remitan los testimonios a conocimiento del Juez de Primera Instancia en lo Criminal y Correccional Federal a cargo del Juzgado Nacional en lo Criminal y Correccional Federal No. 3</w:t>
      </w:r>
      <w:r w:rsidR="007F4F70" w:rsidRPr="0007034B">
        <w:rPr>
          <w:rStyle w:val="FootnoteReference"/>
          <w:rFonts w:asciiTheme="majorHAnsi" w:hAnsiTheme="majorHAnsi"/>
          <w:sz w:val="20"/>
          <w:szCs w:val="20"/>
          <w:lang w:val="es-VE"/>
        </w:rPr>
        <w:footnoteReference w:id="87"/>
      </w:r>
      <w:r w:rsidR="00622E8B" w:rsidRPr="0007034B">
        <w:rPr>
          <w:rFonts w:asciiTheme="majorHAnsi" w:hAnsiTheme="majorHAnsi"/>
          <w:sz w:val="20"/>
          <w:szCs w:val="20"/>
          <w:lang w:val="es-VE"/>
        </w:rPr>
        <w:t>.</w:t>
      </w:r>
      <w:r w:rsidR="00654DF3" w:rsidRPr="0007034B">
        <w:rPr>
          <w:rFonts w:asciiTheme="majorHAnsi" w:hAnsiTheme="majorHAnsi"/>
          <w:sz w:val="20"/>
          <w:szCs w:val="20"/>
          <w:lang w:val="es-VE"/>
        </w:rPr>
        <w:t xml:space="preserve"> </w:t>
      </w:r>
      <w:r w:rsidR="007D5837" w:rsidRPr="0007034B">
        <w:rPr>
          <w:rFonts w:asciiTheme="majorHAnsi" w:hAnsiTheme="majorHAnsi"/>
          <w:sz w:val="20"/>
          <w:szCs w:val="20"/>
          <w:lang w:val="es-VE"/>
        </w:rPr>
        <w:t xml:space="preserve">El 7 de octubre de 2013 la Sala IV de la Cámara Federal de Casación Penal confirmó la condena, rechazando los recursos de casación interpuestos por las defensas. </w:t>
      </w:r>
    </w:p>
    <w:p w14:paraId="7B6FAD18" w14:textId="77777777" w:rsidR="00D0396F" w:rsidRPr="0007034B" w:rsidRDefault="00D0396F" w:rsidP="00D0396F">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lang w:val="es-VE"/>
        </w:rPr>
      </w:pPr>
    </w:p>
    <w:p w14:paraId="06505B72" w14:textId="544050B2" w:rsidR="00D0396F" w:rsidRPr="007E73E1" w:rsidRDefault="00D0396F" w:rsidP="007E73E1">
      <w:pPr>
        <w:pStyle w:val="Heading3"/>
      </w:pPr>
      <w:bookmarkStart w:id="56" w:name="_Toc6349164"/>
      <w:bookmarkStart w:id="57" w:name="_Toc6466657"/>
      <w:r w:rsidRPr="007E73E1">
        <w:t>Causa No.</w:t>
      </w:r>
      <w:r w:rsidR="00865821" w:rsidRPr="007E73E1">
        <w:t xml:space="preserve"> </w:t>
      </w:r>
      <w:r w:rsidR="00371482" w:rsidRPr="007E73E1">
        <w:t>2637/04 “Vaello, Orestes y otros sobre privación ilegal de la libertad agravada y homicidio agravado”</w:t>
      </w:r>
      <w:bookmarkEnd w:id="56"/>
      <w:bookmarkEnd w:id="57"/>
    </w:p>
    <w:p w14:paraId="53D0E347" w14:textId="77777777" w:rsidR="00D83D73" w:rsidRPr="0007034B" w:rsidRDefault="00D83D73" w:rsidP="00D83D73">
      <w:pPr>
        <w:pStyle w:val="ListParagraph"/>
        <w:ind w:left="1440"/>
        <w:rPr>
          <w:rFonts w:asciiTheme="majorHAnsi" w:hAnsiTheme="majorHAnsi"/>
          <w:b/>
          <w:color w:val="FF0000"/>
          <w:sz w:val="20"/>
          <w:szCs w:val="20"/>
          <w:lang w:val="es-ES_tradnl"/>
        </w:rPr>
      </w:pPr>
    </w:p>
    <w:p w14:paraId="0FAC03D9" w14:textId="005CBD21" w:rsidR="00062302" w:rsidRPr="0007034B" w:rsidRDefault="00F5640F"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r w:rsidRPr="0007034B">
        <w:rPr>
          <w:rFonts w:asciiTheme="majorHAnsi" w:hAnsiTheme="majorHAnsi"/>
          <w:sz w:val="20"/>
          <w:szCs w:val="20"/>
        </w:rPr>
        <w:t xml:space="preserve">El </w:t>
      </w:r>
      <w:r w:rsidR="00352CA8" w:rsidRPr="0007034B">
        <w:rPr>
          <w:rFonts w:asciiTheme="majorHAnsi" w:hAnsiTheme="majorHAnsi"/>
          <w:sz w:val="20"/>
          <w:szCs w:val="20"/>
        </w:rPr>
        <w:t>19 de mayo de 2011, en el marco de la causa Nro. 2637/04 caratulada “Vaello, Orestes y otros sobre privación ilegal de la libertad agravada y homicidio agravado”, el Juzgado Nacional en lo Criminal y Correccional Federal Nro. 3</w:t>
      </w:r>
      <w:r w:rsidRPr="0007034B">
        <w:rPr>
          <w:rFonts w:asciiTheme="majorHAnsi" w:hAnsiTheme="majorHAnsi"/>
          <w:sz w:val="20"/>
          <w:szCs w:val="20"/>
        </w:rPr>
        <w:t xml:space="preserve"> decretó el procesamiento de Rolando Oscar Nerone</w:t>
      </w:r>
      <w:r w:rsidR="00352CA8" w:rsidRPr="0007034B">
        <w:rPr>
          <w:rFonts w:asciiTheme="majorHAnsi" w:hAnsiTheme="majorHAnsi"/>
          <w:sz w:val="20"/>
          <w:szCs w:val="20"/>
        </w:rPr>
        <w:t xml:space="preserve"> </w:t>
      </w:r>
      <w:r w:rsidRPr="0007034B">
        <w:rPr>
          <w:rFonts w:asciiTheme="majorHAnsi" w:hAnsiTheme="majorHAnsi"/>
          <w:sz w:val="20"/>
          <w:szCs w:val="20"/>
        </w:rPr>
        <w:t>y de Oscar Roberto Gutiérrez</w:t>
      </w:r>
      <w:r w:rsidR="00352CA8" w:rsidRPr="0007034B">
        <w:rPr>
          <w:rFonts w:asciiTheme="majorHAnsi" w:hAnsiTheme="majorHAnsi"/>
          <w:sz w:val="20"/>
          <w:szCs w:val="20"/>
        </w:rPr>
        <w:t>, Comisario Inspector retirado y Subcomisario retirado</w:t>
      </w:r>
      <w:r w:rsidR="00472960" w:rsidRPr="0007034B">
        <w:rPr>
          <w:rFonts w:asciiTheme="majorHAnsi" w:hAnsiTheme="majorHAnsi"/>
          <w:sz w:val="20"/>
          <w:szCs w:val="20"/>
        </w:rPr>
        <w:t>,</w:t>
      </w:r>
      <w:r w:rsidR="00352CA8" w:rsidRPr="0007034B">
        <w:rPr>
          <w:rFonts w:asciiTheme="majorHAnsi" w:hAnsiTheme="majorHAnsi"/>
          <w:sz w:val="20"/>
          <w:szCs w:val="20"/>
        </w:rPr>
        <w:t xml:space="preserve"> </w:t>
      </w:r>
      <w:r w:rsidR="00472960" w:rsidRPr="0007034B">
        <w:rPr>
          <w:rFonts w:asciiTheme="majorHAnsi" w:hAnsiTheme="majorHAnsi"/>
          <w:sz w:val="20"/>
          <w:szCs w:val="20"/>
        </w:rPr>
        <w:t xml:space="preserve">respectivamente, del Departamento de Asuntos Extranjeros </w:t>
      </w:r>
      <w:r w:rsidR="00352CA8" w:rsidRPr="0007034B">
        <w:rPr>
          <w:rFonts w:asciiTheme="majorHAnsi" w:hAnsiTheme="majorHAnsi"/>
          <w:sz w:val="20"/>
          <w:szCs w:val="20"/>
        </w:rPr>
        <w:t>de la Policía Federal Argentina</w:t>
      </w:r>
      <w:r w:rsidR="00062302" w:rsidRPr="0007034B">
        <w:rPr>
          <w:rStyle w:val="FootnoteReference"/>
          <w:rFonts w:asciiTheme="majorHAnsi" w:hAnsiTheme="majorHAnsi"/>
          <w:sz w:val="20"/>
          <w:szCs w:val="20"/>
        </w:rPr>
        <w:footnoteReference w:id="88"/>
      </w:r>
      <w:r w:rsidR="00880144" w:rsidRPr="0007034B">
        <w:rPr>
          <w:rFonts w:asciiTheme="majorHAnsi" w:hAnsiTheme="majorHAnsi"/>
          <w:sz w:val="20"/>
          <w:szCs w:val="20"/>
        </w:rPr>
        <w:t>.</w:t>
      </w:r>
    </w:p>
    <w:p w14:paraId="551C4245" w14:textId="77777777" w:rsidR="00C9049B" w:rsidRPr="0007034B" w:rsidRDefault="00C9049B" w:rsidP="00C9049B">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rPr>
      </w:pPr>
    </w:p>
    <w:p w14:paraId="382731E0" w14:textId="00D0463A" w:rsidR="001C7FD8" w:rsidRPr="0007034B" w:rsidRDefault="00C9049B"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r w:rsidRPr="0007034B">
        <w:rPr>
          <w:rFonts w:asciiTheme="majorHAnsi" w:hAnsiTheme="majorHAnsi"/>
          <w:sz w:val="20"/>
          <w:szCs w:val="20"/>
        </w:rPr>
        <w:t>El 28 de junio de 2012, en el marco de dicha causa, el juez solicitó al Director del Cementerio Municipal del Partido de General San Martín, Provincia de Buenos Aires, información sobre el lugar preciso en el que habría “sido inhumado un cadáver N.N. masculino, de aproximadamente 30 años, fallecido en fecha 26 de septiembre de 1976” según partida de defunción extendida el 27 de septiembre de 1976, sobre “si actualmente los restos se encuentran en dicho sitio o han pasado a otro destino”, así como “toda constancia relativa a la [sic] personas que habrían intervenido en el traslado del cuer</w:t>
      </w:r>
      <w:r w:rsidR="00B16CBB" w:rsidRPr="0007034B">
        <w:rPr>
          <w:rFonts w:asciiTheme="majorHAnsi" w:hAnsiTheme="majorHAnsi"/>
          <w:sz w:val="20"/>
          <w:szCs w:val="20"/>
        </w:rPr>
        <w:t>po a ese cemente</w:t>
      </w:r>
      <w:r w:rsidRPr="0007034B">
        <w:rPr>
          <w:rFonts w:asciiTheme="majorHAnsi" w:hAnsiTheme="majorHAnsi"/>
          <w:sz w:val="20"/>
          <w:szCs w:val="20"/>
        </w:rPr>
        <w:t>rio”</w:t>
      </w:r>
      <w:r w:rsidR="00087996" w:rsidRPr="0007034B">
        <w:rPr>
          <w:rStyle w:val="FootnoteReference"/>
          <w:rFonts w:asciiTheme="majorHAnsi" w:hAnsiTheme="majorHAnsi"/>
          <w:sz w:val="20"/>
          <w:szCs w:val="20"/>
        </w:rPr>
        <w:footnoteReference w:id="89"/>
      </w:r>
      <w:r w:rsidR="001227E9" w:rsidRPr="0007034B">
        <w:rPr>
          <w:rFonts w:asciiTheme="majorHAnsi" w:hAnsiTheme="majorHAnsi"/>
          <w:sz w:val="20"/>
          <w:szCs w:val="20"/>
        </w:rPr>
        <w:t>.</w:t>
      </w:r>
      <w:r w:rsidRPr="0007034B">
        <w:rPr>
          <w:rFonts w:asciiTheme="majorHAnsi" w:hAnsiTheme="majorHAnsi"/>
          <w:sz w:val="20"/>
          <w:szCs w:val="20"/>
        </w:rPr>
        <w:t xml:space="preserve"> </w:t>
      </w:r>
    </w:p>
    <w:p w14:paraId="52B12BED" w14:textId="77777777" w:rsidR="001C7FD8" w:rsidRPr="0007034B" w:rsidRDefault="001C7FD8" w:rsidP="001C7FD8">
      <w:pPr>
        <w:pStyle w:val="ListParagraph"/>
        <w:rPr>
          <w:rFonts w:asciiTheme="majorHAnsi" w:hAnsiTheme="majorHAnsi"/>
          <w:sz w:val="20"/>
          <w:szCs w:val="20"/>
          <w:lang w:val="es-ES"/>
        </w:rPr>
      </w:pPr>
    </w:p>
    <w:p w14:paraId="71EEFCDC" w14:textId="3ED791B5" w:rsidR="00C9049B" w:rsidRPr="0007034B" w:rsidRDefault="001C7FD8"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r w:rsidRPr="0007034B">
        <w:rPr>
          <w:rFonts w:asciiTheme="majorHAnsi" w:hAnsiTheme="majorHAnsi"/>
          <w:sz w:val="20"/>
          <w:szCs w:val="20"/>
        </w:rPr>
        <w:t>En respuesta a dicha solicitud, el Director del Cementerio Municipal informó que el 27 de septiembre de 1976 ingresó a dicha necrópolis un ataúd identificado</w:t>
      </w:r>
      <w:r w:rsidR="00BB3588" w:rsidRPr="0007034B">
        <w:rPr>
          <w:rFonts w:asciiTheme="majorHAnsi" w:hAnsiTheme="majorHAnsi"/>
          <w:sz w:val="20"/>
          <w:szCs w:val="20"/>
        </w:rPr>
        <w:t xml:space="preserve"> como</w:t>
      </w:r>
      <w:r w:rsidRPr="0007034B">
        <w:rPr>
          <w:rFonts w:asciiTheme="majorHAnsi" w:hAnsiTheme="majorHAnsi"/>
          <w:sz w:val="20"/>
          <w:szCs w:val="20"/>
        </w:rPr>
        <w:t xml:space="preserve"> NN fallecido el día anterior, de aproximadamente 30 años</w:t>
      </w:r>
      <w:r w:rsidR="00BB3588" w:rsidRPr="0007034B">
        <w:rPr>
          <w:rFonts w:asciiTheme="majorHAnsi" w:hAnsiTheme="majorHAnsi"/>
          <w:sz w:val="20"/>
          <w:szCs w:val="20"/>
        </w:rPr>
        <w:t xml:space="preserve"> de edad</w:t>
      </w:r>
      <w:r w:rsidRPr="0007034B">
        <w:rPr>
          <w:rFonts w:asciiTheme="majorHAnsi" w:hAnsiTheme="majorHAnsi"/>
          <w:sz w:val="20"/>
          <w:szCs w:val="20"/>
        </w:rPr>
        <w:t xml:space="preserve">, el cual fue inhumado en la sección 14. </w:t>
      </w:r>
      <w:r w:rsidR="00080A82" w:rsidRPr="0007034B">
        <w:rPr>
          <w:rFonts w:asciiTheme="majorHAnsi" w:hAnsiTheme="majorHAnsi"/>
          <w:sz w:val="20"/>
          <w:szCs w:val="20"/>
        </w:rPr>
        <w:t xml:space="preserve">Señaló que dicho NN fue el único fallecido en esa fecha. </w:t>
      </w:r>
      <w:r w:rsidRPr="0007034B">
        <w:rPr>
          <w:rFonts w:asciiTheme="majorHAnsi" w:hAnsiTheme="majorHAnsi"/>
          <w:sz w:val="20"/>
          <w:szCs w:val="20"/>
        </w:rPr>
        <w:t>Indicó asimismo que el 30 de enero de 1984 mediante orden judicial se prohibió exhumar los NN desde 1973 “[p]ero después de varias exhumaciones el 19 de junio de 1986 el Juez Carlos Alberto Currais libera las sepulturas, autorizando e</w:t>
      </w:r>
      <w:r w:rsidR="00BB3588" w:rsidRPr="0007034B">
        <w:rPr>
          <w:rFonts w:asciiTheme="majorHAnsi" w:hAnsiTheme="majorHAnsi"/>
          <w:sz w:val="20"/>
          <w:szCs w:val="20"/>
        </w:rPr>
        <w:t>l</w:t>
      </w:r>
      <w:r w:rsidRPr="0007034B">
        <w:rPr>
          <w:rFonts w:asciiTheme="majorHAnsi" w:hAnsiTheme="majorHAnsi"/>
          <w:sz w:val="20"/>
          <w:szCs w:val="20"/>
        </w:rPr>
        <w:t xml:space="preserve"> traslado al Osario General” por lo que “en la sección 14 </w:t>
      </w:r>
      <w:r w:rsidRPr="0007034B">
        <w:rPr>
          <w:rFonts w:asciiTheme="majorHAnsi" w:hAnsiTheme="majorHAnsi"/>
          <w:sz w:val="20"/>
          <w:szCs w:val="20"/>
        </w:rPr>
        <w:lastRenderedPageBreak/>
        <w:t xml:space="preserve">no existe ningún NN inhumado actualmente”. Informó además que </w:t>
      </w:r>
      <w:r w:rsidR="00080A82" w:rsidRPr="0007034B">
        <w:rPr>
          <w:rFonts w:asciiTheme="majorHAnsi" w:hAnsiTheme="majorHAnsi"/>
          <w:sz w:val="20"/>
          <w:szCs w:val="20"/>
        </w:rPr>
        <w:t xml:space="preserve">a partir de una orden de mayo de 2001 de </w:t>
      </w:r>
      <w:r w:rsidRPr="0007034B">
        <w:rPr>
          <w:rFonts w:asciiTheme="majorHAnsi" w:hAnsiTheme="majorHAnsi"/>
          <w:sz w:val="20"/>
          <w:szCs w:val="20"/>
        </w:rPr>
        <w:t xml:space="preserve">la Cámara de </w:t>
      </w:r>
      <w:r w:rsidR="00080A82" w:rsidRPr="0007034B">
        <w:rPr>
          <w:rFonts w:asciiTheme="majorHAnsi" w:hAnsiTheme="majorHAnsi"/>
          <w:sz w:val="20"/>
          <w:szCs w:val="20"/>
        </w:rPr>
        <w:t>Apelaciones</w:t>
      </w:r>
      <w:r w:rsidRPr="0007034B">
        <w:rPr>
          <w:rFonts w:asciiTheme="majorHAnsi" w:hAnsiTheme="majorHAnsi"/>
          <w:sz w:val="20"/>
          <w:szCs w:val="20"/>
        </w:rPr>
        <w:t xml:space="preserve"> en lo Criminal y Correccional Federal de la Capital Federal </w:t>
      </w:r>
      <w:r w:rsidR="00080A82" w:rsidRPr="0007034B">
        <w:rPr>
          <w:rFonts w:asciiTheme="majorHAnsi" w:hAnsiTheme="majorHAnsi"/>
          <w:sz w:val="20"/>
          <w:szCs w:val="20"/>
        </w:rPr>
        <w:t>de abstenerse de exhumar los NN, el Equipo Argentino de Antropología Forense realizó varias exhumaciones</w:t>
      </w:r>
      <w:r w:rsidR="00080A82" w:rsidRPr="0007034B">
        <w:rPr>
          <w:rStyle w:val="FootnoteReference"/>
          <w:rFonts w:asciiTheme="majorHAnsi" w:hAnsiTheme="majorHAnsi"/>
          <w:sz w:val="20"/>
          <w:szCs w:val="20"/>
        </w:rPr>
        <w:footnoteReference w:id="90"/>
      </w:r>
      <w:r w:rsidR="00F163A8" w:rsidRPr="0007034B">
        <w:rPr>
          <w:rFonts w:asciiTheme="majorHAnsi" w:hAnsiTheme="majorHAnsi"/>
          <w:sz w:val="20"/>
          <w:szCs w:val="20"/>
        </w:rPr>
        <w:t>.</w:t>
      </w:r>
      <w:r w:rsidR="00080A82" w:rsidRPr="0007034B">
        <w:rPr>
          <w:rFonts w:asciiTheme="majorHAnsi" w:hAnsiTheme="majorHAnsi"/>
          <w:sz w:val="20"/>
          <w:szCs w:val="20"/>
        </w:rPr>
        <w:t xml:space="preserve"> </w:t>
      </w:r>
      <w:r w:rsidR="00BB3588" w:rsidRPr="0007034B">
        <w:rPr>
          <w:rFonts w:asciiTheme="majorHAnsi" w:hAnsiTheme="majorHAnsi"/>
          <w:sz w:val="20"/>
          <w:szCs w:val="20"/>
        </w:rPr>
        <w:t>De acuerdo a la ficha Nro. 2.810 del Libro “Fichas cadáver”, la causa del fallecimiento fue “abatido por aut. militares”</w:t>
      </w:r>
      <w:r w:rsidR="00570422" w:rsidRPr="0007034B">
        <w:rPr>
          <w:rFonts w:asciiTheme="majorHAnsi" w:hAnsiTheme="majorHAnsi"/>
          <w:sz w:val="20"/>
          <w:szCs w:val="20"/>
        </w:rPr>
        <w:t>.</w:t>
      </w:r>
      <w:r w:rsidR="00570422" w:rsidRPr="0007034B">
        <w:rPr>
          <w:rStyle w:val="FootnoteReference"/>
          <w:rFonts w:asciiTheme="majorHAnsi" w:hAnsiTheme="majorHAnsi"/>
          <w:sz w:val="20"/>
          <w:szCs w:val="20"/>
        </w:rPr>
        <w:footnoteReference w:id="91"/>
      </w:r>
      <w:r w:rsidR="00570422" w:rsidRPr="0007034B">
        <w:rPr>
          <w:rFonts w:asciiTheme="majorHAnsi" w:hAnsiTheme="majorHAnsi"/>
          <w:sz w:val="20"/>
          <w:szCs w:val="20"/>
        </w:rPr>
        <w:t xml:space="preserve"> Asimismo, la partida de defunción establece que “falleció NN de paro cardíaco traumático. Hemorragia aguda. Heridas de bala”</w:t>
      </w:r>
      <w:r w:rsidR="00570422" w:rsidRPr="0007034B">
        <w:rPr>
          <w:rStyle w:val="FootnoteReference"/>
          <w:rFonts w:asciiTheme="majorHAnsi" w:hAnsiTheme="majorHAnsi"/>
          <w:sz w:val="20"/>
          <w:szCs w:val="20"/>
        </w:rPr>
        <w:footnoteReference w:id="92"/>
      </w:r>
      <w:r w:rsidR="00F76EE4" w:rsidRPr="0007034B">
        <w:rPr>
          <w:rFonts w:asciiTheme="majorHAnsi" w:hAnsiTheme="majorHAnsi"/>
          <w:sz w:val="20"/>
          <w:szCs w:val="20"/>
        </w:rPr>
        <w:t>.</w:t>
      </w:r>
      <w:r w:rsidRPr="0007034B">
        <w:rPr>
          <w:rFonts w:asciiTheme="majorHAnsi" w:hAnsiTheme="majorHAnsi"/>
          <w:sz w:val="20"/>
          <w:szCs w:val="20"/>
        </w:rPr>
        <w:t xml:space="preserve">  </w:t>
      </w:r>
      <w:r w:rsidR="00C9049B" w:rsidRPr="0007034B">
        <w:rPr>
          <w:rFonts w:asciiTheme="majorHAnsi" w:hAnsiTheme="majorHAnsi"/>
          <w:sz w:val="20"/>
          <w:szCs w:val="20"/>
        </w:rPr>
        <w:t xml:space="preserve">  </w:t>
      </w:r>
    </w:p>
    <w:p w14:paraId="786774FC" w14:textId="77777777" w:rsidR="00D66FBD" w:rsidRPr="0007034B" w:rsidRDefault="00D66FBD" w:rsidP="00D66FBD">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rPr>
      </w:pPr>
    </w:p>
    <w:p w14:paraId="33FFEB7F" w14:textId="15F24F9D" w:rsidR="00F2503D" w:rsidRPr="0007034B" w:rsidRDefault="00D66FBD"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r w:rsidRPr="0007034B">
        <w:rPr>
          <w:rFonts w:asciiTheme="majorHAnsi" w:hAnsiTheme="majorHAnsi"/>
          <w:sz w:val="20"/>
          <w:szCs w:val="20"/>
        </w:rPr>
        <w:t>El 19 de</w:t>
      </w:r>
      <w:r w:rsidR="00481D3E" w:rsidRPr="0007034B">
        <w:rPr>
          <w:rFonts w:asciiTheme="majorHAnsi" w:hAnsiTheme="majorHAnsi"/>
          <w:sz w:val="20"/>
          <w:szCs w:val="20"/>
        </w:rPr>
        <w:t xml:space="preserve"> noviembre de 2012 Anatole Larrabeiti Yáñez</w:t>
      </w:r>
      <w:r w:rsidR="00334925" w:rsidRPr="0007034B">
        <w:rPr>
          <w:rFonts w:asciiTheme="majorHAnsi" w:hAnsiTheme="majorHAnsi"/>
          <w:sz w:val="20"/>
          <w:szCs w:val="20"/>
        </w:rPr>
        <w:t xml:space="preserve"> presentó, en el marco de la Causa Nro. 2637/04, una solicitud de que se lo constituya como parte querellante</w:t>
      </w:r>
      <w:r w:rsidR="00F578EE" w:rsidRPr="0007034B">
        <w:rPr>
          <w:rFonts w:asciiTheme="majorHAnsi" w:hAnsiTheme="majorHAnsi"/>
          <w:sz w:val="20"/>
          <w:szCs w:val="20"/>
        </w:rPr>
        <w:t xml:space="preserve">. En dicho escrito </w:t>
      </w:r>
      <w:r w:rsidR="005A587F" w:rsidRPr="0007034B">
        <w:rPr>
          <w:rFonts w:asciiTheme="majorHAnsi" w:hAnsiTheme="majorHAnsi"/>
          <w:sz w:val="20"/>
          <w:szCs w:val="20"/>
        </w:rPr>
        <w:t>indicó</w:t>
      </w:r>
      <w:r w:rsidR="00F578EE" w:rsidRPr="0007034B">
        <w:rPr>
          <w:rFonts w:asciiTheme="majorHAnsi" w:hAnsiTheme="majorHAnsi"/>
          <w:sz w:val="20"/>
          <w:szCs w:val="20"/>
        </w:rPr>
        <w:t xml:space="preserve">, respecto </w:t>
      </w:r>
      <w:r w:rsidR="005A587F" w:rsidRPr="0007034B">
        <w:rPr>
          <w:rFonts w:asciiTheme="majorHAnsi" w:hAnsiTheme="majorHAnsi"/>
          <w:sz w:val="20"/>
          <w:szCs w:val="20"/>
        </w:rPr>
        <w:t>a su</w:t>
      </w:r>
      <w:r w:rsidR="00F578EE" w:rsidRPr="0007034B">
        <w:rPr>
          <w:rFonts w:asciiTheme="majorHAnsi" w:hAnsiTheme="majorHAnsi"/>
          <w:sz w:val="20"/>
          <w:szCs w:val="20"/>
        </w:rPr>
        <w:t xml:space="preserve"> traslado </w:t>
      </w:r>
      <w:r w:rsidR="005A587F" w:rsidRPr="0007034B">
        <w:rPr>
          <w:rFonts w:asciiTheme="majorHAnsi" w:hAnsiTheme="majorHAnsi"/>
          <w:sz w:val="20"/>
          <w:szCs w:val="20"/>
        </w:rPr>
        <w:t xml:space="preserve">y el de su </w:t>
      </w:r>
      <w:r w:rsidR="00F578EE" w:rsidRPr="0007034B">
        <w:rPr>
          <w:rFonts w:asciiTheme="majorHAnsi" w:hAnsiTheme="majorHAnsi"/>
          <w:sz w:val="20"/>
          <w:szCs w:val="20"/>
        </w:rPr>
        <w:t>herman</w:t>
      </w:r>
      <w:r w:rsidR="005A587F" w:rsidRPr="0007034B">
        <w:rPr>
          <w:rFonts w:asciiTheme="majorHAnsi" w:hAnsiTheme="majorHAnsi"/>
          <w:sz w:val="20"/>
          <w:szCs w:val="20"/>
        </w:rPr>
        <w:t>a</w:t>
      </w:r>
      <w:r w:rsidR="00F578EE" w:rsidRPr="0007034B">
        <w:rPr>
          <w:rFonts w:asciiTheme="majorHAnsi" w:hAnsiTheme="majorHAnsi"/>
          <w:sz w:val="20"/>
          <w:szCs w:val="20"/>
        </w:rPr>
        <w:t xml:space="preserve"> a “Orletti”, </w:t>
      </w:r>
      <w:r w:rsidR="005A587F" w:rsidRPr="0007034B">
        <w:rPr>
          <w:rFonts w:asciiTheme="majorHAnsi" w:hAnsiTheme="majorHAnsi"/>
          <w:sz w:val="20"/>
          <w:szCs w:val="20"/>
        </w:rPr>
        <w:t xml:space="preserve">que </w:t>
      </w:r>
      <w:r w:rsidR="00F578EE" w:rsidRPr="0007034B">
        <w:rPr>
          <w:rFonts w:asciiTheme="majorHAnsi" w:hAnsiTheme="majorHAnsi"/>
          <w:sz w:val="20"/>
          <w:szCs w:val="20"/>
        </w:rPr>
        <w:t>si bien “no constituye estrictamente objeto de imputación a los procesados”, la “relación de tales hechos es igualmente útil para tener un panorama acabado de la totalidad de las derivaciones que tuvo el operativo”. Señal</w:t>
      </w:r>
      <w:r w:rsidR="005A587F" w:rsidRPr="0007034B">
        <w:rPr>
          <w:rFonts w:asciiTheme="majorHAnsi" w:hAnsiTheme="majorHAnsi"/>
          <w:sz w:val="20"/>
          <w:szCs w:val="20"/>
        </w:rPr>
        <w:t>ó</w:t>
      </w:r>
      <w:r w:rsidR="00F578EE" w:rsidRPr="0007034B">
        <w:rPr>
          <w:rFonts w:asciiTheme="majorHAnsi" w:hAnsiTheme="majorHAnsi"/>
          <w:sz w:val="20"/>
          <w:szCs w:val="20"/>
        </w:rPr>
        <w:t xml:space="preserve"> asimismo que si bien la participación y responsabilidad penal de Nerone y Gutiérrez han sido acreditadas en los autos de procesamiento, ellos no son los únicos ni los máximos responsables</w:t>
      </w:r>
      <w:r w:rsidR="004D76D8" w:rsidRPr="0007034B">
        <w:rPr>
          <w:rStyle w:val="FootnoteReference"/>
          <w:rFonts w:asciiTheme="majorHAnsi" w:hAnsiTheme="majorHAnsi"/>
          <w:sz w:val="20"/>
          <w:szCs w:val="20"/>
        </w:rPr>
        <w:footnoteReference w:id="93"/>
      </w:r>
      <w:r w:rsidR="00837410" w:rsidRPr="0007034B">
        <w:rPr>
          <w:rFonts w:asciiTheme="majorHAnsi" w:hAnsiTheme="majorHAnsi"/>
          <w:sz w:val="20"/>
          <w:szCs w:val="20"/>
        </w:rPr>
        <w:t>.</w:t>
      </w:r>
      <w:r w:rsidR="00F578EE" w:rsidRPr="0007034B">
        <w:rPr>
          <w:rFonts w:asciiTheme="majorHAnsi" w:hAnsiTheme="majorHAnsi"/>
          <w:sz w:val="20"/>
          <w:szCs w:val="20"/>
        </w:rPr>
        <w:t xml:space="preserve"> </w:t>
      </w:r>
      <w:r w:rsidR="00F2503D" w:rsidRPr="0007034B">
        <w:rPr>
          <w:rFonts w:asciiTheme="majorHAnsi" w:hAnsiTheme="majorHAnsi"/>
          <w:sz w:val="20"/>
          <w:szCs w:val="20"/>
        </w:rPr>
        <w:t xml:space="preserve">Posteriormente, hacia fines del año 2012, Anatole Larrabeiti presentó un requerimiento de elevación a juicio. Asimismo, solicitó “continuar con la averiguación en [el] cementerio </w:t>
      </w:r>
      <w:r w:rsidR="00B2537A" w:rsidRPr="0007034B">
        <w:rPr>
          <w:rFonts w:asciiTheme="majorHAnsi" w:hAnsiTheme="majorHAnsi"/>
          <w:sz w:val="20"/>
          <w:szCs w:val="20"/>
        </w:rPr>
        <w:t>ya que no parece haber dudas de que allí se encuentran los restos de Mario Roger Julien”</w:t>
      </w:r>
      <w:r w:rsidR="000D736C" w:rsidRPr="0007034B">
        <w:rPr>
          <w:rFonts w:asciiTheme="majorHAnsi" w:hAnsiTheme="majorHAnsi"/>
          <w:sz w:val="20"/>
          <w:szCs w:val="20"/>
        </w:rPr>
        <w:t>, ello, con base en lo indicado en la respuesta del cementerio según la cual hubo una orden judicial de 1986 autorizando el traslado de los NN desde 1973 al Osario General</w:t>
      </w:r>
      <w:r w:rsidR="00B2537A" w:rsidRPr="0007034B">
        <w:rPr>
          <w:rFonts w:asciiTheme="majorHAnsi" w:hAnsiTheme="majorHAnsi"/>
          <w:sz w:val="20"/>
          <w:szCs w:val="20"/>
        </w:rPr>
        <w:t xml:space="preserve">. </w:t>
      </w:r>
      <w:r w:rsidR="00841BAF" w:rsidRPr="0007034B">
        <w:rPr>
          <w:rFonts w:asciiTheme="majorHAnsi" w:hAnsiTheme="majorHAnsi"/>
          <w:sz w:val="20"/>
          <w:szCs w:val="20"/>
        </w:rPr>
        <w:t xml:space="preserve">Por otra parte, solicitó extraer fotocopias certificadas de las partes pertinentes de la causa </w:t>
      </w:r>
      <w:r w:rsidR="00B4032E" w:rsidRPr="0007034B">
        <w:rPr>
          <w:rFonts w:asciiTheme="majorHAnsi" w:hAnsiTheme="majorHAnsi"/>
          <w:sz w:val="20"/>
          <w:szCs w:val="20"/>
        </w:rPr>
        <w:t>a fin de investigar:</w:t>
      </w:r>
      <w:r w:rsidR="00841BAF" w:rsidRPr="0007034B">
        <w:rPr>
          <w:rFonts w:asciiTheme="majorHAnsi" w:hAnsiTheme="majorHAnsi"/>
          <w:sz w:val="20"/>
          <w:szCs w:val="20"/>
        </w:rPr>
        <w:t xml:space="preserve"> “los delitos de que fueron víctimas directas [</w:t>
      </w:r>
      <w:r w:rsidR="005A587F" w:rsidRPr="0007034B">
        <w:rPr>
          <w:rFonts w:asciiTheme="majorHAnsi" w:hAnsiTheme="majorHAnsi"/>
          <w:sz w:val="20"/>
          <w:szCs w:val="20"/>
        </w:rPr>
        <w:t>él</w:t>
      </w:r>
      <w:r w:rsidR="00841BAF" w:rsidRPr="0007034B">
        <w:rPr>
          <w:rFonts w:asciiTheme="majorHAnsi" w:hAnsiTheme="majorHAnsi"/>
          <w:sz w:val="20"/>
          <w:szCs w:val="20"/>
        </w:rPr>
        <w:t>] y su hermana”</w:t>
      </w:r>
      <w:r w:rsidR="00B4032E" w:rsidRPr="0007034B">
        <w:rPr>
          <w:rFonts w:asciiTheme="majorHAnsi" w:hAnsiTheme="majorHAnsi"/>
          <w:sz w:val="20"/>
          <w:szCs w:val="20"/>
        </w:rPr>
        <w:t>,</w:t>
      </w:r>
      <w:r w:rsidR="00841BAF" w:rsidRPr="0007034B">
        <w:rPr>
          <w:rFonts w:asciiTheme="majorHAnsi" w:hAnsiTheme="majorHAnsi"/>
          <w:sz w:val="20"/>
          <w:szCs w:val="20"/>
        </w:rPr>
        <w:t xml:space="preserve"> “los delitos contra la propiedad de que fue víctima la familia Julien-Grisonas</w:t>
      </w:r>
      <w:r w:rsidR="00B4032E" w:rsidRPr="0007034B">
        <w:rPr>
          <w:rFonts w:asciiTheme="majorHAnsi" w:hAnsiTheme="majorHAnsi"/>
          <w:sz w:val="20"/>
          <w:szCs w:val="20"/>
        </w:rPr>
        <w:t>”, “la suerte corrida por Victoria Grisonas” e “individualizar a otros efectivos que participaron en el operativo del 26.9.76”</w:t>
      </w:r>
      <w:r w:rsidR="00B4032E" w:rsidRPr="0007034B">
        <w:rPr>
          <w:rStyle w:val="FootnoteReference"/>
          <w:rFonts w:asciiTheme="majorHAnsi" w:hAnsiTheme="majorHAnsi"/>
          <w:sz w:val="20"/>
          <w:szCs w:val="20"/>
        </w:rPr>
        <w:footnoteReference w:id="94"/>
      </w:r>
      <w:r w:rsidR="00620A01" w:rsidRPr="0007034B">
        <w:rPr>
          <w:rFonts w:asciiTheme="majorHAnsi" w:hAnsiTheme="majorHAnsi"/>
          <w:sz w:val="20"/>
          <w:szCs w:val="20"/>
        </w:rPr>
        <w:t>.</w:t>
      </w:r>
    </w:p>
    <w:p w14:paraId="7BFA3C07" w14:textId="77777777" w:rsidR="00062302" w:rsidRPr="0007034B" w:rsidRDefault="00062302" w:rsidP="00062302">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rPr>
      </w:pPr>
    </w:p>
    <w:p w14:paraId="49DDD107" w14:textId="1FBDDAF6" w:rsidR="00F5640F" w:rsidRPr="0007034B" w:rsidRDefault="00062302"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r w:rsidRPr="0007034B">
        <w:rPr>
          <w:rFonts w:asciiTheme="majorHAnsi" w:hAnsiTheme="majorHAnsi"/>
          <w:sz w:val="20"/>
          <w:szCs w:val="20"/>
        </w:rPr>
        <w:t>El 11 de septiembre de 2017 el Tribunal Oral en lo Criminal Federal No. 1</w:t>
      </w:r>
      <w:r w:rsidR="00106BD1" w:rsidRPr="0007034B">
        <w:rPr>
          <w:rFonts w:asciiTheme="majorHAnsi" w:hAnsiTheme="majorHAnsi"/>
          <w:sz w:val="20"/>
          <w:szCs w:val="20"/>
        </w:rPr>
        <w:t>,</w:t>
      </w:r>
      <w:r w:rsidRPr="0007034B">
        <w:rPr>
          <w:rFonts w:asciiTheme="majorHAnsi" w:hAnsiTheme="majorHAnsi"/>
          <w:sz w:val="20"/>
          <w:szCs w:val="20"/>
        </w:rPr>
        <w:t xml:space="preserve"> en el marco de dicha causa</w:t>
      </w:r>
      <w:r w:rsidR="001C256C" w:rsidRPr="0007034B">
        <w:rPr>
          <w:rFonts w:asciiTheme="majorHAnsi" w:hAnsiTheme="majorHAnsi"/>
          <w:sz w:val="20"/>
          <w:szCs w:val="20"/>
        </w:rPr>
        <w:t xml:space="preserve"> conocida como “Orletti III”</w:t>
      </w:r>
      <w:r w:rsidR="00106BD1" w:rsidRPr="0007034B">
        <w:rPr>
          <w:rStyle w:val="FootnoteReference"/>
          <w:rFonts w:asciiTheme="majorHAnsi" w:hAnsiTheme="majorHAnsi"/>
          <w:sz w:val="20"/>
          <w:szCs w:val="20"/>
        </w:rPr>
        <w:footnoteReference w:id="95"/>
      </w:r>
      <w:r w:rsidR="009D165F" w:rsidRPr="0007034B">
        <w:rPr>
          <w:rFonts w:asciiTheme="majorHAnsi" w:hAnsiTheme="majorHAnsi"/>
          <w:sz w:val="20"/>
          <w:szCs w:val="20"/>
        </w:rPr>
        <w:t xml:space="preserve">, </w:t>
      </w:r>
      <w:r w:rsidRPr="0007034B">
        <w:rPr>
          <w:rFonts w:asciiTheme="majorHAnsi" w:hAnsiTheme="majorHAnsi"/>
          <w:sz w:val="20"/>
          <w:szCs w:val="20"/>
        </w:rPr>
        <w:t xml:space="preserve">condenó a Rolando Nerone </w:t>
      </w:r>
      <w:r w:rsidR="00AF58DC" w:rsidRPr="0007034B">
        <w:rPr>
          <w:rFonts w:asciiTheme="majorHAnsi" w:hAnsiTheme="majorHAnsi"/>
          <w:sz w:val="20"/>
          <w:szCs w:val="20"/>
        </w:rPr>
        <w:t xml:space="preserve">y a Oscar Gutiérrez </w:t>
      </w:r>
      <w:r w:rsidRPr="0007034B">
        <w:rPr>
          <w:rFonts w:asciiTheme="majorHAnsi" w:hAnsiTheme="majorHAnsi"/>
          <w:sz w:val="20"/>
          <w:szCs w:val="20"/>
        </w:rPr>
        <w:t>como coautor</w:t>
      </w:r>
      <w:r w:rsidR="00AF58DC" w:rsidRPr="0007034B">
        <w:rPr>
          <w:rFonts w:asciiTheme="majorHAnsi" w:hAnsiTheme="majorHAnsi"/>
          <w:sz w:val="20"/>
          <w:szCs w:val="20"/>
        </w:rPr>
        <w:t>es</w:t>
      </w:r>
      <w:r w:rsidRPr="0007034B">
        <w:rPr>
          <w:rFonts w:asciiTheme="majorHAnsi" w:hAnsiTheme="majorHAnsi"/>
          <w:sz w:val="20"/>
          <w:szCs w:val="20"/>
        </w:rPr>
        <w:t xml:space="preserve"> penalmente responsable</w:t>
      </w:r>
      <w:r w:rsidR="00AF58DC" w:rsidRPr="0007034B">
        <w:rPr>
          <w:rFonts w:asciiTheme="majorHAnsi" w:hAnsiTheme="majorHAnsi"/>
          <w:sz w:val="20"/>
          <w:szCs w:val="20"/>
        </w:rPr>
        <w:t>s</w:t>
      </w:r>
      <w:r w:rsidRPr="0007034B">
        <w:rPr>
          <w:rFonts w:asciiTheme="majorHAnsi" w:hAnsiTheme="majorHAnsi"/>
          <w:sz w:val="20"/>
          <w:szCs w:val="20"/>
        </w:rPr>
        <w:t xml:space="preserve"> del delito de privación ilegítima de la libertad cometida por funcionario público con abuso de funciones o sin las formalidades prescriptas por la ley, agravada por mediar violencia o amenazas, en perjuicio de Victoria Gri</w:t>
      </w:r>
      <w:r w:rsidR="00AD1B65" w:rsidRPr="0007034B">
        <w:rPr>
          <w:rFonts w:asciiTheme="majorHAnsi" w:hAnsiTheme="majorHAnsi"/>
          <w:sz w:val="20"/>
          <w:szCs w:val="20"/>
        </w:rPr>
        <w:t>s</w:t>
      </w:r>
      <w:r w:rsidRPr="0007034B">
        <w:rPr>
          <w:rFonts w:asciiTheme="majorHAnsi" w:hAnsiTheme="majorHAnsi"/>
          <w:sz w:val="20"/>
          <w:szCs w:val="20"/>
        </w:rPr>
        <w:t>onas, a la pena de 6 años de prisión</w:t>
      </w:r>
      <w:r w:rsidR="007D2AB5" w:rsidRPr="0007034B">
        <w:rPr>
          <w:rStyle w:val="FootnoteReference"/>
          <w:rFonts w:asciiTheme="majorHAnsi" w:hAnsiTheme="majorHAnsi"/>
          <w:sz w:val="20"/>
          <w:szCs w:val="20"/>
        </w:rPr>
        <w:footnoteReference w:id="96"/>
      </w:r>
      <w:r w:rsidR="00A51466" w:rsidRPr="0007034B">
        <w:rPr>
          <w:rFonts w:asciiTheme="majorHAnsi" w:hAnsiTheme="majorHAnsi"/>
          <w:sz w:val="20"/>
          <w:szCs w:val="20"/>
        </w:rPr>
        <w:t>.</w:t>
      </w:r>
      <w:r w:rsidRPr="0007034B">
        <w:rPr>
          <w:rFonts w:asciiTheme="majorHAnsi" w:hAnsiTheme="majorHAnsi"/>
          <w:sz w:val="20"/>
          <w:szCs w:val="20"/>
        </w:rPr>
        <w:t xml:space="preserve"> </w:t>
      </w:r>
      <w:r w:rsidR="00A81A5D" w:rsidRPr="0007034B">
        <w:rPr>
          <w:rFonts w:asciiTheme="majorHAnsi" w:hAnsiTheme="majorHAnsi"/>
          <w:sz w:val="20"/>
          <w:szCs w:val="20"/>
        </w:rPr>
        <w:t xml:space="preserve">El tribunal tuvo por acreditado que </w:t>
      </w:r>
      <w:r w:rsidR="000A1422" w:rsidRPr="0007034B">
        <w:rPr>
          <w:rFonts w:asciiTheme="majorHAnsi" w:hAnsiTheme="majorHAnsi"/>
          <w:sz w:val="20"/>
          <w:szCs w:val="20"/>
        </w:rPr>
        <w:t>ambos</w:t>
      </w:r>
      <w:r w:rsidR="00A81A5D" w:rsidRPr="0007034B">
        <w:rPr>
          <w:rFonts w:asciiTheme="majorHAnsi" w:hAnsiTheme="majorHAnsi"/>
          <w:sz w:val="20"/>
          <w:szCs w:val="20"/>
        </w:rPr>
        <w:t xml:space="preserve"> ex policías </w:t>
      </w:r>
      <w:r w:rsidR="00A8695D" w:rsidRPr="0007034B">
        <w:rPr>
          <w:rFonts w:asciiTheme="majorHAnsi" w:hAnsiTheme="majorHAnsi"/>
          <w:sz w:val="20"/>
          <w:szCs w:val="20"/>
        </w:rPr>
        <w:t>lideraron</w:t>
      </w:r>
      <w:r w:rsidR="00A81A5D" w:rsidRPr="0007034B">
        <w:rPr>
          <w:rFonts w:asciiTheme="majorHAnsi" w:hAnsiTheme="majorHAnsi"/>
          <w:sz w:val="20"/>
          <w:szCs w:val="20"/>
        </w:rPr>
        <w:t xml:space="preserve"> el operativo</w:t>
      </w:r>
      <w:r w:rsidR="00A8695D" w:rsidRPr="0007034B">
        <w:rPr>
          <w:rFonts w:asciiTheme="majorHAnsi" w:hAnsiTheme="majorHAnsi"/>
          <w:sz w:val="20"/>
          <w:szCs w:val="20"/>
        </w:rPr>
        <w:t xml:space="preserve"> ilegal</w:t>
      </w:r>
      <w:r w:rsidR="00A81A5D" w:rsidRPr="0007034B">
        <w:rPr>
          <w:rFonts w:asciiTheme="majorHAnsi" w:hAnsiTheme="majorHAnsi"/>
          <w:sz w:val="20"/>
          <w:szCs w:val="20"/>
        </w:rPr>
        <w:t xml:space="preserve"> llevado a cabo el 26 de septiembre de 1976. </w:t>
      </w:r>
      <w:r w:rsidR="007375CD" w:rsidRPr="0007034B">
        <w:rPr>
          <w:rFonts w:asciiTheme="majorHAnsi" w:hAnsiTheme="majorHAnsi"/>
          <w:sz w:val="20"/>
          <w:szCs w:val="20"/>
        </w:rPr>
        <w:t>E</w:t>
      </w:r>
      <w:r w:rsidR="00EF0C9D" w:rsidRPr="0007034B">
        <w:rPr>
          <w:rFonts w:asciiTheme="majorHAnsi" w:hAnsiTheme="majorHAnsi"/>
          <w:sz w:val="20"/>
          <w:szCs w:val="20"/>
        </w:rPr>
        <w:t>stableció</w:t>
      </w:r>
      <w:r w:rsidR="007375CD" w:rsidRPr="0007034B">
        <w:rPr>
          <w:rFonts w:asciiTheme="majorHAnsi" w:hAnsiTheme="majorHAnsi"/>
          <w:sz w:val="20"/>
          <w:szCs w:val="20"/>
        </w:rPr>
        <w:t xml:space="preserve"> asimismo</w:t>
      </w:r>
      <w:r w:rsidR="00EF0C9D" w:rsidRPr="0007034B">
        <w:rPr>
          <w:rFonts w:asciiTheme="majorHAnsi" w:hAnsiTheme="majorHAnsi"/>
          <w:sz w:val="20"/>
          <w:szCs w:val="20"/>
        </w:rPr>
        <w:t xml:space="preserve"> que los datos de la causa civil Nro. 14.846/96 iniciada por los hermanos Larrabeiti Yáñez “arrojan luz sobre las circunstancias de tiempo, modo y lugar en que ocurrió el operativo bajo tratamiento”. </w:t>
      </w:r>
      <w:r w:rsidR="0023646C" w:rsidRPr="0007034B">
        <w:rPr>
          <w:rFonts w:asciiTheme="majorHAnsi" w:hAnsiTheme="majorHAnsi"/>
          <w:sz w:val="20"/>
          <w:szCs w:val="20"/>
        </w:rPr>
        <w:t>Si bien el tribunal tuv</w:t>
      </w:r>
      <w:r w:rsidR="00654DF3" w:rsidRPr="0007034B">
        <w:rPr>
          <w:rFonts w:asciiTheme="majorHAnsi" w:hAnsiTheme="majorHAnsi"/>
          <w:sz w:val="20"/>
          <w:szCs w:val="20"/>
        </w:rPr>
        <w:t>o por acreditado que Mario Julie</w:t>
      </w:r>
      <w:r w:rsidR="0023646C" w:rsidRPr="0007034B">
        <w:rPr>
          <w:rFonts w:asciiTheme="majorHAnsi" w:hAnsiTheme="majorHAnsi"/>
          <w:sz w:val="20"/>
          <w:szCs w:val="20"/>
        </w:rPr>
        <w:t>n fue asesinado en el marco de</w:t>
      </w:r>
      <w:r w:rsidR="00A81A5D" w:rsidRPr="0007034B">
        <w:rPr>
          <w:rFonts w:asciiTheme="majorHAnsi" w:hAnsiTheme="majorHAnsi"/>
          <w:sz w:val="20"/>
          <w:szCs w:val="20"/>
        </w:rPr>
        <w:t xml:space="preserve"> dicho </w:t>
      </w:r>
      <w:r w:rsidR="0023646C" w:rsidRPr="0007034B">
        <w:rPr>
          <w:rFonts w:asciiTheme="majorHAnsi" w:hAnsiTheme="majorHAnsi"/>
          <w:sz w:val="20"/>
          <w:szCs w:val="20"/>
        </w:rPr>
        <w:t xml:space="preserve">operativo, </w:t>
      </w:r>
      <w:r w:rsidR="009D165F" w:rsidRPr="0007034B">
        <w:rPr>
          <w:rFonts w:asciiTheme="majorHAnsi" w:hAnsiTheme="majorHAnsi"/>
          <w:sz w:val="20"/>
          <w:szCs w:val="20"/>
        </w:rPr>
        <w:t>absolvió a a</w:t>
      </w:r>
      <w:r w:rsidR="00AF58DC" w:rsidRPr="0007034B">
        <w:rPr>
          <w:rFonts w:asciiTheme="majorHAnsi" w:hAnsiTheme="majorHAnsi"/>
          <w:sz w:val="20"/>
          <w:szCs w:val="20"/>
        </w:rPr>
        <w:t xml:space="preserve">mbos ex policías por el delito de homicidio agravado por alevosía en </w:t>
      </w:r>
      <w:r w:rsidR="0023646C" w:rsidRPr="0007034B">
        <w:rPr>
          <w:rFonts w:asciiTheme="majorHAnsi" w:hAnsiTheme="majorHAnsi"/>
          <w:sz w:val="20"/>
          <w:szCs w:val="20"/>
        </w:rPr>
        <w:t xml:space="preserve">su </w:t>
      </w:r>
      <w:r w:rsidR="00AF58DC" w:rsidRPr="0007034B">
        <w:rPr>
          <w:rFonts w:asciiTheme="majorHAnsi" w:hAnsiTheme="majorHAnsi"/>
          <w:sz w:val="20"/>
          <w:szCs w:val="20"/>
        </w:rPr>
        <w:t>perjuicio</w:t>
      </w:r>
      <w:r w:rsidR="0023646C" w:rsidRPr="0007034B">
        <w:rPr>
          <w:rFonts w:asciiTheme="majorHAnsi" w:hAnsiTheme="majorHAnsi"/>
          <w:sz w:val="20"/>
          <w:szCs w:val="20"/>
        </w:rPr>
        <w:t xml:space="preserve">, por no </w:t>
      </w:r>
      <w:r w:rsidR="00D324FE" w:rsidRPr="0007034B">
        <w:rPr>
          <w:rFonts w:asciiTheme="majorHAnsi" w:hAnsiTheme="majorHAnsi"/>
          <w:sz w:val="20"/>
          <w:szCs w:val="20"/>
        </w:rPr>
        <w:t>existir “elementos probatorios en autos para sostener que […] hayan intervenido, en forma directa, en el homicidio”</w:t>
      </w:r>
      <w:r w:rsidR="004E0789" w:rsidRPr="0007034B">
        <w:rPr>
          <w:rStyle w:val="FootnoteReference"/>
          <w:rFonts w:asciiTheme="majorHAnsi" w:hAnsiTheme="majorHAnsi"/>
          <w:sz w:val="20"/>
          <w:szCs w:val="20"/>
        </w:rPr>
        <w:footnoteReference w:id="97"/>
      </w:r>
      <w:r w:rsidR="00F46349" w:rsidRPr="0007034B">
        <w:rPr>
          <w:rFonts w:asciiTheme="majorHAnsi" w:hAnsiTheme="majorHAnsi"/>
          <w:sz w:val="20"/>
          <w:szCs w:val="20"/>
        </w:rPr>
        <w:t>.</w:t>
      </w:r>
      <w:r w:rsidR="0023646C" w:rsidRPr="0007034B">
        <w:rPr>
          <w:rFonts w:asciiTheme="majorHAnsi" w:hAnsiTheme="majorHAnsi"/>
          <w:sz w:val="20"/>
          <w:szCs w:val="20"/>
        </w:rPr>
        <w:t xml:space="preserve"> </w:t>
      </w:r>
      <w:r w:rsidR="00D324FE" w:rsidRPr="0007034B">
        <w:rPr>
          <w:rFonts w:asciiTheme="majorHAnsi" w:hAnsiTheme="majorHAnsi"/>
          <w:sz w:val="20"/>
          <w:szCs w:val="20"/>
        </w:rPr>
        <w:t>Ello, debido a que, según el tribunal, hubo una “desviación” del “plan común” diseñado por la maquinaria represiva Estatal”</w:t>
      </w:r>
      <w:r w:rsidR="00E72DE3" w:rsidRPr="0007034B">
        <w:rPr>
          <w:rFonts w:asciiTheme="majorHAnsi" w:hAnsiTheme="majorHAnsi"/>
          <w:sz w:val="20"/>
          <w:szCs w:val="20"/>
        </w:rPr>
        <w:t>, el cual “consistía tras el secuestro en trasladar a la víctima al centro clandestino de d</w:t>
      </w:r>
      <w:r w:rsidR="00926A86" w:rsidRPr="0007034B">
        <w:rPr>
          <w:rFonts w:asciiTheme="majorHAnsi" w:hAnsiTheme="majorHAnsi"/>
          <w:sz w:val="20"/>
          <w:szCs w:val="20"/>
        </w:rPr>
        <w:t>e</w:t>
      </w:r>
      <w:r w:rsidR="00E72DE3" w:rsidRPr="0007034B">
        <w:rPr>
          <w:rFonts w:asciiTheme="majorHAnsi" w:hAnsiTheme="majorHAnsi"/>
          <w:sz w:val="20"/>
          <w:szCs w:val="20"/>
        </w:rPr>
        <w:t xml:space="preserve">tención, para que mediante interrogatorios y tormentos obtener información que permitiera la caída de otros cuadros de la organización </w:t>
      </w:r>
      <w:r w:rsidR="00E72DE3" w:rsidRPr="0007034B">
        <w:rPr>
          <w:rFonts w:asciiTheme="majorHAnsi" w:hAnsiTheme="majorHAnsi"/>
          <w:sz w:val="20"/>
          <w:szCs w:val="20"/>
        </w:rPr>
        <w:lastRenderedPageBreak/>
        <w:t>política a la que pertenecía y luego decidir su destino final; más aun tratándose de un “blanco altamente rentable”, como lo era Julién [sic] Cáceres, ya que pertenecía al sector militar del “P.V.P” uruguayo”</w:t>
      </w:r>
      <w:r w:rsidR="00E72DE3" w:rsidRPr="0007034B">
        <w:rPr>
          <w:rStyle w:val="FootnoteReference"/>
          <w:rFonts w:asciiTheme="majorHAnsi" w:hAnsiTheme="majorHAnsi"/>
          <w:sz w:val="20"/>
          <w:szCs w:val="20"/>
        </w:rPr>
        <w:footnoteReference w:id="98"/>
      </w:r>
      <w:r w:rsidR="00964FBE" w:rsidRPr="0007034B">
        <w:rPr>
          <w:rFonts w:asciiTheme="majorHAnsi" w:hAnsiTheme="majorHAnsi"/>
          <w:sz w:val="20"/>
          <w:szCs w:val="20"/>
        </w:rPr>
        <w:t>.</w:t>
      </w:r>
    </w:p>
    <w:p w14:paraId="5DA8D661" w14:textId="77777777" w:rsidR="00926A86" w:rsidRPr="0007034B" w:rsidRDefault="00926A86" w:rsidP="00926A86">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rPr>
      </w:pPr>
    </w:p>
    <w:p w14:paraId="3135231A" w14:textId="3796ADD5" w:rsidR="00D51E47" w:rsidRPr="0007034B" w:rsidRDefault="00024432"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r w:rsidRPr="0007034B">
        <w:rPr>
          <w:rFonts w:asciiTheme="majorHAnsi" w:hAnsiTheme="majorHAnsi"/>
          <w:sz w:val="20"/>
          <w:szCs w:val="20"/>
        </w:rPr>
        <w:t>El 18 de septiembre de 2017 Anatole Larrabeiti, en su condición de querellante, solicitó la recusación del juez de la causa por carecer de imparcialidad e independencia. Ello, debido a las alegadas “manifiestas, múltiples, reiteradas, inexplicables y conscientes demoras y omisiones incurridas por [el juez] en la investigación de los muy graves crímenes de lesa humanidad”. En dicha solicitud se enumeran cinco escritos presentados durante cuatro años para instar al juez a que “cumpliera su primera y fundamental obligación de investigar. No sólo los gravísimos delitos de los que fueron sujetos pasivos los menores, sino también otros como los referidos al “botín de guerra”: usurpación y saqueo perpetrados por las “patotas” que despojaron y se apropiaron de todos los bienes de la familia Julien – Grisonas”. De acuerdo a la solicitud, el juez de la causa “guardó silencio o tuvo respuestas tardías e insuficientes” ante los sucesivos requerimientos de investigación y fue sólo después de formulada una denuncia ante al Consejo de la Magistratura, que se dispuso a investigar sobre el caso de los hermanos Larrabeiti Yáñez, aunque con un alcance parcial e incompleto</w:t>
      </w:r>
      <w:r w:rsidRPr="0007034B">
        <w:rPr>
          <w:rStyle w:val="FootnoteReference"/>
          <w:rFonts w:asciiTheme="majorHAnsi" w:hAnsiTheme="majorHAnsi"/>
          <w:sz w:val="20"/>
          <w:szCs w:val="20"/>
        </w:rPr>
        <w:footnoteReference w:id="99"/>
      </w:r>
      <w:r w:rsidR="00227978" w:rsidRPr="0007034B">
        <w:rPr>
          <w:rFonts w:asciiTheme="majorHAnsi" w:hAnsiTheme="majorHAnsi"/>
          <w:sz w:val="20"/>
          <w:szCs w:val="20"/>
        </w:rPr>
        <w:t>.</w:t>
      </w:r>
      <w:r w:rsidRPr="0007034B">
        <w:rPr>
          <w:rFonts w:asciiTheme="majorHAnsi" w:hAnsiTheme="majorHAnsi"/>
          <w:sz w:val="20"/>
          <w:szCs w:val="20"/>
        </w:rPr>
        <w:t xml:space="preserve"> Asimismo, en dicho escrito Anatole Larrabeiti señal</w:t>
      </w:r>
      <w:r w:rsidR="005A587F" w:rsidRPr="0007034B">
        <w:rPr>
          <w:rFonts w:asciiTheme="majorHAnsi" w:hAnsiTheme="majorHAnsi"/>
          <w:sz w:val="20"/>
          <w:szCs w:val="20"/>
        </w:rPr>
        <w:t>ó</w:t>
      </w:r>
      <w:r w:rsidRPr="0007034B">
        <w:rPr>
          <w:rFonts w:asciiTheme="majorHAnsi" w:hAnsiTheme="majorHAnsi"/>
          <w:sz w:val="20"/>
          <w:szCs w:val="20"/>
        </w:rPr>
        <w:t xml:space="preserve"> que</w:t>
      </w:r>
      <w:r w:rsidR="00091A05" w:rsidRPr="0007034B">
        <w:rPr>
          <w:rFonts w:asciiTheme="majorHAnsi" w:hAnsiTheme="majorHAnsi"/>
          <w:sz w:val="20"/>
          <w:szCs w:val="20"/>
        </w:rPr>
        <w:t>,</w:t>
      </w:r>
      <w:r w:rsidRPr="0007034B">
        <w:rPr>
          <w:rFonts w:asciiTheme="majorHAnsi" w:hAnsiTheme="majorHAnsi"/>
          <w:sz w:val="20"/>
          <w:szCs w:val="20"/>
        </w:rPr>
        <w:t xml:space="preserve"> cuando el Juzgado a cargo de la investigación recibió las piezas testimoniadas de la Causa Nro. 1627 para que se investiguen</w:t>
      </w:r>
      <w:r w:rsidR="00091A05" w:rsidRPr="0007034B">
        <w:rPr>
          <w:rFonts w:asciiTheme="majorHAnsi" w:hAnsiTheme="majorHAnsi"/>
          <w:sz w:val="20"/>
          <w:szCs w:val="20"/>
        </w:rPr>
        <w:t xml:space="preserve"> “los delitos de privación de la libertad y tormentos cometidos contra Anatole y Victoria”</w:t>
      </w:r>
      <w:r w:rsidR="00D51E47" w:rsidRPr="0007034B">
        <w:rPr>
          <w:rStyle w:val="FootnoteReference"/>
          <w:rFonts w:asciiTheme="majorHAnsi" w:hAnsiTheme="majorHAnsi"/>
          <w:sz w:val="20"/>
          <w:szCs w:val="20"/>
        </w:rPr>
        <w:footnoteReference w:id="100"/>
      </w:r>
      <w:r w:rsidR="00C724D4" w:rsidRPr="0007034B">
        <w:rPr>
          <w:rFonts w:asciiTheme="majorHAnsi" w:hAnsiTheme="majorHAnsi"/>
          <w:sz w:val="20"/>
          <w:szCs w:val="20"/>
        </w:rPr>
        <w:t>:</w:t>
      </w:r>
    </w:p>
    <w:p w14:paraId="5E906A72" w14:textId="77777777" w:rsidR="00D51E47" w:rsidRPr="0007034B" w:rsidRDefault="00D51E47" w:rsidP="00D51E47">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p>
    <w:p w14:paraId="6550749F" w14:textId="2ABB75EB" w:rsidR="00024432" w:rsidRPr="001D4025" w:rsidRDefault="00091A05" w:rsidP="00D51E47">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720" w:right="720" w:firstLine="0"/>
        <w:jc w:val="both"/>
        <w:rPr>
          <w:rFonts w:asciiTheme="majorHAnsi" w:hAnsiTheme="majorHAnsi"/>
          <w:sz w:val="18"/>
          <w:szCs w:val="18"/>
        </w:rPr>
      </w:pPr>
      <w:r w:rsidRPr="001D4025">
        <w:rPr>
          <w:rFonts w:asciiTheme="majorHAnsi" w:hAnsiTheme="majorHAnsi"/>
          <w:sz w:val="18"/>
          <w:szCs w:val="18"/>
        </w:rPr>
        <w:t xml:space="preserve">[se] </w:t>
      </w:r>
      <w:r w:rsidR="00024432" w:rsidRPr="001D4025">
        <w:rPr>
          <w:rFonts w:asciiTheme="majorHAnsi" w:hAnsiTheme="majorHAnsi"/>
          <w:sz w:val="18"/>
          <w:szCs w:val="18"/>
        </w:rPr>
        <w:t xml:space="preserve">acababa de decretar el procesamiento de Nerone y Gutiérrez donde </w:t>
      </w:r>
      <w:r w:rsidRPr="001D4025">
        <w:rPr>
          <w:rFonts w:asciiTheme="majorHAnsi" w:hAnsiTheme="majorHAnsi"/>
          <w:sz w:val="18"/>
          <w:szCs w:val="18"/>
        </w:rPr>
        <w:t xml:space="preserve">[el juez] </w:t>
      </w:r>
      <w:r w:rsidR="00024432" w:rsidRPr="001D4025">
        <w:rPr>
          <w:rFonts w:asciiTheme="majorHAnsi" w:hAnsiTheme="majorHAnsi"/>
          <w:sz w:val="18"/>
          <w:szCs w:val="18"/>
        </w:rPr>
        <w:t xml:space="preserve">reseñó pormenorizadamente las aberrantes conductas de las que los niños también fueron sujetos pasivos. Pero, sin dar explicaciones, </w:t>
      </w:r>
      <w:r w:rsidR="00024432" w:rsidRPr="001D4025">
        <w:rPr>
          <w:rFonts w:asciiTheme="majorHAnsi" w:hAnsiTheme="majorHAnsi"/>
          <w:sz w:val="18"/>
          <w:szCs w:val="18"/>
          <w:u w:val="single"/>
        </w:rPr>
        <w:t>omitió imputar a los procesados los delitos de que resultaron víctimas Anatole y Victoria</w:t>
      </w:r>
      <w:r w:rsidR="00024432" w:rsidRPr="001D4025">
        <w:rPr>
          <w:rFonts w:asciiTheme="majorHAnsi" w:hAnsiTheme="majorHAnsi"/>
          <w:sz w:val="18"/>
          <w:szCs w:val="18"/>
        </w:rPr>
        <w:t xml:space="preserve">, dejándolos así, </w:t>
      </w:r>
      <w:r w:rsidR="00024432" w:rsidRPr="001D4025">
        <w:rPr>
          <w:rFonts w:asciiTheme="majorHAnsi" w:hAnsiTheme="majorHAnsi"/>
          <w:sz w:val="18"/>
          <w:szCs w:val="18"/>
          <w:u w:val="single"/>
        </w:rPr>
        <w:t>y sin ninguna explicación, al margen y excluidos de la elevación a juicio respecto de sus padres</w:t>
      </w:r>
      <w:r w:rsidR="00024432" w:rsidRPr="001D4025">
        <w:rPr>
          <w:rFonts w:asciiTheme="majorHAnsi" w:hAnsiTheme="majorHAnsi"/>
          <w:sz w:val="18"/>
          <w:szCs w:val="18"/>
        </w:rPr>
        <w:t>.</w:t>
      </w:r>
    </w:p>
    <w:p w14:paraId="5A96F677" w14:textId="77777777" w:rsidR="00C619F8" w:rsidRPr="001D4025" w:rsidRDefault="00C619F8" w:rsidP="00D51E47">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720" w:right="720" w:firstLine="0"/>
        <w:jc w:val="both"/>
        <w:rPr>
          <w:rFonts w:asciiTheme="majorHAnsi" w:hAnsiTheme="majorHAnsi"/>
          <w:sz w:val="18"/>
          <w:szCs w:val="18"/>
        </w:rPr>
      </w:pPr>
      <w:r w:rsidRPr="001D4025">
        <w:rPr>
          <w:rFonts w:asciiTheme="majorHAnsi" w:hAnsiTheme="majorHAnsi"/>
          <w:sz w:val="18"/>
          <w:szCs w:val="18"/>
        </w:rPr>
        <w:t>[…]</w:t>
      </w:r>
    </w:p>
    <w:p w14:paraId="6C7A12FD" w14:textId="128FBF32" w:rsidR="00C619F8" w:rsidRPr="001D4025" w:rsidRDefault="00C619F8" w:rsidP="00D51E47">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720" w:right="720" w:firstLine="0"/>
        <w:jc w:val="both"/>
        <w:rPr>
          <w:rFonts w:asciiTheme="majorHAnsi" w:hAnsiTheme="majorHAnsi"/>
          <w:sz w:val="18"/>
          <w:szCs w:val="18"/>
        </w:rPr>
      </w:pPr>
      <w:r w:rsidRPr="001D4025">
        <w:rPr>
          <w:rFonts w:asciiTheme="majorHAnsi" w:hAnsiTheme="majorHAnsi"/>
          <w:sz w:val="18"/>
          <w:szCs w:val="18"/>
        </w:rPr>
        <w:t xml:space="preserve">La exclusión del caso de los menores del objeto procesal de la causa “Plan Cóndor”, que se sumó a igual exclusión </w:t>
      </w:r>
      <w:r w:rsidR="00504CFA" w:rsidRPr="001D4025">
        <w:rPr>
          <w:rFonts w:asciiTheme="majorHAnsi" w:hAnsiTheme="majorHAnsi"/>
          <w:sz w:val="18"/>
          <w:szCs w:val="18"/>
        </w:rPr>
        <w:t>de la causa “Guillam</w:t>
      </w:r>
      <w:r w:rsidR="00FF07D8" w:rsidRPr="001D4025">
        <w:rPr>
          <w:rFonts w:asciiTheme="majorHAnsi" w:hAnsiTheme="majorHAnsi"/>
          <w:sz w:val="18"/>
          <w:szCs w:val="18"/>
        </w:rPr>
        <w:t>o</w:t>
      </w:r>
      <w:r w:rsidR="00504CFA" w:rsidRPr="001D4025">
        <w:rPr>
          <w:rFonts w:asciiTheme="majorHAnsi" w:hAnsiTheme="majorHAnsi"/>
          <w:sz w:val="18"/>
          <w:szCs w:val="18"/>
        </w:rPr>
        <w:t>ndeguy”</w:t>
      </w:r>
      <w:r w:rsidR="00FF07D8" w:rsidRPr="001D4025">
        <w:rPr>
          <w:rFonts w:asciiTheme="majorHAnsi" w:hAnsiTheme="majorHAnsi"/>
          <w:sz w:val="18"/>
          <w:szCs w:val="18"/>
        </w:rPr>
        <w:t xml:space="preserve">, pone por un lado de manifiesto la </w:t>
      </w:r>
      <w:r w:rsidR="00FF07D8" w:rsidRPr="001D4025">
        <w:rPr>
          <w:rFonts w:asciiTheme="majorHAnsi" w:hAnsiTheme="majorHAnsi"/>
          <w:b/>
          <w:sz w:val="18"/>
          <w:szCs w:val="18"/>
          <w:u w:val="single"/>
        </w:rPr>
        <w:t>inexplicable marginación de aquellos</w:t>
      </w:r>
      <w:r w:rsidR="00FF07D8" w:rsidRPr="001D4025">
        <w:rPr>
          <w:rFonts w:asciiTheme="majorHAnsi" w:hAnsiTheme="majorHAnsi"/>
          <w:sz w:val="18"/>
          <w:szCs w:val="18"/>
        </w:rPr>
        <w:t xml:space="preserve"> y, por otro lado, un </w:t>
      </w:r>
      <w:r w:rsidR="00FF07D8" w:rsidRPr="001D4025">
        <w:rPr>
          <w:rFonts w:asciiTheme="majorHAnsi" w:hAnsiTheme="majorHAnsi"/>
          <w:b/>
          <w:sz w:val="18"/>
          <w:szCs w:val="18"/>
          <w:u w:val="single"/>
        </w:rPr>
        <w:t>grave apartamiento de las precisas directivas del TOF1</w:t>
      </w:r>
      <w:r w:rsidR="00FF07D8" w:rsidRPr="001D4025">
        <w:rPr>
          <w:rFonts w:asciiTheme="majorHAnsi" w:hAnsiTheme="majorHAnsi"/>
          <w:sz w:val="18"/>
          <w:szCs w:val="18"/>
        </w:rPr>
        <w:t xml:space="preserve">. Y, por sobre todo, un </w:t>
      </w:r>
      <w:r w:rsidR="00FF07D8" w:rsidRPr="001D4025">
        <w:rPr>
          <w:rFonts w:asciiTheme="majorHAnsi" w:hAnsiTheme="majorHAnsi"/>
          <w:sz w:val="18"/>
          <w:szCs w:val="18"/>
          <w:u w:val="single"/>
        </w:rPr>
        <w:t>flagrante incumplimiento a la obligación, esencial y primaria, de investigar</w:t>
      </w:r>
      <w:r w:rsidR="00FF07D8" w:rsidRPr="001D4025">
        <w:rPr>
          <w:rFonts w:asciiTheme="majorHAnsi" w:hAnsiTheme="majorHAnsi"/>
          <w:sz w:val="18"/>
          <w:szCs w:val="18"/>
        </w:rPr>
        <w:t xml:space="preserve"> que pesaba sobre [el juez]</w:t>
      </w:r>
      <w:r w:rsidR="00E534AD" w:rsidRPr="001D4025">
        <w:rPr>
          <w:rFonts w:asciiTheme="majorHAnsi" w:hAnsiTheme="majorHAnsi"/>
          <w:sz w:val="18"/>
          <w:szCs w:val="18"/>
        </w:rPr>
        <w:t xml:space="preserve"> [el resaltado corresponde al original]</w:t>
      </w:r>
      <w:r w:rsidR="00FF07D8" w:rsidRPr="001D4025">
        <w:rPr>
          <w:rFonts w:asciiTheme="majorHAnsi" w:hAnsiTheme="majorHAnsi"/>
          <w:sz w:val="18"/>
          <w:szCs w:val="18"/>
        </w:rPr>
        <w:t>.</w:t>
      </w:r>
    </w:p>
    <w:p w14:paraId="223752FF" w14:textId="77777777" w:rsidR="00024432" w:rsidRPr="0007034B" w:rsidRDefault="00024432" w:rsidP="00024432">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rPr>
      </w:pPr>
    </w:p>
    <w:p w14:paraId="3F77C772" w14:textId="5AFDFEF4" w:rsidR="005E3E29" w:rsidRPr="0007034B" w:rsidRDefault="00926A86"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r w:rsidRPr="0007034B">
        <w:rPr>
          <w:rFonts w:asciiTheme="majorHAnsi" w:hAnsiTheme="majorHAnsi"/>
          <w:sz w:val="20"/>
          <w:szCs w:val="20"/>
        </w:rPr>
        <w:t xml:space="preserve">Contra la sentencia del 11 de septiembre de 2017, la defensa, el Ministerio Público y los querellantes presentaron recurso de apelación. El 27 de febrero de 2019 la Sala IV de la Cámara Federal de Casación Penal </w:t>
      </w:r>
      <w:r w:rsidR="002A2809" w:rsidRPr="0007034B">
        <w:rPr>
          <w:rFonts w:asciiTheme="majorHAnsi" w:hAnsiTheme="majorHAnsi"/>
          <w:sz w:val="20"/>
          <w:szCs w:val="20"/>
        </w:rPr>
        <w:t xml:space="preserve">anuló parcialmente la sentencia impugnada reenviando las actuaciones al </w:t>
      </w:r>
      <w:r w:rsidR="002A2809" w:rsidRPr="0007034B">
        <w:rPr>
          <w:rFonts w:asciiTheme="majorHAnsi" w:hAnsiTheme="majorHAnsi"/>
          <w:i/>
          <w:sz w:val="20"/>
          <w:szCs w:val="20"/>
        </w:rPr>
        <w:t>a quo</w:t>
      </w:r>
      <w:r w:rsidR="002A2809" w:rsidRPr="0007034B">
        <w:rPr>
          <w:rFonts w:asciiTheme="majorHAnsi" w:hAnsiTheme="majorHAnsi"/>
          <w:sz w:val="20"/>
          <w:szCs w:val="20"/>
        </w:rPr>
        <w:t xml:space="preserve"> para su sustanciación. Entre los aspectos anulados por la Cámara Federal se encuentra</w:t>
      </w:r>
      <w:r w:rsidR="00EB337C" w:rsidRPr="0007034B">
        <w:rPr>
          <w:rFonts w:asciiTheme="majorHAnsi" w:hAnsiTheme="majorHAnsi"/>
          <w:sz w:val="20"/>
          <w:szCs w:val="20"/>
        </w:rPr>
        <w:t xml:space="preserve"> la absolución </w:t>
      </w:r>
      <w:r w:rsidR="00E60EBA">
        <w:rPr>
          <w:rFonts w:asciiTheme="majorHAnsi" w:hAnsiTheme="majorHAnsi"/>
          <w:sz w:val="20"/>
          <w:szCs w:val="20"/>
        </w:rPr>
        <w:t xml:space="preserve">por la muerte </w:t>
      </w:r>
      <w:r w:rsidR="00EB337C" w:rsidRPr="0007034B">
        <w:rPr>
          <w:rFonts w:asciiTheme="majorHAnsi" w:hAnsiTheme="majorHAnsi"/>
          <w:sz w:val="20"/>
          <w:szCs w:val="20"/>
        </w:rPr>
        <w:t>de Mario Julien</w:t>
      </w:r>
      <w:r w:rsidR="002A2809" w:rsidRPr="0007034B">
        <w:rPr>
          <w:rFonts w:asciiTheme="majorHAnsi" w:hAnsiTheme="majorHAnsi"/>
          <w:sz w:val="20"/>
          <w:szCs w:val="20"/>
        </w:rPr>
        <w:t>, la cual calificó de a</w:t>
      </w:r>
      <w:r w:rsidR="00EB337C" w:rsidRPr="0007034B">
        <w:rPr>
          <w:rFonts w:asciiTheme="majorHAnsi" w:hAnsiTheme="majorHAnsi"/>
          <w:sz w:val="20"/>
          <w:szCs w:val="20"/>
        </w:rPr>
        <w:t>rbitraria. Al respecto, indicó que “</w:t>
      </w:r>
      <w:r w:rsidR="005D3257" w:rsidRPr="0007034B">
        <w:rPr>
          <w:rFonts w:asciiTheme="majorHAnsi" w:hAnsiTheme="majorHAnsi"/>
          <w:sz w:val="20"/>
          <w:szCs w:val="20"/>
        </w:rPr>
        <w:t>la circunstancia de que la víctima haya sido abatida en su domicilio o en la vía pública como en el caso de Julién [sic] Cáceres, no resulta óbice para concluir que su eliminación física no integraba una de las posibles finalidades del plan sistemático de represión</w:t>
      </w:r>
      <w:r w:rsidR="00EB337C" w:rsidRPr="0007034B">
        <w:rPr>
          <w:rFonts w:asciiTheme="majorHAnsi" w:hAnsiTheme="majorHAnsi"/>
          <w:sz w:val="20"/>
          <w:szCs w:val="20"/>
        </w:rPr>
        <w:t>”</w:t>
      </w:r>
      <w:r w:rsidR="00EB337C" w:rsidRPr="0007034B">
        <w:rPr>
          <w:rStyle w:val="FootnoteReference"/>
          <w:rFonts w:asciiTheme="majorHAnsi" w:hAnsiTheme="majorHAnsi"/>
          <w:sz w:val="20"/>
          <w:szCs w:val="20"/>
        </w:rPr>
        <w:footnoteReference w:id="101"/>
      </w:r>
      <w:r w:rsidR="00D330D4" w:rsidRPr="0007034B">
        <w:rPr>
          <w:rFonts w:asciiTheme="majorHAnsi" w:hAnsiTheme="majorHAnsi"/>
          <w:sz w:val="20"/>
          <w:szCs w:val="20"/>
        </w:rPr>
        <w:t>.</w:t>
      </w:r>
      <w:r w:rsidR="00EB337C" w:rsidRPr="0007034B">
        <w:rPr>
          <w:rFonts w:asciiTheme="majorHAnsi" w:hAnsiTheme="majorHAnsi"/>
          <w:sz w:val="20"/>
          <w:szCs w:val="20"/>
        </w:rPr>
        <w:t xml:space="preserve"> </w:t>
      </w:r>
    </w:p>
    <w:p w14:paraId="712B2CD7" w14:textId="77777777" w:rsidR="006F7AC1" w:rsidRPr="0007034B" w:rsidRDefault="006F7AC1" w:rsidP="006F7AC1">
      <w:pPr>
        <w:pStyle w:val="ListParagraph"/>
        <w:rPr>
          <w:rFonts w:asciiTheme="majorHAnsi" w:hAnsiTheme="majorHAnsi"/>
          <w:sz w:val="20"/>
          <w:szCs w:val="20"/>
          <w:lang w:val="es-ES"/>
        </w:rPr>
      </w:pPr>
    </w:p>
    <w:p w14:paraId="20641870" w14:textId="77777777" w:rsidR="00F5640F" w:rsidRPr="007E73E1" w:rsidRDefault="001C256C" w:rsidP="007E73E1">
      <w:pPr>
        <w:pStyle w:val="Heading3"/>
      </w:pPr>
      <w:bookmarkStart w:id="58" w:name="_Toc6349165"/>
      <w:bookmarkStart w:id="59" w:name="_Toc6466658"/>
      <w:r w:rsidRPr="007E73E1">
        <w:t>Causa penal Nro. 1351 “Nicolaides Cristino y otros s/sustracción, retención y ocultamiento de menores”</w:t>
      </w:r>
      <w:bookmarkEnd w:id="58"/>
      <w:bookmarkEnd w:id="59"/>
    </w:p>
    <w:p w14:paraId="3B0A3C8E" w14:textId="77777777" w:rsidR="00F5640F" w:rsidRPr="0007034B" w:rsidRDefault="00F5640F" w:rsidP="004D2720">
      <w:pPr>
        <w:pStyle w:val="ListParagraph"/>
        <w:rPr>
          <w:rFonts w:asciiTheme="majorHAnsi" w:eastAsia="Times New Roman" w:hAnsiTheme="majorHAnsi" w:cs="Times New Roman"/>
          <w:sz w:val="20"/>
          <w:szCs w:val="20"/>
          <w:lang w:val="es-ES_tradnl"/>
        </w:rPr>
      </w:pPr>
    </w:p>
    <w:p w14:paraId="12C1F273" w14:textId="77777777" w:rsidR="00955C3C" w:rsidRPr="0007034B" w:rsidRDefault="005E3E29"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r w:rsidRPr="0007034B">
        <w:rPr>
          <w:rFonts w:asciiTheme="majorHAnsi" w:hAnsiTheme="majorHAnsi"/>
          <w:sz w:val="20"/>
          <w:szCs w:val="20"/>
        </w:rPr>
        <w:t xml:space="preserve">El </w:t>
      </w:r>
      <w:r w:rsidR="00212681" w:rsidRPr="0007034B">
        <w:rPr>
          <w:rFonts w:asciiTheme="majorHAnsi" w:hAnsiTheme="majorHAnsi"/>
          <w:sz w:val="20"/>
          <w:szCs w:val="20"/>
        </w:rPr>
        <w:t>5</w:t>
      </w:r>
      <w:r w:rsidRPr="0007034B">
        <w:rPr>
          <w:rFonts w:asciiTheme="majorHAnsi" w:hAnsiTheme="majorHAnsi"/>
          <w:sz w:val="20"/>
          <w:szCs w:val="20"/>
        </w:rPr>
        <w:t xml:space="preserve"> de julio de 2012 el Tribunal Oral </w:t>
      </w:r>
      <w:r w:rsidR="00212681" w:rsidRPr="0007034B">
        <w:rPr>
          <w:rFonts w:asciiTheme="majorHAnsi" w:hAnsiTheme="majorHAnsi"/>
          <w:sz w:val="20"/>
          <w:szCs w:val="20"/>
        </w:rPr>
        <w:t>Federal</w:t>
      </w:r>
      <w:r w:rsidRPr="0007034B">
        <w:rPr>
          <w:rFonts w:asciiTheme="majorHAnsi" w:hAnsiTheme="majorHAnsi"/>
          <w:sz w:val="20"/>
          <w:szCs w:val="20"/>
        </w:rPr>
        <w:t xml:space="preserve"> Nro. 6 de la Capital condenó a Jorge Rafael Videla</w:t>
      </w:r>
      <w:r w:rsidR="001325C8" w:rsidRPr="0007034B">
        <w:rPr>
          <w:rFonts w:asciiTheme="majorHAnsi" w:hAnsiTheme="majorHAnsi"/>
          <w:sz w:val="20"/>
          <w:szCs w:val="20"/>
        </w:rPr>
        <w:t xml:space="preserve">, Presidente de facto de </w:t>
      </w:r>
      <w:r w:rsidR="000B734B" w:rsidRPr="0007034B">
        <w:rPr>
          <w:rFonts w:asciiTheme="majorHAnsi" w:hAnsiTheme="majorHAnsi"/>
          <w:sz w:val="20"/>
          <w:szCs w:val="20"/>
        </w:rPr>
        <w:t>Argentina entre 1976 y 1981,</w:t>
      </w:r>
      <w:r w:rsidR="001325C8" w:rsidRPr="0007034B">
        <w:rPr>
          <w:rFonts w:asciiTheme="majorHAnsi" w:hAnsiTheme="majorHAnsi"/>
          <w:sz w:val="20"/>
          <w:szCs w:val="20"/>
        </w:rPr>
        <w:t xml:space="preserve"> </w:t>
      </w:r>
      <w:r w:rsidRPr="0007034B">
        <w:rPr>
          <w:rFonts w:asciiTheme="majorHAnsi" w:hAnsiTheme="majorHAnsi"/>
          <w:sz w:val="20"/>
          <w:szCs w:val="20"/>
        </w:rPr>
        <w:t>a 50 años de prisión en la causa conocida como “</w:t>
      </w:r>
      <w:r w:rsidR="000B734B" w:rsidRPr="0007034B">
        <w:rPr>
          <w:rFonts w:asciiTheme="majorHAnsi" w:hAnsiTheme="majorHAnsi"/>
          <w:sz w:val="20"/>
          <w:szCs w:val="20"/>
        </w:rPr>
        <w:t>P</w:t>
      </w:r>
      <w:r w:rsidRPr="0007034B">
        <w:rPr>
          <w:rFonts w:asciiTheme="majorHAnsi" w:hAnsiTheme="majorHAnsi"/>
          <w:sz w:val="20"/>
          <w:szCs w:val="20"/>
        </w:rPr>
        <w:t xml:space="preserve">lan sistemático de apropiación de niños”, como autor mediato del delito de sustracción, retención y ocultamiento </w:t>
      </w:r>
      <w:r w:rsidRPr="0007034B">
        <w:rPr>
          <w:rFonts w:asciiTheme="majorHAnsi" w:hAnsiTheme="majorHAnsi"/>
          <w:sz w:val="20"/>
          <w:szCs w:val="20"/>
        </w:rPr>
        <w:lastRenderedPageBreak/>
        <w:t>de menores de 10 años respecto de Anatole y Victoria, entre otros niños y niñas apropiados durante la dictadura.</w:t>
      </w:r>
      <w:r w:rsidR="00212681" w:rsidRPr="0007034B">
        <w:rPr>
          <w:rStyle w:val="FootnoteReference"/>
          <w:rFonts w:asciiTheme="majorHAnsi" w:hAnsiTheme="majorHAnsi"/>
          <w:sz w:val="20"/>
          <w:szCs w:val="20"/>
        </w:rPr>
        <w:footnoteReference w:id="102"/>
      </w:r>
      <w:r w:rsidRPr="0007034B">
        <w:rPr>
          <w:rFonts w:asciiTheme="majorHAnsi" w:hAnsiTheme="majorHAnsi"/>
          <w:sz w:val="20"/>
          <w:szCs w:val="20"/>
        </w:rPr>
        <w:t xml:space="preserve"> </w:t>
      </w:r>
    </w:p>
    <w:p w14:paraId="357ED79B" w14:textId="77777777" w:rsidR="00955C3C" w:rsidRPr="0007034B" w:rsidRDefault="00955C3C" w:rsidP="005E3E29">
      <w:pPr>
        <w:pStyle w:val="ListParagraph"/>
        <w:rPr>
          <w:rFonts w:asciiTheme="majorHAnsi" w:hAnsiTheme="majorHAnsi"/>
          <w:b/>
          <w:color w:val="FF0000"/>
          <w:sz w:val="20"/>
          <w:szCs w:val="20"/>
          <w:lang w:val="es-ES_tradnl"/>
        </w:rPr>
      </w:pPr>
    </w:p>
    <w:p w14:paraId="5E222721" w14:textId="77777777" w:rsidR="00D12193" w:rsidRPr="007E73E1" w:rsidRDefault="00D12193" w:rsidP="007E73E1">
      <w:pPr>
        <w:pStyle w:val="Heading1"/>
      </w:pPr>
      <w:bookmarkStart w:id="60" w:name="_Toc6349166"/>
      <w:bookmarkStart w:id="61" w:name="_Toc6466659"/>
      <w:r w:rsidRPr="007E73E1">
        <w:t>ANÁLISIS DE DERECHO</w:t>
      </w:r>
      <w:bookmarkEnd w:id="60"/>
      <w:bookmarkEnd w:id="61"/>
    </w:p>
    <w:p w14:paraId="5F440450" w14:textId="77777777" w:rsidR="007C756A" w:rsidRPr="0007034B" w:rsidRDefault="007C756A" w:rsidP="00F902EB">
      <w:pPr>
        <w:suppressAutoHyphens/>
        <w:rPr>
          <w:rFonts w:asciiTheme="majorHAnsi" w:hAnsiTheme="majorHAnsi"/>
          <w:b/>
          <w:sz w:val="20"/>
          <w:szCs w:val="20"/>
          <w:lang w:val="es-ES_tradnl"/>
        </w:rPr>
      </w:pPr>
    </w:p>
    <w:p w14:paraId="4F665D68" w14:textId="3EAD7717" w:rsidR="00F902EB" w:rsidRPr="007E73E1" w:rsidRDefault="0022273F" w:rsidP="00B14871">
      <w:pPr>
        <w:pStyle w:val="Heading2"/>
        <w:numPr>
          <w:ilvl w:val="0"/>
          <w:numId w:val="65"/>
        </w:numPr>
        <w:ind w:hanging="720"/>
      </w:pPr>
      <w:bookmarkStart w:id="62" w:name="_Toc6349167"/>
      <w:bookmarkStart w:id="63" w:name="_Toc6466660"/>
      <w:r w:rsidRPr="007E73E1">
        <w:t>Cuestiones previas</w:t>
      </w:r>
      <w:bookmarkEnd w:id="62"/>
      <w:bookmarkEnd w:id="63"/>
    </w:p>
    <w:p w14:paraId="251A51A6" w14:textId="77777777" w:rsidR="00204B61" w:rsidRPr="0007034B" w:rsidRDefault="00204B61" w:rsidP="00E33E2C">
      <w:pPr>
        <w:rPr>
          <w:rFonts w:asciiTheme="majorHAnsi" w:hAnsiTheme="majorHAnsi"/>
          <w:b/>
          <w:color w:val="FF0000"/>
          <w:sz w:val="20"/>
          <w:szCs w:val="20"/>
          <w:lang w:val="es-ES_tradnl"/>
        </w:rPr>
      </w:pPr>
    </w:p>
    <w:p w14:paraId="7DBB123C" w14:textId="69D6E27A" w:rsidR="00193A58" w:rsidRPr="0007034B" w:rsidRDefault="00193A58" w:rsidP="00F23D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lang w:val="es-ES_tradnl"/>
        </w:rPr>
      </w:pPr>
      <w:r w:rsidRPr="0007034B">
        <w:rPr>
          <w:rFonts w:asciiTheme="majorHAnsi" w:hAnsiTheme="majorHAnsi"/>
          <w:sz w:val="20"/>
          <w:szCs w:val="20"/>
          <w:lang w:val="es-ES_tradnl"/>
        </w:rPr>
        <w:t xml:space="preserve">Antes de pasar al análisis de derecho, la Comisión considera pertinente aclarar </w:t>
      </w:r>
      <w:r w:rsidR="006956EC" w:rsidRPr="0007034B">
        <w:rPr>
          <w:rFonts w:asciiTheme="majorHAnsi" w:hAnsiTheme="majorHAnsi"/>
          <w:sz w:val="20"/>
          <w:szCs w:val="20"/>
          <w:lang w:val="es-ES_tradnl"/>
        </w:rPr>
        <w:t xml:space="preserve">dos </w:t>
      </w:r>
      <w:r w:rsidRPr="0007034B">
        <w:rPr>
          <w:rFonts w:asciiTheme="majorHAnsi" w:hAnsiTheme="majorHAnsi"/>
          <w:sz w:val="20"/>
          <w:szCs w:val="20"/>
          <w:lang w:val="es-ES_tradnl"/>
        </w:rPr>
        <w:t>aspectos preliminares: i) determinación de los hechos objeto del presente caso;</w:t>
      </w:r>
      <w:r w:rsidR="006956EC" w:rsidRPr="0007034B">
        <w:rPr>
          <w:rFonts w:asciiTheme="majorHAnsi" w:hAnsiTheme="majorHAnsi"/>
          <w:sz w:val="20"/>
          <w:szCs w:val="20"/>
          <w:lang w:val="es-ES_tradnl"/>
        </w:rPr>
        <w:t xml:space="preserve"> y</w:t>
      </w:r>
      <w:r w:rsidRPr="0007034B">
        <w:rPr>
          <w:rFonts w:asciiTheme="majorHAnsi" w:hAnsiTheme="majorHAnsi"/>
          <w:sz w:val="20"/>
          <w:szCs w:val="20"/>
          <w:lang w:val="es-ES_tradnl"/>
        </w:rPr>
        <w:t xml:space="preserve"> ii) alegato del Estado sobre demora en el traslado de la petición.</w:t>
      </w:r>
    </w:p>
    <w:p w14:paraId="0CB78C33" w14:textId="77777777" w:rsidR="00193A58" w:rsidRPr="0007034B" w:rsidRDefault="00193A58" w:rsidP="00193A5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ES_tradnl"/>
        </w:rPr>
      </w:pPr>
    </w:p>
    <w:p w14:paraId="788A3280" w14:textId="77777777" w:rsidR="005D00DF" w:rsidRPr="0007034B" w:rsidRDefault="00193A58" w:rsidP="00F23D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lang w:val="es-ES_tradnl"/>
        </w:rPr>
      </w:pPr>
      <w:r w:rsidRPr="0007034B">
        <w:rPr>
          <w:rFonts w:asciiTheme="majorHAnsi" w:hAnsiTheme="majorHAnsi"/>
          <w:sz w:val="20"/>
          <w:szCs w:val="20"/>
          <w:lang w:val="es-ES_tradnl"/>
        </w:rPr>
        <w:t>Respecto al primer punto, d</w:t>
      </w:r>
      <w:r w:rsidR="00955C3C" w:rsidRPr="0007034B">
        <w:rPr>
          <w:rFonts w:asciiTheme="majorHAnsi" w:hAnsiTheme="majorHAnsi"/>
          <w:sz w:val="20"/>
          <w:szCs w:val="20"/>
          <w:lang w:val="es-ES_tradnl"/>
        </w:rPr>
        <w:t xml:space="preserve">ado que existe controversia entre las partes </w:t>
      </w:r>
      <w:r w:rsidRPr="0007034B">
        <w:rPr>
          <w:rFonts w:asciiTheme="majorHAnsi" w:hAnsiTheme="majorHAnsi"/>
          <w:sz w:val="20"/>
          <w:szCs w:val="20"/>
          <w:lang w:val="es-ES_tradnl"/>
        </w:rPr>
        <w:t>sobre el</w:t>
      </w:r>
      <w:r w:rsidR="00955C3C" w:rsidRPr="0007034B">
        <w:rPr>
          <w:rFonts w:asciiTheme="majorHAnsi" w:hAnsiTheme="majorHAnsi"/>
          <w:sz w:val="20"/>
          <w:szCs w:val="20"/>
          <w:lang w:val="es-ES_tradnl"/>
        </w:rPr>
        <w:t xml:space="preserve"> </w:t>
      </w:r>
      <w:r w:rsidR="00955C3C" w:rsidRPr="0007034B">
        <w:rPr>
          <w:rFonts w:asciiTheme="majorHAnsi" w:hAnsiTheme="majorHAnsi"/>
          <w:sz w:val="20"/>
          <w:szCs w:val="20"/>
          <w:lang w:val="es-ES"/>
        </w:rPr>
        <w:t xml:space="preserve">alcance del </w:t>
      </w:r>
      <w:r w:rsidR="00955C3C" w:rsidRPr="0007034B">
        <w:rPr>
          <w:rFonts w:asciiTheme="majorHAnsi" w:hAnsiTheme="majorHAnsi"/>
          <w:sz w:val="20"/>
          <w:szCs w:val="20"/>
          <w:lang w:val="es-ES_tradnl"/>
        </w:rPr>
        <w:t>objeto del presente caso, corresponde</w:t>
      </w:r>
      <w:r w:rsidRPr="0007034B">
        <w:rPr>
          <w:rFonts w:asciiTheme="majorHAnsi" w:hAnsiTheme="majorHAnsi"/>
          <w:sz w:val="20"/>
          <w:szCs w:val="20"/>
          <w:lang w:val="es-ES_tradnl"/>
        </w:rPr>
        <w:t xml:space="preserve"> a la Comisión</w:t>
      </w:r>
      <w:r w:rsidR="00955C3C" w:rsidRPr="0007034B">
        <w:rPr>
          <w:rFonts w:asciiTheme="majorHAnsi" w:hAnsiTheme="majorHAnsi"/>
          <w:sz w:val="20"/>
          <w:szCs w:val="20"/>
          <w:lang w:val="es-ES_tradnl"/>
        </w:rPr>
        <w:t xml:space="preserve"> aclarar este aspecto. Como se indic</w:t>
      </w:r>
      <w:r w:rsidR="00955C3C" w:rsidRPr="0007034B">
        <w:rPr>
          <w:rFonts w:asciiTheme="majorHAnsi" w:hAnsiTheme="majorHAnsi"/>
          <w:sz w:val="20"/>
          <w:szCs w:val="20"/>
          <w:lang w:val="es-ES"/>
        </w:rPr>
        <w:t xml:space="preserve">ó en la sección </w:t>
      </w:r>
      <w:r w:rsidR="005D00DF" w:rsidRPr="0007034B">
        <w:rPr>
          <w:rFonts w:asciiTheme="majorHAnsi" w:hAnsiTheme="majorHAnsi"/>
          <w:i/>
          <w:sz w:val="20"/>
          <w:szCs w:val="20"/>
          <w:lang w:val="es-ES"/>
        </w:rPr>
        <w:t>ut supra</w:t>
      </w:r>
      <w:r w:rsidR="005D00DF" w:rsidRPr="0007034B">
        <w:rPr>
          <w:rFonts w:asciiTheme="majorHAnsi" w:hAnsiTheme="majorHAnsi"/>
          <w:sz w:val="20"/>
          <w:szCs w:val="20"/>
          <w:lang w:val="es-ES"/>
        </w:rPr>
        <w:t xml:space="preserve"> </w:t>
      </w:r>
      <w:r w:rsidR="00955C3C" w:rsidRPr="0007034B">
        <w:rPr>
          <w:rFonts w:asciiTheme="majorHAnsi" w:hAnsiTheme="majorHAnsi"/>
          <w:sz w:val="20"/>
          <w:szCs w:val="20"/>
          <w:lang w:val="es-ES"/>
        </w:rPr>
        <w:t xml:space="preserve">relativa al trámite del caso, </w:t>
      </w:r>
      <w:r w:rsidR="005D00DF" w:rsidRPr="0007034B">
        <w:rPr>
          <w:rFonts w:asciiTheme="majorHAnsi" w:hAnsiTheme="majorHAnsi"/>
          <w:color w:val="000000" w:themeColor="text1"/>
          <w:sz w:val="20"/>
          <w:szCs w:val="20"/>
          <w:lang w:val="es-VE"/>
        </w:rPr>
        <w:t xml:space="preserve">el 27 de octubre de 1997 </w:t>
      </w:r>
      <w:r w:rsidR="005D00DF" w:rsidRPr="0007034B">
        <w:rPr>
          <w:rFonts w:asciiTheme="majorHAnsi" w:hAnsiTheme="majorHAnsi"/>
          <w:sz w:val="20"/>
          <w:szCs w:val="20"/>
          <w:lang w:val="es-ES"/>
        </w:rPr>
        <w:t xml:space="preserve">la parte peticionaria desistió de una petición que había presentado ante la CIDH en representación de los hermanos Larrabeiti Yáñez </w:t>
      </w:r>
      <w:r w:rsidR="006C4283" w:rsidRPr="0007034B">
        <w:rPr>
          <w:rFonts w:asciiTheme="majorHAnsi" w:hAnsiTheme="majorHAnsi"/>
          <w:sz w:val="20"/>
          <w:szCs w:val="20"/>
          <w:lang w:val="es-ES"/>
        </w:rPr>
        <w:t>relativa a</w:t>
      </w:r>
      <w:r w:rsidR="005D00DF" w:rsidRPr="0007034B">
        <w:rPr>
          <w:rFonts w:asciiTheme="majorHAnsi" w:hAnsiTheme="majorHAnsi"/>
          <w:sz w:val="20"/>
          <w:szCs w:val="20"/>
          <w:lang w:val="es-ES"/>
        </w:rPr>
        <w:t xml:space="preserve"> la falta de respuesta a las solicitudes de información realizadas para conocer los fundamentos del considerando cuarto del Decreto No. 1025/96. </w:t>
      </w:r>
      <w:r w:rsidR="00302B6B" w:rsidRPr="0007034B">
        <w:rPr>
          <w:rFonts w:asciiTheme="majorHAnsi" w:hAnsiTheme="majorHAnsi"/>
          <w:sz w:val="20"/>
          <w:szCs w:val="20"/>
          <w:lang w:val="es-ES"/>
        </w:rPr>
        <w:t>E</w:t>
      </w:r>
      <w:r w:rsidR="005D00DF" w:rsidRPr="0007034B">
        <w:rPr>
          <w:rFonts w:asciiTheme="majorHAnsi" w:hAnsiTheme="majorHAnsi"/>
          <w:sz w:val="20"/>
          <w:szCs w:val="20"/>
          <w:lang w:val="es-ES"/>
        </w:rPr>
        <w:t xml:space="preserve">l </w:t>
      </w:r>
      <w:r w:rsidR="005D00DF" w:rsidRPr="0007034B">
        <w:rPr>
          <w:rFonts w:asciiTheme="majorHAnsi" w:hAnsiTheme="majorHAnsi"/>
          <w:sz w:val="20"/>
          <w:szCs w:val="20"/>
          <w:lang w:val="es-ES_tradnl"/>
        </w:rPr>
        <w:t xml:space="preserve">11 de noviembre de 2005 </w:t>
      </w:r>
      <w:r w:rsidR="00302B6B" w:rsidRPr="0007034B">
        <w:rPr>
          <w:rFonts w:asciiTheme="majorHAnsi" w:hAnsiTheme="majorHAnsi"/>
          <w:sz w:val="20"/>
          <w:szCs w:val="20"/>
          <w:lang w:val="es-ES_tradnl"/>
        </w:rPr>
        <w:t xml:space="preserve">la parte peticionaria presentó </w:t>
      </w:r>
      <w:r w:rsidR="005D00DF" w:rsidRPr="0007034B">
        <w:rPr>
          <w:rFonts w:asciiTheme="majorHAnsi" w:hAnsiTheme="majorHAnsi"/>
          <w:sz w:val="20"/>
          <w:szCs w:val="20"/>
          <w:lang w:val="es-ES_tradnl"/>
        </w:rPr>
        <w:t xml:space="preserve">una </w:t>
      </w:r>
      <w:r w:rsidR="00302B6B" w:rsidRPr="0007034B">
        <w:rPr>
          <w:rFonts w:asciiTheme="majorHAnsi" w:hAnsiTheme="majorHAnsi"/>
          <w:sz w:val="20"/>
          <w:szCs w:val="20"/>
          <w:lang w:val="es-ES_tradnl"/>
        </w:rPr>
        <w:t xml:space="preserve">nueva </w:t>
      </w:r>
      <w:r w:rsidR="005D00DF" w:rsidRPr="0007034B">
        <w:rPr>
          <w:rFonts w:asciiTheme="majorHAnsi" w:hAnsiTheme="majorHAnsi"/>
          <w:sz w:val="20"/>
          <w:szCs w:val="20"/>
          <w:lang w:val="es-ES_tradnl"/>
        </w:rPr>
        <w:t xml:space="preserve">petición por la falta de reparación por los daños </w:t>
      </w:r>
      <w:r w:rsidR="00302B6B" w:rsidRPr="0007034B">
        <w:rPr>
          <w:rFonts w:asciiTheme="majorHAnsi" w:hAnsiTheme="majorHAnsi"/>
          <w:sz w:val="20"/>
          <w:szCs w:val="20"/>
          <w:lang w:val="es-ES_tradnl"/>
        </w:rPr>
        <w:t>causados</w:t>
      </w:r>
      <w:r w:rsidR="00302B6B" w:rsidRPr="0007034B">
        <w:rPr>
          <w:rFonts w:asciiTheme="majorHAnsi" w:hAnsiTheme="majorHAnsi"/>
          <w:sz w:val="20"/>
          <w:szCs w:val="20"/>
          <w:lang w:val="es-ES"/>
        </w:rPr>
        <w:t xml:space="preserve"> por el considerando cuarto del Decreto 1025/96. Posteriormente, mientras dicha petición se encontraba </w:t>
      </w:r>
      <w:r w:rsidR="00302B6B" w:rsidRPr="0007034B">
        <w:rPr>
          <w:rFonts w:asciiTheme="majorHAnsi" w:hAnsiTheme="majorHAnsi"/>
          <w:sz w:val="20"/>
          <w:szCs w:val="20"/>
          <w:lang w:val="es-ES_tradnl"/>
        </w:rPr>
        <w:t>en etapa de revisión inicial, e</w:t>
      </w:r>
      <w:r w:rsidR="005D00DF" w:rsidRPr="0007034B">
        <w:rPr>
          <w:rFonts w:asciiTheme="majorHAnsi" w:hAnsiTheme="majorHAnsi"/>
          <w:sz w:val="20"/>
          <w:szCs w:val="20"/>
          <w:lang w:val="es-ES_tradnl"/>
        </w:rPr>
        <w:t xml:space="preserve">l </w:t>
      </w:r>
      <w:r w:rsidR="000C0C83" w:rsidRPr="0007034B">
        <w:rPr>
          <w:rFonts w:asciiTheme="majorHAnsi" w:hAnsiTheme="majorHAnsi"/>
          <w:sz w:val="20"/>
          <w:szCs w:val="20"/>
          <w:lang w:val="es-ES_tradnl"/>
        </w:rPr>
        <w:t>30</w:t>
      </w:r>
      <w:r w:rsidR="005D00DF" w:rsidRPr="0007034B">
        <w:rPr>
          <w:rFonts w:asciiTheme="majorHAnsi" w:hAnsiTheme="majorHAnsi"/>
          <w:sz w:val="20"/>
          <w:szCs w:val="20"/>
          <w:lang w:val="es-ES_tradnl"/>
        </w:rPr>
        <w:t xml:space="preserve"> de abril de 2008</w:t>
      </w:r>
      <w:r w:rsidR="00302B6B" w:rsidRPr="0007034B">
        <w:rPr>
          <w:rFonts w:asciiTheme="majorHAnsi" w:hAnsiTheme="majorHAnsi"/>
          <w:sz w:val="20"/>
          <w:szCs w:val="20"/>
          <w:lang w:val="es-ES_tradnl"/>
        </w:rPr>
        <w:t xml:space="preserve"> la parte peticionaria pre</w:t>
      </w:r>
      <w:r w:rsidR="005D00DF" w:rsidRPr="0007034B">
        <w:rPr>
          <w:rFonts w:asciiTheme="majorHAnsi" w:hAnsiTheme="majorHAnsi"/>
          <w:sz w:val="20"/>
          <w:szCs w:val="20"/>
          <w:lang w:val="es-ES_tradnl"/>
        </w:rPr>
        <w:t>sentó una petición que calificó de “nueva y distinta”</w:t>
      </w:r>
      <w:r w:rsidR="00302B6B" w:rsidRPr="0007034B">
        <w:rPr>
          <w:rFonts w:asciiTheme="majorHAnsi" w:hAnsiTheme="majorHAnsi"/>
          <w:sz w:val="20"/>
          <w:szCs w:val="20"/>
          <w:lang w:val="es-ES_tradnl"/>
        </w:rPr>
        <w:t xml:space="preserve">, relativa a </w:t>
      </w:r>
      <w:r w:rsidR="00183CD4" w:rsidRPr="0007034B">
        <w:rPr>
          <w:rFonts w:asciiTheme="majorHAnsi" w:hAnsiTheme="majorHAnsi"/>
          <w:sz w:val="20"/>
          <w:szCs w:val="20"/>
          <w:lang w:val="es-ES_tradnl"/>
        </w:rPr>
        <w:t>la falta de reparación por las graves violaciones a los derechos humanos cometidas contra los hermanos Larrabeiti Yáñez y sus padres biológicos</w:t>
      </w:r>
      <w:r w:rsidR="0003444F" w:rsidRPr="0007034B">
        <w:rPr>
          <w:rFonts w:asciiTheme="majorHAnsi" w:hAnsiTheme="majorHAnsi"/>
          <w:sz w:val="20"/>
          <w:szCs w:val="20"/>
          <w:lang w:val="es-ES_tradnl"/>
        </w:rPr>
        <w:t xml:space="preserve"> a raíz del operativo militar llevado a cabo el 26 de septiembre de 1976</w:t>
      </w:r>
      <w:r w:rsidR="005D00DF" w:rsidRPr="0007034B">
        <w:rPr>
          <w:rFonts w:asciiTheme="majorHAnsi" w:hAnsiTheme="majorHAnsi"/>
          <w:sz w:val="20"/>
          <w:szCs w:val="20"/>
          <w:lang w:val="es-ES_tradnl"/>
        </w:rPr>
        <w:t>. La Secretaría Ejecutiva determinó que, por tratarse de hechos intrínsecamente vinculados a los referidos en la petición presentada en 2005, correspondía considerarla como parte de ésta</w:t>
      </w:r>
      <w:r w:rsidR="00183CD4" w:rsidRPr="0007034B">
        <w:rPr>
          <w:rFonts w:asciiTheme="majorHAnsi" w:hAnsiTheme="majorHAnsi"/>
          <w:sz w:val="20"/>
          <w:szCs w:val="20"/>
          <w:lang w:val="es-ES_tradnl"/>
        </w:rPr>
        <w:t xml:space="preserve">, por lo que al momento de notificar la petición al Estado </w:t>
      </w:r>
      <w:r w:rsidR="005D00DF" w:rsidRPr="0007034B">
        <w:rPr>
          <w:rFonts w:asciiTheme="majorHAnsi" w:hAnsiTheme="majorHAnsi"/>
          <w:sz w:val="20"/>
          <w:szCs w:val="20"/>
          <w:lang w:val="es-ES_tradnl"/>
        </w:rPr>
        <w:t xml:space="preserve">trasladó la petición original recibida en 2005 junto con la información presentada durante la etapa de revisión inicial, entre ella la recibida el </w:t>
      </w:r>
      <w:r w:rsidR="00183CD4" w:rsidRPr="0007034B">
        <w:rPr>
          <w:rFonts w:asciiTheme="majorHAnsi" w:hAnsiTheme="majorHAnsi"/>
          <w:sz w:val="20"/>
          <w:szCs w:val="20"/>
          <w:lang w:val="es-ES_tradnl"/>
        </w:rPr>
        <w:t>30</w:t>
      </w:r>
      <w:r w:rsidR="005D00DF" w:rsidRPr="0007034B">
        <w:rPr>
          <w:rFonts w:asciiTheme="majorHAnsi" w:hAnsiTheme="majorHAnsi"/>
          <w:sz w:val="20"/>
          <w:szCs w:val="20"/>
          <w:lang w:val="es-ES_tradnl"/>
        </w:rPr>
        <w:t xml:space="preserve"> de abril de 2008. </w:t>
      </w:r>
    </w:p>
    <w:p w14:paraId="68C05E9F" w14:textId="77777777" w:rsidR="00183CD4" w:rsidRPr="0007034B" w:rsidRDefault="00183CD4" w:rsidP="00183CD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ES_tradnl"/>
        </w:rPr>
      </w:pPr>
    </w:p>
    <w:p w14:paraId="36FAD8FF" w14:textId="77777777" w:rsidR="00682B49" w:rsidRPr="0007034B" w:rsidRDefault="00DF267D"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suppressAutoHyphens/>
        <w:ind w:left="0" w:firstLine="0"/>
        <w:jc w:val="both"/>
        <w:rPr>
          <w:rFonts w:asciiTheme="majorHAnsi" w:hAnsiTheme="majorHAnsi"/>
          <w:sz w:val="20"/>
          <w:szCs w:val="20"/>
          <w:lang w:val="es-VE"/>
        </w:rPr>
      </w:pPr>
      <w:r w:rsidRPr="0007034B">
        <w:rPr>
          <w:rFonts w:asciiTheme="majorHAnsi" w:hAnsiTheme="majorHAnsi"/>
          <w:sz w:val="20"/>
          <w:szCs w:val="20"/>
        </w:rPr>
        <w:t xml:space="preserve">El Estado </w:t>
      </w:r>
      <w:r w:rsidR="00A27A7C" w:rsidRPr="0007034B">
        <w:rPr>
          <w:rFonts w:asciiTheme="majorHAnsi" w:hAnsiTheme="majorHAnsi"/>
          <w:sz w:val="20"/>
          <w:szCs w:val="20"/>
        </w:rPr>
        <w:t>señala</w:t>
      </w:r>
      <w:r w:rsidRPr="0007034B">
        <w:rPr>
          <w:rFonts w:asciiTheme="majorHAnsi" w:hAnsiTheme="majorHAnsi"/>
          <w:sz w:val="20"/>
          <w:szCs w:val="20"/>
        </w:rPr>
        <w:t xml:space="preserve"> que</w:t>
      </w:r>
      <w:r w:rsidR="00682B49" w:rsidRPr="0007034B">
        <w:rPr>
          <w:rFonts w:asciiTheme="majorHAnsi" w:hAnsiTheme="majorHAnsi"/>
          <w:sz w:val="20"/>
          <w:szCs w:val="20"/>
        </w:rPr>
        <w:t xml:space="preserve"> los alegatos referidos </w:t>
      </w:r>
      <w:r w:rsidR="00682B49" w:rsidRPr="0007034B">
        <w:rPr>
          <w:rFonts w:asciiTheme="majorHAnsi" w:hAnsiTheme="majorHAnsi"/>
          <w:sz w:val="20"/>
          <w:szCs w:val="20"/>
          <w:lang w:val="es-VE"/>
        </w:rPr>
        <w:t xml:space="preserve">a las dudas generadas por el considerando cuarto del Decreto Nro. 1025/96 se encuentran excluidos del presente análisis, ya que la petición </w:t>
      </w:r>
      <w:r w:rsidR="00A27A7C" w:rsidRPr="0007034B">
        <w:rPr>
          <w:rFonts w:asciiTheme="majorHAnsi" w:hAnsiTheme="majorHAnsi"/>
          <w:sz w:val="20"/>
          <w:szCs w:val="20"/>
          <w:lang w:val="es-VE"/>
        </w:rPr>
        <w:t>relativa a este aspecto</w:t>
      </w:r>
      <w:r w:rsidR="00682B49" w:rsidRPr="0007034B">
        <w:rPr>
          <w:rFonts w:asciiTheme="majorHAnsi" w:hAnsiTheme="majorHAnsi"/>
          <w:sz w:val="20"/>
          <w:szCs w:val="20"/>
          <w:lang w:val="es-VE"/>
        </w:rPr>
        <w:t xml:space="preserve"> fue desistida por la parte peticionaria. Entiende que los hechos que dan sustento al presente caso “son aquellos acontecidos el 26 de septiembre de 1976, relacionados con la desaparición forzada de los padres de los peticionarios, su privación ilegítima de la libertad en un centro clandestino de detención siendo niños, luego su apropiación, traslado a Uruguay, y posterior abandono en Chile”. </w:t>
      </w:r>
      <w:r w:rsidR="00A27A7C" w:rsidRPr="0007034B">
        <w:rPr>
          <w:rFonts w:asciiTheme="majorHAnsi" w:hAnsiTheme="majorHAnsi"/>
          <w:sz w:val="20"/>
          <w:szCs w:val="20"/>
          <w:lang w:val="es-VE"/>
        </w:rPr>
        <w:t xml:space="preserve">A su vez, la parte peticionaria alega que </w:t>
      </w:r>
      <w:r w:rsidR="00DE6DAA" w:rsidRPr="0007034B">
        <w:rPr>
          <w:rFonts w:asciiTheme="majorHAnsi" w:hAnsiTheme="majorHAnsi"/>
          <w:sz w:val="20"/>
          <w:szCs w:val="20"/>
          <w:lang w:val="es-VE"/>
        </w:rPr>
        <w:t>los daños ocasionados por dicho decreto forman parte de la petición presentada en 2005.</w:t>
      </w:r>
    </w:p>
    <w:p w14:paraId="5063834E" w14:textId="77777777" w:rsidR="00DE6DAA" w:rsidRPr="0007034B" w:rsidRDefault="00DE6DAA" w:rsidP="00DE6DAA">
      <w:pPr>
        <w:pStyle w:val="ListParagraph"/>
        <w:rPr>
          <w:rFonts w:asciiTheme="majorHAnsi" w:hAnsiTheme="majorHAnsi"/>
          <w:sz w:val="20"/>
          <w:szCs w:val="20"/>
          <w:lang w:val="es-VE"/>
        </w:rPr>
      </w:pPr>
    </w:p>
    <w:p w14:paraId="14B12AEB" w14:textId="77777777" w:rsidR="0016400E" w:rsidRPr="0007034B" w:rsidRDefault="0023174D"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suppressAutoHyphens/>
        <w:ind w:left="0" w:firstLine="0"/>
        <w:jc w:val="both"/>
        <w:rPr>
          <w:rFonts w:asciiTheme="majorHAnsi" w:hAnsiTheme="majorHAnsi"/>
          <w:sz w:val="20"/>
          <w:szCs w:val="20"/>
          <w:lang w:val="es-VE"/>
        </w:rPr>
      </w:pPr>
      <w:r w:rsidRPr="0007034B">
        <w:rPr>
          <w:rFonts w:asciiTheme="majorHAnsi" w:hAnsiTheme="majorHAnsi"/>
          <w:sz w:val="20"/>
          <w:szCs w:val="20"/>
          <w:lang w:val="es-VE"/>
        </w:rPr>
        <w:t xml:space="preserve">La Comisión </w:t>
      </w:r>
      <w:r w:rsidR="0040098B" w:rsidRPr="0007034B">
        <w:rPr>
          <w:rFonts w:asciiTheme="majorHAnsi" w:hAnsiTheme="majorHAnsi"/>
          <w:sz w:val="20"/>
          <w:szCs w:val="20"/>
          <w:lang w:val="es-VE"/>
        </w:rPr>
        <w:t>concluye</w:t>
      </w:r>
      <w:r w:rsidRPr="0007034B">
        <w:rPr>
          <w:rFonts w:asciiTheme="majorHAnsi" w:hAnsiTheme="majorHAnsi"/>
          <w:sz w:val="20"/>
          <w:szCs w:val="20"/>
          <w:lang w:val="es-VE"/>
        </w:rPr>
        <w:t xml:space="preserve"> que los hechos que se encuentran excluidos del objeto del presente caso son los relativos</w:t>
      </w:r>
      <w:r w:rsidR="00493AA3" w:rsidRPr="0007034B">
        <w:rPr>
          <w:rFonts w:asciiTheme="majorHAnsi" w:hAnsiTheme="majorHAnsi"/>
          <w:sz w:val="20"/>
          <w:szCs w:val="20"/>
          <w:lang w:val="es-VE"/>
        </w:rPr>
        <w:t xml:space="preserve"> a la falta de respuesta a las solicitudes de información realizadas para conocer los fundamentos del </w:t>
      </w:r>
      <w:r w:rsidR="007E7044" w:rsidRPr="0007034B">
        <w:rPr>
          <w:rFonts w:asciiTheme="majorHAnsi" w:hAnsiTheme="majorHAnsi"/>
          <w:sz w:val="20"/>
          <w:szCs w:val="20"/>
          <w:lang w:val="es-VE"/>
        </w:rPr>
        <w:t xml:space="preserve">considerando cuarto del Decreto Nro. 1025/96, </w:t>
      </w:r>
      <w:r w:rsidRPr="0007034B">
        <w:rPr>
          <w:rFonts w:asciiTheme="majorHAnsi" w:hAnsiTheme="majorHAnsi"/>
          <w:sz w:val="20"/>
          <w:szCs w:val="20"/>
          <w:lang w:val="es-VE"/>
        </w:rPr>
        <w:t xml:space="preserve">objeto de la petición </w:t>
      </w:r>
      <w:r w:rsidR="007E7044" w:rsidRPr="0007034B">
        <w:rPr>
          <w:rFonts w:asciiTheme="majorHAnsi" w:hAnsiTheme="majorHAnsi"/>
          <w:sz w:val="20"/>
          <w:szCs w:val="20"/>
          <w:lang w:val="es-VE"/>
        </w:rPr>
        <w:t xml:space="preserve">desistida </w:t>
      </w:r>
      <w:r w:rsidR="007E7044" w:rsidRPr="0007034B">
        <w:rPr>
          <w:rFonts w:asciiTheme="majorHAnsi" w:hAnsiTheme="majorHAnsi"/>
          <w:color w:val="000000" w:themeColor="text1"/>
          <w:sz w:val="20"/>
          <w:szCs w:val="20"/>
          <w:lang w:val="es-VE"/>
        </w:rPr>
        <w:t>el 27 de octubre de 1997</w:t>
      </w:r>
      <w:r w:rsidR="007E7044" w:rsidRPr="0007034B">
        <w:rPr>
          <w:rFonts w:asciiTheme="majorHAnsi" w:hAnsiTheme="majorHAnsi"/>
          <w:sz w:val="20"/>
          <w:szCs w:val="20"/>
          <w:lang w:val="es-VE"/>
        </w:rPr>
        <w:t xml:space="preserve">. Los alegatos relativos a la falta de reparación por los </w:t>
      </w:r>
      <w:r w:rsidR="006C4283" w:rsidRPr="0007034B">
        <w:rPr>
          <w:rFonts w:asciiTheme="majorHAnsi" w:hAnsiTheme="majorHAnsi"/>
          <w:sz w:val="20"/>
          <w:szCs w:val="20"/>
          <w:lang w:val="es-VE"/>
        </w:rPr>
        <w:t xml:space="preserve">alegados </w:t>
      </w:r>
      <w:r w:rsidR="007E7044" w:rsidRPr="0007034B">
        <w:rPr>
          <w:rFonts w:asciiTheme="majorHAnsi" w:hAnsiTheme="majorHAnsi"/>
          <w:sz w:val="20"/>
          <w:szCs w:val="20"/>
          <w:lang w:val="es-VE"/>
        </w:rPr>
        <w:t>daños causados por dicho considerando</w:t>
      </w:r>
      <w:r w:rsidR="00A11B19" w:rsidRPr="0007034B">
        <w:rPr>
          <w:rFonts w:asciiTheme="majorHAnsi" w:hAnsiTheme="majorHAnsi"/>
          <w:sz w:val="20"/>
          <w:szCs w:val="20"/>
          <w:lang w:val="es-VE"/>
        </w:rPr>
        <w:t>,</w:t>
      </w:r>
      <w:r w:rsidR="007E7044" w:rsidRPr="0007034B">
        <w:rPr>
          <w:rFonts w:asciiTheme="majorHAnsi" w:hAnsiTheme="majorHAnsi"/>
          <w:sz w:val="20"/>
          <w:szCs w:val="20"/>
          <w:lang w:val="es-VE"/>
        </w:rPr>
        <w:t xml:space="preserve"> así como las alegadas violaciones ocurridas en el marco de la acción civil iniciada el 26 de agosto de 1998 (Expediente Nro. 24.518/98), forman parte del objeto de la petición presentada en 2005</w:t>
      </w:r>
      <w:r w:rsidR="00670FF8" w:rsidRPr="0007034B">
        <w:rPr>
          <w:rFonts w:asciiTheme="majorHAnsi" w:hAnsiTheme="majorHAnsi"/>
          <w:sz w:val="20"/>
          <w:szCs w:val="20"/>
          <w:lang w:val="es-VE"/>
        </w:rPr>
        <w:t>. Por lo tanto</w:t>
      </w:r>
      <w:r w:rsidR="00A11B19" w:rsidRPr="0007034B">
        <w:rPr>
          <w:rFonts w:asciiTheme="majorHAnsi" w:hAnsiTheme="majorHAnsi"/>
          <w:sz w:val="20"/>
          <w:szCs w:val="20"/>
          <w:lang w:val="es-VE"/>
        </w:rPr>
        <w:t>,</w:t>
      </w:r>
      <w:r w:rsidR="00670FF8" w:rsidRPr="0007034B">
        <w:rPr>
          <w:rFonts w:asciiTheme="majorHAnsi" w:hAnsiTheme="majorHAnsi"/>
          <w:sz w:val="20"/>
          <w:szCs w:val="20"/>
          <w:lang w:val="es-VE"/>
        </w:rPr>
        <w:t xml:space="preserve"> estos hechos, al igual que </w:t>
      </w:r>
      <w:r w:rsidR="0014078A" w:rsidRPr="0007034B">
        <w:rPr>
          <w:rFonts w:asciiTheme="majorHAnsi" w:hAnsiTheme="majorHAnsi"/>
          <w:sz w:val="20"/>
          <w:szCs w:val="20"/>
          <w:lang w:val="es-VE"/>
        </w:rPr>
        <w:t>el operativo</w:t>
      </w:r>
      <w:r w:rsidR="00670FF8" w:rsidRPr="0007034B">
        <w:rPr>
          <w:rFonts w:asciiTheme="majorHAnsi" w:hAnsiTheme="majorHAnsi"/>
          <w:sz w:val="20"/>
          <w:szCs w:val="20"/>
          <w:lang w:val="es-VE"/>
        </w:rPr>
        <w:t xml:space="preserve"> </w:t>
      </w:r>
      <w:r w:rsidR="0014078A" w:rsidRPr="0007034B">
        <w:rPr>
          <w:rFonts w:asciiTheme="majorHAnsi" w:hAnsiTheme="majorHAnsi"/>
          <w:sz w:val="20"/>
          <w:szCs w:val="20"/>
          <w:lang w:val="es-VE"/>
        </w:rPr>
        <w:t>militar d</w:t>
      </w:r>
      <w:r w:rsidR="00670FF8" w:rsidRPr="0007034B">
        <w:rPr>
          <w:rFonts w:asciiTheme="majorHAnsi" w:hAnsiTheme="majorHAnsi"/>
          <w:sz w:val="20"/>
          <w:szCs w:val="20"/>
          <w:lang w:val="es-VE"/>
        </w:rPr>
        <w:t>el 26 de s</w:t>
      </w:r>
      <w:r w:rsidR="0014078A" w:rsidRPr="0007034B">
        <w:rPr>
          <w:rFonts w:asciiTheme="majorHAnsi" w:hAnsiTheme="majorHAnsi"/>
          <w:sz w:val="20"/>
          <w:szCs w:val="20"/>
          <w:lang w:val="es-VE"/>
        </w:rPr>
        <w:t>eptiembre de 1976 y lo ocurrido con posterioridad a la familia Julien – Grisonas, forman parte</w:t>
      </w:r>
      <w:r w:rsidR="007E7044" w:rsidRPr="0007034B">
        <w:rPr>
          <w:rFonts w:asciiTheme="majorHAnsi" w:hAnsiTheme="majorHAnsi"/>
          <w:sz w:val="20"/>
          <w:szCs w:val="20"/>
          <w:lang w:val="es-VE"/>
        </w:rPr>
        <w:t xml:space="preserve"> del presente </w:t>
      </w:r>
      <w:r w:rsidR="00670FF8" w:rsidRPr="0007034B">
        <w:rPr>
          <w:rFonts w:asciiTheme="majorHAnsi" w:hAnsiTheme="majorHAnsi"/>
          <w:sz w:val="20"/>
          <w:szCs w:val="20"/>
          <w:lang w:val="es-VE"/>
        </w:rPr>
        <w:t>caso</w:t>
      </w:r>
      <w:r w:rsidR="007E7044" w:rsidRPr="0007034B">
        <w:rPr>
          <w:rFonts w:asciiTheme="majorHAnsi" w:hAnsiTheme="majorHAnsi"/>
          <w:sz w:val="20"/>
          <w:szCs w:val="20"/>
          <w:lang w:val="es-VE"/>
        </w:rPr>
        <w:t>.</w:t>
      </w:r>
      <w:r w:rsidR="00670FF8" w:rsidRPr="0007034B">
        <w:rPr>
          <w:rFonts w:asciiTheme="majorHAnsi" w:hAnsiTheme="majorHAnsi"/>
          <w:sz w:val="20"/>
          <w:szCs w:val="20"/>
          <w:lang w:val="es-VE"/>
        </w:rPr>
        <w:t xml:space="preserve"> </w:t>
      </w:r>
    </w:p>
    <w:p w14:paraId="6BC83C34" w14:textId="77777777" w:rsidR="00522595" w:rsidRPr="0007034B" w:rsidRDefault="00522595" w:rsidP="00522595">
      <w:pPr>
        <w:pStyle w:val="ListParagraph"/>
        <w:rPr>
          <w:rFonts w:asciiTheme="majorHAnsi" w:hAnsiTheme="majorHAnsi"/>
          <w:sz w:val="20"/>
          <w:szCs w:val="20"/>
          <w:lang w:val="es-VE"/>
        </w:rPr>
      </w:pPr>
    </w:p>
    <w:p w14:paraId="1B19BD5B" w14:textId="0B1D5210" w:rsidR="00DE6DAA" w:rsidRPr="0007034B" w:rsidRDefault="0016400E" w:rsidP="00F23D4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suppressAutoHyphens/>
        <w:ind w:left="0" w:firstLine="0"/>
        <w:jc w:val="both"/>
        <w:rPr>
          <w:rFonts w:asciiTheme="majorHAnsi" w:hAnsiTheme="majorHAnsi"/>
          <w:sz w:val="20"/>
          <w:szCs w:val="20"/>
          <w:lang w:val="es-VE"/>
        </w:rPr>
      </w:pPr>
      <w:r w:rsidRPr="0007034B">
        <w:rPr>
          <w:rFonts w:asciiTheme="majorHAnsi" w:hAnsiTheme="majorHAnsi"/>
          <w:sz w:val="20"/>
          <w:szCs w:val="20"/>
          <w:lang w:val="es-VE"/>
        </w:rPr>
        <w:t xml:space="preserve">Por </w:t>
      </w:r>
      <w:r w:rsidR="00844F0C" w:rsidRPr="0007034B">
        <w:rPr>
          <w:rFonts w:asciiTheme="majorHAnsi" w:hAnsiTheme="majorHAnsi"/>
          <w:sz w:val="20"/>
          <w:szCs w:val="20"/>
          <w:lang w:val="es-VE"/>
        </w:rPr>
        <w:t>último</w:t>
      </w:r>
      <w:r w:rsidRPr="0007034B">
        <w:rPr>
          <w:rFonts w:asciiTheme="majorHAnsi" w:hAnsiTheme="majorHAnsi"/>
          <w:sz w:val="20"/>
          <w:szCs w:val="20"/>
          <w:lang w:val="es-VE"/>
        </w:rPr>
        <w:t xml:space="preserve">, en relación con </w:t>
      </w:r>
      <w:r w:rsidR="00975749" w:rsidRPr="0007034B">
        <w:rPr>
          <w:rFonts w:asciiTheme="majorHAnsi" w:hAnsiTheme="majorHAnsi"/>
          <w:sz w:val="20"/>
          <w:szCs w:val="20"/>
          <w:lang w:val="es-VE"/>
        </w:rPr>
        <w:t xml:space="preserve">el alegato del Estado sobre la demora en el traslado de la petición, </w:t>
      </w:r>
      <w:r w:rsidR="00AA523F" w:rsidRPr="0007034B">
        <w:rPr>
          <w:rFonts w:asciiTheme="majorHAnsi" w:hAnsiTheme="majorHAnsi"/>
          <w:sz w:val="20"/>
          <w:szCs w:val="20"/>
          <w:lang w:val="es-VE"/>
        </w:rPr>
        <w:t>la Comisión ha establecido que la aplicación analógica del artículo 46.1 b) de la Convención Americana a la apertura a trámite no encuentra sustento en dicho instrumento</w:t>
      </w:r>
      <w:r w:rsidR="001320F7" w:rsidRPr="0007034B">
        <w:rPr>
          <w:rFonts w:asciiTheme="majorHAnsi" w:hAnsiTheme="majorHAnsi"/>
          <w:sz w:val="20"/>
          <w:szCs w:val="20"/>
          <w:lang w:val="es-VE"/>
        </w:rPr>
        <w:t xml:space="preserve">, </w:t>
      </w:r>
      <w:r w:rsidR="00AA523F" w:rsidRPr="0007034B">
        <w:rPr>
          <w:rFonts w:asciiTheme="majorHAnsi" w:hAnsiTheme="majorHAnsi"/>
          <w:sz w:val="20"/>
          <w:szCs w:val="20"/>
          <w:lang w:val="es-VE"/>
        </w:rPr>
        <w:t>en vista que e</w:t>
      </w:r>
      <w:r w:rsidR="001320F7" w:rsidRPr="0007034B">
        <w:rPr>
          <w:rFonts w:asciiTheme="majorHAnsi" w:hAnsiTheme="majorHAnsi"/>
          <w:sz w:val="20"/>
          <w:szCs w:val="20"/>
          <w:lang w:val="es-VE"/>
        </w:rPr>
        <w:t>s</w:t>
      </w:r>
      <w:r w:rsidR="00AA523F" w:rsidRPr="0007034B">
        <w:rPr>
          <w:rFonts w:asciiTheme="majorHAnsi" w:hAnsiTheme="majorHAnsi"/>
          <w:sz w:val="20"/>
          <w:szCs w:val="20"/>
          <w:lang w:val="es-VE"/>
        </w:rPr>
        <w:t>te plazo no guarda ninguna relación con los plazos de tramitación de dichas peticiones por parte de la Comisión Interamericana</w:t>
      </w:r>
      <w:r w:rsidR="0015056B" w:rsidRPr="0007034B">
        <w:rPr>
          <w:rStyle w:val="FootnoteReference"/>
          <w:rFonts w:asciiTheme="majorHAnsi" w:hAnsiTheme="majorHAnsi"/>
          <w:sz w:val="20"/>
          <w:szCs w:val="20"/>
          <w:lang w:val="es-VE"/>
        </w:rPr>
        <w:footnoteReference w:id="103"/>
      </w:r>
      <w:r w:rsidR="00AA523F" w:rsidRPr="0007034B">
        <w:rPr>
          <w:rFonts w:asciiTheme="majorHAnsi" w:hAnsiTheme="majorHAnsi"/>
          <w:sz w:val="20"/>
          <w:szCs w:val="20"/>
          <w:lang w:val="es-VE"/>
        </w:rPr>
        <w:t>.</w:t>
      </w:r>
      <w:r w:rsidR="0015056B" w:rsidRPr="0007034B">
        <w:rPr>
          <w:rFonts w:asciiTheme="majorHAnsi" w:hAnsiTheme="majorHAnsi"/>
          <w:sz w:val="20"/>
          <w:szCs w:val="20"/>
          <w:lang w:val="es-VE"/>
        </w:rPr>
        <w:t xml:space="preserve"> La Corte Interamericana ha concluido, en el mismo sentido, que la demora excesiva en la tramitación inicial no </w:t>
      </w:r>
      <w:r w:rsidR="0015056B" w:rsidRPr="0007034B">
        <w:rPr>
          <w:rFonts w:asciiTheme="majorHAnsi" w:hAnsiTheme="majorHAnsi"/>
          <w:sz w:val="20"/>
          <w:szCs w:val="20"/>
          <w:lang w:val="es-VE"/>
        </w:rPr>
        <w:lastRenderedPageBreak/>
        <w:t>constituye una violación indirecta de la norma establecida en el artículo 46.1.b de la Convención Americana</w:t>
      </w:r>
      <w:r w:rsidR="007E12C3" w:rsidRPr="0007034B">
        <w:rPr>
          <w:rStyle w:val="FootnoteReference"/>
          <w:rFonts w:asciiTheme="majorHAnsi" w:hAnsiTheme="majorHAnsi"/>
          <w:sz w:val="20"/>
          <w:szCs w:val="20"/>
          <w:lang w:val="es-VE"/>
        </w:rPr>
        <w:footnoteReference w:id="104"/>
      </w:r>
      <w:r w:rsidR="00E97E2E" w:rsidRPr="0007034B">
        <w:rPr>
          <w:rFonts w:asciiTheme="majorHAnsi" w:hAnsiTheme="majorHAnsi"/>
          <w:sz w:val="20"/>
          <w:szCs w:val="20"/>
          <w:lang w:val="es-VE"/>
        </w:rPr>
        <w:t>.</w:t>
      </w:r>
      <w:r w:rsidR="00AA523F" w:rsidRPr="0007034B">
        <w:rPr>
          <w:rFonts w:asciiTheme="majorHAnsi" w:hAnsiTheme="majorHAnsi"/>
          <w:sz w:val="20"/>
          <w:szCs w:val="20"/>
          <w:lang w:val="es-VE"/>
        </w:rPr>
        <w:t xml:space="preserve"> </w:t>
      </w:r>
      <w:r w:rsidR="007E7044" w:rsidRPr="0007034B">
        <w:rPr>
          <w:rFonts w:asciiTheme="majorHAnsi" w:hAnsiTheme="majorHAnsi"/>
          <w:sz w:val="20"/>
          <w:szCs w:val="20"/>
          <w:lang w:val="es-VE"/>
        </w:rPr>
        <w:t xml:space="preserve">  </w:t>
      </w:r>
      <w:r w:rsidR="0023174D" w:rsidRPr="0007034B">
        <w:rPr>
          <w:rFonts w:asciiTheme="majorHAnsi" w:hAnsiTheme="majorHAnsi"/>
          <w:sz w:val="20"/>
          <w:szCs w:val="20"/>
          <w:lang w:val="es-VE"/>
        </w:rPr>
        <w:t xml:space="preserve"> </w:t>
      </w:r>
    </w:p>
    <w:p w14:paraId="729B5ECF" w14:textId="78FC1D3F" w:rsidR="00F84E88" w:rsidRDefault="00F84E88">
      <w:pPr>
        <w:rPr>
          <w:rFonts w:asciiTheme="majorHAnsi" w:eastAsia="Times New Roman" w:hAnsiTheme="majorHAnsi" w:cs="Arial"/>
          <w:b/>
          <w:bCs/>
          <w:iCs/>
          <w:sz w:val="20"/>
          <w:szCs w:val="20"/>
          <w:bdr w:val="none" w:sz="0" w:space="0" w:color="auto"/>
          <w:lang w:val="es-ES_tradnl"/>
        </w:rPr>
      </w:pPr>
      <w:bookmarkStart w:id="64" w:name="_Toc485650798"/>
      <w:bookmarkStart w:id="65" w:name="_Toc6349168"/>
      <w:bookmarkStart w:id="66" w:name="_Toc6466661"/>
    </w:p>
    <w:p w14:paraId="269123D1" w14:textId="238CFB8F" w:rsidR="004D6618" w:rsidRPr="00F84E88" w:rsidRDefault="00760F09" w:rsidP="00B14871">
      <w:pPr>
        <w:pStyle w:val="Heading2"/>
        <w:numPr>
          <w:ilvl w:val="0"/>
          <w:numId w:val="65"/>
        </w:numPr>
        <w:ind w:hanging="720"/>
        <w:jc w:val="both"/>
        <w:rPr>
          <w:i/>
        </w:rPr>
      </w:pPr>
      <w:r w:rsidRPr="007E73E1">
        <w:t xml:space="preserve">Derechos al reconocimiento de la personalidad jurídica, </w:t>
      </w:r>
      <w:r w:rsidR="00053B6C" w:rsidRPr="007E73E1">
        <w:t xml:space="preserve">a la libertad personal, </w:t>
      </w:r>
      <w:r w:rsidR="00620888" w:rsidRPr="007E73E1">
        <w:t xml:space="preserve">a la integridad personal, </w:t>
      </w:r>
      <w:r w:rsidR="00E664A6" w:rsidRPr="007E73E1">
        <w:t xml:space="preserve">a la </w:t>
      </w:r>
      <w:r w:rsidRPr="007E73E1">
        <w:t xml:space="preserve">vida, </w:t>
      </w:r>
      <w:r w:rsidR="005449F9" w:rsidRPr="007E73E1">
        <w:t>a las garantías ju</w:t>
      </w:r>
      <w:r w:rsidR="00620888" w:rsidRPr="007E73E1">
        <w:t>diciales y</w:t>
      </w:r>
      <w:r w:rsidR="00B54583" w:rsidRPr="007E73E1">
        <w:t xml:space="preserve"> a</w:t>
      </w:r>
      <w:r w:rsidR="005449F9" w:rsidRPr="007E73E1">
        <w:t xml:space="preserve"> la protección judicial </w:t>
      </w:r>
      <w:r w:rsidR="00170FA2" w:rsidRPr="007E73E1">
        <w:t>(</w:t>
      </w:r>
      <w:r w:rsidR="001F0175" w:rsidRPr="007E73E1">
        <w:t>A</w:t>
      </w:r>
      <w:r w:rsidR="00170FA2" w:rsidRPr="007E73E1">
        <w:t xml:space="preserve">rtículos </w:t>
      </w:r>
      <w:r w:rsidR="00DB4E00" w:rsidRPr="007E73E1">
        <w:t>3, 7, 5 y 4</w:t>
      </w:r>
      <w:r w:rsidR="00170FA2" w:rsidRPr="007E73E1">
        <w:t xml:space="preserve"> </w:t>
      </w:r>
      <w:r w:rsidR="00EE15F8" w:rsidRPr="007E73E1">
        <w:t>de la Convención Americana</w:t>
      </w:r>
      <w:r w:rsidR="00170FA2" w:rsidRPr="007E73E1">
        <w:t>)</w:t>
      </w:r>
      <w:r w:rsidR="0022273F" w:rsidRPr="007E73E1">
        <w:t xml:space="preserve"> </w:t>
      </w:r>
      <w:bookmarkEnd w:id="64"/>
      <w:r w:rsidR="00213147" w:rsidRPr="007E73E1">
        <w:t xml:space="preserve">en </w:t>
      </w:r>
      <w:r w:rsidR="0022273F" w:rsidRPr="007E73E1">
        <w:t xml:space="preserve">relación con </w:t>
      </w:r>
      <w:r w:rsidR="00E664A6" w:rsidRPr="007E73E1">
        <w:t>la obligación de respetar y garantizar los derechos</w:t>
      </w:r>
      <w:r w:rsidR="00C75D2F" w:rsidRPr="007E73E1">
        <w:t xml:space="preserve"> </w:t>
      </w:r>
      <w:r w:rsidR="00170FA2" w:rsidRPr="007E73E1">
        <w:t>(</w:t>
      </w:r>
      <w:r w:rsidR="001F0175" w:rsidRPr="007E73E1">
        <w:t>A</w:t>
      </w:r>
      <w:r w:rsidR="00170FA2" w:rsidRPr="007E73E1">
        <w:t>rtículo 1.1</w:t>
      </w:r>
      <w:r w:rsidR="00F576E2" w:rsidRPr="007E73E1">
        <w:t xml:space="preserve"> </w:t>
      </w:r>
      <w:r w:rsidR="00170FA2" w:rsidRPr="007E73E1">
        <w:t>del mismo instrumento)</w:t>
      </w:r>
      <w:r w:rsidR="00E664A6" w:rsidRPr="00F9082E">
        <w:rPr>
          <w:rStyle w:val="FootnoteReference"/>
          <w:rFonts w:cs="Times New Roman"/>
          <w:bCs w:val="0"/>
          <w:iCs w:val="0"/>
          <w:color w:val="000000"/>
          <w:u w:color="000000"/>
          <w:bdr w:val="nil"/>
          <w:lang w:val="es-VE" w:eastAsia="es-ES"/>
        </w:rPr>
        <w:footnoteReference w:id="105"/>
      </w:r>
      <w:r w:rsidR="00620888" w:rsidRPr="007E73E1">
        <w:t>;</w:t>
      </w:r>
      <w:r w:rsidR="00213147" w:rsidRPr="007E73E1">
        <w:t xml:space="preserve"> </w:t>
      </w:r>
      <w:r w:rsidR="00EE15F8" w:rsidRPr="007E73E1">
        <w:t>artículo I</w:t>
      </w:r>
      <w:r w:rsidR="00A70262" w:rsidRPr="007E73E1">
        <w:t xml:space="preserve"> inciso </w:t>
      </w:r>
      <w:r w:rsidR="00213147" w:rsidRPr="007E73E1">
        <w:t>a)</w:t>
      </w:r>
      <w:r w:rsidR="00EE15F8" w:rsidRPr="007E73E1">
        <w:t xml:space="preserve"> </w:t>
      </w:r>
      <w:r w:rsidR="00213147" w:rsidRPr="007E73E1">
        <w:t>de la C</w:t>
      </w:r>
      <w:r w:rsidR="005C023C" w:rsidRPr="007E73E1">
        <w:t>IDFP</w:t>
      </w:r>
      <w:r w:rsidR="00EE15F8" w:rsidRPr="00F9082E">
        <w:rPr>
          <w:rStyle w:val="FootnoteReference"/>
          <w:rFonts w:cs="Times New Roman"/>
          <w:bCs w:val="0"/>
          <w:iCs w:val="0"/>
          <w:color w:val="000000"/>
          <w:u w:color="000000"/>
          <w:bdr w:val="nil"/>
          <w:lang w:val="es-VE" w:eastAsia="es-ES"/>
        </w:rPr>
        <w:footnoteReference w:id="106"/>
      </w:r>
      <w:r w:rsidR="00E53949" w:rsidRPr="007E73E1">
        <w:t xml:space="preserve">; y derechos </w:t>
      </w:r>
      <w:r w:rsidR="004A6145" w:rsidRPr="007E73E1">
        <w:t xml:space="preserve">de reconocimiento de la personalidad jurídica y de los derechos civiles, de protección contra la detención arbitraria y </w:t>
      </w:r>
      <w:r w:rsidR="00E53949" w:rsidRPr="007E73E1">
        <w:t>a la vida, a la libertad, a la seguridad e integridad de la persona</w:t>
      </w:r>
      <w:r w:rsidR="00523A7A" w:rsidRPr="0007034B">
        <w:t xml:space="preserve"> </w:t>
      </w:r>
      <w:r w:rsidR="00E53949" w:rsidRPr="0007034B">
        <w:t>(</w:t>
      </w:r>
      <w:r w:rsidR="001F0175" w:rsidRPr="0007034B">
        <w:t>A</w:t>
      </w:r>
      <w:r w:rsidR="00E53949" w:rsidRPr="0007034B">
        <w:t xml:space="preserve">rtículos </w:t>
      </w:r>
      <w:r w:rsidR="004A6145" w:rsidRPr="0007034B">
        <w:t>XVII, XXV</w:t>
      </w:r>
      <w:r w:rsidR="00386714" w:rsidRPr="0007034B">
        <w:t xml:space="preserve"> y</w:t>
      </w:r>
      <w:r w:rsidR="004A6145" w:rsidRPr="0007034B">
        <w:t xml:space="preserve"> </w:t>
      </w:r>
      <w:r w:rsidR="003E2BF9" w:rsidRPr="0007034B">
        <w:t>I</w:t>
      </w:r>
      <w:r w:rsidR="004A6145" w:rsidRPr="0007034B">
        <w:t xml:space="preserve"> </w:t>
      </w:r>
      <w:r w:rsidR="00386714" w:rsidRPr="0007034B">
        <w:t xml:space="preserve">de </w:t>
      </w:r>
      <w:r w:rsidR="008F1835" w:rsidRPr="0007034B">
        <w:t>la Declaración Americana</w:t>
      </w:r>
      <w:r w:rsidR="00386714" w:rsidRPr="0007034B">
        <w:rPr>
          <w:rStyle w:val="FootnoteReference"/>
          <w:rFonts w:cs="Times New Roman"/>
          <w:bCs w:val="0"/>
          <w:iCs w:val="0"/>
          <w:color w:val="000000"/>
          <w:u w:color="000000"/>
          <w:bdr w:val="nil"/>
          <w:lang w:val="es-VE" w:eastAsia="es-ES"/>
        </w:rPr>
        <w:footnoteReference w:id="107"/>
      </w:r>
      <w:r w:rsidR="008F1835" w:rsidRPr="0007034B">
        <w:t>)</w:t>
      </w:r>
      <w:r w:rsidR="00E53949" w:rsidRPr="0007034B">
        <w:t xml:space="preserve">, en relación con </w:t>
      </w:r>
      <w:r w:rsidR="008F1835" w:rsidRPr="0007034B">
        <w:t xml:space="preserve">el </w:t>
      </w:r>
      <w:r w:rsidR="00E53949" w:rsidRPr="0007034B">
        <w:t xml:space="preserve">derecho a la infancia </w:t>
      </w:r>
      <w:r w:rsidR="00523A7A" w:rsidRPr="0007034B">
        <w:t>(</w:t>
      </w:r>
      <w:r w:rsidR="001F0175" w:rsidRPr="0007034B">
        <w:t>A</w:t>
      </w:r>
      <w:r w:rsidR="00523A7A" w:rsidRPr="0007034B">
        <w:t>rtículo VII</w:t>
      </w:r>
      <w:r w:rsidR="00ED263F" w:rsidRPr="0007034B">
        <w:t xml:space="preserve"> de la Declaración</w:t>
      </w:r>
      <w:r w:rsidR="00386714" w:rsidRPr="0007034B">
        <w:rPr>
          <w:rStyle w:val="FootnoteReference"/>
          <w:rFonts w:cs="Times New Roman"/>
          <w:bCs w:val="0"/>
          <w:iCs w:val="0"/>
          <w:color w:val="000000"/>
          <w:u w:color="000000"/>
          <w:bdr w:val="nil"/>
          <w:lang w:val="es-VE" w:eastAsia="es-ES"/>
        </w:rPr>
        <w:footnoteReference w:id="108"/>
      </w:r>
      <w:r w:rsidR="00523A7A" w:rsidRPr="0007034B">
        <w:t>)</w:t>
      </w:r>
      <w:bookmarkEnd w:id="65"/>
      <w:bookmarkEnd w:id="66"/>
    </w:p>
    <w:p w14:paraId="2917C0AD" w14:textId="77777777" w:rsidR="001D18C7" w:rsidRPr="0007034B" w:rsidRDefault="001D18C7" w:rsidP="001D18C7">
      <w:pPr>
        <w:pStyle w:val="ListParagraph"/>
        <w:ind w:left="1440"/>
        <w:jc w:val="both"/>
        <w:rPr>
          <w:rFonts w:asciiTheme="majorHAnsi" w:hAnsiTheme="majorHAnsi"/>
          <w:b/>
          <w:color w:val="auto"/>
          <w:sz w:val="20"/>
          <w:szCs w:val="20"/>
          <w:lang w:val="es-ES"/>
        </w:rPr>
      </w:pPr>
    </w:p>
    <w:p w14:paraId="0F4765B9" w14:textId="5B545108" w:rsidR="00FD5A99" w:rsidRPr="007E73E1" w:rsidRDefault="001D18C7" w:rsidP="00B14871">
      <w:pPr>
        <w:pStyle w:val="Heading3"/>
        <w:numPr>
          <w:ilvl w:val="0"/>
          <w:numId w:val="69"/>
        </w:numPr>
        <w:ind w:hanging="720"/>
      </w:pPr>
      <w:bookmarkStart w:id="67" w:name="_Toc6349169"/>
      <w:bookmarkStart w:id="68" w:name="_Toc6466662"/>
      <w:r w:rsidRPr="007E73E1">
        <w:t xml:space="preserve">Consideraciones generales sobre </w:t>
      </w:r>
      <w:r w:rsidR="009B5E9D" w:rsidRPr="007E73E1">
        <w:t>la desaparición forzada de personas</w:t>
      </w:r>
      <w:bookmarkEnd w:id="67"/>
      <w:bookmarkEnd w:id="68"/>
    </w:p>
    <w:p w14:paraId="41161883" w14:textId="77777777" w:rsidR="00FD5A99" w:rsidRPr="0007034B" w:rsidRDefault="00FD5A99" w:rsidP="00FD5A99">
      <w:pPr>
        <w:pStyle w:val="ListParagraph"/>
        <w:ind w:left="1440"/>
        <w:jc w:val="both"/>
        <w:rPr>
          <w:rFonts w:asciiTheme="majorHAnsi" w:hAnsiTheme="majorHAnsi"/>
          <w:b/>
          <w:color w:val="auto"/>
          <w:sz w:val="20"/>
          <w:szCs w:val="20"/>
          <w:lang w:val="es-ES"/>
        </w:rPr>
      </w:pPr>
    </w:p>
    <w:p w14:paraId="07B73D2C" w14:textId="77777777" w:rsidR="00EE15F8" w:rsidRPr="0007034B" w:rsidRDefault="00EE15F8" w:rsidP="00F23D41">
      <w:pPr>
        <w:numPr>
          <w:ilvl w:val="0"/>
          <w:numId w:val="55"/>
        </w:numPr>
        <w:pBdr>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r w:rsidRPr="0007034B">
        <w:rPr>
          <w:rFonts w:asciiTheme="majorHAnsi" w:hAnsiTheme="majorHAnsi"/>
          <w:sz w:val="20"/>
          <w:szCs w:val="20"/>
          <w:lang w:val="es-CO"/>
        </w:rPr>
        <w:t xml:space="preserve">La jurisprudencia constante del Sistema Interamericano en casos de desaparición forzada de personas, ha indicado que constituye un hecho ilícito que genera una violación múltiple y continuada de varios derechos </w:t>
      </w:r>
      <w:r w:rsidRPr="0007034B">
        <w:rPr>
          <w:rFonts w:asciiTheme="majorHAnsi" w:hAnsiTheme="majorHAnsi" w:cs="Calibri"/>
          <w:color w:val="000000"/>
          <w:sz w:val="20"/>
          <w:szCs w:val="20"/>
          <w:lang w:val="es-ES"/>
        </w:rPr>
        <w:t>protegidos</w:t>
      </w:r>
      <w:r w:rsidRPr="0007034B">
        <w:rPr>
          <w:rFonts w:asciiTheme="majorHAnsi" w:hAnsiTheme="majorHAnsi"/>
          <w:sz w:val="20"/>
          <w:szCs w:val="20"/>
          <w:lang w:val="es-CO"/>
        </w:rPr>
        <w:t xml:space="preserve"> por la Convención Americana y coloca a las víctimas en un estado de completa indefensión, acarreando otras violaciones conexas</w:t>
      </w:r>
      <w:r w:rsidR="00D32A52" w:rsidRPr="0007034B">
        <w:rPr>
          <w:rFonts w:asciiTheme="majorHAnsi" w:hAnsiTheme="majorHAnsi"/>
          <w:sz w:val="20"/>
          <w:szCs w:val="20"/>
          <w:lang w:val="es-CO"/>
        </w:rPr>
        <w:t>, siendo particularmente grave cuando forma parte de un patrón sistemático o práctica aplicada o tolerada por el Estado</w:t>
      </w:r>
      <w:r w:rsidRPr="0007034B">
        <w:rPr>
          <w:rFonts w:asciiTheme="majorHAnsi" w:hAnsiTheme="majorHAnsi"/>
          <w:sz w:val="20"/>
          <w:szCs w:val="20"/>
          <w:vertAlign w:val="superscript"/>
          <w:lang w:val="es-CO"/>
        </w:rPr>
        <w:footnoteReference w:id="109"/>
      </w:r>
      <w:r w:rsidRPr="0007034B">
        <w:rPr>
          <w:rFonts w:asciiTheme="majorHAnsi" w:hAnsiTheme="majorHAnsi"/>
          <w:sz w:val="20"/>
          <w:szCs w:val="20"/>
          <w:lang w:val="es-CO"/>
        </w:rPr>
        <w:t xml:space="preserve">. </w:t>
      </w:r>
      <w:r w:rsidRPr="0007034B">
        <w:rPr>
          <w:rFonts w:asciiTheme="majorHAnsi" w:hAnsiTheme="majorHAnsi"/>
          <w:sz w:val="20"/>
          <w:szCs w:val="20"/>
          <w:lang w:val="es-ES_tradnl"/>
        </w:rPr>
        <w:t xml:space="preserve">De acuerdo con su jurisprudencia consolidada, la Comisión considera que la desaparición forzada es una violación de derechos humanos compleja que continúa en el tiempo hasta tanto el paradero de la víctima o de </w:t>
      </w:r>
      <w:r w:rsidRPr="0007034B">
        <w:rPr>
          <w:rFonts w:asciiTheme="majorHAnsi" w:eastAsia="Times New Roman" w:hAnsiTheme="majorHAnsi"/>
          <w:spacing w:val="-3"/>
          <w:sz w:val="20"/>
          <w:szCs w:val="20"/>
          <w:lang w:val="es-CR"/>
        </w:rPr>
        <w:t>sus</w:t>
      </w:r>
      <w:r w:rsidRPr="0007034B">
        <w:rPr>
          <w:rFonts w:asciiTheme="majorHAnsi" w:hAnsiTheme="majorHAnsi"/>
          <w:sz w:val="20"/>
          <w:szCs w:val="20"/>
          <w:lang w:val="es-ES_tradnl"/>
        </w:rPr>
        <w:t xml:space="preserve"> restos continúa desconocido. La desaparición como tal sólo cesa cuando aparece la víctima o sus restos son ubicados, </w:t>
      </w:r>
      <w:r w:rsidRPr="0007034B">
        <w:rPr>
          <w:rFonts w:asciiTheme="majorHAnsi" w:hAnsiTheme="majorHAnsi" w:cs="Times"/>
          <w:sz w:val="20"/>
          <w:szCs w:val="20"/>
          <w:lang w:val="es-US" w:eastAsia="es-CR"/>
        </w:rPr>
        <w:t>de modo que se determine con certeza su identidad</w:t>
      </w:r>
      <w:r w:rsidR="00F80DE5" w:rsidRPr="0007034B">
        <w:rPr>
          <w:rStyle w:val="FootnoteReference"/>
          <w:rFonts w:asciiTheme="majorHAnsi" w:hAnsiTheme="majorHAnsi"/>
          <w:sz w:val="20"/>
          <w:szCs w:val="20"/>
          <w:lang w:val="es-ES_tradnl"/>
        </w:rPr>
        <w:footnoteReference w:id="110"/>
      </w:r>
      <w:r w:rsidRPr="0007034B">
        <w:rPr>
          <w:rFonts w:asciiTheme="majorHAnsi" w:hAnsiTheme="majorHAnsi"/>
          <w:sz w:val="20"/>
          <w:szCs w:val="20"/>
          <w:lang w:val="es-US" w:eastAsia="es-CR"/>
        </w:rPr>
        <w:t>.</w:t>
      </w:r>
    </w:p>
    <w:p w14:paraId="1BB283D3" w14:textId="77777777" w:rsidR="00EE15F8" w:rsidRPr="0007034B" w:rsidRDefault="00EE15F8" w:rsidP="00EE15F8">
      <w:pPr>
        <w:pStyle w:val="ListParagraph"/>
        <w:rPr>
          <w:rFonts w:asciiTheme="majorHAnsi" w:eastAsia="Times New Roman" w:hAnsiTheme="majorHAnsi"/>
          <w:sz w:val="20"/>
          <w:szCs w:val="20"/>
          <w:lang w:val="es-CR"/>
        </w:rPr>
      </w:pPr>
    </w:p>
    <w:p w14:paraId="2A77EA07" w14:textId="77777777" w:rsidR="00EE15F8" w:rsidRPr="0007034B" w:rsidRDefault="00EE15F8" w:rsidP="00F23D41">
      <w:pPr>
        <w:numPr>
          <w:ilvl w:val="0"/>
          <w:numId w:val="55"/>
        </w:numPr>
        <w:pBdr>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r w:rsidRPr="0007034B">
        <w:rPr>
          <w:rFonts w:asciiTheme="majorHAnsi" w:eastAsia="Times New Roman" w:hAnsiTheme="majorHAnsi"/>
          <w:sz w:val="20"/>
          <w:szCs w:val="20"/>
          <w:lang w:val="es-CR"/>
        </w:rPr>
        <w:lastRenderedPageBreak/>
        <w:t>Respecto a los derechos vulnerados,</w:t>
      </w:r>
      <w:r w:rsidRPr="0007034B">
        <w:rPr>
          <w:rFonts w:asciiTheme="majorHAnsi" w:eastAsia="Times New Roman" w:hAnsiTheme="majorHAnsi"/>
          <w:sz w:val="20"/>
          <w:szCs w:val="20"/>
          <w:lang w:val="es-VE"/>
        </w:rPr>
        <w:t xml:space="preserve"> </w:t>
      </w:r>
      <w:r w:rsidRPr="0007034B">
        <w:rPr>
          <w:rFonts w:asciiTheme="majorHAnsi" w:eastAsia="Times New Roman" w:hAnsiTheme="majorHAnsi"/>
          <w:sz w:val="20"/>
          <w:szCs w:val="20"/>
          <w:lang w:val="es-CR"/>
        </w:rPr>
        <w:t xml:space="preserve">la desaparición forzada vulnera el derecho a la libertad personal y </w:t>
      </w:r>
      <w:r w:rsidRPr="0007034B">
        <w:rPr>
          <w:rFonts w:asciiTheme="majorHAnsi" w:hAnsiTheme="majorHAnsi"/>
          <w:sz w:val="20"/>
          <w:szCs w:val="20"/>
          <w:lang w:val="es-ES_tradnl"/>
        </w:rPr>
        <w:t>coloca</w:t>
      </w:r>
      <w:r w:rsidRPr="0007034B">
        <w:rPr>
          <w:rFonts w:asciiTheme="majorHAnsi" w:eastAsia="Times New Roman" w:hAnsiTheme="majorHAnsi"/>
          <w:sz w:val="20"/>
          <w:szCs w:val="20"/>
          <w:lang w:val="es-CR"/>
        </w:rPr>
        <w:t xml:space="preserve"> a la víctima </w:t>
      </w:r>
      <w:r w:rsidRPr="0007034B">
        <w:rPr>
          <w:rFonts w:asciiTheme="majorHAnsi" w:eastAsia="Times New Roman" w:hAnsiTheme="majorHAnsi"/>
          <w:sz w:val="20"/>
          <w:szCs w:val="20"/>
          <w:lang w:val="es-VE"/>
        </w:rPr>
        <w:t xml:space="preserve">en una grave situación de riesgo de sufrir daños irreparables a sus derechos a la integridad personal y a la vida. </w:t>
      </w:r>
      <w:r w:rsidRPr="0007034B">
        <w:rPr>
          <w:rFonts w:asciiTheme="majorHAnsi" w:eastAsia="Times New Roman" w:hAnsiTheme="majorHAnsi"/>
          <w:sz w:val="20"/>
          <w:szCs w:val="20"/>
          <w:lang w:val="es-ES"/>
        </w:rPr>
        <w:t xml:space="preserve">La Corte ha indicado que la desaparición forzada viola el derecho a la integridad personal puesto que </w:t>
      </w:r>
      <w:r w:rsidRPr="0007034B">
        <w:rPr>
          <w:rFonts w:asciiTheme="majorHAnsi" w:eastAsia="Times New Roman" w:hAnsiTheme="majorHAnsi"/>
          <w:sz w:val="20"/>
          <w:szCs w:val="20"/>
          <w:lang w:val="es-VE"/>
        </w:rPr>
        <w:t>“el solo hecho del aislamiento prolongado y de la incomunicación coactiva, representa un tratamiento cruel e inhumano”</w:t>
      </w:r>
      <w:r w:rsidRPr="0007034B">
        <w:rPr>
          <w:rFonts w:asciiTheme="majorHAnsi" w:eastAsia="Times New Roman" w:hAnsiTheme="majorHAnsi"/>
          <w:sz w:val="20"/>
          <w:szCs w:val="20"/>
          <w:vertAlign w:val="superscript"/>
        </w:rPr>
        <w:footnoteReference w:id="111"/>
      </w:r>
      <w:r w:rsidRPr="0007034B">
        <w:rPr>
          <w:rFonts w:asciiTheme="majorHAnsi" w:eastAsia="Times New Roman" w:hAnsiTheme="majorHAnsi"/>
          <w:sz w:val="20"/>
          <w:szCs w:val="20"/>
          <w:lang w:val="es-VE"/>
        </w:rPr>
        <w:t xml:space="preserve">. La Comisión y la Corte </w:t>
      </w:r>
      <w:r w:rsidRPr="0007034B">
        <w:rPr>
          <w:rFonts w:asciiTheme="majorHAnsi" w:hAnsiTheme="majorHAnsi"/>
          <w:sz w:val="20"/>
          <w:szCs w:val="20"/>
          <w:lang w:val="es-US"/>
        </w:rPr>
        <w:t>han establecido que resulta evidente que las víctimas de esta práctica se ven vulneradas en su integridad personal en todas sus dimensiones</w:t>
      </w:r>
      <w:r w:rsidRPr="0007034B">
        <w:rPr>
          <w:rStyle w:val="FootnoteReference"/>
          <w:rFonts w:asciiTheme="majorHAnsi" w:hAnsiTheme="majorHAnsi"/>
          <w:sz w:val="20"/>
          <w:szCs w:val="20"/>
        </w:rPr>
        <w:footnoteReference w:id="112"/>
      </w:r>
      <w:r w:rsidRPr="0007034B">
        <w:rPr>
          <w:rFonts w:asciiTheme="majorHAnsi" w:hAnsiTheme="majorHAnsi"/>
          <w:sz w:val="20"/>
          <w:szCs w:val="20"/>
          <w:lang w:val="es-US"/>
        </w:rPr>
        <w:t xml:space="preserve">. </w:t>
      </w:r>
      <w:r w:rsidRPr="0007034B">
        <w:rPr>
          <w:rFonts w:asciiTheme="majorHAnsi" w:eastAsia="Times New Roman" w:hAnsiTheme="majorHAnsi"/>
          <w:sz w:val="20"/>
          <w:szCs w:val="20"/>
          <w:lang w:val="es-VE"/>
        </w:rPr>
        <w:t xml:space="preserve">Asimismo, la Corte ha manifestado que </w:t>
      </w:r>
      <w:r w:rsidRPr="0007034B">
        <w:rPr>
          <w:rFonts w:asciiTheme="majorHAnsi" w:eastAsia="Times New Roman" w:hAnsiTheme="majorHAnsi"/>
          <w:sz w:val="20"/>
          <w:szCs w:val="20"/>
          <w:lang w:val="es-ES"/>
        </w:rPr>
        <w:t xml:space="preserve">aún en el supuesto de que no puedan demostrarse los hechos de torturas o de privación de la vida de la persona víctima de desaparición en un caso concreto, </w:t>
      </w:r>
      <w:r w:rsidRPr="0007034B">
        <w:rPr>
          <w:rFonts w:asciiTheme="majorHAnsi" w:eastAsia="Times New Roman" w:hAnsiTheme="majorHAnsi"/>
          <w:sz w:val="20"/>
          <w:szCs w:val="20"/>
          <w:lang w:val="es-VE"/>
        </w:rPr>
        <w:t xml:space="preserve">el sometimiento de detenidos a agentes estatales o </w:t>
      </w:r>
      <w:r w:rsidRPr="0007034B">
        <w:rPr>
          <w:rFonts w:asciiTheme="majorHAnsi" w:eastAsia="Times New Roman" w:hAnsiTheme="majorHAnsi"/>
          <w:sz w:val="20"/>
          <w:szCs w:val="20"/>
          <w:lang w:val="es-ES"/>
        </w:rPr>
        <w:t>particulares que actúen con su aquiescencia o tolerancia que impunemente practiquen la tortura y el asesinato representa, por sí mismo, una infracción a los derechos a la integridad personal y a la vida</w:t>
      </w:r>
      <w:r w:rsidRPr="0007034B">
        <w:rPr>
          <w:rFonts w:asciiTheme="majorHAnsi" w:eastAsia="Times New Roman" w:hAnsiTheme="majorHAnsi"/>
          <w:sz w:val="20"/>
          <w:szCs w:val="20"/>
          <w:vertAlign w:val="superscript"/>
        </w:rPr>
        <w:footnoteReference w:id="113"/>
      </w:r>
      <w:r w:rsidRPr="0007034B">
        <w:rPr>
          <w:rFonts w:asciiTheme="majorHAnsi" w:eastAsia="Times New Roman" w:hAnsiTheme="majorHAnsi"/>
          <w:sz w:val="20"/>
          <w:szCs w:val="20"/>
          <w:lang w:val="es-VE"/>
        </w:rPr>
        <w:t>.</w:t>
      </w:r>
    </w:p>
    <w:p w14:paraId="5559E71B" w14:textId="77777777" w:rsidR="00EE15F8" w:rsidRPr="0007034B" w:rsidRDefault="00EE15F8" w:rsidP="00EE15F8">
      <w:pPr>
        <w:pStyle w:val="ListParagraph"/>
        <w:tabs>
          <w:tab w:val="left" w:pos="720"/>
        </w:tabs>
        <w:rPr>
          <w:rFonts w:asciiTheme="majorHAnsi" w:hAnsiTheme="majorHAnsi" w:cs="Univers"/>
          <w:sz w:val="20"/>
          <w:szCs w:val="20"/>
          <w:lang w:val="es-MX"/>
        </w:rPr>
      </w:pPr>
    </w:p>
    <w:p w14:paraId="7503EB78" w14:textId="77777777" w:rsidR="00EE15F8" w:rsidRPr="0007034B" w:rsidRDefault="00EE15F8" w:rsidP="00F23D41">
      <w:pPr>
        <w:numPr>
          <w:ilvl w:val="0"/>
          <w:numId w:val="55"/>
        </w:numPr>
        <w:pBdr>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r w:rsidRPr="0007034B">
        <w:rPr>
          <w:rFonts w:asciiTheme="majorHAnsi" w:hAnsiTheme="majorHAnsi" w:cs="Univers"/>
          <w:sz w:val="20"/>
          <w:szCs w:val="20"/>
          <w:lang w:val="es-MX"/>
        </w:rPr>
        <w:t>De acuerdo a la jurisprudencia de ambos órganos del sistema interamericano, la</w:t>
      </w:r>
      <w:r w:rsidRPr="0007034B">
        <w:rPr>
          <w:rFonts w:asciiTheme="majorHAnsi" w:hAnsiTheme="majorHAnsi"/>
          <w:sz w:val="20"/>
          <w:szCs w:val="20"/>
          <w:lang w:val="es-ES_tradnl"/>
        </w:rPr>
        <w:t xml:space="preserve"> práctica de desapariciones ha implicado con frecuencia la ejecución de los detenidos, en secreto y sin fórmula de juicio, seguida del ocultamiento del </w:t>
      </w:r>
      <w:r w:rsidRPr="0007034B">
        <w:rPr>
          <w:rFonts w:asciiTheme="majorHAnsi" w:hAnsiTheme="majorHAnsi" w:cs="Univers"/>
          <w:sz w:val="20"/>
          <w:szCs w:val="20"/>
          <w:lang w:val="es-MX"/>
        </w:rPr>
        <w:t>cadáver</w:t>
      </w:r>
      <w:r w:rsidRPr="0007034B">
        <w:rPr>
          <w:rFonts w:asciiTheme="majorHAnsi" w:hAnsiTheme="majorHAnsi"/>
          <w:sz w:val="20"/>
          <w:szCs w:val="20"/>
          <w:lang w:val="es-ES_tradnl"/>
        </w:rPr>
        <w:t xml:space="preserve"> con el objeto de borrar toda huella material del crimen y de procurar la impunidad absoluta, lo que significa una brutal violación del derecho a la vida, reconocido en el artículo 4 de la Convención</w:t>
      </w:r>
      <w:r w:rsidRPr="0007034B">
        <w:rPr>
          <w:rStyle w:val="FootnoteReference"/>
          <w:rFonts w:asciiTheme="majorHAnsi" w:hAnsiTheme="majorHAnsi"/>
          <w:sz w:val="20"/>
          <w:szCs w:val="20"/>
        </w:rPr>
        <w:footnoteReference w:id="114"/>
      </w:r>
      <w:r w:rsidRPr="0007034B">
        <w:rPr>
          <w:rFonts w:asciiTheme="majorHAnsi" w:hAnsiTheme="majorHAnsi"/>
          <w:sz w:val="20"/>
          <w:szCs w:val="20"/>
          <w:lang w:val="es-ES_tradnl"/>
        </w:rPr>
        <w:t>. La jurisprudencia también ha establecido que el hecho de que una persona esté desaparecida durante un largo lapso de tiempo y en un contexto de violencia es un indicio suficiente para concluir que la persona fue privada de su vida</w:t>
      </w:r>
      <w:r w:rsidRPr="0007034B">
        <w:rPr>
          <w:rStyle w:val="FootnoteReference"/>
          <w:rFonts w:asciiTheme="majorHAnsi" w:hAnsiTheme="majorHAnsi"/>
          <w:spacing w:val="-3"/>
          <w:sz w:val="20"/>
          <w:szCs w:val="20"/>
          <w:lang w:val="es-ES_tradnl"/>
        </w:rPr>
        <w:footnoteReference w:id="115"/>
      </w:r>
      <w:r w:rsidRPr="0007034B">
        <w:rPr>
          <w:rFonts w:asciiTheme="majorHAnsi" w:hAnsiTheme="majorHAnsi"/>
          <w:sz w:val="20"/>
          <w:szCs w:val="20"/>
          <w:lang w:val="es-ES_tradnl"/>
        </w:rPr>
        <w:t xml:space="preserve">. </w:t>
      </w:r>
    </w:p>
    <w:p w14:paraId="326D53AE" w14:textId="77777777" w:rsidR="00EE15F8" w:rsidRPr="0007034B" w:rsidRDefault="00EE15F8" w:rsidP="00EE15F8">
      <w:pPr>
        <w:pStyle w:val="ListParagraph"/>
        <w:tabs>
          <w:tab w:val="left" w:pos="720"/>
        </w:tabs>
        <w:rPr>
          <w:rFonts w:asciiTheme="majorHAnsi" w:hAnsiTheme="majorHAnsi"/>
          <w:sz w:val="20"/>
          <w:szCs w:val="20"/>
          <w:lang w:val="es-CO"/>
        </w:rPr>
      </w:pPr>
    </w:p>
    <w:p w14:paraId="25062482" w14:textId="77777777" w:rsidR="00CC3FE6" w:rsidRPr="0007034B" w:rsidRDefault="00EE15F8" w:rsidP="00F23D41">
      <w:pPr>
        <w:numPr>
          <w:ilvl w:val="0"/>
          <w:numId w:val="55"/>
        </w:numPr>
        <w:pBdr>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r w:rsidRPr="0007034B">
        <w:rPr>
          <w:rFonts w:asciiTheme="majorHAnsi" w:hAnsiTheme="majorHAnsi"/>
          <w:sz w:val="20"/>
          <w:szCs w:val="20"/>
          <w:lang w:val="es-CO"/>
        </w:rPr>
        <w:t xml:space="preserve">Adicionalmente, la Comisión ha señalado de manera consistente que en casos de desaparición </w:t>
      </w:r>
      <w:r w:rsidRPr="0007034B">
        <w:rPr>
          <w:rFonts w:asciiTheme="majorHAnsi" w:hAnsiTheme="majorHAnsi" w:cs="Univers"/>
          <w:sz w:val="20"/>
          <w:szCs w:val="20"/>
          <w:lang w:val="es-MX"/>
        </w:rPr>
        <w:t>forzada</w:t>
      </w:r>
      <w:r w:rsidRPr="0007034B">
        <w:rPr>
          <w:rFonts w:asciiTheme="majorHAnsi" w:hAnsiTheme="majorHAnsi"/>
          <w:sz w:val="20"/>
          <w:szCs w:val="20"/>
          <w:lang w:val="es-CO"/>
        </w:rPr>
        <w:t>, atendiendo al carácter múltiple y complejo de esta grave violación de derechos humanos, su ejecución genera la vulneración específica del derecho al reconocimiento de la personalidad jurídica</w:t>
      </w:r>
      <w:r w:rsidRPr="0007034B">
        <w:rPr>
          <w:rStyle w:val="FootnoteReference"/>
          <w:rFonts w:asciiTheme="majorHAnsi" w:hAnsiTheme="majorHAnsi"/>
          <w:sz w:val="20"/>
          <w:szCs w:val="20"/>
          <w:lang w:bidi="te-IN"/>
        </w:rPr>
        <w:footnoteReference w:id="116"/>
      </w:r>
      <w:r w:rsidRPr="0007034B">
        <w:rPr>
          <w:rFonts w:asciiTheme="majorHAnsi" w:hAnsiTheme="majorHAnsi"/>
          <w:sz w:val="20"/>
          <w:szCs w:val="20"/>
          <w:lang w:val="es-CO"/>
        </w:rPr>
        <w:t>. Así lo ha reconocido también la Corte Interamericana</w:t>
      </w:r>
      <w:r w:rsidRPr="0007034B">
        <w:rPr>
          <w:rFonts w:asciiTheme="majorHAnsi" w:eastAsia="Times New Roman" w:hAnsiTheme="majorHAnsi"/>
          <w:sz w:val="20"/>
          <w:szCs w:val="20"/>
          <w:vertAlign w:val="superscript"/>
        </w:rPr>
        <w:footnoteReference w:id="117"/>
      </w:r>
      <w:r w:rsidRPr="0007034B">
        <w:rPr>
          <w:rFonts w:asciiTheme="majorHAnsi" w:hAnsiTheme="majorHAnsi"/>
          <w:sz w:val="20"/>
          <w:szCs w:val="20"/>
          <w:lang w:val="es-CO"/>
        </w:rPr>
        <w:t xml:space="preserve">. </w:t>
      </w:r>
      <w:r w:rsidRPr="0007034B">
        <w:rPr>
          <w:rFonts w:asciiTheme="majorHAnsi" w:eastAsia="Times New Roman" w:hAnsiTheme="majorHAnsi"/>
          <w:sz w:val="20"/>
          <w:szCs w:val="20"/>
          <w:lang w:val="es-VE"/>
        </w:rPr>
        <w:t xml:space="preserve">Ello se debe a que además de que la persona desaparecida </w:t>
      </w:r>
      <w:r w:rsidRPr="0007034B">
        <w:rPr>
          <w:rFonts w:asciiTheme="majorHAnsi" w:eastAsia="Times New Roman" w:hAnsiTheme="majorHAnsi"/>
          <w:sz w:val="20"/>
          <w:szCs w:val="20"/>
          <w:lang w:val="es-ES"/>
        </w:rPr>
        <w:t xml:space="preserve">no puede continuar gozando y ejerciendo los derechos de los cuales es titular, la desaparición forzada busca </w:t>
      </w:r>
      <w:r w:rsidRPr="0007034B">
        <w:rPr>
          <w:rFonts w:asciiTheme="majorHAnsi" w:eastAsia="Times New Roman" w:hAnsiTheme="majorHAnsi"/>
          <w:sz w:val="20"/>
          <w:szCs w:val="20"/>
          <w:lang w:val="es-VE"/>
        </w:rPr>
        <w:t>“</w:t>
      </w:r>
      <w:r w:rsidRPr="0007034B">
        <w:rPr>
          <w:rFonts w:asciiTheme="majorHAnsi" w:eastAsia="Times New Roman" w:hAnsiTheme="majorHAnsi"/>
          <w:sz w:val="20"/>
          <w:szCs w:val="20"/>
          <w:lang w:val="es-ES"/>
        </w:rPr>
        <w:t xml:space="preserve">no sólo una de las más graves formas de sustracción de una persona de todo ámbito del ordenamiento jurídico, sino también negar </w:t>
      </w:r>
      <w:r w:rsidRPr="0007034B">
        <w:rPr>
          <w:rFonts w:asciiTheme="majorHAnsi" w:eastAsia="Times New Roman" w:hAnsiTheme="majorHAnsi" w:cs="Verdana"/>
          <w:sz w:val="20"/>
          <w:szCs w:val="20"/>
          <w:lang w:val="es-VE"/>
        </w:rPr>
        <w:t>su existencia misma y dejarla en una suerte de limbo o situación de indeterminación jurídica ante la sociedad y el Estado”</w:t>
      </w:r>
      <w:r w:rsidRPr="0007034B">
        <w:rPr>
          <w:rFonts w:asciiTheme="majorHAnsi" w:eastAsia="Times New Roman" w:hAnsiTheme="majorHAnsi" w:cs="Verdana"/>
          <w:sz w:val="20"/>
          <w:szCs w:val="20"/>
          <w:vertAlign w:val="superscript"/>
        </w:rPr>
        <w:footnoteReference w:id="118"/>
      </w:r>
      <w:r w:rsidRPr="0007034B">
        <w:rPr>
          <w:rFonts w:asciiTheme="majorHAnsi" w:eastAsia="Times New Roman" w:hAnsiTheme="majorHAnsi" w:cs="Verdana"/>
          <w:sz w:val="20"/>
          <w:szCs w:val="20"/>
          <w:lang w:val="es-VE"/>
        </w:rPr>
        <w:t>. La Comisión considera que la desaparición forzada también implica una violación de los derechos a las garantías judiciales y protección judicial respecto de la víctima desaparecida, en cuanto a la falta de acciones de búsqueda de su paradero mediante investigaciones eficientes y a la imposibilidad de que se interpongan recursos en su favor ante la negativa del Estado del hecho de que se encuentra bajo su custodia</w:t>
      </w:r>
      <w:r w:rsidR="00432A12" w:rsidRPr="0007034B">
        <w:rPr>
          <w:rStyle w:val="FootnoteReference"/>
          <w:rFonts w:asciiTheme="majorHAnsi" w:eastAsia="Times New Roman" w:hAnsiTheme="majorHAnsi" w:cs="Verdana"/>
          <w:sz w:val="20"/>
          <w:szCs w:val="20"/>
          <w:lang w:val="es-VE"/>
        </w:rPr>
        <w:footnoteReference w:id="119"/>
      </w:r>
      <w:r w:rsidRPr="0007034B">
        <w:rPr>
          <w:rFonts w:asciiTheme="majorHAnsi" w:eastAsia="Times New Roman" w:hAnsiTheme="majorHAnsi" w:cs="Verdana"/>
          <w:sz w:val="20"/>
          <w:szCs w:val="20"/>
          <w:lang w:val="es-VE"/>
        </w:rPr>
        <w:t xml:space="preserve">. </w:t>
      </w:r>
    </w:p>
    <w:p w14:paraId="332CA3E6" w14:textId="77777777" w:rsidR="00CC3FE6" w:rsidRPr="0007034B" w:rsidRDefault="00CC3FE6" w:rsidP="00CC3FE6">
      <w:pPr>
        <w:pBdr>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p>
    <w:p w14:paraId="40B082CD" w14:textId="77B34360" w:rsidR="00CC3FE6" w:rsidRPr="0007034B" w:rsidRDefault="00CC3FE6" w:rsidP="00F23D41">
      <w:pPr>
        <w:numPr>
          <w:ilvl w:val="0"/>
          <w:numId w:val="55"/>
        </w:numPr>
        <w:pBdr>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r w:rsidRPr="0007034B">
        <w:rPr>
          <w:rFonts w:asciiTheme="majorHAnsi" w:eastAsia="Times New Roman" w:hAnsiTheme="majorHAnsi" w:cs="Verdana"/>
          <w:sz w:val="20"/>
          <w:szCs w:val="20"/>
          <w:lang w:val="es-VE"/>
        </w:rPr>
        <w:t xml:space="preserve">En el caso </w:t>
      </w:r>
      <w:r w:rsidRPr="0007034B">
        <w:rPr>
          <w:rFonts w:asciiTheme="majorHAnsi" w:eastAsia="Calibri" w:hAnsiTheme="majorHAnsi"/>
          <w:sz w:val="20"/>
          <w:szCs w:val="20"/>
          <w:lang w:val="es-CO"/>
        </w:rPr>
        <w:t xml:space="preserve">Comunidad Campesina de Santa Bárbara vs. Perú, la Corte recapituló su jurisprudencia en materia de desaparición forzada, específicamente en casos donde la calificación jurídica de los hechos como tal, se dio por  “[…] lo que los agentes estatales hicieron después de dar muerte a las víctimas, esto es, la </w:t>
      </w:r>
      <w:r w:rsidRPr="0007034B">
        <w:rPr>
          <w:rFonts w:asciiTheme="majorHAnsi" w:eastAsia="Calibri" w:hAnsiTheme="majorHAnsi"/>
          <w:sz w:val="20"/>
          <w:szCs w:val="20"/>
          <w:lang w:val="es-CO"/>
        </w:rPr>
        <w:lastRenderedPageBreak/>
        <w:t>adopción de medidas dirigidas a ocultar lo que realmente había ocurrido o borrar todo rastro de los cuerpos para evitar su identificación o que su destino o paradero fuera establecido”</w:t>
      </w:r>
      <w:r w:rsidRPr="0007034B">
        <w:rPr>
          <w:rStyle w:val="FootnoteReference"/>
          <w:rFonts w:asciiTheme="majorHAnsi" w:eastAsia="Calibri" w:hAnsiTheme="majorHAnsi"/>
          <w:sz w:val="20"/>
          <w:szCs w:val="20"/>
          <w:lang w:val="es-CO"/>
        </w:rPr>
        <w:footnoteReference w:id="120"/>
      </w:r>
      <w:r w:rsidRPr="0007034B">
        <w:rPr>
          <w:rFonts w:asciiTheme="majorHAnsi" w:eastAsia="Calibri" w:hAnsiTheme="majorHAnsi"/>
          <w:sz w:val="20"/>
          <w:szCs w:val="20"/>
          <w:lang w:val="es-CO"/>
        </w:rPr>
        <w:t>. La Corte también refirió los estándares del Grupo de Trabajo sobre las Desaparición Forzadas e Involuntarias de Personas de Naciones Unidas en cuanto a que lo que distingue a la desaparición forzada de una ejecución extrajudicial, es la negativa de los perpetradores del hecho, en su calidad de agentes estatales o con aquiescencia de éstos, “incluso después de haberse llevado a cabo la ejecución, se nieguen a revelar la suerte o el paradero de esas personas o a reconocer que el acto se haya cometido en absoluto”</w:t>
      </w:r>
      <w:r w:rsidRPr="0007034B">
        <w:rPr>
          <w:rStyle w:val="FootnoteReference"/>
          <w:rFonts w:asciiTheme="majorHAnsi" w:eastAsia="Calibri" w:hAnsiTheme="majorHAnsi"/>
          <w:sz w:val="20"/>
          <w:szCs w:val="20"/>
          <w:lang w:val="es-CO"/>
        </w:rPr>
        <w:footnoteReference w:id="121"/>
      </w:r>
      <w:r w:rsidRPr="0007034B">
        <w:rPr>
          <w:rFonts w:asciiTheme="majorHAnsi" w:eastAsia="Calibri" w:hAnsiTheme="majorHAnsi"/>
          <w:sz w:val="20"/>
          <w:szCs w:val="20"/>
          <w:lang w:val="es-CO"/>
        </w:rPr>
        <w:t>. En ese sentido, la Corte reafirmó que “la existencia de mayores o menores indicios sobre la muerte de las víctimas” no modifica la calificación de los hechos como desaparición forzada</w:t>
      </w:r>
      <w:r w:rsidRPr="0007034B">
        <w:rPr>
          <w:rStyle w:val="FootnoteReference"/>
          <w:rFonts w:asciiTheme="majorHAnsi" w:eastAsia="Calibri" w:hAnsiTheme="majorHAnsi"/>
          <w:sz w:val="20"/>
          <w:szCs w:val="20"/>
          <w:lang w:val="es-CO"/>
        </w:rPr>
        <w:footnoteReference w:id="122"/>
      </w:r>
      <w:r w:rsidRPr="0007034B">
        <w:rPr>
          <w:rFonts w:asciiTheme="majorHAnsi" w:eastAsia="Calibri" w:hAnsiTheme="majorHAnsi"/>
          <w:sz w:val="20"/>
          <w:szCs w:val="20"/>
          <w:lang w:val="es-CO"/>
        </w:rPr>
        <w:t xml:space="preserve">.  </w:t>
      </w:r>
    </w:p>
    <w:p w14:paraId="712AEAA3" w14:textId="77777777" w:rsidR="00CC3FE6" w:rsidRPr="0007034B" w:rsidRDefault="00CC3FE6" w:rsidP="00CC3FE6">
      <w:pPr>
        <w:pBdr>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p>
    <w:p w14:paraId="6E119E52" w14:textId="7953784B" w:rsidR="00953885" w:rsidRPr="0007034B" w:rsidRDefault="00C75D2F" w:rsidP="00F23D41">
      <w:pPr>
        <w:numPr>
          <w:ilvl w:val="0"/>
          <w:numId w:val="55"/>
        </w:numPr>
        <w:pBdr>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r w:rsidRPr="0007034B">
        <w:rPr>
          <w:rFonts w:asciiTheme="majorHAnsi" w:eastAsia="Times New Roman" w:hAnsiTheme="majorHAnsi" w:cs="Verdana"/>
          <w:sz w:val="20"/>
          <w:szCs w:val="20"/>
          <w:lang w:val="es-VE"/>
        </w:rPr>
        <w:t>Por otra parte, el fenómeno de la desaparición de niños y niñas en el marco de contextos de violencia, tanto dictatoriales como de conflicto armado, y su relación con el concepto de desaparición forzada, han sido objeto de atención por parte de la comunidad internacional</w:t>
      </w:r>
      <w:r w:rsidR="007B145D" w:rsidRPr="0007034B">
        <w:rPr>
          <w:rStyle w:val="FootnoteReference"/>
          <w:rFonts w:asciiTheme="majorHAnsi" w:eastAsia="Times New Roman" w:hAnsiTheme="majorHAnsi" w:cs="Verdana"/>
          <w:sz w:val="20"/>
          <w:szCs w:val="20"/>
          <w:lang w:val="es-VE"/>
        </w:rPr>
        <w:footnoteReference w:id="123"/>
      </w:r>
      <w:r w:rsidR="00EB45B8" w:rsidRPr="0007034B">
        <w:rPr>
          <w:rFonts w:asciiTheme="majorHAnsi" w:eastAsia="Times New Roman" w:hAnsiTheme="majorHAnsi" w:cs="Verdana"/>
          <w:sz w:val="20"/>
          <w:szCs w:val="20"/>
          <w:lang w:val="es-VE"/>
        </w:rPr>
        <w:t>.</w:t>
      </w:r>
      <w:r w:rsidRPr="0007034B">
        <w:rPr>
          <w:rFonts w:asciiTheme="majorHAnsi" w:eastAsia="Times New Roman" w:hAnsiTheme="majorHAnsi" w:cs="Verdana"/>
          <w:sz w:val="20"/>
          <w:szCs w:val="20"/>
          <w:lang w:val="es-VE"/>
        </w:rPr>
        <w:t xml:space="preserve"> </w:t>
      </w:r>
      <w:r w:rsidR="00F833E2" w:rsidRPr="0007034B">
        <w:rPr>
          <w:rFonts w:asciiTheme="majorHAnsi" w:eastAsia="Times New Roman" w:hAnsiTheme="majorHAnsi" w:cs="Verdana"/>
          <w:sz w:val="20"/>
          <w:szCs w:val="20"/>
          <w:lang w:val="es-VE"/>
        </w:rPr>
        <w:t>Al respecto, la Corte Interamericana ha establecido</w:t>
      </w:r>
      <w:r w:rsidR="00350A32" w:rsidRPr="0007034B">
        <w:rPr>
          <w:rFonts w:asciiTheme="majorHAnsi" w:eastAsia="Times New Roman" w:hAnsiTheme="majorHAnsi" w:cs="Verdana"/>
          <w:sz w:val="20"/>
          <w:szCs w:val="20"/>
          <w:lang w:val="es-VE"/>
        </w:rPr>
        <w:t xml:space="preserve"> que la sustracción y separación de niños y niñas de sus padres así como el hecho de quedar bajo el control de efectivos militares en el transcurso de una operación militar, produce una afectación a la integridad psíquica, física y moral de los niños y niñas, generándoles sentimientos de pérdida, abandono, intenso temor, incertidumbre, angustia, dolor, los cuales pueden variar e intensificarse dependiendo de la edad y las circunstancias particulares</w:t>
      </w:r>
      <w:r w:rsidR="00350A32" w:rsidRPr="0007034B">
        <w:rPr>
          <w:rStyle w:val="FootnoteReference"/>
          <w:rFonts w:asciiTheme="majorHAnsi" w:eastAsia="Times New Roman" w:hAnsiTheme="majorHAnsi" w:cs="Verdana"/>
          <w:sz w:val="20"/>
          <w:szCs w:val="20"/>
          <w:lang w:val="es-VE"/>
        </w:rPr>
        <w:footnoteReference w:id="124"/>
      </w:r>
      <w:r w:rsidR="00381DFC" w:rsidRPr="0007034B">
        <w:rPr>
          <w:rFonts w:asciiTheme="majorHAnsi" w:eastAsia="Times New Roman" w:hAnsiTheme="majorHAnsi" w:cs="Verdana"/>
          <w:sz w:val="20"/>
          <w:szCs w:val="20"/>
          <w:lang w:val="es-VE"/>
        </w:rPr>
        <w:t>.</w:t>
      </w:r>
    </w:p>
    <w:p w14:paraId="34F39744" w14:textId="77777777" w:rsidR="00953885" w:rsidRPr="0007034B" w:rsidRDefault="00953885" w:rsidP="00CC3FE6">
      <w:pPr>
        <w:pStyle w:val="ListParagraph"/>
        <w:ind w:left="0"/>
        <w:rPr>
          <w:rFonts w:asciiTheme="majorHAnsi" w:eastAsia="Times New Roman" w:hAnsiTheme="majorHAnsi"/>
          <w:sz w:val="20"/>
          <w:szCs w:val="20"/>
          <w:lang w:val="es-ES"/>
        </w:rPr>
      </w:pPr>
    </w:p>
    <w:p w14:paraId="7FFEDFB2" w14:textId="77777777" w:rsidR="00D8005C" w:rsidRPr="0007034B" w:rsidRDefault="00953885" w:rsidP="00F23D41">
      <w:pPr>
        <w:numPr>
          <w:ilvl w:val="0"/>
          <w:numId w:val="55"/>
        </w:numPr>
        <w:pBdr>
          <w:left w:val="none" w:sz="0" w:space="0" w:color="auto"/>
          <w:bottom w:val="none" w:sz="0" w:space="0" w:color="auto"/>
          <w:right w:val="none" w:sz="0" w:space="0" w:color="auto"/>
          <w:between w:val="none" w:sz="0" w:space="0" w:color="auto"/>
          <w:bar w:val="none" w:sz="0" w:color="auto"/>
        </w:pBdr>
        <w:tabs>
          <w:tab w:val="left" w:pos="720"/>
        </w:tabs>
        <w:ind w:left="0" w:firstLine="0"/>
        <w:jc w:val="both"/>
        <w:rPr>
          <w:rFonts w:asciiTheme="majorHAnsi" w:hAnsiTheme="majorHAnsi"/>
          <w:sz w:val="20"/>
          <w:szCs w:val="20"/>
          <w:lang w:val="es-CO"/>
        </w:rPr>
      </w:pPr>
      <w:r w:rsidRPr="0007034B">
        <w:rPr>
          <w:rFonts w:asciiTheme="majorHAnsi" w:eastAsia="Times New Roman" w:hAnsiTheme="majorHAnsi"/>
          <w:sz w:val="20"/>
          <w:szCs w:val="20"/>
          <w:lang w:val="es-ES" w:eastAsia="es-ES"/>
        </w:rPr>
        <w:t>Asimismo, en el Caso Gelman, la Corte consideró que</w:t>
      </w:r>
      <w:r w:rsidR="00D8005C" w:rsidRPr="0007034B">
        <w:rPr>
          <w:rStyle w:val="FootnoteReference"/>
          <w:rFonts w:asciiTheme="majorHAnsi" w:eastAsia="Times New Roman" w:hAnsiTheme="majorHAnsi"/>
          <w:sz w:val="20"/>
          <w:szCs w:val="20"/>
          <w:lang w:val="es-ES" w:eastAsia="es-ES"/>
        </w:rPr>
        <w:footnoteReference w:id="125"/>
      </w:r>
      <w:r w:rsidR="00D8005C" w:rsidRPr="0007034B">
        <w:rPr>
          <w:rFonts w:asciiTheme="majorHAnsi" w:eastAsia="Times New Roman" w:hAnsiTheme="majorHAnsi"/>
          <w:sz w:val="20"/>
          <w:szCs w:val="20"/>
          <w:lang w:val="es-ES" w:eastAsia="es-ES"/>
        </w:rPr>
        <w:t>:</w:t>
      </w:r>
    </w:p>
    <w:p w14:paraId="6FD8A141" w14:textId="77777777" w:rsidR="00D8005C" w:rsidRPr="0007034B" w:rsidRDefault="00D8005C" w:rsidP="00D8005C">
      <w:pPr>
        <w:pStyle w:val="ListParagraph"/>
        <w:rPr>
          <w:rFonts w:asciiTheme="majorHAnsi" w:eastAsia="Times New Roman" w:hAnsiTheme="majorHAnsi"/>
          <w:sz w:val="20"/>
          <w:szCs w:val="20"/>
          <w:lang w:val="es-ES"/>
        </w:rPr>
      </w:pPr>
    </w:p>
    <w:p w14:paraId="64AF2289" w14:textId="123AD1B5" w:rsidR="00953885" w:rsidRPr="00F9082E" w:rsidRDefault="00B97CFC" w:rsidP="00D8005C">
      <w:pPr>
        <w:pBdr>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s-CO"/>
        </w:rPr>
      </w:pPr>
      <w:r w:rsidRPr="00F9082E">
        <w:rPr>
          <w:rFonts w:asciiTheme="majorHAnsi" w:eastAsia="Times New Roman" w:hAnsiTheme="majorHAnsi"/>
          <w:sz w:val="18"/>
          <w:szCs w:val="18"/>
          <w:lang w:val="es-ES" w:eastAsia="es-ES"/>
        </w:rPr>
        <w:t xml:space="preserve">(…) </w:t>
      </w:r>
      <w:r w:rsidR="00953885" w:rsidRPr="00F9082E">
        <w:rPr>
          <w:rFonts w:asciiTheme="majorHAnsi" w:eastAsia="Times New Roman" w:hAnsiTheme="majorHAnsi"/>
          <w:sz w:val="18"/>
          <w:szCs w:val="18"/>
          <w:lang w:val="es-ES" w:eastAsia="es-ES"/>
        </w:rPr>
        <w:t>la sustracción, supresión y sustitución de identidad de María Macarena Gelman García como consecuencia de la detención y posterior traslado de su madre embarazada a otro Estado pueden calificarse como una forma particular de desaparición forzada de personas, por haber tenido el mismo propósito o efecto, al dejar la incógnita por la falta de información sobre su destino o paradero o la negativa a reconocerlo, en los propios términos de la referida Convención Interamericana. Esto es consistente con el concepto y los elementos constitutivos de la desaparición forzada ya abordados (supra párrs. 64 a 78), entre ellos, la definición contenida en la Convención Internacional para la protección de todas las personas contra las desapariciones forzadas, de 2007, que en su artículo 2° se refiere a “cualquier otra forma de privación de libertad.</w:t>
      </w:r>
    </w:p>
    <w:p w14:paraId="2DCCDF93" w14:textId="77777777" w:rsidR="00003419" w:rsidRPr="0007034B" w:rsidRDefault="00003419" w:rsidP="00003419">
      <w:pPr>
        <w:pStyle w:val="ListParagraph"/>
        <w:rPr>
          <w:rFonts w:asciiTheme="majorHAnsi" w:hAnsiTheme="majorHAnsi"/>
          <w:sz w:val="20"/>
          <w:szCs w:val="20"/>
          <w:lang w:val="es-CO"/>
        </w:rPr>
      </w:pPr>
    </w:p>
    <w:p w14:paraId="27A9E345" w14:textId="77777777" w:rsidR="00003419" w:rsidRPr="0007034B" w:rsidRDefault="00003419" w:rsidP="00F23D41">
      <w:pPr>
        <w:numPr>
          <w:ilvl w:val="0"/>
          <w:numId w:val="55"/>
        </w:numPr>
        <w:pBdr>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r w:rsidRPr="0007034B">
        <w:rPr>
          <w:rFonts w:asciiTheme="majorHAnsi" w:hAnsiTheme="majorHAnsi"/>
          <w:sz w:val="20"/>
          <w:szCs w:val="20"/>
          <w:lang w:val="es-CO"/>
        </w:rPr>
        <w:t>Por otra parte, la Corte ha estable</w:t>
      </w:r>
      <w:r w:rsidR="00A468EC" w:rsidRPr="0007034B">
        <w:rPr>
          <w:rFonts w:asciiTheme="majorHAnsi" w:hAnsiTheme="majorHAnsi"/>
          <w:sz w:val="20"/>
          <w:szCs w:val="20"/>
          <w:lang w:val="es-CO"/>
        </w:rPr>
        <w:t xml:space="preserve">cido que </w:t>
      </w:r>
      <w:r w:rsidRPr="0007034B">
        <w:rPr>
          <w:rFonts w:asciiTheme="majorHAnsi" w:hAnsiTheme="majorHAnsi"/>
          <w:sz w:val="20"/>
          <w:szCs w:val="20"/>
          <w:lang w:val="es-CO"/>
        </w:rPr>
        <w:t xml:space="preserve">la situación de un </w:t>
      </w:r>
      <w:r w:rsidR="00A468EC" w:rsidRPr="0007034B">
        <w:rPr>
          <w:rFonts w:asciiTheme="majorHAnsi" w:hAnsiTheme="majorHAnsi"/>
          <w:sz w:val="20"/>
          <w:szCs w:val="20"/>
          <w:lang w:val="es-CO"/>
        </w:rPr>
        <w:t>niño o niña</w:t>
      </w:r>
      <w:r w:rsidRPr="0007034B">
        <w:rPr>
          <w:rFonts w:asciiTheme="majorHAnsi" w:hAnsiTheme="majorHAnsi"/>
          <w:sz w:val="20"/>
          <w:szCs w:val="20"/>
          <w:lang w:val="es-CO"/>
        </w:rPr>
        <w:t xml:space="preserve"> cuya identidad familiar ha sido alterada ilegalmente y causada por la desaparición forzada de </w:t>
      </w:r>
      <w:r w:rsidR="00A468EC" w:rsidRPr="0007034B">
        <w:rPr>
          <w:rFonts w:asciiTheme="majorHAnsi" w:hAnsiTheme="majorHAnsi"/>
          <w:sz w:val="20"/>
          <w:szCs w:val="20"/>
          <w:lang w:val="es-CO"/>
        </w:rPr>
        <w:t>su padre o madre, “</w:t>
      </w:r>
      <w:r w:rsidRPr="0007034B">
        <w:rPr>
          <w:rFonts w:asciiTheme="majorHAnsi" w:hAnsiTheme="majorHAnsi"/>
          <w:sz w:val="20"/>
          <w:szCs w:val="20"/>
          <w:lang w:val="es-CO"/>
        </w:rPr>
        <w:t>solo cesa cuando la verdad sobre su identidad es revelada por cualquier medio y se garantizan a la víctima las posibilidades jurídicas y fácticas de recuperar su verdadera identidad y, en su caso, vínculo familiar, con las consecuencias jurídicas pertinentes</w:t>
      </w:r>
      <w:r w:rsidR="00682A35" w:rsidRPr="0007034B">
        <w:rPr>
          <w:rFonts w:asciiTheme="majorHAnsi" w:hAnsiTheme="majorHAnsi"/>
          <w:sz w:val="20"/>
          <w:szCs w:val="20"/>
          <w:lang w:val="es-CO"/>
        </w:rPr>
        <w:t>”</w:t>
      </w:r>
      <w:r w:rsidR="00682A35" w:rsidRPr="0007034B">
        <w:rPr>
          <w:rStyle w:val="FootnoteReference"/>
          <w:rFonts w:asciiTheme="majorHAnsi" w:hAnsiTheme="majorHAnsi"/>
          <w:sz w:val="20"/>
          <w:szCs w:val="20"/>
          <w:lang w:val="es-CO"/>
        </w:rPr>
        <w:footnoteReference w:id="126"/>
      </w:r>
      <w:r w:rsidRPr="0007034B">
        <w:rPr>
          <w:rFonts w:asciiTheme="majorHAnsi" w:hAnsiTheme="majorHAnsi"/>
          <w:bCs/>
          <w:sz w:val="20"/>
          <w:szCs w:val="20"/>
          <w:lang w:val="es-CO"/>
        </w:rPr>
        <w:t>.</w:t>
      </w:r>
    </w:p>
    <w:p w14:paraId="3B8091E1" w14:textId="77777777" w:rsidR="00953885" w:rsidRPr="0007034B" w:rsidRDefault="00953885" w:rsidP="00CC3FE6">
      <w:pPr>
        <w:pBdr>
          <w:left w:val="none" w:sz="0" w:space="0" w:color="auto"/>
          <w:bottom w:val="none" w:sz="0" w:space="0" w:color="auto"/>
          <w:right w:val="none" w:sz="0" w:space="0" w:color="auto"/>
          <w:between w:val="none" w:sz="0" w:space="0" w:color="auto"/>
          <w:bar w:val="none" w:sz="0" w:color="auto"/>
        </w:pBdr>
        <w:tabs>
          <w:tab w:val="left" w:pos="720"/>
        </w:tabs>
        <w:jc w:val="both"/>
        <w:rPr>
          <w:rFonts w:asciiTheme="majorHAnsi" w:hAnsiTheme="majorHAnsi"/>
          <w:sz w:val="20"/>
          <w:szCs w:val="20"/>
          <w:lang w:val="es-CO"/>
        </w:rPr>
      </w:pPr>
    </w:p>
    <w:p w14:paraId="4E6926F9" w14:textId="77777777" w:rsidR="00D506F5" w:rsidRPr="0007034B" w:rsidRDefault="00EE15F8" w:rsidP="00F23D41">
      <w:pPr>
        <w:numPr>
          <w:ilvl w:val="0"/>
          <w:numId w:val="55"/>
        </w:numPr>
        <w:pBdr>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r w:rsidRPr="0007034B">
        <w:rPr>
          <w:rFonts w:asciiTheme="majorHAnsi" w:eastAsia="Times New Roman" w:hAnsiTheme="majorHAnsi"/>
          <w:sz w:val="20"/>
          <w:szCs w:val="20"/>
          <w:lang w:val="es-ES" w:eastAsia="es-ES"/>
        </w:rPr>
        <w:t>Los elementos concurrentes y constitutivos para determinar que en un caso ocurrió una desaparición forzada son:</w:t>
      </w:r>
      <w:r w:rsidRPr="0007034B">
        <w:rPr>
          <w:rFonts w:asciiTheme="majorHAnsi" w:eastAsia="Times New Roman" w:hAnsiTheme="majorHAnsi"/>
          <w:sz w:val="20"/>
          <w:szCs w:val="20"/>
          <w:lang w:val="es-VE"/>
        </w:rPr>
        <w:t xml:space="preserve"> i) la</w:t>
      </w:r>
      <w:r w:rsidRPr="0007034B">
        <w:rPr>
          <w:rFonts w:asciiTheme="majorHAnsi" w:eastAsia="Times New Roman" w:hAnsiTheme="majorHAnsi"/>
          <w:b/>
          <w:sz w:val="20"/>
          <w:szCs w:val="20"/>
          <w:lang w:val="es-VE"/>
        </w:rPr>
        <w:t xml:space="preserve"> </w:t>
      </w:r>
      <w:r w:rsidRPr="0007034B">
        <w:rPr>
          <w:rFonts w:asciiTheme="majorHAnsi" w:eastAsia="Times New Roman" w:hAnsiTheme="majorHAnsi"/>
          <w:sz w:val="20"/>
          <w:szCs w:val="20"/>
          <w:lang w:val="es-VE"/>
        </w:rPr>
        <w:t xml:space="preserve">privación de la libertad; ii) la intervención directa de agentes estatales o la autorización, </w:t>
      </w:r>
      <w:r w:rsidRPr="0007034B">
        <w:rPr>
          <w:rFonts w:asciiTheme="majorHAnsi" w:eastAsia="Times New Roman" w:hAnsiTheme="majorHAnsi"/>
          <w:sz w:val="20"/>
          <w:szCs w:val="20"/>
          <w:lang w:val="es-VE"/>
        </w:rPr>
        <w:lastRenderedPageBreak/>
        <w:t>apoyo o aquiescencia de éstos; y iii) la negativa de reconocer la detención o de revelar la suerte o paradero de la persona desaparecida</w:t>
      </w:r>
      <w:r w:rsidRPr="0007034B">
        <w:rPr>
          <w:rFonts w:asciiTheme="majorHAnsi" w:eastAsia="Times New Roman" w:hAnsiTheme="majorHAnsi"/>
          <w:sz w:val="20"/>
          <w:szCs w:val="20"/>
          <w:vertAlign w:val="superscript"/>
        </w:rPr>
        <w:footnoteReference w:id="127"/>
      </w:r>
      <w:r w:rsidRPr="0007034B">
        <w:rPr>
          <w:rFonts w:asciiTheme="majorHAnsi" w:eastAsia="Times New Roman" w:hAnsiTheme="majorHAnsi"/>
          <w:sz w:val="20"/>
          <w:szCs w:val="20"/>
          <w:lang w:val="es-VE"/>
        </w:rPr>
        <w:t>.</w:t>
      </w:r>
    </w:p>
    <w:p w14:paraId="33090E2D" w14:textId="77777777" w:rsidR="00D506F5" w:rsidRPr="0007034B" w:rsidRDefault="00D506F5" w:rsidP="00D506F5">
      <w:pPr>
        <w:pStyle w:val="ListParagraph"/>
        <w:rPr>
          <w:rFonts w:asciiTheme="majorHAnsi" w:eastAsia="Times New Roman" w:hAnsiTheme="majorHAnsi"/>
          <w:sz w:val="20"/>
          <w:szCs w:val="20"/>
          <w:lang w:val="es-ES"/>
        </w:rPr>
      </w:pPr>
    </w:p>
    <w:p w14:paraId="7D71A784" w14:textId="2774C8AB" w:rsidR="00EE15F8" w:rsidRPr="007E73E1" w:rsidRDefault="00EE15F8" w:rsidP="007E73E1">
      <w:pPr>
        <w:pStyle w:val="Heading3"/>
      </w:pPr>
      <w:bookmarkStart w:id="69" w:name="_Toc6349170"/>
      <w:bookmarkStart w:id="70" w:name="_Toc6466663"/>
      <w:r w:rsidRPr="007E73E1">
        <w:t>Análisis del caso</w:t>
      </w:r>
      <w:bookmarkEnd w:id="69"/>
      <w:bookmarkEnd w:id="70"/>
    </w:p>
    <w:p w14:paraId="0C34649F" w14:textId="77777777" w:rsidR="00E664A6" w:rsidRPr="0007034B" w:rsidRDefault="00E664A6" w:rsidP="00FD5A99">
      <w:pPr>
        <w:pStyle w:val="ListParagraph"/>
        <w:ind w:left="1440"/>
        <w:jc w:val="both"/>
        <w:rPr>
          <w:rFonts w:asciiTheme="majorHAnsi" w:hAnsiTheme="majorHAnsi"/>
          <w:b/>
          <w:color w:val="auto"/>
          <w:sz w:val="20"/>
          <w:szCs w:val="20"/>
          <w:lang w:val="es-ES"/>
        </w:rPr>
      </w:pPr>
    </w:p>
    <w:p w14:paraId="5104F05E" w14:textId="0BAB3C82" w:rsidR="00D506F5" w:rsidRPr="0007034B" w:rsidRDefault="00D506F5" w:rsidP="00F23D41">
      <w:pPr>
        <w:numPr>
          <w:ilvl w:val="0"/>
          <w:numId w:val="55"/>
        </w:numPr>
        <w:pBdr>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r w:rsidRPr="0007034B">
        <w:rPr>
          <w:rFonts w:asciiTheme="majorHAnsi" w:eastAsia="Times New Roman" w:hAnsiTheme="majorHAnsi"/>
          <w:sz w:val="20"/>
          <w:szCs w:val="20"/>
          <w:lang w:val="es-ES" w:eastAsia="es-ES"/>
        </w:rPr>
        <w:t xml:space="preserve">A continuación, la Comisión determinará si lo sucedido a </w:t>
      </w:r>
      <w:r w:rsidR="002E0B03" w:rsidRPr="0007034B">
        <w:rPr>
          <w:rFonts w:asciiTheme="majorHAnsi" w:eastAsia="Times New Roman" w:hAnsiTheme="majorHAnsi"/>
          <w:sz w:val="20"/>
          <w:szCs w:val="20"/>
          <w:lang w:val="es-ES" w:eastAsia="es-ES"/>
        </w:rPr>
        <w:t>Victoria Grisonas</w:t>
      </w:r>
      <w:r w:rsidR="00696DB1" w:rsidRPr="0007034B">
        <w:rPr>
          <w:rFonts w:asciiTheme="majorHAnsi" w:eastAsia="Times New Roman" w:hAnsiTheme="majorHAnsi"/>
          <w:sz w:val="20"/>
          <w:szCs w:val="20"/>
          <w:lang w:val="es-ES" w:eastAsia="es-ES"/>
        </w:rPr>
        <w:t>,</w:t>
      </w:r>
      <w:r w:rsidR="009818B7" w:rsidRPr="0007034B">
        <w:rPr>
          <w:rFonts w:asciiTheme="majorHAnsi" w:eastAsia="Times New Roman" w:hAnsiTheme="majorHAnsi"/>
          <w:sz w:val="20"/>
          <w:szCs w:val="20"/>
          <w:lang w:val="es-ES" w:eastAsia="es-ES"/>
        </w:rPr>
        <w:t xml:space="preserve"> a</w:t>
      </w:r>
      <w:r w:rsidR="002E0B03" w:rsidRPr="0007034B">
        <w:rPr>
          <w:rFonts w:asciiTheme="majorHAnsi" w:eastAsia="Times New Roman" w:hAnsiTheme="majorHAnsi"/>
          <w:sz w:val="20"/>
          <w:szCs w:val="20"/>
          <w:lang w:val="es-ES" w:eastAsia="es-ES"/>
        </w:rPr>
        <w:t xml:space="preserve"> Mario Julien</w:t>
      </w:r>
      <w:r w:rsidR="00696DB1" w:rsidRPr="0007034B">
        <w:rPr>
          <w:rFonts w:asciiTheme="majorHAnsi" w:eastAsia="Times New Roman" w:hAnsiTheme="majorHAnsi"/>
          <w:sz w:val="20"/>
          <w:szCs w:val="20"/>
          <w:lang w:val="es-ES" w:eastAsia="es-ES"/>
        </w:rPr>
        <w:t xml:space="preserve"> y a su</w:t>
      </w:r>
      <w:r w:rsidR="00D518FE" w:rsidRPr="0007034B">
        <w:rPr>
          <w:rFonts w:asciiTheme="majorHAnsi" w:eastAsia="Times New Roman" w:hAnsiTheme="majorHAnsi"/>
          <w:sz w:val="20"/>
          <w:szCs w:val="20"/>
          <w:lang w:val="es-ES" w:eastAsia="es-ES"/>
        </w:rPr>
        <w:t xml:space="preserve"> hijo e hija</w:t>
      </w:r>
      <w:r w:rsidR="00696DB1" w:rsidRPr="0007034B">
        <w:rPr>
          <w:rFonts w:asciiTheme="majorHAnsi" w:eastAsia="Times New Roman" w:hAnsiTheme="majorHAnsi"/>
          <w:sz w:val="20"/>
          <w:szCs w:val="20"/>
          <w:lang w:val="es-ES" w:eastAsia="es-ES"/>
        </w:rPr>
        <w:t>,</w:t>
      </w:r>
      <w:r w:rsidRPr="0007034B">
        <w:rPr>
          <w:rFonts w:asciiTheme="majorHAnsi" w:eastAsia="Times New Roman" w:hAnsiTheme="majorHAnsi"/>
          <w:sz w:val="20"/>
          <w:szCs w:val="20"/>
          <w:lang w:val="es-ES" w:eastAsia="es-ES"/>
        </w:rPr>
        <w:t xml:space="preserve"> constituy</w:t>
      </w:r>
      <w:r w:rsidR="00DA7F04" w:rsidRPr="0007034B">
        <w:rPr>
          <w:rFonts w:asciiTheme="majorHAnsi" w:eastAsia="Times New Roman" w:hAnsiTheme="majorHAnsi"/>
          <w:sz w:val="20"/>
          <w:szCs w:val="20"/>
          <w:lang w:val="es-ES" w:eastAsia="es-ES"/>
        </w:rPr>
        <w:t>eron</w:t>
      </w:r>
      <w:r w:rsidRPr="0007034B">
        <w:rPr>
          <w:rFonts w:asciiTheme="majorHAnsi" w:eastAsia="Times New Roman" w:hAnsiTheme="majorHAnsi"/>
          <w:sz w:val="20"/>
          <w:szCs w:val="20"/>
          <w:lang w:val="es-ES" w:eastAsia="es-ES"/>
        </w:rPr>
        <w:t xml:space="preserve"> </w:t>
      </w:r>
      <w:r w:rsidR="00996C35" w:rsidRPr="0007034B">
        <w:rPr>
          <w:rFonts w:asciiTheme="majorHAnsi" w:eastAsia="Times New Roman" w:hAnsiTheme="majorHAnsi"/>
          <w:sz w:val="20"/>
          <w:szCs w:val="20"/>
          <w:lang w:val="es-ES" w:eastAsia="es-ES"/>
        </w:rPr>
        <w:t>desapariciones forzadas</w:t>
      </w:r>
      <w:r w:rsidRPr="0007034B">
        <w:rPr>
          <w:rFonts w:asciiTheme="majorHAnsi" w:eastAsia="Times New Roman" w:hAnsiTheme="majorHAnsi"/>
          <w:sz w:val="20"/>
          <w:szCs w:val="20"/>
          <w:lang w:val="es-ES" w:eastAsia="es-ES"/>
        </w:rPr>
        <w:t>.</w:t>
      </w:r>
      <w:r w:rsidR="009074AB" w:rsidRPr="0007034B">
        <w:rPr>
          <w:rFonts w:asciiTheme="majorHAnsi" w:eastAsia="Times New Roman" w:hAnsiTheme="majorHAnsi"/>
          <w:sz w:val="20"/>
          <w:szCs w:val="20"/>
          <w:lang w:val="es-ES" w:eastAsia="es-ES"/>
        </w:rPr>
        <w:t xml:space="preserve"> </w:t>
      </w:r>
      <w:r w:rsidR="00D17633" w:rsidRPr="0007034B">
        <w:rPr>
          <w:rFonts w:asciiTheme="majorHAnsi" w:eastAsia="Times New Roman" w:hAnsiTheme="majorHAnsi"/>
          <w:sz w:val="20"/>
          <w:szCs w:val="20"/>
          <w:lang w:val="es-ES" w:eastAsia="es-ES"/>
        </w:rPr>
        <w:t>Al respecto, l</w:t>
      </w:r>
      <w:r w:rsidR="009074AB" w:rsidRPr="0007034B">
        <w:rPr>
          <w:rFonts w:asciiTheme="majorHAnsi" w:eastAsia="Times New Roman" w:hAnsiTheme="majorHAnsi"/>
          <w:sz w:val="20"/>
          <w:szCs w:val="20"/>
          <w:lang w:val="es-ES" w:eastAsia="es-ES"/>
        </w:rPr>
        <w:t xml:space="preserve">a Comisión observa que existe abundante información respecto de la </w:t>
      </w:r>
      <w:r w:rsidR="00F46F70" w:rsidRPr="0007034B">
        <w:rPr>
          <w:rFonts w:asciiTheme="majorHAnsi" w:eastAsia="Times New Roman" w:hAnsiTheme="majorHAnsi"/>
          <w:sz w:val="20"/>
          <w:szCs w:val="20"/>
          <w:lang w:val="es-ES" w:eastAsia="es-ES"/>
        </w:rPr>
        <w:t>existencia de un plan sistemático de represión ilegal por parte de miembros de las Fuerzas Armadas y de seguridad</w:t>
      </w:r>
      <w:r w:rsidR="00246844" w:rsidRPr="0007034B">
        <w:rPr>
          <w:rFonts w:asciiTheme="majorHAnsi" w:eastAsia="Times New Roman" w:hAnsiTheme="majorHAnsi"/>
          <w:sz w:val="20"/>
          <w:szCs w:val="20"/>
          <w:lang w:val="es-ES" w:eastAsia="es-ES"/>
        </w:rPr>
        <w:t>,</w:t>
      </w:r>
      <w:r w:rsidR="00F46F70" w:rsidRPr="0007034B">
        <w:rPr>
          <w:rFonts w:asciiTheme="majorHAnsi" w:eastAsia="Times New Roman" w:hAnsiTheme="majorHAnsi"/>
          <w:sz w:val="20"/>
          <w:szCs w:val="20"/>
          <w:lang w:val="es-ES" w:eastAsia="es-ES"/>
        </w:rPr>
        <w:t xml:space="preserve"> así como de </w:t>
      </w:r>
      <w:r w:rsidR="00AB715B" w:rsidRPr="0007034B">
        <w:rPr>
          <w:rFonts w:asciiTheme="majorHAnsi" w:eastAsia="Times New Roman" w:hAnsiTheme="majorHAnsi"/>
          <w:sz w:val="20"/>
          <w:szCs w:val="20"/>
          <w:lang w:val="es-ES" w:eastAsia="es-ES"/>
        </w:rPr>
        <w:t>una</w:t>
      </w:r>
      <w:r w:rsidR="00F46F70" w:rsidRPr="0007034B">
        <w:rPr>
          <w:rFonts w:asciiTheme="majorHAnsi" w:eastAsia="Times New Roman" w:hAnsiTheme="majorHAnsi"/>
          <w:sz w:val="20"/>
          <w:szCs w:val="20"/>
          <w:lang w:val="es-ES" w:eastAsia="es-ES"/>
        </w:rPr>
        <w:t xml:space="preserve"> práctica</w:t>
      </w:r>
      <w:r w:rsidR="009074AB" w:rsidRPr="0007034B">
        <w:rPr>
          <w:rFonts w:asciiTheme="majorHAnsi" w:eastAsia="Times New Roman" w:hAnsiTheme="majorHAnsi"/>
          <w:sz w:val="20"/>
          <w:szCs w:val="20"/>
          <w:lang w:val="es-ES" w:eastAsia="es-ES"/>
        </w:rPr>
        <w:t xml:space="preserve"> de desapariciones forzadas</w:t>
      </w:r>
      <w:r w:rsidR="00F46F70" w:rsidRPr="0007034B">
        <w:rPr>
          <w:rFonts w:asciiTheme="majorHAnsi" w:eastAsia="Times New Roman" w:hAnsiTheme="majorHAnsi"/>
          <w:sz w:val="20"/>
          <w:szCs w:val="20"/>
          <w:lang w:val="es-ES" w:eastAsia="es-ES"/>
        </w:rPr>
        <w:t xml:space="preserve"> </w:t>
      </w:r>
      <w:r w:rsidR="009074AB" w:rsidRPr="0007034B">
        <w:rPr>
          <w:rFonts w:asciiTheme="majorHAnsi" w:eastAsia="Times New Roman" w:hAnsiTheme="majorHAnsi"/>
          <w:sz w:val="20"/>
          <w:szCs w:val="20"/>
          <w:lang w:val="es-ES" w:eastAsia="es-ES"/>
        </w:rPr>
        <w:t xml:space="preserve">durante la dictadura argentina, lo cual ha sido establecido por </w:t>
      </w:r>
      <w:r w:rsidR="00AB715B" w:rsidRPr="0007034B">
        <w:rPr>
          <w:rFonts w:asciiTheme="majorHAnsi" w:eastAsia="Times New Roman" w:hAnsiTheme="majorHAnsi"/>
          <w:sz w:val="20"/>
          <w:szCs w:val="20"/>
          <w:lang w:val="es-ES" w:eastAsia="es-ES"/>
        </w:rPr>
        <w:t xml:space="preserve">la Comisión en su Informe sobre la Situación de los Derechos Humanos en Argentina y por </w:t>
      </w:r>
      <w:r w:rsidR="009074AB" w:rsidRPr="0007034B">
        <w:rPr>
          <w:rFonts w:asciiTheme="majorHAnsi" w:eastAsia="Times New Roman" w:hAnsiTheme="majorHAnsi"/>
          <w:sz w:val="20"/>
          <w:szCs w:val="20"/>
          <w:lang w:val="es-ES" w:eastAsia="es-ES"/>
        </w:rPr>
        <w:t xml:space="preserve">los tribunales </w:t>
      </w:r>
      <w:r w:rsidR="00F46F70" w:rsidRPr="0007034B">
        <w:rPr>
          <w:rFonts w:asciiTheme="majorHAnsi" w:eastAsia="Times New Roman" w:hAnsiTheme="majorHAnsi"/>
          <w:sz w:val="20"/>
          <w:szCs w:val="20"/>
          <w:lang w:val="es-ES" w:eastAsia="es-ES"/>
        </w:rPr>
        <w:t>nacionales</w:t>
      </w:r>
      <w:r w:rsidR="009074AB" w:rsidRPr="0007034B">
        <w:rPr>
          <w:rFonts w:asciiTheme="majorHAnsi" w:eastAsia="Times New Roman" w:hAnsiTheme="majorHAnsi"/>
          <w:sz w:val="20"/>
          <w:szCs w:val="20"/>
          <w:lang w:val="es-ES" w:eastAsia="es-ES"/>
        </w:rPr>
        <w:t xml:space="preserve"> en múltiples sentencias.</w:t>
      </w:r>
      <w:r w:rsidR="00246844" w:rsidRPr="0007034B">
        <w:rPr>
          <w:rFonts w:asciiTheme="majorHAnsi" w:eastAsia="Times New Roman" w:hAnsiTheme="majorHAnsi"/>
          <w:sz w:val="20"/>
          <w:szCs w:val="20"/>
          <w:lang w:val="es-ES" w:eastAsia="es-ES"/>
        </w:rPr>
        <w:t xml:space="preserve"> </w:t>
      </w:r>
      <w:r w:rsidR="001C327C" w:rsidRPr="0007034B">
        <w:rPr>
          <w:rFonts w:asciiTheme="majorHAnsi" w:eastAsia="Times New Roman" w:hAnsiTheme="majorHAnsi"/>
          <w:sz w:val="20"/>
          <w:szCs w:val="20"/>
          <w:lang w:val="es-ES" w:eastAsia="es-ES"/>
        </w:rPr>
        <w:t>Por otra parte</w:t>
      </w:r>
      <w:r w:rsidR="00246844" w:rsidRPr="0007034B">
        <w:rPr>
          <w:rFonts w:asciiTheme="majorHAnsi" w:eastAsia="Times New Roman" w:hAnsiTheme="majorHAnsi"/>
          <w:sz w:val="20"/>
          <w:szCs w:val="20"/>
          <w:lang w:val="es-ES" w:eastAsia="es-ES"/>
        </w:rPr>
        <w:t xml:space="preserve">, es </w:t>
      </w:r>
      <w:r w:rsidR="009165E4" w:rsidRPr="0007034B">
        <w:rPr>
          <w:rFonts w:asciiTheme="majorHAnsi" w:eastAsia="Times New Roman" w:hAnsiTheme="majorHAnsi"/>
          <w:sz w:val="20"/>
          <w:szCs w:val="20"/>
          <w:lang w:val="es-ES" w:eastAsia="es-ES"/>
        </w:rPr>
        <w:t>un hecho</w:t>
      </w:r>
      <w:r w:rsidR="00246844" w:rsidRPr="0007034B">
        <w:rPr>
          <w:rFonts w:asciiTheme="majorHAnsi" w:eastAsia="Times New Roman" w:hAnsiTheme="majorHAnsi"/>
          <w:sz w:val="20"/>
          <w:szCs w:val="20"/>
          <w:lang w:val="es-ES" w:eastAsia="es-ES"/>
        </w:rPr>
        <w:t xml:space="preserve"> probado que el presente caso se dio en el marco de la coordinación represiva de la “Operación Cóndor”, la cual tuvo como principales víctimas a nacionales de Uruguay, la mayoría refugiados en Argentina.</w:t>
      </w:r>
      <w:r w:rsidR="009165E4" w:rsidRPr="0007034B">
        <w:rPr>
          <w:rFonts w:asciiTheme="majorHAnsi" w:eastAsia="Times New Roman" w:hAnsiTheme="majorHAnsi"/>
          <w:sz w:val="20"/>
          <w:szCs w:val="20"/>
          <w:lang w:val="es-ES" w:eastAsia="es-ES"/>
        </w:rPr>
        <w:t xml:space="preserve"> </w:t>
      </w:r>
      <w:r w:rsidR="001C327C" w:rsidRPr="0007034B">
        <w:rPr>
          <w:rFonts w:asciiTheme="majorHAnsi" w:eastAsia="Times New Roman" w:hAnsiTheme="majorHAnsi"/>
          <w:sz w:val="20"/>
          <w:szCs w:val="20"/>
          <w:lang w:val="es-ES" w:eastAsia="es-ES"/>
        </w:rPr>
        <w:t>Asimismo, e</w:t>
      </w:r>
      <w:r w:rsidR="009165E4" w:rsidRPr="0007034B">
        <w:rPr>
          <w:rFonts w:asciiTheme="majorHAnsi" w:eastAsia="Times New Roman" w:hAnsiTheme="majorHAnsi"/>
          <w:sz w:val="20"/>
          <w:szCs w:val="20"/>
          <w:lang w:val="es-ES" w:eastAsia="es-ES"/>
        </w:rPr>
        <w:t xml:space="preserve">stá también comprobada la existencia en la época de </w:t>
      </w:r>
      <w:r w:rsidR="001C327C" w:rsidRPr="0007034B">
        <w:rPr>
          <w:rFonts w:asciiTheme="majorHAnsi" w:eastAsia="Times New Roman" w:hAnsiTheme="majorHAnsi"/>
          <w:sz w:val="20"/>
          <w:szCs w:val="20"/>
          <w:lang w:val="es-ES" w:eastAsia="es-ES"/>
        </w:rPr>
        <w:t xml:space="preserve">los hechos de </w:t>
      </w:r>
      <w:r w:rsidR="00646216" w:rsidRPr="0007034B">
        <w:rPr>
          <w:rFonts w:asciiTheme="majorHAnsi" w:eastAsia="Times New Roman" w:hAnsiTheme="majorHAnsi"/>
          <w:sz w:val="20"/>
          <w:szCs w:val="20"/>
          <w:lang w:val="es-ES" w:eastAsia="es-ES"/>
        </w:rPr>
        <w:t>un plan sistemático de apropiación de niños y niñas</w:t>
      </w:r>
      <w:r w:rsidR="00D85ADF" w:rsidRPr="0007034B">
        <w:rPr>
          <w:rFonts w:asciiTheme="majorHAnsi" w:eastAsia="Times New Roman" w:hAnsiTheme="majorHAnsi"/>
          <w:sz w:val="20"/>
          <w:szCs w:val="20"/>
          <w:lang w:val="es-ES" w:eastAsia="es-ES"/>
        </w:rPr>
        <w:t xml:space="preserve"> recién nacidos o de corta edad, luego que sus progenitores eran desaparecidos o ejecutados.</w:t>
      </w:r>
      <w:r w:rsidR="009165E4" w:rsidRPr="0007034B">
        <w:rPr>
          <w:rFonts w:asciiTheme="majorHAnsi" w:eastAsia="Times New Roman" w:hAnsiTheme="majorHAnsi"/>
          <w:sz w:val="20"/>
          <w:szCs w:val="20"/>
          <w:lang w:val="es-ES" w:eastAsia="es-ES"/>
        </w:rPr>
        <w:t xml:space="preserve"> </w:t>
      </w:r>
      <w:r w:rsidR="001B233C" w:rsidRPr="0007034B">
        <w:rPr>
          <w:rFonts w:asciiTheme="majorHAnsi" w:eastAsia="Times New Roman" w:hAnsiTheme="majorHAnsi"/>
          <w:sz w:val="20"/>
          <w:szCs w:val="20"/>
          <w:lang w:val="es-ES" w:eastAsia="es-ES"/>
        </w:rPr>
        <w:t>Existe por lo tanto suficiente evidencia para sostener que dichos delitos cometidos en el contexto de la dictadura argentina constituyen crímenes de lesa humanidad, con las consecuencias legales que dicha categoría implica.</w:t>
      </w:r>
      <w:r w:rsidR="0010316F" w:rsidRPr="0007034B">
        <w:rPr>
          <w:rFonts w:asciiTheme="majorHAnsi" w:eastAsia="Times New Roman" w:hAnsiTheme="majorHAnsi"/>
          <w:sz w:val="20"/>
          <w:szCs w:val="20"/>
          <w:lang w:val="es-ES" w:eastAsia="es-ES"/>
        </w:rPr>
        <w:t xml:space="preserve"> Esta calificación fue reconocida por el propio Estado en sus escritos ante la CIDH en el marco del presente caso. </w:t>
      </w:r>
    </w:p>
    <w:p w14:paraId="4586205D" w14:textId="77777777" w:rsidR="002E0B03" w:rsidRPr="0007034B" w:rsidRDefault="002E0B03" w:rsidP="000F5F5F">
      <w:pPr>
        <w:pBdr>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p>
    <w:p w14:paraId="45945DEF" w14:textId="3E0F2AC2" w:rsidR="009074AB" w:rsidRPr="0007034B" w:rsidRDefault="009818B7" w:rsidP="00F23D41">
      <w:pPr>
        <w:numPr>
          <w:ilvl w:val="0"/>
          <w:numId w:val="55"/>
        </w:numPr>
        <w:pBdr>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r w:rsidRPr="0007034B">
        <w:rPr>
          <w:rFonts w:asciiTheme="majorHAnsi" w:hAnsiTheme="majorHAnsi"/>
          <w:sz w:val="20"/>
          <w:szCs w:val="20"/>
          <w:lang w:val="es-CO"/>
        </w:rPr>
        <w:t xml:space="preserve">En relación con Victoria Grisonas, no existe controversia respecto a la existencia de los </w:t>
      </w:r>
      <w:r w:rsidR="00F15510" w:rsidRPr="0007034B">
        <w:rPr>
          <w:rFonts w:asciiTheme="majorHAnsi" w:hAnsiTheme="majorHAnsi"/>
          <w:sz w:val="20"/>
          <w:szCs w:val="20"/>
          <w:lang w:val="es-CO"/>
        </w:rPr>
        <w:t xml:space="preserve">tres </w:t>
      </w:r>
      <w:r w:rsidRPr="0007034B">
        <w:rPr>
          <w:rFonts w:asciiTheme="majorHAnsi" w:hAnsiTheme="majorHAnsi"/>
          <w:sz w:val="20"/>
          <w:szCs w:val="20"/>
          <w:lang w:val="es-CO"/>
        </w:rPr>
        <w:t xml:space="preserve">elementos constitutivos de </w:t>
      </w:r>
      <w:r w:rsidR="005960D5" w:rsidRPr="0007034B">
        <w:rPr>
          <w:rFonts w:asciiTheme="majorHAnsi" w:hAnsiTheme="majorHAnsi"/>
          <w:sz w:val="20"/>
          <w:szCs w:val="20"/>
          <w:lang w:val="es-CO"/>
        </w:rPr>
        <w:t xml:space="preserve">la </w:t>
      </w:r>
      <w:r w:rsidRPr="0007034B">
        <w:rPr>
          <w:rFonts w:asciiTheme="majorHAnsi" w:hAnsiTheme="majorHAnsi"/>
          <w:sz w:val="20"/>
          <w:szCs w:val="20"/>
          <w:lang w:val="es-CO"/>
        </w:rPr>
        <w:t>desaparición forzada. Victoria Grisonas fue privada ilegalmente de su libertad en un operativo</w:t>
      </w:r>
      <w:r w:rsidR="00022A31" w:rsidRPr="0007034B">
        <w:rPr>
          <w:rFonts w:asciiTheme="majorHAnsi" w:hAnsiTheme="majorHAnsi"/>
          <w:sz w:val="20"/>
          <w:szCs w:val="20"/>
          <w:lang w:val="es-CO"/>
        </w:rPr>
        <w:t xml:space="preserve"> realizado </w:t>
      </w:r>
      <w:r w:rsidR="00D226F9" w:rsidRPr="0007034B">
        <w:rPr>
          <w:rFonts w:asciiTheme="majorHAnsi" w:hAnsiTheme="majorHAnsi"/>
          <w:sz w:val="20"/>
          <w:szCs w:val="20"/>
          <w:lang w:val="es-CO"/>
        </w:rPr>
        <w:t xml:space="preserve">el 26 de septiembre de 1976, </w:t>
      </w:r>
      <w:r w:rsidR="00022A31" w:rsidRPr="0007034B">
        <w:rPr>
          <w:rFonts w:asciiTheme="majorHAnsi" w:hAnsiTheme="majorHAnsi"/>
          <w:sz w:val="20"/>
          <w:szCs w:val="20"/>
          <w:lang w:val="es-CO"/>
        </w:rPr>
        <w:t xml:space="preserve">a </w:t>
      </w:r>
      <w:r w:rsidR="009074AB" w:rsidRPr="0007034B">
        <w:rPr>
          <w:rFonts w:asciiTheme="majorHAnsi" w:hAnsiTheme="majorHAnsi"/>
          <w:sz w:val="20"/>
          <w:szCs w:val="20"/>
          <w:lang w:val="es-CO"/>
        </w:rPr>
        <w:t>plena</w:t>
      </w:r>
      <w:r w:rsidR="00022A31" w:rsidRPr="0007034B">
        <w:rPr>
          <w:rFonts w:asciiTheme="majorHAnsi" w:hAnsiTheme="majorHAnsi"/>
          <w:sz w:val="20"/>
          <w:szCs w:val="20"/>
          <w:lang w:val="es-CO"/>
        </w:rPr>
        <w:t xml:space="preserve"> luz del día </w:t>
      </w:r>
      <w:r w:rsidR="00D226F9" w:rsidRPr="0007034B">
        <w:rPr>
          <w:rFonts w:asciiTheme="majorHAnsi" w:hAnsiTheme="majorHAnsi"/>
          <w:sz w:val="20"/>
          <w:szCs w:val="20"/>
          <w:lang w:val="es-CO"/>
        </w:rPr>
        <w:t xml:space="preserve">y frente a vecinos, </w:t>
      </w:r>
      <w:r w:rsidR="00022A31" w:rsidRPr="0007034B">
        <w:rPr>
          <w:rFonts w:asciiTheme="majorHAnsi" w:hAnsiTheme="majorHAnsi"/>
          <w:sz w:val="20"/>
          <w:szCs w:val="20"/>
          <w:lang w:val="es-CO"/>
        </w:rPr>
        <w:t>por parte de un alto número de militares y policías fuertemente armados</w:t>
      </w:r>
      <w:r w:rsidR="00D226F9" w:rsidRPr="0007034B">
        <w:rPr>
          <w:rFonts w:asciiTheme="majorHAnsi" w:hAnsiTheme="majorHAnsi"/>
          <w:sz w:val="20"/>
          <w:szCs w:val="20"/>
          <w:lang w:val="es-CO"/>
        </w:rPr>
        <w:t xml:space="preserve">. </w:t>
      </w:r>
      <w:r w:rsidR="00F15510" w:rsidRPr="0007034B">
        <w:rPr>
          <w:rFonts w:asciiTheme="majorHAnsi" w:hAnsiTheme="majorHAnsi"/>
          <w:sz w:val="20"/>
          <w:szCs w:val="20"/>
          <w:lang w:val="es-CO"/>
        </w:rPr>
        <w:t xml:space="preserve">Posteriormente fue conducida al centro clandestino de detención “Automotores Orletti”, donde fue vista por varios testigos. Allí fue </w:t>
      </w:r>
      <w:r w:rsidR="002C7F5D" w:rsidRPr="0007034B">
        <w:rPr>
          <w:rFonts w:asciiTheme="majorHAnsi" w:hAnsiTheme="majorHAnsi"/>
          <w:sz w:val="20"/>
          <w:szCs w:val="20"/>
          <w:lang w:val="es-CO"/>
        </w:rPr>
        <w:t xml:space="preserve">torturada y luego desaparecida. </w:t>
      </w:r>
      <w:r w:rsidR="00F15510" w:rsidRPr="0007034B">
        <w:rPr>
          <w:rFonts w:asciiTheme="majorHAnsi" w:hAnsiTheme="majorHAnsi"/>
          <w:sz w:val="20"/>
          <w:szCs w:val="20"/>
          <w:lang w:val="es-CO"/>
        </w:rPr>
        <w:t xml:space="preserve">A pesar de la intensa búsqueda realizada por su madre y suegra, y de la presentación de </w:t>
      </w:r>
      <w:r w:rsidR="00D6628A" w:rsidRPr="0007034B">
        <w:rPr>
          <w:rFonts w:asciiTheme="majorHAnsi" w:hAnsiTheme="majorHAnsi"/>
          <w:sz w:val="20"/>
          <w:szCs w:val="20"/>
          <w:lang w:val="es-CO"/>
        </w:rPr>
        <w:t xml:space="preserve">acciones de </w:t>
      </w:r>
      <w:r w:rsidR="00F15510" w:rsidRPr="0007034B">
        <w:rPr>
          <w:rFonts w:asciiTheme="majorHAnsi" w:hAnsiTheme="majorHAnsi"/>
          <w:sz w:val="20"/>
          <w:szCs w:val="20"/>
          <w:lang w:val="es-CO"/>
        </w:rPr>
        <w:t xml:space="preserve">hábeas corpus, </w:t>
      </w:r>
      <w:r w:rsidR="009074AB" w:rsidRPr="0007034B">
        <w:rPr>
          <w:rFonts w:asciiTheme="majorHAnsi" w:hAnsiTheme="majorHAnsi"/>
          <w:sz w:val="20"/>
          <w:szCs w:val="20"/>
          <w:lang w:val="es-CO"/>
        </w:rPr>
        <w:t>las autoridades no reconocieron su detención ni revelaron su paradero</w:t>
      </w:r>
      <w:r w:rsidR="0010316F" w:rsidRPr="0007034B">
        <w:rPr>
          <w:rFonts w:asciiTheme="majorHAnsi" w:hAnsiTheme="majorHAnsi"/>
          <w:sz w:val="20"/>
          <w:szCs w:val="20"/>
          <w:lang w:val="es-CO"/>
        </w:rPr>
        <w:t>, el cual continúa desconocido hasta la fecha.</w:t>
      </w:r>
    </w:p>
    <w:p w14:paraId="67E484F8" w14:textId="77777777" w:rsidR="009074AB" w:rsidRPr="0007034B" w:rsidRDefault="009074AB" w:rsidP="000F5F5F">
      <w:pPr>
        <w:pStyle w:val="ListParagraph"/>
        <w:ind w:left="0"/>
        <w:rPr>
          <w:rFonts w:asciiTheme="majorHAnsi" w:hAnsiTheme="majorHAnsi"/>
          <w:sz w:val="20"/>
          <w:szCs w:val="20"/>
          <w:lang w:val="es-CO"/>
        </w:rPr>
      </w:pPr>
    </w:p>
    <w:p w14:paraId="44CE148E" w14:textId="7C2B8796" w:rsidR="00BB0CEC" w:rsidRPr="0007034B" w:rsidRDefault="00F15510" w:rsidP="00F23D41">
      <w:pPr>
        <w:numPr>
          <w:ilvl w:val="0"/>
          <w:numId w:val="55"/>
        </w:numPr>
        <w:pBdr>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r w:rsidRPr="0007034B">
        <w:rPr>
          <w:rFonts w:asciiTheme="majorHAnsi" w:hAnsiTheme="majorHAnsi"/>
          <w:sz w:val="20"/>
          <w:szCs w:val="20"/>
          <w:lang w:val="es-CO"/>
        </w:rPr>
        <w:t xml:space="preserve"> </w:t>
      </w:r>
      <w:r w:rsidR="00067FDA" w:rsidRPr="0007034B">
        <w:rPr>
          <w:rFonts w:asciiTheme="majorHAnsi" w:hAnsiTheme="majorHAnsi"/>
          <w:sz w:val="20"/>
          <w:szCs w:val="20"/>
          <w:lang w:val="es-CO"/>
        </w:rPr>
        <w:t xml:space="preserve">Respecto a Mario Julien, </w:t>
      </w:r>
      <w:r w:rsidR="006374D6" w:rsidRPr="0007034B">
        <w:rPr>
          <w:rFonts w:asciiTheme="majorHAnsi" w:hAnsiTheme="majorHAnsi"/>
          <w:sz w:val="20"/>
          <w:szCs w:val="20"/>
          <w:lang w:val="es-CO"/>
        </w:rPr>
        <w:t xml:space="preserve">en cuanto al primer y segundo elemento, referidos a la privación de la libertad y a la intervención directa o aquiescencia de agentes estatales, no existe controversia respecto al hecho que Mario Julien fue </w:t>
      </w:r>
      <w:r w:rsidR="00B10B7C" w:rsidRPr="0007034B">
        <w:rPr>
          <w:rFonts w:asciiTheme="majorHAnsi" w:hAnsiTheme="majorHAnsi"/>
          <w:sz w:val="20"/>
          <w:szCs w:val="20"/>
          <w:lang w:val="es-CO"/>
        </w:rPr>
        <w:t>arrestado</w:t>
      </w:r>
      <w:r w:rsidR="006374D6" w:rsidRPr="0007034B">
        <w:rPr>
          <w:rFonts w:asciiTheme="majorHAnsi" w:hAnsiTheme="majorHAnsi"/>
          <w:sz w:val="20"/>
          <w:szCs w:val="20"/>
          <w:lang w:val="es-CO"/>
        </w:rPr>
        <w:t xml:space="preserve"> </w:t>
      </w:r>
      <w:r w:rsidR="00B10B7C" w:rsidRPr="0007034B">
        <w:rPr>
          <w:rFonts w:asciiTheme="majorHAnsi" w:hAnsiTheme="majorHAnsi"/>
          <w:sz w:val="20"/>
          <w:szCs w:val="20"/>
          <w:lang w:val="es-CO"/>
        </w:rPr>
        <w:t xml:space="preserve">por agentes estatales </w:t>
      </w:r>
      <w:r w:rsidR="006374D6" w:rsidRPr="0007034B">
        <w:rPr>
          <w:rFonts w:asciiTheme="majorHAnsi" w:hAnsiTheme="majorHAnsi"/>
          <w:sz w:val="20"/>
          <w:szCs w:val="20"/>
          <w:lang w:val="es-CO"/>
        </w:rPr>
        <w:t xml:space="preserve">en el mismo operativo militar en el cual fue detenida su esposa. </w:t>
      </w:r>
      <w:r w:rsidR="00A6444F" w:rsidRPr="0007034B">
        <w:rPr>
          <w:rFonts w:asciiTheme="majorHAnsi" w:hAnsiTheme="majorHAnsi"/>
          <w:sz w:val="20"/>
          <w:szCs w:val="20"/>
          <w:lang w:val="es-CO"/>
        </w:rPr>
        <w:t>En cuanto al tercer elemento, relacionado con la negativa de reconocer la detención o de revelar la suerte o paradero de la persona desaparecida, la Comisión observa que Mario Julien fue visto por última vez el día del operativo militar</w:t>
      </w:r>
      <w:r w:rsidR="005E787E" w:rsidRPr="0007034B">
        <w:rPr>
          <w:rFonts w:asciiTheme="majorHAnsi" w:hAnsiTheme="majorHAnsi"/>
          <w:sz w:val="20"/>
          <w:szCs w:val="20"/>
          <w:lang w:val="es-CO"/>
        </w:rPr>
        <w:t>, aparentemente muerto, tirado en el piso</w:t>
      </w:r>
      <w:r w:rsidR="00A6444F" w:rsidRPr="0007034B">
        <w:rPr>
          <w:rFonts w:asciiTheme="majorHAnsi" w:hAnsiTheme="majorHAnsi"/>
          <w:sz w:val="20"/>
          <w:szCs w:val="20"/>
          <w:lang w:val="es-CO"/>
        </w:rPr>
        <w:t xml:space="preserve"> </w:t>
      </w:r>
      <w:r w:rsidR="005E787E" w:rsidRPr="0007034B">
        <w:rPr>
          <w:rFonts w:asciiTheme="majorHAnsi" w:hAnsiTheme="majorHAnsi"/>
          <w:sz w:val="20"/>
          <w:szCs w:val="20"/>
          <w:lang w:val="es-CO"/>
        </w:rPr>
        <w:t>en la esquina de su casa</w:t>
      </w:r>
      <w:r w:rsidR="00A6444F" w:rsidRPr="0007034B">
        <w:rPr>
          <w:rFonts w:asciiTheme="majorHAnsi" w:hAnsiTheme="majorHAnsi"/>
          <w:sz w:val="20"/>
          <w:szCs w:val="20"/>
          <w:lang w:val="es-CO"/>
        </w:rPr>
        <w:t xml:space="preserve"> </w:t>
      </w:r>
      <w:r w:rsidR="005E787E" w:rsidRPr="0007034B">
        <w:rPr>
          <w:rFonts w:asciiTheme="majorHAnsi" w:hAnsiTheme="majorHAnsi"/>
          <w:sz w:val="20"/>
          <w:szCs w:val="20"/>
          <w:lang w:val="es-CO"/>
        </w:rPr>
        <w:t xml:space="preserve">rodeado de militares. </w:t>
      </w:r>
      <w:r w:rsidR="007A481D" w:rsidRPr="0007034B">
        <w:rPr>
          <w:rFonts w:asciiTheme="majorHAnsi" w:hAnsiTheme="majorHAnsi"/>
          <w:sz w:val="20"/>
          <w:szCs w:val="20"/>
          <w:lang w:val="es-CO"/>
        </w:rPr>
        <w:t xml:space="preserve">Desde ese momento, su cuerpo permanece desaparecido. </w:t>
      </w:r>
      <w:r w:rsidR="00CC7991" w:rsidRPr="0007034B">
        <w:rPr>
          <w:rFonts w:asciiTheme="majorHAnsi" w:hAnsiTheme="majorHAnsi"/>
          <w:sz w:val="20"/>
          <w:szCs w:val="20"/>
          <w:lang w:val="es-CO"/>
        </w:rPr>
        <w:t>Al igual que lo indicado respecto de Victoria Grisonas, la búsqueda realizada en su momento por los familiares así como las gestiones ante las autoridades</w:t>
      </w:r>
      <w:r w:rsidR="00F8136F" w:rsidRPr="0007034B">
        <w:rPr>
          <w:rFonts w:asciiTheme="majorHAnsi" w:hAnsiTheme="majorHAnsi"/>
          <w:sz w:val="20"/>
          <w:szCs w:val="20"/>
          <w:lang w:val="es-CO"/>
        </w:rPr>
        <w:t xml:space="preserve"> para conocer su paradero</w:t>
      </w:r>
      <w:r w:rsidR="00CC7991" w:rsidRPr="0007034B">
        <w:rPr>
          <w:rFonts w:asciiTheme="majorHAnsi" w:hAnsiTheme="majorHAnsi"/>
          <w:sz w:val="20"/>
          <w:szCs w:val="20"/>
          <w:lang w:val="es-CO"/>
        </w:rPr>
        <w:t>, no arrojaron resultado alguno.</w:t>
      </w:r>
    </w:p>
    <w:p w14:paraId="30F76C18" w14:textId="77777777" w:rsidR="00BB0CEC" w:rsidRPr="0007034B" w:rsidRDefault="00BB0CEC" w:rsidP="000F5F5F">
      <w:pPr>
        <w:pStyle w:val="ListParagraph"/>
        <w:ind w:left="0"/>
        <w:rPr>
          <w:rFonts w:asciiTheme="majorHAnsi" w:hAnsiTheme="majorHAnsi"/>
          <w:sz w:val="20"/>
          <w:szCs w:val="20"/>
          <w:lang w:val="es-CO"/>
        </w:rPr>
      </w:pPr>
    </w:p>
    <w:p w14:paraId="1EFAACC3" w14:textId="4099FE5D" w:rsidR="002E0B03" w:rsidRPr="0007034B" w:rsidRDefault="007A481D" w:rsidP="00F23D41">
      <w:pPr>
        <w:numPr>
          <w:ilvl w:val="0"/>
          <w:numId w:val="55"/>
        </w:numPr>
        <w:pBdr>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r w:rsidRPr="0007034B">
        <w:rPr>
          <w:rFonts w:asciiTheme="majorHAnsi" w:hAnsiTheme="majorHAnsi"/>
          <w:sz w:val="20"/>
          <w:szCs w:val="20"/>
          <w:lang w:val="es-CO"/>
        </w:rPr>
        <w:t xml:space="preserve">La Comisión observa que </w:t>
      </w:r>
      <w:r w:rsidR="00BB0CEC" w:rsidRPr="0007034B">
        <w:rPr>
          <w:rFonts w:asciiTheme="majorHAnsi" w:hAnsiTheme="majorHAnsi"/>
          <w:sz w:val="20"/>
          <w:szCs w:val="20"/>
          <w:lang w:val="es-CO"/>
        </w:rPr>
        <w:t xml:space="preserve">en el año 2012, </w:t>
      </w:r>
      <w:r w:rsidRPr="0007034B">
        <w:rPr>
          <w:rFonts w:asciiTheme="majorHAnsi" w:hAnsiTheme="majorHAnsi"/>
          <w:sz w:val="20"/>
          <w:szCs w:val="20"/>
          <w:lang w:val="es-CO"/>
        </w:rPr>
        <w:t>en el marco de la causa penal Nro. 2637/04, se informó que el 27 de septiembre de 1976 ingresó a la necrópolis del Cementerio Municipal del Partido de General San Martín un ataúd identificado como NN fallecido el día anterior, de aproximadamente 30 años de edad</w:t>
      </w:r>
      <w:r w:rsidR="00BB0CEC" w:rsidRPr="0007034B">
        <w:rPr>
          <w:rFonts w:asciiTheme="majorHAnsi" w:hAnsiTheme="majorHAnsi"/>
          <w:sz w:val="20"/>
          <w:szCs w:val="20"/>
          <w:lang w:val="es-CO"/>
        </w:rPr>
        <w:t xml:space="preserve">. La causa del fallecimiento fue registrada como abatimiento por autoridades militares y en la partida de defunción se estableció que la persona falleció “de paro cardíaco traumático. Hemorragia aguda. Heridas de bala”. Con base en dicha información, las autoridades judiciales que se encuentran actualmente investigando los hechos han determinado que Mario Julien </w:t>
      </w:r>
      <w:r w:rsidR="00697EBE" w:rsidRPr="0007034B">
        <w:rPr>
          <w:rFonts w:asciiTheme="majorHAnsi" w:hAnsiTheme="majorHAnsi"/>
          <w:sz w:val="20"/>
          <w:szCs w:val="20"/>
          <w:lang w:val="es-CO"/>
        </w:rPr>
        <w:t xml:space="preserve">falleció en el operativo militar del 26 de septiembre de 1976. Sin embargo, hasta la fecha </w:t>
      </w:r>
      <w:r w:rsidR="00B77491" w:rsidRPr="0007034B">
        <w:rPr>
          <w:rFonts w:asciiTheme="majorHAnsi" w:hAnsiTheme="majorHAnsi"/>
          <w:sz w:val="20"/>
          <w:szCs w:val="20"/>
          <w:lang w:val="es-CO"/>
        </w:rPr>
        <w:t xml:space="preserve">no ha existido un esclarecimiento completo de lo sucedido, incluyendo el paradero de sus restos mortales. </w:t>
      </w:r>
    </w:p>
    <w:p w14:paraId="11C278BA" w14:textId="77777777" w:rsidR="00177160" w:rsidRPr="0007034B" w:rsidRDefault="00177160" w:rsidP="000F5F5F">
      <w:pPr>
        <w:pStyle w:val="ListParagraph"/>
        <w:ind w:left="0"/>
        <w:rPr>
          <w:rFonts w:asciiTheme="majorHAnsi" w:hAnsiTheme="majorHAnsi"/>
          <w:sz w:val="20"/>
          <w:szCs w:val="20"/>
          <w:lang w:val="es-CO"/>
        </w:rPr>
      </w:pPr>
    </w:p>
    <w:p w14:paraId="6C9E40C6" w14:textId="77777777" w:rsidR="00177160" w:rsidRPr="0007034B" w:rsidRDefault="00177160" w:rsidP="00F23D41">
      <w:pPr>
        <w:numPr>
          <w:ilvl w:val="0"/>
          <w:numId w:val="55"/>
        </w:numPr>
        <w:pBdr>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r w:rsidRPr="0007034B">
        <w:rPr>
          <w:rFonts w:asciiTheme="majorHAnsi" w:hAnsiTheme="majorHAnsi"/>
          <w:sz w:val="20"/>
          <w:szCs w:val="20"/>
          <w:lang w:val="es-CO"/>
        </w:rPr>
        <w:t xml:space="preserve">En virtud de lo anterior, la Comisión considera que también se encuentra presente el tercer elemento constitutivo de la desaparición forzada y que la existencia de indicios sobre la muerte de Mario Julien no </w:t>
      </w:r>
      <w:r w:rsidRPr="0007034B">
        <w:rPr>
          <w:rFonts w:asciiTheme="majorHAnsi" w:hAnsiTheme="majorHAnsi"/>
          <w:sz w:val="20"/>
          <w:szCs w:val="20"/>
          <w:lang w:val="es-CO"/>
        </w:rPr>
        <w:lastRenderedPageBreak/>
        <w:t>modifica dicha calificación jurídica. A la fecha, su</w:t>
      </w:r>
      <w:r w:rsidR="00D518FE" w:rsidRPr="0007034B">
        <w:rPr>
          <w:rFonts w:asciiTheme="majorHAnsi" w:hAnsiTheme="majorHAnsi"/>
          <w:sz w:val="20"/>
          <w:szCs w:val="20"/>
          <w:lang w:val="es-CO"/>
        </w:rPr>
        <w:t xml:space="preserve"> hijo e hija</w:t>
      </w:r>
      <w:r w:rsidRPr="0007034B">
        <w:rPr>
          <w:rFonts w:asciiTheme="majorHAnsi" w:hAnsiTheme="majorHAnsi"/>
          <w:sz w:val="20"/>
          <w:szCs w:val="20"/>
          <w:lang w:val="es-CO"/>
        </w:rPr>
        <w:t xml:space="preserve"> no </w:t>
      </w:r>
      <w:r w:rsidR="00894115" w:rsidRPr="0007034B">
        <w:rPr>
          <w:rFonts w:asciiTheme="majorHAnsi" w:hAnsiTheme="majorHAnsi"/>
          <w:sz w:val="20"/>
          <w:szCs w:val="20"/>
          <w:lang w:val="es-CO"/>
        </w:rPr>
        <w:t>han tenido</w:t>
      </w:r>
      <w:r w:rsidRPr="0007034B">
        <w:rPr>
          <w:rFonts w:asciiTheme="majorHAnsi" w:hAnsiTheme="majorHAnsi"/>
          <w:sz w:val="20"/>
          <w:szCs w:val="20"/>
          <w:lang w:val="es-CO"/>
        </w:rPr>
        <w:t xml:space="preserve"> acceso a sus restos mortales de manera que tengan certeza de cuál fue su destino. Como se indicó anteriormente, conforme a la jurisprudencia interamericana, este es el elemento que distingue la ejecución extrajudicial de la desaparición forzada.</w:t>
      </w:r>
    </w:p>
    <w:p w14:paraId="0E27D788" w14:textId="77777777" w:rsidR="00160FA0" w:rsidRPr="0007034B" w:rsidRDefault="00160FA0" w:rsidP="000F5F5F">
      <w:pPr>
        <w:pStyle w:val="ListParagraph"/>
        <w:ind w:left="0"/>
        <w:rPr>
          <w:rFonts w:asciiTheme="majorHAnsi" w:hAnsiTheme="majorHAnsi"/>
          <w:sz w:val="20"/>
          <w:szCs w:val="20"/>
          <w:lang w:val="es-CO"/>
        </w:rPr>
      </w:pPr>
    </w:p>
    <w:p w14:paraId="29842997" w14:textId="08ABA572" w:rsidR="00160FA0" w:rsidRPr="0007034B" w:rsidRDefault="00B27106" w:rsidP="00F23D41">
      <w:pPr>
        <w:numPr>
          <w:ilvl w:val="0"/>
          <w:numId w:val="55"/>
        </w:numPr>
        <w:pBdr>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r w:rsidRPr="0007034B">
        <w:rPr>
          <w:rFonts w:asciiTheme="majorHAnsi" w:hAnsiTheme="majorHAnsi"/>
          <w:sz w:val="20"/>
          <w:szCs w:val="20"/>
          <w:lang w:val="es-CO"/>
        </w:rPr>
        <w:t>Por otra parte, de acuerdo al acervo probatorio</w:t>
      </w:r>
      <w:r w:rsidR="00D01F3F" w:rsidRPr="0007034B">
        <w:rPr>
          <w:rFonts w:asciiTheme="majorHAnsi" w:hAnsiTheme="majorHAnsi"/>
          <w:sz w:val="20"/>
          <w:szCs w:val="20"/>
          <w:lang w:val="es-CO"/>
        </w:rPr>
        <w:t xml:space="preserve"> disponible</w:t>
      </w:r>
      <w:r w:rsidRPr="0007034B">
        <w:rPr>
          <w:rFonts w:asciiTheme="majorHAnsi" w:hAnsiTheme="majorHAnsi"/>
          <w:sz w:val="20"/>
          <w:szCs w:val="20"/>
          <w:lang w:val="es-CO"/>
        </w:rPr>
        <w:t>, al momento de su desaparición Mario Julien ten</w:t>
      </w:r>
      <w:r w:rsidR="00D01F3F" w:rsidRPr="0007034B">
        <w:rPr>
          <w:rFonts w:asciiTheme="majorHAnsi" w:hAnsiTheme="majorHAnsi"/>
          <w:sz w:val="20"/>
          <w:szCs w:val="20"/>
          <w:lang w:val="es-CO"/>
        </w:rPr>
        <w:t xml:space="preserve">ía </w:t>
      </w:r>
      <w:r w:rsidRPr="0007034B">
        <w:rPr>
          <w:rFonts w:asciiTheme="majorHAnsi" w:hAnsiTheme="majorHAnsi"/>
          <w:sz w:val="20"/>
          <w:szCs w:val="20"/>
          <w:lang w:val="es-CO"/>
        </w:rPr>
        <w:t>estatuto de refugiado de ACNUR en Argentina, el cual obtuvo e</w:t>
      </w:r>
      <w:r w:rsidR="00E60EBA">
        <w:rPr>
          <w:rFonts w:asciiTheme="majorHAnsi" w:hAnsiTheme="majorHAnsi"/>
          <w:sz w:val="20"/>
          <w:szCs w:val="20"/>
          <w:lang w:val="es-ES"/>
        </w:rPr>
        <w:t>n 1973</w:t>
      </w:r>
      <w:r w:rsidRPr="0007034B">
        <w:rPr>
          <w:rFonts w:asciiTheme="majorHAnsi" w:hAnsiTheme="majorHAnsi"/>
          <w:sz w:val="20"/>
          <w:szCs w:val="20"/>
          <w:lang w:val="es-ES"/>
        </w:rPr>
        <w:t xml:space="preserve">. Por lo tanto, </w:t>
      </w:r>
      <w:r w:rsidR="00CC757D" w:rsidRPr="0007034B">
        <w:rPr>
          <w:rFonts w:asciiTheme="majorHAnsi" w:hAnsiTheme="majorHAnsi"/>
          <w:sz w:val="20"/>
          <w:szCs w:val="20"/>
          <w:lang w:val="es-ES"/>
        </w:rPr>
        <w:t xml:space="preserve">teniendo en cuenta que la Corte Interamericana ha considerado a la protección internacional mediante el estatuto de refugiado como una categoría prohibida de discriminación que exige medidas especiales por parte del Estado, </w:t>
      </w:r>
      <w:r w:rsidRPr="0007034B">
        <w:rPr>
          <w:rFonts w:asciiTheme="majorHAnsi" w:hAnsiTheme="majorHAnsi"/>
          <w:sz w:val="20"/>
          <w:szCs w:val="20"/>
          <w:lang w:val="es-ES"/>
        </w:rPr>
        <w:t>la Comisión considera que</w:t>
      </w:r>
      <w:r w:rsidR="00160FA0" w:rsidRPr="0007034B">
        <w:rPr>
          <w:rFonts w:asciiTheme="majorHAnsi" w:hAnsiTheme="majorHAnsi"/>
          <w:sz w:val="20"/>
          <w:szCs w:val="20"/>
          <w:lang w:val="es-CO"/>
        </w:rPr>
        <w:t xml:space="preserve"> </w:t>
      </w:r>
      <w:r w:rsidRPr="0007034B">
        <w:rPr>
          <w:rFonts w:asciiTheme="majorHAnsi" w:hAnsiTheme="majorHAnsi"/>
          <w:sz w:val="20"/>
          <w:szCs w:val="20"/>
          <w:lang w:val="es-CO"/>
        </w:rPr>
        <w:t>la desaparición forzada de Mario Julien se ve especialmente agravada por el hecho de ser una persona</w:t>
      </w:r>
      <w:r w:rsidR="00084644" w:rsidRPr="0007034B">
        <w:rPr>
          <w:rFonts w:asciiTheme="majorHAnsi" w:hAnsiTheme="majorHAnsi"/>
          <w:sz w:val="20"/>
          <w:szCs w:val="20"/>
          <w:lang w:val="es-CO"/>
        </w:rPr>
        <w:t xml:space="preserve"> </w:t>
      </w:r>
      <w:r w:rsidR="005F5F99" w:rsidRPr="0007034B">
        <w:rPr>
          <w:rFonts w:asciiTheme="majorHAnsi" w:hAnsiTheme="majorHAnsi"/>
          <w:sz w:val="20"/>
          <w:szCs w:val="20"/>
          <w:lang w:val="es-CO"/>
        </w:rPr>
        <w:t>refugiad</w:t>
      </w:r>
      <w:r w:rsidR="00084644" w:rsidRPr="0007034B">
        <w:rPr>
          <w:rFonts w:asciiTheme="majorHAnsi" w:hAnsiTheme="majorHAnsi"/>
          <w:sz w:val="20"/>
          <w:szCs w:val="20"/>
          <w:lang w:val="es-CO"/>
        </w:rPr>
        <w:t>a</w:t>
      </w:r>
      <w:r w:rsidR="00084644" w:rsidRPr="0007034B">
        <w:rPr>
          <w:rStyle w:val="FootnoteReference"/>
          <w:rFonts w:asciiTheme="majorHAnsi" w:hAnsiTheme="majorHAnsi"/>
          <w:sz w:val="20"/>
          <w:szCs w:val="20"/>
          <w:lang w:val="es-CO"/>
        </w:rPr>
        <w:footnoteReference w:id="128"/>
      </w:r>
      <w:r w:rsidR="005F5F99" w:rsidRPr="0007034B">
        <w:rPr>
          <w:rFonts w:asciiTheme="majorHAnsi" w:hAnsiTheme="majorHAnsi"/>
          <w:sz w:val="20"/>
          <w:szCs w:val="20"/>
          <w:lang w:val="es-CO"/>
        </w:rPr>
        <w:t>.</w:t>
      </w:r>
      <w:r w:rsidR="00D01F3F" w:rsidRPr="0007034B">
        <w:rPr>
          <w:rFonts w:asciiTheme="majorHAnsi" w:hAnsiTheme="majorHAnsi"/>
          <w:sz w:val="20"/>
          <w:szCs w:val="20"/>
          <w:lang w:val="es-CO"/>
        </w:rPr>
        <w:t xml:space="preserve"> </w:t>
      </w:r>
    </w:p>
    <w:p w14:paraId="4E3C4DA3" w14:textId="77777777" w:rsidR="00696DB1" w:rsidRPr="0007034B" w:rsidRDefault="00696DB1" w:rsidP="000F5F5F">
      <w:pPr>
        <w:pStyle w:val="ListParagraph"/>
        <w:ind w:left="0"/>
        <w:rPr>
          <w:rFonts w:asciiTheme="majorHAnsi" w:hAnsiTheme="majorHAnsi"/>
          <w:sz w:val="20"/>
          <w:szCs w:val="20"/>
          <w:lang w:val="es-CO"/>
        </w:rPr>
      </w:pPr>
    </w:p>
    <w:p w14:paraId="7A7B4080" w14:textId="433CFE99" w:rsidR="00696DB1" w:rsidRPr="0007034B" w:rsidRDefault="00696DB1" w:rsidP="00F23D41">
      <w:pPr>
        <w:numPr>
          <w:ilvl w:val="0"/>
          <w:numId w:val="55"/>
        </w:numPr>
        <w:pBdr>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r w:rsidRPr="0007034B">
        <w:rPr>
          <w:rFonts w:asciiTheme="majorHAnsi" w:hAnsiTheme="majorHAnsi"/>
          <w:sz w:val="20"/>
          <w:szCs w:val="20"/>
          <w:lang w:val="es-CO"/>
        </w:rPr>
        <w:t xml:space="preserve">Respecto a Anatole y Victoria Larrabeiti Yáñez, </w:t>
      </w:r>
      <w:r w:rsidR="00FF3BE3" w:rsidRPr="0007034B">
        <w:rPr>
          <w:rFonts w:asciiTheme="majorHAnsi" w:hAnsiTheme="majorHAnsi"/>
          <w:sz w:val="20"/>
          <w:szCs w:val="20"/>
          <w:lang w:val="es-CO"/>
        </w:rPr>
        <w:t>corresponde a la Comisi</w:t>
      </w:r>
      <w:r w:rsidR="00350A32" w:rsidRPr="0007034B">
        <w:rPr>
          <w:rFonts w:asciiTheme="majorHAnsi" w:hAnsiTheme="majorHAnsi"/>
          <w:sz w:val="20"/>
          <w:szCs w:val="20"/>
          <w:lang w:val="es-CO"/>
        </w:rPr>
        <w:t>ón analizar si lo</w:t>
      </w:r>
      <w:r w:rsidR="00FF3BE3" w:rsidRPr="0007034B">
        <w:rPr>
          <w:rFonts w:asciiTheme="majorHAnsi" w:hAnsiTheme="majorHAnsi"/>
          <w:sz w:val="20"/>
          <w:szCs w:val="20"/>
          <w:lang w:val="es-CO"/>
        </w:rPr>
        <w:t>s</w:t>
      </w:r>
      <w:r w:rsidR="00350A32" w:rsidRPr="0007034B">
        <w:rPr>
          <w:rFonts w:asciiTheme="majorHAnsi" w:hAnsiTheme="majorHAnsi"/>
          <w:sz w:val="20"/>
          <w:szCs w:val="20"/>
          <w:lang w:val="es-CO"/>
        </w:rPr>
        <w:t xml:space="preserve"> </w:t>
      </w:r>
      <w:r w:rsidR="00FF3BE3" w:rsidRPr="0007034B">
        <w:rPr>
          <w:rFonts w:asciiTheme="majorHAnsi" w:hAnsiTheme="majorHAnsi"/>
          <w:sz w:val="20"/>
          <w:szCs w:val="20"/>
          <w:lang w:val="es-CO"/>
        </w:rPr>
        <w:t>hechos que han sido establecidos en el presente caso se adecuan al concepto de desaparición forzada. L</w:t>
      </w:r>
      <w:r w:rsidR="00584173" w:rsidRPr="0007034B">
        <w:rPr>
          <w:rFonts w:asciiTheme="majorHAnsi" w:hAnsiTheme="majorHAnsi"/>
          <w:sz w:val="20"/>
          <w:szCs w:val="20"/>
          <w:lang w:val="es-CO"/>
        </w:rPr>
        <w:t xml:space="preserve">a Comisión observa que no existe controversia respecto a su detención ilegal por parte de agentes </w:t>
      </w:r>
      <w:r w:rsidR="00BE017C" w:rsidRPr="0007034B">
        <w:rPr>
          <w:rFonts w:asciiTheme="majorHAnsi" w:hAnsiTheme="majorHAnsi"/>
          <w:sz w:val="20"/>
          <w:szCs w:val="20"/>
          <w:lang w:val="es-CO"/>
        </w:rPr>
        <w:t>estatales</w:t>
      </w:r>
      <w:r w:rsidR="00584173" w:rsidRPr="0007034B">
        <w:rPr>
          <w:rFonts w:asciiTheme="majorHAnsi" w:hAnsiTheme="majorHAnsi"/>
          <w:sz w:val="20"/>
          <w:szCs w:val="20"/>
          <w:lang w:val="es-CO"/>
        </w:rPr>
        <w:t xml:space="preserve"> en el operativo del 26 de septiembre de 1976 cuando los mismos tenían </w:t>
      </w:r>
      <w:r w:rsidR="00FE2893" w:rsidRPr="0007034B">
        <w:rPr>
          <w:rFonts w:asciiTheme="majorHAnsi" w:hAnsiTheme="majorHAnsi"/>
          <w:sz w:val="20"/>
          <w:szCs w:val="20"/>
          <w:lang w:val="es-CO"/>
        </w:rPr>
        <w:t>cuatro</w:t>
      </w:r>
      <w:r w:rsidR="00584173" w:rsidRPr="0007034B">
        <w:rPr>
          <w:rFonts w:asciiTheme="majorHAnsi" w:hAnsiTheme="majorHAnsi"/>
          <w:sz w:val="20"/>
          <w:szCs w:val="20"/>
          <w:lang w:val="es-CO"/>
        </w:rPr>
        <w:t xml:space="preserve"> años y 16 meses de edad</w:t>
      </w:r>
      <w:r w:rsidR="00BE017C" w:rsidRPr="0007034B">
        <w:rPr>
          <w:rFonts w:asciiTheme="majorHAnsi" w:hAnsiTheme="majorHAnsi"/>
          <w:sz w:val="20"/>
          <w:szCs w:val="20"/>
          <w:lang w:val="es-CO"/>
        </w:rPr>
        <w:t>,</w:t>
      </w:r>
      <w:r w:rsidR="00584173" w:rsidRPr="0007034B">
        <w:rPr>
          <w:rFonts w:asciiTheme="majorHAnsi" w:hAnsiTheme="majorHAnsi"/>
          <w:sz w:val="20"/>
          <w:szCs w:val="20"/>
          <w:lang w:val="es-CO"/>
        </w:rPr>
        <w:t xml:space="preserve"> respectivamente. Tam</w:t>
      </w:r>
      <w:r w:rsidR="00BE017C" w:rsidRPr="0007034B">
        <w:rPr>
          <w:rFonts w:asciiTheme="majorHAnsi" w:hAnsiTheme="majorHAnsi"/>
          <w:sz w:val="20"/>
          <w:szCs w:val="20"/>
          <w:lang w:val="es-CO"/>
        </w:rPr>
        <w:t>bién está acreditado</w:t>
      </w:r>
      <w:r w:rsidR="00584173" w:rsidRPr="0007034B">
        <w:rPr>
          <w:rFonts w:asciiTheme="majorHAnsi" w:hAnsiTheme="majorHAnsi"/>
          <w:sz w:val="20"/>
          <w:szCs w:val="20"/>
          <w:lang w:val="es-CO"/>
        </w:rPr>
        <w:t xml:space="preserve"> que fueron llevados junto a su madre a “Orletti”, donde permanecieron hasta el mes de octubre, momento en el que fueron trasladados clandestinamente a Uruguay y posteriormente a Chile en diciembre de 1976, siendo abandonados en una plaza pública en la ciudad de Valparaíso el 22 de dicho mes.</w:t>
      </w:r>
      <w:r w:rsidR="00953885" w:rsidRPr="0007034B">
        <w:rPr>
          <w:rFonts w:asciiTheme="majorHAnsi" w:eastAsia="Times New Roman" w:hAnsiTheme="majorHAnsi"/>
          <w:sz w:val="20"/>
          <w:szCs w:val="20"/>
          <w:lang w:val="es-ES" w:eastAsia="es-ES"/>
        </w:rPr>
        <w:t xml:space="preserve"> La Comisión considera que, al igual que en el Caso Gelman</w:t>
      </w:r>
      <w:r w:rsidR="00540E62" w:rsidRPr="0007034B">
        <w:rPr>
          <w:rFonts w:asciiTheme="majorHAnsi" w:eastAsia="Times New Roman" w:hAnsiTheme="majorHAnsi"/>
          <w:sz w:val="20"/>
          <w:szCs w:val="20"/>
          <w:lang w:val="es-ES" w:eastAsia="es-ES"/>
        </w:rPr>
        <w:t xml:space="preserve"> ya citado en el presente inform</w:t>
      </w:r>
      <w:r w:rsidR="004418CA" w:rsidRPr="0007034B">
        <w:rPr>
          <w:rFonts w:asciiTheme="majorHAnsi" w:eastAsia="Times New Roman" w:hAnsiTheme="majorHAnsi"/>
          <w:sz w:val="20"/>
          <w:szCs w:val="20"/>
          <w:lang w:val="es-ES" w:eastAsia="es-ES"/>
        </w:rPr>
        <w:t>e</w:t>
      </w:r>
      <w:r w:rsidR="00953885" w:rsidRPr="0007034B">
        <w:rPr>
          <w:rFonts w:asciiTheme="majorHAnsi" w:eastAsia="Times New Roman" w:hAnsiTheme="majorHAnsi"/>
          <w:sz w:val="20"/>
          <w:szCs w:val="20"/>
          <w:lang w:val="es-ES" w:eastAsia="es-ES"/>
        </w:rPr>
        <w:t xml:space="preserve">, en </w:t>
      </w:r>
      <w:r w:rsidR="004418CA" w:rsidRPr="0007034B">
        <w:rPr>
          <w:rFonts w:asciiTheme="majorHAnsi" w:eastAsia="Times New Roman" w:hAnsiTheme="majorHAnsi"/>
          <w:sz w:val="20"/>
          <w:szCs w:val="20"/>
          <w:lang w:val="es-ES" w:eastAsia="es-ES"/>
        </w:rPr>
        <w:t>este</w:t>
      </w:r>
      <w:r w:rsidR="00953885" w:rsidRPr="0007034B">
        <w:rPr>
          <w:rFonts w:asciiTheme="majorHAnsi" w:eastAsia="Times New Roman" w:hAnsiTheme="majorHAnsi"/>
          <w:sz w:val="20"/>
          <w:szCs w:val="20"/>
          <w:lang w:val="es-ES" w:eastAsia="es-ES"/>
        </w:rPr>
        <w:t xml:space="preserve"> caso </w:t>
      </w:r>
      <w:r w:rsidR="000276A0" w:rsidRPr="0007034B">
        <w:rPr>
          <w:rFonts w:asciiTheme="majorHAnsi" w:eastAsia="Times New Roman" w:hAnsiTheme="majorHAnsi"/>
          <w:sz w:val="20"/>
          <w:szCs w:val="20"/>
          <w:lang w:val="es-ES" w:eastAsia="es-ES"/>
        </w:rPr>
        <w:t>el propósito o efecto de la sustracción de los hermanos fue</w:t>
      </w:r>
      <w:r w:rsidR="00953885" w:rsidRPr="0007034B">
        <w:rPr>
          <w:rFonts w:asciiTheme="majorHAnsi" w:eastAsia="Times New Roman" w:hAnsiTheme="majorHAnsi"/>
          <w:sz w:val="20"/>
          <w:szCs w:val="20"/>
          <w:lang w:val="es-ES" w:eastAsia="es-ES"/>
        </w:rPr>
        <w:t xml:space="preserve"> </w:t>
      </w:r>
      <w:r w:rsidR="00287593" w:rsidRPr="0007034B">
        <w:rPr>
          <w:rFonts w:asciiTheme="majorHAnsi" w:eastAsia="Times New Roman" w:hAnsiTheme="majorHAnsi"/>
          <w:sz w:val="20"/>
          <w:szCs w:val="20"/>
          <w:lang w:val="es-ES" w:eastAsia="es-ES"/>
        </w:rPr>
        <w:t>“</w:t>
      </w:r>
      <w:r w:rsidR="00953885" w:rsidRPr="0007034B">
        <w:rPr>
          <w:rFonts w:asciiTheme="majorHAnsi" w:eastAsia="Times New Roman" w:hAnsiTheme="majorHAnsi"/>
          <w:sz w:val="20"/>
          <w:szCs w:val="20"/>
          <w:lang w:val="es-ES" w:eastAsia="es-ES"/>
        </w:rPr>
        <w:t>dejar la incógnita por la falta de información sobre su destino o paradero o la negativa a reconocerlo</w:t>
      </w:r>
      <w:r w:rsidR="00287593" w:rsidRPr="0007034B">
        <w:rPr>
          <w:rFonts w:asciiTheme="majorHAnsi" w:eastAsia="Times New Roman" w:hAnsiTheme="majorHAnsi"/>
          <w:sz w:val="20"/>
          <w:szCs w:val="20"/>
          <w:lang w:val="es-ES" w:eastAsia="es-ES"/>
        </w:rPr>
        <w:t>”</w:t>
      </w:r>
      <w:r w:rsidR="000276A0" w:rsidRPr="0007034B">
        <w:rPr>
          <w:rFonts w:asciiTheme="majorHAnsi" w:eastAsia="Times New Roman" w:hAnsiTheme="majorHAnsi"/>
          <w:sz w:val="20"/>
          <w:szCs w:val="20"/>
          <w:lang w:val="es-ES" w:eastAsia="es-ES"/>
        </w:rPr>
        <w:t>.</w:t>
      </w:r>
      <w:r w:rsidR="001D07F0" w:rsidRPr="0007034B">
        <w:rPr>
          <w:rFonts w:asciiTheme="majorHAnsi" w:eastAsia="Times New Roman" w:hAnsiTheme="majorHAnsi"/>
          <w:sz w:val="20"/>
          <w:szCs w:val="20"/>
          <w:lang w:val="es-ES" w:eastAsia="es-ES"/>
        </w:rPr>
        <w:t xml:space="preserve"> En el mismo sentido se ha pronunciado la Cort</w:t>
      </w:r>
      <w:r w:rsidR="009C339C" w:rsidRPr="0007034B">
        <w:rPr>
          <w:rFonts w:asciiTheme="majorHAnsi" w:eastAsia="Times New Roman" w:hAnsiTheme="majorHAnsi"/>
          <w:sz w:val="20"/>
          <w:szCs w:val="20"/>
          <w:lang w:val="es-ES" w:eastAsia="es-ES"/>
        </w:rPr>
        <w:t>e en una serie de casos de El Salvador, calificando situaciones asimilables como desaparición forzada</w:t>
      </w:r>
      <w:r w:rsidR="008309F6" w:rsidRPr="0007034B">
        <w:rPr>
          <w:rStyle w:val="FootnoteReference"/>
          <w:rFonts w:asciiTheme="majorHAnsi" w:eastAsia="Times New Roman" w:hAnsiTheme="majorHAnsi"/>
          <w:sz w:val="20"/>
          <w:szCs w:val="20"/>
          <w:lang w:val="es-ES" w:eastAsia="es-ES"/>
        </w:rPr>
        <w:footnoteReference w:id="129"/>
      </w:r>
      <w:r w:rsidR="009C339C" w:rsidRPr="0007034B">
        <w:rPr>
          <w:rFonts w:asciiTheme="majorHAnsi" w:eastAsia="Times New Roman" w:hAnsiTheme="majorHAnsi"/>
          <w:sz w:val="20"/>
          <w:szCs w:val="20"/>
          <w:lang w:val="es-ES" w:eastAsia="es-ES"/>
        </w:rPr>
        <w:t xml:space="preserve">. </w:t>
      </w:r>
    </w:p>
    <w:p w14:paraId="656669FB" w14:textId="77777777" w:rsidR="00A723D5" w:rsidRPr="0007034B" w:rsidRDefault="00A723D5" w:rsidP="000F5F5F">
      <w:pPr>
        <w:pStyle w:val="ListParagraph"/>
        <w:ind w:left="0"/>
        <w:rPr>
          <w:rFonts w:asciiTheme="majorHAnsi" w:hAnsiTheme="majorHAnsi"/>
          <w:sz w:val="20"/>
          <w:szCs w:val="20"/>
          <w:lang w:val="es-CO"/>
        </w:rPr>
      </w:pPr>
    </w:p>
    <w:p w14:paraId="24FCA936" w14:textId="26173F0D" w:rsidR="00AF4E7D" w:rsidRPr="0007034B" w:rsidRDefault="00AB715B" w:rsidP="00F23D41">
      <w:pPr>
        <w:numPr>
          <w:ilvl w:val="0"/>
          <w:numId w:val="55"/>
        </w:numPr>
        <w:pBdr>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r w:rsidRPr="0007034B">
        <w:rPr>
          <w:rFonts w:asciiTheme="majorHAnsi" w:hAnsiTheme="majorHAnsi"/>
          <w:sz w:val="20"/>
          <w:szCs w:val="20"/>
          <w:lang w:val="es-CO"/>
        </w:rPr>
        <w:t xml:space="preserve">Por lo tanto, la Comisión concluye que la situación de Anatole y Victoria Larrabeiti Yáñez también debe calificarse como desaparición forzada, la cual concluyó al momento en que recobraron sus identidades </w:t>
      </w:r>
      <w:r w:rsidR="00B177B9" w:rsidRPr="0007034B">
        <w:rPr>
          <w:rFonts w:asciiTheme="majorHAnsi" w:hAnsiTheme="majorHAnsi"/>
          <w:sz w:val="20"/>
          <w:szCs w:val="20"/>
          <w:lang w:val="es-CO"/>
        </w:rPr>
        <w:t xml:space="preserve">y se reestablecieron sus filiaciones biológicas </w:t>
      </w:r>
      <w:r w:rsidRPr="0007034B">
        <w:rPr>
          <w:rFonts w:asciiTheme="majorHAnsi" w:hAnsiTheme="majorHAnsi"/>
          <w:sz w:val="20"/>
          <w:szCs w:val="20"/>
          <w:lang w:val="es-CO"/>
        </w:rPr>
        <w:t xml:space="preserve">el </w:t>
      </w:r>
      <w:r w:rsidR="00B177B9" w:rsidRPr="0007034B">
        <w:rPr>
          <w:rFonts w:asciiTheme="majorHAnsi" w:hAnsiTheme="majorHAnsi"/>
          <w:sz w:val="20"/>
          <w:szCs w:val="20"/>
          <w:lang w:val="es-CO"/>
        </w:rPr>
        <w:t>2 de agosto de 1979</w:t>
      </w:r>
      <w:r w:rsidRPr="0007034B">
        <w:rPr>
          <w:rFonts w:asciiTheme="majorHAnsi" w:hAnsiTheme="majorHAnsi"/>
          <w:sz w:val="20"/>
          <w:szCs w:val="20"/>
          <w:lang w:val="es-CO"/>
        </w:rPr>
        <w:t xml:space="preserve">. </w:t>
      </w:r>
      <w:r w:rsidR="004874EA" w:rsidRPr="0007034B">
        <w:rPr>
          <w:rFonts w:asciiTheme="majorHAnsi" w:hAnsiTheme="majorHAnsi"/>
          <w:sz w:val="20"/>
          <w:szCs w:val="20"/>
          <w:lang w:val="es-CO"/>
        </w:rPr>
        <w:t>La Comisión nota que</w:t>
      </w:r>
      <w:r w:rsidR="00E90512">
        <w:rPr>
          <w:rFonts w:asciiTheme="majorHAnsi" w:hAnsiTheme="majorHAnsi"/>
          <w:sz w:val="20"/>
          <w:szCs w:val="20"/>
          <w:lang w:val="es-CO"/>
        </w:rPr>
        <w:t>,</w:t>
      </w:r>
      <w:r w:rsidR="00534125" w:rsidRPr="0007034B">
        <w:rPr>
          <w:rFonts w:asciiTheme="majorHAnsi" w:hAnsiTheme="majorHAnsi"/>
          <w:sz w:val="20"/>
          <w:szCs w:val="20"/>
          <w:lang w:val="es-CO"/>
        </w:rPr>
        <w:t xml:space="preserve"> independientemente de que </w:t>
      </w:r>
      <w:r w:rsidR="00534125" w:rsidRPr="0007034B">
        <w:rPr>
          <w:rFonts w:asciiTheme="majorHAnsi" w:hAnsiTheme="majorHAnsi"/>
          <w:i/>
          <w:sz w:val="20"/>
          <w:szCs w:val="20"/>
          <w:lang w:val="es-CO"/>
        </w:rPr>
        <w:t>a</w:t>
      </w:r>
      <w:r w:rsidR="00534125" w:rsidRPr="0007034B">
        <w:rPr>
          <w:rFonts w:asciiTheme="majorHAnsi" w:hAnsiTheme="majorHAnsi"/>
          <w:sz w:val="20"/>
          <w:szCs w:val="20"/>
          <w:lang w:val="es-CO"/>
        </w:rPr>
        <w:t xml:space="preserve"> </w:t>
      </w:r>
      <w:r w:rsidR="00534125" w:rsidRPr="0007034B">
        <w:rPr>
          <w:rFonts w:asciiTheme="majorHAnsi" w:hAnsiTheme="majorHAnsi"/>
          <w:i/>
          <w:sz w:val="20"/>
          <w:szCs w:val="20"/>
          <w:lang w:val="es-CO"/>
        </w:rPr>
        <w:t>posteriori</w:t>
      </w:r>
      <w:r w:rsidR="00534125" w:rsidRPr="0007034B">
        <w:rPr>
          <w:rFonts w:asciiTheme="majorHAnsi" w:hAnsiTheme="majorHAnsi"/>
          <w:sz w:val="20"/>
          <w:szCs w:val="20"/>
          <w:lang w:val="es-CO"/>
        </w:rPr>
        <w:t xml:space="preserve"> se determinara el destino y paradero de los hermanos y que durante parte importante de su desaparición forzada estuvieron fuera del territorio argentino, sus desapariciones forzadas tuvieron inicio de ejecución en Argentina y su perpetración y continuidad fue posible como consecuencia del accionar de agentes del Estado argentino</w:t>
      </w:r>
      <w:r w:rsidR="00667641" w:rsidRPr="0007034B">
        <w:rPr>
          <w:rFonts w:asciiTheme="majorHAnsi" w:hAnsiTheme="majorHAnsi"/>
          <w:sz w:val="20"/>
          <w:szCs w:val="20"/>
          <w:lang w:val="es-CO"/>
        </w:rPr>
        <w:t xml:space="preserve">, por lo que lo sucedido aún fuera de su jurisdicción pero como consecuencia de tal accionar, le resulta atribuible. Esto resulta aún más evidente tomando en cuenta que </w:t>
      </w:r>
      <w:r w:rsidR="002B64EC" w:rsidRPr="0007034B">
        <w:rPr>
          <w:rFonts w:asciiTheme="majorHAnsi" w:hAnsiTheme="majorHAnsi"/>
          <w:sz w:val="20"/>
          <w:szCs w:val="20"/>
          <w:lang w:val="es-CO"/>
        </w:rPr>
        <w:t>conforme al enfoque consolidado de los órganos del sistema interamericano en la materia,</w:t>
      </w:r>
      <w:r w:rsidR="005E6057" w:rsidRPr="0007034B">
        <w:rPr>
          <w:rFonts w:asciiTheme="majorHAnsi" w:hAnsiTheme="majorHAnsi"/>
          <w:sz w:val="20"/>
          <w:szCs w:val="20"/>
          <w:lang w:val="es-CO"/>
        </w:rPr>
        <w:t xml:space="preserve"> la desaparición forzada</w:t>
      </w:r>
      <w:r w:rsidR="009A092C" w:rsidRPr="0007034B">
        <w:rPr>
          <w:rFonts w:asciiTheme="majorHAnsi" w:hAnsiTheme="majorHAnsi"/>
          <w:sz w:val="20"/>
          <w:szCs w:val="20"/>
          <w:lang w:val="es-CO"/>
        </w:rPr>
        <w:t>,</w:t>
      </w:r>
      <w:r w:rsidR="00B97C5C" w:rsidRPr="0007034B">
        <w:rPr>
          <w:rFonts w:asciiTheme="majorHAnsi" w:hAnsiTheme="majorHAnsi"/>
          <w:sz w:val="20"/>
          <w:szCs w:val="20"/>
          <w:lang w:val="es-CO"/>
        </w:rPr>
        <w:t xml:space="preserve"> por su naturaleza</w:t>
      </w:r>
      <w:r w:rsidR="00954B82" w:rsidRPr="0007034B">
        <w:rPr>
          <w:rFonts w:asciiTheme="majorHAnsi" w:hAnsiTheme="majorHAnsi"/>
          <w:sz w:val="20"/>
          <w:szCs w:val="20"/>
          <w:lang w:val="es-CO"/>
        </w:rPr>
        <w:t xml:space="preserve"> compleja y continuada</w:t>
      </w:r>
      <w:r w:rsidR="009A092C" w:rsidRPr="0007034B">
        <w:rPr>
          <w:rFonts w:asciiTheme="majorHAnsi" w:hAnsiTheme="majorHAnsi"/>
          <w:sz w:val="20"/>
          <w:szCs w:val="20"/>
          <w:lang w:val="es-CO"/>
        </w:rPr>
        <w:t>,</w:t>
      </w:r>
      <w:r w:rsidR="005E6057" w:rsidRPr="0007034B">
        <w:rPr>
          <w:rFonts w:asciiTheme="majorHAnsi" w:hAnsiTheme="majorHAnsi"/>
          <w:sz w:val="20"/>
          <w:szCs w:val="20"/>
          <w:lang w:val="es-CO"/>
        </w:rPr>
        <w:t xml:space="preserve"> no debe fragmentarse</w:t>
      </w:r>
      <w:r w:rsidR="00C23131" w:rsidRPr="0007034B">
        <w:rPr>
          <w:rFonts w:asciiTheme="majorHAnsi" w:hAnsiTheme="majorHAnsi"/>
          <w:sz w:val="20"/>
          <w:szCs w:val="20"/>
          <w:lang w:val="es-CO"/>
        </w:rPr>
        <w:t xml:space="preserve">. </w:t>
      </w:r>
    </w:p>
    <w:p w14:paraId="0BF44D18" w14:textId="77777777" w:rsidR="00AF4E7D" w:rsidRPr="0007034B" w:rsidRDefault="00AF4E7D" w:rsidP="000F5F5F">
      <w:pPr>
        <w:pStyle w:val="ListParagraph"/>
        <w:ind w:left="0"/>
        <w:rPr>
          <w:rFonts w:asciiTheme="majorHAnsi" w:hAnsiTheme="majorHAnsi"/>
          <w:sz w:val="20"/>
          <w:szCs w:val="20"/>
          <w:lang w:val="es-CO"/>
        </w:rPr>
      </w:pPr>
    </w:p>
    <w:p w14:paraId="363E4858" w14:textId="16001657" w:rsidR="00E245B0" w:rsidRPr="0007034B" w:rsidRDefault="00AF4E7D" w:rsidP="00F23D41">
      <w:pPr>
        <w:numPr>
          <w:ilvl w:val="0"/>
          <w:numId w:val="55"/>
        </w:numPr>
        <w:pBdr>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r w:rsidRPr="0007034B">
        <w:rPr>
          <w:rFonts w:asciiTheme="majorHAnsi" w:hAnsiTheme="majorHAnsi"/>
          <w:sz w:val="20"/>
          <w:szCs w:val="20"/>
          <w:lang w:val="es-CO"/>
        </w:rPr>
        <w:t>Al respecto, la CIDH nota que a</w:t>
      </w:r>
      <w:r w:rsidR="00C23131" w:rsidRPr="0007034B">
        <w:rPr>
          <w:rFonts w:asciiTheme="majorHAnsi" w:hAnsiTheme="majorHAnsi"/>
          <w:sz w:val="20"/>
          <w:szCs w:val="20"/>
          <w:lang w:val="es-CO"/>
        </w:rPr>
        <w:t xml:space="preserve">gentes estatales argentinos estuvieron involucrados en </w:t>
      </w:r>
      <w:r w:rsidR="00C30C7A" w:rsidRPr="0007034B">
        <w:rPr>
          <w:rFonts w:asciiTheme="majorHAnsi" w:hAnsiTheme="majorHAnsi"/>
          <w:sz w:val="20"/>
          <w:szCs w:val="20"/>
          <w:lang w:val="es-CO"/>
        </w:rPr>
        <w:t xml:space="preserve">el diseño y </w:t>
      </w:r>
      <w:r w:rsidR="003559DA" w:rsidRPr="0007034B">
        <w:rPr>
          <w:rFonts w:asciiTheme="majorHAnsi" w:hAnsiTheme="majorHAnsi"/>
          <w:sz w:val="20"/>
          <w:szCs w:val="20"/>
          <w:lang w:val="es-CO"/>
        </w:rPr>
        <w:t>ejecución</w:t>
      </w:r>
      <w:r w:rsidR="00C30C7A" w:rsidRPr="0007034B">
        <w:rPr>
          <w:rFonts w:asciiTheme="majorHAnsi" w:hAnsiTheme="majorHAnsi"/>
          <w:sz w:val="20"/>
          <w:szCs w:val="20"/>
          <w:lang w:val="es-CO"/>
        </w:rPr>
        <w:t xml:space="preserve"> del operativo militar que dio lugar a </w:t>
      </w:r>
      <w:r w:rsidR="00954B82" w:rsidRPr="0007034B">
        <w:rPr>
          <w:rFonts w:asciiTheme="majorHAnsi" w:hAnsiTheme="majorHAnsi"/>
          <w:sz w:val="20"/>
          <w:szCs w:val="20"/>
          <w:lang w:val="es-CO"/>
        </w:rPr>
        <w:t>su</w:t>
      </w:r>
      <w:r w:rsidR="00C30C7A" w:rsidRPr="0007034B">
        <w:rPr>
          <w:rFonts w:asciiTheme="majorHAnsi" w:hAnsiTheme="majorHAnsi"/>
          <w:sz w:val="20"/>
          <w:szCs w:val="20"/>
          <w:lang w:val="es-CO"/>
        </w:rPr>
        <w:t xml:space="preserve"> detención ilegal</w:t>
      </w:r>
      <w:r w:rsidR="009C74B3" w:rsidRPr="0007034B">
        <w:rPr>
          <w:rFonts w:asciiTheme="majorHAnsi" w:hAnsiTheme="majorHAnsi"/>
          <w:sz w:val="20"/>
          <w:szCs w:val="20"/>
          <w:lang w:val="es-CO"/>
        </w:rPr>
        <w:t>,</w:t>
      </w:r>
      <w:r w:rsidR="00707170" w:rsidRPr="0007034B">
        <w:rPr>
          <w:rFonts w:asciiTheme="majorHAnsi" w:hAnsiTheme="majorHAnsi"/>
          <w:sz w:val="20"/>
          <w:szCs w:val="20"/>
          <w:lang w:val="es-CO"/>
        </w:rPr>
        <w:t xml:space="preserve"> así como en el</w:t>
      </w:r>
      <w:r w:rsidR="00C30C7A" w:rsidRPr="0007034B">
        <w:rPr>
          <w:rFonts w:asciiTheme="majorHAnsi" w:hAnsiTheme="majorHAnsi"/>
          <w:sz w:val="20"/>
          <w:szCs w:val="20"/>
          <w:lang w:val="es-CO"/>
        </w:rPr>
        <w:t xml:space="preserve"> traslado y permanencia en un centro clandestino de detención</w:t>
      </w:r>
      <w:r w:rsidR="00C943F4" w:rsidRPr="0007034B">
        <w:rPr>
          <w:rFonts w:asciiTheme="majorHAnsi" w:hAnsiTheme="majorHAnsi"/>
          <w:sz w:val="20"/>
          <w:szCs w:val="20"/>
          <w:lang w:val="es-CO"/>
        </w:rPr>
        <w:t xml:space="preserve">. Asimismo, agentes argentinos participaron, o al menos </w:t>
      </w:r>
      <w:r w:rsidR="003559DA" w:rsidRPr="0007034B">
        <w:rPr>
          <w:rFonts w:asciiTheme="majorHAnsi" w:hAnsiTheme="majorHAnsi"/>
          <w:sz w:val="20"/>
          <w:szCs w:val="20"/>
          <w:lang w:val="es-CO"/>
        </w:rPr>
        <w:t xml:space="preserve">permitieron y </w:t>
      </w:r>
      <w:r w:rsidR="00C943F4" w:rsidRPr="0007034B">
        <w:rPr>
          <w:rFonts w:asciiTheme="majorHAnsi" w:hAnsiTheme="majorHAnsi"/>
          <w:sz w:val="20"/>
          <w:szCs w:val="20"/>
          <w:lang w:val="es-CO"/>
        </w:rPr>
        <w:t>encubrieron</w:t>
      </w:r>
      <w:r w:rsidR="00C30C7A" w:rsidRPr="0007034B">
        <w:rPr>
          <w:rFonts w:asciiTheme="majorHAnsi" w:hAnsiTheme="majorHAnsi"/>
          <w:sz w:val="20"/>
          <w:szCs w:val="20"/>
          <w:lang w:val="es-CO"/>
        </w:rPr>
        <w:t xml:space="preserve">, </w:t>
      </w:r>
      <w:r w:rsidR="003559DA" w:rsidRPr="0007034B">
        <w:rPr>
          <w:rFonts w:asciiTheme="majorHAnsi" w:hAnsiTheme="majorHAnsi"/>
          <w:sz w:val="20"/>
          <w:szCs w:val="20"/>
          <w:lang w:val="es-CO"/>
        </w:rPr>
        <w:t>el traslado clandestino de los menores al exterior</w:t>
      </w:r>
      <w:r w:rsidR="00751C88" w:rsidRPr="0007034B">
        <w:rPr>
          <w:rFonts w:asciiTheme="majorHAnsi" w:hAnsiTheme="majorHAnsi"/>
          <w:sz w:val="20"/>
          <w:szCs w:val="20"/>
          <w:lang w:val="es-CO"/>
        </w:rPr>
        <w:t>, forzándolos a salir de su país de residencia sin ningún tipo de control migratorio</w:t>
      </w:r>
      <w:r w:rsidR="003559DA" w:rsidRPr="0007034B">
        <w:rPr>
          <w:rFonts w:asciiTheme="majorHAnsi" w:hAnsiTheme="majorHAnsi"/>
          <w:sz w:val="20"/>
          <w:szCs w:val="20"/>
          <w:lang w:val="es-CO"/>
        </w:rPr>
        <w:t xml:space="preserve">. </w:t>
      </w:r>
      <w:r w:rsidR="00464E09" w:rsidRPr="0007034B">
        <w:rPr>
          <w:rFonts w:asciiTheme="majorHAnsi" w:hAnsiTheme="majorHAnsi"/>
          <w:sz w:val="20"/>
          <w:szCs w:val="20"/>
          <w:lang w:val="es-CO"/>
        </w:rPr>
        <w:t>Como se indicó, e</w:t>
      </w:r>
      <w:r w:rsidR="00C42A69" w:rsidRPr="0007034B">
        <w:rPr>
          <w:rFonts w:asciiTheme="majorHAnsi" w:hAnsiTheme="majorHAnsi"/>
          <w:sz w:val="20"/>
          <w:szCs w:val="20"/>
          <w:lang w:val="es-CO"/>
        </w:rPr>
        <w:t xml:space="preserve">l carácter múltiple y complejo de la </w:t>
      </w:r>
      <w:r w:rsidR="00BB6E8A" w:rsidRPr="0007034B">
        <w:rPr>
          <w:rFonts w:asciiTheme="majorHAnsi" w:hAnsiTheme="majorHAnsi"/>
          <w:sz w:val="20"/>
          <w:szCs w:val="20"/>
          <w:lang w:val="es-CO"/>
        </w:rPr>
        <w:t xml:space="preserve">desaparición forzada </w:t>
      </w:r>
      <w:r w:rsidR="00C42A69" w:rsidRPr="0007034B">
        <w:rPr>
          <w:rFonts w:asciiTheme="majorHAnsi" w:hAnsiTheme="majorHAnsi"/>
          <w:sz w:val="20"/>
          <w:szCs w:val="20"/>
          <w:lang w:val="es-CO"/>
        </w:rPr>
        <w:t xml:space="preserve">no permite </w:t>
      </w:r>
      <w:r w:rsidR="00D123E0" w:rsidRPr="0007034B">
        <w:rPr>
          <w:rFonts w:asciiTheme="majorHAnsi" w:hAnsiTheme="majorHAnsi"/>
          <w:sz w:val="20"/>
          <w:szCs w:val="20"/>
          <w:lang w:val="es-CO"/>
        </w:rPr>
        <w:t>la fragmentación de</w:t>
      </w:r>
      <w:r w:rsidR="00C42A69" w:rsidRPr="0007034B">
        <w:rPr>
          <w:rFonts w:asciiTheme="majorHAnsi" w:hAnsiTheme="majorHAnsi"/>
          <w:sz w:val="20"/>
          <w:szCs w:val="20"/>
          <w:lang w:val="es-CO"/>
        </w:rPr>
        <w:t xml:space="preserve"> est</w:t>
      </w:r>
      <w:r w:rsidR="00D123E0" w:rsidRPr="0007034B">
        <w:rPr>
          <w:rFonts w:asciiTheme="majorHAnsi" w:hAnsiTheme="majorHAnsi"/>
          <w:sz w:val="20"/>
          <w:szCs w:val="20"/>
          <w:lang w:val="es-CO"/>
        </w:rPr>
        <w:t>e tipo de delito</w:t>
      </w:r>
      <w:r w:rsidR="00BB6E8A" w:rsidRPr="0007034B">
        <w:rPr>
          <w:rFonts w:asciiTheme="majorHAnsi" w:hAnsiTheme="majorHAnsi"/>
          <w:sz w:val="20"/>
          <w:szCs w:val="20"/>
          <w:lang w:val="es-CO"/>
        </w:rPr>
        <w:t>, en especial</w:t>
      </w:r>
      <w:r w:rsidR="00707170" w:rsidRPr="0007034B">
        <w:rPr>
          <w:rFonts w:asciiTheme="majorHAnsi" w:hAnsiTheme="majorHAnsi"/>
          <w:sz w:val="20"/>
          <w:szCs w:val="20"/>
          <w:lang w:val="es-CO"/>
        </w:rPr>
        <w:t>,</w:t>
      </w:r>
      <w:r w:rsidR="00BB6E8A" w:rsidRPr="0007034B">
        <w:rPr>
          <w:rFonts w:asciiTheme="majorHAnsi" w:hAnsiTheme="majorHAnsi"/>
          <w:sz w:val="20"/>
          <w:szCs w:val="20"/>
          <w:lang w:val="es-CO"/>
        </w:rPr>
        <w:t xml:space="preserve"> considerando que el objetivo de las autoridades argentinas al trasladar a los hermanos fuera del país fue dejarlos en una suerte de limbo o situación de indeterminación jurídica y borrar todo rastro de su existencia, así como de las atrocidades cometidas respecto de </w:t>
      </w:r>
      <w:r w:rsidR="00D123E0" w:rsidRPr="0007034B">
        <w:rPr>
          <w:rFonts w:asciiTheme="majorHAnsi" w:hAnsiTheme="majorHAnsi"/>
          <w:sz w:val="20"/>
          <w:szCs w:val="20"/>
          <w:lang w:val="es-CO"/>
        </w:rPr>
        <w:t>su familia</w:t>
      </w:r>
      <w:r w:rsidR="00BB6E8A" w:rsidRPr="0007034B">
        <w:rPr>
          <w:rFonts w:asciiTheme="majorHAnsi" w:hAnsiTheme="majorHAnsi"/>
          <w:sz w:val="20"/>
          <w:szCs w:val="20"/>
          <w:lang w:val="es-CO"/>
        </w:rPr>
        <w:t xml:space="preserve">. </w:t>
      </w:r>
      <w:r w:rsidRPr="0007034B">
        <w:rPr>
          <w:rFonts w:asciiTheme="majorHAnsi" w:hAnsiTheme="majorHAnsi"/>
          <w:sz w:val="20"/>
          <w:szCs w:val="20"/>
          <w:lang w:val="es-CO"/>
        </w:rPr>
        <w:t xml:space="preserve">Como lo ha establecido la jurisprudencia citada, en este tipo de casos la desaparición forzada solo cesa cuando se garantizan a la víctima las posibilidades jurídicas y fácticas de recuperar su verdadera identidad. </w:t>
      </w:r>
      <w:r w:rsidR="00D123E0" w:rsidRPr="0007034B">
        <w:rPr>
          <w:rFonts w:asciiTheme="majorHAnsi" w:hAnsiTheme="majorHAnsi"/>
          <w:sz w:val="20"/>
          <w:szCs w:val="20"/>
          <w:lang w:val="es-CO"/>
        </w:rPr>
        <w:t xml:space="preserve">Por lo tanto, </w:t>
      </w:r>
      <w:r w:rsidRPr="0007034B">
        <w:rPr>
          <w:rFonts w:asciiTheme="majorHAnsi" w:hAnsiTheme="majorHAnsi"/>
          <w:sz w:val="20"/>
          <w:szCs w:val="20"/>
          <w:lang w:val="es-CO"/>
        </w:rPr>
        <w:t xml:space="preserve">en el presente caso </w:t>
      </w:r>
      <w:r w:rsidR="009A092C" w:rsidRPr="0007034B">
        <w:rPr>
          <w:rFonts w:asciiTheme="majorHAnsi" w:hAnsiTheme="majorHAnsi"/>
          <w:sz w:val="20"/>
          <w:szCs w:val="20"/>
          <w:lang w:val="es-CO"/>
        </w:rPr>
        <w:t>la misma</w:t>
      </w:r>
      <w:r w:rsidR="00D123E0" w:rsidRPr="0007034B">
        <w:rPr>
          <w:rFonts w:asciiTheme="majorHAnsi" w:hAnsiTheme="majorHAnsi"/>
          <w:sz w:val="20"/>
          <w:szCs w:val="20"/>
          <w:lang w:val="es-CO"/>
        </w:rPr>
        <w:t xml:space="preserve"> cesó al momento que los </w:t>
      </w:r>
      <w:r w:rsidRPr="0007034B">
        <w:rPr>
          <w:rFonts w:asciiTheme="majorHAnsi" w:hAnsiTheme="majorHAnsi"/>
          <w:sz w:val="20"/>
          <w:szCs w:val="20"/>
          <w:lang w:val="es-CO"/>
        </w:rPr>
        <w:t>hermanos Larrabeiti Yáñez</w:t>
      </w:r>
      <w:r w:rsidR="00D123E0" w:rsidRPr="0007034B">
        <w:rPr>
          <w:rFonts w:asciiTheme="majorHAnsi" w:hAnsiTheme="majorHAnsi"/>
          <w:sz w:val="20"/>
          <w:szCs w:val="20"/>
          <w:lang w:val="es-CO"/>
        </w:rPr>
        <w:t xml:space="preserve"> recobraron su identidad el 2 de agosto de 1979.</w:t>
      </w:r>
    </w:p>
    <w:p w14:paraId="0E6A1B68" w14:textId="77777777" w:rsidR="00AB715B" w:rsidRPr="0007034B" w:rsidRDefault="00AB715B" w:rsidP="000F5F5F">
      <w:pPr>
        <w:pStyle w:val="ListParagraph"/>
        <w:ind w:left="0"/>
        <w:rPr>
          <w:rFonts w:asciiTheme="majorHAnsi" w:hAnsiTheme="majorHAnsi"/>
          <w:sz w:val="20"/>
          <w:szCs w:val="20"/>
          <w:lang w:val="es-CO"/>
        </w:rPr>
      </w:pPr>
    </w:p>
    <w:p w14:paraId="17AA2A8B" w14:textId="77777777" w:rsidR="00E245B0" w:rsidRPr="0007034B" w:rsidRDefault="00C42A69" w:rsidP="00F23D41">
      <w:pPr>
        <w:numPr>
          <w:ilvl w:val="0"/>
          <w:numId w:val="55"/>
        </w:numPr>
        <w:pBdr>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r w:rsidRPr="0007034B">
        <w:rPr>
          <w:rFonts w:asciiTheme="majorHAnsi" w:hAnsiTheme="majorHAnsi"/>
          <w:sz w:val="20"/>
          <w:szCs w:val="20"/>
          <w:lang w:val="es-CO"/>
        </w:rPr>
        <w:lastRenderedPageBreak/>
        <w:t>Por último</w:t>
      </w:r>
      <w:r w:rsidR="00AB715B" w:rsidRPr="0007034B">
        <w:rPr>
          <w:rFonts w:asciiTheme="majorHAnsi" w:hAnsiTheme="majorHAnsi"/>
          <w:sz w:val="20"/>
          <w:szCs w:val="20"/>
          <w:lang w:val="es-CO"/>
        </w:rPr>
        <w:t>, la CIDH desea destacar el carácter emblemático de este caso</w:t>
      </w:r>
      <w:r w:rsidR="004F2286" w:rsidRPr="0007034B">
        <w:rPr>
          <w:rFonts w:asciiTheme="majorHAnsi" w:hAnsiTheme="majorHAnsi"/>
          <w:sz w:val="20"/>
          <w:szCs w:val="20"/>
          <w:lang w:val="es-CO"/>
        </w:rPr>
        <w:t>,</w:t>
      </w:r>
      <w:r w:rsidR="00AB715B" w:rsidRPr="0007034B">
        <w:rPr>
          <w:rFonts w:asciiTheme="majorHAnsi" w:hAnsiTheme="majorHAnsi"/>
          <w:sz w:val="20"/>
          <w:szCs w:val="20"/>
          <w:lang w:val="es-CO"/>
        </w:rPr>
        <w:t xml:space="preserve"> </w:t>
      </w:r>
      <w:r w:rsidR="004F2286" w:rsidRPr="0007034B">
        <w:rPr>
          <w:rFonts w:asciiTheme="majorHAnsi" w:hAnsiTheme="majorHAnsi"/>
          <w:sz w:val="20"/>
          <w:szCs w:val="20"/>
          <w:lang w:val="es-CO"/>
        </w:rPr>
        <w:t xml:space="preserve">así como su extrema gravedad por tratarse de una de las formas más </w:t>
      </w:r>
      <w:r w:rsidR="000B547A" w:rsidRPr="0007034B">
        <w:rPr>
          <w:rFonts w:asciiTheme="majorHAnsi" w:hAnsiTheme="majorHAnsi"/>
          <w:sz w:val="20"/>
          <w:szCs w:val="20"/>
          <w:lang w:val="es-CO"/>
        </w:rPr>
        <w:t xml:space="preserve">inimaginables y </w:t>
      </w:r>
      <w:r w:rsidR="004F2286" w:rsidRPr="0007034B">
        <w:rPr>
          <w:rFonts w:asciiTheme="majorHAnsi" w:hAnsiTheme="majorHAnsi"/>
          <w:sz w:val="20"/>
          <w:szCs w:val="20"/>
          <w:lang w:val="es-CO"/>
        </w:rPr>
        <w:t xml:space="preserve">reprochables de violencia contra la niñez. </w:t>
      </w:r>
      <w:r w:rsidR="00EF0D78" w:rsidRPr="0007034B">
        <w:rPr>
          <w:rFonts w:asciiTheme="majorHAnsi" w:hAnsiTheme="majorHAnsi"/>
          <w:sz w:val="20"/>
          <w:szCs w:val="20"/>
          <w:lang w:val="es-CO"/>
        </w:rPr>
        <w:t>L</w:t>
      </w:r>
      <w:r w:rsidR="004F2286" w:rsidRPr="0007034B">
        <w:rPr>
          <w:rFonts w:asciiTheme="majorHAnsi" w:hAnsiTheme="majorHAnsi"/>
          <w:sz w:val="20"/>
          <w:szCs w:val="20"/>
          <w:lang w:val="es-CO"/>
        </w:rPr>
        <w:t xml:space="preserve">os hermanos Larrabeiti Yáñez </w:t>
      </w:r>
      <w:r w:rsidR="00EF0D78" w:rsidRPr="0007034B">
        <w:rPr>
          <w:rFonts w:asciiTheme="majorHAnsi" w:hAnsiTheme="majorHAnsi"/>
          <w:sz w:val="20"/>
          <w:szCs w:val="20"/>
          <w:lang w:val="es-CO"/>
        </w:rPr>
        <w:t xml:space="preserve">fueron </w:t>
      </w:r>
      <w:r w:rsidR="004F2286" w:rsidRPr="0007034B">
        <w:rPr>
          <w:rFonts w:asciiTheme="majorHAnsi" w:hAnsiTheme="majorHAnsi"/>
          <w:sz w:val="20"/>
          <w:szCs w:val="20"/>
          <w:lang w:val="es-CO"/>
        </w:rPr>
        <w:t xml:space="preserve">los primeros </w:t>
      </w:r>
      <w:r w:rsidR="00AB715B" w:rsidRPr="0007034B">
        <w:rPr>
          <w:rFonts w:asciiTheme="majorHAnsi" w:hAnsiTheme="majorHAnsi"/>
          <w:sz w:val="20"/>
          <w:szCs w:val="20"/>
          <w:lang w:val="es-CO"/>
        </w:rPr>
        <w:t xml:space="preserve">niños </w:t>
      </w:r>
      <w:r w:rsidR="00EF0D78" w:rsidRPr="0007034B">
        <w:rPr>
          <w:rFonts w:asciiTheme="majorHAnsi" w:hAnsiTheme="majorHAnsi"/>
          <w:sz w:val="20"/>
          <w:szCs w:val="20"/>
          <w:lang w:val="es-CO"/>
        </w:rPr>
        <w:t>desaparecidos recuperados, y esto mientras aún regían las dictaduras del Cono Sur. Mediante este caso se develó por primera vez la magnitud y el horror de la represión sistemática a los derechos humanos y la coordinación represiva de las dictaduras</w:t>
      </w:r>
      <w:r w:rsidR="002E3A93" w:rsidRPr="0007034B">
        <w:rPr>
          <w:rFonts w:asciiTheme="majorHAnsi" w:hAnsiTheme="majorHAnsi"/>
          <w:sz w:val="20"/>
          <w:szCs w:val="20"/>
          <w:lang w:val="es-CO"/>
        </w:rPr>
        <w:t xml:space="preserve"> del Cono Sur</w:t>
      </w:r>
      <w:r w:rsidR="00EF5E5A" w:rsidRPr="0007034B">
        <w:rPr>
          <w:rFonts w:asciiTheme="majorHAnsi" w:hAnsiTheme="majorHAnsi"/>
          <w:sz w:val="20"/>
          <w:szCs w:val="20"/>
          <w:lang w:val="es-CO"/>
        </w:rPr>
        <w:t xml:space="preserve">, la cual no veló por un mínimo </w:t>
      </w:r>
      <w:r w:rsidR="00246844" w:rsidRPr="0007034B">
        <w:rPr>
          <w:rFonts w:asciiTheme="majorHAnsi" w:hAnsiTheme="majorHAnsi"/>
          <w:sz w:val="20"/>
          <w:szCs w:val="20"/>
          <w:lang w:val="es-CO"/>
        </w:rPr>
        <w:t xml:space="preserve">de </w:t>
      </w:r>
      <w:r w:rsidR="00EF5E5A" w:rsidRPr="0007034B">
        <w:rPr>
          <w:rFonts w:asciiTheme="majorHAnsi" w:hAnsiTheme="majorHAnsi"/>
          <w:sz w:val="20"/>
          <w:szCs w:val="20"/>
          <w:lang w:val="es-CO"/>
        </w:rPr>
        <w:t>respeto a los derechos humanos más fundamentales de aquellas personas que, como los hermanos Anatole y Victoria, se encontraban en una situación de completa indefensión</w:t>
      </w:r>
      <w:r w:rsidR="00EF0D78" w:rsidRPr="0007034B">
        <w:rPr>
          <w:rFonts w:asciiTheme="majorHAnsi" w:hAnsiTheme="majorHAnsi"/>
          <w:sz w:val="20"/>
          <w:szCs w:val="20"/>
          <w:lang w:val="es-CO"/>
        </w:rPr>
        <w:t xml:space="preserve">. </w:t>
      </w:r>
      <w:r w:rsidR="00E245B0" w:rsidRPr="0007034B">
        <w:rPr>
          <w:rFonts w:asciiTheme="majorHAnsi" w:hAnsiTheme="majorHAnsi"/>
          <w:sz w:val="20"/>
          <w:szCs w:val="20"/>
          <w:lang w:val="es-CO"/>
        </w:rPr>
        <w:t xml:space="preserve">Como lo ha establecido la jurisprudencia interamericana citada, la situación agravada de vulnerabilidad se ve acentuada cuando se está frente a un patrón sistemático de violaciones de derechos humanos y cuando se trata de niños y niñas, dado que la sustracción ilegal de sus padres biológicos también pone en riesgo su vida, supervivencia y desarrollo. </w:t>
      </w:r>
    </w:p>
    <w:p w14:paraId="762ECE17" w14:textId="77777777" w:rsidR="00757003" w:rsidRPr="0007034B" w:rsidRDefault="00757003" w:rsidP="000F5F5F">
      <w:pPr>
        <w:pStyle w:val="ListParagraph"/>
        <w:ind w:left="0"/>
        <w:rPr>
          <w:rFonts w:asciiTheme="majorHAnsi" w:hAnsiTheme="majorHAnsi"/>
          <w:sz w:val="20"/>
          <w:szCs w:val="20"/>
          <w:lang w:val="es-CO"/>
        </w:rPr>
      </w:pPr>
    </w:p>
    <w:p w14:paraId="7CA54003" w14:textId="5E43A03A" w:rsidR="003F6D75" w:rsidRPr="0007034B" w:rsidRDefault="00F46F70" w:rsidP="00F23D41">
      <w:pPr>
        <w:numPr>
          <w:ilvl w:val="0"/>
          <w:numId w:val="55"/>
        </w:numPr>
        <w:pBdr>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r w:rsidRPr="0007034B">
        <w:rPr>
          <w:rFonts w:asciiTheme="majorHAnsi" w:hAnsiTheme="majorHAnsi"/>
          <w:sz w:val="20"/>
          <w:szCs w:val="20"/>
          <w:lang w:val="es-CO"/>
        </w:rPr>
        <w:t xml:space="preserve">Por lo tanto, la Comisión concluye que </w:t>
      </w:r>
      <w:r w:rsidR="0004364E" w:rsidRPr="0007034B">
        <w:rPr>
          <w:rFonts w:asciiTheme="majorHAnsi" w:hAnsiTheme="majorHAnsi"/>
          <w:sz w:val="20"/>
          <w:szCs w:val="20"/>
          <w:lang w:val="es-CO"/>
        </w:rPr>
        <w:t>el Estado argentino violó</w:t>
      </w:r>
      <w:r w:rsidR="00A17C72" w:rsidRPr="0007034B">
        <w:rPr>
          <w:rFonts w:asciiTheme="majorHAnsi" w:hAnsiTheme="majorHAnsi"/>
          <w:sz w:val="20"/>
          <w:szCs w:val="20"/>
          <w:lang w:val="es-CO"/>
        </w:rPr>
        <w:t>,</w:t>
      </w:r>
      <w:r w:rsidR="0004364E" w:rsidRPr="0007034B">
        <w:rPr>
          <w:rFonts w:asciiTheme="majorHAnsi" w:hAnsiTheme="majorHAnsi"/>
          <w:sz w:val="20"/>
          <w:szCs w:val="20"/>
          <w:lang w:val="es-CO"/>
        </w:rPr>
        <w:t xml:space="preserve"> y</w:t>
      </w:r>
      <w:r w:rsidR="008B5CC8" w:rsidRPr="0007034B">
        <w:rPr>
          <w:rFonts w:asciiTheme="majorHAnsi" w:hAnsiTheme="majorHAnsi"/>
          <w:sz w:val="20"/>
          <w:szCs w:val="20"/>
          <w:lang w:val="es-CO"/>
        </w:rPr>
        <w:t xml:space="preserve"> </w:t>
      </w:r>
      <w:r w:rsidR="0004364E" w:rsidRPr="0007034B">
        <w:rPr>
          <w:rFonts w:asciiTheme="majorHAnsi" w:hAnsiTheme="majorHAnsi"/>
          <w:sz w:val="20"/>
          <w:szCs w:val="20"/>
          <w:lang w:val="es-CO"/>
        </w:rPr>
        <w:t>continúa violando</w:t>
      </w:r>
      <w:r w:rsidR="008B5CC8" w:rsidRPr="0007034B">
        <w:rPr>
          <w:rFonts w:asciiTheme="majorHAnsi" w:hAnsiTheme="majorHAnsi"/>
          <w:sz w:val="20"/>
          <w:szCs w:val="20"/>
          <w:lang w:val="es-CO"/>
        </w:rPr>
        <w:t>,</w:t>
      </w:r>
      <w:r w:rsidR="0004364E" w:rsidRPr="0007034B">
        <w:rPr>
          <w:rFonts w:asciiTheme="majorHAnsi" w:hAnsiTheme="majorHAnsi"/>
          <w:sz w:val="20"/>
          <w:szCs w:val="20"/>
          <w:lang w:val="es-CO"/>
        </w:rPr>
        <w:t xml:space="preserve"> los derechos </w:t>
      </w:r>
      <w:r w:rsidR="0004364E" w:rsidRPr="0007034B">
        <w:rPr>
          <w:rFonts w:asciiTheme="majorHAnsi" w:eastAsia="Times New Roman" w:hAnsiTheme="majorHAnsi"/>
          <w:sz w:val="20"/>
          <w:szCs w:val="20"/>
          <w:lang w:val="es-ES" w:eastAsia="es-ES"/>
        </w:rPr>
        <w:t>al reconocimiento de la personalidad jurídica, a la vida, a la integridad personal</w:t>
      </w:r>
      <w:r w:rsidR="00687666" w:rsidRPr="0007034B">
        <w:rPr>
          <w:rFonts w:asciiTheme="majorHAnsi" w:eastAsia="Times New Roman" w:hAnsiTheme="majorHAnsi"/>
          <w:sz w:val="20"/>
          <w:szCs w:val="20"/>
          <w:lang w:val="es-ES" w:eastAsia="es-ES"/>
        </w:rPr>
        <w:t>,</w:t>
      </w:r>
      <w:r w:rsidR="0004364E" w:rsidRPr="0007034B">
        <w:rPr>
          <w:rFonts w:asciiTheme="majorHAnsi" w:eastAsia="Times New Roman" w:hAnsiTheme="majorHAnsi"/>
          <w:sz w:val="20"/>
          <w:szCs w:val="20"/>
          <w:lang w:val="es-ES" w:eastAsia="es-ES"/>
        </w:rPr>
        <w:t xml:space="preserve"> a la libertad personal, a las garantías judiciales y a la protección judicial establecidos en los artículos </w:t>
      </w:r>
      <w:r w:rsidR="008029A1" w:rsidRPr="0007034B">
        <w:rPr>
          <w:rFonts w:asciiTheme="majorHAnsi" w:hAnsiTheme="majorHAnsi"/>
          <w:sz w:val="20"/>
          <w:szCs w:val="20"/>
          <w:lang w:val="es-CO"/>
        </w:rPr>
        <w:t>artículos XVII, XXV y I de la Declaración Americana</w:t>
      </w:r>
      <w:r w:rsidR="008029A1" w:rsidRPr="0007034B">
        <w:rPr>
          <w:rFonts w:asciiTheme="majorHAnsi" w:eastAsia="Times New Roman" w:hAnsiTheme="majorHAnsi"/>
          <w:sz w:val="20"/>
          <w:szCs w:val="20"/>
          <w:lang w:val="es-ES" w:eastAsia="es-ES"/>
        </w:rPr>
        <w:t xml:space="preserve"> y artículos </w:t>
      </w:r>
      <w:r w:rsidR="0004364E" w:rsidRPr="0007034B">
        <w:rPr>
          <w:rFonts w:asciiTheme="majorHAnsi" w:eastAsia="Times New Roman" w:hAnsiTheme="majorHAnsi"/>
          <w:sz w:val="20"/>
          <w:szCs w:val="20"/>
          <w:lang w:val="es-ES" w:eastAsia="es-ES"/>
        </w:rPr>
        <w:t>3, 4.1, 5.1 y 5.2</w:t>
      </w:r>
      <w:r w:rsidR="00185F74" w:rsidRPr="0007034B">
        <w:rPr>
          <w:rFonts w:asciiTheme="majorHAnsi" w:eastAsia="Times New Roman" w:hAnsiTheme="majorHAnsi"/>
          <w:sz w:val="20"/>
          <w:szCs w:val="20"/>
          <w:lang w:val="es-ES" w:eastAsia="es-ES"/>
        </w:rPr>
        <w:t xml:space="preserve"> y</w:t>
      </w:r>
      <w:r w:rsidR="0004364E" w:rsidRPr="0007034B">
        <w:rPr>
          <w:rFonts w:asciiTheme="majorHAnsi" w:eastAsia="Times New Roman" w:hAnsiTheme="majorHAnsi"/>
          <w:sz w:val="20"/>
          <w:szCs w:val="20"/>
          <w:lang w:val="es-ES" w:eastAsia="es-ES"/>
        </w:rPr>
        <w:t xml:space="preserve"> 7.1 de la Convención Americana</w:t>
      </w:r>
      <w:r w:rsidR="00185F74" w:rsidRPr="0007034B">
        <w:rPr>
          <w:rFonts w:asciiTheme="majorHAnsi" w:eastAsia="Times New Roman" w:hAnsiTheme="majorHAnsi"/>
          <w:sz w:val="20"/>
          <w:szCs w:val="20"/>
          <w:lang w:val="es-ES" w:eastAsia="es-ES"/>
        </w:rPr>
        <w:t>,</w:t>
      </w:r>
      <w:r w:rsidR="0004364E" w:rsidRPr="0007034B">
        <w:rPr>
          <w:rFonts w:asciiTheme="majorHAnsi" w:eastAsia="Times New Roman" w:hAnsiTheme="majorHAnsi"/>
          <w:sz w:val="20"/>
          <w:szCs w:val="20"/>
          <w:lang w:val="es-ES" w:eastAsia="es-ES"/>
        </w:rPr>
        <w:t xml:space="preserve"> en relación con las obligaciones establecidas en </w:t>
      </w:r>
      <w:r w:rsidR="00185F74" w:rsidRPr="0007034B">
        <w:rPr>
          <w:rFonts w:asciiTheme="majorHAnsi" w:eastAsia="Times New Roman" w:hAnsiTheme="majorHAnsi"/>
          <w:sz w:val="20"/>
          <w:szCs w:val="20"/>
          <w:lang w:val="es-ES" w:eastAsia="es-ES"/>
        </w:rPr>
        <w:t>su</w:t>
      </w:r>
      <w:r w:rsidR="0004364E" w:rsidRPr="0007034B">
        <w:rPr>
          <w:rFonts w:asciiTheme="majorHAnsi" w:eastAsia="Times New Roman" w:hAnsiTheme="majorHAnsi"/>
          <w:sz w:val="20"/>
          <w:szCs w:val="20"/>
          <w:lang w:val="es-ES" w:eastAsia="es-ES"/>
        </w:rPr>
        <w:t xml:space="preserve"> artículo 1.1</w:t>
      </w:r>
      <w:r w:rsidR="00687666" w:rsidRPr="0007034B">
        <w:rPr>
          <w:rFonts w:asciiTheme="majorHAnsi" w:eastAsia="Times New Roman" w:hAnsiTheme="majorHAnsi"/>
          <w:sz w:val="20"/>
          <w:szCs w:val="20"/>
          <w:lang w:val="es-ES" w:eastAsia="es-ES"/>
        </w:rPr>
        <w:t xml:space="preserve">, en perjuicio de </w:t>
      </w:r>
      <w:r w:rsidR="00A93EDD" w:rsidRPr="0007034B">
        <w:rPr>
          <w:rFonts w:asciiTheme="majorHAnsi" w:hAnsiTheme="majorHAnsi"/>
          <w:sz w:val="20"/>
          <w:szCs w:val="20"/>
          <w:lang w:val="es-CO"/>
        </w:rPr>
        <w:t xml:space="preserve">Victoria </w:t>
      </w:r>
      <w:r w:rsidR="00A93EDD" w:rsidRPr="0007034B">
        <w:rPr>
          <w:rFonts w:asciiTheme="majorHAnsi" w:eastAsia="Times New Roman" w:hAnsiTheme="majorHAnsi"/>
          <w:sz w:val="20"/>
          <w:szCs w:val="20"/>
          <w:lang w:val="es-ES" w:eastAsia="es-ES"/>
        </w:rPr>
        <w:t xml:space="preserve">Lucía </w:t>
      </w:r>
      <w:r w:rsidR="00A93EDD" w:rsidRPr="0007034B">
        <w:rPr>
          <w:rFonts w:asciiTheme="majorHAnsi" w:hAnsiTheme="majorHAnsi"/>
          <w:sz w:val="20"/>
          <w:szCs w:val="20"/>
          <w:lang w:val="es-CO"/>
        </w:rPr>
        <w:t xml:space="preserve">Grisonas y Mario </w:t>
      </w:r>
      <w:r w:rsidR="00A93EDD" w:rsidRPr="0007034B">
        <w:rPr>
          <w:rFonts w:asciiTheme="majorHAnsi" w:eastAsia="Times New Roman" w:hAnsiTheme="majorHAnsi"/>
          <w:sz w:val="20"/>
          <w:szCs w:val="20"/>
          <w:lang w:val="es-ES" w:eastAsia="es-ES"/>
        </w:rPr>
        <w:t xml:space="preserve">Roger </w:t>
      </w:r>
      <w:r w:rsidR="00A93EDD" w:rsidRPr="0007034B">
        <w:rPr>
          <w:rFonts w:asciiTheme="majorHAnsi" w:hAnsiTheme="majorHAnsi"/>
          <w:sz w:val="20"/>
          <w:szCs w:val="20"/>
          <w:lang w:val="es-CO"/>
        </w:rPr>
        <w:t xml:space="preserve">Julien. </w:t>
      </w:r>
      <w:r w:rsidR="00BD53A6" w:rsidRPr="0007034B">
        <w:rPr>
          <w:rFonts w:asciiTheme="majorHAnsi" w:eastAsia="Times New Roman" w:hAnsiTheme="majorHAnsi"/>
          <w:sz w:val="20"/>
          <w:szCs w:val="20"/>
          <w:lang w:val="es-ES" w:eastAsia="es-ES"/>
        </w:rPr>
        <w:t xml:space="preserve">Asimismo, la Comisión concluye también que el Estado violó el artículo I a) de la CIDFP dado que al momento de la ratificación de dicho instrumento por parte del Estado argentino y hasta la fecha, la desaparición forzada continúa cometiéndose. Por otra parte, </w:t>
      </w:r>
      <w:r w:rsidR="00A93EDD" w:rsidRPr="0007034B">
        <w:rPr>
          <w:rFonts w:asciiTheme="majorHAnsi" w:hAnsiTheme="majorHAnsi"/>
          <w:sz w:val="20"/>
          <w:szCs w:val="20"/>
          <w:lang w:val="es-CO"/>
        </w:rPr>
        <w:t xml:space="preserve">la Comisión concluye que el Estado violó los artículos </w:t>
      </w:r>
      <w:r w:rsidR="00185F74" w:rsidRPr="0007034B">
        <w:rPr>
          <w:rFonts w:asciiTheme="majorHAnsi" w:hAnsiTheme="majorHAnsi"/>
          <w:sz w:val="20"/>
          <w:szCs w:val="20"/>
          <w:lang w:val="es-CO"/>
        </w:rPr>
        <w:t xml:space="preserve">XVII, XXV y </w:t>
      </w:r>
      <w:r w:rsidR="00A93EDD" w:rsidRPr="0007034B">
        <w:rPr>
          <w:rFonts w:asciiTheme="majorHAnsi" w:hAnsiTheme="majorHAnsi"/>
          <w:sz w:val="20"/>
          <w:szCs w:val="20"/>
          <w:lang w:val="es-CO"/>
        </w:rPr>
        <w:t xml:space="preserve">I de la Declaración Americana, en relación con </w:t>
      </w:r>
      <w:r w:rsidR="00887044" w:rsidRPr="0007034B">
        <w:rPr>
          <w:rFonts w:asciiTheme="majorHAnsi" w:hAnsiTheme="majorHAnsi"/>
          <w:sz w:val="20"/>
          <w:szCs w:val="20"/>
          <w:lang w:val="es-CO"/>
        </w:rPr>
        <w:t>e</w:t>
      </w:r>
      <w:r w:rsidR="00A93EDD" w:rsidRPr="0007034B">
        <w:rPr>
          <w:rFonts w:asciiTheme="majorHAnsi" w:hAnsiTheme="majorHAnsi"/>
          <w:sz w:val="20"/>
          <w:szCs w:val="20"/>
          <w:lang w:val="es-CO"/>
        </w:rPr>
        <w:t>l artículo VII</w:t>
      </w:r>
      <w:r w:rsidR="008B5CC8" w:rsidRPr="0007034B">
        <w:rPr>
          <w:rFonts w:asciiTheme="majorHAnsi" w:hAnsiTheme="majorHAnsi"/>
          <w:sz w:val="20"/>
          <w:szCs w:val="20"/>
          <w:lang w:val="es-CO"/>
        </w:rPr>
        <w:t xml:space="preserve"> </w:t>
      </w:r>
      <w:r w:rsidR="00A93EDD" w:rsidRPr="0007034B">
        <w:rPr>
          <w:rFonts w:asciiTheme="majorHAnsi" w:hAnsiTheme="majorHAnsi"/>
          <w:sz w:val="20"/>
          <w:szCs w:val="20"/>
          <w:lang w:val="es-CO"/>
        </w:rPr>
        <w:t>de la misma</w:t>
      </w:r>
      <w:r w:rsidR="003F6D75" w:rsidRPr="0007034B">
        <w:rPr>
          <w:rFonts w:asciiTheme="majorHAnsi" w:hAnsiTheme="majorHAnsi"/>
          <w:sz w:val="20"/>
          <w:szCs w:val="20"/>
          <w:lang w:val="es-CO"/>
        </w:rPr>
        <w:t xml:space="preserve">, </w:t>
      </w:r>
      <w:r w:rsidR="00BD53A6" w:rsidRPr="0007034B">
        <w:rPr>
          <w:rFonts w:asciiTheme="majorHAnsi" w:hAnsiTheme="majorHAnsi"/>
          <w:sz w:val="20"/>
          <w:szCs w:val="20"/>
          <w:lang w:val="es-CO"/>
        </w:rPr>
        <w:t xml:space="preserve">en perjuicio de </w:t>
      </w:r>
      <w:r w:rsidR="00BD53A6" w:rsidRPr="0007034B">
        <w:rPr>
          <w:rFonts w:asciiTheme="majorHAnsi" w:eastAsia="Times New Roman" w:hAnsiTheme="majorHAnsi"/>
          <w:sz w:val="20"/>
          <w:szCs w:val="20"/>
          <w:lang w:val="es-ES" w:eastAsia="es-ES"/>
        </w:rPr>
        <w:t xml:space="preserve">Anatole y Victoria Larrabeiti Yáñez. </w:t>
      </w:r>
    </w:p>
    <w:p w14:paraId="143F918D" w14:textId="77777777" w:rsidR="00A14C20" w:rsidRPr="0007034B" w:rsidRDefault="00A14C20" w:rsidP="00A14C20">
      <w:pPr>
        <w:pBdr>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p>
    <w:p w14:paraId="0BCD894A" w14:textId="131903D1" w:rsidR="00E904A1" w:rsidRDefault="0089763C" w:rsidP="00E904A1">
      <w:pPr>
        <w:pStyle w:val="Heading2"/>
      </w:pPr>
      <w:bookmarkStart w:id="71" w:name="_Toc6349171"/>
      <w:bookmarkStart w:id="72" w:name="_Toc6466664"/>
      <w:bookmarkStart w:id="73" w:name="_Toc492973707"/>
      <w:r w:rsidRPr="007E73E1">
        <w:t>D</w:t>
      </w:r>
      <w:r w:rsidR="00B82F8F" w:rsidRPr="007E73E1">
        <w:t>erecho a la integridad personal</w:t>
      </w:r>
      <w:r w:rsidR="00D01EEB" w:rsidRPr="007E73E1">
        <w:t xml:space="preserve"> </w:t>
      </w:r>
      <w:r w:rsidR="00503569" w:rsidRPr="007E73E1">
        <w:t xml:space="preserve">y prohibición de la tortura </w:t>
      </w:r>
      <w:r w:rsidR="00D01EEB" w:rsidRPr="007E73E1">
        <w:t>(</w:t>
      </w:r>
      <w:r w:rsidR="001F0175" w:rsidRPr="007E73E1">
        <w:t>A</w:t>
      </w:r>
      <w:r w:rsidR="00F97DD5" w:rsidRPr="007E73E1">
        <w:t>rtículo 5.1 de la Convención Americana</w:t>
      </w:r>
      <w:r w:rsidR="00C17F99" w:rsidRPr="007E73E1">
        <w:t>, en relación con su artículo 1.1,</w:t>
      </w:r>
      <w:r w:rsidR="00F97DD5" w:rsidRPr="007E73E1">
        <w:t xml:space="preserve"> y </w:t>
      </w:r>
      <w:r w:rsidR="00D01EEB" w:rsidRPr="007E73E1">
        <w:t>artículo I de la Declaración Americana</w:t>
      </w:r>
      <w:r w:rsidR="00613A0F" w:rsidRPr="007E73E1">
        <w:rPr>
          <w:rStyle w:val="FootnoteReference"/>
          <w:rFonts w:eastAsia="Arial Unicode MS"/>
          <w:vertAlign w:val="baseline"/>
        </w:rPr>
        <w:footnoteReference w:id="130"/>
      </w:r>
      <w:r w:rsidR="00D01EEB" w:rsidRPr="007E73E1">
        <w:t>)</w:t>
      </w:r>
      <w:bookmarkEnd w:id="71"/>
      <w:bookmarkEnd w:id="72"/>
      <w:r w:rsidR="00503569" w:rsidRPr="007E73E1">
        <w:t xml:space="preserve"> </w:t>
      </w:r>
      <w:bookmarkStart w:id="74" w:name="_Toc492973708"/>
      <w:bookmarkEnd w:id="73"/>
    </w:p>
    <w:p w14:paraId="41B42DA3" w14:textId="77777777" w:rsidR="00E904A1" w:rsidRPr="00E904A1" w:rsidRDefault="00E904A1" w:rsidP="00E904A1">
      <w:pPr>
        <w:rPr>
          <w:lang w:val="es-ES_tradnl"/>
        </w:rPr>
      </w:pPr>
    </w:p>
    <w:p w14:paraId="0C84D091" w14:textId="786D6816" w:rsidR="00B82F8F" w:rsidRPr="007E73E1" w:rsidRDefault="00B82F8F" w:rsidP="00B14871">
      <w:pPr>
        <w:pStyle w:val="Heading3"/>
        <w:numPr>
          <w:ilvl w:val="0"/>
          <w:numId w:val="70"/>
        </w:numPr>
        <w:ind w:hanging="720"/>
      </w:pPr>
      <w:bookmarkStart w:id="75" w:name="_Toc6349172"/>
      <w:bookmarkStart w:id="76" w:name="_Toc6466665"/>
      <w:r w:rsidRPr="007E73E1">
        <w:t>Consideraciones generales sobre la prohibición de la tortura y tratos crueles, inhumanos o degradantes</w:t>
      </w:r>
      <w:bookmarkEnd w:id="74"/>
      <w:bookmarkEnd w:id="75"/>
      <w:bookmarkEnd w:id="76"/>
      <w:r w:rsidRPr="007E73E1">
        <w:t xml:space="preserve"> </w:t>
      </w:r>
    </w:p>
    <w:p w14:paraId="5E41F10A" w14:textId="77777777" w:rsidR="00B82F8F" w:rsidRPr="0007034B" w:rsidRDefault="00B82F8F" w:rsidP="00B82F8F">
      <w:pPr>
        <w:rPr>
          <w:rFonts w:asciiTheme="majorHAnsi" w:hAnsiTheme="majorHAnsi"/>
          <w:sz w:val="20"/>
          <w:szCs w:val="20"/>
          <w:lang w:val="es-CO"/>
        </w:rPr>
      </w:pPr>
    </w:p>
    <w:p w14:paraId="22C8E679" w14:textId="77777777" w:rsidR="00B82F8F" w:rsidRPr="0007034B" w:rsidRDefault="00B82F8F" w:rsidP="00B14871">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0"/>
        <w:jc w:val="both"/>
        <w:rPr>
          <w:rFonts w:asciiTheme="majorHAnsi" w:hAnsiTheme="majorHAnsi"/>
          <w:sz w:val="20"/>
          <w:szCs w:val="20"/>
          <w:lang w:val="es-AR"/>
        </w:rPr>
      </w:pPr>
      <w:r w:rsidRPr="0007034B">
        <w:rPr>
          <w:rFonts w:asciiTheme="majorHAnsi" w:hAnsiTheme="majorHAnsi"/>
          <w:sz w:val="20"/>
          <w:szCs w:val="20"/>
          <w:lang w:val="es-CO"/>
        </w:rPr>
        <w:t>La CIDH ha enfatizado que la Convención Americana prohíbe la imposición de la tortura o de un trato o castigo cruel, inhumano o degradante contra las personas en cualquier circunstancia.</w:t>
      </w:r>
      <w:r w:rsidRPr="0007034B">
        <w:rPr>
          <w:rFonts w:asciiTheme="majorHAnsi" w:hAnsiTheme="majorHAnsi"/>
          <w:sz w:val="20"/>
          <w:szCs w:val="20"/>
          <w:vertAlign w:val="superscript"/>
          <w:lang w:val="es-CO"/>
        </w:rPr>
        <w:t xml:space="preserve"> </w:t>
      </w:r>
      <w:r w:rsidRPr="0007034B">
        <w:rPr>
          <w:rFonts w:asciiTheme="majorHAnsi" w:hAnsiTheme="majorHAnsi"/>
          <w:sz w:val="20"/>
          <w:szCs w:val="20"/>
          <w:lang w:val="es-CO"/>
        </w:rPr>
        <w:t xml:space="preserve">La Comisión ha indicado que "un aspecto esencial del derecho a la seguridad personal es la absoluta prohibición de la tortura, norma perentoria del derecho internacional que crea obligaciones </w:t>
      </w:r>
      <w:r w:rsidRPr="0007034B">
        <w:rPr>
          <w:rFonts w:asciiTheme="majorHAnsi" w:hAnsiTheme="majorHAnsi"/>
          <w:i/>
          <w:sz w:val="20"/>
          <w:szCs w:val="20"/>
          <w:lang w:val="es-CO"/>
        </w:rPr>
        <w:t>erga omnes</w:t>
      </w:r>
      <w:r w:rsidRPr="0007034B">
        <w:rPr>
          <w:rFonts w:asciiTheme="majorHAnsi" w:hAnsiTheme="majorHAnsi"/>
          <w:sz w:val="20"/>
          <w:szCs w:val="20"/>
          <w:lang w:val="es-CO"/>
        </w:rPr>
        <w:t>"</w:t>
      </w:r>
      <w:r w:rsidRPr="0007034B">
        <w:rPr>
          <w:rStyle w:val="FootnoteReference"/>
          <w:rFonts w:asciiTheme="majorHAnsi" w:hAnsiTheme="majorHAnsi"/>
          <w:sz w:val="20"/>
          <w:szCs w:val="20"/>
        </w:rPr>
        <w:footnoteReference w:id="131"/>
      </w:r>
      <w:r w:rsidRPr="0007034B">
        <w:rPr>
          <w:rFonts w:asciiTheme="majorHAnsi" w:hAnsiTheme="majorHAnsi"/>
          <w:sz w:val="20"/>
          <w:szCs w:val="20"/>
          <w:lang w:val="es-CO"/>
        </w:rPr>
        <w:t xml:space="preserve">. Asimismo, la CIDH ha calificado la prohibición de la tortura como una norma de </w:t>
      </w:r>
      <w:r w:rsidRPr="0007034B">
        <w:rPr>
          <w:rFonts w:asciiTheme="majorHAnsi" w:hAnsiTheme="majorHAnsi"/>
          <w:i/>
          <w:sz w:val="20"/>
          <w:szCs w:val="20"/>
          <w:lang w:val="es-CO"/>
        </w:rPr>
        <w:t>jus cogens</w:t>
      </w:r>
      <w:r w:rsidRPr="0007034B">
        <w:rPr>
          <w:rStyle w:val="FootnoteReference"/>
          <w:rFonts w:asciiTheme="majorHAnsi" w:hAnsiTheme="majorHAnsi"/>
          <w:sz w:val="20"/>
          <w:szCs w:val="20"/>
        </w:rPr>
        <w:footnoteReference w:id="132"/>
      </w:r>
      <w:r w:rsidRPr="0007034B">
        <w:rPr>
          <w:rFonts w:asciiTheme="majorHAnsi" w:hAnsiTheme="majorHAnsi"/>
          <w:sz w:val="20"/>
          <w:szCs w:val="20"/>
          <w:lang w:val="es-CO"/>
        </w:rPr>
        <w:t>.</w:t>
      </w:r>
      <w:r w:rsidRPr="0007034B">
        <w:rPr>
          <w:rFonts w:asciiTheme="majorHAnsi" w:hAnsiTheme="majorHAnsi"/>
          <w:sz w:val="20"/>
          <w:szCs w:val="20"/>
          <w:lang w:val="es-AR"/>
        </w:rPr>
        <w:t xml:space="preserve"> </w:t>
      </w:r>
      <w:r w:rsidRPr="0007034B">
        <w:rPr>
          <w:rFonts w:asciiTheme="majorHAnsi" w:hAnsiTheme="majorHAnsi" w:cs="Arial"/>
          <w:sz w:val="20"/>
          <w:szCs w:val="20"/>
          <w:lang w:val="es-CO"/>
        </w:rPr>
        <w:t xml:space="preserve">Por su parte, la Corte ha señalado reiteradamente que </w:t>
      </w:r>
      <w:r w:rsidRPr="0007034B">
        <w:rPr>
          <w:rFonts w:asciiTheme="majorHAnsi" w:hAnsiTheme="majorHAnsi"/>
          <w:sz w:val="20"/>
          <w:szCs w:val="20"/>
          <w:lang w:val="es-CO"/>
        </w:rPr>
        <w:t xml:space="preserve">"la tortura y las penas o tratos crueles, inhumanos o degradantes están estrictamente prohibidos por el Derecho Internacional de los Derechos Humanos. </w:t>
      </w:r>
      <w:r w:rsidRPr="0007034B">
        <w:rPr>
          <w:rFonts w:asciiTheme="majorHAnsi" w:hAnsiTheme="majorHAnsi"/>
          <w:sz w:val="20"/>
          <w:szCs w:val="20"/>
          <w:lang w:val="es-VE"/>
        </w:rPr>
        <w:t xml:space="preserve">La prohibición absoluta de la tortura, tanto física como psicológica, pertenece hoy día al dominio del </w:t>
      </w:r>
      <w:r w:rsidRPr="0007034B">
        <w:rPr>
          <w:rFonts w:asciiTheme="majorHAnsi" w:hAnsiTheme="majorHAnsi"/>
          <w:i/>
          <w:sz w:val="20"/>
          <w:szCs w:val="20"/>
          <w:lang w:val="es-VE"/>
        </w:rPr>
        <w:t xml:space="preserve">jus cogens </w:t>
      </w:r>
      <w:r w:rsidRPr="0007034B">
        <w:rPr>
          <w:rFonts w:asciiTheme="majorHAnsi" w:hAnsiTheme="majorHAnsi" w:cs="Arial"/>
          <w:sz w:val="20"/>
          <w:szCs w:val="20"/>
          <w:lang w:val="es-VE"/>
        </w:rPr>
        <w:t>internacional</w:t>
      </w:r>
      <w:r w:rsidRPr="0007034B">
        <w:rPr>
          <w:rFonts w:asciiTheme="majorHAnsi" w:hAnsiTheme="majorHAnsi"/>
          <w:sz w:val="20"/>
          <w:szCs w:val="20"/>
          <w:lang w:val="es-VE"/>
        </w:rPr>
        <w:t>"</w:t>
      </w:r>
      <w:r w:rsidRPr="0007034B">
        <w:rPr>
          <w:rStyle w:val="FootnoteReference"/>
          <w:rFonts w:asciiTheme="majorHAnsi" w:hAnsiTheme="majorHAnsi"/>
          <w:sz w:val="20"/>
          <w:szCs w:val="20"/>
        </w:rPr>
        <w:footnoteReference w:id="133"/>
      </w:r>
      <w:r w:rsidRPr="0007034B">
        <w:rPr>
          <w:rFonts w:asciiTheme="majorHAnsi" w:hAnsiTheme="majorHAnsi"/>
          <w:sz w:val="20"/>
          <w:szCs w:val="20"/>
          <w:lang w:val="es-VE"/>
        </w:rPr>
        <w:t xml:space="preserve">. </w:t>
      </w:r>
    </w:p>
    <w:p w14:paraId="103E81A2" w14:textId="77777777" w:rsidR="00B82F8F" w:rsidRPr="0007034B" w:rsidRDefault="00B82F8F" w:rsidP="00454FE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3697"/>
        </w:tabs>
        <w:ind w:left="851"/>
        <w:jc w:val="both"/>
        <w:rPr>
          <w:rFonts w:asciiTheme="majorHAnsi" w:hAnsiTheme="majorHAnsi"/>
          <w:sz w:val="20"/>
          <w:szCs w:val="20"/>
          <w:lang w:val="es-AR"/>
        </w:rPr>
      </w:pPr>
      <w:r w:rsidRPr="0007034B">
        <w:rPr>
          <w:rFonts w:asciiTheme="majorHAnsi" w:hAnsiTheme="majorHAnsi"/>
          <w:sz w:val="20"/>
          <w:szCs w:val="20"/>
          <w:lang w:val="es-AR"/>
        </w:rPr>
        <w:tab/>
      </w:r>
    </w:p>
    <w:p w14:paraId="48FFD6E1" w14:textId="1C65CA85" w:rsidR="00B82F8F" w:rsidRPr="0007034B" w:rsidRDefault="00B82F8F" w:rsidP="00B14871">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rPr>
          <w:rFonts w:asciiTheme="majorHAnsi" w:hAnsiTheme="majorHAnsi"/>
          <w:sz w:val="20"/>
          <w:szCs w:val="20"/>
          <w:lang w:val="es-AR"/>
        </w:rPr>
      </w:pPr>
      <w:r w:rsidRPr="0007034B">
        <w:rPr>
          <w:rFonts w:asciiTheme="majorHAnsi" w:hAnsiTheme="majorHAnsi"/>
          <w:sz w:val="20"/>
          <w:szCs w:val="20"/>
          <w:lang w:val="es-VE"/>
        </w:rPr>
        <w:t>Según la jurisprudencia del sistema interamericano, para que una conducta sea calificada como tortura deben concurrir los siguientes elementos: i) que sea un acto intencional cometido por un agente del Estado o con su autorización o aquiescencia; ii) que cause intenso sufrimiento físico o mental y iii) que se cometa con determinado fin o propósito</w:t>
      </w:r>
      <w:r w:rsidRPr="0007034B">
        <w:rPr>
          <w:rStyle w:val="FootnoteReference"/>
          <w:rFonts w:asciiTheme="majorHAnsi" w:hAnsiTheme="majorHAnsi"/>
          <w:sz w:val="20"/>
          <w:szCs w:val="20"/>
        </w:rPr>
        <w:footnoteReference w:id="134"/>
      </w:r>
      <w:r w:rsidRPr="0007034B">
        <w:rPr>
          <w:rFonts w:asciiTheme="majorHAnsi" w:hAnsiTheme="majorHAnsi"/>
          <w:sz w:val="20"/>
          <w:szCs w:val="20"/>
          <w:lang w:val="es-VE"/>
        </w:rPr>
        <w:t>.</w:t>
      </w:r>
      <w:r w:rsidRPr="0007034B">
        <w:rPr>
          <w:rFonts w:asciiTheme="majorHAnsi" w:hAnsiTheme="majorHAnsi"/>
          <w:sz w:val="20"/>
          <w:szCs w:val="20"/>
          <w:lang w:val="es-AR"/>
        </w:rPr>
        <w:t xml:space="preserve"> </w:t>
      </w:r>
      <w:r w:rsidR="001F3D53" w:rsidRPr="0007034B">
        <w:rPr>
          <w:rFonts w:asciiTheme="majorHAnsi" w:hAnsiTheme="majorHAnsi"/>
          <w:sz w:val="20"/>
          <w:szCs w:val="20"/>
          <w:lang w:val="es-AR"/>
        </w:rPr>
        <w:t xml:space="preserve">Respecto del segundo elemento, la Corte Interamericana ha </w:t>
      </w:r>
      <w:r w:rsidR="001F3D53" w:rsidRPr="0007034B">
        <w:rPr>
          <w:rFonts w:asciiTheme="majorHAnsi" w:hAnsiTheme="majorHAnsi"/>
          <w:sz w:val="20"/>
          <w:szCs w:val="20"/>
          <w:lang w:val="es-AR"/>
        </w:rPr>
        <w:lastRenderedPageBreak/>
        <w:t>establecido que “</w:t>
      </w:r>
      <w:r w:rsidR="00343DBA" w:rsidRPr="0007034B">
        <w:rPr>
          <w:rFonts w:asciiTheme="majorHAnsi" w:hAnsiTheme="majorHAnsi"/>
          <w:sz w:val="20"/>
          <w:szCs w:val="20"/>
          <w:lang w:val="es-VE"/>
        </w:rPr>
        <w:t>al apreciar la severidad del sufrimiento padecido, la Corte debe tomar en cuenta las circunstancias específicas de cada caso, teniendo en cuenta factores endógenos y exógenos. Los primeros se refieren a las características del trato, tales como la duración, el método utilizado o el modo en que fueron infligidos los padecimientos, así como los efectos físicos y mentales que éstos tienden a causar. Los segundos remiten a las condiciones de la persona que padece dichos sufrimientos, entre ellos la edad, el sexo, el estado de salud, así como toda otra circunstancia personal”</w:t>
      </w:r>
      <w:r w:rsidR="00343DBA" w:rsidRPr="0007034B">
        <w:rPr>
          <w:rStyle w:val="FootnoteReference"/>
          <w:rFonts w:asciiTheme="majorHAnsi" w:hAnsiTheme="majorHAnsi"/>
          <w:sz w:val="20"/>
          <w:szCs w:val="20"/>
          <w:lang w:val="es-VE"/>
        </w:rPr>
        <w:footnoteReference w:id="135"/>
      </w:r>
      <w:r w:rsidR="00062203" w:rsidRPr="0007034B">
        <w:rPr>
          <w:rFonts w:asciiTheme="majorHAnsi" w:hAnsiTheme="majorHAnsi"/>
          <w:sz w:val="20"/>
          <w:szCs w:val="20"/>
          <w:lang w:val="es-VE"/>
        </w:rPr>
        <w:t>.</w:t>
      </w:r>
    </w:p>
    <w:p w14:paraId="3B2DB3C2" w14:textId="77777777" w:rsidR="00A14C20" w:rsidRPr="0007034B" w:rsidRDefault="00A14C20" w:rsidP="00A14C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Theme="majorHAnsi" w:hAnsiTheme="majorHAnsi"/>
          <w:sz w:val="20"/>
          <w:szCs w:val="20"/>
          <w:lang w:val="es-AR"/>
        </w:rPr>
      </w:pPr>
    </w:p>
    <w:p w14:paraId="19E343F7" w14:textId="77777777" w:rsidR="00B82F8F" w:rsidRPr="007E73E1" w:rsidRDefault="00B82F8F" w:rsidP="007E73E1">
      <w:pPr>
        <w:pStyle w:val="Heading3"/>
      </w:pPr>
      <w:bookmarkStart w:id="77" w:name="_Toc492973709"/>
      <w:bookmarkStart w:id="78" w:name="_Toc6349173"/>
      <w:bookmarkStart w:id="79" w:name="_Toc6466666"/>
      <w:r w:rsidRPr="007E73E1">
        <w:t>Análisis del caso</w:t>
      </w:r>
      <w:bookmarkEnd w:id="77"/>
      <w:bookmarkEnd w:id="78"/>
      <w:bookmarkEnd w:id="79"/>
    </w:p>
    <w:p w14:paraId="3EB3267C" w14:textId="77777777" w:rsidR="00B82F8F" w:rsidRPr="0007034B" w:rsidRDefault="00B82F8F" w:rsidP="00B82F8F">
      <w:pPr>
        <w:pStyle w:val="Style2"/>
        <w:numPr>
          <w:ilvl w:val="0"/>
          <w:numId w:val="0"/>
        </w:numPr>
        <w:rPr>
          <w:rFonts w:asciiTheme="majorHAnsi" w:eastAsia="Calibri" w:hAnsiTheme="majorHAnsi"/>
          <w:b/>
          <w:bCs/>
          <w:bdr w:val="none" w:sz="0" w:space="0" w:color="auto"/>
          <w:lang w:val="en-US"/>
        </w:rPr>
      </w:pPr>
    </w:p>
    <w:p w14:paraId="6C8807E7" w14:textId="77777777" w:rsidR="00BA76F2" w:rsidRDefault="00B82F8F" w:rsidP="00B14871">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rPr>
          <w:rFonts w:asciiTheme="majorHAnsi" w:hAnsiTheme="majorHAnsi"/>
          <w:bCs/>
          <w:sz w:val="20"/>
          <w:szCs w:val="20"/>
          <w:lang w:val="es-CO"/>
        </w:rPr>
      </w:pPr>
      <w:r w:rsidRPr="0007034B">
        <w:rPr>
          <w:rFonts w:asciiTheme="majorHAnsi" w:hAnsiTheme="majorHAnsi"/>
          <w:bCs/>
          <w:sz w:val="20"/>
          <w:szCs w:val="20"/>
          <w:lang w:val="es-CO"/>
        </w:rPr>
        <w:t>A continuación</w:t>
      </w:r>
      <w:r w:rsidR="001835DD" w:rsidRPr="0007034B">
        <w:rPr>
          <w:rFonts w:asciiTheme="majorHAnsi" w:hAnsiTheme="majorHAnsi"/>
          <w:bCs/>
          <w:sz w:val="20"/>
          <w:szCs w:val="20"/>
          <w:lang w:val="es-CO"/>
        </w:rPr>
        <w:t>,</w:t>
      </w:r>
      <w:r w:rsidRPr="0007034B">
        <w:rPr>
          <w:rFonts w:asciiTheme="majorHAnsi" w:hAnsiTheme="majorHAnsi"/>
          <w:bCs/>
          <w:sz w:val="20"/>
          <w:szCs w:val="20"/>
          <w:lang w:val="es-CO"/>
        </w:rPr>
        <w:t xml:space="preserve"> la Comisión analizará si en el presente caso se reúnen los tres elementos constitutivos de tortura</w:t>
      </w:r>
      <w:r w:rsidR="001835DD" w:rsidRPr="0007034B">
        <w:rPr>
          <w:rFonts w:asciiTheme="majorHAnsi" w:hAnsiTheme="majorHAnsi"/>
          <w:bCs/>
          <w:sz w:val="20"/>
          <w:szCs w:val="20"/>
          <w:lang w:val="es-CO"/>
        </w:rPr>
        <w:t xml:space="preserve"> respecto de Victoria Grisonas y de sus hijos</w:t>
      </w:r>
      <w:r w:rsidRPr="0007034B">
        <w:rPr>
          <w:rFonts w:asciiTheme="majorHAnsi" w:hAnsiTheme="majorHAnsi"/>
          <w:bCs/>
          <w:sz w:val="20"/>
          <w:szCs w:val="20"/>
          <w:lang w:val="es-CO"/>
        </w:rPr>
        <w:t xml:space="preserve">. Para empezar, se examinará si fueron sometidos a un intenso sufrimiento físico o mental; luego se estudiará si hubo participación directa o autorización o aquiescencia de agentes estatales; para finalmente determinar si cumplió con un determinado fin o propósito. </w:t>
      </w:r>
    </w:p>
    <w:p w14:paraId="67E771BC" w14:textId="77777777" w:rsidR="00BA76F2" w:rsidRDefault="00BA76F2" w:rsidP="00BA76F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Theme="majorHAnsi" w:hAnsiTheme="majorHAnsi"/>
          <w:bCs/>
          <w:sz w:val="20"/>
          <w:szCs w:val="20"/>
          <w:lang w:val="es-CO"/>
        </w:rPr>
      </w:pPr>
    </w:p>
    <w:p w14:paraId="16BFB643" w14:textId="77777777" w:rsidR="00BA76F2" w:rsidRDefault="00F514A6" w:rsidP="00B14871">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rPr>
          <w:rFonts w:asciiTheme="majorHAnsi" w:hAnsiTheme="majorHAnsi"/>
          <w:bCs/>
          <w:sz w:val="20"/>
          <w:szCs w:val="20"/>
          <w:lang w:val="es-CO"/>
        </w:rPr>
      </w:pPr>
      <w:r w:rsidRPr="00BA76F2">
        <w:rPr>
          <w:rFonts w:asciiTheme="majorHAnsi" w:hAnsiTheme="majorHAnsi"/>
          <w:bCs/>
          <w:sz w:val="20"/>
          <w:szCs w:val="20"/>
          <w:lang w:val="es-CO"/>
        </w:rPr>
        <w:t>Respecto de Victoria Grisonas,</w:t>
      </w:r>
      <w:r w:rsidR="00EF00F0" w:rsidRPr="00BA76F2">
        <w:rPr>
          <w:rFonts w:asciiTheme="majorHAnsi" w:hAnsiTheme="majorHAnsi"/>
          <w:bCs/>
          <w:sz w:val="20"/>
          <w:szCs w:val="20"/>
          <w:lang w:val="es-CO"/>
        </w:rPr>
        <w:t xml:space="preserve"> </w:t>
      </w:r>
      <w:r w:rsidR="0049466B" w:rsidRPr="00BA76F2">
        <w:rPr>
          <w:rFonts w:asciiTheme="majorHAnsi" w:hAnsiTheme="majorHAnsi"/>
          <w:bCs/>
          <w:sz w:val="20"/>
          <w:szCs w:val="20"/>
          <w:lang w:val="es-CO"/>
        </w:rPr>
        <w:t>no hay controversia entre las partes que del contexto citado y del expediente surge con claridad</w:t>
      </w:r>
      <w:r w:rsidR="00D55B35" w:rsidRPr="00BA76F2">
        <w:rPr>
          <w:rFonts w:asciiTheme="majorHAnsi" w:hAnsiTheme="majorHAnsi"/>
          <w:bCs/>
          <w:sz w:val="20"/>
          <w:szCs w:val="20"/>
          <w:lang w:val="es-VE"/>
        </w:rPr>
        <w:t xml:space="preserve"> la participación </w:t>
      </w:r>
      <w:r w:rsidR="00D573F7" w:rsidRPr="00BA76F2">
        <w:rPr>
          <w:rFonts w:asciiTheme="majorHAnsi" w:hAnsiTheme="majorHAnsi"/>
          <w:bCs/>
          <w:sz w:val="20"/>
          <w:szCs w:val="20"/>
          <w:lang w:val="es-VE"/>
        </w:rPr>
        <w:t xml:space="preserve">intencional </w:t>
      </w:r>
      <w:r w:rsidR="00D55B35" w:rsidRPr="00BA76F2">
        <w:rPr>
          <w:rFonts w:asciiTheme="majorHAnsi" w:hAnsiTheme="majorHAnsi"/>
          <w:bCs/>
          <w:sz w:val="20"/>
          <w:szCs w:val="20"/>
          <w:lang w:val="es-VE"/>
        </w:rPr>
        <w:t>de agentes estatales en los hechos</w:t>
      </w:r>
      <w:r w:rsidR="0049466B" w:rsidRPr="00BA76F2">
        <w:rPr>
          <w:rFonts w:asciiTheme="majorHAnsi" w:hAnsiTheme="majorHAnsi"/>
          <w:bCs/>
          <w:sz w:val="20"/>
          <w:szCs w:val="20"/>
          <w:lang w:val="es-VE"/>
        </w:rPr>
        <w:t>. En tal sentido</w:t>
      </w:r>
      <w:r w:rsidR="00D55B35" w:rsidRPr="00BA76F2">
        <w:rPr>
          <w:rFonts w:asciiTheme="majorHAnsi" w:hAnsiTheme="majorHAnsi"/>
          <w:bCs/>
          <w:sz w:val="20"/>
          <w:szCs w:val="20"/>
          <w:lang w:val="es-VE"/>
        </w:rPr>
        <w:t>,</w:t>
      </w:r>
      <w:r w:rsidR="00CC58A4" w:rsidRPr="00BA76F2">
        <w:rPr>
          <w:rFonts w:asciiTheme="majorHAnsi" w:hAnsiTheme="majorHAnsi"/>
          <w:bCs/>
          <w:sz w:val="20"/>
          <w:szCs w:val="20"/>
          <w:lang w:val="es-VE"/>
        </w:rPr>
        <w:t xml:space="preserve"> </w:t>
      </w:r>
      <w:r w:rsidR="00244CDA" w:rsidRPr="00BA76F2">
        <w:rPr>
          <w:rFonts w:asciiTheme="majorHAnsi" w:hAnsiTheme="majorHAnsi"/>
          <w:sz w:val="20"/>
          <w:szCs w:val="20"/>
          <w:lang w:val="es-ES"/>
        </w:rPr>
        <w:t xml:space="preserve">el 31 de mayo de 2011 el Tribunal Oral en lo Criminal Federal No. 1 condenó a </w:t>
      </w:r>
      <w:r w:rsidR="00C02B23" w:rsidRPr="00BA76F2">
        <w:rPr>
          <w:rFonts w:asciiTheme="majorHAnsi" w:hAnsiTheme="majorHAnsi"/>
          <w:sz w:val="20"/>
          <w:szCs w:val="20"/>
          <w:lang w:val="es-VE"/>
        </w:rPr>
        <w:t>cuatro ex agentes del Ejército</w:t>
      </w:r>
      <w:r w:rsidR="002777C1" w:rsidRPr="00BA76F2">
        <w:rPr>
          <w:rFonts w:asciiTheme="majorHAnsi" w:hAnsiTheme="majorHAnsi"/>
          <w:sz w:val="20"/>
          <w:szCs w:val="20"/>
          <w:lang w:val="es-VE"/>
        </w:rPr>
        <w:t xml:space="preserve"> por delitos cometidos en “Orletti”, </w:t>
      </w:r>
      <w:r w:rsidR="00244CDA" w:rsidRPr="00BA76F2">
        <w:rPr>
          <w:rFonts w:asciiTheme="majorHAnsi" w:hAnsiTheme="majorHAnsi"/>
          <w:sz w:val="20"/>
          <w:szCs w:val="20"/>
          <w:lang w:val="es-VE"/>
        </w:rPr>
        <w:t>sentencia que se encuentra firme</w:t>
      </w:r>
      <w:r w:rsidR="002777C1" w:rsidRPr="00BA76F2">
        <w:rPr>
          <w:rFonts w:asciiTheme="majorHAnsi" w:hAnsiTheme="majorHAnsi"/>
          <w:sz w:val="20"/>
          <w:szCs w:val="20"/>
          <w:lang w:val="es-VE"/>
        </w:rPr>
        <w:t>. Dicha sentencia consideró “acreditada con plena certeza la privación ilegal de la libertad que sufriera Victoria Lucía Grisonas, como así también su alojamiento en el ccdt “Automotores Orletti”, el padecimiento de torturas y de condiciones inhumanas de detención”.</w:t>
      </w:r>
      <w:r w:rsidR="00080B1B" w:rsidRPr="00BA76F2">
        <w:rPr>
          <w:rFonts w:asciiTheme="majorHAnsi" w:hAnsiTheme="majorHAnsi"/>
          <w:sz w:val="20"/>
          <w:szCs w:val="20"/>
          <w:lang w:val="es-VE"/>
        </w:rPr>
        <w:t xml:space="preserve"> Por lo tanto, </w:t>
      </w:r>
      <w:r w:rsidR="00544E9D" w:rsidRPr="00BA76F2">
        <w:rPr>
          <w:rFonts w:asciiTheme="majorHAnsi" w:hAnsiTheme="majorHAnsi"/>
          <w:sz w:val="20"/>
          <w:szCs w:val="20"/>
          <w:lang w:val="es-VE"/>
        </w:rPr>
        <w:t>no</w:t>
      </w:r>
      <w:r w:rsidR="00080B1B" w:rsidRPr="00BA76F2">
        <w:rPr>
          <w:rFonts w:asciiTheme="majorHAnsi" w:hAnsiTheme="majorHAnsi"/>
          <w:sz w:val="20"/>
          <w:szCs w:val="20"/>
          <w:lang w:val="es-VE"/>
        </w:rPr>
        <w:t xml:space="preserve"> existe controversia respecto a la participación estatal en estos actos, motivo por el cual la </w:t>
      </w:r>
      <w:r w:rsidR="00C0748E" w:rsidRPr="00BA76F2">
        <w:rPr>
          <w:rFonts w:asciiTheme="majorHAnsi" w:hAnsiTheme="majorHAnsi"/>
          <w:bCs/>
          <w:sz w:val="20"/>
          <w:szCs w:val="20"/>
          <w:lang w:val="es-CO"/>
        </w:rPr>
        <w:t>Comisión encuentra cumplido el elemento de participación de agentes estatales.</w:t>
      </w:r>
    </w:p>
    <w:p w14:paraId="021BB5B5" w14:textId="77777777" w:rsidR="00BA76F2" w:rsidRDefault="00BA76F2" w:rsidP="00BA76F2">
      <w:pPr>
        <w:pStyle w:val="ListParagraph"/>
        <w:rPr>
          <w:rFonts w:asciiTheme="majorHAnsi" w:hAnsiTheme="majorHAnsi"/>
          <w:bCs/>
          <w:sz w:val="20"/>
          <w:szCs w:val="20"/>
          <w:lang w:val="es-VE"/>
        </w:rPr>
      </w:pPr>
    </w:p>
    <w:p w14:paraId="66A5CD3D" w14:textId="77777777" w:rsidR="00BA76F2" w:rsidRDefault="00544E9D" w:rsidP="00B14871">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rPr>
          <w:rFonts w:asciiTheme="majorHAnsi" w:hAnsiTheme="majorHAnsi"/>
          <w:bCs/>
          <w:sz w:val="20"/>
          <w:szCs w:val="20"/>
          <w:lang w:val="es-CO"/>
        </w:rPr>
      </w:pPr>
      <w:r w:rsidRPr="00BA76F2">
        <w:rPr>
          <w:rFonts w:asciiTheme="majorHAnsi" w:hAnsiTheme="majorHAnsi"/>
          <w:bCs/>
          <w:sz w:val="20"/>
          <w:szCs w:val="20"/>
          <w:lang w:val="es-VE"/>
        </w:rPr>
        <w:t>En relación con el intenso sufrimiento físico o mental</w:t>
      </w:r>
      <w:r w:rsidRPr="00BA76F2">
        <w:rPr>
          <w:rFonts w:asciiTheme="majorHAnsi" w:hAnsiTheme="majorHAnsi"/>
          <w:b/>
          <w:bCs/>
          <w:sz w:val="20"/>
          <w:szCs w:val="20"/>
          <w:lang w:val="es-VE"/>
        </w:rPr>
        <w:t>,</w:t>
      </w:r>
      <w:r w:rsidRPr="00BA76F2">
        <w:rPr>
          <w:rFonts w:asciiTheme="majorHAnsi" w:hAnsiTheme="majorHAnsi"/>
          <w:bCs/>
          <w:sz w:val="20"/>
          <w:szCs w:val="20"/>
          <w:lang w:val="es-VE"/>
        </w:rPr>
        <w:t xml:space="preserve"> la Comisión encuentra que los elementos probatorios que obran en el expediente son consistentes entre sí y demuestran que la víctima sufrió un intenso sufrimiento físico y mental. De acuerdo con declaraciones de testigos, el día del operativo los agentes de la fuerza “sacaron a [Victoria Grisonas] </w:t>
      </w:r>
      <w:r w:rsidRPr="00BA76F2">
        <w:rPr>
          <w:rFonts w:asciiTheme="majorHAnsi" w:hAnsiTheme="majorHAnsi"/>
          <w:sz w:val="20"/>
          <w:szCs w:val="20"/>
          <w:lang w:val="es-ES"/>
        </w:rPr>
        <w:t xml:space="preserve">y a sus hijos de la cuarta casa [y] a ella […] le sacaron a los chicos, se los llevaron, la golpearon tremendamente, recuerdo que la agarraban los militares desde los brazos y las piernas la levantaban y la tiraban al piso”. Al llegar a “Orletti”, fue arrastrada de los pelos al segundo piso donde estaba la sala de tortura, último momento en el que fue vista. De acuerdo con información aportada en el marco de las causas judiciales, existía una rutina de tortura por la cual cada persona detenida en “Orletti” debía pasar. Asimismo, los tribunales argentinos han establecido que, en forma generalizada, las víctimas detenidas en dicho centro fueron sometidas a distintas pautas de cautividad o condiciones infrahumanas de detención. </w:t>
      </w:r>
      <w:r w:rsidR="00E17A01" w:rsidRPr="00BA76F2">
        <w:rPr>
          <w:rFonts w:asciiTheme="majorHAnsi" w:hAnsiTheme="majorHAnsi"/>
          <w:sz w:val="20"/>
          <w:szCs w:val="20"/>
          <w:lang w:val="es-ES"/>
        </w:rPr>
        <w:t xml:space="preserve">Esto se encuentra plenamente constatado </w:t>
      </w:r>
      <w:r w:rsidR="00CD2151" w:rsidRPr="00BA76F2">
        <w:rPr>
          <w:rFonts w:asciiTheme="majorHAnsi" w:hAnsiTheme="majorHAnsi"/>
          <w:sz w:val="20"/>
          <w:szCs w:val="20"/>
          <w:lang w:val="es-ES"/>
        </w:rPr>
        <w:t xml:space="preserve">por múltiples fuentes invocadas </w:t>
      </w:r>
      <w:r w:rsidR="00E17A01" w:rsidRPr="00BA76F2">
        <w:rPr>
          <w:rFonts w:asciiTheme="majorHAnsi" w:hAnsiTheme="majorHAnsi"/>
          <w:sz w:val="20"/>
          <w:szCs w:val="20"/>
          <w:lang w:val="es-ES"/>
        </w:rPr>
        <w:t xml:space="preserve">en la sección de contexto del presente informe. </w:t>
      </w:r>
    </w:p>
    <w:p w14:paraId="2A86FE30" w14:textId="77777777" w:rsidR="00BA76F2" w:rsidRDefault="00BA76F2" w:rsidP="00BA76F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Theme="majorHAnsi" w:hAnsiTheme="majorHAnsi"/>
          <w:bCs/>
          <w:sz w:val="20"/>
          <w:szCs w:val="20"/>
          <w:lang w:val="es-CO"/>
        </w:rPr>
      </w:pPr>
    </w:p>
    <w:p w14:paraId="74BC0176" w14:textId="77777777" w:rsidR="00BA76F2" w:rsidRDefault="00544E9D" w:rsidP="00B14871">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rPr>
          <w:rFonts w:asciiTheme="majorHAnsi" w:hAnsiTheme="majorHAnsi"/>
          <w:bCs/>
          <w:sz w:val="20"/>
          <w:szCs w:val="20"/>
          <w:lang w:val="es-CO"/>
        </w:rPr>
      </w:pPr>
      <w:r w:rsidRPr="00BA76F2">
        <w:rPr>
          <w:rFonts w:asciiTheme="majorHAnsi" w:hAnsiTheme="majorHAnsi"/>
          <w:bCs/>
          <w:sz w:val="20"/>
          <w:szCs w:val="20"/>
          <w:lang w:val="es-VE"/>
        </w:rPr>
        <w:t xml:space="preserve">En consecuencia, la Comisión concluye que Victoria Grisonas fue sometida a múltiples formas de maltrato físico y psicológico. </w:t>
      </w:r>
      <w:r w:rsidRPr="00BA76F2">
        <w:rPr>
          <w:rFonts w:asciiTheme="majorHAnsi" w:hAnsiTheme="majorHAnsi"/>
          <w:bCs/>
          <w:sz w:val="20"/>
          <w:szCs w:val="20"/>
          <w:lang w:val="es-CO"/>
        </w:rPr>
        <w:t xml:space="preserve">La Comisión considera que dichos abusos descritos revisten gravedad y son susceptibles de causar un profundo dolor físico y un temor extremo. </w:t>
      </w:r>
      <w:r w:rsidRPr="00BA76F2">
        <w:rPr>
          <w:rFonts w:asciiTheme="majorHAnsi" w:hAnsiTheme="majorHAnsi"/>
          <w:bCs/>
          <w:sz w:val="20"/>
          <w:szCs w:val="20"/>
          <w:lang w:val="es-VE"/>
        </w:rPr>
        <w:t xml:space="preserve">De esta manera, el segundo elemento constitutivo de la tortura también se encuentra satisfecho. </w:t>
      </w:r>
    </w:p>
    <w:p w14:paraId="352FEFCE" w14:textId="77777777" w:rsidR="00BA76F2" w:rsidRDefault="00BA76F2" w:rsidP="00BA76F2">
      <w:pPr>
        <w:pStyle w:val="ListParagraph"/>
        <w:rPr>
          <w:rFonts w:asciiTheme="majorHAnsi" w:hAnsiTheme="majorHAnsi"/>
          <w:sz w:val="20"/>
          <w:szCs w:val="20"/>
          <w:lang w:val="es-ES"/>
        </w:rPr>
      </w:pPr>
    </w:p>
    <w:p w14:paraId="127EF71E" w14:textId="77777777" w:rsidR="00BA76F2" w:rsidRDefault="00544E9D" w:rsidP="00B14871">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rPr>
          <w:rFonts w:asciiTheme="majorHAnsi" w:hAnsiTheme="majorHAnsi"/>
          <w:bCs/>
          <w:sz w:val="20"/>
          <w:szCs w:val="20"/>
          <w:lang w:val="es-CO"/>
        </w:rPr>
      </w:pPr>
      <w:r w:rsidRPr="00BA76F2">
        <w:rPr>
          <w:rFonts w:asciiTheme="majorHAnsi" w:hAnsiTheme="majorHAnsi"/>
          <w:sz w:val="20"/>
          <w:szCs w:val="20"/>
          <w:lang w:val="es-ES"/>
        </w:rPr>
        <w:t>Por último, e</w:t>
      </w:r>
      <w:r w:rsidR="00AB363F" w:rsidRPr="00BA76F2">
        <w:rPr>
          <w:rFonts w:asciiTheme="majorHAnsi" w:hAnsiTheme="majorHAnsi"/>
          <w:sz w:val="20"/>
          <w:szCs w:val="20"/>
          <w:lang w:val="es-ES"/>
        </w:rPr>
        <w:t>n relación con el fin o propósito</w:t>
      </w:r>
      <w:r w:rsidR="009726EC" w:rsidRPr="00BA76F2">
        <w:rPr>
          <w:rFonts w:asciiTheme="majorHAnsi" w:hAnsiTheme="majorHAnsi"/>
          <w:sz w:val="20"/>
          <w:szCs w:val="20"/>
          <w:lang w:val="es-ES"/>
        </w:rPr>
        <w:t xml:space="preserve"> determinado</w:t>
      </w:r>
      <w:r w:rsidR="00AB363F" w:rsidRPr="00BA76F2">
        <w:rPr>
          <w:rFonts w:asciiTheme="majorHAnsi" w:hAnsiTheme="majorHAnsi"/>
          <w:sz w:val="20"/>
          <w:szCs w:val="20"/>
          <w:lang w:val="es-ES"/>
        </w:rPr>
        <w:t xml:space="preserve">, la Comisión observa que, de acuerdo con los elementos probatorios existentes y las decisiones judiciales emitidas por tribunales internos, los actos de </w:t>
      </w:r>
      <w:r w:rsidR="009726EC" w:rsidRPr="00BA76F2">
        <w:rPr>
          <w:rFonts w:asciiTheme="majorHAnsi" w:hAnsiTheme="majorHAnsi"/>
          <w:sz w:val="20"/>
          <w:szCs w:val="20"/>
          <w:lang w:val="es-ES"/>
        </w:rPr>
        <w:t xml:space="preserve">los </w:t>
      </w:r>
      <w:r w:rsidR="00AB363F" w:rsidRPr="00BA76F2">
        <w:rPr>
          <w:rFonts w:asciiTheme="majorHAnsi" w:hAnsiTheme="majorHAnsi"/>
          <w:sz w:val="20"/>
          <w:szCs w:val="20"/>
          <w:lang w:val="es-ES"/>
        </w:rPr>
        <w:t xml:space="preserve">agentes del Estado fueron deliberados y </w:t>
      </w:r>
      <w:r w:rsidR="00D12919" w:rsidRPr="00BA76F2">
        <w:rPr>
          <w:rFonts w:asciiTheme="majorHAnsi" w:hAnsiTheme="majorHAnsi"/>
          <w:sz w:val="20"/>
          <w:szCs w:val="20"/>
          <w:lang w:val="es-ES"/>
        </w:rPr>
        <w:t xml:space="preserve">tuvieron el fin de </w:t>
      </w:r>
      <w:r w:rsidR="00F52762" w:rsidRPr="00BA76F2">
        <w:rPr>
          <w:rFonts w:asciiTheme="majorHAnsi" w:hAnsiTheme="majorHAnsi"/>
          <w:sz w:val="20"/>
          <w:szCs w:val="20"/>
          <w:lang w:val="es-ES"/>
        </w:rPr>
        <w:t xml:space="preserve">obtener información para desarticular la organización política a la cual pertenecían Victoria Grisonas y su esposo. </w:t>
      </w:r>
      <w:r w:rsidR="0062078D" w:rsidRPr="00BA76F2">
        <w:rPr>
          <w:rFonts w:asciiTheme="majorHAnsi" w:hAnsiTheme="majorHAnsi"/>
          <w:sz w:val="20"/>
          <w:szCs w:val="20"/>
          <w:lang w:val="es-ES"/>
        </w:rPr>
        <w:t>Por lo tanto, este requisito también se encuentra satisfecho.</w:t>
      </w:r>
      <w:r w:rsidR="00AB363F" w:rsidRPr="00BA76F2">
        <w:rPr>
          <w:rFonts w:asciiTheme="majorHAnsi" w:hAnsiTheme="majorHAnsi"/>
          <w:sz w:val="20"/>
          <w:szCs w:val="20"/>
          <w:lang w:val="es-ES"/>
        </w:rPr>
        <w:t xml:space="preserve"> </w:t>
      </w:r>
    </w:p>
    <w:p w14:paraId="07477F45" w14:textId="77777777" w:rsidR="00BA76F2" w:rsidRDefault="00BA76F2" w:rsidP="00BA76F2">
      <w:pPr>
        <w:pStyle w:val="ListParagraph"/>
        <w:rPr>
          <w:rFonts w:asciiTheme="majorHAnsi" w:hAnsiTheme="majorHAnsi"/>
          <w:sz w:val="20"/>
          <w:szCs w:val="20"/>
          <w:lang w:val="es-ES_tradnl"/>
        </w:rPr>
      </w:pPr>
    </w:p>
    <w:p w14:paraId="57AC137F" w14:textId="77777777" w:rsidR="00BA76F2" w:rsidRDefault="004046B4" w:rsidP="00B14871">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rPr>
          <w:rFonts w:asciiTheme="majorHAnsi" w:hAnsiTheme="majorHAnsi"/>
          <w:bCs/>
          <w:sz w:val="20"/>
          <w:szCs w:val="20"/>
          <w:lang w:val="es-CO"/>
        </w:rPr>
      </w:pPr>
      <w:r w:rsidRPr="00BA76F2">
        <w:rPr>
          <w:rFonts w:asciiTheme="majorHAnsi" w:hAnsiTheme="majorHAnsi"/>
          <w:sz w:val="20"/>
          <w:szCs w:val="20"/>
          <w:lang w:val="es-ES_tradnl"/>
        </w:rPr>
        <w:t>Respecto a</w:t>
      </w:r>
      <w:r w:rsidR="00EB3C19" w:rsidRPr="00BA76F2">
        <w:rPr>
          <w:rFonts w:asciiTheme="majorHAnsi" w:hAnsiTheme="majorHAnsi"/>
          <w:sz w:val="20"/>
          <w:szCs w:val="20"/>
          <w:lang w:val="es-ES_tradnl"/>
        </w:rPr>
        <w:t xml:space="preserve"> los hermanos Larrabeiti Yáñez, </w:t>
      </w:r>
      <w:r w:rsidR="00544E9D" w:rsidRPr="00BA76F2">
        <w:rPr>
          <w:rFonts w:asciiTheme="majorHAnsi" w:hAnsiTheme="majorHAnsi"/>
          <w:sz w:val="20"/>
          <w:szCs w:val="20"/>
          <w:lang w:val="es-ES_tradnl"/>
        </w:rPr>
        <w:t>y en relación con la participación de agentes estatales, tampoco existe controversia que fueron agentes militares y policiales qu</w:t>
      </w:r>
      <w:r w:rsidR="00C610B9" w:rsidRPr="00BA76F2">
        <w:rPr>
          <w:rFonts w:asciiTheme="majorHAnsi" w:hAnsiTheme="majorHAnsi"/>
          <w:sz w:val="20"/>
          <w:szCs w:val="20"/>
          <w:lang w:val="es-ES_tradnl"/>
        </w:rPr>
        <w:t>i</w:t>
      </w:r>
      <w:r w:rsidR="00544E9D" w:rsidRPr="00BA76F2">
        <w:rPr>
          <w:rFonts w:asciiTheme="majorHAnsi" w:hAnsiTheme="majorHAnsi"/>
          <w:sz w:val="20"/>
          <w:szCs w:val="20"/>
          <w:lang w:val="es-ES_tradnl"/>
        </w:rPr>
        <w:t>e</w:t>
      </w:r>
      <w:r w:rsidR="00C610B9" w:rsidRPr="00BA76F2">
        <w:rPr>
          <w:rFonts w:asciiTheme="majorHAnsi" w:hAnsiTheme="majorHAnsi"/>
          <w:sz w:val="20"/>
          <w:szCs w:val="20"/>
          <w:lang w:val="es-ES_tradnl"/>
        </w:rPr>
        <w:t>nes</w:t>
      </w:r>
      <w:r w:rsidR="00544E9D" w:rsidRPr="00BA76F2">
        <w:rPr>
          <w:rFonts w:asciiTheme="majorHAnsi" w:hAnsiTheme="majorHAnsi"/>
          <w:sz w:val="20"/>
          <w:szCs w:val="20"/>
          <w:lang w:val="es-ES_tradnl"/>
        </w:rPr>
        <w:t xml:space="preserve"> llevaron a cabo el operativo donde fueron ilegalmente detenidos y posteriormente trasladados a “Orletti”. Por lo tanto, </w:t>
      </w:r>
      <w:r w:rsidR="00544E9D" w:rsidRPr="00BA76F2">
        <w:rPr>
          <w:rFonts w:asciiTheme="majorHAnsi" w:hAnsiTheme="majorHAnsi"/>
          <w:sz w:val="20"/>
          <w:szCs w:val="20"/>
          <w:lang w:val="es-VE"/>
        </w:rPr>
        <w:t xml:space="preserve">la </w:t>
      </w:r>
      <w:r w:rsidR="00544E9D" w:rsidRPr="00BA76F2">
        <w:rPr>
          <w:rFonts w:asciiTheme="majorHAnsi" w:hAnsiTheme="majorHAnsi"/>
          <w:bCs/>
          <w:sz w:val="20"/>
          <w:szCs w:val="20"/>
          <w:lang w:val="es-CO"/>
        </w:rPr>
        <w:t>Comisión encuentra cumplido el elemento de participación de agentes estatales.</w:t>
      </w:r>
    </w:p>
    <w:p w14:paraId="3F46255F" w14:textId="77777777" w:rsidR="00BA76F2" w:rsidRDefault="00BA76F2" w:rsidP="00BA76F2">
      <w:pPr>
        <w:pStyle w:val="ListParagraph"/>
        <w:rPr>
          <w:rFonts w:asciiTheme="majorHAnsi" w:hAnsiTheme="majorHAnsi"/>
          <w:sz w:val="20"/>
          <w:szCs w:val="20"/>
          <w:lang w:val="es-ES_tradnl"/>
        </w:rPr>
      </w:pPr>
    </w:p>
    <w:p w14:paraId="6594987B" w14:textId="77777777" w:rsidR="00BA76F2" w:rsidRDefault="00544E9D" w:rsidP="00B14871">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rPr>
          <w:rFonts w:asciiTheme="majorHAnsi" w:hAnsiTheme="majorHAnsi"/>
          <w:bCs/>
          <w:sz w:val="20"/>
          <w:szCs w:val="20"/>
          <w:lang w:val="es-CO"/>
        </w:rPr>
      </w:pPr>
      <w:r w:rsidRPr="00BA76F2">
        <w:rPr>
          <w:rFonts w:asciiTheme="majorHAnsi" w:hAnsiTheme="majorHAnsi"/>
          <w:sz w:val="20"/>
          <w:szCs w:val="20"/>
          <w:lang w:val="es-ES_tradnl"/>
        </w:rPr>
        <w:t>En relación con el segundo elemento</w:t>
      </w:r>
      <w:r w:rsidR="00CA68A6" w:rsidRPr="00BA76F2">
        <w:rPr>
          <w:rFonts w:asciiTheme="majorHAnsi" w:hAnsiTheme="majorHAnsi"/>
          <w:sz w:val="20"/>
          <w:szCs w:val="20"/>
          <w:lang w:val="es-ES_tradnl"/>
        </w:rPr>
        <w:t xml:space="preserve"> relativ</w:t>
      </w:r>
      <w:r w:rsidR="00D573F7" w:rsidRPr="00BA76F2">
        <w:rPr>
          <w:rFonts w:asciiTheme="majorHAnsi" w:hAnsiTheme="majorHAnsi"/>
          <w:sz w:val="20"/>
          <w:szCs w:val="20"/>
          <w:lang w:val="es-ES_tradnl"/>
        </w:rPr>
        <w:t>o</w:t>
      </w:r>
      <w:r w:rsidR="00CA68A6" w:rsidRPr="00BA76F2">
        <w:rPr>
          <w:rFonts w:asciiTheme="majorHAnsi" w:hAnsiTheme="majorHAnsi"/>
          <w:sz w:val="20"/>
          <w:szCs w:val="20"/>
          <w:lang w:val="es-ES_tradnl"/>
        </w:rPr>
        <w:t xml:space="preserve"> al intenso sufrimiento físico o mental</w:t>
      </w:r>
      <w:r w:rsidRPr="00BA76F2">
        <w:rPr>
          <w:rFonts w:asciiTheme="majorHAnsi" w:hAnsiTheme="majorHAnsi"/>
          <w:sz w:val="20"/>
          <w:szCs w:val="20"/>
          <w:lang w:val="es-ES_tradnl"/>
        </w:rPr>
        <w:t>,</w:t>
      </w:r>
      <w:r w:rsidR="00D573F7" w:rsidRPr="00BA76F2">
        <w:rPr>
          <w:rFonts w:asciiTheme="majorHAnsi" w:hAnsiTheme="majorHAnsi"/>
          <w:sz w:val="20"/>
          <w:szCs w:val="20"/>
          <w:lang w:val="es-ES_tradnl"/>
        </w:rPr>
        <w:t xml:space="preserve"> </w:t>
      </w:r>
      <w:r w:rsidR="001F3D53" w:rsidRPr="00BA76F2">
        <w:rPr>
          <w:rFonts w:asciiTheme="majorHAnsi" w:hAnsiTheme="majorHAnsi"/>
          <w:sz w:val="20"/>
          <w:szCs w:val="20"/>
          <w:lang w:val="es-ES_tradnl"/>
        </w:rPr>
        <w:t>con base en la jurisprudencia citada</w:t>
      </w:r>
      <w:r w:rsidR="00454FEC" w:rsidRPr="00BA76F2">
        <w:rPr>
          <w:rFonts w:asciiTheme="majorHAnsi" w:hAnsiTheme="majorHAnsi"/>
          <w:sz w:val="20"/>
          <w:szCs w:val="20"/>
          <w:lang w:val="es-ES_tradnl"/>
        </w:rPr>
        <w:t>,</w:t>
      </w:r>
      <w:r w:rsidR="001F3D53" w:rsidRPr="00BA76F2">
        <w:rPr>
          <w:rFonts w:asciiTheme="majorHAnsi" w:hAnsiTheme="majorHAnsi"/>
          <w:sz w:val="20"/>
          <w:szCs w:val="20"/>
          <w:lang w:val="es-ES_tradnl"/>
        </w:rPr>
        <w:t xml:space="preserve"> la CIDH </w:t>
      </w:r>
      <w:r w:rsidR="001F3D53" w:rsidRPr="00BA76F2">
        <w:rPr>
          <w:rFonts w:asciiTheme="majorHAnsi" w:hAnsiTheme="majorHAnsi"/>
          <w:sz w:val="20"/>
          <w:szCs w:val="20"/>
          <w:lang w:val="es-VE"/>
        </w:rPr>
        <w:t>debe tomar en cuenta factores exógenos, tales como la edad de la persona que padece el sufrimiento. D</w:t>
      </w:r>
      <w:r w:rsidR="00CB7298" w:rsidRPr="00BA76F2">
        <w:rPr>
          <w:rFonts w:asciiTheme="majorHAnsi" w:hAnsiTheme="majorHAnsi"/>
          <w:sz w:val="20"/>
          <w:szCs w:val="20"/>
          <w:lang w:val="es-ES_tradnl"/>
        </w:rPr>
        <w:t>e</w:t>
      </w:r>
      <w:r w:rsidR="00E23C50" w:rsidRPr="00BA76F2">
        <w:rPr>
          <w:rFonts w:asciiTheme="majorHAnsi" w:hAnsiTheme="majorHAnsi"/>
          <w:sz w:val="20"/>
          <w:szCs w:val="20"/>
          <w:lang w:val="es-ES_tradnl"/>
        </w:rPr>
        <w:t>l acervo probatorio</w:t>
      </w:r>
      <w:r w:rsidR="00CB7298" w:rsidRPr="00BA76F2">
        <w:rPr>
          <w:rFonts w:asciiTheme="majorHAnsi" w:hAnsiTheme="majorHAnsi"/>
          <w:sz w:val="20"/>
          <w:szCs w:val="20"/>
          <w:lang w:val="es-ES_tradnl"/>
        </w:rPr>
        <w:t xml:space="preserve"> surge que, cuando </w:t>
      </w:r>
      <w:r w:rsidR="00852F15" w:rsidRPr="00BA76F2">
        <w:rPr>
          <w:rFonts w:asciiTheme="majorHAnsi" w:hAnsiTheme="majorHAnsi"/>
          <w:sz w:val="20"/>
          <w:szCs w:val="20"/>
          <w:lang w:val="es-ES_tradnl"/>
        </w:rPr>
        <w:t xml:space="preserve">en el operativo </w:t>
      </w:r>
      <w:r w:rsidR="00CB7298" w:rsidRPr="00BA76F2">
        <w:rPr>
          <w:rFonts w:asciiTheme="majorHAnsi" w:hAnsiTheme="majorHAnsi"/>
          <w:sz w:val="20"/>
          <w:szCs w:val="20"/>
          <w:lang w:val="es-ES_tradnl"/>
        </w:rPr>
        <w:t xml:space="preserve">los </w:t>
      </w:r>
      <w:r w:rsidR="00454FEC" w:rsidRPr="00BA76F2">
        <w:rPr>
          <w:rFonts w:asciiTheme="majorHAnsi" w:hAnsiTheme="majorHAnsi"/>
          <w:sz w:val="20"/>
          <w:szCs w:val="20"/>
          <w:lang w:val="es-ES_tradnl"/>
        </w:rPr>
        <w:t xml:space="preserve">hermanos lloraron y gritaron por su madre </w:t>
      </w:r>
      <w:r w:rsidR="004732A7" w:rsidRPr="00BA76F2">
        <w:rPr>
          <w:rFonts w:asciiTheme="majorHAnsi" w:hAnsiTheme="majorHAnsi"/>
          <w:sz w:val="20"/>
          <w:szCs w:val="20"/>
          <w:lang w:val="es-ES_tradnl"/>
        </w:rPr>
        <w:t xml:space="preserve">al ser </w:t>
      </w:r>
      <w:r w:rsidR="00454FEC" w:rsidRPr="00BA76F2">
        <w:rPr>
          <w:rFonts w:asciiTheme="majorHAnsi" w:hAnsiTheme="majorHAnsi"/>
          <w:sz w:val="20"/>
          <w:szCs w:val="20"/>
          <w:lang w:val="es-ES_tradnl"/>
        </w:rPr>
        <w:t>separados</w:t>
      </w:r>
      <w:r w:rsidR="00CB7298" w:rsidRPr="00BA76F2">
        <w:rPr>
          <w:rFonts w:asciiTheme="majorHAnsi" w:hAnsiTheme="majorHAnsi"/>
          <w:sz w:val="20"/>
          <w:szCs w:val="20"/>
          <w:lang w:val="es-ES_tradnl"/>
        </w:rPr>
        <w:t xml:space="preserve"> de </w:t>
      </w:r>
      <w:r w:rsidR="00454FEC" w:rsidRPr="00BA76F2">
        <w:rPr>
          <w:rFonts w:asciiTheme="majorHAnsi" w:hAnsiTheme="majorHAnsi"/>
          <w:sz w:val="20"/>
          <w:szCs w:val="20"/>
          <w:lang w:val="es-ES_tradnl"/>
        </w:rPr>
        <w:t>ella</w:t>
      </w:r>
      <w:r w:rsidR="00CB7298" w:rsidRPr="00BA76F2">
        <w:rPr>
          <w:rFonts w:asciiTheme="majorHAnsi" w:hAnsiTheme="majorHAnsi"/>
          <w:sz w:val="20"/>
          <w:szCs w:val="20"/>
          <w:lang w:val="es-ES_tradnl"/>
        </w:rPr>
        <w:t xml:space="preserve"> por agentes </w:t>
      </w:r>
      <w:r w:rsidR="00C610B9" w:rsidRPr="00BA76F2">
        <w:rPr>
          <w:rFonts w:asciiTheme="majorHAnsi" w:hAnsiTheme="majorHAnsi"/>
          <w:sz w:val="20"/>
          <w:szCs w:val="20"/>
          <w:lang w:val="es-ES_tradnl"/>
        </w:rPr>
        <w:t>militares</w:t>
      </w:r>
      <w:r w:rsidR="00CB7298" w:rsidRPr="00BA76F2">
        <w:rPr>
          <w:rFonts w:asciiTheme="majorHAnsi" w:hAnsiTheme="majorHAnsi"/>
          <w:sz w:val="20"/>
          <w:szCs w:val="20"/>
          <w:lang w:val="es-ES_tradnl"/>
        </w:rPr>
        <w:t xml:space="preserve">, </w:t>
      </w:r>
      <w:r w:rsidR="00C610B9" w:rsidRPr="00BA76F2">
        <w:rPr>
          <w:rFonts w:asciiTheme="majorHAnsi" w:hAnsiTheme="majorHAnsi"/>
          <w:sz w:val="20"/>
          <w:szCs w:val="20"/>
          <w:lang w:val="es-ES_tradnl"/>
        </w:rPr>
        <w:t>un militar</w:t>
      </w:r>
      <w:r w:rsidR="00CB7298" w:rsidRPr="00BA76F2">
        <w:rPr>
          <w:rFonts w:asciiTheme="majorHAnsi" w:hAnsiTheme="majorHAnsi"/>
          <w:sz w:val="20"/>
          <w:szCs w:val="20"/>
          <w:lang w:val="es-ES_tradnl"/>
        </w:rPr>
        <w:t xml:space="preserve"> le</w:t>
      </w:r>
      <w:r w:rsidR="00C610B9" w:rsidRPr="00BA76F2">
        <w:rPr>
          <w:rFonts w:asciiTheme="majorHAnsi" w:hAnsiTheme="majorHAnsi"/>
          <w:sz w:val="20"/>
          <w:szCs w:val="20"/>
          <w:lang w:val="es-ES_tradnl"/>
        </w:rPr>
        <w:t>s</w:t>
      </w:r>
      <w:r w:rsidR="00CB7298" w:rsidRPr="00BA76F2">
        <w:rPr>
          <w:rFonts w:asciiTheme="majorHAnsi" w:hAnsiTheme="majorHAnsi"/>
          <w:sz w:val="20"/>
          <w:szCs w:val="20"/>
          <w:lang w:val="es-ES_tradnl"/>
        </w:rPr>
        <w:t xml:space="preserve"> dij</w:t>
      </w:r>
      <w:r w:rsidR="00C610B9" w:rsidRPr="00BA76F2">
        <w:rPr>
          <w:rFonts w:asciiTheme="majorHAnsi" w:hAnsiTheme="majorHAnsi"/>
          <w:sz w:val="20"/>
          <w:szCs w:val="20"/>
          <w:lang w:val="es-ES_tradnl"/>
        </w:rPr>
        <w:t>o</w:t>
      </w:r>
      <w:r w:rsidR="00CB7298" w:rsidRPr="00BA76F2">
        <w:rPr>
          <w:rFonts w:asciiTheme="majorHAnsi" w:hAnsiTheme="majorHAnsi"/>
          <w:sz w:val="20"/>
          <w:szCs w:val="20"/>
          <w:lang w:val="es-ES_tradnl"/>
        </w:rPr>
        <w:t xml:space="preserve"> </w:t>
      </w:r>
      <w:r w:rsidR="00CB7298" w:rsidRPr="00BA76F2">
        <w:rPr>
          <w:rFonts w:asciiTheme="majorHAnsi" w:hAnsiTheme="majorHAnsi"/>
          <w:sz w:val="20"/>
          <w:szCs w:val="20"/>
          <w:lang w:val="es-ES"/>
        </w:rPr>
        <w:t>“la yegua de tu madre ya no está más”. Asimismo, Anatole recuerda “ir caminando con alguien tomado de la mano, que también lleva[ba] a su hermana, en brazos, y cuando mira hacia atrás, observa a sus padres tendidos boca abajo en el piso, con las manos abiertas, mientras personas les apuntaban con armas, uno de ellos cerca de su madre, con uniforme, casco y metralleta”. Por otra parte, al llegar a “Orletti”, los niños v</w:t>
      </w:r>
      <w:r w:rsidR="00B62411" w:rsidRPr="00BA76F2">
        <w:rPr>
          <w:rFonts w:asciiTheme="majorHAnsi" w:hAnsiTheme="majorHAnsi"/>
          <w:sz w:val="20"/>
          <w:szCs w:val="20"/>
          <w:lang w:val="es-ES"/>
        </w:rPr>
        <w:t>iero</w:t>
      </w:r>
      <w:r w:rsidR="00CB7298" w:rsidRPr="00BA76F2">
        <w:rPr>
          <w:rFonts w:asciiTheme="majorHAnsi" w:hAnsiTheme="majorHAnsi"/>
          <w:sz w:val="20"/>
          <w:szCs w:val="20"/>
          <w:lang w:val="es-ES"/>
        </w:rPr>
        <w:t>n cómo los militares se llevan a su madre arrastrada del pelo</w:t>
      </w:r>
      <w:r w:rsidR="00260B3A" w:rsidRPr="00BA76F2">
        <w:rPr>
          <w:rFonts w:asciiTheme="majorHAnsi" w:hAnsiTheme="majorHAnsi"/>
          <w:sz w:val="20"/>
          <w:szCs w:val="20"/>
          <w:lang w:val="es-ES"/>
        </w:rPr>
        <w:t xml:space="preserve">, probablemente última imagen que tuvieron de </w:t>
      </w:r>
      <w:r w:rsidR="00454FEC" w:rsidRPr="00BA76F2">
        <w:rPr>
          <w:rFonts w:asciiTheme="majorHAnsi" w:hAnsiTheme="majorHAnsi"/>
          <w:sz w:val="20"/>
          <w:szCs w:val="20"/>
          <w:lang w:val="es-ES"/>
        </w:rPr>
        <w:t>ella</w:t>
      </w:r>
      <w:r w:rsidR="00CB7298" w:rsidRPr="00BA76F2">
        <w:rPr>
          <w:rFonts w:asciiTheme="majorHAnsi" w:hAnsiTheme="majorHAnsi"/>
          <w:sz w:val="20"/>
          <w:szCs w:val="20"/>
          <w:lang w:val="es-ES"/>
        </w:rPr>
        <w:t xml:space="preserve">. </w:t>
      </w:r>
    </w:p>
    <w:p w14:paraId="7D2D4B81" w14:textId="77777777" w:rsidR="00BA76F2" w:rsidRDefault="00BA76F2" w:rsidP="00BA76F2">
      <w:pPr>
        <w:pStyle w:val="ListParagraph"/>
        <w:rPr>
          <w:rFonts w:asciiTheme="majorHAnsi" w:hAnsiTheme="majorHAnsi"/>
          <w:sz w:val="20"/>
          <w:szCs w:val="20"/>
          <w:lang w:val="es-ES"/>
        </w:rPr>
      </w:pPr>
    </w:p>
    <w:p w14:paraId="36133F56" w14:textId="77777777" w:rsidR="00BA76F2" w:rsidRDefault="00DD68FF" w:rsidP="00B14871">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rPr>
          <w:rFonts w:asciiTheme="majorHAnsi" w:hAnsiTheme="majorHAnsi"/>
          <w:bCs/>
          <w:sz w:val="20"/>
          <w:szCs w:val="20"/>
          <w:lang w:val="es-CO"/>
        </w:rPr>
      </w:pPr>
      <w:r w:rsidRPr="00BA76F2">
        <w:rPr>
          <w:rFonts w:asciiTheme="majorHAnsi" w:hAnsiTheme="majorHAnsi"/>
          <w:sz w:val="20"/>
          <w:szCs w:val="20"/>
          <w:lang w:val="es-ES"/>
        </w:rPr>
        <w:t>Igualmente</w:t>
      </w:r>
      <w:r w:rsidR="00852F15" w:rsidRPr="00BA76F2">
        <w:rPr>
          <w:rFonts w:asciiTheme="majorHAnsi" w:hAnsiTheme="majorHAnsi"/>
          <w:sz w:val="20"/>
          <w:szCs w:val="20"/>
          <w:lang w:val="es-ES"/>
        </w:rPr>
        <w:t>, d</w:t>
      </w:r>
      <w:r w:rsidR="00C610B9" w:rsidRPr="00BA76F2">
        <w:rPr>
          <w:rFonts w:asciiTheme="majorHAnsi" w:hAnsiTheme="majorHAnsi"/>
          <w:sz w:val="20"/>
          <w:szCs w:val="20"/>
          <w:lang w:val="es-ES"/>
        </w:rPr>
        <w:t>e</w:t>
      </w:r>
      <w:r w:rsidR="00E23C50" w:rsidRPr="00BA76F2">
        <w:rPr>
          <w:rFonts w:asciiTheme="majorHAnsi" w:hAnsiTheme="majorHAnsi"/>
          <w:sz w:val="20"/>
          <w:szCs w:val="20"/>
          <w:lang w:val="es-ES"/>
        </w:rPr>
        <w:t xml:space="preserve"> los elementos</w:t>
      </w:r>
      <w:r w:rsidR="00C610B9" w:rsidRPr="00BA76F2">
        <w:rPr>
          <w:rFonts w:asciiTheme="majorHAnsi" w:hAnsiTheme="majorHAnsi"/>
          <w:sz w:val="20"/>
          <w:szCs w:val="20"/>
          <w:lang w:val="es-ES"/>
        </w:rPr>
        <w:t xml:space="preserve"> probatorio</w:t>
      </w:r>
      <w:r w:rsidR="00E23C50" w:rsidRPr="00BA76F2">
        <w:rPr>
          <w:rFonts w:asciiTheme="majorHAnsi" w:hAnsiTheme="majorHAnsi"/>
          <w:sz w:val="20"/>
          <w:szCs w:val="20"/>
          <w:lang w:val="es-ES"/>
        </w:rPr>
        <w:t xml:space="preserve">s </w:t>
      </w:r>
      <w:r w:rsidR="007D4829" w:rsidRPr="00BA76F2">
        <w:rPr>
          <w:rFonts w:asciiTheme="majorHAnsi" w:hAnsiTheme="majorHAnsi"/>
          <w:sz w:val="20"/>
          <w:szCs w:val="20"/>
          <w:lang w:val="es-ES"/>
        </w:rPr>
        <w:t xml:space="preserve">referidos, </w:t>
      </w:r>
      <w:r w:rsidR="00C610B9" w:rsidRPr="00BA76F2">
        <w:rPr>
          <w:rFonts w:asciiTheme="majorHAnsi" w:hAnsiTheme="majorHAnsi"/>
          <w:sz w:val="20"/>
          <w:szCs w:val="20"/>
          <w:lang w:val="es-ES"/>
        </w:rPr>
        <w:t xml:space="preserve">surge </w:t>
      </w:r>
      <w:r w:rsidR="00E23C50" w:rsidRPr="00BA76F2">
        <w:rPr>
          <w:rFonts w:asciiTheme="majorHAnsi" w:hAnsiTheme="majorHAnsi"/>
          <w:sz w:val="20"/>
          <w:szCs w:val="20"/>
          <w:lang w:val="es-ES"/>
        </w:rPr>
        <w:t>que</w:t>
      </w:r>
      <w:r w:rsidR="007D4829" w:rsidRPr="00BA76F2">
        <w:rPr>
          <w:rFonts w:asciiTheme="majorHAnsi" w:hAnsiTheme="majorHAnsi"/>
          <w:sz w:val="20"/>
          <w:szCs w:val="20"/>
          <w:lang w:val="es-ES"/>
        </w:rPr>
        <w:t xml:space="preserve"> las </w:t>
      </w:r>
      <w:r w:rsidR="008B4299" w:rsidRPr="00BA76F2">
        <w:rPr>
          <w:rFonts w:asciiTheme="majorHAnsi" w:hAnsiTheme="majorHAnsi"/>
          <w:sz w:val="20"/>
          <w:szCs w:val="20"/>
          <w:lang w:val="es-ES"/>
        </w:rPr>
        <w:t>personas</w:t>
      </w:r>
      <w:r w:rsidR="007D4829" w:rsidRPr="00BA76F2">
        <w:rPr>
          <w:rFonts w:asciiTheme="majorHAnsi" w:hAnsiTheme="majorHAnsi"/>
          <w:sz w:val="20"/>
          <w:szCs w:val="20"/>
          <w:lang w:val="es-ES"/>
        </w:rPr>
        <w:t xml:space="preserve"> detenidas en “Orletti” fueron sometidas a </w:t>
      </w:r>
      <w:r w:rsidR="00A443CB" w:rsidRPr="00BA76F2">
        <w:rPr>
          <w:rFonts w:asciiTheme="majorHAnsi" w:hAnsiTheme="majorHAnsi"/>
          <w:sz w:val="20"/>
          <w:szCs w:val="20"/>
          <w:lang w:val="es-ES"/>
        </w:rPr>
        <w:t xml:space="preserve">torturas y </w:t>
      </w:r>
      <w:r w:rsidR="007D4829" w:rsidRPr="00BA76F2">
        <w:rPr>
          <w:rFonts w:asciiTheme="majorHAnsi" w:hAnsiTheme="majorHAnsi"/>
          <w:sz w:val="20"/>
          <w:szCs w:val="20"/>
          <w:lang w:val="es-ES"/>
        </w:rPr>
        <w:t xml:space="preserve">distintas pautas de cautividad o condiciones infrahumanas de detención. </w:t>
      </w:r>
      <w:r w:rsidR="00F80923" w:rsidRPr="00BA76F2">
        <w:rPr>
          <w:rFonts w:asciiTheme="majorHAnsi" w:hAnsiTheme="majorHAnsi"/>
          <w:sz w:val="20"/>
          <w:szCs w:val="20"/>
          <w:lang w:val="es-ES"/>
        </w:rPr>
        <w:t>Por lo tanto, es un hecho que, d</w:t>
      </w:r>
      <w:r w:rsidR="007D4829" w:rsidRPr="00BA76F2">
        <w:rPr>
          <w:rFonts w:asciiTheme="majorHAnsi" w:hAnsiTheme="majorHAnsi"/>
          <w:sz w:val="20"/>
          <w:szCs w:val="20"/>
          <w:lang w:val="es-ES"/>
        </w:rPr>
        <w:t xml:space="preserve">urante </w:t>
      </w:r>
      <w:r w:rsidR="00F80923" w:rsidRPr="00BA76F2">
        <w:rPr>
          <w:rFonts w:asciiTheme="majorHAnsi" w:hAnsiTheme="majorHAnsi"/>
          <w:sz w:val="20"/>
          <w:szCs w:val="20"/>
          <w:lang w:val="es-ES"/>
        </w:rPr>
        <w:t>el tiempo</w:t>
      </w:r>
      <w:r w:rsidR="007D4829" w:rsidRPr="00BA76F2">
        <w:rPr>
          <w:rFonts w:asciiTheme="majorHAnsi" w:hAnsiTheme="majorHAnsi"/>
          <w:sz w:val="20"/>
          <w:szCs w:val="20"/>
          <w:lang w:val="es-ES"/>
        </w:rPr>
        <w:t xml:space="preserve"> en que los hermanos permanecieron en dicho centro</w:t>
      </w:r>
      <w:r w:rsidR="00F80923" w:rsidRPr="00BA76F2">
        <w:rPr>
          <w:rFonts w:asciiTheme="majorHAnsi" w:hAnsiTheme="majorHAnsi"/>
          <w:sz w:val="20"/>
          <w:szCs w:val="20"/>
          <w:lang w:val="es-ES"/>
        </w:rPr>
        <w:t>, estuvieron en un lugar lúgubre, rodeados de personas detenidas en condiciones infrahumanas, escuchando gritos y presenciando escenas de violencia de distinta índole. A ello se suma el tra</w:t>
      </w:r>
      <w:r w:rsidR="00BE06FA" w:rsidRPr="00BA76F2">
        <w:rPr>
          <w:rFonts w:asciiTheme="majorHAnsi" w:hAnsiTheme="majorHAnsi"/>
          <w:sz w:val="20"/>
          <w:szCs w:val="20"/>
          <w:lang w:val="es-ES"/>
        </w:rPr>
        <w:t>u</w:t>
      </w:r>
      <w:r w:rsidR="00F80923" w:rsidRPr="00BA76F2">
        <w:rPr>
          <w:rFonts w:asciiTheme="majorHAnsi" w:hAnsiTheme="majorHAnsi"/>
          <w:sz w:val="20"/>
          <w:szCs w:val="20"/>
          <w:lang w:val="es-ES"/>
        </w:rPr>
        <w:t xml:space="preserve">ma y la extrema angustia </w:t>
      </w:r>
      <w:r w:rsidR="00BE06FA" w:rsidRPr="00BA76F2">
        <w:rPr>
          <w:rFonts w:asciiTheme="majorHAnsi" w:hAnsiTheme="majorHAnsi"/>
          <w:sz w:val="20"/>
          <w:szCs w:val="20"/>
          <w:lang w:val="es-ES"/>
        </w:rPr>
        <w:t>e incertidumbre generada por</w:t>
      </w:r>
      <w:r w:rsidR="00F80923" w:rsidRPr="00BA76F2">
        <w:rPr>
          <w:rFonts w:asciiTheme="majorHAnsi" w:hAnsiTheme="majorHAnsi"/>
          <w:sz w:val="20"/>
          <w:szCs w:val="20"/>
          <w:lang w:val="es-ES"/>
        </w:rPr>
        <w:t xml:space="preserve"> la separación violenta</w:t>
      </w:r>
      <w:r w:rsidR="00BE06FA" w:rsidRPr="00BA76F2">
        <w:rPr>
          <w:rFonts w:asciiTheme="majorHAnsi" w:hAnsiTheme="majorHAnsi"/>
          <w:sz w:val="20"/>
          <w:szCs w:val="20"/>
          <w:lang w:val="es-ES"/>
        </w:rPr>
        <w:t xml:space="preserve"> de su padre</w:t>
      </w:r>
      <w:r w:rsidR="00852F15" w:rsidRPr="00BA76F2">
        <w:rPr>
          <w:rFonts w:asciiTheme="majorHAnsi" w:hAnsiTheme="majorHAnsi"/>
          <w:sz w:val="20"/>
          <w:szCs w:val="20"/>
          <w:lang w:val="es-ES"/>
        </w:rPr>
        <w:t xml:space="preserve"> y madre</w:t>
      </w:r>
      <w:r w:rsidR="00BE06FA" w:rsidRPr="00BA76F2">
        <w:rPr>
          <w:rFonts w:asciiTheme="majorHAnsi" w:hAnsiTheme="majorHAnsi"/>
          <w:sz w:val="20"/>
          <w:szCs w:val="20"/>
          <w:lang w:val="es-ES"/>
        </w:rPr>
        <w:t xml:space="preserve">. </w:t>
      </w:r>
      <w:r w:rsidR="00852F15" w:rsidRPr="00BA76F2">
        <w:rPr>
          <w:rFonts w:asciiTheme="majorHAnsi" w:hAnsiTheme="majorHAnsi"/>
          <w:sz w:val="20"/>
          <w:szCs w:val="20"/>
          <w:lang w:val="es-ES"/>
        </w:rPr>
        <w:t>Asimismo, t</w:t>
      </w:r>
      <w:r w:rsidR="001F3D53" w:rsidRPr="00BA76F2">
        <w:rPr>
          <w:rFonts w:asciiTheme="majorHAnsi" w:hAnsiTheme="majorHAnsi"/>
          <w:sz w:val="20"/>
          <w:szCs w:val="20"/>
          <w:lang w:val="es-ES"/>
        </w:rPr>
        <w:t xml:space="preserve">omando en cuenta la </w:t>
      </w:r>
      <w:r w:rsidR="008B4299" w:rsidRPr="00BA76F2">
        <w:rPr>
          <w:rFonts w:asciiTheme="majorHAnsi" w:hAnsiTheme="majorHAnsi"/>
          <w:sz w:val="20"/>
          <w:szCs w:val="20"/>
          <w:lang w:val="es-ES"/>
        </w:rPr>
        <w:t xml:space="preserve">corta edad de las </w:t>
      </w:r>
      <w:r w:rsidR="001F3D53" w:rsidRPr="00BA76F2">
        <w:rPr>
          <w:rFonts w:asciiTheme="majorHAnsi" w:hAnsiTheme="majorHAnsi"/>
          <w:sz w:val="20"/>
          <w:szCs w:val="20"/>
          <w:lang w:val="es-ES"/>
        </w:rPr>
        <w:t>víctima</w:t>
      </w:r>
      <w:r w:rsidR="009068B2" w:rsidRPr="00BA76F2">
        <w:rPr>
          <w:rFonts w:asciiTheme="majorHAnsi" w:hAnsiTheme="majorHAnsi"/>
          <w:sz w:val="20"/>
          <w:szCs w:val="20"/>
          <w:lang w:val="es-ES"/>
        </w:rPr>
        <w:t>s</w:t>
      </w:r>
      <w:r w:rsidR="001F3D53" w:rsidRPr="00BA76F2">
        <w:rPr>
          <w:rFonts w:asciiTheme="majorHAnsi" w:hAnsiTheme="majorHAnsi"/>
          <w:sz w:val="20"/>
          <w:szCs w:val="20"/>
          <w:lang w:val="es-ES"/>
        </w:rPr>
        <w:t>,</w:t>
      </w:r>
      <w:r w:rsidR="008B4299" w:rsidRPr="00BA76F2">
        <w:rPr>
          <w:rFonts w:asciiTheme="majorHAnsi" w:hAnsiTheme="majorHAnsi"/>
          <w:sz w:val="20"/>
          <w:szCs w:val="20"/>
          <w:lang w:val="es-ES"/>
        </w:rPr>
        <w:t xml:space="preserve"> </w:t>
      </w:r>
      <w:r w:rsidR="009C7432" w:rsidRPr="00BA76F2">
        <w:rPr>
          <w:rFonts w:asciiTheme="majorHAnsi" w:hAnsiTheme="majorHAnsi"/>
          <w:sz w:val="20"/>
          <w:szCs w:val="20"/>
          <w:lang w:val="es-ES"/>
        </w:rPr>
        <w:t>cuatro</w:t>
      </w:r>
      <w:r w:rsidR="008B4299" w:rsidRPr="00BA76F2">
        <w:rPr>
          <w:rFonts w:asciiTheme="majorHAnsi" w:hAnsiTheme="majorHAnsi"/>
          <w:sz w:val="20"/>
          <w:szCs w:val="20"/>
          <w:lang w:val="es-ES"/>
        </w:rPr>
        <w:t xml:space="preserve"> años y 16 meses de edad,</w:t>
      </w:r>
      <w:r w:rsidR="001F3D53" w:rsidRPr="00BA76F2">
        <w:rPr>
          <w:rFonts w:asciiTheme="majorHAnsi" w:hAnsiTheme="majorHAnsi"/>
          <w:sz w:val="20"/>
          <w:szCs w:val="20"/>
          <w:lang w:val="es-ES"/>
        </w:rPr>
        <w:t xml:space="preserve"> </w:t>
      </w:r>
      <w:r w:rsidR="00E3213E" w:rsidRPr="00BA76F2">
        <w:rPr>
          <w:rFonts w:asciiTheme="majorHAnsi" w:hAnsiTheme="majorHAnsi"/>
          <w:sz w:val="20"/>
          <w:szCs w:val="20"/>
          <w:lang w:val="es-ES"/>
        </w:rPr>
        <w:t>l</w:t>
      </w:r>
      <w:r w:rsidR="00BE06FA" w:rsidRPr="00BA76F2">
        <w:rPr>
          <w:rFonts w:asciiTheme="majorHAnsi" w:hAnsiTheme="majorHAnsi"/>
          <w:sz w:val="20"/>
          <w:szCs w:val="20"/>
          <w:lang w:val="es-ES"/>
        </w:rPr>
        <w:t>a Comisión considera que el solo hecho de permanecer</w:t>
      </w:r>
      <w:r w:rsidR="008B4299" w:rsidRPr="00BA76F2">
        <w:rPr>
          <w:rFonts w:asciiTheme="majorHAnsi" w:hAnsiTheme="majorHAnsi"/>
          <w:sz w:val="20"/>
          <w:szCs w:val="20"/>
          <w:lang w:val="es-ES"/>
        </w:rPr>
        <w:t xml:space="preserve"> en dichas circunstancias</w:t>
      </w:r>
      <w:r w:rsidR="00E3213E" w:rsidRPr="00BA76F2">
        <w:rPr>
          <w:rFonts w:asciiTheme="majorHAnsi" w:hAnsiTheme="majorHAnsi"/>
          <w:sz w:val="20"/>
          <w:szCs w:val="20"/>
          <w:lang w:val="es-ES"/>
        </w:rPr>
        <w:t xml:space="preserve"> en un lugar de tales características, constituye </w:t>
      </w:r>
      <w:r w:rsidR="008B4299" w:rsidRPr="00BA76F2">
        <w:rPr>
          <w:rFonts w:asciiTheme="majorHAnsi" w:hAnsiTheme="majorHAnsi"/>
          <w:i/>
          <w:sz w:val="20"/>
          <w:szCs w:val="20"/>
          <w:lang w:val="es-ES"/>
        </w:rPr>
        <w:t>per se</w:t>
      </w:r>
      <w:r w:rsidR="008B4299" w:rsidRPr="00BA76F2">
        <w:rPr>
          <w:rFonts w:asciiTheme="majorHAnsi" w:hAnsiTheme="majorHAnsi"/>
          <w:sz w:val="20"/>
          <w:szCs w:val="20"/>
          <w:lang w:val="es-ES"/>
        </w:rPr>
        <w:t xml:space="preserve"> </w:t>
      </w:r>
      <w:r w:rsidR="00E3213E" w:rsidRPr="00BA76F2">
        <w:rPr>
          <w:rFonts w:asciiTheme="majorHAnsi" w:hAnsiTheme="majorHAnsi"/>
          <w:sz w:val="20"/>
          <w:szCs w:val="20"/>
          <w:lang w:val="es-ES"/>
        </w:rPr>
        <w:t>un intenso sufrimiento constitutivo del segundo elemento de la tortura.</w:t>
      </w:r>
      <w:r w:rsidR="00F80923" w:rsidRPr="00BA76F2">
        <w:rPr>
          <w:rFonts w:asciiTheme="majorHAnsi" w:hAnsiTheme="majorHAnsi"/>
          <w:sz w:val="20"/>
          <w:szCs w:val="20"/>
          <w:lang w:val="es-ES"/>
        </w:rPr>
        <w:t xml:space="preserve"> </w:t>
      </w:r>
    </w:p>
    <w:p w14:paraId="6F11AE94" w14:textId="77777777" w:rsidR="00BA76F2" w:rsidRDefault="00BA76F2" w:rsidP="00BA76F2">
      <w:pPr>
        <w:pStyle w:val="ListParagraph"/>
        <w:rPr>
          <w:rFonts w:asciiTheme="majorHAnsi" w:hAnsiTheme="majorHAnsi"/>
          <w:sz w:val="20"/>
          <w:szCs w:val="20"/>
          <w:lang w:val="es-ES"/>
        </w:rPr>
      </w:pPr>
    </w:p>
    <w:p w14:paraId="7BDC813B" w14:textId="77777777" w:rsidR="00BA76F2" w:rsidRDefault="001716C5" w:rsidP="00B14871">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rPr>
          <w:rFonts w:asciiTheme="majorHAnsi" w:hAnsiTheme="majorHAnsi"/>
          <w:bCs/>
          <w:sz w:val="20"/>
          <w:szCs w:val="20"/>
          <w:lang w:val="es-CO"/>
        </w:rPr>
      </w:pPr>
      <w:r w:rsidRPr="00BA76F2">
        <w:rPr>
          <w:rFonts w:asciiTheme="majorHAnsi" w:hAnsiTheme="majorHAnsi"/>
          <w:sz w:val="20"/>
          <w:szCs w:val="20"/>
          <w:lang w:val="es-ES"/>
        </w:rPr>
        <w:t xml:space="preserve">En relación con la existencia de un fin o propósito determinado, </w:t>
      </w:r>
      <w:r w:rsidR="00482571" w:rsidRPr="00BA76F2">
        <w:rPr>
          <w:rFonts w:asciiTheme="majorHAnsi" w:hAnsiTheme="majorHAnsi"/>
          <w:sz w:val="20"/>
          <w:szCs w:val="20"/>
          <w:lang w:val="es-ES"/>
        </w:rPr>
        <w:t xml:space="preserve">la Comisión observa que </w:t>
      </w:r>
      <w:r w:rsidR="00F14727" w:rsidRPr="00BA76F2">
        <w:rPr>
          <w:rFonts w:asciiTheme="majorHAnsi" w:hAnsiTheme="majorHAnsi"/>
          <w:sz w:val="20"/>
          <w:szCs w:val="20"/>
          <w:lang w:val="es-ES"/>
        </w:rPr>
        <w:t xml:space="preserve">los </w:t>
      </w:r>
      <w:r w:rsidR="00456BF3" w:rsidRPr="00BA76F2">
        <w:rPr>
          <w:rFonts w:asciiTheme="majorHAnsi" w:hAnsiTheme="majorHAnsi"/>
          <w:sz w:val="20"/>
          <w:szCs w:val="20"/>
          <w:lang w:val="es-ES"/>
        </w:rPr>
        <w:t>hermanos</w:t>
      </w:r>
      <w:r w:rsidR="00482571" w:rsidRPr="00BA76F2">
        <w:rPr>
          <w:rFonts w:asciiTheme="majorHAnsi" w:hAnsiTheme="majorHAnsi"/>
          <w:sz w:val="20"/>
          <w:szCs w:val="20"/>
          <w:lang w:val="es-ES"/>
        </w:rPr>
        <w:t>, tras la detención ilegal durante el operativo,</w:t>
      </w:r>
      <w:r w:rsidR="00F14727" w:rsidRPr="00BA76F2">
        <w:rPr>
          <w:rFonts w:asciiTheme="majorHAnsi" w:hAnsiTheme="majorHAnsi"/>
          <w:sz w:val="20"/>
          <w:szCs w:val="20"/>
          <w:lang w:val="es-ES"/>
        </w:rPr>
        <w:t xml:space="preserve"> corrieron con la suerte de su madre respecto al traslado a “Orletti”. </w:t>
      </w:r>
      <w:r w:rsidR="00482571" w:rsidRPr="00BA76F2">
        <w:rPr>
          <w:rFonts w:asciiTheme="majorHAnsi" w:hAnsiTheme="majorHAnsi"/>
          <w:sz w:val="20"/>
          <w:szCs w:val="20"/>
          <w:lang w:val="es-ES"/>
        </w:rPr>
        <w:t>Una vez en dicho centro de detención</w:t>
      </w:r>
      <w:r w:rsidR="00B74AF9" w:rsidRPr="00BA76F2">
        <w:rPr>
          <w:rFonts w:asciiTheme="majorHAnsi" w:hAnsiTheme="majorHAnsi"/>
          <w:sz w:val="20"/>
          <w:szCs w:val="20"/>
          <w:lang w:val="es-ES"/>
        </w:rPr>
        <w:t xml:space="preserve"> y desaparecida su madre</w:t>
      </w:r>
      <w:r w:rsidR="00482571" w:rsidRPr="00BA76F2">
        <w:rPr>
          <w:rFonts w:asciiTheme="majorHAnsi" w:hAnsiTheme="majorHAnsi"/>
          <w:sz w:val="20"/>
          <w:szCs w:val="20"/>
          <w:lang w:val="es-ES"/>
        </w:rPr>
        <w:t>,</w:t>
      </w:r>
      <w:r w:rsidR="00B74AF9" w:rsidRPr="00BA76F2">
        <w:rPr>
          <w:rFonts w:asciiTheme="majorHAnsi" w:hAnsiTheme="majorHAnsi"/>
          <w:sz w:val="20"/>
          <w:szCs w:val="20"/>
          <w:lang w:val="es-ES"/>
        </w:rPr>
        <w:t xml:space="preserve"> los agentes estatales optaron por retenerlos en lugar de buscar otra alternativa, tal como devolverlos a su familia</w:t>
      </w:r>
      <w:r w:rsidR="00922DCD" w:rsidRPr="00BA76F2">
        <w:rPr>
          <w:rFonts w:asciiTheme="majorHAnsi" w:hAnsiTheme="majorHAnsi"/>
          <w:sz w:val="20"/>
          <w:szCs w:val="20"/>
          <w:lang w:val="es-ES"/>
        </w:rPr>
        <w:t xml:space="preserve"> como era su obligación a fin de resguardar otros derechos que serán analizados de manera separada en el presente informe, incluyendo el derecho a la identidad.</w:t>
      </w:r>
      <w:r w:rsidR="00B74AF9" w:rsidRPr="00BA76F2">
        <w:rPr>
          <w:rFonts w:asciiTheme="majorHAnsi" w:hAnsiTheme="majorHAnsi"/>
          <w:sz w:val="20"/>
          <w:szCs w:val="20"/>
          <w:lang w:val="es-ES"/>
        </w:rPr>
        <w:t xml:space="preserve"> Por causas que se desconocen, probablemente por</w:t>
      </w:r>
      <w:r w:rsidR="009F0D4B" w:rsidRPr="00BA76F2">
        <w:rPr>
          <w:rFonts w:asciiTheme="majorHAnsi" w:hAnsiTheme="majorHAnsi"/>
          <w:sz w:val="20"/>
          <w:szCs w:val="20"/>
          <w:lang w:val="es-ES"/>
        </w:rPr>
        <w:t xml:space="preserve"> lo que había presenciado Anatole, quien a su edad hubiera podido ser un testimonio vivo de toda la barbarie que la represión de las dictaduras quería ocultar, el objetivo pasó a ser desprenderse de los hermanos para eliminar cualquier rastro de la macabra secuencia de hechos que finalmente concluyó con la decisión de </w:t>
      </w:r>
      <w:r w:rsidR="004969A9" w:rsidRPr="00BA76F2">
        <w:rPr>
          <w:rFonts w:asciiTheme="majorHAnsi" w:hAnsiTheme="majorHAnsi"/>
          <w:sz w:val="20"/>
          <w:szCs w:val="20"/>
          <w:lang w:val="es-ES"/>
        </w:rPr>
        <w:t xml:space="preserve">trasladarlos clandestinamente fuera </w:t>
      </w:r>
      <w:r w:rsidR="004969A9" w:rsidRPr="00BA76F2">
        <w:rPr>
          <w:rFonts w:asciiTheme="majorHAnsi" w:hAnsiTheme="majorHAnsi"/>
          <w:sz w:val="20"/>
          <w:szCs w:val="20"/>
          <w:lang w:val="es-CO"/>
        </w:rPr>
        <w:t>del país. La Comisión considera, por lo tanto, que este propósito es suficiente para considerar satisfecho el tercer elemento constitutivo de la tortura.</w:t>
      </w:r>
      <w:r w:rsidR="00482571" w:rsidRPr="00BA76F2">
        <w:rPr>
          <w:rFonts w:asciiTheme="majorHAnsi" w:hAnsiTheme="majorHAnsi"/>
          <w:sz w:val="20"/>
          <w:szCs w:val="20"/>
          <w:lang w:val="es-ES"/>
        </w:rPr>
        <w:t xml:space="preserve"> </w:t>
      </w:r>
      <w:r w:rsidRPr="00BA76F2">
        <w:rPr>
          <w:rFonts w:asciiTheme="majorHAnsi" w:hAnsiTheme="majorHAnsi"/>
          <w:sz w:val="20"/>
          <w:szCs w:val="20"/>
          <w:lang w:val="es-ES"/>
        </w:rPr>
        <w:t xml:space="preserve"> </w:t>
      </w:r>
      <w:r w:rsidR="007D4829" w:rsidRPr="00BA76F2">
        <w:rPr>
          <w:rFonts w:asciiTheme="majorHAnsi" w:hAnsiTheme="majorHAnsi"/>
          <w:sz w:val="20"/>
          <w:szCs w:val="20"/>
          <w:lang w:val="es-ES"/>
        </w:rPr>
        <w:t xml:space="preserve"> </w:t>
      </w:r>
    </w:p>
    <w:p w14:paraId="7C25AE78" w14:textId="77777777" w:rsidR="00BA76F2" w:rsidRDefault="00BA76F2" w:rsidP="00BA76F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Theme="majorHAnsi" w:hAnsiTheme="majorHAnsi"/>
          <w:bCs/>
          <w:sz w:val="20"/>
          <w:szCs w:val="20"/>
          <w:lang w:val="es-CO"/>
        </w:rPr>
      </w:pPr>
    </w:p>
    <w:p w14:paraId="15FEBCA4" w14:textId="77777777" w:rsidR="00BA76F2" w:rsidRDefault="00F97DD5" w:rsidP="00B14871">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rPr>
          <w:rFonts w:asciiTheme="majorHAnsi" w:hAnsiTheme="majorHAnsi"/>
          <w:bCs/>
          <w:sz w:val="20"/>
          <w:szCs w:val="20"/>
          <w:lang w:val="es-CO"/>
        </w:rPr>
      </w:pPr>
      <w:r w:rsidRPr="00BA76F2">
        <w:rPr>
          <w:rFonts w:asciiTheme="majorHAnsi" w:hAnsiTheme="majorHAnsi"/>
          <w:sz w:val="20"/>
          <w:szCs w:val="20"/>
          <w:lang w:val="es-ES_tradnl"/>
        </w:rPr>
        <w:t xml:space="preserve">Por otra parte, </w:t>
      </w:r>
      <w:r w:rsidR="00CE0274" w:rsidRPr="00BA76F2">
        <w:rPr>
          <w:rFonts w:asciiTheme="majorHAnsi" w:hAnsiTheme="majorHAnsi"/>
          <w:sz w:val="20"/>
          <w:szCs w:val="20"/>
          <w:lang w:val="es-ES_tradnl"/>
        </w:rPr>
        <w:t>con base en la jurisprudencia interamericana, la Comisión concluye que el Estado también violó el derecho a la integridad personal reconocido en el artículo 5.1 de la Convención Americana en perjuicio de los hermanos Larrabeiti Yáñez por el sufrimiento causado por la desaparición de su padre y madre y por la búsqueda de justicia. E</w:t>
      </w:r>
      <w:r w:rsidR="00D374CE" w:rsidRPr="00BA76F2">
        <w:rPr>
          <w:rFonts w:asciiTheme="majorHAnsi" w:hAnsiTheme="majorHAnsi"/>
          <w:sz w:val="20"/>
          <w:szCs w:val="20"/>
          <w:lang w:val="es-ES_tradnl"/>
        </w:rPr>
        <w:t>sto, teniendo en cuenta que en los casos de desapariciones forzadas, e</w:t>
      </w:r>
      <w:r w:rsidR="00CE0274" w:rsidRPr="00BA76F2">
        <w:rPr>
          <w:rFonts w:asciiTheme="majorHAnsi" w:hAnsiTheme="majorHAnsi"/>
          <w:sz w:val="20"/>
          <w:szCs w:val="20"/>
          <w:lang w:val="es-ES_tradnl"/>
        </w:rPr>
        <w:t>l hecho mismo de la desaparición caus</w:t>
      </w:r>
      <w:r w:rsidR="00D374CE" w:rsidRPr="00BA76F2">
        <w:rPr>
          <w:rFonts w:asciiTheme="majorHAnsi" w:hAnsiTheme="majorHAnsi"/>
          <w:sz w:val="20"/>
          <w:szCs w:val="20"/>
          <w:lang w:val="es-ES_tradnl"/>
        </w:rPr>
        <w:t xml:space="preserve">a en los familiares directos </w:t>
      </w:r>
      <w:r w:rsidR="00CE0274" w:rsidRPr="00BA76F2">
        <w:rPr>
          <w:rFonts w:asciiTheme="majorHAnsi" w:hAnsiTheme="majorHAnsi"/>
          <w:sz w:val="20"/>
          <w:szCs w:val="20"/>
          <w:lang w:val="es-ES_tradnl"/>
        </w:rPr>
        <w:t>un sever</w:t>
      </w:r>
      <w:r w:rsidR="00D374CE" w:rsidRPr="00BA76F2">
        <w:rPr>
          <w:rFonts w:asciiTheme="majorHAnsi" w:hAnsiTheme="majorHAnsi"/>
          <w:sz w:val="20"/>
          <w:szCs w:val="20"/>
          <w:lang w:val="es-ES_tradnl"/>
        </w:rPr>
        <w:t>o sufrimiento</w:t>
      </w:r>
      <w:r w:rsidR="00CE0274" w:rsidRPr="00BA76F2">
        <w:rPr>
          <w:rFonts w:asciiTheme="majorHAnsi" w:hAnsiTheme="majorHAnsi"/>
          <w:sz w:val="20"/>
          <w:szCs w:val="20"/>
          <w:lang w:val="es-ES_tradnl"/>
        </w:rPr>
        <w:t xml:space="preserve"> a</w:t>
      </w:r>
      <w:r w:rsidR="00D374CE" w:rsidRPr="00BA76F2">
        <w:rPr>
          <w:rFonts w:asciiTheme="majorHAnsi" w:hAnsiTheme="majorHAnsi"/>
          <w:sz w:val="20"/>
          <w:szCs w:val="20"/>
          <w:lang w:val="es-ES_tradnl"/>
        </w:rPr>
        <w:t xml:space="preserve"> su</w:t>
      </w:r>
      <w:r w:rsidR="00CE0274" w:rsidRPr="00BA76F2">
        <w:rPr>
          <w:rFonts w:asciiTheme="majorHAnsi" w:hAnsiTheme="majorHAnsi"/>
          <w:sz w:val="20"/>
          <w:szCs w:val="20"/>
          <w:lang w:val="es-ES_tradnl"/>
        </w:rPr>
        <w:t xml:space="preserve"> derecho a la integridad psíquica y moral </w:t>
      </w:r>
      <w:r w:rsidR="00D374CE" w:rsidRPr="00BA76F2">
        <w:rPr>
          <w:rFonts w:asciiTheme="majorHAnsi" w:hAnsiTheme="majorHAnsi"/>
          <w:sz w:val="20"/>
          <w:szCs w:val="20"/>
          <w:lang w:val="es-ES_tradnl"/>
        </w:rPr>
        <w:t>que se acrecienta, entre otros factores, por la negativa de las autoridades estatales de proporcionar información acerca del paradero de la víctima o de iniciar una investigación eficaz para lograr el esclarecimiento de lo sucedido</w:t>
      </w:r>
      <w:r w:rsidR="00D374CE" w:rsidRPr="0007034B">
        <w:rPr>
          <w:rStyle w:val="FootnoteReference"/>
          <w:rFonts w:asciiTheme="majorHAnsi" w:hAnsiTheme="majorHAnsi"/>
          <w:sz w:val="20"/>
          <w:szCs w:val="20"/>
          <w:lang w:val="es-ES_tradnl"/>
        </w:rPr>
        <w:footnoteReference w:id="136"/>
      </w:r>
      <w:r w:rsidR="00D374CE" w:rsidRPr="00BA76F2">
        <w:rPr>
          <w:rFonts w:asciiTheme="majorHAnsi" w:hAnsiTheme="majorHAnsi"/>
          <w:sz w:val="20"/>
          <w:szCs w:val="20"/>
          <w:lang w:val="es-ES_tradnl"/>
        </w:rPr>
        <w:t>.</w:t>
      </w:r>
    </w:p>
    <w:p w14:paraId="1892A18A" w14:textId="77777777" w:rsidR="00BA76F2" w:rsidRDefault="00BA76F2" w:rsidP="00BA76F2">
      <w:pPr>
        <w:pStyle w:val="ListParagraph"/>
        <w:rPr>
          <w:rFonts w:asciiTheme="majorHAnsi" w:hAnsiTheme="majorHAnsi"/>
          <w:sz w:val="20"/>
          <w:szCs w:val="20"/>
          <w:lang w:val="es-ES"/>
        </w:rPr>
      </w:pPr>
    </w:p>
    <w:p w14:paraId="2900FD0C" w14:textId="689789E9" w:rsidR="00227DDF" w:rsidRPr="00BA76F2" w:rsidRDefault="001B30CD" w:rsidP="00B14871">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rPr>
          <w:rFonts w:asciiTheme="majorHAnsi" w:hAnsiTheme="majorHAnsi"/>
          <w:bCs/>
          <w:sz w:val="20"/>
          <w:szCs w:val="20"/>
          <w:lang w:val="es-CO"/>
        </w:rPr>
      </w:pPr>
      <w:r w:rsidRPr="00BA76F2">
        <w:rPr>
          <w:rFonts w:asciiTheme="majorHAnsi" w:hAnsiTheme="majorHAnsi"/>
          <w:sz w:val="20"/>
          <w:szCs w:val="20"/>
          <w:lang w:val="es-ES"/>
        </w:rPr>
        <w:t xml:space="preserve">De conformidad con lo expuesto, la Comisión concluye que el Estado argentino es responsable por la comisión de actos de tortura, con lo cual violó </w:t>
      </w:r>
      <w:r w:rsidR="005420F5" w:rsidRPr="00BA76F2">
        <w:rPr>
          <w:rFonts w:asciiTheme="majorHAnsi" w:hAnsiTheme="majorHAnsi"/>
          <w:sz w:val="20"/>
          <w:szCs w:val="20"/>
          <w:lang w:val="es-ES"/>
        </w:rPr>
        <w:t>e</w:t>
      </w:r>
      <w:r w:rsidR="00DB3D80" w:rsidRPr="00BA76F2">
        <w:rPr>
          <w:rFonts w:asciiTheme="majorHAnsi" w:hAnsiTheme="majorHAnsi"/>
          <w:sz w:val="20"/>
          <w:szCs w:val="20"/>
          <w:lang w:val="es-ES"/>
        </w:rPr>
        <w:t>l artículo I de la Declaración Americana</w:t>
      </w:r>
      <w:r w:rsidRPr="00BA76F2">
        <w:rPr>
          <w:rFonts w:asciiTheme="majorHAnsi" w:hAnsiTheme="majorHAnsi"/>
          <w:sz w:val="20"/>
          <w:szCs w:val="20"/>
          <w:lang w:val="es-ES"/>
        </w:rPr>
        <w:t xml:space="preserve">, </w:t>
      </w:r>
      <w:r w:rsidR="00DB3D80" w:rsidRPr="00BA76F2">
        <w:rPr>
          <w:rFonts w:asciiTheme="majorHAnsi" w:hAnsiTheme="majorHAnsi"/>
          <w:sz w:val="20"/>
          <w:szCs w:val="20"/>
          <w:lang w:val="es-ES"/>
        </w:rPr>
        <w:t xml:space="preserve">en perjuicio de Victoria Grisonas y de los hermanos Larrabeiti Yáñez, </w:t>
      </w:r>
      <w:r w:rsidRPr="00BA76F2">
        <w:rPr>
          <w:rFonts w:asciiTheme="majorHAnsi" w:hAnsiTheme="majorHAnsi"/>
          <w:sz w:val="20"/>
          <w:szCs w:val="20"/>
          <w:lang w:val="es-ES"/>
        </w:rPr>
        <w:t xml:space="preserve">en relación con </w:t>
      </w:r>
      <w:r w:rsidR="00DB3D80" w:rsidRPr="00BA76F2">
        <w:rPr>
          <w:rFonts w:asciiTheme="majorHAnsi" w:hAnsiTheme="majorHAnsi"/>
          <w:sz w:val="20"/>
          <w:szCs w:val="20"/>
          <w:lang w:val="es-ES"/>
        </w:rPr>
        <w:t>su</w:t>
      </w:r>
      <w:r w:rsidRPr="00BA76F2">
        <w:rPr>
          <w:rFonts w:asciiTheme="majorHAnsi" w:hAnsiTheme="majorHAnsi"/>
          <w:sz w:val="20"/>
          <w:szCs w:val="20"/>
          <w:lang w:val="es-ES"/>
        </w:rPr>
        <w:t xml:space="preserve"> artículo </w:t>
      </w:r>
      <w:r w:rsidR="00DB3D80" w:rsidRPr="00BA76F2">
        <w:rPr>
          <w:rFonts w:asciiTheme="majorHAnsi" w:hAnsiTheme="majorHAnsi"/>
          <w:sz w:val="20"/>
          <w:szCs w:val="20"/>
          <w:lang w:val="es-ES"/>
        </w:rPr>
        <w:t>VII</w:t>
      </w:r>
      <w:r w:rsidRPr="00BA76F2">
        <w:rPr>
          <w:rFonts w:asciiTheme="majorHAnsi" w:hAnsiTheme="majorHAnsi"/>
          <w:sz w:val="20"/>
          <w:szCs w:val="20"/>
          <w:lang w:val="es-ES"/>
        </w:rPr>
        <w:t xml:space="preserve"> respecto de </w:t>
      </w:r>
      <w:r w:rsidR="00456BF3" w:rsidRPr="00BA76F2">
        <w:rPr>
          <w:rFonts w:asciiTheme="majorHAnsi" w:hAnsiTheme="majorHAnsi"/>
          <w:sz w:val="20"/>
          <w:szCs w:val="20"/>
          <w:lang w:val="es-ES"/>
        </w:rPr>
        <w:t>éstos</w:t>
      </w:r>
      <w:r w:rsidRPr="00BA76F2">
        <w:rPr>
          <w:rFonts w:asciiTheme="majorHAnsi" w:hAnsiTheme="majorHAnsi"/>
          <w:sz w:val="20"/>
          <w:szCs w:val="20"/>
          <w:lang w:val="es-ES"/>
        </w:rPr>
        <w:t>.</w:t>
      </w:r>
      <w:r w:rsidR="00DB3D80" w:rsidRPr="00BA76F2">
        <w:rPr>
          <w:rFonts w:asciiTheme="majorHAnsi" w:hAnsiTheme="majorHAnsi"/>
          <w:sz w:val="20"/>
          <w:szCs w:val="20"/>
          <w:lang w:val="es-ES"/>
        </w:rPr>
        <w:t xml:space="preserve"> </w:t>
      </w:r>
      <w:bookmarkStart w:id="80" w:name="_Toc492973701"/>
      <w:r w:rsidR="00D374CE" w:rsidRPr="00BA76F2">
        <w:rPr>
          <w:rFonts w:asciiTheme="majorHAnsi" w:eastAsia="Times New Roman" w:hAnsiTheme="majorHAnsi"/>
          <w:sz w:val="20"/>
          <w:szCs w:val="20"/>
          <w:lang w:val="es-ES" w:eastAsia="es-ES"/>
        </w:rPr>
        <w:t>Además, la Comisión concluye que se violó el artículo 5.1 de la Convención Americana respecto de los hermanos debido al sufrimiento causado por la desaparición forzada de su padre y madre</w:t>
      </w:r>
      <w:r w:rsidR="001D23E1" w:rsidRPr="00BA76F2">
        <w:rPr>
          <w:rFonts w:asciiTheme="majorHAnsi" w:eastAsia="Times New Roman" w:hAnsiTheme="majorHAnsi"/>
          <w:sz w:val="20"/>
          <w:szCs w:val="20"/>
          <w:lang w:val="es-ES" w:eastAsia="es-ES"/>
        </w:rPr>
        <w:t>, las cuales persisten hasta la fecha, así como la prolongada denegación de justicia y reparación por tales hech</w:t>
      </w:r>
      <w:r w:rsidR="007030A5" w:rsidRPr="00BA76F2">
        <w:rPr>
          <w:rFonts w:asciiTheme="majorHAnsi" w:eastAsia="Times New Roman" w:hAnsiTheme="majorHAnsi"/>
          <w:sz w:val="20"/>
          <w:szCs w:val="20"/>
          <w:lang w:val="es-ES" w:eastAsia="es-ES"/>
        </w:rPr>
        <w:t>o</w:t>
      </w:r>
      <w:r w:rsidR="001D23E1" w:rsidRPr="00BA76F2">
        <w:rPr>
          <w:rFonts w:asciiTheme="majorHAnsi" w:eastAsia="Times New Roman" w:hAnsiTheme="majorHAnsi"/>
          <w:sz w:val="20"/>
          <w:szCs w:val="20"/>
          <w:lang w:val="es-ES" w:eastAsia="es-ES"/>
        </w:rPr>
        <w:t xml:space="preserve">s. </w:t>
      </w:r>
    </w:p>
    <w:p w14:paraId="25F88708" w14:textId="77777777" w:rsidR="00227DDF" w:rsidRPr="0007034B" w:rsidRDefault="00227DDF" w:rsidP="00456BF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jc w:val="both"/>
        <w:rPr>
          <w:rFonts w:asciiTheme="majorHAnsi" w:hAnsiTheme="majorHAnsi" w:cs="Cambria"/>
          <w:sz w:val="20"/>
          <w:szCs w:val="20"/>
          <w:u w:color="000000"/>
          <w:lang w:val="es-CO" w:eastAsia="es-ES"/>
        </w:rPr>
      </w:pPr>
    </w:p>
    <w:p w14:paraId="5349969D" w14:textId="77777777" w:rsidR="00F84E88" w:rsidRDefault="00F84E88">
      <w:pPr>
        <w:rPr>
          <w:rFonts w:asciiTheme="majorHAnsi" w:eastAsia="Times New Roman" w:hAnsiTheme="majorHAnsi" w:cs="Arial"/>
          <w:b/>
          <w:bCs/>
          <w:iCs/>
          <w:sz w:val="20"/>
          <w:szCs w:val="20"/>
          <w:bdr w:val="none" w:sz="0" w:space="0" w:color="auto"/>
          <w:lang w:val="es-ES_tradnl"/>
        </w:rPr>
      </w:pPr>
      <w:bookmarkStart w:id="81" w:name="_Toc6349174"/>
      <w:bookmarkStart w:id="82" w:name="_Toc6466667"/>
      <w:r w:rsidRPr="001D4025">
        <w:rPr>
          <w:lang w:val="es-ES"/>
        </w:rPr>
        <w:br w:type="page"/>
      </w:r>
    </w:p>
    <w:p w14:paraId="4A61174C" w14:textId="4D911E70" w:rsidR="00E53949" w:rsidRPr="007E73E1" w:rsidRDefault="00E53949" w:rsidP="00F9082E">
      <w:pPr>
        <w:pStyle w:val="Heading2"/>
        <w:jc w:val="both"/>
      </w:pPr>
      <w:r w:rsidRPr="007E73E1">
        <w:lastRenderedPageBreak/>
        <w:t>Derecho</w:t>
      </w:r>
      <w:r w:rsidR="00C75214" w:rsidRPr="007E73E1">
        <w:t xml:space="preserve">s a la protección de la familia, </w:t>
      </w:r>
      <w:r w:rsidR="00B17012" w:rsidRPr="007E73E1">
        <w:t xml:space="preserve">a la vida privada y familiar, </w:t>
      </w:r>
      <w:r w:rsidR="00960EB4" w:rsidRPr="007E73E1">
        <w:t>de nacionalidad</w:t>
      </w:r>
      <w:r w:rsidR="00A37CA7" w:rsidRPr="007E73E1">
        <w:t>,</w:t>
      </w:r>
      <w:r w:rsidR="00960EB4" w:rsidRPr="007E73E1">
        <w:t xml:space="preserve"> y de residen</w:t>
      </w:r>
      <w:r w:rsidR="001F0175" w:rsidRPr="007E73E1">
        <w:t>cia y tránsito (A</w:t>
      </w:r>
      <w:r w:rsidR="006E1574" w:rsidRPr="007E73E1">
        <w:t xml:space="preserve">rtículos </w:t>
      </w:r>
      <w:r w:rsidR="00960EB4" w:rsidRPr="007E73E1">
        <w:t xml:space="preserve">VI, </w:t>
      </w:r>
      <w:r w:rsidR="00B17012" w:rsidRPr="007E73E1">
        <w:t xml:space="preserve">V, </w:t>
      </w:r>
      <w:r w:rsidR="00960EB4" w:rsidRPr="007E73E1">
        <w:t>XIX y VIII de la Declaración Americana</w:t>
      </w:r>
      <w:r w:rsidR="00960EB4" w:rsidRPr="007E73E1">
        <w:rPr>
          <w:rStyle w:val="FootnoteReference"/>
          <w:rFonts w:eastAsia="Arial Unicode MS"/>
          <w:vertAlign w:val="baseline"/>
        </w:rPr>
        <w:footnoteReference w:id="137"/>
      </w:r>
      <w:r w:rsidR="00960EB4" w:rsidRPr="007E73E1">
        <w:t>)</w:t>
      </w:r>
      <w:r w:rsidR="00FD6387" w:rsidRPr="007E73E1">
        <w:t>,</w:t>
      </w:r>
      <w:r w:rsidR="00960EB4" w:rsidRPr="007E73E1">
        <w:t xml:space="preserve"> en relación con su artículo VII</w:t>
      </w:r>
      <w:bookmarkEnd w:id="81"/>
      <w:bookmarkEnd w:id="82"/>
    </w:p>
    <w:p w14:paraId="09C78CD7" w14:textId="77777777" w:rsidR="00E53949" w:rsidRPr="0007034B" w:rsidRDefault="00E53949" w:rsidP="00317E7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Cambria"/>
          <w:b/>
          <w:sz w:val="20"/>
          <w:szCs w:val="20"/>
          <w:u w:color="000000"/>
          <w:lang w:val="es-CO" w:eastAsia="es-ES"/>
        </w:rPr>
      </w:pPr>
    </w:p>
    <w:p w14:paraId="4772B97F" w14:textId="5E9223D9" w:rsidR="00317E7B" w:rsidRPr="007E73E1" w:rsidRDefault="00317E7B" w:rsidP="00B14871">
      <w:pPr>
        <w:pStyle w:val="Heading3"/>
        <w:numPr>
          <w:ilvl w:val="0"/>
          <w:numId w:val="71"/>
        </w:numPr>
        <w:ind w:hanging="720"/>
      </w:pPr>
      <w:bookmarkStart w:id="83" w:name="_Toc6349175"/>
      <w:bookmarkStart w:id="84" w:name="_Toc6466668"/>
      <w:r w:rsidRPr="007E73E1">
        <w:t>Consideracione</w:t>
      </w:r>
      <w:r w:rsidR="00B266D2" w:rsidRPr="007E73E1">
        <w:t>s generales sobre el derecho a la identidad, al nombre, a la vida privada, a la familia, a la nacionalidad y a la residencia y tránsito</w:t>
      </w:r>
      <w:bookmarkEnd w:id="83"/>
      <w:bookmarkEnd w:id="84"/>
    </w:p>
    <w:p w14:paraId="1743091E" w14:textId="77777777" w:rsidR="00317E7B" w:rsidRPr="0007034B" w:rsidRDefault="00317E7B" w:rsidP="00EB498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Cambria"/>
          <w:b/>
          <w:sz w:val="20"/>
          <w:szCs w:val="20"/>
          <w:u w:color="000000"/>
          <w:lang w:val="es-CO" w:eastAsia="es-ES"/>
        </w:rPr>
      </w:pPr>
    </w:p>
    <w:p w14:paraId="128E69A6" w14:textId="77777777" w:rsidR="00BA76F2" w:rsidRDefault="00227DDF" w:rsidP="00B14871">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ind w:left="0" w:firstLine="0"/>
        <w:jc w:val="both"/>
        <w:rPr>
          <w:rFonts w:asciiTheme="majorHAnsi" w:hAnsiTheme="majorHAnsi"/>
          <w:sz w:val="20"/>
          <w:szCs w:val="20"/>
          <w:lang w:val="es-ES_tradnl"/>
        </w:rPr>
      </w:pPr>
      <w:r w:rsidRPr="0007034B">
        <w:rPr>
          <w:rFonts w:asciiTheme="majorHAnsi" w:hAnsiTheme="majorHAnsi" w:cs="Cambria"/>
          <w:sz w:val="20"/>
          <w:szCs w:val="20"/>
          <w:u w:color="000000"/>
          <w:lang w:val="es-CO" w:eastAsia="es-ES"/>
        </w:rPr>
        <w:t>La Corte ha establecido que “la sustracción de niños y/o niñas efectuada por agentes estatales para ser entregados ilegítimamente en crianza a otra familia, modificando su identidad y sin informar a su familia biológica sobre su paradero […] constituye un hecho complejo que implica una sucesión de acciones ilegales y violaciones de derechos para encubrirlo e impedir el restablecimiento del vínculo entre los menores de edad sustraídos y sus familiares”</w:t>
      </w:r>
      <w:r w:rsidRPr="0007034B">
        <w:rPr>
          <w:rStyle w:val="FootnoteReference"/>
          <w:rFonts w:asciiTheme="majorHAnsi" w:hAnsiTheme="majorHAnsi" w:cs="Cambria"/>
          <w:sz w:val="20"/>
          <w:szCs w:val="20"/>
          <w:u w:color="000000"/>
          <w:lang w:val="es-CO" w:eastAsia="es-ES"/>
        </w:rPr>
        <w:footnoteReference w:id="138"/>
      </w:r>
      <w:r w:rsidR="00172D5E" w:rsidRPr="0007034B">
        <w:rPr>
          <w:rFonts w:asciiTheme="majorHAnsi" w:hAnsiTheme="majorHAnsi" w:cs="Cambria"/>
          <w:sz w:val="20"/>
          <w:szCs w:val="20"/>
          <w:u w:color="000000"/>
          <w:lang w:val="es-CO" w:eastAsia="es-ES"/>
        </w:rPr>
        <w:t>.</w:t>
      </w:r>
    </w:p>
    <w:p w14:paraId="1990CFF7" w14:textId="77777777" w:rsidR="00BA76F2" w:rsidRDefault="00BA76F2" w:rsidP="00BA76F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Fonts w:asciiTheme="majorHAnsi" w:hAnsiTheme="majorHAnsi"/>
          <w:sz w:val="20"/>
          <w:szCs w:val="20"/>
          <w:lang w:val="es-ES_tradnl"/>
        </w:rPr>
      </w:pPr>
    </w:p>
    <w:p w14:paraId="7A5808F8" w14:textId="7C77C36B" w:rsidR="00303AFA" w:rsidRPr="00BA76F2" w:rsidRDefault="009971A0" w:rsidP="00B14871">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ind w:left="0" w:firstLine="0"/>
        <w:jc w:val="both"/>
        <w:rPr>
          <w:rFonts w:asciiTheme="majorHAnsi" w:hAnsiTheme="majorHAnsi"/>
          <w:sz w:val="20"/>
          <w:szCs w:val="20"/>
          <w:lang w:val="es-ES_tradnl"/>
        </w:rPr>
      </w:pPr>
      <w:r w:rsidRPr="00BA76F2">
        <w:rPr>
          <w:rFonts w:asciiTheme="majorHAnsi" w:hAnsiTheme="majorHAnsi" w:cs="Cambria"/>
          <w:sz w:val="20"/>
          <w:szCs w:val="20"/>
          <w:u w:color="000000"/>
          <w:lang w:val="es-CO" w:eastAsia="es-ES"/>
        </w:rPr>
        <w:t xml:space="preserve">Respecto al derecho a la identidad, </w:t>
      </w:r>
      <w:r w:rsidR="00F13650" w:rsidRPr="00BA76F2">
        <w:rPr>
          <w:rFonts w:asciiTheme="majorHAnsi" w:hAnsiTheme="majorHAnsi" w:cs="Cambria"/>
          <w:sz w:val="20"/>
          <w:szCs w:val="20"/>
          <w:u w:color="000000"/>
          <w:lang w:val="es-CO" w:eastAsia="es-ES"/>
        </w:rPr>
        <w:t xml:space="preserve">si bien </w:t>
      </w:r>
      <w:r w:rsidRPr="00BA76F2">
        <w:rPr>
          <w:rFonts w:asciiTheme="majorHAnsi" w:hAnsiTheme="majorHAnsi" w:cs="Cambria"/>
          <w:sz w:val="20"/>
          <w:szCs w:val="20"/>
          <w:u w:color="000000"/>
          <w:lang w:val="es-CO" w:eastAsia="es-ES"/>
        </w:rPr>
        <w:t xml:space="preserve">el mismo no se encuentra expresamente contemplado en la </w:t>
      </w:r>
      <w:r w:rsidR="00F13650" w:rsidRPr="00BA76F2">
        <w:rPr>
          <w:rFonts w:asciiTheme="majorHAnsi" w:hAnsiTheme="majorHAnsi" w:cs="Cambria"/>
          <w:sz w:val="20"/>
          <w:szCs w:val="20"/>
          <w:u w:color="000000"/>
          <w:lang w:val="es-CO" w:eastAsia="es-ES"/>
        </w:rPr>
        <w:t xml:space="preserve">Declaración Americana ni en la </w:t>
      </w:r>
      <w:r w:rsidRPr="00BA76F2">
        <w:rPr>
          <w:rFonts w:asciiTheme="majorHAnsi" w:hAnsiTheme="majorHAnsi" w:cs="Cambria"/>
          <w:sz w:val="20"/>
          <w:szCs w:val="20"/>
          <w:u w:color="000000"/>
          <w:lang w:val="es-CO" w:eastAsia="es-ES"/>
        </w:rPr>
        <w:t xml:space="preserve">Convención Americana, es posible determinarlo sobre la base de lo dispuesto por el artículo 8 de la Convención sobre los Derechos del Niño, que establece que tal derecho comprende, entre otros, el derecho a la nacionalidad, al nombre y a las relaciones de familia. </w:t>
      </w:r>
      <w:r w:rsidR="00F13650" w:rsidRPr="00BA76F2">
        <w:rPr>
          <w:rFonts w:asciiTheme="majorHAnsi" w:hAnsiTheme="majorHAnsi" w:cs="Cambria"/>
          <w:sz w:val="20"/>
          <w:szCs w:val="20"/>
          <w:u w:color="000000"/>
          <w:lang w:val="es-CO" w:eastAsia="es-ES"/>
        </w:rPr>
        <w:t xml:space="preserve">La Corte Interamericana ha conceptualizado el </w:t>
      </w:r>
      <w:r w:rsidRPr="00BA76F2">
        <w:rPr>
          <w:rFonts w:asciiTheme="majorHAnsi" w:hAnsiTheme="majorHAnsi" w:cs="Cambria"/>
          <w:sz w:val="20"/>
          <w:szCs w:val="20"/>
          <w:u w:color="000000"/>
          <w:lang w:val="es-CO" w:eastAsia="es-ES"/>
        </w:rPr>
        <w:t xml:space="preserve">derecho a la identidad como </w:t>
      </w:r>
      <w:r w:rsidR="00F13650" w:rsidRPr="00BA76F2">
        <w:rPr>
          <w:rFonts w:asciiTheme="majorHAnsi" w:hAnsiTheme="majorHAnsi" w:cs="Cambria"/>
          <w:sz w:val="20"/>
          <w:szCs w:val="20"/>
          <w:u w:color="000000"/>
          <w:lang w:val="es-CO" w:eastAsia="es-ES"/>
        </w:rPr>
        <w:t>“</w:t>
      </w:r>
      <w:r w:rsidRPr="00BA76F2">
        <w:rPr>
          <w:rFonts w:asciiTheme="majorHAnsi" w:hAnsiTheme="majorHAnsi" w:cs="Cambria"/>
          <w:sz w:val="20"/>
          <w:szCs w:val="20"/>
          <w:u w:color="000000"/>
          <w:lang w:val="es-CO" w:eastAsia="es-ES"/>
        </w:rPr>
        <w:t>el conjunto de atributos y características que permitan la individualización de la persona en sociedad y, en tal sentido, comprende varios otros derechos según el sujeto de derechos de que se trate y las circunstancias del caso”</w:t>
      </w:r>
      <w:r w:rsidR="004B2166" w:rsidRPr="0007034B">
        <w:rPr>
          <w:rStyle w:val="FootnoteReference"/>
          <w:rFonts w:asciiTheme="majorHAnsi" w:hAnsiTheme="majorHAnsi" w:cs="Cambria"/>
          <w:sz w:val="20"/>
          <w:szCs w:val="20"/>
          <w:u w:color="000000"/>
          <w:lang w:val="es-CO" w:eastAsia="es-ES"/>
        </w:rPr>
        <w:footnoteReference w:id="139"/>
      </w:r>
      <w:r w:rsidRPr="00BA76F2">
        <w:rPr>
          <w:rFonts w:asciiTheme="majorHAnsi" w:hAnsiTheme="majorHAnsi" w:cs="Cambria"/>
          <w:sz w:val="20"/>
          <w:szCs w:val="20"/>
          <w:u w:color="000000"/>
          <w:lang w:val="es-CO" w:eastAsia="es-ES"/>
        </w:rPr>
        <w:t xml:space="preserve">. </w:t>
      </w:r>
      <w:r w:rsidR="004B2166" w:rsidRPr="00BA76F2">
        <w:rPr>
          <w:rFonts w:asciiTheme="majorHAnsi" w:hAnsiTheme="majorHAnsi" w:cs="Cambria"/>
          <w:sz w:val="20"/>
          <w:szCs w:val="20"/>
          <w:u w:color="000000"/>
          <w:lang w:val="es-CO" w:eastAsia="es-ES"/>
        </w:rPr>
        <w:t>Por otra parte, se ha referido a pronunciamientos de la Asamblea General de la Organización de Estados Americanos y del Comité Jurídico Interamericano</w:t>
      </w:r>
      <w:r w:rsidR="00227DDF" w:rsidRPr="0007034B">
        <w:rPr>
          <w:rStyle w:val="FootnoteReference"/>
          <w:rFonts w:asciiTheme="majorHAnsi" w:hAnsiTheme="majorHAnsi" w:cs="Cambria"/>
          <w:sz w:val="20"/>
          <w:szCs w:val="20"/>
          <w:u w:color="000000"/>
          <w:lang w:val="es-CO" w:eastAsia="es-ES"/>
        </w:rPr>
        <w:footnoteReference w:id="140"/>
      </w:r>
      <w:r w:rsidR="004B2166" w:rsidRPr="00BA76F2">
        <w:rPr>
          <w:rFonts w:asciiTheme="majorHAnsi" w:hAnsiTheme="majorHAnsi" w:cs="Cambria"/>
          <w:sz w:val="20"/>
          <w:szCs w:val="20"/>
          <w:u w:color="000000"/>
          <w:lang w:val="es-CO" w:eastAsia="es-ES"/>
        </w:rPr>
        <w:t>:</w:t>
      </w:r>
    </w:p>
    <w:p w14:paraId="1E5D1A8A" w14:textId="77777777" w:rsidR="004B2166" w:rsidRPr="0007034B" w:rsidRDefault="004B2166" w:rsidP="004B21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99"/>
        <w:jc w:val="both"/>
        <w:rPr>
          <w:rFonts w:asciiTheme="majorHAnsi" w:hAnsiTheme="majorHAnsi" w:cs="Cambria"/>
          <w:sz w:val="20"/>
          <w:szCs w:val="20"/>
          <w:u w:color="000000"/>
          <w:lang w:val="es-CO" w:eastAsia="es-ES"/>
        </w:rPr>
      </w:pPr>
    </w:p>
    <w:p w14:paraId="74CFF121" w14:textId="38BF9D48" w:rsidR="004B2166" w:rsidRPr="00F9082E" w:rsidRDefault="00227DDF" w:rsidP="00F84E8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hAnsiTheme="majorHAnsi" w:cs="Cambria"/>
          <w:sz w:val="18"/>
          <w:szCs w:val="18"/>
          <w:u w:color="000000"/>
          <w:lang w:val="es-CO" w:eastAsia="es-ES"/>
        </w:rPr>
      </w:pPr>
      <w:r w:rsidRPr="00F9082E">
        <w:rPr>
          <w:rFonts w:asciiTheme="majorHAnsi" w:hAnsiTheme="majorHAnsi"/>
          <w:sz w:val="18"/>
          <w:szCs w:val="18"/>
          <w:lang w:val="es-MX"/>
        </w:rPr>
        <w:t>Al respecto, la Asamblea General de la Organización de Estados Americanos (en adelante la “OEA”) señaló “que el reconocimiento de la identidad de las personas es uno de los medios a través del cual se facilita el ejercicio de los derechos a la personalidad jurídica, al nombre, a la nacionalidad, a la inscripción en el registro civil, a las relaciones familiares, entre otros derechos reconocidos en instrumentos internacionales como la Declaración Americana de los Derechos y Deberes del Hombre y la Convención Americana”</w:t>
      </w:r>
      <w:r w:rsidRPr="00F9082E">
        <w:rPr>
          <w:rStyle w:val="FootnoteReference"/>
          <w:rFonts w:asciiTheme="majorHAnsi" w:hAnsiTheme="majorHAnsi"/>
          <w:sz w:val="18"/>
          <w:szCs w:val="18"/>
          <w:lang w:val="es-MX"/>
        </w:rPr>
        <w:footnoteReference w:id="141"/>
      </w:r>
      <w:r w:rsidRPr="00F9082E">
        <w:rPr>
          <w:rFonts w:asciiTheme="majorHAnsi" w:hAnsiTheme="majorHAnsi"/>
          <w:sz w:val="18"/>
          <w:szCs w:val="18"/>
          <w:lang w:val="es-MX"/>
        </w:rPr>
        <w:t>. Asimismo estableció que “la falta de reconocimiento de la identidad puede implicar que la persona no cuente con constancia legal de su existencia, dificultando el pleno ejercicio de sus derechos civiles, políticos, económicos, sociales y culturales”</w:t>
      </w:r>
      <w:r w:rsidRPr="00F9082E">
        <w:rPr>
          <w:rStyle w:val="FootnoteReference"/>
          <w:rFonts w:asciiTheme="majorHAnsi" w:hAnsiTheme="majorHAnsi"/>
          <w:sz w:val="18"/>
          <w:szCs w:val="18"/>
          <w:lang w:val="es-MX"/>
        </w:rPr>
        <w:footnoteReference w:id="142"/>
      </w:r>
      <w:r w:rsidRPr="00F9082E">
        <w:rPr>
          <w:rFonts w:asciiTheme="majorHAnsi" w:hAnsiTheme="majorHAnsi"/>
          <w:sz w:val="18"/>
          <w:szCs w:val="18"/>
          <w:lang w:val="es-MX"/>
        </w:rPr>
        <w:t xml:space="preserve">. En ese mismo sentido, el Comité Jurídico Interamericano expresó que el “derecho a la identidad es consustancial a los atributos y a la dignidad humana” y que, en consecuencia, “es un derecho humano fundamental oponible </w:t>
      </w:r>
      <w:r w:rsidRPr="00F9082E">
        <w:rPr>
          <w:rFonts w:asciiTheme="majorHAnsi" w:hAnsiTheme="majorHAnsi"/>
          <w:i/>
          <w:sz w:val="18"/>
          <w:szCs w:val="18"/>
          <w:lang w:val="es-MX"/>
        </w:rPr>
        <w:t>erga omnes</w:t>
      </w:r>
      <w:r w:rsidRPr="00F9082E">
        <w:rPr>
          <w:rFonts w:asciiTheme="majorHAnsi" w:hAnsiTheme="majorHAnsi"/>
          <w:sz w:val="18"/>
          <w:szCs w:val="18"/>
          <w:lang w:val="es-MX"/>
        </w:rPr>
        <w:t xml:space="preserve"> como expresión de un interés colectivo de la [c]omunidad [i]nternacional en su conjunto[,] que no admite derogación ni suspensión en los casos previstos por la Convención Americana”</w:t>
      </w:r>
      <w:r w:rsidR="00AC2DA0" w:rsidRPr="00F9082E">
        <w:rPr>
          <w:rFonts w:asciiTheme="majorHAnsi" w:hAnsiTheme="majorHAnsi"/>
          <w:sz w:val="18"/>
          <w:szCs w:val="18"/>
          <w:lang w:val="es-MX"/>
        </w:rPr>
        <w:t>.</w:t>
      </w:r>
    </w:p>
    <w:p w14:paraId="68626663" w14:textId="77777777" w:rsidR="004B2166" w:rsidRPr="0007034B" w:rsidRDefault="004B2166" w:rsidP="004B21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99"/>
        <w:jc w:val="both"/>
        <w:rPr>
          <w:rFonts w:asciiTheme="majorHAnsi" w:hAnsiTheme="majorHAnsi" w:cs="Cambria"/>
          <w:sz w:val="20"/>
          <w:szCs w:val="20"/>
          <w:u w:color="000000"/>
          <w:lang w:val="es-CO" w:eastAsia="es-ES"/>
        </w:rPr>
      </w:pPr>
    </w:p>
    <w:p w14:paraId="0E28DF2B" w14:textId="77777777" w:rsidR="00BA76F2" w:rsidRDefault="00227DDF" w:rsidP="00B14871">
      <w:pPr>
        <w:pStyle w:val="ListParagraph"/>
        <w:widowControl w:val="0"/>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ight="99" w:firstLine="0"/>
        <w:jc w:val="both"/>
        <w:rPr>
          <w:rFonts w:asciiTheme="majorHAnsi" w:eastAsia="Arial Unicode MS" w:hAnsiTheme="majorHAnsi" w:cs="Times New Roman"/>
          <w:sz w:val="20"/>
          <w:szCs w:val="20"/>
          <w:lang w:val="es-CO"/>
        </w:rPr>
      </w:pPr>
      <w:r w:rsidRPr="0007034B">
        <w:rPr>
          <w:rFonts w:asciiTheme="majorHAnsi" w:hAnsiTheme="majorHAnsi"/>
          <w:sz w:val="20"/>
          <w:szCs w:val="20"/>
          <w:lang w:val="es-CO"/>
        </w:rPr>
        <w:t xml:space="preserve">Por otra parte, la Corte ha hecho referencia a jurisprudencia argentina que ha considerado que la </w:t>
      </w:r>
      <w:r w:rsidRPr="0007034B">
        <w:rPr>
          <w:rFonts w:asciiTheme="majorHAnsi" w:hAnsiTheme="majorHAnsi"/>
          <w:sz w:val="20"/>
          <w:szCs w:val="20"/>
          <w:lang w:val="es-CO"/>
        </w:rPr>
        <w:lastRenderedPageBreak/>
        <w:t>sustracción y apropiación ilícita de niños y niñas afecta el derecho a la identidad de l</w:t>
      </w:r>
      <w:r w:rsidR="008840F5" w:rsidRPr="0007034B">
        <w:rPr>
          <w:rFonts w:asciiTheme="majorHAnsi" w:hAnsiTheme="majorHAnsi"/>
          <w:sz w:val="20"/>
          <w:szCs w:val="20"/>
          <w:lang w:val="es-CO"/>
        </w:rPr>
        <w:t>os niños y</w:t>
      </w:r>
      <w:r w:rsidRPr="0007034B">
        <w:rPr>
          <w:rFonts w:asciiTheme="majorHAnsi" w:hAnsiTheme="majorHAnsi"/>
          <w:sz w:val="20"/>
          <w:szCs w:val="20"/>
          <w:lang w:val="es-CO"/>
        </w:rPr>
        <w:t xml:space="preserve"> niñas, “toda vez que se había alterado el estado civil de los niños y se habían atribuido datos filiatorios que impidieron conocer la verdadera identidad de los mismos, quedando eliminado cualquier indicio relativo a su verdadero origen y evitando el contacto con la verdadera familia”</w:t>
      </w:r>
      <w:r w:rsidRPr="0007034B">
        <w:rPr>
          <w:rStyle w:val="FootnoteReference"/>
          <w:rFonts w:asciiTheme="majorHAnsi" w:hAnsiTheme="majorHAnsi"/>
          <w:sz w:val="20"/>
          <w:szCs w:val="20"/>
          <w:lang w:val="es-CO"/>
        </w:rPr>
        <w:footnoteReference w:id="143"/>
      </w:r>
      <w:r w:rsidRPr="0007034B">
        <w:rPr>
          <w:rFonts w:asciiTheme="majorHAnsi" w:hAnsiTheme="majorHAnsi"/>
          <w:sz w:val="20"/>
          <w:szCs w:val="20"/>
          <w:lang w:val="es-CO"/>
        </w:rPr>
        <w:t>.</w:t>
      </w:r>
    </w:p>
    <w:p w14:paraId="7265ADF6" w14:textId="77777777" w:rsidR="00BA76F2" w:rsidRDefault="00BA76F2" w:rsidP="00BA76F2">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ight="99"/>
        <w:jc w:val="both"/>
        <w:rPr>
          <w:rFonts w:asciiTheme="majorHAnsi" w:eastAsia="Arial Unicode MS" w:hAnsiTheme="majorHAnsi" w:cs="Times New Roman"/>
          <w:sz w:val="20"/>
          <w:szCs w:val="20"/>
          <w:lang w:val="es-CO"/>
        </w:rPr>
      </w:pPr>
    </w:p>
    <w:p w14:paraId="39637A45" w14:textId="77777777" w:rsidR="00BA76F2" w:rsidRDefault="00F314C7" w:rsidP="00B14871">
      <w:pPr>
        <w:pStyle w:val="ListParagraph"/>
        <w:widowControl w:val="0"/>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ight="99" w:firstLine="0"/>
        <w:jc w:val="both"/>
        <w:rPr>
          <w:rFonts w:asciiTheme="majorHAnsi" w:eastAsia="Arial Unicode MS" w:hAnsiTheme="majorHAnsi" w:cs="Times New Roman"/>
          <w:sz w:val="20"/>
          <w:szCs w:val="20"/>
          <w:lang w:val="es-CO"/>
        </w:rPr>
      </w:pPr>
      <w:r w:rsidRPr="00BA76F2">
        <w:rPr>
          <w:rFonts w:asciiTheme="majorHAnsi" w:hAnsiTheme="majorHAnsi"/>
          <w:bCs/>
          <w:sz w:val="20"/>
          <w:szCs w:val="20"/>
          <w:lang w:val="es-CO"/>
        </w:rPr>
        <w:t xml:space="preserve">Si bien la </w:t>
      </w:r>
      <w:r w:rsidR="00895ED9" w:rsidRPr="00BA76F2">
        <w:rPr>
          <w:rFonts w:asciiTheme="majorHAnsi" w:hAnsiTheme="majorHAnsi"/>
          <w:bCs/>
          <w:sz w:val="20"/>
          <w:szCs w:val="20"/>
          <w:lang w:val="es-CO"/>
        </w:rPr>
        <w:t xml:space="preserve">Declaración Americana no contempla expresamente el derecho al nombre, </w:t>
      </w:r>
      <w:r w:rsidR="00FD1714" w:rsidRPr="00BA76F2">
        <w:rPr>
          <w:rFonts w:asciiTheme="majorHAnsi" w:hAnsiTheme="majorHAnsi"/>
          <w:bCs/>
          <w:sz w:val="20"/>
          <w:szCs w:val="20"/>
          <w:lang w:val="es-CO"/>
        </w:rPr>
        <w:t>el mismo</w:t>
      </w:r>
      <w:r w:rsidR="00895ED9" w:rsidRPr="00BA76F2">
        <w:rPr>
          <w:rFonts w:asciiTheme="majorHAnsi" w:hAnsiTheme="majorHAnsi"/>
          <w:bCs/>
          <w:sz w:val="20"/>
          <w:szCs w:val="20"/>
          <w:lang w:val="es-CO"/>
        </w:rPr>
        <w:t xml:space="preserve"> </w:t>
      </w:r>
      <w:r w:rsidR="00C9572B" w:rsidRPr="00BA76F2">
        <w:rPr>
          <w:rFonts w:asciiTheme="majorHAnsi" w:hAnsiTheme="majorHAnsi"/>
          <w:bCs/>
          <w:sz w:val="20"/>
          <w:szCs w:val="20"/>
          <w:lang w:val="es-CO"/>
        </w:rPr>
        <w:t>ha sido</w:t>
      </w:r>
      <w:r w:rsidR="00895ED9" w:rsidRPr="00BA76F2">
        <w:rPr>
          <w:rFonts w:asciiTheme="majorHAnsi" w:hAnsiTheme="majorHAnsi"/>
          <w:bCs/>
          <w:sz w:val="20"/>
          <w:szCs w:val="20"/>
          <w:lang w:val="es-CO"/>
        </w:rPr>
        <w:t xml:space="preserve"> reconocido </w:t>
      </w:r>
      <w:r w:rsidR="0068596E" w:rsidRPr="00BA76F2">
        <w:rPr>
          <w:rFonts w:asciiTheme="majorHAnsi" w:hAnsiTheme="majorHAnsi"/>
          <w:sz w:val="20"/>
          <w:szCs w:val="20"/>
          <w:lang w:val="es-ES"/>
        </w:rPr>
        <w:t>en el artículo 18 de la Convención</w:t>
      </w:r>
      <w:r w:rsidR="009A405E" w:rsidRPr="00BA76F2">
        <w:rPr>
          <w:rFonts w:asciiTheme="majorHAnsi" w:hAnsiTheme="majorHAnsi"/>
          <w:sz w:val="20"/>
          <w:szCs w:val="20"/>
          <w:lang w:val="es-ES"/>
        </w:rPr>
        <w:t xml:space="preserve"> Americana</w:t>
      </w:r>
      <w:r w:rsidR="0068596E" w:rsidRPr="00BA76F2">
        <w:rPr>
          <w:rFonts w:asciiTheme="majorHAnsi" w:hAnsiTheme="majorHAnsi"/>
          <w:sz w:val="20"/>
          <w:szCs w:val="20"/>
          <w:lang w:val="es-ES"/>
        </w:rPr>
        <w:t xml:space="preserve"> y en diversos instrumentos internacionales</w:t>
      </w:r>
      <w:r w:rsidR="0068596E" w:rsidRPr="0007034B">
        <w:rPr>
          <w:rStyle w:val="FootnoteReference"/>
          <w:rFonts w:asciiTheme="majorHAnsi" w:hAnsiTheme="majorHAnsi"/>
          <w:sz w:val="20"/>
          <w:szCs w:val="20"/>
          <w:lang w:val="es-ES"/>
        </w:rPr>
        <w:footnoteReference w:id="144"/>
      </w:r>
      <w:r w:rsidR="00151045" w:rsidRPr="00BA76F2">
        <w:rPr>
          <w:rFonts w:asciiTheme="majorHAnsi" w:hAnsiTheme="majorHAnsi"/>
          <w:sz w:val="20"/>
          <w:szCs w:val="20"/>
          <w:lang w:val="es-ES"/>
        </w:rPr>
        <w:t>.</w:t>
      </w:r>
      <w:r w:rsidR="00A1106D" w:rsidRPr="00BA76F2">
        <w:rPr>
          <w:rFonts w:asciiTheme="majorHAnsi" w:hAnsiTheme="majorHAnsi"/>
          <w:sz w:val="20"/>
          <w:szCs w:val="20"/>
          <w:lang w:val="es-ES"/>
        </w:rPr>
        <w:t xml:space="preserve"> </w:t>
      </w:r>
      <w:r w:rsidR="009A405E" w:rsidRPr="00BA76F2">
        <w:rPr>
          <w:rFonts w:asciiTheme="majorHAnsi" w:hAnsiTheme="majorHAnsi"/>
          <w:sz w:val="20"/>
          <w:szCs w:val="20"/>
          <w:lang w:val="es-ES"/>
        </w:rPr>
        <w:t xml:space="preserve">Asimismo, el Tribunal Europeo de </w:t>
      </w:r>
      <w:r w:rsidR="009A405E" w:rsidRPr="00BA76F2">
        <w:rPr>
          <w:rFonts w:asciiTheme="majorHAnsi" w:hAnsiTheme="majorHAnsi"/>
          <w:bCs/>
          <w:sz w:val="20"/>
          <w:szCs w:val="20"/>
          <w:lang w:val="es-CO"/>
        </w:rPr>
        <w:t>Derechos Humanos ha afirmado que el derecho al nombre</w:t>
      </w:r>
      <w:r w:rsidR="004A13E2" w:rsidRPr="00BA76F2">
        <w:rPr>
          <w:rFonts w:asciiTheme="majorHAnsi" w:hAnsiTheme="majorHAnsi"/>
          <w:bCs/>
          <w:sz w:val="20"/>
          <w:szCs w:val="20"/>
          <w:lang w:val="es-CO"/>
        </w:rPr>
        <w:t xml:space="preserve">, a pesar de no haber sido reconocido expresamente por el Convenio Europeo de Derechos Humanos, </w:t>
      </w:r>
      <w:r w:rsidR="009A405E" w:rsidRPr="00BA76F2">
        <w:rPr>
          <w:rFonts w:asciiTheme="majorHAnsi" w:hAnsiTheme="majorHAnsi"/>
          <w:bCs/>
          <w:sz w:val="20"/>
          <w:szCs w:val="20"/>
          <w:lang w:val="es-CO"/>
        </w:rPr>
        <w:t xml:space="preserve">se encuentra protegido </w:t>
      </w:r>
      <w:r w:rsidR="003253D0" w:rsidRPr="00BA76F2">
        <w:rPr>
          <w:rFonts w:asciiTheme="majorHAnsi" w:hAnsiTheme="majorHAnsi"/>
          <w:bCs/>
          <w:sz w:val="20"/>
          <w:szCs w:val="20"/>
          <w:lang w:val="es-CO"/>
        </w:rPr>
        <w:t>bajo el derecho a la vida privada y familiar establecido en</w:t>
      </w:r>
      <w:r w:rsidR="009A405E" w:rsidRPr="00BA76F2">
        <w:rPr>
          <w:rFonts w:asciiTheme="majorHAnsi" w:hAnsiTheme="majorHAnsi"/>
          <w:bCs/>
          <w:sz w:val="20"/>
          <w:szCs w:val="20"/>
          <w:lang w:val="es-CO"/>
        </w:rPr>
        <w:t xml:space="preserve"> </w:t>
      </w:r>
      <w:r w:rsidR="00FD1714" w:rsidRPr="00BA76F2">
        <w:rPr>
          <w:rFonts w:asciiTheme="majorHAnsi" w:hAnsiTheme="majorHAnsi"/>
          <w:bCs/>
          <w:sz w:val="20"/>
          <w:szCs w:val="20"/>
          <w:lang w:val="es-CO"/>
        </w:rPr>
        <w:t>su</w:t>
      </w:r>
      <w:r w:rsidR="009A405E" w:rsidRPr="00BA76F2">
        <w:rPr>
          <w:rFonts w:asciiTheme="majorHAnsi" w:hAnsiTheme="majorHAnsi"/>
          <w:bCs/>
          <w:sz w:val="20"/>
          <w:szCs w:val="20"/>
          <w:lang w:val="es-CO"/>
        </w:rPr>
        <w:t xml:space="preserve"> artículo 8</w:t>
      </w:r>
      <w:r w:rsidR="009A405E" w:rsidRPr="0007034B">
        <w:rPr>
          <w:rStyle w:val="FootnoteReference"/>
          <w:rFonts w:asciiTheme="majorHAnsi" w:hAnsiTheme="majorHAnsi"/>
          <w:bCs/>
          <w:sz w:val="20"/>
          <w:szCs w:val="20"/>
          <w:lang w:val="es-CO"/>
        </w:rPr>
        <w:footnoteReference w:id="145"/>
      </w:r>
      <w:r w:rsidR="009A405E" w:rsidRPr="00BA76F2">
        <w:rPr>
          <w:rFonts w:asciiTheme="majorHAnsi" w:hAnsiTheme="majorHAnsi"/>
          <w:bCs/>
          <w:sz w:val="20"/>
          <w:szCs w:val="20"/>
          <w:lang w:val="es-CO"/>
        </w:rPr>
        <w:t xml:space="preserve">. </w:t>
      </w:r>
      <w:r w:rsidR="00FD1714" w:rsidRPr="00BA76F2">
        <w:rPr>
          <w:rFonts w:asciiTheme="majorHAnsi" w:hAnsiTheme="majorHAnsi"/>
          <w:bCs/>
          <w:sz w:val="20"/>
          <w:szCs w:val="20"/>
          <w:lang w:val="es-CO"/>
        </w:rPr>
        <w:t>A su vez, l</w:t>
      </w:r>
      <w:r w:rsidR="0068596E" w:rsidRPr="00BA76F2">
        <w:rPr>
          <w:rFonts w:asciiTheme="majorHAnsi" w:hAnsiTheme="majorHAnsi"/>
          <w:bCs/>
          <w:sz w:val="20"/>
          <w:szCs w:val="20"/>
          <w:lang w:val="es-CO"/>
        </w:rPr>
        <w:t xml:space="preserve">a Corte </w:t>
      </w:r>
      <w:r w:rsidR="00895ED9" w:rsidRPr="00BA76F2">
        <w:rPr>
          <w:rFonts w:asciiTheme="majorHAnsi" w:hAnsiTheme="majorHAnsi"/>
          <w:bCs/>
          <w:sz w:val="20"/>
          <w:szCs w:val="20"/>
          <w:lang w:val="es-CO"/>
        </w:rPr>
        <w:t xml:space="preserve">Interamericana </w:t>
      </w:r>
      <w:r w:rsidR="00695ECF" w:rsidRPr="00BA76F2">
        <w:rPr>
          <w:rFonts w:asciiTheme="majorHAnsi" w:hAnsiTheme="majorHAnsi"/>
          <w:sz w:val="20"/>
          <w:szCs w:val="20"/>
          <w:lang w:val="es-ES"/>
        </w:rPr>
        <w:t xml:space="preserve">ha señalado que el nombre y el apellido son </w:t>
      </w:r>
      <w:r w:rsidR="00695ECF" w:rsidRPr="00BA76F2">
        <w:rPr>
          <w:rFonts w:asciiTheme="majorHAnsi" w:hAnsiTheme="majorHAnsi"/>
          <w:sz w:val="20"/>
          <w:szCs w:val="20"/>
          <w:lang w:val="es-CO"/>
        </w:rPr>
        <w:t>“esenciales para establecer formalmente el vínculo existente entre los diferentes miembros de la familia” y que</w:t>
      </w:r>
      <w:r w:rsidR="00A1106D" w:rsidRPr="00BA76F2">
        <w:rPr>
          <w:rFonts w:asciiTheme="majorHAnsi" w:hAnsiTheme="majorHAnsi"/>
          <w:sz w:val="20"/>
          <w:szCs w:val="20"/>
          <w:lang w:val="es-ES"/>
        </w:rPr>
        <w:t xml:space="preserve"> el derecho al nombre</w:t>
      </w:r>
      <w:r w:rsidR="0068596E" w:rsidRPr="00BA76F2">
        <w:rPr>
          <w:rFonts w:asciiTheme="majorHAnsi" w:hAnsiTheme="majorHAnsi"/>
          <w:sz w:val="20"/>
          <w:szCs w:val="20"/>
          <w:lang w:val="es-ES"/>
        </w:rPr>
        <w:t xml:space="preserve"> </w:t>
      </w:r>
      <w:r w:rsidR="00895ED9" w:rsidRPr="00BA76F2">
        <w:rPr>
          <w:rFonts w:asciiTheme="majorHAnsi" w:hAnsiTheme="majorHAnsi"/>
          <w:sz w:val="20"/>
          <w:szCs w:val="20"/>
          <w:lang w:val="es-ES"/>
        </w:rPr>
        <w:t>“</w:t>
      </w:r>
      <w:r w:rsidR="0068596E" w:rsidRPr="00BA76F2">
        <w:rPr>
          <w:rFonts w:asciiTheme="majorHAnsi" w:hAnsiTheme="majorHAnsi"/>
          <w:sz w:val="20"/>
          <w:szCs w:val="20"/>
          <w:lang w:val="es-ES"/>
        </w:rPr>
        <w:t>constituye un elemento básico e indispensable de la identidad de cada persona, sin el cual no puede ser reconocida por la sociedad ni registrada ante el Estado</w:t>
      </w:r>
      <w:r w:rsidR="00895ED9" w:rsidRPr="00BA76F2">
        <w:rPr>
          <w:rFonts w:asciiTheme="majorHAnsi" w:hAnsiTheme="majorHAnsi"/>
          <w:sz w:val="20"/>
          <w:szCs w:val="20"/>
          <w:lang w:val="es-ES"/>
        </w:rPr>
        <w:t>”</w:t>
      </w:r>
      <w:r w:rsidR="0068596E" w:rsidRPr="0007034B">
        <w:rPr>
          <w:rStyle w:val="FootnoteReference"/>
          <w:rFonts w:asciiTheme="majorHAnsi" w:hAnsiTheme="majorHAnsi"/>
          <w:sz w:val="20"/>
          <w:szCs w:val="20"/>
        </w:rPr>
        <w:footnoteReference w:id="146"/>
      </w:r>
      <w:r w:rsidR="0068596E" w:rsidRPr="00BA76F2">
        <w:rPr>
          <w:rFonts w:asciiTheme="majorHAnsi" w:hAnsiTheme="majorHAnsi"/>
          <w:sz w:val="20"/>
          <w:szCs w:val="20"/>
          <w:lang w:val="es-CO"/>
        </w:rPr>
        <w:t xml:space="preserve">. </w:t>
      </w:r>
      <w:r w:rsidR="0068596E" w:rsidRPr="00BA76F2">
        <w:rPr>
          <w:rFonts w:asciiTheme="majorHAnsi" w:hAnsiTheme="majorHAnsi"/>
          <w:sz w:val="20"/>
          <w:szCs w:val="20"/>
          <w:lang w:val="es-ES"/>
        </w:rPr>
        <w:t xml:space="preserve">Este derecho implica, por ende, que </w:t>
      </w:r>
      <w:r w:rsidR="0068596E" w:rsidRPr="00BA76F2">
        <w:rPr>
          <w:rFonts w:asciiTheme="majorHAnsi" w:hAnsiTheme="majorHAnsi"/>
          <w:bCs/>
          <w:sz w:val="20"/>
          <w:szCs w:val="20"/>
          <w:lang w:val="es-CO"/>
        </w:rPr>
        <w:t>lo</w:t>
      </w:r>
      <w:r w:rsidR="0068596E" w:rsidRPr="00BA76F2">
        <w:rPr>
          <w:rFonts w:asciiTheme="majorHAnsi" w:hAnsiTheme="majorHAnsi"/>
          <w:sz w:val="20"/>
          <w:szCs w:val="20"/>
          <w:lang w:val="es-CO"/>
        </w:rPr>
        <w:t xml:space="preserve">s Estados deben garantizar que la persona sea registrada con el nombre elegido por ella o por sus </w:t>
      </w:r>
      <w:r w:rsidR="00895ED9" w:rsidRPr="00BA76F2">
        <w:rPr>
          <w:rFonts w:asciiTheme="majorHAnsi" w:hAnsiTheme="majorHAnsi"/>
          <w:sz w:val="20"/>
          <w:szCs w:val="20"/>
          <w:lang w:val="es-CO"/>
        </w:rPr>
        <w:t>progenitores</w:t>
      </w:r>
      <w:r w:rsidR="0068596E" w:rsidRPr="00BA76F2">
        <w:rPr>
          <w:rFonts w:asciiTheme="majorHAnsi" w:hAnsiTheme="majorHAnsi"/>
          <w:sz w:val="20"/>
          <w:szCs w:val="20"/>
          <w:lang w:val="es-CO"/>
        </w:rPr>
        <w:t xml:space="preserve"> sin ningún tipo de restricción ni interferencia</w:t>
      </w:r>
      <w:r w:rsidR="00695ECF" w:rsidRPr="0007034B">
        <w:rPr>
          <w:rStyle w:val="FootnoteReference"/>
          <w:rFonts w:asciiTheme="majorHAnsi" w:eastAsia="Times New Roman" w:hAnsiTheme="majorHAnsi" w:cs="BookAntiqua"/>
          <w:sz w:val="20"/>
          <w:szCs w:val="20"/>
          <w:lang w:val="es-ES" w:bidi="en-US"/>
        </w:rPr>
        <w:footnoteReference w:id="147"/>
      </w:r>
      <w:r w:rsidR="00A71DE0" w:rsidRPr="00BA76F2">
        <w:rPr>
          <w:rFonts w:asciiTheme="majorHAnsi" w:eastAsia="Times New Roman" w:hAnsiTheme="majorHAnsi" w:cs="BookAntiqua"/>
          <w:sz w:val="20"/>
          <w:szCs w:val="20"/>
          <w:lang w:val="es-ES" w:bidi="en-US"/>
        </w:rPr>
        <w:t xml:space="preserve">. </w:t>
      </w:r>
      <w:r w:rsidR="009A092C" w:rsidRPr="00BA76F2">
        <w:rPr>
          <w:rFonts w:asciiTheme="majorHAnsi" w:eastAsia="Times New Roman" w:hAnsiTheme="majorHAnsi" w:cs="BookAntiqua"/>
          <w:sz w:val="20"/>
          <w:szCs w:val="20"/>
          <w:lang w:val="es-ES" w:bidi="en-US"/>
        </w:rPr>
        <w:t>En ese sentido, la CIDH entiende que el derecho al nombre se encuentra comprendido en el artículo V de la Declaración Americana.</w:t>
      </w:r>
    </w:p>
    <w:p w14:paraId="67B8492B" w14:textId="77777777" w:rsidR="00BA76F2" w:rsidRDefault="00BA76F2" w:rsidP="00BA76F2">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ight="99"/>
        <w:jc w:val="both"/>
        <w:rPr>
          <w:rFonts w:asciiTheme="majorHAnsi" w:eastAsia="Arial Unicode MS" w:hAnsiTheme="majorHAnsi" w:cs="Times New Roman"/>
          <w:sz w:val="20"/>
          <w:szCs w:val="20"/>
          <w:lang w:val="es-CO"/>
        </w:rPr>
      </w:pPr>
    </w:p>
    <w:p w14:paraId="4FEDF1F6" w14:textId="77777777" w:rsidR="00BA76F2" w:rsidRDefault="00915476" w:rsidP="00B14871">
      <w:pPr>
        <w:pStyle w:val="ListParagraph"/>
        <w:widowControl w:val="0"/>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ight="99" w:firstLine="0"/>
        <w:jc w:val="both"/>
        <w:rPr>
          <w:rFonts w:asciiTheme="majorHAnsi" w:eastAsia="Arial Unicode MS" w:hAnsiTheme="majorHAnsi" w:cs="Times New Roman"/>
          <w:sz w:val="20"/>
          <w:szCs w:val="20"/>
          <w:lang w:val="es-CO"/>
        </w:rPr>
      </w:pPr>
      <w:r w:rsidRPr="00BA76F2">
        <w:rPr>
          <w:rFonts w:asciiTheme="majorHAnsi" w:eastAsia="Arial Unicode MS" w:hAnsiTheme="majorHAnsi" w:cs="Times New Roman"/>
          <w:sz w:val="20"/>
          <w:szCs w:val="20"/>
          <w:lang w:val="es-CO"/>
        </w:rPr>
        <w:t xml:space="preserve">Por otra parte, </w:t>
      </w:r>
      <w:r w:rsidR="00601CA8" w:rsidRPr="00BA76F2">
        <w:rPr>
          <w:rFonts w:asciiTheme="majorHAnsi" w:eastAsia="Arial Unicode MS" w:hAnsiTheme="majorHAnsi" w:cs="Times New Roman"/>
          <w:sz w:val="20"/>
          <w:szCs w:val="20"/>
          <w:lang w:val="es-CO"/>
        </w:rPr>
        <w:t>en el Caso Gelman la Corte Interamericana estableció que la grave injerencia ilegal por parte del Estado en la familia vulner</w:t>
      </w:r>
      <w:r w:rsidR="00FC1718" w:rsidRPr="00BA76F2">
        <w:rPr>
          <w:rFonts w:asciiTheme="majorHAnsi" w:eastAsia="Arial Unicode MS" w:hAnsiTheme="majorHAnsi" w:cs="Times New Roman"/>
          <w:sz w:val="20"/>
          <w:szCs w:val="20"/>
          <w:lang w:val="es-CO"/>
        </w:rPr>
        <w:t>ó</w:t>
      </w:r>
      <w:r w:rsidR="00601CA8" w:rsidRPr="00BA76F2">
        <w:rPr>
          <w:rFonts w:asciiTheme="majorHAnsi" w:eastAsia="Arial Unicode MS" w:hAnsiTheme="majorHAnsi" w:cs="Times New Roman"/>
          <w:sz w:val="20"/>
          <w:szCs w:val="20"/>
          <w:lang w:val="es-CO"/>
        </w:rPr>
        <w:t xml:space="preserve"> el derecho de protección a la familia al imposibilitar u obstaculizar la permanencia con el núcleo familiar y restablecer relaciones con este</w:t>
      </w:r>
      <w:r w:rsidR="00601CA8" w:rsidRPr="0007034B">
        <w:rPr>
          <w:rStyle w:val="FootnoteReference"/>
          <w:rFonts w:asciiTheme="majorHAnsi" w:eastAsia="Arial Unicode MS" w:hAnsiTheme="majorHAnsi" w:cs="Times New Roman"/>
          <w:sz w:val="20"/>
          <w:szCs w:val="20"/>
          <w:lang w:val="es-CO"/>
        </w:rPr>
        <w:footnoteReference w:id="148"/>
      </w:r>
      <w:r w:rsidR="00601CA8" w:rsidRPr="00BA76F2">
        <w:rPr>
          <w:rFonts w:asciiTheme="majorHAnsi" w:eastAsia="Arial Unicode MS" w:hAnsiTheme="majorHAnsi" w:cs="Times New Roman"/>
          <w:sz w:val="20"/>
          <w:szCs w:val="20"/>
          <w:lang w:val="es-CO"/>
        </w:rPr>
        <w:t>.</w:t>
      </w:r>
      <w:r w:rsidR="00A40292" w:rsidRPr="00BA76F2">
        <w:rPr>
          <w:rFonts w:asciiTheme="majorHAnsi" w:eastAsia="Arial Unicode MS" w:hAnsiTheme="majorHAnsi" w:cs="Times New Roman"/>
          <w:sz w:val="20"/>
          <w:szCs w:val="20"/>
          <w:lang w:val="es-CO"/>
        </w:rPr>
        <w:t xml:space="preserve"> Asimismo, la Comisión Interamericana ha considerado que, en casos como el presente, existe una doble violación del derecho a la familia. Por un lado, la desintegración de la familia provocada en el contexto de graves y sistemáticas violaciones a los derechos humanos, y por el otro la privación a los niños y niñas de su derecho de gozar de una vida familiar resultante de la desaparición forzada</w:t>
      </w:r>
      <w:r w:rsidR="00A40292" w:rsidRPr="0007034B">
        <w:rPr>
          <w:rStyle w:val="FootnoteReference"/>
          <w:rFonts w:asciiTheme="majorHAnsi" w:eastAsia="Arial Unicode MS" w:hAnsiTheme="majorHAnsi" w:cs="Times New Roman"/>
          <w:sz w:val="20"/>
          <w:szCs w:val="20"/>
          <w:lang w:val="es-CO"/>
        </w:rPr>
        <w:footnoteReference w:id="149"/>
      </w:r>
      <w:r w:rsidR="00A40292" w:rsidRPr="00BA76F2">
        <w:rPr>
          <w:rFonts w:asciiTheme="majorHAnsi" w:eastAsia="Arial Unicode MS" w:hAnsiTheme="majorHAnsi" w:cs="Times New Roman"/>
          <w:sz w:val="20"/>
          <w:szCs w:val="20"/>
          <w:lang w:val="es-CO"/>
        </w:rPr>
        <w:t>.</w:t>
      </w:r>
      <w:r w:rsidR="00601CA8" w:rsidRPr="00BA76F2">
        <w:rPr>
          <w:rFonts w:asciiTheme="majorHAnsi" w:eastAsia="Arial Unicode MS" w:hAnsiTheme="majorHAnsi" w:cs="Times New Roman"/>
          <w:sz w:val="20"/>
          <w:szCs w:val="20"/>
          <w:lang w:val="es-CO"/>
        </w:rPr>
        <w:t xml:space="preserve"> </w:t>
      </w:r>
    </w:p>
    <w:p w14:paraId="1CCD8BBC" w14:textId="77777777" w:rsidR="00BA76F2" w:rsidRPr="00BA76F2" w:rsidRDefault="00BA76F2" w:rsidP="00BA76F2">
      <w:pPr>
        <w:pStyle w:val="ListParagraph"/>
        <w:rPr>
          <w:rFonts w:asciiTheme="majorHAnsi" w:eastAsia="Times New Roman" w:hAnsiTheme="majorHAnsi" w:cs="BookAntiqua"/>
          <w:sz w:val="20"/>
          <w:szCs w:val="20"/>
          <w:lang w:val="es-CO" w:bidi="en-US"/>
        </w:rPr>
      </w:pPr>
    </w:p>
    <w:p w14:paraId="470E9491" w14:textId="77777777" w:rsidR="00BA76F2" w:rsidRDefault="00BE4AE6" w:rsidP="00B14871">
      <w:pPr>
        <w:pStyle w:val="ListParagraph"/>
        <w:widowControl w:val="0"/>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ight="99" w:firstLine="0"/>
        <w:jc w:val="both"/>
        <w:rPr>
          <w:rFonts w:asciiTheme="majorHAnsi" w:eastAsia="Arial Unicode MS" w:hAnsiTheme="majorHAnsi" w:cs="Times New Roman"/>
          <w:sz w:val="20"/>
          <w:szCs w:val="20"/>
          <w:lang w:val="es-CO"/>
        </w:rPr>
      </w:pPr>
      <w:r w:rsidRPr="00BA76F2">
        <w:rPr>
          <w:rFonts w:asciiTheme="majorHAnsi" w:eastAsia="Times New Roman" w:hAnsiTheme="majorHAnsi" w:cs="BookAntiqua"/>
          <w:sz w:val="20"/>
          <w:szCs w:val="20"/>
          <w:lang w:val="es-CO" w:bidi="en-US"/>
        </w:rPr>
        <w:t>Respecto al derecho a la nacionalidad, la Comisi</w:t>
      </w:r>
      <w:r w:rsidR="0020046B" w:rsidRPr="00BA76F2">
        <w:rPr>
          <w:rFonts w:asciiTheme="majorHAnsi" w:eastAsia="Times New Roman" w:hAnsiTheme="majorHAnsi" w:cs="BookAntiqua"/>
          <w:sz w:val="20"/>
          <w:szCs w:val="20"/>
          <w:lang w:val="es-CO" w:bidi="en-US"/>
        </w:rPr>
        <w:t>ón Interamericana ha señalado</w:t>
      </w:r>
      <w:r w:rsidRPr="00BA76F2">
        <w:rPr>
          <w:rFonts w:asciiTheme="majorHAnsi" w:eastAsia="Times New Roman" w:hAnsiTheme="majorHAnsi" w:cs="BookAntiqua"/>
          <w:sz w:val="20"/>
          <w:szCs w:val="20"/>
          <w:lang w:val="es-CO" w:bidi="en-US"/>
        </w:rPr>
        <w:t xml:space="preserve"> que el derecho de toda persona a conservar su nacionalidad es la obligación que se deriva de la prohibición absoluta de la privación arbitraria de la nacionalidad</w:t>
      </w:r>
      <w:r w:rsidRPr="0007034B">
        <w:rPr>
          <w:rStyle w:val="FootnoteReference"/>
          <w:rFonts w:asciiTheme="majorHAnsi" w:eastAsia="Times New Roman" w:hAnsiTheme="majorHAnsi" w:cs="BookAntiqua"/>
          <w:sz w:val="20"/>
          <w:szCs w:val="20"/>
          <w:lang w:val="es-CO" w:bidi="en-US"/>
        </w:rPr>
        <w:footnoteReference w:id="150"/>
      </w:r>
      <w:r w:rsidRPr="00BA76F2">
        <w:rPr>
          <w:rFonts w:asciiTheme="majorHAnsi" w:eastAsia="Times New Roman" w:hAnsiTheme="majorHAnsi" w:cs="BookAntiqua"/>
          <w:sz w:val="20"/>
          <w:szCs w:val="20"/>
          <w:lang w:val="es-CO" w:bidi="en-US"/>
        </w:rPr>
        <w:t xml:space="preserve">. </w:t>
      </w:r>
      <w:r w:rsidR="007B470F" w:rsidRPr="00BA76F2">
        <w:rPr>
          <w:rFonts w:asciiTheme="majorHAnsi" w:eastAsia="Times New Roman" w:hAnsiTheme="majorHAnsi" w:cs="BookAntiqua"/>
          <w:sz w:val="20"/>
          <w:szCs w:val="20"/>
          <w:lang w:val="es-CO" w:bidi="en-US"/>
        </w:rPr>
        <w:t>La CIDH nota al respecto que si bien el artículo XIX de la Declaración Americana no prohíbe expresamente la privación arbitraria de la nacionalidad, est</w:t>
      </w:r>
      <w:r w:rsidR="00CD6D5C" w:rsidRPr="00BA76F2">
        <w:rPr>
          <w:rFonts w:asciiTheme="majorHAnsi" w:eastAsia="Times New Roman" w:hAnsiTheme="majorHAnsi" w:cs="BookAntiqua"/>
          <w:sz w:val="20"/>
          <w:szCs w:val="20"/>
          <w:lang w:val="es-CO" w:bidi="en-US"/>
        </w:rPr>
        <w:t xml:space="preserve">a obligación </w:t>
      </w:r>
      <w:r w:rsidR="0020046B" w:rsidRPr="00BA76F2">
        <w:rPr>
          <w:rFonts w:asciiTheme="majorHAnsi" w:eastAsia="Times New Roman" w:hAnsiTheme="majorHAnsi" w:cs="BookAntiqua"/>
          <w:sz w:val="20"/>
          <w:szCs w:val="20"/>
          <w:lang w:val="es-CO" w:bidi="en-US"/>
        </w:rPr>
        <w:t>es un</w:t>
      </w:r>
      <w:r w:rsidR="00C127D5" w:rsidRPr="00BA76F2">
        <w:rPr>
          <w:rFonts w:asciiTheme="majorHAnsi" w:eastAsia="Times New Roman" w:hAnsiTheme="majorHAnsi" w:cs="BookAntiqua"/>
          <w:sz w:val="20"/>
          <w:szCs w:val="20"/>
          <w:lang w:val="es-CO" w:bidi="en-US"/>
        </w:rPr>
        <w:t xml:space="preserve"> corolario</w:t>
      </w:r>
      <w:r w:rsidR="0020046B" w:rsidRPr="00BA76F2">
        <w:rPr>
          <w:rFonts w:asciiTheme="majorHAnsi" w:eastAsia="Times New Roman" w:hAnsiTheme="majorHAnsi" w:cs="BookAntiqua"/>
          <w:sz w:val="20"/>
          <w:szCs w:val="20"/>
          <w:lang w:val="es-CO" w:bidi="en-US"/>
        </w:rPr>
        <w:t xml:space="preserve"> </w:t>
      </w:r>
      <w:r w:rsidR="002169BB" w:rsidRPr="00BA76F2">
        <w:rPr>
          <w:rFonts w:asciiTheme="majorHAnsi" w:eastAsia="Times New Roman" w:hAnsiTheme="majorHAnsi" w:cs="BookAntiqua"/>
          <w:sz w:val="20"/>
          <w:szCs w:val="20"/>
          <w:lang w:val="es-CO" w:bidi="en-US"/>
        </w:rPr>
        <w:t xml:space="preserve">necesario </w:t>
      </w:r>
      <w:r w:rsidR="0020046B" w:rsidRPr="00BA76F2">
        <w:rPr>
          <w:rFonts w:asciiTheme="majorHAnsi" w:eastAsia="Times New Roman" w:hAnsiTheme="majorHAnsi" w:cs="BookAntiqua"/>
          <w:sz w:val="20"/>
          <w:szCs w:val="20"/>
          <w:lang w:val="es-CO" w:bidi="en-US"/>
        </w:rPr>
        <w:t>del deber de</w:t>
      </w:r>
      <w:r w:rsidR="00393F02" w:rsidRPr="00BA76F2">
        <w:rPr>
          <w:rFonts w:asciiTheme="majorHAnsi" w:eastAsia="Times New Roman" w:hAnsiTheme="majorHAnsi" w:cs="BookAntiqua"/>
          <w:sz w:val="20"/>
          <w:szCs w:val="20"/>
          <w:lang w:val="es-CO" w:bidi="en-US"/>
        </w:rPr>
        <w:t>l Estado de</w:t>
      </w:r>
      <w:r w:rsidR="0020046B" w:rsidRPr="00BA76F2">
        <w:rPr>
          <w:rFonts w:asciiTheme="majorHAnsi" w:eastAsia="Times New Roman" w:hAnsiTheme="majorHAnsi" w:cs="BookAntiqua"/>
          <w:sz w:val="20"/>
          <w:szCs w:val="20"/>
          <w:lang w:val="es-CO" w:bidi="en-US"/>
        </w:rPr>
        <w:t xml:space="preserve"> </w:t>
      </w:r>
      <w:r w:rsidR="00393F02" w:rsidRPr="00BA76F2">
        <w:rPr>
          <w:rFonts w:asciiTheme="majorHAnsi" w:eastAsia="Times New Roman" w:hAnsiTheme="majorHAnsi" w:cs="BookAntiqua"/>
          <w:sz w:val="20"/>
          <w:szCs w:val="20"/>
          <w:lang w:val="es-CO" w:bidi="en-US"/>
        </w:rPr>
        <w:t>garantizar</w:t>
      </w:r>
      <w:r w:rsidR="0020046B" w:rsidRPr="00BA76F2">
        <w:rPr>
          <w:rFonts w:asciiTheme="majorHAnsi" w:eastAsia="Times New Roman" w:hAnsiTheme="majorHAnsi" w:cs="BookAntiqua"/>
          <w:sz w:val="20"/>
          <w:szCs w:val="20"/>
          <w:lang w:val="es-CO" w:bidi="en-US"/>
        </w:rPr>
        <w:t xml:space="preserve"> el derecho de toda persona “a la nacionalidad que legalmente le corresponda”.</w:t>
      </w:r>
      <w:r w:rsidR="00C127D5" w:rsidRPr="00BA76F2">
        <w:rPr>
          <w:rFonts w:asciiTheme="majorHAnsi" w:eastAsia="Times New Roman" w:hAnsiTheme="majorHAnsi" w:cs="BookAntiqua"/>
          <w:sz w:val="20"/>
          <w:szCs w:val="20"/>
          <w:lang w:val="es-CO" w:bidi="en-US"/>
        </w:rPr>
        <w:t xml:space="preserve">  </w:t>
      </w:r>
      <w:r w:rsidR="009136FA" w:rsidRPr="00BA76F2">
        <w:rPr>
          <w:rFonts w:asciiTheme="majorHAnsi" w:eastAsia="Times New Roman" w:hAnsiTheme="majorHAnsi" w:cs="BookAntiqua"/>
          <w:sz w:val="20"/>
          <w:szCs w:val="20"/>
          <w:lang w:val="es-CO" w:bidi="en-US"/>
        </w:rPr>
        <w:t>Asimismo, la Comisión ha establecido que el reconocimiento internacional de la nacionalidad como un derecho humano de todas las personas impone a los Estados la obligación de prevenir y erradicar la apatridia, situación jurídica en la que se encuentran todas aquellas personas que no son reconocidas como nacionales de ningún Estado</w:t>
      </w:r>
      <w:r w:rsidR="00BB1D64" w:rsidRPr="0007034B">
        <w:rPr>
          <w:rStyle w:val="FootnoteReference"/>
          <w:rFonts w:asciiTheme="majorHAnsi" w:eastAsia="Times New Roman" w:hAnsiTheme="majorHAnsi" w:cs="BookAntiqua"/>
          <w:sz w:val="20"/>
          <w:szCs w:val="20"/>
          <w:lang w:val="es-CO" w:bidi="en-US"/>
        </w:rPr>
        <w:footnoteReference w:id="151"/>
      </w:r>
      <w:r w:rsidR="009136FA" w:rsidRPr="00BA76F2">
        <w:rPr>
          <w:rFonts w:asciiTheme="majorHAnsi" w:eastAsia="Times New Roman" w:hAnsiTheme="majorHAnsi" w:cs="BookAntiqua"/>
          <w:sz w:val="20"/>
          <w:szCs w:val="20"/>
          <w:lang w:val="es-CO" w:bidi="en-US"/>
        </w:rPr>
        <w:t xml:space="preserve"> </w:t>
      </w:r>
    </w:p>
    <w:p w14:paraId="113C3EB1" w14:textId="77777777" w:rsidR="00BA76F2" w:rsidRPr="00BA76F2" w:rsidRDefault="00BA76F2" w:rsidP="00BA76F2">
      <w:pPr>
        <w:pStyle w:val="ListParagraph"/>
        <w:rPr>
          <w:rFonts w:asciiTheme="majorHAnsi" w:eastAsia="Times New Roman" w:hAnsiTheme="majorHAnsi" w:cs="BookAntiqua"/>
          <w:sz w:val="20"/>
          <w:szCs w:val="20"/>
          <w:lang w:val="es-CO" w:bidi="en-US"/>
        </w:rPr>
      </w:pPr>
    </w:p>
    <w:p w14:paraId="6423A3FD" w14:textId="77777777" w:rsidR="00BA76F2" w:rsidRDefault="00C127D5" w:rsidP="00B14871">
      <w:pPr>
        <w:pStyle w:val="ListParagraph"/>
        <w:widowControl w:val="0"/>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ight="99" w:firstLine="0"/>
        <w:jc w:val="both"/>
        <w:rPr>
          <w:rFonts w:asciiTheme="majorHAnsi" w:eastAsia="Arial Unicode MS" w:hAnsiTheme="majorHAnsi" w:cs="Times New Roman"/>
          <w:sz w:val="20"/>
          <w:szCs w:val="20"/>
          <w:lang w:val="es-CO"/>
        </w:rPr>
      </w:pPr>
      <w:r w:rsidRPr="00BA76F2">
        <w:rPr>
          <w:rFonts w:asciiTheme="majorHAnsi" w:eastAsia="Times New Roman" w:hAnsiTheme="majorHAnsi" w:cs="BookAntiqua"/>
          <w:sz w:val="20"/>
          <w:szCs w:val="20"/>
          <w:lang w:val="es-CO" w:bidi="en-US"/>
        </w:rPr>
        <w:t>D</w:t>
      </w:r>
      <w:r w:rsidR="00BE4AE6" w:rsidRPr="00BA76F2">
        <w:rPr>
          <w:rFonts w:asciiTheme="majorHAnsi" w:eastAsia="Times New Roman" w:hAnsiTheme="majorHAnsi" w:cs="BookAntiqua"/>
          <w:sz w:val="20"/>
          <w:szCs w:val="20"/>
          <w:lang w:val="es-CO" w:bidi="en-US"/>
        </w:rPr>
        <w:t>e acuerdo a la Corte Interamericana, e</w:t>
      </w:r>
      <w:r w:rsidR="00265369" w:rsidRPr="00BA76F2">
        <w:rPr>
          <w:rFonts w:asciiTheme="majorHAnsi" w:hAnsiTheme="majorHAnsi"/>
          <w:sz w:val="20"/>
          <w:szCs w:val="20"/>
          <w:lang w:val="es-CO"/>
        </w:rPr>
        <w:t>l derecho a la nacionalidad, en tanto vínculo jurídico entre una persona y un Estado, es un prerrequisito para que puedan ejercerse determinados derechos</w:t>
      </w:r>
      <w:r w:rsidR="00265369" w:rsidRPr="00BA76F2">
        <w:rPr>
          <w:rFonts w:asciiTheme="majorHAnsi" w:hAnsiTheme="majorHAnsi"/>
          <w:sz w:val="20"/>
          <w:szCs w:val="20"/>
          <w:lang w:val="es-ES"/>
        </w:rPr>
        <w:t xml:space="preserve">. </w:t>
      </w:r>
      <w:r w:rsidR="00265369" w:rsidRPr="00BA76F2">
        <w:rPr>
          <w:rFonts w:asciiTheme="majorHAnsi" w:hAnsiTheme="majorHAnsi"/>
          <w:sz w:val="20"/>
          <w:szCs w:val="20"/>
          <w:lang w:val="es-CO"/>
        </w:rPr>
        <w:t xml:space="preserve">En consecuencia, el derecho a la nacionalidad conlleva el deber del Estado </w:t>
      </w:r>
      <w:r w:rsidR="00265369" w:rsidRPr="00BA76F2">
        <w:rPr>
          <w:rFonts w:asciiTheme="majorHAnsi" w:hAnsiTheme="majorHAnsi"/>
          <w:sz w:val="20"/>
          <w:szCs w:val="20"/>
          <w:lang w:val="es-ES"/>
        </w:rPr>
        <w:t>de proteger</w:t>
      </w:r>
      <w:r w:rsidR="00FC0BC3" w:rsidRPr="00BA76F2">
        <w:rPr>
          <w:rFonts w:asciiTheme="majorHAnsi" w:hAnsiTheme="majorHAnsi"/>
          <w:sz w:val="20"/>
          <w:szCs w:val="20"/>
          <w:lang w:val="es-ES"/>
        </w:rPr>
        <w:t xml:space="preserve"> a la persona</w:t>
      </w:r>
      <w:r w:rsidR="00265369" w:rsidRPr="00BA76F2">
        <w:rPr>
          <w:rFonts w:asciiTheme="majorHAnsi" w:hAnsiTheme="majorHAnsi"/>
          <w:sz w:val="20"/>
          <w:szCs w:val="20"/>
          <w:lang w:val="es-ES"/>
        </w:rPr>
        <w:t xml:space="preserve"> contra la privación arbitraria de su nacionalidad y, por tanto, de la totalidad de sus derechos políticos y de aquellos </w:t>
      </w:r>
      <w:r w:rsidR="00265369" w:rsidRPr="00BA76F2">
        <w:rPr>
          <w:rFonts w:asciiTheme="majorHAnsi" w:hAnsiTheme="majorHAnsi"/>
          <w:sz w:val="20"/>
          <w:szCs w:val="20"/>
          <w:lang w:val="es-ES"/>
        </w:rPr>
        <w:lastRenderedPageBreak/>
        <w:t>derechos civiles que se sustentan en ésta</w:t>
      </w:r>
      <w:r w:rsidR="00265369" w:rsidRPr="0007034B">
        <w:rPr>
          <w:rStyle w:val="FootnoteReference"/>
          <w:rFonts w:asciiTheme="majorHAnsi" w:hAnsiTheme="majorHAnsi"/>
          <w:sz w:val="20"/>
          <w:szCs w:val="20"/>
          <w:lang w:val="es-ES"/>
        </w:rPr>
        <w:footnoteReference w:id="152"/>
      </w:r>
      <w:r w:rsidR="00265369" w:rsidRPr="00BA76F2">
        <w:rPr>
          <w:rFonts w:asciiTheme="majorHAnsi" w:hAnsiTheme="majorHAnsi"/>
          <w:sz w:val="20"/>
          <w:szCs w:val="20"/>
          <w:lang w:val="es-ES"/>
        </w:rPr>
        <w:t xml:space="preserve">. </w:t>
      </w:r>
    </w:p>
    <w:p w14:paraId="15CAF543" w14:textId="77777777" w:rsidR="00BA76F2" w:rsidRPr="00BA76F2" w:rsidRDefault="00BA76F2" w:rsidP="00BA76F2">
      <w:pPr>
        <w:pStyle w:val="ListParagraph"/>
        <w:rPr>
          <w:rFonts w:asciiTheme="majorHAnsi" w:eastAsia="Arial Unicode MS" w:hAnsiTheme="majorHAnsi" w:cs="Times New Roman"/>
          <w:sz w:val="20"/>
          <w:szCs w:val="20"/>
          <w:lang w:val="es-CO"/>
        </w:rPr>
      </w:pPr>
    </w:p>
    <w:p w14:paraId="69322752" w14:textId="465714EF" w:rsidR="0060695E" w:rsidRPr="00BA76F2" w:rsidRDefault="0060695E" w:rsidP="00B14871">
      <w:pPr>
        <w:pStyle w:val="ListParagraph"/>
        <w:widowControl w:val="0"/>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ight="99" w:firstLine="0"/>
        <w:jc w:val="both"/>
        <w:rPr>
          <w:rFonts w:asciiTheme="majorHAnsi" w:eastAsia="Arial Unicode MS" w:hAnsiTheme="majorHAnsi" w:cs="Times New Roman"/>
          <w:sz w:val="20"/>
          <w:szCs w:val="20"/>
          <w:lang w:val="es-CO"/>
        </w:rPr>
      </w:pPr>
      <w:r w:rsidRPr="00BA76F2">
        <w:rPr>
          <w:rFonts w:asciiTheme="majorHAnsi" w:eastAsia="Arial Unicode MS" w:hAnsiTheme="majorHAnsi" w:cs="Times New Roman"/>
          <w:sz w:val="20"/>
          <w:szCs w:val="20"/>
          <w:lang w:val="es-CO"/>
        </w:rPr>
        <w:t>Por último, e</w:t>
      </w:r>
      <w:r w:rsidR="009136FA" w:rsidRPr="00BA76F2">
        <w:rPr>
          <w:rFonts w:asciiTheme="majorHAnsi" w:eastAsia="Arial Unicode MS" w:hAnsiTheme="majorHAnsi" w:cs="Times New Roman"/>
          <w:sz w:val="20"/>
          <w:szCs w:val="20"/>
          <w:lang w:val="es-CO"/>
        </w:rPr>
        <w:t>l artículo VII</w:t>
      </w:r>
      <w:r w:rsidRPr="00BA76F2">
        <w:rPr>
          <w:rFonts w:asciiTheme="majorHAnsi" w:eastAsia="Arial Unicode MS" w:hAnsiTheme="majorHAnsi" w:cs="Times New Roman"/>
          <w:sz w:val="20"/>
          <w:szCs w:val="20"/>
          <w:lang w:val="es-CO"/>
        </w:rPr>
        <w:t>I</w:t>
      </w:r>
      <w:r w:rsidR="009136FA" w:rsidRPr="00BA76F2">
        <w:rPr>
          <w:rFonts w:asciiTheme="majorHAnsi" w:eastAsia="Arial Unicode MS" w:hAnsiTheme="majorHAnsi" w:cs="Times New Roman"/>
          <w:sz w:val="20"/>
          <w:szCs w:val="20"/>
          <w:lang w:val="es-CO"/>
        </w:rPr>
        <w:t xml:space="preserve"> de la Declaración </w:t>
      </w:r>
      <w:r w:rsidRPr="00BA76F2">
        <w:rPr>
          <w:rFonts w:asciiTheme="majorHAnsi" w:eastAsia="Arial Unicode MS" w:hAnsiTheme="majorHAnsi" w:cs="Times New Roman"/>
          <w:sz w:val="20"/>
          <w:szCs w:val="20"/>
          <w:lang w:val="es-CO"/>
        </w:rPr>
        <w:t xml:space="preserve">Americana </w:t>
      </w:r>
      <w:r w:rsidR="009136FA" w:rsidRPr="00BA76F2">
        <w:rPr>
          <w:rFonts w:asciiTheme="majorHAnsi" w:eastAsia="Arial Unicode MS" w:hAnsiTheme="majorHAnsi" w:cs="Times New Roman"/>
          <w:sz w:val="20"/>
          <w:szCs w:val="20"/>
          <w:lang w:val="es-CO"/>
        </w:rPr>
        <w:t xml:space="preserve">establece expresamente </w:t>
      </w:r>
      <w:r w:rsidRPr="00BA76F2">
        <w:rPr>
          <w:rFonts w:asciiTheme="majorHAnsi" w:eastAsia="Arial Unicode MS" w:hAnsiTheme="majorHAnsi" w:cs="Times New Roman"/>
          <w:sz w:val="20"/>
          <w:szCs w:val="20"/>
          <w:lang w:val="es-CO"/>
        </w:rPr>
        <w:t xml:space="preserve">que toda persona tiene el derecho de abandonar el Estado del cual es nacional solamente por su voluntad. La Corte Interamericana ha establecido al respecto que, “importa, </w:t>
      </w:r>
      <w:r w:rsidR="00265369" w:rsidRPr="00BA76F2">
        <w:rPr>
          <w:rFonts w:asciiTheme="majorHAnsi" w:eastAsia="Times New Roman" w:hAnsiTheme="majorHAnsi"/>
          <w:sz w:val="20"/>
          <w:szCs w:val="20"/>
          <w:lang w:val="es-CO"/>
        </w:rPr>
        <w:t>cuando se trate de niños y niñas, tener en cuenta la protección específica que les corresponde, por ejemplo, que no se les prive arbitrariamente del medio familiar y que no sean retenidos y trasladados ilícitamente a otro Estado</w:t>
      </w:r>
      <w:r w:rsidRPr="00BA76F2">
        <w:rPr>
          <w:rFonts w:asciiTheme="majorHAnsi" w:eastAsia="Times New Roman" w:hAnsiTheme="majorHAnsi"/>
          <w:sz w:val="20"/>
          <w:szCs w:val="20"/>
          <w:lang w:val="es-CO"/>
        </w:rPr>
        <w:t>”</w:t>
      </w:r>
      <w:r w:rsidR="00114DD4" w:rsidRPr="0007034B">
        <w:rPr>
          <w:rStyle w:val="FootnoteReference"/>
          <w:rFonts w:asciiTheme="majorHAnsi" w:eastAsia="Times New Roman" w:hAnsiTheme="majorHAnsi"/>
          <w:sz w:val="20"/>
          <w:szCs w:val="20"/>
          <w:lang w:val="es-CO"/>
        </w:rPr>
        <w:footnoteReference w:id="153"/>
      </w:r>
      <w:r w:rsidR="00265369" w:rsidRPr="00BA76F2">
        <w:rPr>
          <w:rFonts w:asciiTheme="majorHAnsi" w:eastAsia="Times New Roman" w:hAnsiTheme="majorHAnsi" w:cs="BookAntiqua"/>
          <w:sz w:val="20"/>
          <w:szCs w:val="20"/>
          <w:lang w:val="es-ES" w:bidi="en-US"/>
        </w:rPr>
        <w:t xml:space="preserve">. </w:t>
      </w:r>
    </w:p>
    <w:p w14:paraId="441B6C26" w14:textId="77777777" w:rsidR="0060695E" w:rsidRPr="0007034B" w:rsidRDefault="0060695E" w:rsidP="0060695E">
      <w:pPr>
        <w:pStyle w:val="ListParagraph"/>
        <w:rPr>
          <w:rFonts w:asciiTheme="majorHAnsi" w:hAnsiTheme="majorHAnsi"/>
          <w:sz w:val="20"/>
          <w:szCs w:val="20"/>
          <w:lang w:val="es-ES"/>
        </w:rPr>
      </w:pPr>
    </w:p>
    <w:p w14:paraId="6B10D534" w14:textId="77777777" w:rsidR="00E53949" w:rsidRPr="007E73E1" w:rsidRDefault="00317E7B" w:rsidP="007E73E1">
      <w:pPr>
        <w:pStyle w:val="Heading3"/>
      </w:pPr>
      <w:bookmarkStart w:id="85" w:name="_Toc6349176"/>
      <w:bookmarkStart w:id="86" w:name="_Toc6466669"/>
      <w:r w:rsidRPr="007E73E1">
        <w:t>Análisis del caso</w:t>
      </w:r>
      <w:bookmarkEnd w:id="85"/>
      <w:bookmarkEnd w:id="86"/>
    </w:p>
    <w:p w14:paraId="7FD01F34" w14:textId="77777777" w:rsidR="00317E7B" w:rsidRPr="0007034B" w:rsidRDefault="00317E7B" w:rsidP="00317E7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Cambria"/>
          <w:sz w:val="20"/>
          <w:szCs w:val="20"/>
          <w:u w:color="000000"/>
          <w:lang w:val="es-CO" w:eastAsia="es-ES"/>
        </w:rPr>
      </w:pPr>
    </w:p>
    <w:p w14:paraId="141A6E43" w14:textId="77777777" w:rsidR="00BA76F2" w:rsidRDefault="0060695E" w:rsidP="00B14871">
      <w:pPr>
        <w:pStyle w:val="ListParagraph"/>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lang w:val="es-CO"/>
        </w:rPr>
      </w:pPr>
      <w:r w:rsidRPr="0007034B">
        <w:rPr>
          <w:rFonts w:asciiTheme="majorHAnsi" w:hAnsiTheme="majorHAnsi"/>
          <w:sz w:val="20"/>
          <w:szCs w:val="20"/>
          <w:lang w:val="es-CO"/>
        </w:rPr>
        <w:t xml:space="preserve">En el apartado B </w:t>
      </w:r>
      <w:r w:rsidRPr="0007034B">
        <w:rPr>
          <w:rFonts w:asciiTheme="majorHAnsi" w:hAnsiTheme="majorHAnsi"/>
          <w:i/>
          <w:sz w:val="20"/>
          <w:szCs w:val="20"/>
          <w:lang w:val="es-CO"/>
        </w:rPr>
        <w:t>ut supra</w:t>
      </w:r>
      <w:r w:rsidRPr="0007034B">
        <w:rPr>
          <w:rFonts w:asciiTheme="majorHAnsi" w:hAnsiTheme="majorHAnsi"/>
          <w:sz w:val="20"/>
          <w:szCs w:val="20"/>
          <w:lang w:val="es-CO"/>
        </w:rPr>
        <w:t xml:space="preserve"> la Comisión concluyó que </w:t>
      </w:r>
      <w:r w:rsidR="009A092C" w:rsidRPr="0007034B">
        <w:rPr>
          <w:rFonts w:asciiTheme="majorHAnsi" w:hAnsiTheme="majorHAnsi"/>
          <w:sz w:val="20"/>
          <w:szCs w:val="20"/>
          <w:lang w:val="es-CO"/>
        </w:rPr>
        <w:t>hubo</w:t>
      </w:r>
      <w:r w:rsidRPr="0007034B">
        <w:rPr>
          <w:rFonts w:asciiTheme="majorHAnsi" w:hAnsiTheme="majorHAnsi"/>
          <w:sz w:val="20"/>
          <w:szCs w:val="20"/>
          <w:lang w:val="es-CO"/>
        </w:rPr>
        <w:t xml:space="preserve"> desaparición forzada respecto de los hermanos Larrabeiti Yáñez desde el 26 de septiembre de 1976 al 2 de agosto de 1979, fecha en la que recobraron sus identidades y se reestablecieron sus filiaciones biológicas. La Comisión analizará a continuación si durante los casi tres años en que los hermanos permanecieron desaparecidos se consumaron otra serie de violaciones relacionadas con su derecho a la identidad, en particular los derechos a la familia</w:t>
      </w:r>
      <w:r w:rsidR="00591687" w:rsidRPr="0007034B">
        <w:rPr>
          <w:rFonts w:asciiTheme="majorHAnsi" w:hAnsiTheme="majorHAnsi"/>
          <w:sz w:val="20"/>
          <w:szCs w:val="20"/>
          <w:lang w:val="es-CO"/>
        </w:rPr>
        <w:t>, al nombre, a la vida privada y</w:t>
      </w:r>
      <w:r w:rsidRPr="0007034B">
        <w:rPr>
          <w:rFonts w:asciiTheme="majorHAnsi" w:hAnsiTheme="majorHAnsi"/>
          <w:sz w:val="20"/>
          <w:szCs w:val="20"/>
          <w:lang w:val="es-CO"/>
        </w:rPr>
        <w:t xml:space="preserve"> a la nacionalidad. Asimismo, la Comisión analizará si los hechos del presente caso constituyen además una violación al derecho de residencia y tránsito.  </w:t>
      </w:r>
    </w:p>
    <w:p w14:paraId="300BAF41" w14:textId="77777777" w:rsidR="00BA76F2" w:rsidRDefault="00BA76F2" w:rsidP="00BA76F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left="0"/>
        <w:jc w:val="both"/>
        <w:rPr>
          <w:rFonts w:asciiTheme="majorHAnsi" w:hAnsiTheme="majorHAnsi"/>
          <w:sz w:val="20"/>
          <w:szCs w:val="20"/>
          <w:lang w:val="es-CO"/>
        </w:rPr>
      </w:pPr>
    </w:p>
    <w:p w14:paraId="1FDDB614" w14:textId="77777777" w:rsidR="00BA76F2" w:rsidRDefault="00E33716" w:rsidP="00B14871">
      <w:pPr>
        <w:pStyle w:val="ListParagraph"/>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lang w:val="es-CO"/>
        </w:rPr>
      </w:pPr>
      <w:r w:rsidRPr="00BA76F2">
        <w:rPr>
          <w:rFonts w:asciiTheme="majorHAnsi" w:hAnsiTheme="majorHAnsi"/>
          <w:sz w:val="20"/>
          <w:szCs w:val="20"/>
          <w:lang w:val="es-CO"/>
        </w:rPr>
        <w:t xml:space="preserve">En primer lugar, la Comisión observa que, con posterioridad a la privación ilegal de la libertad de los hermanos Larrabieti Yáñez y </w:t>
      </w:r>
      <w:r w:rsidR="008318CD" w:rsidRPr="00BA76F2">
        <w:rPr>
          <w:rFonts w:asciiTheme="majorHAnsi" w:hAnsiTheme="majorHAnsi"/>
          <w:sz w:val="20"/>
          <w:szCs w:val="20"/>
          <w:lang w:val="es-CO"/>
        </w:rPr>
        <w:t xml:space="preserve">su </w:t>
      </w:r>
      <w:r w:rsidRPr="00BA76F2">
        <w:rPr>
          <w:rFonts w:asciiTheme="majorHAnsi" w:hAnsiTheme="majorHAnsi"/>
          <w:sz w:val="20"/>
          <w:szCs w:val="20"/>
          <w:lang w:val="es-CO"/>
        </w:rPr>
        <w:t xml:space="preserve">permanencia en “Orletti”, </w:t>
      </w:r>
      <w:r w:rsidR="00266786" w:rsidRPr="00BA76F2">
        <w:rPr>
          <w:rFonts w:asciiTheme="majorHAnsi" w:hAnsiTheme="majorHAnsi"/>
          <w:sz w:val="20"/>
          <w:szCs w:val="20"/>
          <w:lang w:val="es-CO"/>
        </w:rPr>
        <w:t>éstos fueron trasladados clandestinamente a Uruguay sin el consentimiento de sus familiares y sin ningún tipo de control migratorio, lo cual equivale</w:t>
      </w:r>
      <w:r w:rsidR="0036100B" w:rsidRPr="00BA76F2">
        <w:rPr>
          <w:rFonts w:asciiTheme="majorHAnsi" w:hAnsiTheme="majorHAnsi"/>
          <w:sz w:val="20"/>
          <w:szCs w:val="20"/>
          <w:lang w:val="es-CO"/>
        </w:rPr>
        <w:t>, de acuerdo a la jurisprudencia citada,</w:t>
      </w:r>
      <w:r w:rsidR="00266786" w:rsidRPr="00BA76F2">
        <w:rPr>
          <w:rFonts w:asciiTheme="majorHAnsi" w:hAnsiTheme="majorHAnsi"/>
          <w:sz w:val="20"/>
          <w:szCs w:val="20"/>
          <w:lang w:val="es-CO"/>
        </w:rPr>
        <w:t xml:space="preserve"> a un</w:t>
      </w:r>
      <w:r w:rsidR="0036100B" w:rsidRPr="00BA76F2">
        <w:rPr>
          <w:rFonts w:asciiTheme="majorHAnsi" w:hAnsiTheme="majorHAnsi"/>
          <w:sz w:val="20"/>
          <w:szCs w:val="20"/>
          <w:lang w:val="es-CO"/>
        </w:rPr>
        <w:t xml:space="preserve"> traslado ilícito de niños y niñas a otro Estado y una salida forzada del país del cual Victoria era nacional y Anatole era residente y además hijo de persona refugiada.  La Comisión nota asimismo que no existe controversia respecto de dicho traslado clandestino y del hecho que el mismo fue llevado a cabo por agentes estatales. Ello constituye, por lo tanto, una violación del derecho de residencia y tránsito reconocido por la Declaración Americana, y en particular una violación a la prohibición del abandono involuntario del territorio del Estado de origen.</w:t>
      </w:r>
    </w:p>
    <w:p w14:paraId="43EE6CDC" w14:textId="77777777" w:rsidR="00BA76F2" w:rsidRPr="00BA76F2" w:rsidRDefault="00BA76F2" w:rsidP="00BA76F2">
      <w:pPr>
        <w:pStyle w:val="ListParagraph"/>
        <w:rPr>
          <w:rFonts w:asciiTheme="majorHAnsi" w:hAnsiTheme="majorHAnsi"/>
          <w:sz w:val="20"/>
          <w:szCs w:val="20"/>
          <w:lang w:val="es-CO"/>
        </w:rPr>
      </w:pPr>
    </w:p>
    <w:p w14:paraId="309C4F0C" w14:textId="77777777" w:rsidR="00BA76F2" w:rsidRDefault="00C05246" w:rsidP="00B14871">
      <w:pPr>
        <w:pStyle w:val="ListParagraph"/>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lang w:val="es-CO"/>
        </w:rPr>
      </w:pPr>
      <w:r w:rsidRPr="00BA76F2">
        <w:rPr>
          <w:rFonts w:asciiTheme="majorHAnsi" w:hAnsiTheme="majorHAnsi"/>
          <w:sz w:val="20"/>
          <w:szCs w:val="20"/>
          <w:lang w:val="es-CO"/>
        </w:rPr>
        <w:t xml:space="preserve">Durante el tiempo en que los hermanos estuvieron desaparecidos, perdieron todo contacto con su familia biológica, </w:t>
      </w:r>
      <w:r w:rsidR="004266CE" w:rsidRPr="00BA76F2">
        <w:rPr>
          <w:rFonts w:asciiTheme="majorHAnsi" w:hAnsiTheme="majorHAnsi"/>
          <w:sz w:val="20"/>
          <w:szCs w:val="20"/>
          <w:lang w:val="es-CO"/>
        </w:rPr>
        <w:t xml:space="preserve">obstaculizando </w:t>
      </w:r>
      <w:r w:rsidRPr="00BA76F2">
        <w:rPr>
          <w:rFonts w:asciiTheme="majorHAnsi" w:hAnsiTheme="majorHAnsi"/>
          <w:sz w:val="20"/>
          <w:szCs w:val="20"/>
          <w:lang w:val="es-CO"/>
        </w:rPr>
        <w:t xml:space="preserve">el Estado </w:t>
      </w:r>
      <w:r w:rsidR="004266CE" w:rsidRPr="00BA76F2">
        <w:rPr>
          <w:rFonts w:asciiTheme="majorHAnsi" w:hAnsiTheme="majorHAnsi"/>
          <w:sz w:val="20"/>
          <w:szCs w:val="20"/>
          <w:lang w:val="es-CO"/>
        </w:rPr>
        <w:t>cualquier posibilidad de restablecimiento del vínculo familiar</w:t>
      </w:r>
      <w:r w:rsidR="00CF6DB9" w:rsidRPr="00BA76F2">
        <w:rPr>
          <w:rFonts w:asciiTheme="majorHAnsi" w:hAnsiTheme="majorHAnsi"/>
          <w:sz w:val="20"/>
          <w:szCs w:val="20"/>
          <w:lang w:val="es-CO"/>
        </w:rPr>
        <w:t xml:space="preserve">, siendo encontrados exclusivamente gracias a gestiones particulares luego de una incesante búsqueda a nivel nacional e internacional llevada a cabo por las abuelas biológicas. </w:t>
      </w:r>
      <w:r w:rsidR="00727D60" w:rsidRPr="00BA76F2">
        <w:rPr>
          <w:rFonts w:asciiTheme="majorHAnsi" w:hAnsiTheme="majorHAnsi"/>
          <w:sz w:val="20"/>
          <w:szCs w:val="20"/>
          <w:lang w:val="es-CO"/>
        </w:rPr>
        <w:t xml:space="preserve">De esta forma, </w:t>
      </w:r>
      <w:r w:rsidR="00250CAF" w:rsidRPr="00BA76F2">
        <w:rPr>
          <w:rFonts w:asciiTheme="majorHAnsi" w:hAnsiTheme="majorHAnsi"/>
          <w:sz w:val="20"/>
          <w:szCs w:val="20"/>
          <w:lang w:val="es-CO"/>
        </w:rPr>
        <w:t>debido a la injerencia ilegal del Estado argentino, Anatole y Victoria</w:t>
      </w:r>
      <w:r w:rsidR="00727D60" w:rsidRPr="00BA76F2">
        <w:rPr>
          <w:rFonts w:asciiTheme="majorHAnsi" w:hAnsiTheme="majorHAnsi"/>
          <w:sz w:val="20"/>
          <w:szCs w:val="20"/>
          <w:lang w:val="es-CO"/>
        </w:rPr>
        <w:t xml:space="preserve"> se vieron privados de </w:t>
      </w:r>
      <w:r w:rsidR="00250CAF" w:rsidRPr="00BA76F2">
        <w:rPr>
          <w:rFonts w:asciiTheme="majorHAnsi" w:hAnsiTheme="majorHAnsi"/>
          <w:sz w:val="20"/>
          <w:szCs w:val="20"/>
          <w:lang w:val="es-CO"/>
        </w:rPr>
        <w:t xml:space="preserve">la protección de su familia, </w:t>
      </w:r>
      <w:r w:rsidR="0003590C" w:rsidRPr="00BA76F2">
        <w:rPr>
          <w:rFonts w:asciiTheme="majorHAnsi" w:hAnsiTheme="majorHAnsi"/>
          <w:sz w:val="20"/>
          <w:szCs w:val="20"/>
          <w:lang w:val="es-CO"/>
        </w:rPr>
        <w:t xml:space="preserve">protección fundamental sin la cual, debido a sus cortas edades, se puso en peligro sus vidas, supervivencia y desarrollo físico, emocional y social. </w:t>
      </w:r>
      <w:r w:rsidR="004266CE" w:rsidRPr="00BA76F2">
        <w:rPr>
          <w:rFonts w:asciiTheme="majorHAnsi" w:hAnsiTheme="majorHAnsi"/>
          <w:sz w:val="20"/>
          <w:szCs w:val="20"/>
          <w:lang w:val="es-CO"/>
        </w:rPr>
        <w:t xml:space="preserve">A tan sólo </w:t>
      </w:r>
      <w:r w:rsidR="007114D1" w:rsidRPr="00BA76F2">
        <w:rPr>
          <w:rFonts w:asciiTheme="majorHAnsi" w:hAnsiTheme="majorHAnsi"/>
          <w:sz w:val="20"/>
          <w:szCs w:val="20"/>
          <w:lang w:val="es-CO"/>
        </w:rPr>
        <w:t>cuatro</w:t>
      </w:r>
      <w:r w:rsidR="004266CE" w:rsidRPr="00BA76F2">
        <w:rPr>
          <w:rFonts w:asciiTheme="majorHAnsi" w:hAnsiTheme="majorHAnsi"/>
          <w:sz w:val="20"/>
          <w:szCs w:val="20"/>
          <w:lang w:val="es-CO"/>
        </w:rPr>
        <w:t xml:space="preserve"> años y 16 meses de edad, el único soporte emocional que tuvieron los hermanos fueron el uno al otro.</w:t>
      </w:r>
      <w:r w:rsidR="00EF44A5" w:rsidRPr="00BA76F2">
        <w:rPr>
          <w:rFonts w:asciiTheme="majorHAnsi" w:hAnsiTheme="majorHAnsi"/>
          <w:sz w:val="20"/>
          <w:szCs w:val="20"/>
          <w:lang w:val="es-CO"/>
        </w:rPr>
        <w:t xml:space="preserve"> </w:t>
      </w:r>
      <w:r w:rsidR="008070DE" w:rsidRPr="00BA76F2">
        <w:rPr>
          <w:rFonts w:asciiTheme="majorHAnsi" w:hAnsiTheme="majorHAnsi"/>
          <w:sz w:val="20"/>
          <w:szCs w:val="20"/>
          <w:lang w:val="es-CO"/>
        </w:rPr>
        <w:t xml:space="preserve">Dicha separación abrupta e ilegal de la familia, </w:t>
      </w:r>
      <w:r w:rsidR="00EF44A5" w:rsidRPr="00BA76F2">
        <w:rPr>
          <w:rFonts w:asciiTheme="majorHAnsi" w:hAnsiTheme="majorHAnsi"/>
          <w:sz w:val="20"/>
          <w:szCs w:val="20"/>
          <w:lang w:val="es-CO"/>
        </w:rPr>
        <w:t>constituyó por lo tanto una violación a su derecho a la protección a la familia así como a su vida privada y familiar protegidos por la Declaración.</w:t>
      </w:r>
      <w:r w:rsidR="00010F53" w:rsidRPr="00BA76F2">
        <w:rPr>
          <w:rFonts w:asciiTheme="majorHAnsi" w:hAnsiTheme="majorHAnsi"/>
          <w:sz w:val="20"/>
          <w:szCs w:val="20"/>
          <w:lang w:val="es-CO"/>
        </w:rPr>
        <w:t xml:space="preserve"> Como se mencionó en el apartado anterior, el derecho a la vida privada y familiar implica además una prot</w:t>
      </w:r>
      <w:r w:rsidR="005E7482" w:rsidRPr="00BA76F2">
        <w:rPr>
          <w:rFonts w:asciiTheme="majorHAnsi" w:hAnsiTheme="majorHAnsi"/>
          <w:sz w:val="20"/>
          <w:szCs w:val="20"/>
          <w:lang w:val="es-CO"/>
        </w:rPr>
        <w:t>ección del derecho al nombre y a</w:t>
      </w:r>
      <w:r w:rsidR="00010F53" w:rsidRPr="00BA76F2">
        <w:rPr>
          <w:rFonts w:asciiTheme="majorHAnsi" w:hAnsiTheme="majorHAnsi"/>
          <w:sz w:val="20"/>
          <w:szCs w:val="20"/>
          <w:lang w:val="es-CO"/>
        </w:rPr>
        <w:t xml:space="preserve">l apellido. Si bien, </w:t>
      </w:r>
      <w:r w:rsidR="00D05513" w:rsidRPr="00BA76F2">
        <w:rPr>
          <w:rFonts w:asciiTheme="majorHAnsi" w:hAnsiTheme="majorHAnsi"/>
          <w:sz w:val="20"/>
          <w:szCs w:val="20"/>
          <w:lang w:val="es-CO"/>
        </w:rPr>
        <w:t>gracias</w:t>
      </w:r>
      <w:r w:rsidR="004D0C86" w:rsidRPr="00BA76F2">
        <w:rPr>
          <w:rFonts w:asciiTheme="majorHAnsi" w:hAnsiTheme="majorHAnsi"/>
          <w:sz w:val="20"/>
          <w:szCs w:val="20"/>
          <w:lang w:val="es-CO"/>
        </w:rPr>
        <w:t xml:space="preserve"> a</w:t>
      </w:r>
      <w:r w:rsidR="00010F53" w:rsidRPr="00BA76F2">
        <w:rPr>
          <w:rFonts w:asciiTheme="majorHAnsi" w:hAnsiTheme="majorHAnsi"/>
          <w:sz w:val="20"/>
          <w:szCs w:val="20"/>
          <w:lang w:val="es-CO"/>
        </w:rPr>
        <w:t xml:space="preserve"> la edad de Anatole</w:t>
      </w:r>
      <w:r w:rsidR="00D05513" w:rsidRPr="00BA76F2">
        <w:rPr>
          <w:rFonts w:asciiTheme="majorHAnsi" w:hAnsiTheme="majorHAnsi"/>
          <w:sz w:val="20"/>
          <w:szCs w:val="20"/>
          <w:lang w:val="es-CO"/>
        </w:rPr>
        <w:t>,</w:t>
      </w:r>
      <w:r w:rsidR="00010F53" w:rsidRPr="00BA76F2">
        <w:rPr>
          <w:rFonts w:asciiTheme="majorHAnsi" w:hAnsiTheme="majorHAnsi"/>
          <w:sz w:val="20"/>
          <w:szCs w:val="20"/>
          <w:lang w:val="es-CO"/>
        </w:rPr>
        <w:t xml:space="preserve"> fue posible que él y su hermana mantuvieran sus nombres de nacimiento (ésta al menos uno) durante su desaparición, no ocurrió lo mismo con sus apellidos, elemento esencial para establecer formalmente el vínculo familiar.</w:t>
      </w:r>
    </w:p>
    <w:p w14:paraId="1A6335E1" w14:textId="77777777" w:rsidR="00BA76F2" w:rsidRDefault="00BA76F2" w:rsidP="00BA76F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left="0"/>
        <w:jc w:val="both"/>
        <w:rPr>
          <w:rFonts w:asciiTheme="majorHAnsi" w:hAnsiTheme="majorHAnsi"/>
          <w:sz w:val="20"/>
          <w:szCs w:val="20"/>
          <w:lang w:val="es-CO"/>
        </w:rPr>
      </w:pPr>
    </w:p>
    <w:p w14:paraId="4AF51B81" w14:textId="77777777" w:rsidR="00BA76F2" w:rsidRDefault="00511998" w:rsidP="00B14871">
      <w:pPr>
        <w:pStyle w:val="ListParagraph"/>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lang w:val="es-CO"/>
        </w:rPr>
      </w:pPr>
      <w:r w:rsidRPr="00BA76F2">
        <w:rPr>
          <w:rFonts w:asciiTheme="majorHAnsi" w:hAnsiTheme="majorHAnsi"/>
          <w:sz w:val="20"/>
          <w:szCs w:val="20"/>
          <w:lang w:val="es-CO"/>
        </w:rPr>
        <w:t xml:space="preserve">Por otra parte, </w:t>
      </w:r>
      <w:r w:rsidR="00D05513" w:rsidRPr="00BA76F2">
        <w:rPr>
          <w:rFonts w:asciiTheme="majorHAnsi" w:hAnsiTheme="majorHAnsi"/>
          <w:sz w:val="20"/>
          <w:szCs w:val="20"/>
          <w:lang w:val="es-CO"/>
        </w:rPr>
        <w:t xml:space="preserve">el traslado ilícito de los hermanos fuera del país, lo cual culminó en un nuevo traslado a un tercer país </w:t>
      </w:r>
      <w:r w:rsidR="003C76A5" w:rsidRPr="00BA76F2">
        <w:rPr>
          <w:rFonts w:asciiTheme="majorHAnsi" w:hAnsiTheme="majorHAnsi"/>
          <w:sz w:val="20"/>
          <w:szCs w:val="20"/>
          <w:lang w:val="es-CO"/>
        </w:rPr>
        <w:t xml:space="preserve">totalmente </w:t>
      </w:r>
      <w:r w:rsidR="00D05513" w:rsidRPr="00BA76F2">
        <w:rPr>
          <w:rFonts w:asciiTheme="majorHAnsi" w:hAnsiTheme="majorHAnsi"/>
          <w:sz w:val="20"/>
          <w:szCs w:val="20"/>
          <w:lang w:val="es-CO"/>
        </w:rPr>
        <w:t>ajeno a sus orígenes, implicó</w:t>
      </w:r>
      <w:r w:rsidR="004D0C86" w:rsidRPr="00BA76F2">
        <w:rPr>
          <w:rFonts w:asciiTheme="majorHAnsi" w:hAnsiTheme="majorHAnsi"/>
          <w:sz w:val="20"/>
          <w:szCs w:val="20"/>
          <w:lang w:val="es-CO"/>
        </w:rPr>
        <w:t xml:space="preserve"> </w:t>
      </w:r>
      <w:r w:rsidR="004D0C86" w:rsidRPr="00BA76F2">
        <w:rPr>
          <w:rFonts w:asciiTheme="majorHAnsi" w:hAnsiTheme="majorHAnsi"/>
          <w:i/>
          <w:sz w:val="20"/>
          <w:szCs w:val="20"/>
          <w:lang w:val="es-CO"/>
        </w:rPr>
        <w:t>de facto</w:t>
      </w:r>
      <w:r w:rsidR="00D05513" w:rsidRPr="00BA76F2">
        <w:rPr>
          <w:rFonts w:asciiTheme="majorHAnsi" w:hAnsiTheme="majorHAnsi"/>
          <w:sz w:val="20"/>
          <w:szCs w:val="20"/>
          <w:lang w:val="es-CO"/>
        </w:rPr>
        <w:t xml:space="preserve"> una privaci</w:t>
      </w:r>
      <w:r w:rsidR="001D46F6" w:rsidRPr="00BA76F2">
        <w:rPr>
          <w:rFonts w:asciiTheme="majorHAnsi" w:hAnsiTheme="majorHAnsi"/>
          <w:sz w:val="20"/>
          <w:szCs w:val="20"/>
          <w:lang w:val="es-CO"/>
        </w:rPr>
        <w:t xml:space="preserve">ón arbitraria de la nacionalidad durante los casi tres años en que permanecieron desaparecidos. Esto conllevó a una privación arbitraria de la nacionalidad uruguaya de Anatole y de la nacionalidad argentina de Victoria, así como de la </w:t>
      </w:r>
      <w:r w:rsidR="003C76A5" w:rsidRPr="00BA76F2">
        <w:rPr>
          <w:rFonts w:asciiTheme="majorHAnsi" w:hAnsiTheme="majorHAnsi"/>
          <w:sz w:val="20"/>
          <w:szCs w:val="20"/>
          <w:lang w:val="es-CO"/>
        </w:rPr>
        <w:t>posibilidad</w:t>
      </w:r>
      <w:r w:rsidR="001D46F6" w:rsidRPr="00BA76F2">
        <w:rPr>
          <w:rFonts w:asciiTheme="majorHAnsi" w:hAnsiTheme="majorHAnsi"/>
          <w:sz w:val="20"/>
          <w:szCs w:val="20"/>
          <w:lang w:val="es-CO"/>
        </w:rPr>
        <w:t xml:space="preserve"> </w:t>
      </w:r>
      <w:r w:rsidR="00EF04C5" w:rsidRPr="00BA76F2">
        <w:rPr>
          <w:rFonts w:asciiTheme="majorHAnsi" w:hAnsiTheme="majorHAnsi"/>
          <w:sz w:val="20"/>
          <w:szCs w:val="20"/>
          <w:lang w:val="es-CO"/>
        </w:rPr>
        <w:t>de obtener</w:t>
      </w:r>
      <w:r w:rsidR="001D46F6" w:rsidRPr="00BA76F2">
        <w:rPr>
          <w:rFonts w:asciiTheme="majorHAnsi" w:hAnsiTheme="majorHAnsi"/>
          <w:sz w:val="20"/>
          <w:szCs w:val="20"/>
          <w:lang w:val="es-CO"/>
        </w:rPr>
        <w:t xml:space="preserve"> la otra nacionalidad por ser hijo </w:t>
      </w:r>
      <w:r w:rsidR="00EF04C5" w:rsidRPr="00BA76F2">
        <w:rPr>
          <w:rFonts w:asciiTheme="majorHAnsi" w:hAnsiTheme="majorHAnsi"/>
          <w:sz w:val="20"/>
          <w:szCs w:val="20"/>
          <w:lang w:val="es-CO"/>
        </w:rPr>
        <w:t xml:space="preserve">de madre argentina e hija </w:t>
      </w:r>
      <w:r w:rsidR="001D46F6" w:rsidRPr="00BA76F2">
        <w:rPr>
          <w:rFonts w:asciiTheme="majorHAnsi" w:hAnsiTheme="majorHAnsi"/>
          <w:sz w:val="20"/>
          <w:szCs w:val="20"/>
          <w:lang w:val="es-CO"/>
        </w:rPr>
        <w:t>de padre uruguayo</w:t>
      </w:r>
      <w:r w:rsidR="00EF04C5" w:rsidRPr="00BA76F2">
        <w:rPr>
          <w:rFonts w:asciiTheme="majorHAnsi" w:hAnsiTheme="majorHAnsi"/>
          <w:sz w:val="20"/>
          <w:szCs w:val="20"/>
          <w:lang w:val="es-CO"/>
        </w:rPr>
        <w:t>, respectivamente</w:t>
      </w:r>
      <w:r w:rsidR="001D46F6" w:rsidRPr="00BA76F2">
        <w:rPr>
          <w:rFonts w:asciiTheme="majorHAnsi" w:hAnsiTheme="majorHAnsi"/>
          <w:sz w:val="20"/>
          <w:szCs w:val="20"/>
          <w:lang w:val="es-CO"/>
        </w:rPr>
        <w:t xml:space="preserve">. </w:t>
      </w:r>
      <w:r w:rsidR="003C76A5" w:rsidRPr="00BA76F2">
        <w:rPr>
          <w:rFonts w:asciiTheme="majorHAnsi" w:hAnsiTheme="majorHAnsi"/>
          <w:sz w:val="20"/>
          <w:szCs w:val="20"/>
          <w:lang w:val="es-CO"/>
        </w:rPr>
        <w:t xml:space="preserve">Como consecuencia de la desaparición y traslado ilícito fuera del país, los hermanos Larrabeiti Yáñez adquirieron la nacionalidad chilena por una situación arbitraria. </w:t>
      </w:r>
    </w:p>
    <w:p w14:paraId="338057DF" w14:textId="77777777" w:rsidR="00BA76F2" w:rsidRPr="00BA76F2" w:rsidRDefault="00BA76F2" w:rsidP="00BA76F2">
      <w:pPr>
        <w:pStyle w:val="ListParagraph"/>
        <w:rPr>
          <w:rFonts w:asciiTheme="majorHAnsi" w:hAnsiTheme="majorHAnsi"/>
          <w:sz w:val="20"/>
          <w:szCs w:val="20"/>
          <w:lang w:val="es-CO"/>
        </w:rPr>
      </w:pPr>
    </w:p>
    <w:p w14:paraId="46D0ED5F" w14:textId="382D0E0A" w:rsidR="00C05246" w:rsidRPr="00BA76F2" w:rsidRDefault="007A2691" w:rsidP="00B14871">
      <w:pPr>
        <w:pStyle w:val="ListParagraph"/>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lang w:val="es-CO"/>
        </w:rPr>
      </w:pPr>
      <w:r w:rsidRPr="00BA76F2">
        <w:rPr>
          <w:rFonts w:asciiTheme="majorHAnsi" w:hAnsiTheme="majorHAnsi"/>
          <w:sz w:val="20"/>
          <w:szCs w:val="20"/>
          <w:lang w:val="es-CO"/>
        </w:rPr>
        <w:lastRenderedPageBreak/>
        <w:t xml:space="preserve">Por lo tanto, la Comisión concluye que la injerencia ilegal del Estado en los derechos a la protección a la familia, a la vida privada, al nombre y a la nacionalidad, constituyeron una afectación al derecho a la identidad de Anatole y Victoria Larrabeiti Yáñez y una violación a los artículos </w:t>
      </w:r>
      <w:r w:rsidR="006E1574" w:rsidRPr="00BA76F2">
        <w:rPr>
          <w:rFonts w:asciiTheme="majorHAnsi" w:hAnsiTheme="majorHAnsi"/>
          <w:sz w:val="20"/>
          <w:szCs w:val="20"/>
          <w:lang w:val="es-CO"/>
        </w:rPr>
        <w:t xml:space="preserve">VI, V y XIX de la Declaración Americana, en relación con la obligación de protección a la infancia reconocida en su artículo VII. Asimismo, </w:t>
      </w:r>
      <w:r w:rsidR="00EC0546" w:rsidRPr="00BA76F2">
        <w:rPr>
          <w:rFonts w:asciiTheme="majorHAnsi" w:hAnsiTheme="majorHAnsi"/>
          <w:sz w:val="20"/>
          <w:szCs w:val="20"/>
          <w:lang w:val="es-CO"/>
        </w:rPr>
        <w:t xml:space="preserve">el traslado ilícito fuera del país constituyó una violación del derecho de residencia y tránsito establecido en el artículo VIII de la Declaración Americana, en relación con su artículo VII. </w:t>
      </w:r>
    </w:p>
    <w:p w14:paraId="582F24B6" w14:textId="77777777" w:rsidR="00C10623" w:rsidRPr="0007034B" w:rsidRDefault="00C10623" w:rsidP="0060695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Cambria"/>
          <w:b/>
          <w:sz w:val="20"/>
          <w:szCs w:val="20"/>
          <w:u w:color="000000"/>
          <w:lang w:val="es-CO" w:eastAsia="es-ES"/>
        </w:rPr>
      </w:pPr>
    </w:p>
    <w:p w14:paraId="63DFA715" w14:textId="17AFD896" w:rsidR="00F46ED1" w:rsidRDefault="00060421" w:rsidP="00E904A1">
      <w:pPr>
        <w:pStyle w:val="Heading2"/>
        <w:jc w:val="both"/>
      </w:pPr>
      <w:bookmarkStart w:id="87" w:name="_Toc6349177"/>
      <w:bookmarkStart w:id="88" w:name="_Toc6466670"/>
      <w:r w:rsidRPr="007E73E1">
        <w:t>D</w:t>
      </w:r>
      <w:r w:rsidR="001B30CD" w:rsidRPr="007E73E1">
        <w:t xml:space="preserve">erechos a las garantías judiciales, </w:t>
      </w:r>
      <w:r w:rsidRPr="007E73E1">
        <w:t xml:space="preserve">a la </w:t>
      </w:r>
      <w:r w:rsidR="001B30CD" w:rsidRPr="007E73E1">
        <w:t xml:space="preserve">protección judicial y el deber de investigar </w:t>
      </w:r>
      <w:r w:rsidR="00086A10" w:rsidRPr="007E73E1">
        <w:t>graves violaciones a los derechos humanos</w:t>
      </w:r>
      <w:r w:rsidR="001F0175" w:rsidRPr="007E73E1">
        <w:t xml:space="preserve"> (A</w:t>
      </w:r>
      <w:r w:rsidR="001B30CD" w:rsidRPr="007E73E1">
        <w:t>rtículos 8</w:t>
      </w:r>
      <w:r w:rsidR="001B30CD" w:rsidRPr="007E73E1">
        <w:rPr>
          <w:rStyle w:val="FootnoteReference"/>
          <w:rFonts w:eastAsia="Arial Unicode MS"/>
          <w:vertAlign w:val="baseline"/>
        </w:rPr>
        <w:footnoteReference w:id="154"/>
      </w:r>
      <w:r w:rsidR="001B30CD" w:rsidRPr="007E73E1">
        <w:t xml:space="preserve"> y 25.1</w:t>
      </w:r>
      <w:r w:rsidR="001B30CD" w:rsidRPr="007E73E1">
        <w:rPr>
          <w:rStyle w:val="FootnoteReference"/>
          <w:rFonts w:eastAsia="Arial Unicode MS"/>
          <w:vertAlign w:val="baseline"/>
        </w:rPr>
        <w:footnoteReference w:id="155"/>
      </w:r>
      <w:r w:rsidR="001B30CD" w:rsidRPr="007E73E1">
        <w:t xml:space="preserve"> de la Convención Americana</w:t>
      </w:r>
      <w:r w:rsidR="001F0175" w:rsidRPr="007E73E1">
        <w:t>)</w:t>
      </w:r>
      <w:r w:rsidR="001B30CD" w:rsidRPr="007E73E1">
        <w:t xml:space="preserve">, </w:t>
      </w:r>
      <w:r w:rsidR="00086A10" w:rsidRPr="007E73E1">
        <w:t>en relación con su artículo 1.1</w:t>
      </w:r>
      <w:r w:rsidR="005132B5" w:rsidRPr="007E73E1">
        <w:t xml:space="preserve"> y el deber de adoptar disposiciones de derecho interno (artículo 2 de la Convención Americana</w:t>
      </w:r>
      <w:r w:rsidR="005132B5" w:rsidRPr="007E73E1">
        <w:rPr>
          <w:rStyle w:val="FootnoteReference"/>
          <w:rFonts w:eastAsia="Arial Unicode MS"/>
          <w:vertAlign w:val="baseline"/>
        </w:rPr>
        <w:footnoteReference w:id="156"/>
      </w:r>
      <w:r w:rsidR="005132B5" w:rsidRPr="007E73E1">
        <w:t>)</w:t>
      </w:r>
      <w:r w:rsidR="00086A10" w:rsidRPr="007E73E1">
        <w:t xml:space="preserve">; y </w:t>
      </w:r>
      <w:r w:rsidR="001B30CD" w:rsidRPr="007E73E1">
        <w:t xml:space="preserve">artículos 1, 6 y 8 de la </w:t>
      </w:r>
      <w:r w:rsidR="00624FEA" w:rsidRPr="007E73E1">
        <w:t>CIPST</w:t>
      </w:r>
      <w:r w:rsidR="00CF18EF" w:rsidRPr="007E73E1">
        <w:rPr>
          <w:rStyle w:val="FootnoteReference"/>
          <w:rFonts w:eastAsia="Arial Unicode MS"/>
          <w:vertAlign w:val="baseline"/>
        </w:rPr>
        <w:footnoteReference w:id="157"/>
      </w:r>
      <w:r w:rsidR="001B30CD" w:rsidRPr="007E73E1">
        <w:rPr>
          <w:rStyle w:val="FootnoteReference"/>
          <w:rFonts w:eastAsia="Arial Unicode MS"/>
          <w:vertAlign w:val="baseline"/>
        </w:rPr>
        <w:t xml:space="preserve"> </w:t>
      </w:r>
      <w:r w:rsidR="001B30CD" w:rsidRPr="007E73E1">
        <w:t>y artículo</w:t>
      </w:r>
      <w:r w:rsidR="00F977A9" w:rsidRPr="007E73E1">
        <w:t>s</w:t>
      </w:r>
      <w:r w:rsidR="001B30CD" w:rsidRPr="007E73E1">
        <w:t xml:space="preserve"> I</w:t>
      </w:r>
      <w:r w:rsidR="001862F9" w:rsidRPr="007E73E1">
        <w:t xml:space="preserve"> inciso </w:t>
      </w:r>
      <w:r w:rsidR="001B30CD" w:rsidRPr="007E73E1">
        <w:t>b</w:t>
      </w:r>
      <w:r w:rsidR="001862F9" w:rsidRPr="007E73E1">
        <w:t>)</w:t>
      </w:r>
      <w:r w:rsidR="001B30CD" w:rsidRPr="007E73E1">
        <w:t xml:space="preserve"> </w:t>
      </w:r>
      <w:r w:rsidR="00E00F3C" w:rsidRPr="007E73E1">
        <w:t xml:space="preserve">y III </w:t>
      </w:r>
      <w:r w:rsidR="001B30CD" w:rsidRPr="007E73E1">
        <w:t>de la CIDFP</w:t>
      </w:r>
      <w:bookmarkEnd w:id="80"/>
      <w:r w:rsidR="00F977A9" w:rsidRPr="007E73E1">
        <w:rPr>
          <w:rStyle w:val="FootnoteReference"/>
          <w:rFonts w:eastAsia="Arial Unicode MS"/>
          <w:vertAlign w:val="baseline"/>
        </w:rPr>
        <w:footnoteReference w:id="158"/>
      </w:r>
      <w:bookmarkStart w:id="89" w:name="_Toc457838876"/>
      <w:bookmarkStart w:id="90" w:name="_Toc457838982"/>
      <w:bookmarkStart w:id="91" w:name="_Toc492973702"/>
      <w:bookmarkEnd w:id="87"/>
      <w:bookmarkEnd w:id="88"/>
    </w:p>
    <w:p w14:paraId="79816754" w14:textId="77777777" w:rsidR="00E904A1" w:rsidRPr="00E904A1" w:rsidRDefault="00E904A1" w:rsidP="00E904A1">
      <w:pPr>
        <w:rPr>
          <w:lang w:val="es-ES_tradnl"/>
        </w:rPr>
      </w:pPr>
    </w:p>
    <w:p w14:paraId="53ED7010" w14:textId="6FD5EBCA" w:rsidR="001B30CD" w:rsidRPr="007E73E1" w:rsidRDefault="001B30CD" w:rsidP="00B14871">
      <w:pPr>
        <w:pStyle w:val="Heading3"/>
        <w:numPr>
          <w:ilvl w:val="0"/>
          <w:numId w:val="72"/>
        </w:numPr>
        <w:ind w:hanging="720"/>
      </w:pPr>
      <w:bookmarkStart w:id="92" w:name="_Toc6349178"/>
      <w:bookmarkStart w:id="93" w:name="_Toc6466671"/>
      <w:r w:rsidRPr="007E73E1">
        <w:t xml:space="preserve">Consideraciones </w:t>
      </w:r>
      <w:r w:rsidR="007A4D4D" w:rsidRPr="007E73E1">
        <w:t xml:space="preserve">generales </w:t>
      </w:r>
      <w:r w:rsidRPr="007E73E1">
        <w:t xml:space="preserve">sobre los derechos a las garantías judiciales y protección judicial y sobre el deber de investigar posible </w:t>
      </w:r>
      <w:bookmarkEnd w:id="89"/>
      <w:bookmarkEnd w:id="90"/>
      <w:r w:rsidRPr="007E73E1">
        <w:t>desaparición forzada y tortura</w:t>
      </w:r>
      <w:bookmarkEnd w:id="91"/>
      <w:bookmarkEnd w:id="92"/>
      <w:bookmarkEnd w:id="93"/>
    </w:p>
    <w:p w14:paraId="56F0FB90" w14:textId="77777777" w:rsidR="001B30CD" w:rsidRPr="0007034B" w:rsidRDefault="001B30CD" w:rsidP="001B30CD">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CO"/>
        </w:rPr>
      </w:pPr>
    </w:p>
    <w:p w14:paraId="736CE24D" w14:textId="77777777" w:rsidR="00BA76F2" w:rsidRDefault="00D47D84" w:rsidP="00B14871">
      <w:pPr>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ind w:left="0" w:firstLine="0"/>
        <w:jc w:val="both"/>
        <w:rPr>
          <w:rFonts w:asciiTheme="majorHAnsi" w:hAnsiTheme="majorHAnsi"/>
          <w:sz w:val="20"/>
          <w:szCs w:val="20"/>
          <w:lang w:val="es-ES_tradnl"/>
        </w:rPr>
      </w:pPr>
      <w:r w:rsidRPr="0007034B">
        <w:rPr>
          <w:rFonts w:asciiTheme="majorHAnsi" w:hAnsiTheme="majorHAnsi"/>
          <w:spacing w:val="-2"/>
          <w:sz w:val="20"/>
          <w:szCs w:val="20"/>
          <w:lang w:val="es-CR"/>
        </w:rPr>
        <w:t>La Corte ha expresado que los Estados están obligados a proveer recursos judiciales efectivos a las víctimas de violaciones de derechos humanos, los cuales deben ser sustanciados de conformidad con las reglas del debido proceso legal todo ello dentro de la obligación general, a cargo de los mismos Estados, de garantizar el libre y pleno ejercicio de los derechos reconocidos por la Convención a toda persona que se encuentre bajo su jurisdicción.</w:t>
      </w:r>
      <w:r w:rsidR="00060421" w:rsidRPr="0007034B">
        <w:rPr>
          <w:rFonts w:asciiTheme="majorHAnsi" w:hAnsiTheme="majorHAnsi"/>
          <w:spacing w:val="-2"/>
          <w:sz w:val="20"/>
          <w:szCs w:val="20"/>
          <w:lang w:val="es-CR"/>
        </w:rPr>
        <w:t xml:space="preserve">  Asimismo, ha señalado que el derecho de acceso a la justicia debe asegurar, en tiempo razonable, el derecho de las presuntas víctimas o sus familiares a que se haga todo lo necesario para conocer la verdad de lo sucedido e investigar, juzgar y, en su caso, sancionar a los eventuales responsables.</w:t>
      </w:r>
      <w:r w:rsidR="00060421" w:rsidRPr="0007034B">
        <w:rPr>
          <w:rFonts w:asciiTheme="majorHAnsi" w:hAnsiTheme="majorHAnsi"/>
          <w:spacing w:val="-2"/>
          <w:sz w:val="20"/>
          <w:szCs w:val="20"/>
          <w:vertAlign w:val="superscript"/>
          <w:lang w:val="es-CR"/>
        </w:rPr>
        <w:t xml:space="preserve"> </w:t>
      </w:r>
      <w:r w:rsidR="00060421" w:rsidRPr="0007034B">
        <w:rPr>
          <w:rFonts w:asciiTheme="majorHAnsi" w:hAnsiTheme="majorHAnsi"/>
          <w:spacing w:val="-2"/>
          <w:sz w:val="20"/>
          <w:szCs w:val="20"/>
          <w:vertAlign w:val="superscript"/>
          <w:lang w:val="es-CR"/>
        </w:rPr>
        <w:footnoteReference w:id="159"/>
      </w:r>
      <w:r w:rsidR="00AE5E6A" w:rsidRPr="0007034B">
        <w:rPr>
          <w:rFonts w:asciiTheme="majorHAnsi" w:hAnsiTheme="majorHAnsi"/>
          <w:spacing w:val="-2"/>
          <w:sz w:val="20"/>
          <w:szCs w:val="20"/>
          <w:vertAlign w:val="superscript"/>
          <w:lang w:val="es-CR"/>
        </w:rPr>
        <w:t xml:space="preserve"> </w:t>
      </w:r>
      <w:r w:rsidR="00AE5E6A" w:rsidRPr="0007034B">
        <w:rPr>
          <w:rFonts w:asciiTheme="majorHAnsi" w:hAnsiTheme="majorHAnsi"/>
          <w:sz w:val="20"/>
          <w:szCs w:val="20"/>
          <w:lang w:val="es-ES_tradnl"/>
        </w:rPr>
        <w:t>C</w:t>
      </w:r>
      <w:r w:rsidR="00AE5E6A" w:rsidRPr="0007034B">
        <w:rPr>
          <w:rFonts w:asciiTheme="majorHAnsi" w:hAnsiTheme="majorHAnsi" w:cs="Verdana"/>
          <w:sz w:val="20"/>
          <w:szCs w:val="20"/>
          <w:lang w:val="es-ES"/>
        </w:rPr>
        <w:t xml:space="preserve">on respecto a la garantía de plazo razonable contemplada en el artículo 8.1 de la Convención Americana, la Corte Interamericana ha establecido que es preciso tomar en cuenta tres elementos para determinar la razonabilidad del plazo en el que se desarrolla un proceso: a) la complejidad del asunto, b) la actividad procesal del interesado, y c) la </w:t>
      </w:r>
      <w:r w:rsidR="00AE5E6A" w:rsidRPr="0007034B">
        <w:rPr>
          <w:rFonts w:asciiTheme="majorHAnsi" w:hAnsiTheme="majorHAnsi" w:cs="Verdana"/>
          <w:sz w:val="20"/>
          <w:szCs w:val="20"/>
          <w:lang w:val="es-ES"/>
        </w:rPr>
        <w:lastRenderedPageBreak/>
        <w:t>conducta de las autoridades judiciales</w:t>
      </w:r>
      <w:r w:rsidR="00AE5E6A" w:rsidRPr="0007034B">
        <w:rPr>
          <w:rStyle w:val="FootnoteReference"/>
          <w:rFonts w:asciiTheme="majorHAnsi" w:hAnsiTheme="majorHAnsi" w:cs="Verdana"/>
          <w:sz w:val="20"/>
          <w:szCs w:val="20"/>
        </w:rPr>
        <w:footnoteReference w:id="160"/>
      </w:r>
      <w:r w:rsidR="00AE5E6A" w:rsidRPr="0007034B">
        <w:rPr>
          <w:rFonts w:asciiTheme="majorHAnsi" w:hAnsiTheme="majorHAnsi" w:cs="Verdana"/>
          <w:sz w:val="20"/>
          <w:szCs w:val="20"/>
          <w:lang w:val="es-ES"/>
        </w:rPr>
        <w:t>. Asimismo, la Comisión y la Corte han considerado que también es necesario que se tome en consideración el interés afectado</w:t>
      </w:r>
      <w:r w:rsidR="00AE5E6A" w:rsidRPr="0007034B">
        <w:rPr>
          <w:rStyle w:val="FootnoteReference"/>
          <w:rFonts w:asciiTheme="majorHAnsi" w:hAnsiTheme="majorHAnsi" w:cs="Verdana"/>
          <w:sz w:val="20"/>
          <w:szCs w:val="20"/>
          <w:lang w:val="es-ES"/>
        </w:rPr>
        <w:footnoteReference w:id="161"/>
      </w:r>
      <w:r w:rsidR="00AE5E6A" w:rsidRPr="0007034B">
        <w:rPr>
          <w:rFonts w:asciiTheme="majorHAnsi" w:hAnsiTheme="majorHAnsi" w:cs="Verdana"/>
          <w:sz w:val="20"/>
          <w:szCs w:val="20"/>
          <w:lang w:val="es-ES"/>
        </w:rPr>
        <w:t xml:space="preserve">. </w:t>
      </w:r>
    </w:p>
    <w:p w14:paraId="38A0465E" w14:textId="77777777" w:rsidR="00BA76F2" w:rsidRDefault="00BA76F2" w:rsidP="00BA76F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Fonts w:asciiTheme="majorHAnsi" w:hAnsiTheme="majorHAnsi"/>
          <w:sz w:val="20"/>
          <w:szCs w:val="20"/>
          <w:lang w:val="es-ES_tradnl"/>
        </w:rPr>
      </w:pPr>
    </w:p>
    <w:p w14:paraId="06F62C35" w14:textId="77777777" w:rsidR="00BA76F2" w:rsidRDefault="00086A10" w:rsidP="00B14871">
      <w:pPr>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ind w:left="0" w:firstLine="0"/>
        <w:jc w:val="both"/>
        <w:rPr>
          <w:rFonts w:asciiTheme="majorHAnsi" w:hAnsiTheme="majorHAnsi"/>
          <w:sz w:val="20"/>
          <w:szCs w:val="20"/>
          <w:lang w:val="es-ES_tradnl"/>
        </w:rPr>
      </w:pPr>
      <w:r w:rsidRPr="00BA76F2">
        <w:rPr>
          <w:rFonts w:asciiTheme="majorHAnsi" w:hAnsiTheme="majorHAnsi"/>
          <w:spacing w:val="-2"/>
          <w:sz w:val="20"/>
          <w:szCs w:val="20"/>
          <w:lang w:val="es-ES_tradnl"/>
        </w:rPr>
        <w:t>Asimismo</w:t>
      </w:r>
      <w:r w:rsidRPr="00BA76F2">
        <w:rPr>
          <w:rFonts w:asciiTheme="majorHAnsi" w:hAnsiTheme="majorHAnsi"/>
          <w:spacing w:val="-2"/>
          <w:sz w:val="20"/>
          <w:szCs w:val="20"/>
          <w:lang w:val="es-CR"/>
        </w:rPr>
        <w:t>, la Corte ha establecido que la obligación de investigar adquiere una particular y determinante intensidad e importancia ante la gravedad de los delitos cometidos y la naturaleza de los derechos lesionados, como en casos de graves violaciones a los derechos humanos ocurridas como parte de un patrón sistemático o práctica aplicada o tolerada por el Estado, pues la necesidad imperiosa de prevenir la repetición de tales hechos depende, en buena medida, de que se evite su impunidad y se satisfaga las expectativas de las víctimas y la sociedad en su conjunto de acceder al conocimiento de la verdad de lo sucedido. La eliminación de la impunidad, por todos los medios legales disponibles, es un elemento fundamental para la erradicación de las ejecuciones extrajudiciales, la tortura y otras graves violaciones a los derechos humanos.</w:t>
      </w:r>
      <w:r w:rsidR="009B781F" w:rsidRPr="0007034B">
        <w:rPr>
          <w:rStyle w:val="FootnoteReference"/>
          <w:rFonts w:asciiTheme="majorHAnsi" w:hAnsiTheme="majorHAnsi"/>
          <w:spacing w:val="-2"/>
          <w:sz w:val="20"/>
          <w:szCs w:val="20"/>
          <w:lang w:val="es-CR"/>
        </w:rPr>
        <w:footnoteReference w:id="162"/>
      </w:r>
      <w:r w:rsidRPr="00BA76F2">
        <w:rPr>
          <w:rFonts w:asciiTheme="majorHAnsi" w:hAnsiTheme="majorHAnsi"/>
          <w:spacing w:val="-2"/>
          <w:sz w:val="20"/>
          <w:szCs w:val="20"/>
          <w:lang w:val="es-CR"/>
        </w:rPr>
        <w:t xml:space="preserve"> </w:t>
      </w:r>
    </w:p>
    <w:p w14:paraId="0C9CA4E7" w14:textId="77777777" w:rsidR="00BA76F2" w:rsidRDefault="00BA76F2" w:rsidP="00BA76F2">
      <w:pPr>
        <w:pStyle w:val="ListParagraph"/>
        <w:rPr>
          <w:rFonts w:asciiTheme="majorHAnsi" w:eastAsia="Times New Roman" w:hAnsiTheme="majorHAnsi"/>
          <w:sz w:val="20"/>
          <w:szCs w:val="20"/>
          <w:lang w:val="es-ES"/>
        </w:rPr>
      </w:pPr>
    </w:p>
    <w:p w14:paraId="2CA57680" w14:textId="77777777" w:rsidR="00BA76F2" w:rsidRDefault="001B30CD" w:rsidP="00B14871">
      <w:pPr>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ind w:left="0" w:firstLine="0"/>
        <w:jc w:val="both"/>
        <w:rPr>
          <w:rFonts w:asciiTheme="majorHAnsi" w:hAnsiTheme="majorHAnsi"/>
          <w:sz w:val="20"/>
          <w:szCs w:val="20"/>
          <w:lang w:val="es-ES_tradnl"/>
        </w:rPr>
      </w:pPr>
      <w:r w:rsidRPr="00BA76F2">
        <w:rPr>
          <w:rFonts w:asciiTheme="majorHAnsi" w:eastAsia="Times New Roman" w:hAnsiTheme="majorHAnsi"/>
          <w:sz w:val="20"/>
          <w:szCs w:val="20"/>
          <w:lang w:val="es-ES" w:eastAsia="es-ES"/>
        </w:rPr>
        <w:t>De la jurisprudencia interamericana r</w:t>
      </w:r>
      <w:r w:rsidR="002A105D" w:rsidRPr="00BA76F2">
        <w:rPr>
          <w:rFonts w:asciiTheme="majorHAnsi" w:eastAsia="Times New Roman" w:hAnsiTheme="majorHAnsi"/>
          <w:sz w:val="20"/>
          <w:szCs w:val="20"/>
          <w:lang w:val="es-ES" w:eastAsia="es-ES"/>
        </w:rPr>
        <w:t>esulta que, cuando se trata de l</w:t>
      </w:r>
      <w:r w:rsidRPr="00BA76F2">
        <w:rPr>
          <w:rFonts w:asciiTheme="majorHAnsi" w:eastAsia="Times New Roman" w:hAnsiTheme="majorHAnsi"/>
          <w:sz w:val="20"/>
          <w:szCs w:val="20"/>
          <w:lang w:val="es-ES" w:eastAsia="es-ES"/>
        </w:rPr>
        <w:t>a denuncia de desaparición de una persona, existe un vínculo inescindible entre la respuesta estatal y la protección de la vida e integridad de la persona que se denuncia desaparecida. La Comisión reitera que cuando haya motivos razonables para sospechar que una persona ha sido sometida a desaparición, es imprescindible la actuación pronta e inmediata de las autoridades fiscales y judiciales ordenando medidas oportunas y necesarias dirigidas a la determinación del paradero de la víctima o el lugar donde pueda encontrarse privada de libertad</w:t>
      </w:r>
      <w:bookmarkStart w:id="94" w:name="_Ref280106061"/>
      <w:r w:rsidRPr="0007034B">
        <w:rPr>
          <w:rFonts w:asciiTheme="majorHAnsi" w:eastAsia="Times New Roman" w:hAnsiTheme="majorHAnsi"/>
          <w:sz w:val="20"/>
          <w:szCs w:val="20"/>
          <w:vertAlign w:val="superscript"/>
          <w:lang w:val="es-ES" w:eastAsia="es-ES"/>
        </w:rPr>
        <w:footnoteReference w:id="163"/>
      </w:r>
      <w:bookmarkEnd w:id="94"/>
      <w:r w:rsidRPr="00BA76F2">
        <w:rPr>
          <w:rFonts w:asciiTheme="majorHAnsi" w:eastAsia="Times New Roman" w:hAnsiTheme="majorHAnsi"/>
          <w:sz w:val="20"/>
          <w:szCs w:val="20"/>
          <w:lang w:val="es-ES" w:eastAsia="es-ES"/>
        </w:rPr>
        <w:t xml:space="preserve">. </w:t>
      </w:r>
    </w:p>
    <w:p w14:paraId="722340C1" w14:textId="77777777" w:rsidR="00BA76F2" w:rsidRDefault="00BA76F2" w:rsidP="00BA76F2">
      <w:pPr>
        <w:pStyle w:val="ListParagraph"/>
        <w:rPr>
          <w:rFonts w:asciiTheme="majorHAnsi" w:hAnsiTheme="majorHAnsi"/>
          <w:sz w:val="20"/>
          <w:szCs w:val="20"/>
          <w:lang w:val="es-ES_tradnl"/>
        </w:rPr>
      </w:pPr>
    </w:p>
    <w:p w14:paraId="06E4C5E2" w14:textId="62BFC631" w:rsidR="00CD0F59" w:rsidRPr="00BA76F2" w:rsidRDefault="00CD0F59" w:rsidP="00B14871">
      <w:pPr>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ind w:left="0" w:firstLine="0"/>
        <w:jc w:val="both"/>
        <w:rPr>
          <w:rFonts w:asciiTheme="majorHAnsi" w:hAnsiTheme="majorHAnsi"/>
          <w:sz w:val="20"/>
          <w:szCs w:val="20"/>
          <w:lang w:val="es-ES_tradnl"/>
        </w:rPr>
      </w:pPr>
      <w:r w:rsidRPr="00BA76F2">
        <w:rPr>
          <w:rFonts w:asciiTheme="majorHAnsi" w:hAnsiTheme="majorHAnsi"/>
          <w:sz w:val="20"/>
          <w:szCs w:val="20"/>
          <w:lang w:val="es-ES_tradnl"/>
        </w:rPr>
        <w:t>En palabras de la Corte Interamericana, para que una investigación de una presunta desaparición forzada sea llevada adelanta eficazmente y con la debida diligencia</w:t>
      </w:r>
      <w:r w:rsidR="006208ED" w:rsidRPr="0007034B">
        <w:rPr>
          <w:rStyle w:val="FootnoteReference"/>
          <w:rFonts w:asciiTheme="majorHAnsi" w:hAnsiTheme="majorHAnsi"/>
          <w:sz w:val="20"/>
          <w:szCs w:val="20"/>
          <w:lang w:val="es-ES_tradnl"/>
        </w:rPr>
        <w:footnoteReference w:id="164"/>
      </w:r>
      <w:r w:rsidRPr="00BA76F2">
        <w:rPr>
          <w:rFonts w:asciiTheme="majorHAnsi" w:hAnsiTheme="majorHAnsi"/>
          <w:sz w:val="20"/>
          <w:szCs w:val="20"/>
          <w:lang w:val="es-ES_tradnl"/>
        </w:rPr>
        <w:t>:</w:t>
      </w:r>
    </w:p>
    <w:p w14:paraId="11881E62" w14:textId="77777777" w:rsidR="00D47D84" w:rsidRPr="0007034B" w:rsidRDefault="00D47D84" w:rsidP="00CD0F59">
      <w:pPr>
        <w:pStyle w:val="ListParagraph"/>
        <w:ind w:right="720"/>
        <w:jc w:val="both"/>
        <w:rPr>
          <w:rFonts w:asciiTheme="majorHAnsi" w:eastAsia="Times New Roman" w:hAnsiTheme="majorHAnsi"/>
          <w:sz w:val="20"/>
          <w:szCs w:val="20"/>
          <w:lang w:val="es-ES"/>
        </w:rPr>
      </w:pPr>
    </w:p>
    <w:p w14:paraId="2E0260AE" w14:textId="77777777" w:rsidR="00CF1E66" w:rsidRPr="00F9082E" w:rsidRDefault="00CD0F59" w:rsidP="00CD0F59">
      <w:pPr>
        <w:pStyle w:val="ListParagraph"/>
        <w:ind w:right="720"/>
        <w:jc w:val="both"/>
        <w:rPr>
          <w:rFonts w:asciiTheme="majorHAnsi" w:eastAsia="Batang" w:hAnsiTheme="majorHAnsi"/>
          <w:spacing w:val="-2"/>
          <w:sz w:val="18"/>
          <w:szCs w:val="18"/>
          <w:lang w:val="es-ES"/>
        </w:rPr>
      </w:pPr>
      <w:r w:rsidRPr="00F9082E">
        <w:rPr>
          <w:rFonts w:asciiTheme="majorHAnsi" w:eastAsia="Calibri" w:hAnsiTheme="majorHAnsi" w:cs="Times New Roman"/>
          <w:spacing w:val="-2"/>
          <w:sz w:val="18"/>
          <w:szCs w:val="18"/>
          <w:lang w:val="es-ES"/>
        </w:rPr>
        <w:t xml:space="preserve">las autoridades encargadas deben utilizar todos los medios necesarios para realizar con prontitud aquellas actuaciones y averiguaciones esenciales y oportunas para esclarecer la suerte de las víctimas. </w:t>
      </w:r>
      <w:r w:rsidRPr="00F9082E">
        <w:rPr>
          <w:rFonts w:asciiTheme="majorHAnsi" w:eastAsia="Times New Roman" w:hAnsiTheme="majorHAnsi"/>
          <w:spacing w:val="-2"/>
          <w:sz w:val="18"/>
          <w:szCs w:val="18"/>
          <w:lang w:val="es-ES"/>
        </w:rPr>
        <w:t xml:space="preserve">En múltiples oportunidades, esta Corte se ha pronunciado sobre la obligación de los Estados de realizar una búsqueda seria, por la vía judicial o administrativa adecuada, en la cual se realicen todos los esfuerzos, de manera sistemática y rigurosa, con los recursos humanos, técnicos y científicos adecuados e idóneos para dar con el paradero de las personas desaparecidas. </w:t>
      </w:r>
      <w:r w:rsidRPr="00F9082E">
        <w:rPr>
          <w:rFonts w:asciiTheme="majorHAnsi" w:eastAsia="Times New Roman" w:hAnsiTheme="majorHAnsi" w:cs="Verdana"/>
          <w:spacing w:val="-2"/>
          <w:sz w:val="18"/>
          <w:szCs w:val="18"/>
          <w:lang w:val="es-ES"/>
        </w:rPr>
        <w:t xml:space="preserve">Recibir el cuerpo de una persona desaparecida es de suma importancia para sus familiares, ya que les permite sepultarlo de acuerdo a sus creencias, así como cerrar el proceso de duelo que han estado viviendo a lo largo de estos años. Además, </w:t>
      </w:r>
      <w:r w:rsidRPr="00F9082E">
        <w:rPr>
          <w:rFonts w:asciiTheme="majorHAnsi" w:hAnsiTheme="majorHAnsi" w:cs="Verdana"/>
          <w:spacing w:val="-2"/>
          <w:sz w:val="18"/>
          <w:szCs w:val="18"/>
          <w:lang w:val="es-ES"/>
        </w:rPr>
        <w:t xml:space="preserve">los restos son una prueba de lo sucedido y, junto al </w:t>
      </w:r>
      <w:r w:rsidRPr="00F9082E">
        <w:rPr>
          <w:rFonts w:asciiTheme="majorHAnsi" w:eastAsia="Times New Roman" w:hAnsiTheme="majorHAnsi" w:cs="Verdana"/>
          <w:spacing w:val="-2"/>
          <w:sz w:val="18"/>
          <w:szCs w:val="18"/>
          <w:lang w:val="es-ES"/>
        </w:rPr>
        <w:t>lugar en el cual sean encontrados, pueden proporcionar información valiosa sobre los autores de las violaciones o la institución a la que pertenecían</w:t>
      </w:r>
      <w:r w:rsidR="006208ED" w:rsidRPr="00F9082E">
        <w:rPr>
          <w:rFonts w:asciiTheme="majorHAnsi" w:eastAsia="Times New Roman" w:hAnsiTheme="majorHAnsi" w:cs="Verdana"/>
          <w:spacing w:val="-2"/>
          <w:sz w:val="18"/>
          <w:szCs w:val="18"/>
          <w:lang w:val="es-ES"/>
        </w:rPr>
        <w:t>.</w:t>
      </w:r>
    </w:p>
    <w:p w14:paraId="2C43CD34" w14:textId="77777777" w:rsidR="006208ED" w:rsidRPr="0007034B" w:rsidRDefault="006208ED" w:rsidP="006208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jc w:val="both"/>
        <w:rPr>
          <w:rFonts w:asciiTheme="majorHAnsi" w:hAnsiTheme="majorHAnsi"/>
          <w:sz w:val="20"/>
          <w:szCs w:val="20"/>
          <w:lang w:val="es-ES_tradnl"/>
        </w:rPr>
      </w:pPr>
    </w:p>
    <w:p w14:paraId="5982337E" w14:textId="77777777" w:rsidR="00BA76F2" w:rsidRDefault="00DF38CB" w:rsidP="00B14871">
      <w:pPr>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ind w:left="0" w:firstLine="0"/>
        <w:jc w:val="both"/>
        <w:rPr>
          <w:rFonts w:asciiTheme="majorHAnsi" w:hAnsiTheme="majorHAnsi"/>
          <w:sz w:val="20"/>
          <w:szCs w:val="20"/>
          <w:lang w:val="es-ES_tradnl"/>
        </w:rPr>
      </w:pPr>
      <w:r w:rsidRPr="0007034B">
        <w:rPr>
          <w:rFonts w:asciiTheme="majorHAnsi" w:hAnsiTheme="majorHAnsi"/>
          <w:sz w:val="20"/>
          <w:szCs w:val="20"/>
          <w:lang w:val="es-ES_tradnl"/>
        </w:rPr>
        <w:t>Asimismo, en caso de desapariciones forzadas, la tipificación del delito de desaparición forzada debe primar en las investigaciones que corresponda abrir o continuar a nivel interno. Por tratarse de un delito de ejecución permanente, al entrar en vigor la tipificación del delito de desaparición forzada de personas, la nueva ley resulta aplicable, sin que ello represente su aplicación retroactiva</w:t>
      </w:r>
      <w:r w:rsidRPr="0007034B">
        <w:rPr>
          <w:rStyle w:val="FootnoteReference"/>
          <w:rFonts w:asciiTheme="majorHAnsi" w:hAnsiTheme="majorHAnsi"/>
          <w:sz w:val="20"/>
          <w:szCs w:val="20"/>
          <w:lang w:val="es-ES_tradnl"/>
        </w:rPr>
        <w:footnoteReference w:id="165"/>
      </w:r>
      <w:r w:rsidR="0090600A" w:rsidRPr="0007034B">
        <w:rPr>
          <w:rFonts w:asciiTheme="majorHAnsi" w:hAnsiTheme="majorHAnsi"/>
          <w:sz w:val="20"/>
          <w:szCs w:val="20"/>
          <w:lang w:val="es-ES_tradnl"/>
        </w:rPr>
        <w:t>.</w:t>
      </w:r>
    </w:p>
    <w:p w14:paraId="23D79E76" w14:textId="77777777" w:rsidR="00BA76F2" w:rsidRDefault="00BA76F2" w:rsidP="00BA76F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Fonts w:asciiTheme="majorHAnsi" w:hAnsiTheme="majorHAnsi"/>
          <w:sz w:val="20"/>
          <w:szCs w:val="20"/>
          <w:lang w:val="es-ES_tradnl"/>
        </w:rPr>
      </w:pPr>
    </w:p>
    <w:p w14:paraId="5C8327BD" w14:textId="77777777" w:rsidR="00BA76F2" w:rsidRDefault="0039135E" w:rsidP="00B14871">
      <w:pPr>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ind w:left="0" w:firstLine="0"/>
        <w:jc w:val="both"/>
        <w:rPr>
          <w:rFonts w:asciiTheme="majorHAnsi" w:hAnsiTheme="majorHAnsi"/>
          <w:sz w:val="20"/>
          <w:szCs w:val="20"/>
          <w:lang w:val="es-ES_tradnl"/>
        </w:rPr>
      </w:pPr>
      <w:r w:rsidRPr="00BA76F2">
        <w:rPr>
          <w:rFonts w:asciiTheme="majorHAnsi" w:eastAsia="Batang" w:hAnsiTheme="majorHAnsi"/>
          <w:spacing w:val="-2"/>
          <w:sz w:val="20"/>
          <w:szCs w:val="20"/>
          <w:lang w:val="es-VE"/>
        </w:rPr>
        <w:t>Por otra parte, d</w:t>
      </w:r>
      <w:r w:rsidR="001B30CD" w:rsidRPr="00BA76F2">
        <w:rPr>
          <w:rFonts w:asciiTheme="majorHAnsi" w:eastAsia="Batang" w:hAnsiTheme="majorHAnsi"/>
          <w:spacing w:val="-2"/>
          <w:sz w:val="20"/>
          <w:szCs w:val="20"/>
          <w:lang w:val="es-VE"/>
        </w:rPr>
        <w:t xml:space="preserve">e conformidad con el artículo 1.1 de la Convención Americana, la obligación de garantizar los derechos reconocidos en los artículos 5.1 y 5.2 de la Convención Americana implica el deber del Estado de investigar posibles actos de tortura u otros tratos crueles, inhumanos o degradantes. Esta obligación de investigar se ve reforzada por lo dispuesto en los artículos 1, 6 y 8 de la Convención Interamericana </w:t>
      </w:r>
      <w:r w:rsidR="001862F9" w:rsidRPr="00BA76F2">
        <w:rPr>
          <w:rFonts w:asciiTheme="majorHAnsi" w:eastAsia="Batang" w:hAnsiTheme="majorHAnsi"/>
          <w:spacing w:val="-2"/>
          <w:sz w:val="20"/>
          <w:szCs w:val="20"/>
          <w:lang w:val="es-VE"/>
        </w:rPr>
        <w:t>para Prevenir y Sancionar</w:t>
      </w:r>
      <w:r w:rsidR="001B30CD" w:rsidRPr="00BA76F2">
        <w:rPr>
          <w:rFonts w:asciiTheme="majorHAnsi" w:eastAsia="Batang" w:hAnsiTheme="majorHAnsi"/>
          <w:spacing w:val="-2"/>
          <w:sz w:val="20"/>
          <w:szCs w:val="20"/>
          <w:lang w:val="es-VE"/>
        </w:rPr>
        <w:t xml:space="preserve"> la Tortura que obligan al </w:t>
      </w:r>
      <w:r w:rsidR="001B30CD" w:rsidRPr="00BA76F2">
        <w:rPr>
          <w:rFonts w:asciiTheme="majorHAnsi" w:hAnsiTheme="majorHAnsi"/>
          <w:sz w:val="20"/>
          <w:szCs w:val="20"/>
          <w:lang w:val="es-US"/>
        </w:rPr>
        <w:t>Estado</w:t>
      </w:r>
      <w:r w:rsidR="001B30CD" w:rsidRPr="00BA76F2">
        <w:rPr>
          <w:rFonts w:asciiTheme="majorHAnsi" w:eastAsia="Batang" w:hAnsiTheme="majorHAnsi"/>
          <w:spacing w:val="-2"/>
          <w:sz w:val="20"/>
          <w:szCs w:val="20"/>
          <w:lang w:val="es-VE"/>
        </w:rPr>
        <w:t xml:space="preserve"> a “toma[r] medidas efectivas para prevenir y sancionar la tortura en el ámbito de su jurisdicción”, así como a “prevenir y sancionar […] otros tratos o penas crueles, inhumanos o degradantes”</w:t>
      </w:r>
      <w:r w:rsidR="001B30CD" w:rsidRPr="0007034B">
        <w:rPr>
          <w:rStyle w:val="FootnoteReference"/>
          <w:rFonts w:asciiTheme="majorHAnsi" w:eastAsia="Batang" w:hAnsiTheme="majorHAnsi"/>
          <w:spacing w:val="-2"/>
          <w:sz w:val="20"/>
          <w:szCs w:val="20"/>
          <w:lang w:val="es-VE"/>
        </w:rPr>
        <w:footnoteReference w:id="166"/>
      </w:r>
      <w:r w:rsidR="001B30CD" w:rsidRPr="00BA76F2">
        <w:rPr>
          <w:rFonts w:asciiTheme="majorHAnsi" w:eastAsia="Batang" w:hAnsiTheme="majorHAnsi"/>
          <w:spacing w:val="-2"/>
          <w:sz w:val="20"/>
          <w:szCs w:val="20"/>
          <w:lang w:val="es-VE"/>
        </w:rPr>
        <w:t>.</w:t>
      </w:r>
    </w:p>
    <w:p w14:paraId="27B4A067" w14:textId="77777777" w:rsidR="00BA76F2" w:rsidRDefault="00BA76F2" w:rsidP="00BA76F2">
      <w:pPr>
        <w:pStyle w:val="ListParagraph"/>
        <w:rPr>
          <w:rFonts w:asciiTheme="majorHAnsi" w:hAnsiTheme="majorHAnsi"/>
          <w:sz w:val="20"/>
          <w:szCs w:val="20"/>
          <w:lang w:val="es-US"/>
        </w:rPr>
      </w:pPr>
    </w:p>
    <w:p w14:paraId="71A1186C" w14:textId="77777777" w:rsidR="00BA76F2" w:rsidRDefault="001B30CD" w:rsidP="00B14871">
      <w:pPr>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ind w:left="0" w:firstLine="0"/>
        <w:jc w:val="both"/>
        <w:rPr>
          <w:rFonts w:asciiTheme="majorHAnsi" w:hAnsiTheme="majorHAnsi"/>
          <w:sz w:val="20"/>
          <w:szCs w:val="20"/>
          <w:lang w:val="es-ES_tradnl"/>
        </w:rPr>
      </w:pPr>
      <w:r w:rsidRPr="00BA76F2">
        <w:rPr>
          <w:rFonts w:asciiTheme="majorHAnsi" w:hAnsiTheme="majorHAnsi"/>
          <w:sz w:val="20"/>
          <w:szCs w:val="20"/>
          <w:lang w:val="es-US"/>
        </w:rPr>
        <w:t xml:space="preserve">De la jurisprudencia interamericana se desprende que en virtud de los artículos 8 y 25 de la Convención, cuando las autoridades tienen conocimiento de un posible caso de desaparición forzada o tortura, tienen un deber reforzado en el impulso y desarrollo de la investigación, el cual comprende, en lo relevante para el presente caso: (i) iniciar de oficio la investigación siempre que exista denuncia o razón fundada para sospechar que ocurrieron tales delitos; (ii) ordenar y practicar las pruebas pertinentes conforme al deber de debida diligencia; (iii)  garantizar independencia e imparcialidad en la investigación; y (iv) remover los obstáculos que amenacen el adecuado desarrollo de la investigación, entre otros. </w:t>
      </w:r>
    </w:p>
    <w:p w14:paraId="565BB73A" w14:textId="77777777" w:rsidR="00BA76F2" w:rsidRDefault="00BA76F2" w:rsidP="00BA76F2">
      <w:pPr>
        <w:pStyle w:val="ListParagraph"/>
        <w:rPr>
          <w:rFonts w:asciiTheme="majorHAnsi" w:hAnsiTheme="majorHAnsi"/>
          <w:sz w:val="20"/>
          <w:szCs w:val="20"/>
          <w:lang w:val="es-US"/>
        </w:rPr>
      </w:pPr>
    </w:p>
    <w:p w14:paraId="21930D27" w14:textId="77777777" w:rsidR="00BA76F2" w:rsidRDefault="001B30CD" w:rsidP="00B14871">
      <w:pPr>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ind w:left="0" w:firstLine="0"/>
        <w:jc w:val="both"/>
        <w:rPr>
          <w:rFonts w:asciiTheme="majorHAnsi" w:hAnsiTheme="majorHAnsi"/>
          <w:sz w:val="20"/>
          <w:szCs w:val="20"/>
          <w:lang w:val="es-ES_tradnl"/>
        </w:rPr>
      </w:pPr>
      <w:r w:rsidRPr="00BA76F2">
        <w:rPr>
          <w:rFonts w:asciiTheme="majorHAnsi" w:hAnsiTheme="majorHAnsi"/>
          <w:sz w:val="20"/>
          <w:szCs w:val="20"/>
          <w:lang w:val="es-US"/>
        </w:rPr>
        <w:t>Respecto al deber de iniciar oficiosamente la investigación, l</w:t>
      </w:r>
      <w:r w:rsidRPr="00BA76F2">
        <w:rPr>
          <w:rFonts w:asciiTheme="majorHAnsi" w:hAnsiTheme="majorHAnsi"/>
          <w:sz w:val="20"/>
          <w:szCs w:val="20"/>
          <w:lang w:val="es-CO"/>
        </w:rPr>
        <w:t xml:space="preserve">os órganos del sistema han señalado constantemente que, “siempre que </w:t>
      </w:r>
      <w:r w:rsidRPr="00BA76F2">
        <w:rPr>
          <w:rFonts w:asciiTheme="majorHAnsi" w:hAnsiTheme="majorHAnsi" w:cs="Verdana"/>
          <w:spacing w:val="-2"/>
          <w:sz w:val="20"/>
          <w:szCs w:val="20"/>
          <w:lang w:val="es-CO"/>
        </w:rPr>
        <w:t xml:space="preserve">existan motivos razonables para sospechar que una persona ha sido sometida a desaparición </w:t>
      </w:r>
      <w:r w:rsidRPr="00BA76F2">
        <w:rPr>
          <w:rFonts w:asciiTheme="majorHAnsi" w:hAnsiTheme="majorHAnsi"/>
          <w:sz w:val="20"/>
          <w:szCs w:val="20"/>
          <w:lang w:val="es-US"/>
        </w:rPr>
        <w:t>forzada debe iniciarse una investigación penal”</w:t>
      </w:r>
      <w:r w:rsidR="002838CB" w:rsidRPr="00BA76F2">
        <w:rPr>
          <w:rFonts w:asciiTheme="majorHAnsi" w:hAnsiTheme="majorHAnsi"/>
          <w:sz w:val="20"/>
          <w:szCs w:val="20"/>
          <w:lang w:val="es-US"/>
        </w:rPr>
        <w:t xml:space="preserve">. Esta obligación es independiente de que se presente una denuncia, pues en casos de desaparición forzada el derecho internacional y el deber general de garantía, imponen la obligación de investigar el caso </w:t>
      </w:r>
      <w:r w:rsidR="002838CB" w:rsidRPr="00BA76F2">
        <w:rPr>
          <w:rFonts w:asciiTheme="majorHAnsi" w:hAnsiTheme="majorHAnsi"/>
          <w:i/>
          <w:sz w:val="20"/>
          <w:szCs w:val="20"/>
          <w:lang w:val="es-US"/>
        </w:rPr>
        <w:t>ex officio</w:t>
      </w:r>
      <w:r w:rsidR="002838CB" w:rsidRPr="00BA76F2">
        <w:rPr>
          <w:rFonts w:asciiTheme="majorHAnsi" w:hAnsiTheme="majorHAnsi"/>
          <w:sz w:val="20"/>
          <w:szCs w:val="20"/>
          <w:lang w:val="es-US"/>
        </w:rPr>
        <w:t>, sin dilación, y de una manera seria, imparcial y efectiva, de modo tal que no dependa de la iniciativa procesal de la víctima o de sus familiares o de la aportación privada de elementos probatorios</w:t>
      </w:r>
      <w:r w:rsidRPr="0007034B">
        <w:rPr>
          <w:rStyle w:val="FootnoteReference"/>
          <w:rFonts w:asciiTheme="majorHAnsi" w:hAnsiTheme="majorHAnsi" w:cs="Verdana"/>
          <w:spacing w:val="-2"/>
          <w:sz w:val="20"/>
          <w:szCs w:val="20"/>
        </w:rPr>
        <w:footnoteReference w:id="167"/>
      </w:r>
      <w:r w:rsidRPr="00BA76F2">
        <w:rPr>
          <w:rFonts w:asciiTheme="majorHAnsi" w:hAnsiTheme="majorHAnsi" w:cs="Verdana"/>
          <w:spacing w:val="-2"/>
          <w:sz w:val="20"/>
          <w:szCs w:val="20"/>
          <w:lang w:val="es-CO"/>
        </w:rPr>
        <w:t xml:space="preserve">. Igual actuación se exige cuando </w:t>
      </w:r>
      <w:r w:rsidRPr="00BA76F2">
        <w:rPr>
          <w:rFonts w:asciiTheme="majorHAnsi" w:hAnsiTheme="majorHAnsi"/>
          <w:sz w:val="20"/>
          <w:szCs w:val="20"/>
          <w:lang w:val="es-US"/>
        </w:rPr>
        <w:t>las autoridades tienen noticia de presuntos hechos de tortura</w:t>
      </w:r>
      <w:r w:rsidRPr="0007034B">
        <w:rPr>
          <w:rStyle w:val="FootnoteReference"/>
          <w:rFonts w:asciiTheme="majorHAnsi" w:hAnsiTheme="majorHAnsi" w:cs="Times"/>
          <w:sz w:val="20"/>
          <w:szCs w:val="20"/>
          <w:lang w:val="es-CO"/>
        </w:rPr>
        <w:footnoteReference w:id="168"/>
      </w:r>
      <w:r w:rsidRPr="00BA76F2">
        <w:rPr>
          <w:rFonts w:asciiTheme="majorHAnsi" w:hAnsiTheme="majorHAnsi" w:cs="Times"/>
          <w:sz w:val="20"/>
          <w:szCs w:val="20"/>
          <w:lang w:val="es-CO"/>
        </w:rPr>
        <w:t xml:space="preserve">. </w:t>
      </w:r>
    </w:p>
    <w:p w14:paraId="559FF0ED" w14:textId="77777777" w:rsidR="00BA76F2" w:rsidRDefault="00BA76F2" w:rsidP="00BA76F2">
      <w:pPr>
        <w:pStyle w:val="ListParagraph"/>
        <w:rPr>
          <w:rFonts w:asciiTheme="majorHAnsi" w:hAnsiTheme="majorHAnsi" w:cs="Verdana"/>
          <w:sz w:val="20"/>
          <w:szCs w:val="20"/>
          <w:lang w:val="es-CO"/>
        </w:rPr>
      </w:pPr>
    </w:p>
    <w:p w14:paraId="54B2D99C" w14:textId="77777777" w:rsidR="00BA76F2" w:rsidRDefault="001B30CD" w:rsidP="00B14871">
      <w:pPr>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ind w:left="0" w:firstLine="0"/>
        <w:jc w:val="both"/>
        <w:rPr>
          <w:rFonts w:asciiTheme="majorHAnsi" w:hAnsiTheme="majorHAnsi"/>
          <w:sz w:val="20"/>
          <w:szCs w:val="20"/>
          <w:lang w:val="es-ES_tradnl"/>
        </w:rPr>
      </w:pPr>
      <w:r w:rsidRPr="00BA76F2">
        <w:rPr>
          <w:rFonts w:asciiTheme="majorHAnsi" w:hAnsiTheme="majorHAnsi" w:cs="Verdana"/>
          <w:sz w:val="20"/>
          <w:szCs w:val="20"/>
          <w:lang w:val="es-CO"/>
        </w:rPr>
        <w:t xml:space="preserve">Sobre el deber de </w:t>
      </w:r>
      <w:r w:rsidRPr="00BA76F2">
        <w:rPr>
          <w:rFonts w:asciiTheme="majorHAnsi" w:hAnsiTheme="majorHAnsi"/>
          <w:sz w:val="20"/>
          <w:szCs w:val="20"/>
          <w:lang w:val="es-US"/>
        </w:rPr>
        <w:t>ordenar y practicar las pruebas pertinentes conforme al deber de debida diligencia,  l</w:t>
      </w:r>
      <w:r w:rsidRPr="00BA76F2">
        <w:rPr>
          <w:rFonts w:asciiTheme="majorHAnsi" w:hAnsiTheme="majorHAnsi" w:cs="Verdana"/>
          <w:sz w:val="20"/>
          <w:szCs w:val="20"/>
          <w:lang w:val="es-CO"/>
        </w:rPr>
        <w:t>a</w:t>
      </w:r>
      <w:r w:rsidRPr="00BA76F2">
        <w:rPr>
          <w:rFonts w:asciiTheme="majorHAnsi" w:hAnsiTheme="majorHAnsi"/>
          <w:sz w:val="20"/>
          <w:szCs w:val="20"/>
          <w:lang w:val="es-US"/>
        </w:rPr>
        <w:t xml:space="preserve"> Comisión y la Corte han especificado que en casos de violaciones de derechos humanos, la investigación debe estar orientada a explorar todas las líneas investigativas posibles, que permitan la identificación de los autores de dicha violación</w:t>
      </w:r>
      <w:r w:rsidRPr="0007034B">
        <w:rPr>
          <w:rStyle w:val="FootnoteReference"/>
          <w:rFonts w:asciiTheme="majorHAnsi" w:hAnsiTheme="majorHAnsi"/>
          <w:sz w:val="20"/>
          <w:szCs w:val="20"/>
        </w:rPr>
        <w:footnoteReference w:id="169"/>
      </w:r>
      <w:r w:rsidRPr="00BA76F2">
        <w:rPr>
          <w:rFonts w:asciiTheme="majorHAnsi" w:hAnsiTheme="majorHAnsi"/>
          <w:sz w:val="20"/>
          <w:szCs w:val="20"/>
          <w:lang w:val="es-US"/>
        </w:rPr>
        <w:t>. También ha</w:t>
      </w:r>
      <w:r w:rsidR="00916C2A" w:rsidRPr="00BA76F2">
        <w:rPr>
          <w:rFonts w:asciiTheme="majorHAnsi" w:hAnsiTheme="majorHAnsi"/>
          <w:sz w:val="20"/>
          <w:szCs w:val="20"/>
          <w:lang w:val="es-US"/>
        </w:rPr>
        <w:t xml:space="preserve"> establecido que,</w:t>
      </w:r>
      <w:r w:rsidRPr="00BA76F2">
        <w:rPr>
          <w:rFonts w:asciiTheme="majorHAnsi" w:hAnsiTheme="majorHAnsi"/>
          <w:sz w:val="20"/>
          <w:szCs w:val="20"/>
          <w:lang w:val="es-US"/>
        </w:rPr>
        <w:t xml:space="preserve"> </w:t>
      </w:r>
      <w:r w:rsidR="00916C2A" w:rsidRPr="00BA76F2">
        <w:rPr>
          <w:rFonts w:asciiTheme="majorHAnsi" w:hAnsiTheme="majorHAnsi"/>
          <w:sz w:val="20"/>
          <w:szCs w:val="20"/>
          <w:lang w:val="es-US"/>
        </w:rPr>
        <w:t>en casos complejos, “la obligación de investigar conlleva el deber de dirigir los esfuerzos del aparato estatal para desentrañar las estructuras que permitieron esas violaciones, sus causas, sus beneficiarios y sus consecuencias, por lo cual una investigación sólo puede resultar efectiva si se realiza a partir de una visión comprehensiva de los hechos, que tenga en cuenta los antecedentes y el contexto en que ocurrieron y que busque develar las estructuras de participación”</w:t>
      </w:r>
      <w:r w:rsidRPr="0007034B">
        <w:rPr>
          <w:rStyle w:val="FootnoteReference"/>
          <w:rFonts w:asciiTheme="majorHAnsi" w:hAnsiTheme="majorHAnsi"/>
          <w:spacing w:val="-2"/>
          <w:sz w:val="20"/>
          <w:szCs w:val="20"/>
        </w:rPr>
        <w:footnoteReference w:id="170"/>
      </w:r>
      <w:r w:rsidRPr="00BA76F2">
        <w:rPr>
          <w:rFonts w:asciiTheme="majorHAnsi" w:hAnsiTheme="majorHAnsi"/>
          <w:spacing w:val="-2"/>
          <w:sz w:val="20"/>
          <w:szCs w:val="20"/>
          <w:lang w:val="es-CO"/>
        </w:rPr>
        <w:t xml:space="preserve">. </w:t>
      </w:r>
    </w:p>
    <w:p w14:paraId="4CDC9FDA" w14:textId="77777777" w:rsidR="00BA76F2" w:rsidRDefault="00BA76F2" w:rsidP="00BA76F2">
      <w:pPr>
        <w:pStyle w:val="ListParagraph"/>
        <w:rPr>
          <w:rFonts w:asciiTheme="majorHAnsi" w:hAnsiTheme="majorHAnsi"/>
          <w:sz w:val="20"/>
          <w:szCs w:val="20"/>
          <w:lang w:val="es-US"/>
        </w:rPr>
      </w:pPr>
    </w:p>
    <w:p w14:paraId="60C41DC5" w14:textId="77777777" w:rsidR="00BA76F2" w:rsidRDefault="002B0F8B" w:rsidP="00B14871">
      <w:pPr>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ind w:left="0" w:firstLine="0"/>
        <w:jc w:val="both"/>
        <w:rPr>
          <w:rFonts w:asciiTheme="majorHAnsi" w:hAnsiTheme="majorHAnsi"/>
          <w:sz w:val="20"/>
          <w:szCs w:val="20"/>
          <w:lang w:val="es-ES_tradnl"/>
        </w:rPr>
      </w:pPr>
      <w:r w:rsidRPr="00BA76F2">
        <w:rPr>
          <w:rFonts w:asciiTheme="majorHAnsi" w:hAnsiTheme="majorHAnsi"/>
          <w:sz w:val="20"/>
          <w:szCs w:val="20"/>
          <w:lang w:val="es-US"/>
        </w:rPr>
        <w:t>Por otra parte</w:t>
      </w:r>
      <w:r w:rsidR="001B30CD" w:rsidRPr="00BA76F2">
        <w:rPr>
          <w:rFonts w:asciiTheme="majorHAnsi" w:hAnsiTheme="majorHAnsi"/>
          <w:sz w:val="20"/>
          <w:szCs w:val="20"/>
          <w:lang w:val="es-US"/>
        </w:rPr>
        <w:t>, la Corte ha señalado que los Estados deben remover todos los obstáculos y mecanismos de hecho y de der</w:t>
      </w:r>
      <w:r w:rsidRPr="00BA76F2">
        <w:rPr>
          <w:rFonts w:asciiTheme="majorHAnsi" w:hAnsiTheme="majorHAnsi"/>
          <w:sz w:val="20"/>
          <w:szCs w:val="20"/>
          <w:lang w:val="es-US"/>
        </w:rPr>
        <w:t>echo que mantienen la impunidad,</w:t>
      </w:r>
      <w:r w:rsidR="001B30CD" w:rsidRPr="00BA76F2">
        <w:rPr>
          <w:rFonts w:asciiTheme="majorHAnsi" w:hAnsiTheme="majorHAnsi"/>
          <w:sz w:val="20"/>
          <w:szCs w:val="20"/>
          <w:lang w:val="es-US"/>
        </w:rPr>
        <w:t xml:space="preserve"> así como utilizar todas las medidas a su alcance para diligenciar el proceso</w:t>
      </w:r>
      <w:r w:rsidR="001B30CD" w:rsidRPr="0007034B">
        <w:rPr>
          <w:rStyle w:val="FootnoteReference"/>
          <w:rFonts w:asciiTheme="majorHAnsi" w:hAnsiTheme="majorHAnsi"/>
          <w:sz w:val="20"/>
          <w:szCs w:val="20"/>
        </w:rPr>
        <w:footnoteReference w:id="171"/>
      </w:r>
      <w:r w:rsidR="001B30CD" w:rsidRPr="00BA76F2">
        <w:rPr>
          <w:rFonts w:asciiTheme="majorHAnsi" w:hAnsiTheme="majorHAnsi"/>
          <w:sz w:val="20"/>
          <w:szCs w:val="20"/>
          <w:lang w:val="es-US"/>
        </w:rPr>
        <w:t xml:space="preserve">. </w:t>
      </w:r>
      <w:r w:rsidR="0051550A" w:rsidRPr="00BA76F2">
        <w:rPr>
          <w:rFonts w:asciiTheme="majorHAnsi" w:hAnsiTheme="majorHAnsi"/>
          <w:sz w:val="20"/>
          <w:szCs w:val="20"/>
          <w:lang w:val="es-US"/>
        </w:rPr>
        <w:t xml:space="preserve">Respecto al obstáculo que representaron las </w:t>
      </w:r>
      <w:r w:rsidR="0051550A" w:rsidRPr="00BA76F2">
        <w:rPr>
          <w:rFonts w:asciiTheme="majorHAnsi" w:hAnsiTheme="majorHAnsi"/>
          <w:sz w:val="20"/>
          <w:szCs w:val="20"/>
          <w:lang w:val="es-ES"/>
        </w:rPr>
        <w:t xml:space="preserve">leyes </w:t>
      </w:r>
      <w:r w:rsidR="0051550A" w:rsidRPr="00BA76F2">
        <w:rPr>
          <w:rFonts w:asciiTheme="majorHAnsi" w:hAnsiTheme="majorHAnsi"/>
          <w:sz w:val="20"/>
          <w:szCs w:val="20"/>
          <w:lang w:val="es-AR"/>
        </w:rPr>
        <w:t>Nro. 23.492 y Nro. 23.521, así como el Decreto Nro. 1002/98, para la investigación y sanción de violaciones a los derechos humanos cometidas durante la dictadura</w:t>
      </w:r>
      <w:r w:rsidRPr="00BA76F2">
        <w:rPr>
          <w:rFonts w:asciiTheme="majorHAnsi" w:hAnsiTheme="majorHAnsi"/>
          <w:sz w:val="20"/>
          <w:szCs w:val="20"/>
          <w:lang w:val="es-AR"/>
        </w:rPr>
        <w:t xml:space="preserve"> argentina</w:t>
      </w:r>
      <w:r w:rsidR="0051550A" w:rsidRPr="00BA76F2">
        <w:rPr>
          <w:rFonts w:asciiTheme="majorHAnsi" w:hAnsiTheme="majorHAnsi"/>
          <w:sz w:val="20"/>
          <w:szCs w:val="20"/>
          <w:lang w:val="es-AR"/>
        </w:rPr>
        <w:t xml:space="preserve">, la Comisión </w:t>
      </w:r>
      <w:r w:rsidRPr="00BA76F2">
        <w:rPr>
          <w:rFonts w:asciiTheme="majorHAnsi" w:hAnsiTheme="majorHAnsi"/>
          <w:sz w:val="20"/>
          <w:szCs w:val="20"/>
          <w:lang w:val="es-AR"/>
        </w:rPr>
        <w:t xml:space="preserve">Interamericana </w:t>
      </w:r>
      <w:r w:rsidR="0051550A" w:rsidRPr="00BA76F2">
        <w:rPr>
          <w:rFonts w:asciiTheme="majorHAnsi" w:hAnsiTheme="majorHAnsi"/>
          <w:sz w:val="20"/>
          <w:szCs w:val="20"/>
          <w:lang w:val="es-AR"/>
        </w:rPr>
        <w:t xml:space="preserve">concluyó en 1992 que las mismas eran incompatibles </w:t>
      </w:r>
      <w:r w:rsidRPr="00BA76F2">
        <w:rPr>
          <w:rFonts w:asciiTheme="majorHAnsi" w:hAnsiTheme="majorHAnsi"/>
          <w:sz w:val="20"/>
          <w:szCs w:val="20"/>
          <w:lang w:val="es-AR"/>
        </w:rPr>
        <w:t xml:space="preserve">con </w:t>
      </w:r>
      <w:r w:rsidR="0051550A" w:rsidRPr="00BA76F2">
        <w:rPr>
          <w:rFonts w:asciiTheme="majorHAnsi" w:hAnsiTheme="majorHAnsi"/>
          <w:sz w:val="20"/>
          <w:szCs w:val="20"/>
          <w:lang w:val="es-AR"/>
        </w:rPr>
        <w:t xml:space="preserve">el artículo XVIII de la Declaración Americana y los artículos 8 y 25 de la Convención Americana, en relación con su artículo 1.1. Ello, en cuanto el efecto jurídico de su sanción </w:t>
      </w:r>
      <w:r w:rsidR="00984226" w:rsidRPr="00BA76F2">
        <w:rPr>
          <w:rFonts w:asciiTheme="majorHAnsi" w:hAnsiTheme="majorHAnsi"/>
          <w:sz w:val="20"/>
          <w:szCs w:val="20"/>
          <w:lang w:val="es-AR"/>
        </w:rPr>
        <w:t>“privó a las víctimas de su derecho a obtener una investigación judicial en sede criminal, destinada a individualizar y sancionar a los responsables de los delitos cometidos”</w:t>
      </w:r>
      <w:r w:rsidR="00984226" w:rsidRPr="0007034B">
        <w:rPr>
          <w:rStyle w:val="FootnoteReference"/>
          <w:rFonts w:asciiTheme="majorHAnsi" w:hAnsiTheme="majorHAnsi"/>
          <w:sz w:val="20"/>
          <w:szCs w:val="20"/>
          <w:lang w:val="es-AR"/>
        </w:rPr>
        <w:footnoteReference w:id="172"/>
      </w:r>
      <w:r w:rsidR="00984226" w:rsidRPr="00BA76F2">
        <w:rPr>
          <w:rFonts w:asciiTheme="majorHAnsi" w:hAnsiTheme="majorHAnsi"/>
          <w:sz w:val="20"/>
          <w:szCs w:val="20"/>
          <w:lang w:val="es-AR"/>
        </w:rPr>
        <w:t>.</w:t>
      </w:r>
    </w:p>
    <w:p w14:paraId="2F3A3330" w14:textId="77777777" w:rsidR="00BA76F2" w:rsidRDefault="00BA76F2" w:rsidP="00BA76F2">
      <w:pPr>
        <w:pStyle w:val="ListParagraph"/>
        <w:rPr>
          <w:rFonts w:asciiTheme="majorHAnsi" w:hAnsiTheme="majorHAnsi"/>
          <w:sz w:val="20"/>
          <w:szCs w:val="20"/>
          <w:lang w:val="es-US"/>
        </w:rPr>
      </w:pPr>
    </w:p>
    <w:p w14:paraId="728163E2" w14:textId="5EB70B52" w:rsidR="00CF1E66" w:rsidRPr="00BA76F2" w:rsidRDefault="0051550A" w:rsidP="00B14871">
      <w:pPr>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ind w:left="0" w:firstLine="0"/>
        <w:jc w:val="both"/>
        <w:rPr>
          <w:rFonts w:asciiTheme="majorHAnsi" w:hAnsiTheme="majorHAnsi"/>
          <w:sz w:val="20"/>
          <w:szCs w:val="20"/>
          <w:lang w:val="es-ES_tradnl"/>
        </w:rPr>
      </w:pPr>
      <w:r w:rsidRPr="00BA76F2">
        <w:rPr>
          <w:rFonts w:asciiTheme="majorHAnsi" w:hAnsiTheme="majorHAnsi"/>
          <w:sz w:val="20"/>
          <w:szCs w:val="20"/>
          <w:lang w:val="es-US"/>
        </w:rPr>
        <w:t>Asimismo,</w:t>
      </w:r>
      <w:r w:rsidR="0056327A" w:rsidRPr="00BA76F2">
        <w:rPr>
          <w:rFonts w:asciiTheme="majorHAnsi" w:hAnsiTheme="majorHAnsi"/>
          <w:sz w:val="20"/>
          <w:szCs w:val="20"/>
          <w:lang w:val="es-US"/>
        </w:rPr>
        <w:t xml:space="preserve"> desde el Caso Barrios Altos la Corte Interamericana ha señalado que</w:t>
      </w:r>
      <w:r w:rsidR="009229D3" w:rsidRPr="0007034B">
        <w:rPr>
          <w:rStyle w:val="FootnoteReference"/>
          <w:rFonts w:asciiTheme="majorHAnsi" w:hAnsiTheme="majorHAnsi"/>
          <w:sz w:val="20"/>
          <w:szCs w:val="20"/>
        </w:rPr>
        <w:footnoteReference w:id="173"/>
      </w:r>
      <w:r w:rsidR="0056327A" w:rsidRPr="00BA76F2">
        <w:rPr>
          <w:rFonts w:asciiTheme="majorHAnsi" w:hAnsiTheme="majorHAnsi"/>
          <w:sz w:val="20"/>
          <w:szCs w:val="20"/>
          <w:lang w:val="es-US"/>
        </w:rPr>
        <w:t>:</w:t>
      </w:r>
    </w:p>
    <w:p w14:paraId="68E1B947" w14:textId="77777777" w:rsidR="0056327A" w:rsidRPr="0007034B" w:rsidRDefault="0056327A" w:rsidP="0056327A">
      <w:pPr>
        <w:pStyle w:val="ListParagraph"/>
        <w:rPr>
          <w:rFonts w:asciiTheme="majorHAnsi" w:eastAsia="Arial Unicode MS" w:hAnsiTheme="majorHAnsi" w:cs="Times New Roman"/>
          <w:color w:val="auto"/>
          <w:sz w:val="20"/>
          <w:szCs w:val="20"/>
          <w:lang w:val="es-US" w:eastAsia="en-US"/>
        </w:rPr>
      </w:pPr>
    </w:p>
    <w:p w14:paraId="79F5C9E0" w14:textId="7A9C1D17" w:rsidR="00802CB3" w:rsidRPr="00F9082E" w:rsidRDefault="0056327A" w:rsidP="0007034B">
      <w:pPr>
        <w:pStyle w:val="FootnoteText"/>
        <w:ind w:left="720" w:right="584"/>
        <w:rPr>
          <w:sz w:val="18"/>
          <w:szCs w:val="18"/>
          <w:lang w:val="es-ES"/>
        </w:rPr>
      </w:pPr>
      <w:r w:rsidRPr="00F9082E">
        <w:rPr>
          <w:rFonts w:eastAsia="Arial Unicode MS" w:cs="Times New Roman"/>
          <w:color w:val="auto"/>
          <w:sz w:val="18"/>
          <w:szCs w:val="18"/>
          <w:lang w:val="es-US" w:eastAsia="en-US"/>
        </w:rPr>
        <w:t xml:space="preserve">son inadmisibles las disposiciones de amnistía, las disposiciones de prescripción y el establecimiento de excluyentes de responsabilidad que pretendan impedir la investigación y sanción de los responsables de las violaciones graves de los derechos humanos tales como la tortura, las ejecuciones sumarias, </w:t>
      </w:r>
      <w:r w:rsidRPr="00F9082E">
        <w:rPr>
          <w:rFonts w:eastAsia="Arial Unicode MS" w:cs="Times New Roman"/>
          <w:color w:val="auto"/>
          <w:sz w:val="18"/>
          <w:szCs w:val="18"/>
          <w:lang w:val="es-US" w:eastAsia="en-US"/>
        </w:rPr>
        <w:lastRenderedPageBreak/>
        <w:t>extralegales o arbitrarias y las desapariciones forzadas, todas ellas prohibidas por contravenir derechos inderogables reconocidos por el Derecho Internacional de los Derechos Humanos</w:t>
      </w:r>
      <w:r w:rsidRPr="00F9082E">
        <w:rPr>
          <w:sz w:val="18"/>
          <w:szCs w:val="18"/>
          <w:lang w:val="es-ES"/>
        </w:rPr>
        <w:t>.</w:t>
      </w:r>
      <w:bookmarkStart w:id="95" w:name="_Toc492973703"/>
    </w:p>
    <w:p w14:paraId="04C2981A" w14:textId="77777777" w:rsidR="0007034B" w:rsidRPr="0007034B" w:rsidRDefault="0007034B" w:rsidP="0007034B">
      <w:pPr>
        <w:pStyle w:val="FootnoteText"/>
        <w:ind w:left="720" w:right="584"/>
        <w:rPr>
          <w:sz w:val="20"/>
          <w:szCs w:val="20"/>
          <w:lang w:val="es-ES"/>
        </w:rPr>
      </w:pPr>
    </w:p>
    <w:p w14:paraId="654E942D" w14:textId="768D1723" w:rsidR="001B30CD" w:rsidRPr="007E73E1" w:rsidRDefault="001B30CD" w:rsidP="007E73E1">
      <w:pPr>
        <w:pStyle w:val="Heading3"/>
      </w:pPr>
      <w:bookmarkStart w:id="96" w:name="_Toc6349179"/>
      <w:bookmarkStart w:id="97" w:name="_Toc6466672"/>
      <w:r w:rsidRPr="007E73E1">
        <w:t>Análisis del ca</w:t>
      </w:r>
      <w:bookmarkEnd w:id="95"/>
      <w:r w:rsidR="00AF5DD1" w:rsidRPr="007E73E1">
        <w:t>so</w:t>
      </w:r>
      <w:bookmarkEnd w:id="96"/>
      <w:bookmarkEnd w:id="97"/>
    </w:p>
    <w:p w14:paraId="129781A7" w14:textId="77777777" w:rsidR="00456BF3" w:rsidRPr="0007034B" w:rsidRDefault="00456BF3" w:rsidP="00802CB3">
      <w:pPr>
        <w:pStyle w:val="ListParagraph"/>
        <w:rPr>
          <w:rFonts w:asciiTheme="majorHAnsi" w:hAnsiTheme="majorHAnsi"/>
          <w:sz w:val="20"/>
          <w:szCs w:val="20"/>
          <w:lang w:val="es-US"/>
        </w:rPr>
      </w:pPr>
    </w:p>
    <w:p w14:paraId="0B8D056A" w14:textId="77777777" w:rsidR="00BA76F2" w:rsidRDefault="00456BF3" w:rsidP="00B14871">
      <w:pPr>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ind w:left="0" w:firstLine="0"/>
        <w:jc w:val="both"/>
        <w:rPr>
          <w:rFonts w:asciiTheme="majorHAnsi" w:hAnsiTheme="majorHAnsi"/>
          <w:sz w:val="20"/>
          <w:szCs w:val="20"/>
          <w:lang w:val="es-ES_tradnl"/>
        </w:rPr>
      </w:pPr>
      <w:r w:rsidRPr="0007034B">
        <w:rPr>
          <w:rFonts w:asciiTheme="majorHAnsi" w:hAnsiTheme="majorHAnsi"/>
          <w:sz w:val="20"/>
          <w:szCs w:val="20"/>
          <w:lang w:val="es-US"/>
        </w:rPr>
        <w:t xml:space="preserve">A continuación, la Comisión analizará las acciones adelantadas por el Estado con relación a </w:t>
      </w:r>
      <w:r w:rsidR="00367D4F" w:rsidRPr="0007034B">
        <w:rPr>
          <w:rFonts w:asciiTheme="majorHAnsi" w:hAnsiTheme="majorHAnsi"/>
          <w:sz w:val="20"/>
          <w:szCs w:val="20"/>
          <w:lang w:val="es-US"/>
        </w:rPr>
        <w:t xml:space="preserve">la investigación penal de </w:t>
      </w:r>
      <w:r w:rsidRPr="0007034B">
        <w:rPr>
          <w:rFonts w:asciiTheme="majorHAnsi" w:hAnsiTheme="majorHAnsi"/>
          <w:sz w:val="20"/>
          <w:szCs w:val="20"/>
          <w:lang w:val="es-US"/>
        </w:rPr>
        <w:t>l</w:t>
      </w:r>
      <w:r w:rsidR="00356BDB" w:rsidRPr="0007034B">
        <w:rPr>
          <w:rFonts w:asciiTheme="majorHAnsi" w:hAnsiTheme="majorHAnsi"/>
          <w:sz w:val="20"/>
          <w:szCs w:val="20"/>
          <w:lang w:val="es-US"/>
        </w:rPr>
        <w:t xml:space="preserve">os delitos </w:t>
      </w:r>
      <w:r w:rsidR="00590261" w:rsidRPr="0007034B">
        <w:rPr>
          <w:rFonts w:asciiTheme="majorHAnsi" w:hAnsiTheme="majorHAnsi"/>
          <w:sz w:val="20"/>
          <w:szCs w:val="20"/>
          <w:lang w:val="es-US"/>
        </w:rPr>
        <w:t xml:space="preserve">de desaparición forzada y tortura </w:t>
      </w:r>
      <w:r w:rsidR="00356BDB" w:rsidRPr="0007034B">
        <w:rPr>
          <w:rFonts w:asciiTheme="majorHAnsi" w:hAnsiTheme="majorHAnsi"/>
          <w:sz w:val="20"/>
          <w:szCs w:val="20"/>
          <w:lang w:val="es-US"/>
        </w:rPr>
        <w:t xml:space="preserve">cometidos contra la familia Julien </w:t>
      </w:r>
      <w:r w:rsidR="00590261" w:rsidRPr="0007034B">
        <w:rPr>
          <w:rFonts w:asciiTheme="majorHAnsi" w:hAnsiTheme="majorHAnsi"/>
          <w:sz w:val="20"/>
          <w:szCs w:val="20"/>
          <w:lang w:val="es-US"/>
        </w:rPr>
        <w:t>–</w:t>
      </w:r>
      <w:r w:rsidR="00356BDB" w:rsidRPr="0007034B">
        <w:rPr>
          <w:rFonts w:asciiTheme="majorHAnsi" w:hAnsiTheme="majorHAnsi"/>
          <w:sz w:val="20"/>
          <w:szCs w:val="20"/>
          <w:lang w:val="es-US"/>
        </w:rPr>
        <w:t xml:space="preserve"> Grisonas</w:t>
      </w:r>
      <w:r w:rsidR="00590261" w:rsidRPr="0007034B">
        <w:rPr>
          <w:rFonts w:asciiTheme="majorHAnsi" w:hAnsiTheme="majorHAnsi"/>
          <w:sz w:val="20"/>
          <w:szCs w:val="20"/>
          <w:lang w:val="es-US"/>
        </w:rPr>
        <w:t xml:space="preserve">, a saber: </w:t>
      </w:r>
      <w:r w:rsidRPr="0007034B">
        <w:rPr>
          <w:rFonts w:asciiTheme="majorHAnsi" w:hAnsiTheme="majorHAnsi"/>
          <w:sz w:val="20"/>
          <w:szCs w:val="20"/>
          <w:lang w:val="es-US"/>
        </w:rPr>
        <w:t xml:space="preserve">(i) </w:t>
      </w:r>
      <w:r w:rsidR="007F2431" w:rsidRPr="0007034B">
        <w:rPr>
          <w:rFonts w:asciiTheme="majorHAnsi" w:hAnsiTheme="majorHAnsi"/>
          <w:sz w:val="20"/>
          <w:szCs w:val="20"/>
          <w:lang w:val="es-US"/>
        </w:rPr>
        <w:t>la existencia de obstáculos en la investigación</w:t>
      </w:r>
      <w:r w:rsidR="005664A6" w:rsidRPr="0007034B">
        <w:rPr>
          <w:rFonts w:asciiTheme="majorHAnsi" w:hAnsiTheme="majorHAnsi"/>
          <w:sz w:val="20"/>
          <w:szCs w:val="20"/>
          <w:lang w:val="es-US"/>
        </w:rPr>
        <w:t xml:space="preserve"> durante la vigencia de las leyes </w:t>
      </w:r>
      <w:r w:rsidR="005664A6" w:rsidRPr="0007034B">
        <w:rPr>
          <w:rFonts w:asciiTheme="majorHAnsi" w:hAnsiTheme="majorHAnsi"/>
          <w:sz w:val="20"/>
          <w:szCs w:val="20"/>
          <w:lang w:val="es-AR"/>
        </w:rPr>
        <w:t>23.492 y 23.521</w:t>
      </w:r>
      <w:r w:rsidR="0094316A" w:rsidRPr="0007034B">
        <w:rPr>
          <w:rFonts w:asciiTheme="majorHAnsi" w:hAnsiTheme="majorHAnsi"/>
          <w:sz w:val="20"/>
          <w:szCs w:val="20"/>
          <w:lang w:val="es-US"/>
        </w:rPr>
        <w:t>;</w:t>
      </w:r>
      <w:r w:rsidRPr="0007034B">
        <w:rPr>
          <w:rFonts w:asciiTheme="majorHAnsi" w:hAnsiTheme="majorHAnsi"/>
          <w:sz w:val="20"/>
          <w:szCs w:val="20"/>
          <w:lang w:val="es-US"/>
        </w:rPr>
        <w:t xml:space="preserve"> (ii) </w:t>
      </w:r>
      <w:r w:rsidR="00DB13C9" w:rsidRPr="0007034B">
        <w:rPr>
          <w:rFonts w:asciiTheme="majorHAnsi" w:hAnsiTheme="majorHAnsi"/>
          <w:sz w:val="20"/>
          <w:szCs w:val="20"/>
          <w:lang w:val="es-US"/>
        </w:rPr>
        <w:t xml:space="preserve">los esfuerzos </w:t>
      </w:r>
      <w:r w:rsidR="002F1CF0" w:rsidRPr="0007034B">
        <w:rPr>
          <w:rFonts w:asciiTheme="majorHAnsi" w:hAnsiTheme="majorHAnsi"/>
          <w:sz w:val="20"/>
          <w:szCs w:val="20"/>
          <w:lang w:val="es-US"/>
        </w:rPr>
        <w:t>del Estado con posterioridad a la nulidad de</w:t>
      </w:r>
      <w:r w:rsidR="005664A6" w:rsidRPr="0007034B">
        <w:rPr>
          <w:rFonts w:asciiTheme="majorHAnsi" w:hAnsiTheme="majorHAnsi"/>
          <w:sz w:val="20"/>
          <w:szCs w:val="20"/>
          <w:lang w:val="es-US"/>
        </w:rPr>
        <w:t xml:space="preserve"> las mismas</w:t>
      </w:r>
      <w:r w:rsidRPr="0007034B">
        <w:rPr>
          <w:rFonts w:asciiTheme="majorHAnsi" w:hAnsiTheme="majorHAnsi"/>
          <w:sz w:val="20"/>
          <w:szCs w:val="20"/>
          <w:lang w:val="es-US"/>
        </w:rPr>
        <w:t xml:space="preserve">; (iii) </w:t>
      </w:r>
      <w:r w:rsidR="00482794" w:rsidRPr="0007034B">
        <w:rPr>
          <w:rFonts w:asciiTheme="majorHAnsi" w:hAnsiTheme="majorHAnsi"/>
          <w:sz w:val="20"/>
          <w:szCs w:val="20"/>
          <w:lang w:val="es-US"/>
        </w:rPr>
        <w:t>la investigación penal respecto de los delitos cometidos en perjuicio de Victoria Grisonas y Mario Julien</w:t>
      </w:r>
      <w:r w:rsidRPr="0007034B">
        <w:rPr>
          <w:rFonts w:asciiTheme="majorHAnsi" w:hAnsiTheme="majorHAnsi"/>
          <w:sz w:val="20"/>
          <w:szCs w:val="20"/>
          <w:lang w:val="es-US"/>
        </w:rPr>
        <w:t>; (</w:t>
      </w:r>
      <w:r w:rsidR="00EF3F4F" w:rsidRPr="0007034B">
        <w:rPr>
          <w:rFonts w:asciiTheme="majorHAnsi" w:hAnsiTheme="majorHAnsi"/>
          <w:sz w:val="20"/>
          <w:szCs w:val="20"/>
          <w:lang w:val="es-US"/>
        </w:rPr>
        <w:t>i</w:t>
      </w:r>
      <w:r w:rsidRPr="0007034B">
        <w:rPr>
          <w:rFonts w:asciiTheme="majorHAnsi" w:hAnsiTheme="majorHAnsi"/>
          <w:sz w:val="20"/>
          <w:szCs w:val="20"/>
          <w:lang w:val="es-US"/>
        </w:rPr>
        <w:t>v</w:t>
      </w:r>
      <w:r w:rsidR="0094316A" w:rsidRPr="0007034B">
        <w:rPr>
          <w:rFonts w:asciiTheme="majorHAnsi" w:hAnsiTheme="majorHAnsi"/>
          <w:sz w:val="20"/>
          <w:szCs w:val="20"/>
          <w:lang w:val="es-US"/>
        </w:rPr>
        <w:t xml:space="preserve">) </w:t>
      </w:r>
      <w:r w:rsidR="00EF3F4F" w:rsidRPr="0007034B">
        <w:rPr>
          <w:rFonts w:asciiTheme="majorHAnsi" w:hAnsiTheme="majorHAnsi"/>
          <w:sz w:val="20"/>
          <w:szCs w:val="20"/>
          <w:lang w:val="es-US"/>
        </w:rPr>
        <w:t xml:space="preserve">la búsqueda de sus restos; (v) </w:t>
      </w:r>
      <w:r w:rsidR="00A738D4" w:rsidRPr="0007034B">
        <w:rPr>
          <w:rFonts w:asciiTheme="majorHAnsi" w:hAnsiTheme="majorHAnsi"/>
          <w:sz w:val="20"/>
          <w:szCs w:val="20"/>
          <w:lang w:val="es-US"/>
        </w:rPr>
        <w:t xml:space="preserve">la investigación respecto de los delitos cometidos en perjuicio de los hermanos Larrabeiti Yáñez; </w:t>
      </w:r>
      <w:r w:rsidR="005664A6" w:rsidRPr="0007034B">
        <w:rPr>
          <w:rFonts w:asciiTheme="majorHAnsi" w:hAnsiTheme="majorHAnsi"/>
          <w:sz w:val="20"/>
          <w:szCs w:val="20"/>
          <w:lang w:val="es-US"/>
        </w:rPr>
        <w:t xml:space="preserve">y (vi) el plazo razonable </w:t>
      </w:r>
      <w:r w:rsidR="007934DD" w:rsidRPr="0007034B">
        <w:rPr>
          <w:rFonts w:asciiTheme="majorHAnsi" w:hAnsiTheme="majorHAnsi"/>
          <w:sz w:val="20"/>
          <w:szCs w:val="20"/>
          <w:lang w:val="es-US"/>
        </w:rPr>
        <w:t>en las investigaciones penales.</w:t>
      </w:r>
    </w:p>
    <w:p w14:paraId="1D44B5E7" w14:textId="77777777" w:rsidR="00BA76F2" w:rsidRDefault="00BA76F2" w:rsidP="00BA76F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Fonts w:asciiTheme="majorHAnsi" w:hAnsiTheme="majorHAnsi"/>
          <w:sz w:val="20"/>
          <w:szCs w:val="20"/>
          <w:lang w:val="es-ES_tradnl"/>
        </w:rPr>
      </w:pPr>
    </w:p>
    <w:p w14:paraId="488F493C" w14:textId="77777777" w:rsidR="00BA76F2" w:rsidRDefault="00226A28" w:rsidP="00B14871">
      <w:pPr>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ind w:left="0" w:firstLine="0"/>
        <w:jc w:val="both"/>
        <w:rPr>
          <w:rFonts w:asciiTheme="majorHAnsi" w:hAnsiTheme="majorHAnsi"/>
          <w:sz w:val="20"/>
          <w:szCs w:val="20"/>
          <w:lang w:val="es-ES_tradnl"/>
        </w:rPr>
      </w:pPr>
      <w:r w:rsidRPr="00BA76F2">
        <w:rPr>
          <w:rFonts w:asciiTheme="majorHAnsi" w:hAnsiTheme="majorHAnsi"/>
          <w:sz w:val="20"/>
          <w:szCs w:val="20"/>
          <w:lang w:val="es-ES_tradnl"/>
        </w:rPr>
        <w:t>Como se indicó en la sección relativa a</w:t>
      </w:r>
      <w:r w:rsidR="00EE0BFD" w:rsidRPr="00BA76F2">
        <w:rPr>
          <w:rFonts w:asciiTheme="majorHAnsi" w:hAnsiTheme="majorHAnsi"/>
          <w:sz w:val="20"/>
          <w:szCs w:val="20"/>
          <w:lang w:val="es-ES_tradnl"/>
        </w:rPr>
        <w:t xml:space="preserve"> </w:t>
      </w:r>
      <w:r w:rsidRPr="00BA76F2">
        <w:rPr>
          <w:rFonts w:asciiTheme="majorHAnsi" w:hAnsiTheme="majorHAnsi"/>
          <w:sz w:val="20"/>
          <w:szCs w:val="20"/>
          <w:lang w:val="es-ES_tradnl"/>
        </w:rPr>
        <w:t>l</w:t>
      </w:r>
      <w:r w:rsidR="00EE0BFD" w:rsidRPr="00BA76F2">
        <w:rPr>
          <w:rFonts w:asciiTheme="majorHAnsi" w:hAnsiTheme="majorHAnsi"/>
          <w:sz w:val="20"/>
          <w:szCs w:val="20"/>
          <w:lang w:val="es-ES_tradnl"/>
        </w:rPr>
        <w:t>a determinación</w:t>
      </w:r>
      <w:r w:rsidRPr="00BA76F2">
        <w:rPr>
          <w:rFonts w:asciiTheme="majorHAnsi" w:hAnsiTheme="majorHAnsi"/>
          <w:sz w:val="20"/>
          <w:szCs w:val="20"/>
          <w:lang w:val="es-ES_tradnl"/>
        </w:rPr>
        <w:t xml:space="preserve"> de los hechos,</w:t>
      </w:r>
      <w:r w:rsidR="00EE0BFD" w:rsidRPr="00BA76F2">
        <w:rPr>
          <w:rFonts w:asciiTheme="majorHAnsi" w:hAnsiTheme="majorHAnsi"/>
          <w:sz w:val="20"/>
          <w:szCs w:val="20"/>
          <w:lang w:val="es-ES_tradnl"/>
        </w:rPr>
        <w:t xml:space="preserve"> </w:t>
      </w:r>
      <w:r w:rsidR="00D82547" w:rsidRPr="00BA76F2">
        <w:rPr>
          <w:rFonts w:asciiTheme="majorHAnsi" w:hAnsiTheme="majorHAnsi"/>
          <w:sz w:val="20"/>
          <w:szCs w:val="20"/>
          <w:lang w:val="es-ES_tradnl"/>
        </w:rPr>
        <w:t>e</w:t>
      </w:r>
      <w:r w:rsidR="00D82547" w:rsidRPr="00BA76F2">
        <w:rPr>
          <w:rFonts w:asciiTheme="majorHAnsi" w:hAnsiTheme="majorHAnsi"/>
          <w:sz w:val="20"/>
          <w:szCs w:val="20"/>
          <w:lang w:val="es-ES"/>
        </w:rPr>
        <w:t xml:space="preserve">l 24 de diciembre de 1986 </w:t>
      </w:r>
      <w:r w:rsidR="00D82547" w:rsidRPr="00BA76F2">
        <w:rPr>
          <w:rFonts w:asciiTheme="majorHAnsi" w:hAnsiTheme="majorHAnsi"/>
          <w:sz w:val="20"/>
          <w:szCs w:val="20"/>
          <w:lang w:val="es-AR"/>
        </w:rPr>
        <w:t xml:space="preserve">y el 8 de junio de 1987 </w:t>
      </w:r>
      <w:r w:rsidR="00D82547" w:rsidRPr="00BA76F2">
        <w:rPr>
          <w:rFonts w:asciiTheme="majorHAnsi" w:hAnsiTheme="majorHAnsi"/>
          <w:sz w:val="20"/>
          <w:szCs w:val="20"/>
          <w:lang w:val="es-ES"/>
        </w:rPr>
        <w:t xml:space="preserve">se promulgaron las Leyes </w:t>
      </w:r>
      <w:r w:rsidR="00D82547" w:rsidRPr="00BA76F2">
        <w:rPr>
          <w:rFonts w:asciiTheme="majorHAnsi" w:hAnsiTheme="majorHAnsi"/>
          <w:sz w:val="20"/>
          <w:szCs w:val="20"/>
          <w:lang w:val="es-AR"/>
        </w:rPr>
        <w:t>Nro. 23.492, llamada de “</w:t>
      </w:r>
      <w:r w:rsidR="00A9235D" w:rsidRPr="00BA76F2">
        <w:rPr>
          <w:rFonts w:asciiTheme="majorHAnsi" w:hAnsiTheme="majorHAnsi"/>
          <w:sz w:val="20"/>
          <w:szCs w:val="20"/>
          <w:lang w:val="es-AR"/>
        </w:rPr>
        <w:t xml:space="preserve"> Punto Final</w:t>
      </w:r>
      <w:r w:rsidR="00D82547" w:rsidRPr="00BA76F2">
        <w:rPr>
          <w:rFonts w:asciiTheme="majorHAnsi" w:hAnsiTheme="majorHAnsi"/>
          <w:sz w:val="20"/>
          <w:szCs w:val="20"/>
          <w:lang w:val="es-AR"/>
        </w:rPr>
        <w:t>”, y Nro. 23.521, llamada de “</w:t>
      </w:r>
      <w:r w:rsidR="00A9235D" w:rsidRPr="00BA76F2">
        <w:rPr>
          <w:rFonts w:asciiTheme="majorHAnsi" w:hAnsiTheme="majorHAnsi"/>
          <w:sz w:val="20"/>
          <w:szCs w:val="20"/>
          <w:lang w:val="es-AR"/>
        </w:rPr>
        <w:t>Obediencia debida</w:t>
      </w:r>
      <w:r w:rsidR="00D82547" w:rsidRPr="00BA76F2">
        <w:rPr>
          <w:rFonts w:asciiTheme="majorHAnsi" w:hAnsiTheme="majorHAnsi"/>
          <w:sz w:val="20"/>
          <w:szCs w:val="20"/>
          <w:lang w:val="es-AR"/>
        </w:rPr>
        <w:t>”, respectivamente, las cuales, junto con los indultos decretados por el Presidente Carlos Menem (Nro. 1002/98 y otros), provocaron que un gran número de causas penales que se habían abierto luego del retorno a la democracia con el fin de investigar los hechos cometidos durante la dictadura, quedaran paralizadas. Dichas leyes fueron declaradas</w:t>
      </w:r>
      <w:r w:rsidR="00681286" w:rsidRPr="00BA76F2">
        <w:rPr>
          <w:rFonts w:asciiTheme="majorHAnsi" w:hAnsiTheme="majorHAnsi"/>
          <w:sz w:val="20"/>
          <w:szCs w:val="20"/>
          <w:lang w:val="es-AR"/>
        </w:rPr>
        <w:t xml:space="preserve"> nulas por la Ley 25.779 y luego declaradas</w:t>
      </w:r>
      <w:r w:rsidR="00D82547" w:rsidRPr="00BA76F2">
        <w:rPr>
          <w:rFonts w:asciiTheme="majorHAnsi" w:hAnsiTheme="majorHAnsi"/>
          <w:sz w:val="20"/>
          <w:szCs w:val="20"/>
          <w:lang w:val="es-AR"/>
        </w:rPr>
        <w:t xml:space="preserve"> inconstitucionales </w:t>
      </w:r>
      <w:r w:rsidR="0024363A" w:rsidRPr="00BA76F2">
        <w:rPr>
          <w:rFonts w:asciiTheme="majorHAnsi" w:hAnsiTheme="majorHAnsi"/>
          <w:sz w:val="20"/>
          <w:szCs w:val="20"/>
          <w:lang w:val="es-AR"/>
        </w:rPr>
        <w:t>por la CSJN el</w:t>
      </w:r>
      <w:r w:rsidR="00D82547" w:rsidRPr="00BA76F2">
        <w:rPr>
          <w:rFonts w:asciiTheme="majorHAnsi" w:hAnsiTheme="majorHAnsi"/>
          <w:sz w:val="20"/>
          <w:szCs w:val="20"/>
          <w:lang w:val="es-AR"/>
        </w:rPr>
        <w:t xml:space="preserve"> 14 de junio de 2005</w:t>
      </w:r>
      <w:r w:rsidR="0024363A" w:rsidRPr="00BA76F2">
        <w:rPr>
          <w:rFonts w:asciiTheme="majorHAnsi" w:hAnsiTheme="majorHAnsi"/>
          <w:sz w:val="20"/>
          <w:szCs w:val="20"/>
          <w:lang w:val="es-AR"/>
        </w:rPr>
        <w:t>.</w:t>
      </w:r>
    </w:p>
    <w:p w14:paraId="69CDDA97" w14:textId="77777777" w:rsidR="00BA76F2" w:rsidRDefault="00BA76F2" w:rsidP="00BA76F2">
      <w:pPr>
        <w:pStyle w:val="ListParagraph"/>
        <w:rPr>
          <w:rFonts w:asciiTheme="majorHAnsi" w:hAnsiTheme="majorHAnsi"/>
          <w:sz w:val="20"/>
          <w:szCs w:val="20"/>
          <w:lang w:val="es-ES"/>
        </w:rPr>
      </w:pPr>
    </w:p>
    <w:p w14:paraId="72F1D389" w14:textId="77777777" w:rsidR="00BA76F2" w:rsidRDefault="002D270B" w:rsidP="00B14871">
      <w:pPr>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ind w:left="0" w:firstLine="0"/>
        <w:jc w:val="both"/>
        <w:rPr>
          <w:rFonts w:asciiTheme="majorHAnsi" w:hAnsiTheme="majorHAnsi"/>
          <w:sz w:val="20"/>
          <w:szCs w:val="20"/>
          <w:lang w:val="es-ES_tradnl"/>
        </w:rPr>
      </w:pPr>
      <w:r w:rsidRPr="00BA76F2">
        <w:rPr>
          <w:rFonts w:asciiTheme="majorHAnsi" w:hAnsiTheme="majorHAnsi"/>
          <w:sz w:val="20"/>
          <w:szCs w:val="20"/>
          <w:lang w:val="es-ES"/>
        </w:rPr>
        <w:t xml:space="preserve">Por lo tanto, </w:t>
      </w:r>
      <w:r w:rsidR="000B2C9E" w:rsidRPr="00BA76F2">
        <w:rPr>
          <w:rFonts w:asciiTheme="majorHAnsi" w:hAnsiTheme="majorHAnsi"/>
          <w:sz w:val="20"/>
          <w:szCs w:val="20"/>
          <w:lang w:val="es-ES"/>
        </w:rPr>
        <w:t>durante más de 18 años</w:t>
      </w:r>
      <w:r w:rsidR="00EB1D19" w:rsidRPr="00BA76F2">
        <w:rPr>
          <w:rFonts w:asciiTheme="majorHAnsi" w:hAnsiTheme="majorHAnsi"/>
          <w:sz w:val="20"/>
          <w:szCs w:val="20"/>
          <w:lang w:val="es-ES"/>
        </w:rPr>
        <w:t>,</w:t>
      </w:r>
      <w:r w:rsidR="000B2C9E" w:rsidRPr="00BA76F2">
        <w:rPr>
          <w:rFonts w:asciiTheme="majorHAnsi" w:hAnsiTheme="majorHAnsi"/>
          <w:sz w:val="20"/>
          <w:szCs w:val="20"/>
          <w:lang w:val="es-ES"/>
        </w:rPr>
        <w:t xml:space="preserve"> </w:t>
      </w:r>
      <w:r w:rsidRPr="00BA76F2">
        <w:rPr>
          <w:rFonts w:asciiTheme="majorHAnsi" w:hAnsiTheme="majorHAnsi"/>
          <w:sz w:val="20"/>
          <w:szCs w:val="20"/>
          <w:lang w:val="es-ES"/>
        </w:rPr>
        <w:t xml:space="preserve">la vigencia de </w:t>
      </w:r>
      <w:r w:rsidR="00AF2FE5" w:rsidRPr="00BA76F2">
        <w:rPr>
          <w:rFonts w:asciiTheme="majorHAnsi" w:hAnsiTheme="majorHAnsi"/>
          <w:sz w:val="20"/>
          <w:szCs w:val="20"/>
          <w:lang w:val="es-ES"/>
        </w:rPr>
        <w:t>las</w:t>
      </w:r>
      <w:r w:rsidRPr="00BA76F2">
        <w:rPr>
          <w:rFonts w:asciiTheme="majorHAnsi" w:hAnsiTheme="majorHAnsi"/>
          <w:sz w:val="20"/>
          <w:szCs w:val="20"/>
          <w:lang w:val="es-ES"/>
        </w:rPr>
        <w:t xml:space="preserve"> leyes </w:t>
      </w:r>
      <w:r w:rsidR="00AF2FE5" w:rsidRPr="00BA76F2">
        <w:rPr>
          <w:rFonts w:asciiTheme="majorHAnsi" w:hAnsiTheme="majorHAnsi"/>
          <w:sz w:val="20"/>
          <w:szCs w:val="20"/>
          <w:lang w:val="es-AR"/>
        </w:rPr>
        <w:t xml:space="preserve">de </w:t>
      </w:r>
      <w:r w:rsidR="00A9235D" w:rsidRPr="00BA76F2">
        <w:rPr>
          <w:rFonts w:asciiTheme="majorHAnsi" w:hAnsiTheme="majorHAnsi"/>
          <w:sz w:val="20"/>
          <w:szCs w:val="20"/>
          <w:lang w:val="es-AR"/>
        </w:rPr>
        <w:t xml:space="preserve">“Punto Final” y </w:t>
      </w:r>
      <w:r w:rsidR="00AF2FE5" w:rsidRPr="00BA76F2">
        <w:rPr>
          <w:rFonts w:asciiTheme="majorHAnsi" w:hAnsiTheme="majorHAnsi"/>
          <w:sz w:val="20"/>
          <w:szCs w:val="20"/>
          <w:lang w:val="es-AR"/>
        </w:rPr>
        <w:t>“Obediencia debida”</w:t>
      </w:r>
      <w:r w:rsidRPr="00BA76F2">
        <w:rPr>
          <w:rFonts w:asciiTheme="majorHAnsi" w:hAnsiTheme="majorHAnsi"/>
          <w:sz w:val="20"/>
          <w:szCs w:val="20"/>
          <w:lang w:val="es-ES"/>
        </w:rPr>
        <w:t xml:space="preserve"> provoc</w:t>
      </w:r>
      <w:r w:rsidR="000B2C9E" w:rsidRPr="00BA76F2">
        <w:rPr>
          <w:rFonts w:asciiTheme="majorHAnsi" w:hAnsiTheme="majorHAnsi"/>
          <w:sz w:val="20"/>
          <w:szCs w:val="20"/>
          <w:lang w:val="es-ES"/>
        </w:rPr>
        <w:t>ó</w:t>
      </w:r>
      <w:r w:rsidRPr="00BA76F2">
        <w:rPr>
          <w:rFonts w:asciiTheme="majorHAnsi" w:hAnsiTheme="majorHAnsi"/>
          <w:sz w:val="20"/>
          <w:szCs w:val="20"/>
          <w:lang w:val="es-ES"/>
        </w:rPr>
        <w:t xml:space="preserve"> una situación de</w:t>
      </w:r>
      <w:r w:rsidR="0042440B" w:rsidRPr="00BA76F2">
        <w:rPr>
          <w:rFonts w:asciiTheme="majorHAnsi" w:hAnsiTheme="majorHAnsi"/>
          <w:sz w:val="20"/>
          <w:szCs w:val="20"/>
          <w:lang w:val="es-ES"/>
        </w:rPr>
        <w:t xml:space="preserve"> total impunidad respecto de </w:t>
      </w:r>
      <w:r w:rsidR="00EB1D19" w:rsidRPr="00BA76F2">
        <w:rPr>
          <w:rFonts w:asciiTheme="majorHAnsi" w:hAnsiTheme="majorHAnsi"/>
          <w:sz w:val="20"/>
          <w:szCs w:val="20"/>
          <w:lang w:val="es-ES"/>
        </w:rPr>
        <w:t>los delitos de lesa humanidad perpetrados contra</w:t>
      </w:r>
      <w:r w:rsidR="000B2C9E" w:rsidRPr="00BA76F2">
        <w:rPr>
          <w:rFonts w:asciiTheme="majorHAnsi" w:hAnsiTheme="majorHAnsi"/>
          <w:sz w:val="20"/>
          <w:szCs w:val="20"/>
          <w:lang w:val="es-ES"/>
        </w:rPr>
        <w:t xml:space="preserve"> la fa</w:t>
      </w:r>
      <w:r w:rsidR="0042440B" w:rsidRPr="00BA76F2">
        <w:rPr>
          <w:rFonts w:asciiTheme="majorHAnsi" w:hAnsiTheme="majorHAnsi"/>
          <w:sz w:val="20"/>
          <w:szCs w:val="20"/>
          <w:lang w:val="es-ES"/>
        </w:rPr>
        <w:t>milia Julien – Grisonas</w:t>
      </w:r>
      <w:r w:rsidR="00EB1D19" w:rsidRPr="00BA76F2">
        <w:rPr>
          <w:rFonts w:asciiTheme="majorHAnsi" w:hAnsiTheme="majorHAnsi"/>
          <w:sz w:val="20"/>
          <w:szCs w:val="20"/>
          <w:lang w:val="es-ES"/>
        </w:rPr>
        <w:t xml:space="preserve">, los cuales, de acuerdo a la jurisprudencia constante del sistema interamericano, </w:t>
      </w:r>
      <w:r w:rsidR="00E4783C" w:rsidRPr="00BA76F2">
        <w:rPr>
          <w:rFonts w:asciiTheme="majorHAnsi" w:hAnsiTheme="majorHAnsi"/>
          <w:sz w:val="20"/>
          <w:szCs w:val="20"/>
          <w:lang w:val="es-ES"/>
        </w:rPr>
        <w:t>por tratarse de graves violaciones a los derechos humanos no son susceptibles de</w:t>
      </w:r>
      <w:r w:rsidR="00EB1D19" w:rsidRPr="00BA76F2">
        <w:rPr>
          <w:rFonts w:asciiTheme="majorHAnsi" w:hAnsiTheme="majorHAnsi"/>
          <w:sz w:val="20"/>
          <w:szCs w:val="20"/>
          <w:lang w:val="es-ES"/>
        </w:rPr>
        <w:t xml:space="preserve"> amnistiarse</w:t>
      </w:r>
      <w:r w:rsidR="0042440B" w:rsidRPr="00BA76F2">
        <w:rPr>
          <w:rFonts w:asciiTheme="majorHAnsi" w:hAnsiTheme="majorHAnsi"/>
          <w:sz w:val="20"/>
          <w:szCs w:val="20"/>
          <w:lang w:val="es-ES"/>
        </w:rPr>
        <w:t xml:space="preserve">. </w:t>
      </w:r>
      <w:r w:rsidR="005B2389" w:rsidRPr="00BA76F2">
        <w:rPr>
          <w:rFonts w:asciiTheme="majorHAnsi" w:hAnsiTheme="majorHAnsi"/>
          <w:sz w:val="20"/>
          <w:szCs w:val="20"/>
          <w:lang w:val="es-ES"/>
        </w:rPr>
        <w:t xml:space="preserve">Durante ese largo período </w:t>
      </w:r>
      <w:r w:rsidR="007A6F8D" w:rsidRPr="00BA76F2">
        <w:rPr>
          <w:rFonts w:asciiTheme="majorHAnsi" w:hAnsiTheme="majorHAnsi"/>
          <w:sz w:val="20"/>
          <w:szCs w:val="20"/>
          <w:lang w:val="es-ES"/>
        </w:rPr>
        <w:t>se vio frustrado cualquier intento de obtención de justicia</w:t>
      </w:r>
      <w:r w:rsidR="005B2389" w:rsidRPr="00BA76F2">
        <w:rPr>
          <w:rFonts w:asciiTheme="majorHAnsi" w:hAnsiTheme="majorHAnsi"/>
          <w:sz w:val="20"/>
          <w:szCs w:val="20"/>
          <w:lang w:val="es-ES"/>
        </w:rPr>
        <w:t xml:space="preserve"> por parte</w:t>
      </w:r>
      <w:r w:rsidR="007A6F8D" w:rsidRPr="00BA76F2">
        <w:rPr>
          <w:rFonts w:asciiTheme="majorHAnsi" w:hAnsiTheme="majorHAnsi"/>
          <w:sz w:val="20"/>
          <w:szCs w:val="20"/>
          <w:lang w:val="es-ES"/>
        </w:rPr>
        <w:t xml:space="preserve"> de los hermanos Larrabeiti  Yáñez.</w:t>
      </w:r>
      <w:r w:rsidR="005B2389" w:rsidRPr="00BA76F2">
        <w:rPr>
          <w:rFonts w:asciiTheme="majorHAnsi" w:hAnsiTheme="majorHAnsi"/>
          <w:sz w:val="20"/>
          <w:szCs w:val="20"/>
          <w:lang w:val="es-ES"/>
        </w:rPr>
        <w:t xml:space="preserve"> </w:t>
      </w:r>
      <w:r w:rsidR="00BA58EC" w:rsidRPr="00BA76F2">
        <w:rPr>
          <w:rFonts w:asciiTheme="majorHAnsi" w:hAnsiTheme="majorHAnsi"/>
          <w:sz w:val="20"/>
          <w:szCs w:val="20"/>
          <w:lang w:val="es-ES"/>
        </w:rPr>
        <w:t xml:space="preserve">Por lo tanto, mediante la aprobación, vigencia y aplicación de las leyes </w:t>
      </w:r>
      <w:r w:rsidR="00BA58EC" w:rsidRPr="00BA76F2">
        <w:rPr>
          <w:rFonts w:asciiTheme="majorHAnsi" w:hAnsiTheme="majorHAnsi"/>
          <w:sz w:val="20"/>
          <w:szCs w:val="20"/>
          <w:lang w:val="es-AR"/>
        </w:rPr>
        <w:t>de “Punto Final”</w:t>
      </w:r>
      <w:r w:rsidR="00BA58EC" w:rsidRPr="00BA76F2">
        <w:rPr>
          <w:rFonts w:asciiTheme="majorHAnsi" w:hAnsiTheme="majorHAnsi"/>
          <w:sz w:val="20"/>
          <w:szCs w:val="20"/>
          <w:lang w:val="es-ES"/>
        </w:rPr>
        <w:t xml:space="preserve"> y </w:t>
      </w:r>
      <w:r w:rsidR="00BA58EC" w:rsidRPr="00BA76F2">
        <w:rPr>
          <w:rFonts w:asciiTheme="majorHAnsi" w:hAnsiTheme="majorHAnsi"/>
          <w:sz w:val="20"/>
          <w:szCs w:val="20"/>
          <w:lang w:val="es-AR"/>
        </w:rPr>
        <w:t>“Obediencia debida”,</w:t>
      </w:r>
      <w:r w:rsidR="00BA58EC" w:rsidRPr="00BA76F2">
        <w:rPr>
          <w:rFonts w:asciiTheme="majorHAnsi" w:hAnsiTheme="majorHAnsi"/>
          <w:sz w:val="20"/>
          <w:szCs w:val="20"/>
          <w:lang w:val="es-ES"/>
        </w:rPr>
        <w:t xml:space="preserve"> lo cual tuvo un impacto directo en el posible esclarecimiento de los hechos, </w:t>
      </w:r>
      <w:r w:rsidR="005B2389" w:rsidRPr="00BA76F2">
        <w:rPr>
          <w:rFonts w:asciiTheme="majorHAnsi" w:hAnsiTheme="majorHAnsi"/>
          <w:sz w:val="20"/>
          <w:szCs w:val="20"/>
          <w:lang w:val="es-ES"/>
        </w:rPr>
        <w:t>el</w:t>
      </w:r>
      <w:r w:rsidR="00DB5B14" w:rsidRPr="00BA76F2">
        <w:rPr>
          <w:rFonts w:asciiTheme="majorHAnsi" w:hAnsiTheme="majorHAnsi"/>
          <w:sz w:val="20"/>
          <w:szCs w:val="20"/>
          <w:lang w:val="es-ES"/>
        </w:rPr>
        <w:t xml:space="preserve"> Estado </w:t>
      </w:r>
      <w:r w:rsidR="00BA58EC" w:rsidRPr="00BA76F2">
        <w:rPr>
          <w:rFonts w:asciiTheme="majorHAnsi" w:hAnsiTheme="majorHAnsi"/>
          <w:sz w:val="20"/>
          <w:szCs w:val="20"/>
          <w:lang w:val="es-ES"/>
        </w:rPr>
        <w:t>violó</w:t>
      </w:r>
      <w:r w:rsidR="00DB5B14" w:rsidRPr="00BA76F2">
        <w:rPr>
          <w:rFonts w:asciiTheme="majorHAnsi" w:hAnsiTheme="majorHAnsi"/>
          <w:sz w:val="20"/>
          <w:szCs w:val="20"/>
          <w:lang w:val="es-ES"/>
        </w:rPr>
        <w:t xml:space="preserve"> </w:t>
      </w:r>
      <w:r w:rsidR="00BA58EC" w:rsidRPr="00BA76F2">
        <w:rPr>
          <w:rFonts w:asciiTheme="majorHAnsi" w:hAnsiTheme="majorHAnsi"/>
          <w:sz w:val="20"/>
          <w:szCs w:val="20"/>
          <w:lang w:val="es-ES"/>
        </w:rPr>
        <w:t>los artículos 8.1 y 25 de la Convención, en relación con los artículos 1.1 y 2 de la misma y del artículo I inciso b) de la CIDFP, en perjuicio de los hermanos Larrabeiti y su madre y padre biológicos.</w:t>
      </w:r>
      <w:r w:rsidR="00DB5B14" w:rsidRPr="00BA76F2">
        <w:rPr>
          <w:rFonts w:asciiTheme="majorHAnsi" w:hAnsiTheme="majorHAnsi"/>
          <w:sz w:val="20"/>
          <w:szCs w:val="20"/>
          <w:lang w:val="es-ES"/>
        </w:rPr>
        <w:t xml:space="preserve"> </w:t>
      </w:r>
    </w:p>
    <w:p w14:paraId="221645FD" w14:textId="77777777" w:rsidR="00BA76F2" w:rsidRDefault="00BA76F2" w:rsidP="00BA76F2">
      <w:pPr>
        <w:pStyle w:val="ListParagraph"/>
        <w:rPr>
          <w:rFonts w:asciiTheme="majorHAnsi" w:hAnsiTheme="majorHAnsi"/>
          <w:sz w:val="20"/>
          <w:szCs w:val="20"/>
          <w:lang w:val="es-ES"/>
        </w:rPr>
      </w:pPr>
    </w:p>
    <w:p w14:paraId="56624F83" w14:textId="77777777" w:rsidR="00BA76F2" w:rsidRDefault="0043126C" w:rsidP="00B14871">
      <w:pPr>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ind w:left="0" w:firstLine="0"/>
        <w:jc w:val="both"/>
        <w:rPr>
          <w:rFonts w:asciiTheme="majorHAnsi" w:hAnsiTheme="majorHAnsi"/>
          <w:sz w:val="20"/>
          <w:szCs w:val="20"/>
          <w:lang w:val="es-ES_tradnl"/>
        </w:rPr>
      </w:pPr>
      <w:r w:rsidRPr="00BA76F2">
        <w:rPr>
          <w:rFonts w:asciiTheme="majorHAnsi" w:hAnsiTheme="majorHAnsi"/>
          <w:sz w:val="20"/>
          <w:szCs w:val="20"/>
          <w:lang w:val="es-ES"/>
        </w:rPr>
        <w:t xml:space="preserve">La Comisión Interamericana reconoce la </w:t>
      </w:r>
      <w:r w:rsidR="001E75A4" w:rsidRPr="00BA76F2">
        <w:rPr>
          <w:rFonts w:asciiTheme="majorHAnsi" w:hAnsiTheme="majorHAnsi"/>
          <w:sz w:val="20"/>
          <w:szCs w:val="20"/>
          <w:lang w:val="es-ES"/>
        </w:rPr>
        <w:t>trascendencia</w:t>
      </w:r>
      <w:r w:rsidRPr="00BA76F2">
        <w:rPr>
          <w:rFonts w:asciiTheme="majorHAnsi" w:hAnsiTheme="majorHAnsi"/>
          <w:sz w:val="20"/>
          <w:szCs w:val="20"/>
          <w:lang w:val="es-ES"/>
        </w:rPr>
        <w:t xml:space="preserve"> de la sentencia</w:t>
      </w:r>
      <w:r w:rsidR="00306FE6" w:rsidRPr="00BA76F2">
        <w:rPr>
          <w:rFonts w:asciiTheme="majorHAnsi" w:hAnsiTheme="majorHAnsi"/>
          <w:sz w:val="20"/>
          <w:szCs w:val="20"/>
          <w:lang w:val="es-ES"/>
        </w:rPr>
        <w:t xml:space="preserve"> de inconstitucionalidad</w:t>
      </w:r>
      <w:r w:rsidRPr="00BA76F2">
        <w:rPr>
          <w:rFonts w:asciiTheme="majorHAnsi" w:hAnsiTheme="majorHAnsi"/>
          <w:sz w:val="20"/>
          <w:szCs w:val="20"/>
          <w:lang w:val="es-ES"/>
        </w:rPr>
        <w:t xml:space="preserve"> emitida el </w:t>
      </w:r>
      <w:r w:rsidRPr="00BA76F2">
        <w:rPr>
          <w:rFonts w:asciiTheme="majorHAnsi" w:hAnsiTheme="majorHAnsi"/>
          <w:sz w:val="20"/>
          <w:szCs w:val="20"/>
          <w:lang w:val="es-AR"/>
        </w:rPr>
        <w:t xml:space="preserve">14 de junio de 2005 </w:t>
      </w:r>
      <w:r w:rsidRPr="00BA76F2">
        <w:rPr>
          <w:rFonts w:asciiTheme="majorHAnsi" w:hAnsiTheme="majorHAnsi"/>
          <w:sz w:val="20"/>
          <w:szCs w:val="20"/>
          <w:lang w:val="es-ES"/>
        </w:rPr>
        <w:t xml:space="preserve">por la CSJN </w:t>
      </w:r>
      <w:r w:rsidR="00306FE6" w:rsidRPr="00BA76F2">
        <w:rPr>
          <w:rFonts w:asciiTheme="majorHAnsi" w:hAnsiTheme="majorHAnsi"/>
          <w:sz w:val="20"/>
          <w:szCs w:val="20"/>
          <w:lang w:val="es-AR"/>
        </w:rPr>
        <w:t>en el caso “Simón, Julio Héctor”</w:t>
      </w:r>
      <w:r w:rsidR="0098691C" w:rsidRPr="00BA76F2">
        <w:rPr>
          <w:rFonts w:asciiTheme="majorHAnsi" w:hAnsiTheme="majorHAnsi"/>
          <w:sz w:val="20"/>
          <w:szCs w:val="20"/>
          <w:lang w:val="es-AR"/>
        </w:rPr>
        <w:t>. Reconoce</w:t>
      </w:r>
      <w:r w:rsidR="005655B8" w:rsidRPr="00BA76F2">
        <w:rPr>
          <w:rFonts w:asciiTheme="majorHAnsi" w:hAnsiTheme="majorHAnsi"/>
          <w:sz w:val="20"/>
          <w:szCs w:val="20"/>
          <w:lang w:val="es-AR"/>
        </w:rPr>
        <w:t xml:space="preserve"> y destaca</w:t>
      </w:r>
      <w:r w:rsidR="0098691C" w:rsidRPr="00BA76F2">
        <w:rPr>
          <w:rFonts w:asciiTheme="majorHAnsi" w:hAnsiTheme="majorHAnsi"/>
          <w:sz w:val="20"/>
          <w:szCs w:val="20"/>
          <w:lang w:val="es-AR"/>
        </w:rPr>
        <w:t xml:space="preserve"> asimismo el </w:t>
      </w:r>
      <w:r w:rsidRPr="00BA76F2">
        <w:rPr>
          <w:rFonts w:asciiTheme="majorHAnsi" w:hAnsiTheme="majorHAnsi"/>
          <w:sz w:val="20"/>
          <w:szCs w:val="20"/>
          <w:lang w:val="es-ES"/>
        </w:rPr>
        <w:t xml:space="preserve">esfuerzo desplegado por el Estado argentino </w:t>
      </w:r>
      <w:r w:rsidR="005D454B" w:rsidRPr="00BA76F2">
        <w:rPr>
          <w:rFonts w:asciiTheme="majorHAnsi" w:hAnsiTheme="majorHAnsi"/>
          <w:sz w:val="20"/>
          <w:szCs w:val="20"/>
          <w:lang w:val="es-AR"/>
        </w:rPr>
        <w:t>en materia de políticas públicas de memoria</w:t>
      </w:r>
      <w:r w:rsidR="0090340A" w:rsidRPr="00BA76F2">
        <w:rPr>
          <w:rFonts w:asciiTheme="majorHAnsi" w:hAnsiTheme="majorHAnsi"/>
          <w:sz w:val="20"/>
          <w:szCs w:val="20"/>
          <w:lang w:val="es-AR"/>
        </w:rPr>
        <w:t>,</w:t>
      </w:r>
      <w:r w:rsidR="005D454B" w:rsidRPr="00BA76F2">
        <w:rPr>
          <w:rFonts w:asciiTheme="majorHAnsi" w:hAnsiTheme="majorHAnsi"/>
          <w:sz w:val="20"/>
          <w:szCs w:val="20"/>
          <w:lang w:val="es-AR"/>
        </w:rPr>
        <w:t xml:space="preserve"> verdad y justicia</w:t>
      </w:r>
      <w:r w:rsidR="005D454B" w:rsidRPr="00BA76F2">
        <w:rPr>
          <w:rFonts w:asciiTheme="majorHAnsi" w:hAnsiTheme="majorHAnsi"/>
          <w:sz w:val="20"/>
          <w:szCs w:val="20"/>
          <w:lang w:val="es-ES"/>
        </w:rPr>
        <w:t xml:space="preserve"> </w:t>
      </w:r>
      <w:r w:rsidR="0098691C" w:rsidRPr="00BA76F2">
        <w:rPr>
          <w:rFonts w:asciiTheme="majorHAnsi" w:hAnsiTheme="majorHAnsi"/>
          <w:sz w:val="20"/>
          <w:szCs w:val="20"/>
          <w:lang w:val="es-ES"/>
        </w:rPr>
        <w:t xml:space="preserve">luego de </w:t>
      </w:r>
      <w:r w:rsidR="005D454B" w:rsidRPr="00BA76F2">
        <w:rPr>
          <w:rFonts w:asciiTheme="majorHAnsi" w:hAnsiTheme="majorHAnsi"/>
          <w:sz w:val="20"/>
          <w:szCs w:val="20"/>
          <w:lang w:val="es-ES"/>
        </w:rPr>
        <w:t>la nulidad de</w:t>
      </w:r>
      <w:r w:rsidR="001E75A4" w:rsidRPr="00BA76F2">
        <w:rPr>
          <w:rFonts w:asciiTheme="majorHAnsi" w:hAnsiTheme="majorHAnsi"/>
          <w:sz w:val="20"/>
          <w:szCs w:val="20"/>
          <w:lang w:val="es-ES"/>
        </w:rPr>
        <w:t xml:space="preserve"> las</w:t>
      </w:r>
      <w:r w:rsidR="005D454B" w:rsidRPr="00BA76F2">
        <w:rPr>
          <w:rFonts w:asciiTheme="majorHAnsi" w:hAnsiTheme="majorHAnsi"/>
          <w:sz w:val="20"/>
          <w:szCs w:val="20"/>
          <w:lang w:val="es-ES"/>
        </w:rPr>
        <w:t xml:space="preserve"> leyes</w:t>
      </w:r>
      <w:r w:rsidR="003B7B18" w:rsidRPr="00BA76F2">
        <w:rPr>
          <w:rFonts w:asciiTheme="majorHAnsi" w:hAnsiTheme="majorHAnsi"/>
          <w:sz w:val="20"/>
          <w:szCs w:val="20"/>
          <w:lang w:val="es-ES"/>
        </w:rPr>
        <w:t xml:space="preserve"> Nro.</w:t>
      </w:r>
      <w:r w:rsidR="005D454B" w:rsidRPr="00BA76F2">
        <w:rPr>
          <w:rFonts w:asciiTheme="majorHAnsi" w:hAnsiTheme="majorHAnsi"/>
          <w:sz w:val="20"/>
          <w:szCs w:val="20"/>
          <w:lang w:val="es-ES"/>
        </w:rPr>
        <w:t xml:space="preserve"> </w:t>
      </w:r>
      <w:r w:rsidR="005D454B" w:rsidRPr="00BA76F2">
        <w:rPr>
          <w:rFonts w:asciiTheme="majorHAnsi" w:hAnsiTheme="majorHAnsi"/>
          <w:sz w:val="20"/>
          <w:szCs w:val="20"/>
          <w:lang w:val="es-AR"/>
        </w:rPr>
        <w:t xml:space="preserve">23.492 y 23.521, y en particular las numerosas causas penales por graves violaciones a los derechos humanos impulsadas desde ese entonces. Con </w:t>
      </w:r>
      <w:r w:rsidR="001E75A4" w:rsidRPr="00BA76F2">
        <w:rPr>
          <w:rFonts w:asciiTheme="majorHAnsi" w:hAnsiTheme="majorHAnsi"/>
          <w:sz w:val="20"/>
          <w:szCs w:val="20"/>
          <w:lang w:val="es-AR"/>
        </w:rPr>
        <w:t>dicho giro</w:t>
      </w:r>
      <w:r w:rsidR="005D454B" w:rsidRPr="00BA76F2">
        <w:rPr>
          <w:rFonts w:asciiTheme="majorHAnsi" w:hAnsiTheme="majorHAnsi"/>
          <w:sz w:val="20"/>
          <w:szCs w:val="20"/>
          <w:lang w:val="es-AR"/>
        </w:rPr>
        <w:t>, Argentina</w:t>
      </w:r>
      <w:r w:rsidR="004803A6" w:rsidRPr="00BA76F2">
        <w:rPr>
          <w:rFonts w:asciiTheme="majorHAnsi" w:hAnsiTheme="majorHAnsi"/>
          <w:sz w:val="20"/>
          <w:szCs w:val="20"/>
          <w:lang w:val="es-ES"/>
        </w:rPr>
        <w:t xml:space="preserve"> retom</w:t>
      </w:r>
      <w:r w:rsidR="005D454B" w:rsidRPr="00BA76F2">
        <w:rPr>
          <w:rFonts w:asciiTheme="majorHAnsi" w:hAnsiTheme="majorHAnsi"/>
          <w:sz w:val="20"/>
          <w:szCs w:val="20"/>
          <w:lang w:val="es-ES"/>
        </w:rPr>
        <w:t>ó</w:t>
      </w:r>
      <w:r w:rsidR="0098691C" w:rsidRPr="00BA76F2">
        <w:rPr>
          <w:rFonts w:asciiTheme="majorHAnsi" w:hAnsiTheme="majorHAnsi"/>
          <w:sz w:val="20"/>
          <w:szCs w:val="20"/>
          <w:lang w:val="es-ES"/>
        </w:rPr>
        <w:t xml:space="preserve"> el hito histórico que significó el Juicio a las Juntas realizado en 1985</w:t>
      </w:r>
      <w:r w:rsidR="003020DA" w:rsidRPr="00BA76F2">
        <w:rPr>
          <w:rFonts w:asciiTheme="majorHAnsi" w:hAnsiTheme="majorHAnsi"/>
          <w:sz w:val="20"/>
          <w:szCs w:val="20"/>
          <w:lang w:val="es-ES"/>
        </w:rPr>
        <w:t>, juicio que constituye la piedra angular de la transición democrática argentina</w:t>
      </w:r>
      <w:r w:rsidR="00771362" w:rsidRPr="00BA76F2">
        <w:rPr>
          <w:rFonts w:asciiTheme="majorHAnsi" w:hAnsiTheme="majorHAnsi"/>
          <w:sz w:val="20"/>
          <w:szCs w:val="20"/>
          <w:lang w:val="es-ES"/>
        </w:rPr>
        <w:t xml:space="preserve"> y</w:t>
      </w:r>
      <w:r w:rsidR="004803A6" w:rsidRPr="00BA76F2">
        <w:rPr>
          <w:rFonts w:asciiTheme="majorHAnsi" w:hAnsiTheme="majorHAnsi"/>
          <w:sz w:val="20"/>
          <w:szCs w:val="20"/>
          <w:lang w:val="es-ES"/>
        </w:rPr>
        <w:t xml:space="preserve"> que tiene </w:t>
      </w:r>
      <w:r w:rsidR="0052228E" w:rsidRPr="00BA76F2">
        <w:rPr>
          <w:rFonts w:asciiTheme="majorHAnsi" w:hAnsiTheme="majorHAnsi"/>
          <w:sz w:val="20"/>
          <w:szCs w:val="20"/>
          <w:lang w:val="es-ES"/>
        </w:rPr>
        <w:t xml:space="preserve">además </w:t>
      </w:r>
      <w:r w:rsidR="004803A6" w:rsidRPr="00BA76F2">
        <w:rPr>
          <w:rFonts w:asciiTheme="majorHAnsi" w:hAnsiTheme="majorHAnsi"/>
          <w:sz w:val="20"/>
          <w:szCs w:val="20"/>
          <w:lang w:val="es-ES"/>
        </w:rPr>
        <w:t>una especial relevancia internacional por ser el</w:t>
      </w:r>
      <w:r w:rsidR="00771362" w:rsidRPr="00BA76F2">
        <w:rPr>
          <w:rFonts w:asciiTheme="majorHAnsi" w:hAnsiTheme="majorHAnsi"/>
          <w:sz w:val="20"/>
          <w:szCs w:val="20"/>
          <w:lang w:val="es-ES"/>
        </w:rPr>
        <w:t xml:space="preserve"> primer </w:t>
      </w:r>
      <w:r w:rsidR="00F14503" w:rsidRPr="00BA76F2">
        <w:rPr>
          <w:rFonts w:asciiTheme="majorHAnsi" w:hAnsiTheme="majorHAnsi"/>
          <w:sz w:val="20"/>
          <w:szCs w:val="20"/>
          <w:lang w:val="es-ES"/>
        </w:rPr>
        <w:t xml:space="preserve">país </w:t>
      </w:r>
      <w:r w:rsidR="00762CB8" w:rsidRPr="00BA76F2">
        <w:rPr>
          <w:rFonts w:asciiTheme="majorHAnsi" w:hAnsiTheme="majorHAnsi"/>
          <w:sz w:val="20"/>
          <w:szCs w:val="20"/>
          <w:lang w:val="es-ES"/>
        </w:rPr>
        <w:t>d</w:t>
      </w:r>
      <w:r w:rsidR="00F14503" w:rsidRPr="00BA76F2">
        <w:rPr>
          <w:rFonts w:asciiTheme="majorHAnsi" w:hAnsiTheme="majorHAnsi"/>
          <w:sz w:val="20"/>
          <w:szCs w:val="20"/>
          <w:lang w:val="es-ES"/>
        </w:rPr>
        <w:t>el mundo que juzg</w:t>
      </w:r>
      <w:r w:rsidR="005655B8" w:rsidRPr="00BA76F2">
        <w:rPr>
          <w:rFonts w:asciiTheme="majorHAnsi" w:hAnsiTheme="majorHAnsi"/>
          <w:sz w:val="20"/>
          <w:szCs w:val="20"/>
          <w:lang w:val="es-ES"/>
        </w:rPr>
        <w:t>ó a su cúpula militar por violaciones a los derechos humanos inmediatamente después de la vuelta a la democracia</w:t>
      </w:r>
      <w:r w:rsidR="0052228E" w:rsidRPr="00BA76F2">
        <w:rPr>
          <w:rFonts w:asciiTheme="majorHAnsi" w:hAnsiTheme="majorHAnsi"/>
          <w:sz w:val="20"/>
          <w:szCs w:val="20"/>
          <w:lang w:val="es-ES"/>
        </w:rPr>
        <w:t xml:space="preserve">. </w:t>
      </w:r>
      <w:r w:rsidR="00E8311E" w:rsidRPr="00BA76F2">
        <w:rPr>
          <w:rFonts w:asciiTheme="majorHAnsi" w:hAnsiTheme="majorHAnsi"/>
          <w:sz w:val="20"/>
          <w:szCs w:val="20"/>
          <w:lang w:val="es-ES"/>
        </w:rPr>
        <w:t xml:space="preserve">La Comisión destaca que </w:t>
      </w:r>
      <w:r w:rsidR="0052228E" w:rsidRPr="00BA76F2">
        <w:rPr>
          <w:rFonts w:asciiTheme="majorHAnsi" w:hAnsiTheme="majorHAnsi"/>
          <w:sz w:val="20"/>
          <w:szCs w:val="20"/>
          <w:lang w:val="es-ES"/>
        </w:rPr>
        <w:t xml:space="preserve">Argentina </w:t>
      </w:r>
      <w:r w:rsidR="00E8311E" w:rsidRPr="00BA76F2">
        <w:rPr>
          <w:rFonts w:asciiTheme="majorHAnsi" w:hAnsiTheme="majorHAnsi"/>
          <w:sz w:val="20"/>
          <w:szCs w:val="20"/>
          <w:lang w:val="es-ES"/>
        </w:rPr>
        <w:t xml:space="preserve">ha sido reconocida a nivel internacional </w:t>
      </w:r>
      <w:r w:rsidR="001E75A4" w:rsidRPr="00BA76F2">
        <w:rPr>
          <w:rFonts w:asciiTheme="majorHAnsi" w:hAnsiTheme="majorHAnsi"/>
          <w:sz w:val="20"/>
          <w:szCs w:val="20"/>
          <w:lang w:val="es-ES"/>
        </w:rPr>
        <w:t>como un ejemplo</w:t>
      </w:r>
      <w:r w:rsidR="00E8311E" w:rsidRPr="00BA76F2">
        <w:rPr>
          <w:rFonts w:asciiTheme="majorHAnsi" w:hAnsiTheme="majorHAnsi"/>
          <w:sz w:val="20"/>
          <w:szCs w:val="20"/>
          <w:lang w:val="es-ES"/>
        </w:rPr>
        <w:t xml:space="preserve"> en materia de memoria, verdad y justicia</w:t>
      </w:r>
      <w:r w:rsidR="002D5DF5" w:rsidRPr="00BA76F2">
        <w:rPr>
          <w:rFonts w:asciiTheme="majorHAnsi" w:hAnsiTheme="majorHAnsi"/>
          <w:sz w:val="20"/>
          <w:szCs w:val="20"/>
          <w:lang w:val="es-ES"/>
        </w:rPr>
        <w:t>.</w:t>
      </w:r>
    </w:p>
    <w:p w14:paraId="2394A245" w14:textId="77777777" w:rsidR="00BA76F2" w:rsidRDefault="00BA76F2" w:rsidP="00BA76F2">
      <w:pPr>
        <w:pStyle w:val="ListParagraph"/>
        <w:rPr>
          <w:rFonts w:asciiTheme="majorHAnsi" w:hAnsiTheme="majorHAnsi"/>
          <w:sz w:val="20"/>
          <w:szCs w:val="20"/>
          <w:lang w:val="es-ES"/>
        </w:rPr>
      </w:pPr>
    </w:p>
    <w:p w14:paraId="60663F63" w14:textId="77777777" w:rsidR="00BA76F2" w:rsidRDefault="002D5DF5" w:rsidP="00B14871">
      <w:pPr>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ind w:left="0" w:firstLine="0"/>
        <w:jc w:val="both"/>
        <w:rPr>
          <w:rFonts w:asciiTheme="majorHAnsi" w:hAnsiTheme="majorHAnsi"/>
          <w:sz w:val="20"/>
          <w:szCs w:val="20"/>
          <w:lang w:val="es-ES_tradnl"/>
        </w:rPr>
      </w:pPr>
      <w:r w:rsidRPr="00BA76F2">
        <w:rPr>
          <w:rFonts w:asciiTheme="majorHAnsi" w:hAnsiTheme="majorHAnsi"/>
          <w:sz w:val="20"/>
          <w:szCs w:val="20"/>
          <w:lang w:val="es-ES"/>
        </w:rPr>
        <w:t xml:space="preserve">Sin embargo, a pesar de esos importantes esfuerzos, corresponde analizar en el presente caso, y con base en la información disponible, si </w:t>
      </w:r>
      <w:r w:rsidR="001C734F" w:rsidRPr="00BA76F2">
        <w:rPr>
          <w:rFonts w:asciiTheme="majorHAnsi" w:hAnsiTheme="majorHAnsi"/>
          <w:sz w:val="20"/>
          <w:szCs w:val="20"/>
          <w:lang w:val="es-ES"/>
        </w:rPr>
        <w:t xml:space="preserve">las graves violaciones de derechos humanos, que además constituyeron crímenes de lesa humanidad en los términos señalados en el contexto y reconocidos por el Estado argentino, </w:t>
      </w:r>
      <w:r w:rsidRPr="00BA76F2">
        <w:rPr>
          <w:rFonts w:asciiTheme="majorHAnsi" w:hAnsiTheme="majorHAnsi"/>
          <w:sz w:val="20"/>
          <w:szCs w:val="20"/>
          <w:lang w:val="es-ES"/>
        </w:rPr>
        <w:t>cometid</w:t>
      </w:r>
      <w:r w:rsidR="001C734F" w:rsidRPr="00BA76F2">
        <w:rPr>
          <w:rFonts w:asciiTheme="majorHAnsi" w:hAnsiTheme="majorHAnsi"/>
          <w:sz w:val="20"/>
          <w:szCs w:val="20"/>
          <w:lang w:val="es-ES"/>
        </w:rPr>
        <w:t>a</w:t>
      </w:r>
      <w:r w:rsidRPr="00BA76F2">
        <w:rPr>
          <w:rFonts w:asciiTheme="majorHAnsi" w:hAnsiTheme="majorHAnsi"/>
          <w:sz w:val="20"/>
          <w:szCs w:val="20"/>
          <w:lang w:val="es-ES"/>
        </w:rPr>
        <w:t>s contra la familia Julien – Grisonas fueron adecuadamente investigad</w:t>
      </w:r>
      <w:r w:rsidR="005E7482" w:rsidRPr="00BA76F2">
        <w:rPr>
          <w:rFonts w:asciiTheme="majorHAnsi" w:hAnsiTheme="majorHAnsi"/>
          <w:sz w:val="20"/>
          <w:szCs w:val="20"/>
          <w:lang w:val="es-ES"/>
        </w:rPr>
        <w:t>as y sancionada</w:t>
      </w:r>
      <w:r w:rsidRPr="00BA76F2">
        <w:rPr>
          <w:rFonts w:asciiTheme="majorHAnsi" w:hAnsiTheme="majorHAnsi"/>
          <w:sz w:val="20"/>
          <w:szCs w:val="20"/>
          <w:lang w:val="es-ES"/>
        </w:rPr>
        <w:t>s</w:t>
      </w:r>
      <w:r w:rsidR="001C734F" w:rsidRPr="00BA76F2">
        <w:rPr>
          <w:rFonts w:asciiTheme="majorHAnsi" w:hAnsiTheme="majorHAnsi"/>
          <w:sz w:val="20"/>
          <w:szCs w:val="20"/>
          <w:lang w:val="es-ES"/>
        </w:rPr>
        <w:t>, conforme a las obligaciones internacionales del Estado, ya recapituladas en el presente informe.</w:t>
      </w:r>
    </w:p>
    <w:p w14:paraId="41E42DA2" w14:textId="77777777" w:rsidR="00BA76F2" w:rsidRDefault="00BA76F2" w:rsidP="00BA76F2">
      <w:pPr>
        <w:pStyle w:val="ListParagraph"/>
        <w:rPr>
          <w:rFonts w:asciiTheme="majorHAnsi" w:hAnsiTheme="majorHAnsi"/>
          <w:sz w:val="20"/>
          <w:szCs w:val="20"/>
          <w:lang w:val="es-ES"/>
        </w:rPr>
      </w:pPr>
    </w:p>
    <w:p w14:paraId="29A863D4" w14:textId="77777777" w:rsidR="00BA76F2" w:rsidRDefault="008B719F" w:rsidP="00B14871">
      <w:pPr>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ind w:left="0" w:firstLine="0"/>
        <w:jc w:val="both"/>
        <w:rPr>
          <w:rFonts w:asciiTheme="majorHAnsi" w:hAnsiTheme="majorHAnsi"/>
          <w:sz w:val="20"/>
          <w:szCs w:val="20"/>
          <w:lang w:val="es-ES_tradnl"/>
        </w:rPr>
      </w:pPr>
      <w:r w:rsidRPr="00BA76F2">
        <w:rPr>
          <w:rFonts w:asciiTheme="majorHAnsi" w:hAnsiTheme="majorHAnsi"/>
          <w:sz w:val="20"/>
          <w:szCs w:val="20"/>
          <w:lang w:val="es-ES"/>
        </w:rPr>
        <w:t>De acuerdo a los hechos probados, el 31 de mayo de 2011 el Tribunal Oral en lo Criminal Federal No. 1</w:t>
      </w:r>
      <w:r w:rsidR="00B44984" w:rsidRPr="00BA76F2">
        <w:rPr>
          <w:rFonts w:asciiTheme="majorHAnsi" w:hAnsiTheme="majorHAnsi"/>
          <w:sz w:val="20"/>
          <w:szCs w:val="20"/>
          <w:lang w:val="es-ES"/>
        </w:rPr>
        <w:t>,</w:t>
      </w:r>
      <w:r w:rsidRPr="00BA76F2">
        <w:rPr>
          <w:rFonts w:asciiTheme="majorHAnsi" w:hAnsiTheme="majorHAnsi"/>
          <w:sz w:val="20"/>
          <w:szCs w:val="20"/>
          <w:lang w:val="es-ES"/>
        </w:rPr>
        <w:t xml:space="preserve"> en el marco de la causa conocida como “Orletti I”</w:t>
      </w:r>
      <w:r w:rsidR="00B44984" w:rsidRPr="00BA76F2">
        <w:rPr>
          <w:rFonts w:asciiTheme="majorHAnsi" w:hAnsiTheme="majorHAnsi"/>
          <w:sz w:val="20"/>
          <w:szCs w:val="20"/>
          <w:lang w:val="es-ES"/>
        </w:rPr>
        <w:t>,</w:t>
      </w:r>
      <w:r w:rsidR="00794E6A" w:rsidRPr="00BA76F2">
        <w:rPr>
          <w:rFonts w:asciiTheme="majorHAnsi" w:hAnsiTheme="majorHAnsi"/>
          <w:sz w:val="20"/>
          <w:szCs w:val="20"/>
          <w:lang w:val="es-ES"/>
        </w:rPr>
        <w:t xml:space="preserve"> condenó a cuatro ex agentes de la SIDE a penas de prisión perpetua y de 25 y 20 años, por varios delitos cometidos en “Orletti”, entre ellos por la privación ilegal de la libertad y tormentos de Victoria Grisonas. Dicha sentencia consideró acreditada su privación ilegal de la libertad en dicho centro clandestino de detención así como el padecimiento de torturas y de condiciones inhumanas de detención.</w:t>
      </w:r>
      <w:r w:rsidR="00957489" w:rsidRPr="00BA76F2">
        <w:rPr>
          <w:rFonts w:asciiTheme="majorHAnsi" w:hAnsiTheme="majorHAnsi"/>
          <w:sz w:val="20"/>
          <w:szCs w:val="20"/>
          <w:lang w:val="es-ES"/>
        </w:rPr>
        <w:t xml:space="preserve"> </w:t>
      </w:r>
      <w:r w:rsidR="000C5128" w:rsidRPr="00BA76F2">
        <w:rPr>
          <w:rFonts w:asciiTheme="majorHAnsi" w:hAnsiTheme="majorHAnsi"/>
          <w:sz w:val="20"/>
          <w:szCs w:val="20"/>
          <w:lang w:val="es-ES"/>
        </w:rPr>
        <w:t>L</w:t>
      </w:r>
      <w:r w:rsidR="00957489" w:rsidRPr="00BA76F2">
        <w:rPr>
          <w:rFonts w:asciiTheme="majorHAnsi" w:hAnsiTheme="majorHAnsi"/>
          <w:sz w:val="20"/>
          <w:szCs w:val="20"/>
          <w:lang w:val="es-ES"/>
        </w:rPr>
        <w:t xml:space="preserve">a sentencia fue confirmada en sede de apelación el 7 de octubre de 2013. </w:t>
      </w:r>
    </w:p>
    <w:p w14:paraId="794CB075" w14:textId="77777777" w:rsidR="00BA76F2" w:rsidRDefault="00BA76F2" w:rsidP="00BA76F2">
      <w:pPr>
        <w:pStyle w:val="ListParagraph"/>
        <w:rPr>
          <w:rFonts w:asciiTheme="majorHAnsi" w:hAnsiTheme="majorHAnsi"/>
          <w:sz w:val="20"/>
          <w:szCs w:val="20"/>
          <w:lang w:val="es-ES"/>
        </w:rPr>
      </w:pPr>
    </w:p>
    <w:p w14:paraId="79920F33" w14:textId="77777777" w:rsidR="00BA76F2" w:rsidRDefault="00BD1D99" w:rsidP="00B14871">
      <w:pPr>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ind w:left="0" w:firstLine="0"/>
        <w:jc w:val="both"/>
        <w:rPr>
          <w:rFonts w:asciiTheme="majorHAnsi" w:hAnsiTheme="majorHAnsi"/>
          <w:sz w:val="20"/>
          <w:szCs w:val="20"/>
          <w:lang w:val="es-ES_tradnl"/>
        </w:rPr>
      </w:pPr>
      <w:r w:rsidRPr="00BA76F2">
        <w:rPr>
          <w:rFonts w:asciiTheme="majorHAnsi" w:hAnsiTheme="majorHAnsi"/>
          <w:sz w:val="20"/>
          <w:szCs w:val="20"/>
          <w:lang w:val="es-ES"/>
        </w:rPr>
        <w:lastRenderedPageBreak/>
        <w:t xml:space="preserve">La Comisión </w:t>
      </w:r>
      <w:r w:rsidR="008D1DBB" w:rsidRPr="00BA76F2">
        <w:rPr>
          <w:rFonts w:asciiTheme="majorHAnsi" w:hAnsiTheme="majorHAnsi"/>
          <w:sz w:val="20"/>
          <w:szCs w:val="20"/>
          <w:lang w:val="es-ES"/>
        </w:rPr>
        <w:t>destaca</w:t>
      </w:r>
      <w:r w:rsidR="00DF6D1F" w:rsidRPr="00BA76F2">
        <w:rPr>
          <w:rFonts w:asciiTheme="majorHAnsi" w:hAnsiTheme="majorHAnsi"/>
          <w:sz w:val="20"/>
          <w:szCs w:val="20"/>
          <w:lang w:val="es-ES"/>
        </w:rPr>
        <w:t xml:space="preserve"> que</w:t>
      </w:r>
      <w:r w:rsidR="008D1DBB" w:rsidRPr="00BA76F2">
        <w:rPr>
          <w:rFonts w:asciiTheme="majorHAnsi" w:hAnsiTheme="majorHAnsi"/>
          <w:sz w:val="20"/>
          <w:szCs w:val="20"/>
          <w:lang w:val="es-ES"/>
        </w:rPr>
        <w:t>, a través de</w:t>
      </w:r>
      <w:r w:rsidR="00DF6D1F" w:rsidRPr="00BA76F2">
        <w:rPr>
          <w:rFonts w:asciiTheme="majorHAnsi" w:hAnsiTheme="majorHAnsi"/>
          <w:sz w:val="20"/>
          <w:szCs w:val="20"/>
          <w:lang w:val="es-ES"/>
        </w:rPr>
        <w:t xml:space="preserve"> la mencionada sentencia condenatoria</w:t>
      </w:r>
      <w:r w:rsidR="008D1DBB" w:rsidRPr="00BA76F2">
        <w:rPr>
          <w:rFonts w:asciiTheme="majorHAnsi" w:hAnsiTheme="majorHAnsi"/>
          <w:sz w:val="20"/>
          <w:szCs w:val="20"/>
          <w:lang w:val="es-ES"/>
        </w:rPr>
        <w:t>, el Estado llevó a cabo una investigación efectiva y diligente con base en los est</w:t>
      </w:r>
      <w:r w:rsidR="00367D4F" w:rsidRPr="00BA76F2">
        <w:rPr>
          <w:rFonts w:asciiTheme="majorHAnsi" w:hAnsiTheme="majorHAnsi"/>
          <w:sz w:val="20"/>
          <w:szCs w:val="20"/>
          <w:lang w:val="es-ES"/>
        </w:rPr>
        <w:t>ándares interamericanos citados. E</w:t>
      </w:r>
      <w:r w:rsidR="008D1DBB" w:rsidRPr="00BA76F2">
        <w:rPr>
          <w:rFonts w:asciiTheme="majorHAnsi" w:hAnsiTheme="majorHAnsi"/>
          <w:sz w:val="20"/>
          <w:szCs w:val="20"/>
          <w:lang w:val="es-ES"/>
        </w:rPr>
        <w:t>n particular</w:t>
      </w:r>
      <w:r w:rsidR="00367D4F" w:rsidRPr="00BA76F2">
        <w:rPr>
          <w:rFonts w:asciiTheme="majorHAnsi" w:hAnsiTheme="majorHAnsi"/>
          <w:sz w:val="20"/>
          <w:szCs w:val="20"/>
          <w:lang w:val="es-ES"/>
        </w:rPr>
        <w:t>,</w:t>
      </w:r>
      <w:r w:rsidR="008D1DBB" w:rsidRPr="00BA76F2">
        <w:rPr>
          <w:rFonts w:asciiTheme="majorHAnsi" w:hAnsiTheme="majorHAnsi"/>
          <w:sz w:val="20"/>
          <w:szCs w:val="20"/>
          <w:lang w:val="es-ES"/>
        </w:rPr>
        <w:t xml:space="preserve"> </w:t>
      </w:r>
      <w:r w:rsidR="006405C6" w:rsidRPr="00BA76F2">
        <w:rPr>
          <w:rFonts w:asciiTheme="majorHAnsi" w:hAnsiTheme="majorHAnsi"/>
          <w:sz w:val="20"/>
          <w:szCs w:val="20"/>
          <w:lang w:val="es-ES"/>
        </w:rPr>
        <w:t xml:space="preserve">dicha sentencia </w:t>
      </w:r>
      <w:r w:rsidR="008D1DBB" w:rsidRPr="00BA76F2">
        <w:rPr>
          <w:rFonts w:asciiTheme="majorHAnsi" w:hAnsiTheme="majorHAnsi"/>
          <w:sz w:val="20"/>
          <w:szCs w:val="20"/>
          <w:lang w:val="es-ES"/>
        </w:rPr>
        <w:t xml:space="preserve">refleja una visión comprehensiva de los hechos </w:t>
      </w:r>
      <w:r w:rsidR="006405C6" w:rsidRPr="00BA76F2">
        <w:rPr>
          <w:rFonts w:asciiTheme="majorHAnsi" w:hAnsiTheme="majorHAnsi"/>
          <w:sz w:val="20"/>
          <w:szCs w:val="20"/>
          <w:lang w:val="es-ES"/>
        </w:rPr>
        <w:t xml:space="preserve">dado </w:t>
      </w:r>
      <w:r w:rsidR="008D1DBB" w:rsidRPr="00BA76F2">
        <w:rPr>
          <w:rFonts w:asciiTheme="majorHAnsi" w:hAnsiTheme="majorHAnsi"/>
          <w:sz w:val="20"/>
          <w:szCs w:val="20"/>
          <w:lang w:val="es-ES"/>
        </w:rPr>
        <w:t>que tuvo en cuenta los antecedentes y el contexto en el que ocurrieron, develando las estructuras de participación.</w:t>
      </w:r>
      <w:r w:rsidR="00DF6D1F" w:rsidRPr="00BA76F2">
        <w:rPr>
          <w:rFonts w:asciiTheme="majorHAnsi" w:hAnsiTheme="majorHAnsi"/>
          <w:sz w:val="20"/>
          <w:szCs w:val="20"/>
          <w:lang w:val="es-ES"/>
        </w:rPr>
        <w:t xml:space="preserve"> Sin embargo, </w:t>
      </w:r>
      <w:r w:rsidR="008D1DBB" w:rsidRPr="00BA76F2">
        <w:rPr>
          <w:rFonts w:asciiTheme="majorHAnsi" w:hAnsiTheme="majorHAnsi"/>
          <w:sz w:val="20"/>
          <w:szCs w:val="20"/>
          <w:lang w:val="es-ES"/>
        </w:rPr>
        <w:t xml:space="preserve">la CIDH </w:t>
      </w:r>
      <w:r w:rsidRPr="00BA76F2">
        <w:rPr>
          <w:rFonts w:asciiTheme="majorHAnsi" w:hAnsiTheme="majorHAnsi"/>
          <w:sz w:val="20"/>
          <w:szCs w:val="20"/>
          <w:lang w:val="es-ES"/>
        </w:rPr>
        <w:t xml:space="preserve">observa que si bien se aplicaron penas </w:t>
      </w:r>
      <w:r w:rsidR="00487570" w:rsidRPr="00BA76F2">
        <w:rPr>
          <w:rFonts w:asciiTheme="majorHAnsi" w:hAnsiTheme="majorHAnsi"/>
          <w:sz w:val="20"/>
          <w:szCs w:val="20"/>
          <w:lang w:val="es-ES"/>
        </w:rPr>
        <w:t xml:space="preserve">de prisión </w:t>
      </w:r>
      <w:r w:rsidRPr="00BA76F2">
        <w:rPr>
          <w:rFonts w:asciiTheme="majorHAnsi" w:hAnsiTheme="majorHAnsi"/>
          <w:sz w:val="20"/>
          <w:szCs w:val="20"/>
          <w:lang w:val="es-ES"/>
        </w:rPr>
        <w:t>altas</w:t>
      </w:r>
      <w:r w:rsidR="008D1DBB" w:rsidRPr="00BA76F2">
        <w:rPr>
          <w:rFonts w:asciiTheme="majorHAnsi" w:hAnsiTheme="majorHAnsi"/>
          <w:sz w:val="20"/>
          <w:szCs w:val="20"/>
          <w:lang w:val="es-ES"/>
        </w:rPr>
        <w:t>,</w:t>
      </w:r>
      <w:r w:rsidRPr="00BA76F2">
        <w:rPr>
          <w:rFonts w:asciiTheme="majorHAnsi" w:hAnsiTheme="majorHAnsi"/>
          <w:sz w:val="20"/>
          <w:szCs w:val="20"/>
          <w:lang w:val="es-ES"/>
        </w:rPr>
        <w:t xml:space="preserve"> </w:t>
      </w:r>
      <w:r w:rsidR="00487570" w:rsidRPr="00BA76F2">
        <w:rPr>
          <w:rFonts w:asciiTheme="majorHAnsi" w:hAnsiTheme="majorHAnsi"/>
          <w:sz w:val="20"/>
          <w:szCs w:val="20"/>
          <w:lang w:val="es-ES"/>
        </w:rPr>
        <w:t>proporcionales</w:t>
      </w:r>
      <w:r w:rsidRPr="00BA76F2">
        <w:rPr>
          <w:rFonts w:asciiTheme="majorHAnsi" w:hAnsiTheme="majorHAnsi"/>
          <w:sz w:val="20"/>
          <w:szCs w:val="20"/>
          <w:lang w:val="es-ES"/>
        </w:rPr>
        <w:t xml:space="preserve"> </w:t>
      </w:r>
      <w:r w:rsidR="00603CD8" w:rsidRPr="00BA76F2">
        <w:rPr>
          <w:rFonts w:asciiTheme="majorHAnsi" w:hAnsiTheme="majorHAnsi"/>
          <w:sz w:val="20"/>
          <w:szCs w:val="20"/>
          <w:lang w:val="es-ES"/>
        </w:rPr>
        <w:t xml:space="preserve">a </w:t>
      </w:r>
      <w:r w:rsidRPr="00BA76F2">
        <w:rPr>
          <w:rFonts w:asciiTheme="majorHAnsi" w:hAnsiTheme="majorHAnsi"/>
          <w:sz w:val="20"/>
          <w:szCs w:val="20"/>
          <w:lang w:val="es-ES"/>
        </w:rPr>
        <w:t xml:space="preserve">la gravedad de los </w:t>
      </w:r>
      <w:r w:rsidR="008A5AA6" w:rsidRPr="00BA76F2">
        <w:rPr>
          <w:rFonts w:asciiTheme="majorHAnsi" w:hAnsiTheme="majorHAnsi"/>
          <w:sz w:val="20"/>
          <w:szCs w:val="20"/>
          <w:lang w:val="es-ES"/>
        </w:rPr>
        <w:t>delitos</w:t>
      </w:r>
      <w:r w:rsidRPr="00BA76F2">
        <w:rPr>
          <w:rFonts w:asciiTheme="majorHAnsi" w:hAnsiTheme="majorHAnsi"/>
          <w:sz w:val="20"/>
          <w:szCs w:val="20"/>
          <w:lang w:val="es-ES"/>
        </w:rPr>
        <w:t xml:space="preserve">, no se aplicó el tipo penal de desaparición forzada. </w:t>
      </w:r>
      <w:r w:rsidR="00487570" w:rsidRPr="00BA76F2">
        <w:rPr>
          <w:rFonts w:asciiTheme="majorHAnsi" w:hAnsiTheme="majorHAnsi"/>
          <w:sz w:val="20"/>
          <w:szCs w:val="20"/>
          <w:lang w:val="es-ES"/>
        </w:rPr>
        <w:t>Éste fue incorporado al artículo 142 ter del Código Penal mediante la Ley 26.679 promulgada el 5 de mayo de 2011.</w:t>
      </w:r>
      <w:r w:rsidR="008A5AA6" w:rsidRPr="00BA76F2">
        <w:rPr>
          <w:rFonts w:asciiTheme="majorHAnsi" w:hAnsiTheme="majorHAnsi"/>
          <w:sz w:val="20"/>
          <w:szCs w:val="20"/>
          <w:lang w:val="es-ES"/>
        </w:rPr>
        <w:t xml:space="preserve"> Como lo establece la jurisprudencia interamericana citada, </w:t>
      </w:r>
      <w:r w:rsidR="00603CD8" w:rsidRPr="00BA76F2">
        <w:rPr>
          <w:rFonts w:asciiTheme="majorHAnsi" w:hAnsiTheme="majorHAnsi"/>
          <w:sz w:val="20"/>
          <w:szCs w:val="20"/>
          <w:lang w:val="es-ES"/>
        </w:rPr>
        <w:t xml:space="preserve">en casos de desaparición forzada </w:t>
      </w:r>
      <w:r w:rsidR="00042E82" w:rsidRPr="00BA76F2">
        <w:rPr>
          <w:rFonts w:asciiTheme="majorHAnsi" w:hAnsiTheme="majorHAnsi"/>
          <w:sz w:val="20"/>
          <w:szCs w:val="20"/>
          <w:lang w:val="es-ES"/>
        </w:rPr>
        <w:t xml:space="preserve">es </w:t>
      </w:r>
      <w:r w:rsidR="00184CC7" w:rsidRPr="00BA76F2">
        <w:rPr>
          <w:rFonts w:asciiTheme="majorHAnsi" w:hAnsiTheme="majorHAnsi"/>
          <w:sz w:val="20"/>
          <w:szCs w:val="20"/>
          <w:lang w:val="es-ES"/>
        </w:rPr>
        <w:t>e</w:t>
      </w:r>
      <w:r w:rsidR="00042E82" w:rsidRPr="00BA76F2">
        <w:rPr>
          <w:rFonts w:asciiTheme="majorHAnsi" w:hAnsiTheme="majorHAnsi"/>
          <w:sz w:val="20"/>
          <w:szCs w:val="20"/>
          <w:lang w:val="es-ES"/>
        </w:rPr>
        <w:t xml:space="preserve">ste tipo penal el que </w:t>
      </w:r>
      <w:r w:rsidR="00603CD8" w:rsidRPr="00BA76F2">
        <w:rPr>
          <w:rFonts w:asciiTheme="majorHAnsi" w:hAnsiTheme="majorHAnsi"/>
          <w:sz w:val="20"/>
          <w:szCs w:val="20"/>
          <w:lang w:val="es-ES"/>
        </w:rPr>
        <w:t xml:space="preserve">debe aplicarse. </w:t>
      </w:r>
      <w:r w:rsidR="006E6517" w:rsidRPr="00BA76F2">
        <w:rPr>
          <w:rFonts w:asciiTheme="majorHAnsi" w:hAnsiTheme="majorHAnsi"/>
          <w:sz w:val="20"/>
          <w:szCs w:val="20"/>
          <w:lang w:val="es-ES"/>
        </w:rPr>
        <w:t>Por lo tanto, la Comisión concluye</w:t>
      </w:r>
      <w:r w:rsidR="00042E82" w:rsidRPr="00BA76F2">
        <w:rPr>
          <w:rFonts w:asciiTheme="majorHAnsi" w:hAnsiTheme="majorHAnsi"/>
          <w:sz w:val="20"/>
          <w:szCs w:val="20"/>
          <w:lang w:val="es-ES"/>
        </w:rPr>
        <w:t xml:space="preserve"> que, al no haber Argentina tipificado el </w:t>
      </w:r>
      <w:r w:rsidR="00184CC7" w:rsidRPr="00BA76F2">
        <w:rPr>
          <w:rFonts w:asciiTheme="majorHAnsi" w:hAnsiTheme="majorHAnsi"/>
          <w:sz w:val="20"/>
          <w:szCs w:val="20"/>
          <w:lang w:val="es-ES"/>
        </w:rPr>
        <w:t>delito</w:t>
      </w:r>
      <w:r w:rsidR="00042E82" w:rsidRPr="00BA76F2">
        <w:rPr>
          <w:rFonts w:asciiTheme="majorHAnsi" w:hAnsiTheme="majorHAnsi"/>
          <w:sz w:val="20"/>
          <w:szCs w:val="20"/>
          <w:lang w:val="es-ES"/>
        </w:rPr>
        <w:t xml:space="preserve"> de desaparición forzada sino hasta el año 2011, violó </w:t>
      </w:r>
      <w:r w:rsidR="00F33D65" w:rsidRPr="00BA76F2">
        <w:rPr>
          <w:rFonts w:asciiTheme="majorHAnsi" w:hAnsiTheme="majorHAnsi"/>
          <w:sz w:val="20"/>
          <w:szCs w:val="20"/>
          <w:lang w:val="es-ES"/>
        </w:rPr>
        <w:t>e</w:t>
      </w:r>
      <w:r w:rsidR="00042E82" w:rsidRPr="00BA76F2">
        <w:rPr>
          <w:rFonts w:asciiTheme="majorHAnsi" w:hAnsiTheme="majorHAnsi"/>
          <w:sz w:val="20"/>
          <w:szCs w:val="20"/>
          <w:lang w:val="es-ES"/>
        </w:rPr>
        <w:t>l artículo I</w:t>
      </w:r>
      <w:r w:rsidR="00E00F3C" w:rsidRPr="00BA76F2">
        <w:rPr>
          <w:rFonts w:asciiTheme="majorHAnsi" w:hAnsiTheme="majorHAnsi"/>
          <w:sz w:val="20"/>
          <w:szCs w:val="20"/>
          <w:lang w:val="es-ES"/>
        </w:rPr>
        <w:t>II</w:t>
      </w:r>
      <w:r w:rsidR="00F33D65" w:rsidRPr="00BA76F2">
        <w:rPr>
          <w:rFonts w:asciiTheme="majorHAnsi" w:hAnsiTheme="majorHAnsi"/>
          <w:sz w:val="20"/>
          <w:szCs w:val="20"/>
          <w:lang w:val="es-ES"/>
        </w:rPr>
        <w:t xml:space="preserve"> de la CIDFP</w:t>
      </w:r>
      <w:r w:rsidR="00DF6D1F" w:rsidRPr="00BA76F2">
        <w:rPr>
          <w:rFonts w:asciiTheme="majorHAnsi" w:hAnsiTheme="majorHAnsi"/>
          <w:sz w:val="20"/>
          <w:szCs w:val="20"/>
          <w:lang w:val="es-ES"/>
        </w:rPr>
        <w:t xml:space="preserve">, siendo responsable por la tipificación tardía del </w:t>
      </w:r>
      <w:r w:rsidR="00512485" w:rsidRPr="00BA76F2">
        <w:rPr>
          <w:rFonts w:asciiTheme="majorHAnsi" w:hAnsiTheme="majorHAnsi"/>
          <w:sz w:val="20"/>
          <w:szCs w:val="20"/>
          <w:lang w:val="es-ES"/>
        </w:rPr>
        <w:t>mismo.</w:t>
      </w:r>
      <w:r w:rsidR="00F33D65" w:rsidRPr="00BA76F2">
        <w:rPr>
          <w:rFonts w:asciiTheme="majorHAnsi" w:hAnsiTheme="majorHAnsi"/>
          <w:sz w:val="20"/>
          <w:szCs w:val="20"/>
          <w:lang w:val="es-ES"/>
        </w:rPr>
        <w:t xml:space="preserve"> </w:t>
      </w:r>
      <w:r w:rsidR="00042E82" w:rsidRPr="00BA76F2">
        <w:rPr>
          <w:rFonts w:asciiTheme="majorHAnsi" w:hAnsiTheme="majorHAnsi"/>
          <w:sz w:val="20"/>
          <w:szCs w:val="20"/>
          <w:lang w:val="es-ES"/>
        </w:rPr>
        <w:t xml:space="preserve"> </w:t>
      </w:r>
    </w:p>
    <w:p w14:paraId="7CB8678E" w14:textId="77777777" w:rsidR="00BA76F2" w:rsidRDefault="00BA76F2" w:rsidP="00BA76F2">
      <w:pPr>
        <w:pStyle w:val="ListParagraph"/>
        <w:rPr>
          <w:rFonts w:asciiTheme="majorHAnsi" w:hAnsiTheme="majorHAnsi"/>
          <w:sz w:val="20"/>
          <w:szCs w:val="20"/>
          <w:lang w:val="es-ES"/>
        </w:rPr>
      </w:pPr>
    </w:p>
    <w:p w14:paraId="03005BA2" w14:textId="77777777" w:rsidR="00BA76F2" w:rsidRDefault="00144819" w:rsidP="00B14871">
      <w:pPr>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ind w:left="0" w:firstLine="0"/>
        <w:jc w:val="both"/>
        <w:rPr>
          <w:rFonts w:asciiTheme="majorHAnsi" w:hAnsiTheme="majorHAnsi"/>
          <w:sz w:val="20"/>
          <w:szCs w:val="20"/>
          <w:lang w:val="es-ES_tradnl"/>
        </w:rPr>
      </w:pPr>
      <w:r w:rsidRPr="00BA76F2">
        <w:rPr>
          <w:rFonts w:asciiTheme="majorHAnsi" w:hAnsiTheme="majorHAnsi"/>
          <w:sz w:val="20"/>
          <w:szCs w:val="20"/>
          <w:lang w:val="es-ES"/>
        </w:rPr>
        <w:t>Por otra parte,</w:t>
      </w:r>
      <w:r w:rsidR="006C6F27" w:rsidRPr="00BA76F2">
        <w:rPr>
          <w:rFonts w:asciiTheme="majorHAnsi" w:hAnsiTheme="majorHAnsi"/>
          <w:sz w:val="20"/>
          <w:szCs w:val="20"/>
          <w:lang w:val="es-ES"/>
        </w:rPr>
        <w:t xml:space="preserve"> </w:t>
      </w:r>
      <w:r w:rsidRPr="00BA76F2">
        <w:rPr>
          <w:rFonts w:asciiTheme="majorHAnsi" w:hAnsiTheme="majorHAnsi"/>
          <w:sz w:val="20"/>
          <w:szCs w:val="20"/>
          <w:lang w:val="es-ES"/>
        </w:rPr>
        <w:t xml:space="preserve">el 11 de septiembre de 2017 el Tribunal Oral en lo Criminal Federal No. 1, en el marco de la causa conocida como “Orletti III”, condenó a dos ex agentes de la Policía Federal Argentina a la pena de </w:t>
      </w:r>
      <w:r w:rsidR="00A33FD2" w:rsidRPr="00BA76F2">
        <w:rPr>
          <w:rFonts w:asciiTheme="majorHAnsi" w:hAnsiTheme="majorHAnsi"/>
          <w:sz w:val="20"/>
          <w:szCs w:val="20"/>
          <w:lang w:val="es-ES"/>
        </w:rPr>
        <w:t>seis</w:t>
      </w:r>
      <w:r w:rsidRPr="00BA76F2">
        <w:rPr>
          <w:rFonts w:asciiTheme="majorHAnsi" w:hAnsiTheme="majorHAnsi"/>
          <w:sz w:val="20"/>
          <w:szCs w:val="20"/>
          <w:lang w:val="es-ES"/>
        </w:rPr>
        <w:t xml:space="preserve"> años de prisión como coautores del delito de privación ilegítima de la libertad, agravada por mediar violencia o amenazas, en perjuicio de Victoria Grisonas. El tribunal tuvo por acreditado que ambos ex policías lideraron </w:t>
      </w:r>
      <w:r w:rsidR="0018643F" w:rsidRPr="00BA76F2">
        <w:rPr>
          <w:rFonts w:asciiTheme="majorHAnsi" w:hAnsiTheme="majorHAnsi"/>
          <w:sz w:val="20"/>
          <w:szCs w:val="20"/>
          <w:lang w:val="es-ES"/>
        </w:rPr>
        <w:t xml:space="preserve">el operativo llevado a cabo el 26  de septiembre de 1976. Si bien se acreditó que Mario Julien fue asesinado en el marco del mismo, el tribunal absolvió a los ex policías por el delito de homicidio agravado por alevosía </w:t>
      </w:r>
      <w:r w:rsidR="00367D4F" w:rsidRPr="00BA76F2">
        <w:rPr>
          <w:rFonts w:asciiTheme="majorHAnsi" w:hAnsiTheme="majorHAnsi"/>
          <w:sz w:val="20"/>
          <w:szCs w:val="20"/>
          <w:lang w:val="es-ES"/>
        </w:rPr>
        <w:t xml:space="preserve">respecto de Mario Julien </w:t>
      </w:r>
      <w:r w:rsidR="0018643F" w:rsidRPr="00BA76F2">
        <w:rPr>
          <w:rFonts w:asciiTheme="majorHAnsi" w:hAnsiTheme="majorHAnsi"/>
          <w:sz w:val="20"/>
          <w:szCs w:val="20"/>
          <w:lang w:val="es-ES"/>
        </w:rPr>
        <w:t xml:space="preserve">por falta de elementos probatorios </w:t>
      </w:r>
      <w:r w:rsidR="009D6E44" w:rsidRPr="00BA76F2">
        <w:rPr>
          <w:rFonts w:asciiTheme="majorHAnsi" w:hAnsiTheme="majorHAnsi"/>
          <w:sz w:val="20"/>
          <w:szCs w:val="20"/>
          <w:lang w:val="es-ES"/>
        </w:rPr>
        <w:t xml:space="preserve">sobre su participación </w:t>
      </w:r>
      <w:r w:rsidR="0018643F" w:rsidRPr="00BA76F2">
        <w:rPr>
          <w:rFonts w:asciiTheme="majorHAnsi" w:hAnsiTheme="majorHAnsi"/>
          <w:sz w:val="20"/>
          <w:szCs w:val="20"/>
          <w:lang w:val="es-ES"/>
        </w:rPr>
        <w:t>directa en el homicidio.</w:t>
      </w:r>
      <w:r w:rsidR="009D6E44" w:rsidRPr="00BA76F2">
        <w:rPr>
          <w:rFonts w:asciiTheme="majorHAnsi" w:hAnsiTheme="majorHAnsi"/>
          <w:sz w:val="20"/>
          <w:szCs w:val="20"/>
          <w:lang w:val="es-ES"/>
        </w:rPr>
        <w:t xml:space="preserve"> El 27 de febrero de 2019 la Sala IV de la Cámara Federal de Casación Penal anuló parcialmente dicha sentencia, reenviando las actuaciones al </w:t>
      </w:r>
      <w:r w:rsidR="009D6E44" w:rsidRPr="00BA76F2">
        <w:rPr>
          <w:rFonts w:asciiTheme="majorHAnsi" w:hAnsiTheme="majorHAnsi"/>
          <w:i/>
          <w:sz w:val="20"/>
          <w:szCs w:val="20"/>
          <w:lang w:val="es-ES"/>
        </w:rPr>
        <w:t>a quo</w:t>
      </w:r>
      <w:r w:rsidR="009D6E44" w:rsidRPr="00BA76F2">
        <w:rPr>
          <w:rFonts w:asciiTheme="majorHAnsi" w:hAnsiTheme="majorHAnsi"/>
          <w:sz w:val="20"/>
          <w:szCs w:val="20"/>
          <w:lang w:val="es-ES"/>
        </w:rPr>
        <w:t xml:space="preserve">. </w:t>
      </w:r>
      <w:r w:rsidR="008819E3" w:rsidRPr="00BA76F2">
        <w:rPr>
          <w:rFonts w:asciiTheme="majorHAnsi" w:hAnsiTheme="majorHAnsi"/>
          <w:sz w:val="20"/>
          <w:szCs w:val="20"/>
          <w:lang w:val="es-ES"/>
        </w:rPr>
        <w:t xml:space="preserve">El tribunal anuló la absolución de Mario Julien por considerarla arbitraria. </w:t>
      </w:r>
    </w:p>
    <w:p w14:paraId="7551CD42" w14:textId="77777777" w:rsidR="00BA76F2" w:rsidRDefault="00BA76F2" w:rsidP="00BA76F2">
      <w:pPr>
        <w:pStyle w:val="ListParagraph"/>
        <w:rPr>
          <w:rFonts w:asciiTheme="majorHAnsi" w:hAnsiTheme="majorHAnsi"/>
          <w:sz w:val="20"/>
          <w:szCs w:val="20"/>
          <w:lang w:val="es-ES"/>
        </w:rPr>
      </w:pPr>
    </w:p>
    <w:p w14:paraId="3CCF53E2" w14:textId="77777777" w:rsidR="00BA76F2" w:rsidRDefault="003229F6" w:rsidP="00B14871">
      <w:pPr>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ind w:left="0" w:firstLine="0"/>
        <w:jc w:val="both"/>
        <w:rPr>
          <w:rFonts w:asciiTheme="majorHAnsi" w:hAnsiTheme="majorHAnsi"/>
          <w:sz w:val="20"/>
          <w:szCs w:val="20"/>
          <w:lang w:val="es-ES_tradnl"/>
        </w:rPr>
      </w:pPr>
      <w:r w:rsidRPr="00BA76F2">
        <w:rPr>
          <w:rFonts w:asciiTheme="majorHAnsi" w:hAnsiTheme="majorHAnsi"/>
          <w:sz w:val="20"/>
          <w:szCs w:val="20"/>
          <w:lang w:val="es-ES"/>
        </w:rPr>
        <w:t xml:space="preserve">Como se estableció en el apartado B </w:t>
      </w:r>
      <w:r w:rsidRPr="00BA76F2">
        <w:rPr>
          <w:rFonts w:asciiTheme="majorHAnsi" w:hAnsiTheme="majorHAnsi"/>
          <w:i/>
          <w:sz w:val="20"/>
          <w:szCs w:val="20"/>
          <w:lang w:val="es-ES"/>
        </w:rPr>
        <w:t>ut supra</w:t>
      </w:r>
      <w:r w:rsidRPr="00BA76F2">
        <w:rPr>
          <w:rFonts w:asciiTheme="majorHAnsi" w:hAnsiTheme="majorHAnsi"/>
          <w:sz w:val="20"/>
          <w:szCs w:val="20"/>
          <w:lang w:val="es-ES"/>
        </w:rPr>
        <w:t xml:space="preserve">, </w:t>
      </w:r>
      <w:r w:rsidR="00664F94" w:rsidRPr="00BA76F2">
        <w:rPr>
          <w:rFonts w:asciiTheme="majorHAnsi" w:hAnsiTheme="majorHAnsi"/>
          <w:sz w:val="20"/>
          <w:szCs w:val="20"/>
          <w:lang w:val="es-ES"/>
        </w:rPr>
        <w:t xml:space="preserve">en el caso de Mario Julien </w:t>
      </w:r>
      <w:r w:rsidR="00664F94" w:rsidRPr="00BA76F2">
        <w:rPr>
          <w:rFonts w:asciiTheme="majorHAnsi" w:hAnsiTheme="majorHAnsi"/>
          <w:sz w:val="20"/>
          <w:szCs w:val="20"/>
          <w:lang w:val="es-CO"/>
        </w:rPr>
        <w:t xml:space="preserve">se encuentran presentes los tres elementos constitutivos de la desaparición forzada y la existencia de indicios sobre su muerte no modifica dicha calificación jurídica dado que sus restos aún no han sido </w:t>
      </w:r>
      <w:r w:rsidR="000D11E7" w:rsidRPr="00BA76F2">
        <w:rPr>
          <w:rFonts w:asciiTheme="majorHAnsi" w:hAnsiTheme="majorHAnsi"/>
          <w:sz w:val="20"/>
          <w:szCs w:val="20"/>
          <w:lang w:val="es-CO"/>
        </w:rPr>
        <w:t>encontrados, identificados y entregados a sus familiares</w:t>
      </w:r>
      <w:r w:rsidR="00664F94" w:rsidRPr="00BA76F2">
        <w:rPr>
          <w:rFonts w:asciiTheme="majorHAnsi" w:hAnsiTheme="majorHAnsi"/>
          <w:sz w:val="20"/>
          <w:szCs w:val="20"/>
          <w:lang w:val="es-CO"/>
        </w:rPr>
        <w:t xml:space="preserve">. Por lo tanto, </w:t>
      </w:r>
      <w:r w:rsidR="00D46C29" w:rsidRPr="00BA76F2">
        <w:rPr>
          <w:rFonts w:asciiTheme="majorHAnsi" w:hAnsiTheme="majorHAnsi"/>
          <w:sz w:val="20"/>
          <w:szCs w:val="20"/>
          <w:lang w:val="es-CO"/>
        </w:rPr>
        <w:t>y teniendo en cuenta la impunidad existente a la fecha respecto de est</w:t>
      </w:r>
      <w:r w:rsidR="00BF6907" w:rsidRPr="00BA76F2">
        <w:rPr>
          <w:rFonts w:asciiTheme="majorHAnsi" w:hAnsiTheme="majorHAnsi"/>
          <w:sz w:val="20"/>
          <w:szCs w:val="20"/>
          <w:lang w:val="es-CO"/>
        </w:rPr>
        <w:t>os hechos</w:t>
      </w:r>
      <w:r w:rsidR="00D46C29" w:rsidRPr="00BA76F2">
        <w:rPr>
          <w:rFonts w:asciiTheme="majorHAnsi" w:hAnsiTheme="majorHAnsi"/>
          <w:sz w:val="20"/>
          <w:szCs w:val="20"/>
          <w:lang w:val="es-CO"/>
        </w:rPr>
        <w:t xml:space="preserve">, </w:t>
      </w:r>
      <w:r w:rsidR="00E96858" w:rsidRPr="00BA76F2">
        <w:rPr>
          <w:rFonts w:asciiTheme="majorHAnsi" w:hAnsiTheme="majorHAnsi"/>
          <w:sz w:val="20"/>
          <w:szCs w:val="20"/>
          <w:lang w:val="es-CO"/>
        </w:rPr>
        <w:t xml:space="preserve">la Comisión establece que la falta de consideración de </w:t>
      </w:r>
      <w:r w:rsidR="00D46C29" w:rsidRPr="00BA76F2">
        <w:rPr>
          <w:rFonts w:asciiTheme="majorHAnsi" w:hAnsiTheme="majorHAnsi"/>
          <w:sz w:val="20"/>
          <w:szCs w:val="20"/>
          <w:lang w:val="es-CO"/>
        </w:rPr>
        <w:t>los mencionados</w:t>
      </w:r>
      <w:r w:rsidR="00E96858" w:rsidRPr="00BA76F2">
        <w:rPr>
          <w:rFonts w:asciiTheme="majorHAnsi" w:hAnsiTheme="majorHAnsi"/>
          <w:sz w:val="20"/>
          <w:szCs w:val="20"/>
          <w:lang w:val="es-CO"/>
        </w:rPr>
        <w:t xml:space="preserve"> elementos por parte </w:t>
      </w:r>
      <w:r w:rsidR="003735E3" w:rsidRPr="00BA76F2">
        <w:rPr>
          <w:rFonts w:asciiTheme="majorHAnsi" w:hAnsiTheme="majorHAnsi"/>
          <w:sz w:val="20"/>
          <w:szCs w:val="20"/>
          <w:lang w:val="es-CO"/>
        </w:rPr>
        <w:t xml:space="preserve">de los tribunales nacionales, constituye una violación de la obligación internacional del Estado argentino de </w:t>
      </w:r>
      <w:r w:rsidR="00367978" w:rsidRPr="00BA76F2">
        <w:rPr>
          <w:rFonts w:asciiTheme="majorHAnsi" w:hAnsiTheme="majorHAnsi"/>
          <w:sz w:val="20"/>
          <w:szCs w:val="20"/>
          <w:lang w:val="es-CO"/>
        </w:rPr>
        <w:t xml:space="preserve">sancionar toda desaparición forzada de personas de acuerdo a los derechos establecidos en los artículos 8.1 y 25, en relación con el artículo 1.1 de la Convención, y </w:t>
      </w:r>
      <w:r w:rsidR="00D46C29" w:rsidRPr="00BA76F2">
        <w:rPr>
          <w:rFonts w:asciiTheme="majorHAnsi" w:hAnsiTheme="majorHAnsi"/>
          <w:sz w:val="20"/>
          <w:szCs w:val="20"/>
          <w:lang w:val="es-CO"/>
        </w:rPr>
        <w:t>a</w:t>
      </w:r>
      <w:r w:rsidR="00367978" w:rsidRPr="00BA76F2">
        <w:rPr>
          <w:rFonts w:asciiTheme="majorHAnsi" w:hAnsiTheme="majorHAnsi"/>
          <w:sz w:val="20"/>
          <w:szCs w:val="20"/>
          <w:lang w:val="es-CO"/>
        </w:rPr>
        <w:t xml:space="preserve"> la obligación establecida en el artículo I b) de la CIDFP.</w:t>
      </w:r>
      <w:r w:rsidR="00E102C6" w:rsidRPr="00BA76F2">
        <w:rPr>
          <w:rFonts w:asciiTheme="majorHAnsi" w:hAnsiTheme="majorHAnsi"/>
          <w:sz w:val="20"/>
          <w:szCs w:val="20"/>
          <w:lang w:val="es-CO"/>
        </w:rPr>
        <w:t xml:space="preserve"> En todo caso, la Comisión observa que lo sucedido a Mario Julien, se encuentra en situación de impunidad.</w:t>
      </w:r>
    </w:p>
    <w:p w14:paraId="28599E98" w14:textId="77777777" w:rsidR="00BA76F2" w:rsidRDefault="00BA76F2" w:rsidP="00BA76F2">
      <w:pPr>
        <w:pStyle w:val="ListParagraph"/>
        <w:rPr>
          <w:rFonts w:asciiTheme="majorHAnsi" w:hAnsiTheme="majorHAnsi"/>
          <w:sz w:val="20"/>
          <w:szCs w:val="20"/>
          <w:lang w:val="es-ES"/>
        </w:rPr>
      </w:pPr>
    </w:p>
    <w:p w14:paraId="54CE78F8" w14:textId="77777777" w:rsidR="00BA76F2" w:rsidRDefault="00EF3F4F" w:rsidP="00B14871">
      <w:pPr>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ind w:left="0" w:firstLine="0"/>
        <w:jc w:val="both"/>
        <w:rPr>
          <w:rFonts w:asciiTheme="majorHAnsi" w:hAnsiTheme="majorHAnsi"/>
          <w:sz w:val="20"/>
          <w:szCs w:val="20"/>
          <w:lang w:val="es-ES_tradnl"/>
        </w:rPr>
      </w:pPr>
      <w:r w:rsidRPr="00BA76F2">
        <w:rPr>
          <w:rFonts w:asciiTheme="majorHAnsi" w:hAnsiTheme="majorHAnsi"/>
          <w:sz w:val="20"/>
          <w:szCs w:val="20"/>
          <w:lang w:val="es-ES"/>
        </w:rPr>
        <w:t>Respecto a la búsqueda de los restos de Victoria Grisonas y Mario Julien</w:t>
      </w:r>
      <w:r w:rsidR="002027B3" w:rsidRPr="00BA76F2">
        <w:rPr>
          <w:rFonts w:asciiTheme="majorHAnsi" w:hAnsiTheme="majorHAnsi"/>
          <w:sz w:val="20"/>
          <w:szCs w:val="20"/>
          <w:lang w:val="es-ES"/>
        </w:rPr>
        <w:t>,</w:t>
      </w:r>
      <w:r w:rsidR="00450ECE" w:rsidRPr="00BA76F2">
        <w:rPr>
          <w:rFonts w:asciiTheme="majorHAnsi" w:hAnsiTheme="majorHAnsi"/>
          <w:sz w:val="20"/>
          <w:szCs w:val="20"/>
          <w:lang w:val="es-ES"/>
        </w:rPr>
        <w:t xml:space="preserve"> la Comisión observa que, de la información disponible, no su</w:t>
      </w:r>
      <w:r w:rsidR="00C2169F" w:rsidRPr="00BA76F2">
        <w:rPr>
          <w:rFonts w:asciiTheme="majorHAnsi" w:hAnsiTheme="majorHAnsi"/>
          <w:sz w:val="20"/>
          <w:szCs w:val="20"/>
          <w:lang w:val="es-ES"/>
        </w:rPr>
        <w:t xml:space="preserve">rge que se hayan utilizado todos los medios necesarios para realizar con prontitud las actuaciones y averiguaciones necesarias para esclarecer la suerte de las víctimas, en los términos de la jurisprudencia interamericana señalada. </w:t>
      </w:r>
      <w:r w:rsidR="002E6595" w:rsidRPr="00BA76F2">
        <w:rPr>
          <w:rFonts w:asciiTheme="majorHAnsi" w:hAnsiTheme="majorHAnsi"/>
          <w:sz w:val="20"/>
          <w:szCs w:val="20"/>
          <w:lang w:val="es-ES"/>
        </w:rPr>
        <w:t>En el caso de Mario Julien</w:t>
      </w:r>
      <w:r w:rsidR="003876B4" w:rsidRPr="00BA76F2">
        <w:rPr>
          <w:rFonts w:asciiTheme="majorHAnsi" w:hAnsiTheme="majorHAnsi"/>
          <w:sz w:val="20"/>
          <w:szCs w:val="20"/>
          <w:lang w:val="es-ES"/>
        </w:rPr>
        <w:t xml:space="preserve">, y de acuerdo a lo investigado en el marco de la Causa No. 2637/04, </w:t>
      </w:r>
      <w:r w:rsidR="002E6595" w:rsidRPr="00BA76F2">
        <w:rPr>
          <w:rFonts w:asciiTheme="majorHAnsi" w:hAnsiTheme="majorHAnsi"/>
          <w:sz w:val="20"/>
          <w:szCs w:val="20"/>
          <w:lang w:val="es-ES"/>
        </w:rPr>
        <w:t>existen indicios seg</w:t>
      </w:r>
      <w:r w:rsidR="00A738D4" w:rsidRPr="00BA76F2">
        <w:rPr>
          <w:rFonts w:asciiTheme="majorHAnsi" w:hAnsiTheme="majorHAnsi"/>
          <w:sz w:val="20"/>
          <w:szCs w:val="20"/>
          <w:lang w:val="es-ES"/>
        </w:rPr>
        <w:t>ún los cuales sus restos fueron trasladados en 1986 al Osario General del Cementerio Municipal del Partido de General San Martín. Sin embargo, a pesar de la solicitud realizada por Anatole Larrabeiti Yáñez en calidad de querellante en el marco de dicha causa, de la información disponible no surge que se hayan llevado a cabo diligencias adicionales a fin de dar con los restos de Mario Julien y proceder a su identificación y entrega a su hijo a hija.</w:t>
      </w:r>
    </w:p>
    <w:p w14:paraId="744B7F76" w14:textId="77777777" w:rsidR="00BA76F2" w:rsidRDefault="00BA76F2" w:rsidP="00BA76F2">
      <w:pPr>
        <w:pStyle w:val="ListParagraph"/>
        <w:rPr>
          <w:rFonts w:asciiTheme="majorHAnsi" w:hAnsiTheme="majorHAnsi"/>
          <w:sz w:val="20"/>
          <w:szCs w:val="20"/>
          <w:lang w:val="es-ES"/>
        </w:rPr>
      </w:pPr>
    </w:p>
    <w:p w14:paraId="342DCE7A" w14:textId="77777777" w:rsidR="00BA76F2" w:rsidRDefault="00C2169F" w:rsidP="00B14871">
      <w:pPr>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ind w:left="0" w:firstLine="0"/>
        <w:jc w:val="both"/>
        <w:rPr>
          <w:rFonts w:asciiTheme="majorHAnsi" w:hAnsiTheme="majorHAnsi"/>
          <w:sz w:val="20"/>
          <w:szCs w:val="20"/>
          <w:lang w:val="es-ES_tradnl"/>
        </w:rPr>
      </w:pPr>
      <w:r w:rsidRPr="00BA76F2">
        <w:rPr>
          <w:rFonts w:asciiTheme="majorHAnsi" w:hAnsiTheme="majorHAnsi"/>
          <w:sz w:val="20"/>
          <w:szCs w:val="20"/>
          <w:lang w:val="es-ES"/>
        </w:rPr>
        <w:t xml:space="preserve">La Comisión </w:t>
      </w:r>
      <w:r w:rsidR="0059337F" w:rsidRPr="00BA76F2">
        <w:rPr>
          <w:rFonts w:asciiTheme="majorHAnsi" w:hAnsiTheme="majorHAnsi"/>
          <w:sz w:val="20"/>
          <w:szCs w:val="20"/>
          <w:lang w:val="es-ES"/>
        </w:rPr>
        <w:t>destaca</w:t>
      </w:r>
      <w:r w:rsidRPr="00BA76F2">
        <w:rPr>
          <w:rFonts w:asciiTheme="majorHAnsi" w:hAnsiTheme="majorHAnsi"/>
          <w:sz w:val="20"/>
          <w:szCs w:val="20"/>
          <w:lang w:val="es-ES"/>
        </w:rPr>
        <w:t xml:space="preserve"> </w:t>
      </w:r>
      <w:r w:rsidR="00831F13" w:rsidRPr="00BA76F2">
        <w:rPr>
          <w:rFonts w:asciiTheme="majorHAnsi" w:hAnsiTheme="majorHAnsi"/>
          <w:sz w:val="20"/>
          <w:szCs w:val="20"/>
          <w:lang w:val="es-ES"/>
        </w:rPr>
        <w:t xml:space="preserve">la importancia que implica </w:t>
      </w:r>
      <w:r w:rsidR="0059337F" w:rsidRPr="00BA76F2">
        <w:rPr>
          <w:rFonts w:asciiTheme="majorHAnsi" w:hAnsiTheme="majorHAnsi"/>
          <w:sz w:val="20"/>
          <w:szCs w:val="20"/>
          <w:lang w:val="es-ES"/>
        </w:rPr>
        <w:t>para los hermanos Larrabieti Yáñez</w:t>
      </w:r>
      <w:r w:rsidR="00831F13" w:rsidRPr="00BA76F2">
        <w:rPr>
          <w:rFonts w:asciiTheme="majorHAnsi" w:hAnsiTheme="majorHAnsi"/>
          <w:sz w:val="20"/>
          <w:szCs w:val="20"/>
          <w:lang w:val="es-ES"/>
        </w:rPr>
        <w:t xml:space="preserve"> </w:t>
      </w:r>
      <w:r w:rsidRPr="00BA76F2">
        <w:rPr>
          <w:rFonts w:asciiTheme="majorHAnsi" w:hAnsiTheme="majorHAnsi"/>
          <w:sz w:val="20"/>
          <w:szCs w:val="20"/>
          <w:lang w:val="es-ES"/>
        </w:rPr>
        <w:t xml:space="preserve">recibir el cuerpo de </w:t>
      </w:r>
      <w:r w:rsidR="0059337F" w:rsidRPr="00BA76F2">
        <w:rPr>
          <w:rFonts w:asciiTheme="majorHAnsi" w:hAnsiTheme="majorHAnsi"/>
          <w:sz w:val="20"/>
          <w:szCs w:val="20"/>
          <w:lang w:val="es-ES"/>
        </w:rPr>
        <w:t xml:space="preserve">su </w:t>
      </w:r>
      <w:r w:rsidR="002E6595" w:rsidRPr="00BA76F2">
        <w:rPr>
          <w:rFonts w:asciiTheme="majorHAnsi" w:hAnsiTheme="majorHAnsi"/>
          <w:sz w:val="20"/>
          <w:szCs w:val="20"/>
          <w:lang w:val="es-ES"/>
        </w:rPr>
        <w:t xml:space="preserve">madre y </w:t>
      </w:r>
      <w:r w:rsidR="0059337F" w:rsidRPr="00BA76F2">
        <w:rPr>
          <w:rFonts w:asciiTheme="majorHAnsi" w:hAnsiTheme="majorHAnsi"/>
          <w:sz w:val="20"/>
          <w:szCs w:val="20"/>
          <w:lang w:val="es-ES"/>
        </w:rPr>
        <w:t>padre</w:t>
      </w:r>
      <w:r w:rsidR="002E6595" w:rsidRPr="00BA76F2">
        <w:rPr>
          <w:rFonts w:asciiTheme="majorHAnsi" w:hAnsiTheme="majorHAnsi"/>
          <w:sz w:val="20"/>
          <w:szCs w:val="20"/>
          <w:lang w:val="es-ES"/>
        </w:rPr>
        <w:t xml:space="preserve"> </w:t>
      </w:r>
      <w:r w:rsidR="0059337F" w:rsidRPr="00BA76F2">
        <w:rPr>
          <w:rFonts w:asciiTheme="majorHAnsi" w:hAnsiTheme="majorHAnsi"/>
          <w:sz w:val="20"/>
          <w:szCs w:val="20"/>
          <w:lang w:val="es-ES"/>
        </w:rPr>
        <w:t>biológicos</w:t>
      </w:r>
      <w:r w:rsidR="00831F13" w:rsidRPr="00BA76F2">
        <w:rPr>
          <w:rFonts w:asciiTheme="majorHAnsi" w:hAnsiTheme="majorHAnsi"/>
          <w:sz w:val="20"/>
          <w:szCs w:val="20"/>
          <w:lang w:val="es-ES"/>
        </w:rPr>
        <w:t xml:space="preserve">, aspecto que ha sido considerado de suma importancia por el sistema interamericano ya que permite a los familiares </w:t>
      </w:r>
      <w:r w:rsidRPr="00BA76F2">
        <w:rPr>
          <w:rFonts w:asciiTheme="majorHAnsi" w:hAnsiTheme="majorHAnsi"/>
          <w:sz w:val="20"/>
          <w:szCs w:val="20"/>
          <w:lang w:val="es-ES"/>
        </w:rPr>
        <w:t>cerrar el proceso de duelo que</w:t>
      </w:r>
      <w:r w:rsidR="00831F13" w:rsidRPr="00BA76F2">
        <w:rPr>
          <w:rFonts w:asciiTheme="majorHAnsi" w:hAnsiTheme="majorHAnsi"/>
          <w:sz w:val="20"/>
          <w:szCs w:val="20"/>
          <w:lang w:val="es-ES"/>
        </w:rPr>
        <w:t>, en el presente caso, ha sido de varias décadas</w:t>
      </w:r>
      <w:r w:rsidRPr="00BA76F2">
        <w:rPr>
          <w:rFonts w:asciiTheme="majorHAnsi" w:hAnsiTheme="majorHAnsi"/>
          <w:sz w:val="20"/>
          <w:szCs w:val="20"/>
          <w:lang w:val="es-ES"/>
        </w:rPr>
        <w:t>.</w:t>
      </w:r>
      <w:r w:rsidR="00831F13" w:rsidRPr="00BA76F2">
        <w:rPr>
          <w:rFonts w:asciiTheme="majorHAnsi" w:hAnsiTheme="majorHAnsi"/>
          <w:sz w:val="20"/>
          <w:szCs w:val="20"/>
          <w:lang w:val="es-ES"/>
        </w:rPr>
        <w:t xml:space="preserve"> Asimismo, la Comisión </w:t>
      </w:r>
      <w:r w:rsidR="00854092" w:rsidRPr="00BA76F2">
        <w:rPr>
          <w:rFonts w:asciiTheme="majorHAnsi" w:hAnsiTheme="majorHAnsi"/>
          <w:sz w:val="20"/>
          <w:szCs w:val="20"/>
          <w:lang w:val="es-ES"/>
        </w:rPr>
        <w:t>resalta</w:t>
      </w:r>
      <w:r w:rsidR="00831F13" w:rsidRPr="00BA76F2">
        <w:rPr>
          <w:rFonts w:asciiTheme="majorHAnsi" w:hAnsiTheme="majorHAnsi"/>
          <w:sz w:val="20"/>
          <w:szCs w:val="20"/>
          <w:lang w:val="es-ES"/>
        </w:rPr>
        <w:t xml:space="preserve"> la importancia que tiene para los familiares y la sociedad en su conjunto, conocer la verdad de lo sucedido. Como lo ha establecido la jurisprudencia interamericana, en casos de desapariciones forzadas </w:t>
      </w:r>
      <w:r w:rsidR="00854092" w:rsidRPr="00BA76F2">
        <w:rPr>
          <w:rFonts w:asciiTheme="majorHAnsi" w:hAnsiTheme="majorHAnsi"/>
          <w:sz w:val="20"/>
          <w:szCs w:val="20"/>
          <w:lang w:val="es-ES"/>
        </w:rPr>
        <w:t xml:space="preserve">el derecho de los familiares de conocer el destino de sus seres queridos y, en su caso, dónde se encuentran sus restos, es parte constitutiva del derecho a la verdad y se enmarca además en el derecho de acceso a la justicia y la obligación de investigar como forma de reparación para conocer la verdad en el caso concreto. </w:t>
      </w:r>
    </w:p>
    <w:p w14:paraId="0B703D21" w14:textId="77777777" w:rsidR="00BA76F2" w:rsidRDefault="00BA76F2" w:rsidP="00BA76F2">
      <w:pPr>
        <w:pStyle w:val="ListParagraph"/>
        <w:rPr>
          <w:rFonts w:asciiTheme="majorHAnsi" w:hAnsiTheme="majorHAnsi"/>
          <w:sz w:val="20"/>
          <w:szCs w:val="20"/>
          <w:lang w:val="es-ES"/>
        </w:rPr>
      </w:pPr>
    </w:p>
    <w:p w14:paraId="5CC026DC" w14:textId="77777777" w:rsidR="00BA76F2" w:rsidRDefault="008831EB" w:rsidP="00B14871">
      <w:pPr>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ind w:left="0" w:firstLine="0"/>
        <w:jc w:val="both"/>
        <w:rPr>
          <w:rFonts w:asciiTheme="majorHAnsi" w:hAnsiTheme="majorHAnsi"/>
          <w:sz w:val="20"/>
          <w:szCs w:val="20"/>
          <w:lang w:val="es-ES_tradnl"/>
        </w:rPr>
      </w:pPr>
      <w:r w:rsidRPr="00BA76F2">
        <w:rPr>
          <w:rFonts w:asciiTheme="majorHAnsi" w:hAnsiTheme="majorHAnsi"/>
          <w:sz w:val="20"/>
          <w:szCs w:val="20"/>
          <w:lang w:val="es-ES"/>
        </w:rPr>
        <w:t xml:space="preserve">En relación con la investigación de los delitos cometidos respecto de los hermanos Larrabeiti Yáñez, </w:t>
      </w:r>
      <w:r w:rsidR="00471AF4" w:rsidRPr="00BA76F2">
        <w:rPr>
          <w:rFonts w:asciiTheme="majorHAnsi" w:hAnsiTheme="majorHAnsi"/>
          <w:sz w:val="20"/>
          <w:szCs w:val="20"/>
          <w:lang w:val="es-ES"/>
        </w:rPr>
        <w:t xml:space="preserve">en el marco de la sentencia dictada el 31 de mayo de 2011 en la causa “Orletti I”, el tribunal solicitó que se remitan al juez de primera instancia a cargo de la Causa Nro. 2637/04, las piezas procesales pertinentes para </w:t>
      </w:r>
      <w:r w:rsidR="00471AF4" w:rsidRPr="00BA76F2">
        <w:rPr>
          <w:rFonts w:asciiTheme="majorHAnsi" w:hAnsiTheme="majorHAnsi"/>
          <w:sz w:val="20"/>
          <w:szCs w:val="20"/>
          <w:lang w:val="es-ES"/>
        </w:rPr>
        <w:lastRenderedPageBreak/>
        <w:t xml:space="preserve">que se investigue la posible participación delictiva de Rolando Nerone y de otros agentes de la Policía Federal Argentina en el secuestro de la familia Julien-Grisonas. </w:t>
      </w:r>
      <w:r w:rsidR="004639BB" w:rsidRPr="00BA76F2">
        <w:rPr>
          <w:rFonts w:asciiTheme="majorHAnsi" w:hAnsiTheme="majorHAnsi"/>
          <w:sz w:val="20"/>
          <w:szCs w:val="20"/>
          <w:lang w:val="es-ES"/>
        </w:rPr>
        <w:t>Al momento del dictado de dicha sentencia se acababa de procesar a Rolando Nerone y Oscar Gutiérrez. La Comisión nota que si bien en dicho auto de procesamiento el juez detalló con precisión los actos cometidos contra los hermanos Larrabeiti Yáñez, no imputó a los procesados por dichos delitos</w:t>
      </w:r>
      <w:r w:rsidR="009F0C1C" w:rsidRPr="00BA76F2">
        <w:rPr>
          <w:rFonts w:asciiTheme="majorHAnsi" w:hAnsiTheme="majorHAnsi"/>
          <w:sz w:val="20"/>
          <w:szCs w:val="20"/>
          <w:lang w:val="es-ES"/>
        </w:rPr>
        <w:t>, quedando éstos excluidos de la sentencia del 11 de septiembre de 2017</w:t>
      </w:r>
      <w:r w:rsidR="004639BB" w:rsidRPr="00BA76F2">
        <w:rPr>
          <w:rFonts w:asciiTheme="majorHAnsi" w:hAnsiTheme="majorHAnsi"/>
          <w:sz w:val="20"/>
          <w:szCs w:val="20"/>
          <w:lang w:val="es-ES"/>
        </w:rPr>
        <w:t xml:space="preserve">. </w:t>
      </w:r>
      <w:r w:rsidR="00F6759B" w:rsidRPr="00BA76F2">
        <w:rPr>
          <w:rFonts w:asciiTheme="majorHAnsi" w:hAnsiTheme="majorHAnsi"/>
          <w:sz w:val="20"/>
          <w:szCs w:val="20"/>
          <w:lang w:val="es-ES"/>
        </w:rPr>
        <w:t xml:space="preserve">El propio Estado, por su parte, indicó ante la CIDH que los hechos respecto de los hermanos aún continúan en trámite. </w:t>
      </w:r>
    </w:p>
    <w:p w14:paraId="544D24A5" w14:textId="77777777" w:rsidR="00BA76F2" w:rsidRDefault="00BA76F2" w:rsidP="00BA76F2">
      <w:pPr>
        <w:pStyle w:val="ListParagraph"/>
        <w:rPr>
          <w:rFonts w:asciiTheme="majorHAnsi" w:hAnsiTheme="majorHAnsi"/>
          <w:sz w:val="20"/>
          <w:szCs w:val="20"/>
          <w:lang w:val="es-ES"/>
        </w:rPr>
      </w:pPr>
    </w:p>
    <w:p w14:paraId="4DB16E2D" w14:textId="77777777" w:rsidR="00BA76F2" w:rsidRDefault="009F0C1C" w:rsidP="00B14871">
      <w:pPr>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ind w:left="0" w:firstLine="0"/>
        <w:jc w:val="both"/>
        <w:rPr>
          <w:rFonts w:asciiTheme="majorHAnsi" w:hAnsiTheme="majorHAnsi"/>
          <w:sz w:val="20"/>
          <w:szCs w:val="20"/>
          <w:lang w:val="es-ES_tradnl"/>
        </w:rPr>
      </w:pPr>
      <w:r w:rsidRPr="00BA76F2">
        <w:rPr>
          <w:rFonts w:asciiTheme="majorHAnsi" w:hAnsiTheme="majorHAnsi"/>
          <w:sz w:val="20"/>
          <w:szCs w:val="20"/>
          <w:lang w:val="es-ES"/>
        </w:rPr>
        <w:t>Por otra parte, l</w:t>
      </w:r>
      <w:r w:rsidR="00E24D72" w:rsidRPr="00BA76F2">
        <w:rPr>
          <w:rFonts w:asciiTheme="majorHAnsi" w:hAnsiTheme="majorHAnsi"/>
          <w:sz w:val="20"/>
          <w:szCs w:val="20"/>
          <w:lang w:val="es-ES"/>
        </w:rPr>
        <w:t xml:space="preserve">a Comisión observa que </w:t>
      </w:r>
      <w:r w:rsidR="008706FE" w:rsidRPr="00BA76F2">
        <w:rPr>
          <w:rFonts w:asciiTheme="majorHAnsi" w:hAnsiTheme="majorHAnsi"/>
          <w:sz w:val="20"/>
          <w:szCs w:val="20"/>
          <w:lang w:val="es-ES"/>
        </w:rPr>
        <w:t>el 5 de julio de 2012 el Tribunal Oral Federal Nro. 6 de la Capital condenó</w:t>
      </w:r>
      <w:r w:rsidR="006555EE" w:rsidRPr="00BA76F2">
        <w:rPr>
          <w:rFonts w:asciiTheme="majorHAnsi" w:hAnsiTheme="majorHAnsi"/>
          <w:sz w:val="20"/>
          <w:szCs w:val="20"/>
          <w:lang w:val="es-ES"/>
        </w:rPr>
        <w:t>, poco tiempo antes de su muert</w:t>
      </w:r>
      <w:r w:rsidR="00C71C9E" w:rsidRPr="00BA76F2">
        <w:rPr>
          <w:rFonts w:asciiTheme="majorHAnsi" w:hAnsiTheme="majorHAnsi"/>
          <w:sz w:val="20"/>
          <w:szCs w:val="20"/>
          <w:lang w:val="es-ES"/>
        </w:rPr>
        <w:t>e,</w:t>
      </w:r>
      <w:r w:rsidR="008706FE" w:rsidRPr="00BA76F2">
        <w:rPr>
          <w:rFonts w:asciiTheme="majorHAnsi" w:hAnsiTheme="majorHAnsi"/>
          <w:sz w:val="20"/>
          <w:szCs w:val="20"/>
          <w:lang w:val="es-ES"/>
        </w:rPr>
        <w:t xml:space="preserve"> a Jorge Rafael Videla a 50 años de prisión en la causa conocida como “Plan sistemático de apropiación de niños” como autor mediato del delito de sustracción, retención y ocultamiento de menores de 10 años, entre ellos Anatole y Victoria. La Comisión nota, sin embargo, que a la fecha no ha sido sancionado ningún autor material </w:t>
      </w:r>
      <w:r w:rsidR="001F63AC" w:rsidRPr="00BA76F2">
        <w:rPr>
          <w:rFonts w:asciiTheme="majorHAnsi" w:hAnsiTheme="majorHAnsi"/>
          <w:sz w:val="20"/>
          <w:szCs w:val="20"/>
          <w:lang w:val="es-ES"/>
        </w:rPr>
        <w:t xml:space="preserve">ni otros autores intelectuales </w:t>
      </w:r>
      <w:r w:rsidR="008706FE" w:rsidRPr="00BA76F2">
        <w:rPr>
          <w:rFonts w:asciiTheme="majorHAnsi" w:hAnsiTheme="majorHAnsi"/>
          <w:sz w:val="20"/>
          <w:szCs w:val="20"/>
          <w:lang w:val="es-ES"/>
        </w:rPr>
        <w:t xml:space="preserve">de la privación ilegal de la libertad de los hermanos ocurrida durante el operativo, la tortura a la cual fueron sometidos por haber estado detenidos ilegalmente en un centro clandestino de detención y el posterior traslado ilícito fuera del país y consiguiente desaparición </w:t>
      </w:r>
      <w:r w:rsidR="001F63AC" w:rsidRPr="00BA76F2">
        <w:rPr>
          <w:rFonts w:asciiTheme="majorHAnsi" w:hAnsiTheme="majorHAnsi"/>
          <w:sz w:val="20"/>
          <w:szCs w:val="20"/>
          <w:lang w:val="es-ES"/>
        </w:rPr>
        <w:t xml:space="preserve">forzada </w:t>
      </w:r>
      <w:r w:rsidR="008706FE" w:rsidRPr="00BA76F2">
        <w:rPr>
          <w:rFonts w:asciiTheme="majorHAnsi" w:hAnsiTheme="majorHAnsi"/>
          <w:sz w:val="20"/>
          <w:szCs w:val="20"/>
          <w:lang w:val="es-ES"/>
        </w:rPr>
        <w:t>por casi tres años</w:t>
      </w:r>
      <w:r w:rsidR="00DF40E0" w:rsidRPr="00BA76F2">
        <w:rPr>
          <w:rFonts w:asciiTheme="majorHAnsi" w:hAnsiTheme="majorHAnsi"/>
          <w:sz w:val="20"/>
          <w:szCs w:val="20"/>
          <w:lang w:val="es-ES"/>
        </w:rPr>
        <w:t xml:space="preserve">. </w:t>
      </w:r>
      <w:r w:rsidRPr="00BA76F2">
        <w:rPr>
          <w:rFonts w:asciiTheme="majorHAnsi" w:eastAsia="Cambria" w:hAnsiTheme="majorHAnsi" w:cs="Cambria"/>
          <w:color w:val="000000"/>
          <w:sz w:val="20"/>
          <w:szCs w:val="20"/>
          <w:u w:color="000000"/>
          <w:lang w:val="es-ES" w:eastAsia="es-ES"/>
        </w:rPr>
        <w:t>Por lo tanto</w:t>
      </w:r>
      <w:r w:rsidRPr="00BA76F2">
        <w:rPr>
          <w:rFonts w:asciiTheme="majorHAnsi" w:hAnsiTheme="majorHAnsi"/>
          <w:sz w:val="20"/>
          <w:szCs w:val="20"/>
          <w:lang w:val="es-ES"/>
        </w:rPr>
        <w:t>, de acuerdo a la información disponible, a la fecha los delitos de lesa humanidad cometidos contra los hermanos Larrabeiti Yáñez permanecen en la impunidad.</w:t>
      </w:r>
    </w:p>
    <w:p w14:paraId="68EBC8C1" w14:textId="77777777" w:rsidR="00BA76F2" w:rsidRDefault="00BA76F2" w:rsidP="00BA76F2">
      <w:pPr>
        <w:pStyle w:val="ListParagraph"/>
        <w:rPr>
          <w:rFonts w:asciiTheme="majorHAnsi" w:hAnsiTheme="majorHAnsi"/>
          <w:sz w:val="20"/>
          <w:szCs w:val="20"/>
          <w:lang w:val="es-ES"/>
        </w:rPr>
      </w:pPr>
    </w:p>
    <w:p w14:paraId="35801314" w14:textId="77777777" w:rsidR="00BA76F2" w:rsidRDefault="005A2429" w:rsidP="00B14871">
      <w:pPr>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ind w:left="0" w:firstLine="0"/>
        <w:jc w:val="both"/>
        <w:rPr>
          <w:rFonts w:asciiTheme="majorHAnsi" w:hAnsiTheme="majorHAnsi"/>
          <w:sz w:val="20"/>
          <w:szCs w:val="20"/>
          <w:lang w:val="es-ES_tradnl"/>
        </w:rPr>
      </w:pPr>
      <w:r w:rsidRPr="00BA76F2">
        <w:rPr>
          <w:rFonts w:asciiTheme="majorHAnsi" w:hAnsiTheme="majorHAnsi"/>
          <w:sz w:val="20"/>
          <w:szCs w:val="20"/>
          <w:lang w:val="es-ES"/>
        </w:rPr>
        <w:t xml:space="preserve">A continuación, la Comisión analizará si las investigaciones penales llevadas a cabo en el presente caso respetaron la garantía de plazo razonable contemplada en el artículo 8.1 de </w:t>
      </w:r>
      <w:r w:rsidR="007B6446" w:rsidRPr="00BA76F2">
        <w:rPr>
          <w:rFonts w:asciiTheme="majorHAnsi" w:hAnsiTheme="majorHAnsi"/>
          <w:sz w:val="20"/>
          <w:szCs w:val="20"/>
          <w:lang w:val="es-ES"/>
        </w:rPr>
        <w:t>la Convención</w:t>
      </w:r>
      <w:r w:rsidR="002E5D95" w:rsidRPr="00BA76F2">
        <w:rPr>
          <w:rFonts w:asciiTheme="majorHAnsi" w:hAnsiTheme="majorHAnsi"/>
          <w:sz w:val="20"/>
          <w:szCs w:val="20"/>
          <w:lang w:val="es-ES"/>
        </w:rPr>
        <w:t xml:space="preserve"> en función de los </w:t>
      </w:r>
      <w:r w:rsidR="00E246FB" w:rsidRPr="00BA76F2">
        <w:rPr>
          <w:rFonts w:asciiTheme="majorHAnsi" w:hAnsiTheme="majorHAnsi"/>
          <w:sz w:val="20"/>
          <w:szCs w:val="20"/>
          <w:lang w:val="es-ES"/>
        </w:rPr>
        <w:t>cuatro</w:t>
      </w:r>
      <w:r w:rsidR="002E5D95" w:rsidRPr="00BA76F2">
        <w:rPr>
          <w:rFonts w:asciiTheme="majorHAnsi" w:hAnsiTheme="majorHAnsi"/>
          <w:sz w:val="20"/>
          <w:szCs w:val="20"/>
          <w:lang w:val="es-ES"/>
        </w:rPr>
        <w:t xml:space="preserve"> elementos establecidos por la jurisprudencia interamericana</w:t>
      </w:r>
      <w:r w:rsidR="007B6446" w:rsidRPr="00BA76F2">
        <w:rPr>
          <w:rFonts w:asciiTheme="majorHAnsi" w:hAnsiTheme="majorHAnsi"/>
          <w:sz w:val="20"/>
          <w:szCs w:val="20"/>
          <w:lang w:val="es-ES"/>
        </w:rPr>
        <w:t xml:space="preserve">. </w:t>
      </w:r>
      <w:r w:rsidR="00AA47BF" w:rsidRPr="00BA76F2">
        <w:rPr>
          <w:rFonts w:asciiTheme="majorHAnsi" w:hAnsiTheme="majorHAnsi"/>
          <w:sz w:val="20"/>
          <w:szCs w:val="20"/>
          <w:lang w:val="es-ES"/>
        </w:rPr>
        <w:t>En relación con la complejidad del proceso, teniendo en cuenta que los hechos</w:t>
      </w:r>
      <w:r w:rsidR="00644B25" w:rsidRPr="00BA76F2">
        <w:rPr>
          <w:rFonts w:asciiTheme="majorHAnsi" w:hAnsiTheme="majorHAnsi"/>
          <w:sz w:val="20"/>
          <w:szCs w:val="20"/>
          <w:lang w:val="es-ES"/>
        </w:rPr>
        <w:t xml:space="preserve"> objeto de las investigaciones</w:t>
      </w:r>
      <w:r w:rsidR="00AA47BF" w:rsidRPr="00BA76F2">
        <w:rPr>
          <w:rFonts w:asciiTheme="majorHAnsi" w:hAnsiTheme="majorHAnsi"/>
          <w:sz w:val="20"/>
          <w:szCs w:val="20"/>
          <w:lang w:val="es-ES"/>
        </w:rPr>
        <w:t xml:space="preserve"> </w:t>
      </w:r>
      <w:r w:rsidR="00AD1A28" w:rsidRPr="00BA76F2">
        <w:rPr>
          <w:rFonts w:asciiTheme="majorHAnsi" w:hAnsiTheme="majorHAnsi"/>
          <w:sz w:val="20"/>
          <w:szCs w:val="20"/>
          <w:lang w:val="es-ES"/>
        </w:rPr>
        <w:t>iniciaron su ejecución</w:t>
      </w:r>
      <w:r w:rsidR="00AA47BF" w:rsidRPr="00BA76F2">
        <w:rPr>
          <w:rFonts w:asciiTheme="majorHAnsi" w:hAnsiTheme="majorHAnsi"/>
          <w:sz w:val="20"/>
          <w:szCs w:val="20"/>
          <w:lang w:val="es-ES"/>
        </w:rPr>
        <w:t xml:space="preserve"> en la década de los 70, involucran a cuatro víctimas, varios autores materiales e intelectuales y agentes estatales de distintos organismos del Estado, la Comisión considera que </w:t>
      </w:r>
      <w:r w:rsidR="004F4CFC" w:rsidRPr="00BA76F2">
        <w:rPr>
          <w:rFonts w:asciiTheme="majorHAnsi" w:hAnsiTheme="majorHAnsi"/>
          <w:sz w:val="20"/>
          <w:szCs w:val="20"/>
          <w:lang w:val="es-ES"/>
        </w:rPr>
        <w:t xml:space="preserve">se trató de una investigación compleja. </w:t>
      </w:r>
    </w:p>
    <w:p w14:paraId="0303E700" w14:textId="77777777" w:rsidR="00BA76F2" w:rsidRDefault="00BA76F2" w:rsidP="00BA76F2">
      <w:pPr>
        <w:pStyle w:val="ListParagraph"/>
        <w:rPr>
          <w:rFonts w:asciiTheme="majorHAnsi" w:hAnsiTheme="majorHAnsi"/>
          <w:sz w:val="20"/>
          <w:szCs w:val="20"/>
          <w:lang w:val="es-ES"/>
        </w:rPr>
      </w:pPr>
    </w:p>
    <w:p w14:paraId="35834ACC" w14:textId="77777777" w:rsidR="00BA76F2" w:rsidRDefault="004F4CFC" w:rsidP="00B14871">
      <w:pPr>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ind w:left="0" w:firstLine="0"/>
        <w:jc w:val="both"/>
        <w:rPr>
          <w:rFonts w:asciiTheme="majorHAnsi" w:hAnsiTheme="majorHAnsi"/>
          <w:sz w:val="20"/>
          <w:szCs w:val="20"/>
          <w:lang w:val="es-ES_tradnl"/>
        </w:rPr>
      </w:pPr>
      <w:r w:rsidRPr="00BA76F2">
        <w:rPr>
          <w:rFonts w:asciiTheme="majorHAnsi" w:hAnsiTheme="majorHAnsi"/>
          <w:sz w:val="20"/>
          <w:szCs w:val="20"/>
          <w:lang w:val="es-ES"/>
        </w:rPr>
        <w:t xml:space="preserve">En relación con la actividad procesal de los interesados, la CIDH reitera que, en casos como el presente de desaparición forzada de personas y tortura, </w:t>
      </w:r>
      <w:r w:rsidR="00CF28CB" w:rsidRPr="00BA76F2">
        <w:rPr>
          <w:rFonts w:asciiTheme="majorHAnsi" w:hAnsiTheme="majorHAnsi"/>
          <w:sz w:val="20"/>
          <w:szCs w:val="20"/>
          <w:lang w:val="es-US"/>
        </w:rPr>
        <w:t xml:space="preserve">el derecho internacional y el deber general de garantía imponen la obligación de investigar el caso </w:t>
      </w:r>
      <w:r w:rsidR="00CF28CB" w:rsidRPr="00BA76F2">
        <w:rPr>
          <w:rFonts w:asciiTheme="majorHAnsi" w:hAnsiTheme="majorHAnsi"/>
          <w:i/>
          <w:sz w:val="20"/>
          <w:szCs w:val="20"/>
          <w:lang w:val="es-US"/>
        </w:rPr>
        <w:t>ex officio</w:t>
      </w:r>
      <w:r w:rsidR="00CF28CB" w:rsidRPr="00BA76F2">
        <w:rPr>
          <w:rFonts w:asciiTheme="majorHAnsi" w:hAnsiTheme="majorHAnsi"/>
          <w:sz w:val="20"/>
          <w:szCs w:val="20"/>
          <w:lang w:val="es-US"/>
        </w:rPr>
        <w:t xml:space="preserve">, sin dilación, y de una manera seria, imparcial y efectiva, de modo tal que no dependa de la iniciativa procesal de la víctima o de sus familiares o de la aportación privada de elementos probatorios. A pesar de ello, la Comisión nota que el 19 de noviembre de 2012 Anatole Larrabeiti Yáñez se constituyó como parte querellante en la Causa Nro. 2637/04 y ha impulsado varias diligencias procesales. </w:t>
      </w:r>
    </w:p>
    <w:p w14:paraId="131D3A20" w14:textId="77777777" w:rsidR="00BA76F2" w:rsidRDefault="00BA76F2" w:rsidP="00BA76F2">
      <w:pPr>
        <w:pStyle w:val="ListParagraph"/>
        <w:rPr>
          <w:rFonts w:asciiTheme="majorHAnsi" w:hAnsiTheme="majorHAnsi"/>
          <w:sz w:val="20"/>
          <w:szCs w:val="20"/>
          <w:lang w:val="es-ES"/>
        </w:rPr>
      </w:pPr>
    </w:p>
    <w:p w14:paraId="10710156" w14:textId="77777777" w:rsidR="00BA76F2" w:rsidRDefault="00134FE9" w:rsidP="00B14871">
      <w:pPr>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ind w:left="0" w:firstLine="0"/>
        <w:jc w:val="both"/>
        <w:rPr>
          <w:rFonts w:asciiTheme="majorHAnsi" w:hAnsiTheme="majorHAnsi"/>
          <w:sz w:val="20"/>
          <w:szCs w:val="20"/>
          <w:lang w:val="es-ES_tradnl"/>
        </w:rPr>
      </w:pPr>
      <w:r w:rsidRPr="00BA76F2">
        <w:rPr>
          <w:rFonts w:asciiTheme="majorHAnsi" w:hAnsiTheme="majorHAnsi"/>
          <w:sz w:val="20"/>
          <w:szCs w:val="20"/>
          <w:lang w:val="es-ES"/>
        </w:rPr>
        <w:t xml:space="preserve">Respecto a la conducta de las autoridades judiciales, </w:t>
      </w:r>
      <w:r w:rsidR="008677C5" w:rsidRPr="00BA76F2">
        <w:rPr>
          <w:rFonts w:asciiTheme="majorHAnsi" w:hAnsiTheme="majorHAnsi"/>
          <w:sz w:val="20"/>
          <w:szCs w:val="20"/>
          <w:lang w:val="es-ES"/>
        </w:rPr>
        <w:t xml:space="preserve">corresponde analizar, con base en la información disponible, la actividad </w:t>
      </w:r>
      <w:r w:rsidR="00741B64" w:rsidRPr="00BA76F2">
        <w:rPr>
          <w:rFonts w:asciiTheme="majorHAnsi" w:hAnsiTheme="majorHAnsi"/>
          <w:sz w:val="20"/>
          <w:szCs w:val="20"/>
          <w:lang w:val="es-ES"/>
        </w:rPr>
        <w:t xml:space="preserve">procesal </w:t>
      </w:r>
      <w:r w:rsidR="008677C5" w:rsidRPr="00BA76F2">
        <w:rPr>
          <w:rFonts w:asciiTheme="majorHAnsi" w:hAnsiTheme="majorHAnsi"/>
          <w:sz w:val="20"/>
          <w:szCs w:val="20"/>
          <w:lang w:val="es-ES"/>
        </w:rPr>
        <w:t xml:space="preserve">en las causas “Orletti I” y “Orletti III”, así como </w:t>
      </w:r>
      <w:r w:rsidR="002E5D95" w:rsidRPr="00BA76F2">
        <w:rPr>
          <w:rFonts w:asciiTheme="majorHAnsi" w:hAnsiTheme="majorHAnsi"/>
          <w:sz w:val="20"/>
          <w:szCs w:val="20"/>
          <w:lang w:val="es-ES"/>
        </w:rPr>
        <w:t>respecto de la búsqueda de los restos de Mario Julien y Victoria Grisonas.</w:t>
      </w:r>
      <w:r w:rsidR="00741B64" w:rsidRPr="00BA76F2">
        <w:rPr>
          <w:rFonts w:asciiTheme="majorHAnsi" w:hAnsiTheme="majorHAnsi"/>
          <w:sz w:val="20"/>
          <w:szCs w:val="20"/>
          <w:lang w:val="es-ES"/>
        </w:rPr>
        <w:t xml:space="preserve"> </w:t>
      </w:r>
    </w:p>
    <w:p w14:paraId="56457EF8" w14:textId="77777777" w:rsidR="00BA76F2" w:rsidRDefault="00BA76F2" w:rsidP="00BA76F2">
      <w:pPr>
        <w:pStyle w:val="ListParagraph"/>
        <w:rPr>
          <w:rFonts w:asciiTheme="majorHAnsi" w:hAnsiTheme="majorHAnsi"/>
          <w:sz w:val="20"/>
          <w:szCs w:val="20"/>
          <w:lang w:val="es-ES"/>
        </w:rPr>
      </w:pPr>
    </w:p>
    <w:p w14:paraId="643E5D88" w14:textId="77777777" w:rsidR="00BA76F2" w:rsidRDefault="00F20929" w:rsidP="00B14871">
      <w:pPr>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ind w:left="0" w:firstLine="0"/>
        <w:jc w:val="both"/>
        <w:rPr>
          <w:rFonts w:asciiTheme="majorHAnsi" w:hAnsiTheme="majorHAnsi"/>
          <w:sz w:val="20"/>
          <w:szCs w:val="20"/>
          <w:lang w:val="es-ES_tradnl"/>
        </w:rPr>
      </w:pPr>
      <w:r w:rsidRPr="00BA76F2">
        <w:rPr>
          <w:rFonts w:asciiTheme="majorHAnsi" w:hAnsiTheme="majorHAnsi"/>
          <w:sz w:val="20"/>
          <w:szCs w:val="20"/>
          <w:lang w:val="es-ES"/>
        </w:rPr>
        <w:t xml:space="preserve">La Comisión no cuenta con información sobre la fecha de inicio de dichas investigaciones penales. Sin embargo, </w:t>
      </w:r>
      <w:r w:rsidR="00B13D7D" w:rsidRPr="00BA76F2">
        <w:rPr>
          <w:rFonts w:asciiTheme="majorHAnsi" w:hAnsiTheme="majorHAnsi"/>
          <w:sz w:val="20"/>
          <w:szCs w:val="20"/>
          <w:lang w:val="es-ES"/>
        </w:rPr>
        <w:t xml:space="preserve">es un hecho probado que el procesamiento </w:t>
      </w:r>
      <w:r w:rsidRPr="00BA76F2">
        <w:rPr>
          <w:rFonts w:asciiTheme="majorHAnsi" w:hAnsiTheme="majorHAnsi"/>
          <w:sz w:val="20"/>
          <w:szCs w:val="20"/>
          <w:lang w:val="es-ES"/>
        </w:rPr>
        <w:t xml:space="preserve">en la causa “Orletti I” </w:t>
      </w:r>
      <w:r w:rsidR="00B13D7D" w:rsidRPr="00BA76F2">
        <w:rPr>
          <w:rFonts w:asciiTheme="majorHAnsi" w:hAnsiTheme="majorHAnsi"/>
          <w:sz w:val="20"/>
          <w:szCs w:val="20"/>
          <w:lang w:val="es-ES"/>
        </w:rPr>
        <w:t>se dictó el 6 de septiembre de 2006</w:t>
      </w:r>
      <w:r w:rsidR="00AF019E" w:rsidRPr="00BA76F2">
        <w:rPr>
          <w:rFonts w:asciiTheme="majorHAnsi" w:hAnsiTheme="majorHAnsi"/>
          <w:sz w:val="20"/>
          <w:szCs w:val="20"/>
          <w:lang w:val="es-ES"/>
        </w:rPr>
        <w:t xml:space="preserve">, </w:t>
      </w:r>
      <w:r w:rsidR="00B13D7D" w:rsidRPr="00BA76F2">
        <w:rPr>
          <w:rFonts w:asciiTheme="majorHAnsi" w:hAnsiTheme="majorHAnsi"/>
          <w:sz w:val="20"/>
          <w:szCs w:val="20"/>
          <w:lang w:val="es-ES"/>
        </w:rPr>
        <w:t>que la sentencia condenatoria de primera instancia fue adoptada el 31 de mayo de 2011 y que la sentencia de segunda instancia fue dictada el 7 de octubre de 2013.</w:t>
      </w:r>
      <w:r w:rsidR="00AF019E" w:rsidRPr="00BA76F2">
        <w:rPr>
          <w:rFonts w:asciiTheme="majorHAnsi" w:hAnsiTheme="majorHAnsi"/>
          <w:sz w:val="20"/>
          <w:szCs w:val="20"/>
          <w:lang w:val="es-ES"/>
        </w:rPr>
        <w:t xml:space="preserve"> Respecto a “Orletti III”, de la información aportada por las partes </w:t>
      </w:r>
      <w:r w:rsidR="000E5AFE" w:rsidRPr="00BA76F2">
        <w:rPr>
          <w:rFonts w:asciiTheme="majorHAnsi" w:hAnsiTheme="majorHAnsi"/>
          <w:sz w:val="20"/>
          <w:szCs w:val="20"/>
          <w:lang w:val="es-ES"/>
        </w:rPr>
        <w:t>así como</w:t>
      </w:r>
      <w:r w:rsidR="00AF019E" w:rsidRPr="00BA76F2">
        <w:rPr>
          <w:rFonts w:asciiTheme="majorHAnsi" w:hAnsiTheme="majorHAnsi"/>
          <w:sz w:val="20"/>
          <w:szCs w:val="20"/>
          <w:lang w:val="es-ES"/>
        </w:rPr>
        <w:t xml:space="preserve"> de la información pública disponible</w:t>
      </w:r>
      <w:r w:rsidR="000E5AFE" w:rsidRPr="00BA76F2">
        <w:rPr>
          <w:rFonts w:asciiTheme="majorHAnsi" w:hAnsiTheme="majorHAnsi"/>
          <w:sz w:val="20"/>
          <w:szCs w:val="20"/>
          <w:lang w:val="es-ES"/>
        </w:rPr>
        <w:t>,</w:t>
      </w:r>
      <w:r w:rsidR="00AF019E" w:rsidRPr="00BA76F2">
        <w:rPr>
          <w:rFonts w:asciiTheme="majorHAnsi" w:hAnsiTheme="majorHAnsi"/>
          <w:sz w:val="20"/>
          <w:szCs w:val="20"/>
          <w:lang w:val="es-ES"/>
        </w:rPr>
        <w:t xml:space="preserve"> surge que el procesamiento se dictó el 19 de mayo de 2011, la sentencia condenatoria es de fecha 11 de septiembre de 2017 y la sentencia de segunda instancia se dictó el 27 de febrero de 2019. </w:t>
      </w:r>
    </w:p>
    <w:p w14:paraId="093FA2E8" w14:textId="77777777" w:rsidR="00BA76F2" w:rsidRDefault="00BA76F2" w:rsidP="00BA76F2">
      <w:pPr>
        <w:pStyle w:val="ListParagraph"/>
        <w:rPr>
          <w:rFonts w:asciiTheme="majorHAnsi" w:hAnsiTheme="majorHAnsi"/>
          <w:sz w:val="20"/>
          <w:szCs w:val="20"/>
          <w:lang w:val="es-ES"/>
        </w:rPr>
      </w:pPr>
    </w:p>
    <w:p w14:paraId="71A90950" w14:textId="77777777" w:rsidR="00BA76F2" w:rsidRDefault="00CA01D1" w:rsidP="00B14871">
      <w:pPr>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ind w:left="0" w:firstLine="0"/>
        <w:jc w:val="both"/>
        <w:rPr>
          <w:rFonts w:asciiTheme="majorHAnsi" w:hAnsiTheme="majorHAnsi"/>
          <w:sz w:val="20"/>
          <w:szCs w:val="20"/>
          <w:lang w:val="es-ES_tradnl"/>
        </w:rPr>
      </w:pPr>
      <w:r w:rsidRPr="00BA76F2">
        <w:rPr>
          <w:rFonts w:asciiTheme="majorHAnsi" w:hAnsiTheme="majorHAnsi"/>
          <w:sz w:val="20"/>
          <w:szCs w:val="20"/>
          <w:lang w:val="es-ES"/>
        </w:rPr>
        <w:t xml:space="preserve">Del acervo probatorio ante la CIDH surge que el 18 de septiembre de 2017 Anatole Larrabeiti Yáñez, en su calidad de querellante en la Causa Nro. 2637/04, solicitó la recusación del juez de la causa por haber alegadamente incurrido en múltiples demoras inexplicables en la investigación, enumerando cinco escritos presentados durante cuatro años para instar a que se investigara, ante los cuales el juez habría guardado silencio o dado respuestas tardías e insuficientes. Si bien la CIDH no cuenta con documentación que permita comprobar dichas omisiones específicas, es un hecho no controvertido que aún continúa en trámite la investigación respecto de los delitos perpetrados contra los hermanos Larrabeiti Yáñez. </w:t>
      </w:r>
    </w:p>
    <w:p w14:paraId="6780AEC2" w14:textId="77777777" w:rsidR="00BA76F2" w:rsidRDefault="00BA76F2" w:rsidP="00BA76F2">
      <w:pPr>
        <w:pStyle w:val="ListParagraph"/>
        <w:rPr>
          <w:rFonts w:asciiTheme="majorHAnsi" w:hAnsiTheme="majorHAnsi"/>
          <w:sz w:val="20"/>
          <w:szCs w:val="20"/>
          <w:lang w:val="es-ES"/>
        </w:rPr>
      </w:pPr>
    </w:p>
    <w:p w14:paraId="7D0259B1" w14:textId="77777777" w:rsidR="00BA76F2" w:rsidRDefault="00CA01D1" w:rsidP="00B14871">
      <w:pPr>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ind w:left="0" w:firstLine="0"/>
        <w:jc w:val="both"/>
        <w:rPr>
          <w:rFonts w:asciiTheme="majorHAnsi" w:hAnsiTheme="majorHAnsi"/>
          <w:sz w:val="20"/>
          <w:szCs w:val="20"/>
          <w:lang w:val="es-ES_tradnl"/>
        </w:rPr>
      </w:pPr>
      <w:r w:rsidRPr="00BA76F2">
        <w:rPr>
          <w:rFonts w:asciiTheme="majorHAnsi" w:hAnsiTheme="majorHAnsi"/>
          <w:sz w:val="20"/>
          <w:szCs w:val="20"/>
          <w:lang w:val="es-ES"/>
        </w:rPr>
        <w:lastRenderedPageBreak/>
        <w:t>Por otra parte, c</w:t>
      </w:r>
      <w:r w:rsidR="00F20929" w:rsidRPr="00BA76F2">
        <w:rPr>
          <w:rFonts w:asciiTheme="majorHAnsi" w:hAnsiTheme="majorHAnsi"/>
          <w:sz w:val="20"/>
          <w:szCs w:val="20"/>
          <w:lang w:val="es-ES"/>
        </w:rPr>
        <w:t xml:space="preserve">omo se indicó </w:t>
      </w:r>
      <w:r w:rsidR="00F20929" w:rsidRPr="00BA76F2">
        <w:rPr>
          <w:rFonts w:asciiTheme="majorHAnsi" w:hAnsiTheme="majorHAnsi"/>
          <w:i/>
          <w:sz w:val="20"/>
          <w:szCs w:val="20"/>
          <w:lang w:val="es-ES"/>
        </w:rPr>
        <w:t>ut supra</w:t>
      </w:r>
      <w:r w:rsidR="00F20929" w:rsidRPr="00BA76F2">
        <w:rPr>
          <w:rFonts w:asciiTheme="majorHAnsi" w:hAnsiTheme="majorHAnsi"/>
          <w:sz w:val="20"/>
          <w:szCs w:val="20"/>
          <w:lang w:val="es-ES"/>
        </w:rPr>
        <w:t xml:space="preserve">, </w:t>
      </w:r>
      <w:r w:rsidR="00F6759B" w:rsidRPr="00BA76F2">
        <w:rPr>
          <w:rFonts w:asciiTheme="majorHAnsi" w:hAnsiTheme="majorHAnsi"/>
          <w:sz w:val="20"/>
          <w:szCs w:val="20"/>
          <w:lang w:val="es-ES"/>
        </w:rPr>
        <w:t xml:space="preserve">continúa pendiente la determinación de responsabilidades respecto de la desaparición de Mario Julien, habiendo sido anulada la absolución dictada en primera instancia y reenviadas las actuaciones al </w:t>
      </w:r>
      <w:r w:rsidR="00F6759B" w:rsidRPr="00BA76F2">
        <w:rPr>
          <w:rFonts w:asciiTheme="majorHAnsi" w:hAnsiTheme="majorHAnsi"/>
          <w:i/>
          <w:sz w:val="20"/>
          <w:szCs w:val="20"/>
          <w:lang w:val="es-ES"/>
        </w:rPr>
        <w:t>a quo</w:t>
      </w:r>
      <w:r w:rsidR="00F6759B" w:rsidRPr="00BA76F2">
        <w:rPr>
          <w:rFonts w:asciiTheme="majorHAnsi" w:hAnsiTheme="majorHAnsi"/>
          <w:sz w:val="20"/>
          <w:szCs w:val="20"/>
          <w:lang w:val="es-ES"/>
        </w:rPr>
        <w:t xml:space="preserve">. </w:t>
      </w:r>
      <w:r w:rsidR="009462D4" w:rsidRPr="00BA76F2">
        <w:rPr>
          <w:rFonts w:asciiTheme="majorHAnsi" w:hAnsiTheme="majorHAnsi"/>
          <w:sz w:val="20"/>
          <w:szCs w:val="20"/>
          <w:lang w:val="es-ES"/>
        </w:rPr>
        <w:t>También sigue pendiente</w:t>
      </w:r>
      <w:r w:rsidRPr="00BA76F2">
        <w:rPr>
          <w:rFonts w:asciiTheme="majorHAnsi" w:hAnsiTheme="majorHAnsi"/>
          <w:sz w:val="20"/>
          <w:szCs w:val="20"/>
          <w:lang w:val="es-ES"/>
        </w:rPr>
        <w:t xml:space="preserve"> la búsqueda de los restos de </w:t>
      </w:r>
      <w:r w:rsidR="009462D4" w:rsidRPr="00BA76F2">
        <w:rPr>
          <w:rFonts w:asciiTheme="majorHAnsi" w:hAnsiTheme="majorHAnsi"/>
          <w:sz w:val="20"/>
          <w:szCs w:val="20"/>
          <w:lang w:val="es-ES"/>
        </w:rPr>
        <w:t>Mario Julien y Victoria Grisonas</w:t>
      </w:r>
      <w:r w:rsidRPr="00BA76F2">
        <w:rPr>
          <w:rFonts w:asciiTheme="majorHAnsi" w:hAnsiTheme="majorHAnsi"/>
          <w:sz w:val="20"/>
          <w:szCs w:val="20"/>
          <w:lang w:val="es-ES"/>
        </w:rPr>
        <w:t>.</w:t>
      </w:r>
      <w:r w:rsidR="009462D4" w:rsidRPr="00BA76F2">
        <w:rPr>
          <w:rFonts w:asciiTheme="majorHAnsi" w:hAnsiTheme="majorHAnsi"/>
          <w:sz w:val="20"/>
          <w:szCs w:val="20"/>
          <w:lang w:val="es-ES"/>
        </w:rPr>
        <w:t xml:space="preserve"> </w:t>
      </w:r>
      <w:r w:rsidR="006E5B98" w:rsidRPr="00BA76F2">
        <w:rPr>
          <w:rFonts w:asciiTheme="majorHAnsi" w:hAnsiTheme="majorHAnsi"/>
          <w:sz w:val="20"/>
          <w:szCs w:val="20"/>
          <w:lang w:val="es-ES"/>
        </w:rPr>
        <w:t>Asimismo</w:t>
      </w:r>
      <w:r w:rsidR="009462D4" w:rsidRPr="00BA76F2">
        <w:rPr>
          <w:rFonts w:asciiTheme="majorHAnsi" w:hAnsiTheme="majorHAnsi"/>
          <w:sz w:val="20"/>
          <w:szCs w:val="20"/>
          <w:lang w:val="es-ES"/>
        </w:rPr>
        <w:t>,</w:t>
      </w:r>
      <w:r w:rsidR="006E5B98" w:rsidRPr="00BA76F2">
        <w:rPr>
          <w:rFonts w:asciiTheme="majorHAnsi" w:hAnsiTheme="majorHAnsi"/>
          <w:sz w:val="20"/>
          <w:szCs w:val="20"/>
          <w:lang w:val="es-ES"/>
        </w:rPr>
        <w:t xml:space="preserve"> y como</w:t>
      </w:r>
      <w:r w:rsidR="0089432A" w:rsidRPr="00BA76F2">
        <w:rPr>
          <w:rFonts w:asciiTheme="majorHAnsi" w:hAnsiTheme="majorHAnsi"/>
          <w:sz w:val="20"/>
          <w:szCs w:val="20"/>
          <w:lang w:val="es-ES"/>
        </w:rPr>
        <w:t xml:space="preserve"> ya se indicó, de la información disponible no surge que</w:t>
      </w:r>
      <w:r w:rsidR="0026390C" w:rsidRPr="00BA76F2">
        <w:rPr>
          <w:rFonts w:asciiTheme="majorHAnsi" w:hAnsiTheme="majorHAnsi"/>
          <w:sz w:val="20"/>
          <w:szCs w:val="20"/>
          <w:lang w:val="es-ES"/>
        </w:rPr>
        <w:t>,</w:t>
      </w:r>
      <w:r w:rsidR="0089432A" w:rsidRPr="00BA76F2">
        <w:rPr>
          <w:rFonts w:asciiTheme="majorHAnsi" w:hAnsiTheme="majorHAnsi"/>
          <w:sz w:val="20"/>
          <w:szCs w:val="20"/>
          <w:lang w:val="es-ES"/>
        </w:rPr>
        <w:t xml:space="preserve"> </w:t>
      </w:r>
      <w:r w:rsidR="0026390C" w:rsidRPr="00BA76F2">
        <w:rPr>
          <w:rFonts w:asciiTheme="majorHAnsi" w:hAnsiTheme="majorHAnsi"/>
          <w:sz w:val="20"/>
          <w:szCs w:val="20"/>
          <w:lang w:val="es-ES"/>
        </w:rPr>
        <w:t xml:space="preserve">desde </w:t>
      </w:r>
      <w:r w:rsidR="006E5B98" w:rsidRPr="00BA76F2">
        <w:rPr>
          <w:rFonts w:asciiTheme="majorHAnsi" w:hAnsiTheme="majorHAnsi"/>
          <w:sz w:val="20"/>
          <w:szCs w:val="20"/>
          <w:lang w:val="es-ES"/>
        </w:rPr>
        <w:t>el informe presentado</w:t>
      </w:r>
      <w:r w:rsidR="0026390C" w:rsidRPr="00BA76F2">
        <w:rPr>
          <w:rFonts w:asciiTheme="majorHAnsi" w:hAnsiTheme="majorHAnsi"/>
          <w:sz w:val="20"/>
          <w:szCs w:val="20"/>
          <w:lang w:val="es-ES"/>
        </w:rPr>
        <w:t xml:space="preserve"> por el Director del Cementerio Municipal del Partido de General San Martín en el marco de la Causa Nro. 2637/04, </w:t>
      </w:r>
      <w:r w:rsidR="0089432A" w:rsidRPr="00BA76F2">
        <w:rPr>
          <w:rFonts w:asciiTheme="majorHAnsi" w:hAnsiTheme="majorHAnsi"/>
          <w:sz w:val="20"/>
          <w:szCs w:val="20"/>
          <w:lang w:val="es-ES"/>
        </w:rPr>
        <w:t>se haya</w:t>
      </w:r>
      <w:r w:rsidR="00166FDE" w:rsidRPr="00BA76F2">
        <w:rPr>
          <w:rFonts w:asciiTheme="majorHAnsi" w:hAnsiTheme="majorHAnsi"/>
          <w:sz w:val="20"/>
          <w:szCs w:val="20"/>
          <w:lang w:val="es-ES"/>
        </w:rPr>
        <w:t>n</w:t>
      </w:r>
      <w:r w:rsidR="0089432A" w:rsidRPr="00BA76F2">
        <w:rPr>
          <w:rFonts w:asciiTheme="majorHAnsi" w:hAnsiTheme="majorHAnsi"/>
          <w:sz w:val="20"/>
          <w:szCs w:val="20"/>
          <w:lang w:val="es-ES"/>
        </w:rPr>
        <w:t xml:space="preserve"> llevado a cabo diligencias </w:t>
      </w:r>
      <w:r w:rsidR="00166FDE" w:rsidRPr="00BA76F2">
        <w:rPr>
          <w:rFonts w:asciiTheme="majorHAnsi" w:hAnsiTheme="majorHAnsi"/>
          <w:sz w:val="20"/>
          <w:szCs w:val="20"/>
          <w:lang w:val="es-ES"/>
        </w:rPr>
        <w:t>para la búsqueda de los restos de Mario Julien.</w:t>
      </w:r>
      <w:r w:rsidR="007C3DC5" w:rsidRPr="00BA76F2">
        <w:rPr>
          <w:rFonts w:asciiTheme="majorHAnsi" w:hAnsiTheme="majorHAnsi"/>
          <w:sz w:val="20"/>
          <w:szCs w:val="20"/>
          <w:lang w:val="es-ES"/>
        </w:rPr>
        <w:t xml:space="preserve"> La CIDH concluye, por lo tanto, que todo lo anterior resulta suficiente para establecer que el comportamiento procesal del Estado argentino generó una demora que excede el plazo razonable.</w:t>
      </w:r>
      <w:r w:rsidR="00C1548F" w:rsidRPr="00BA76F2">
        <w:rPr>
          <w:rFonts w:asciiTheme="majorHAnsi" w:hAnsiTheme="majorHAnsi"/>
          <w:sz w:val="20"/>
          <w:szCs w:val="20"/>
          <w:lang w:val="es-ES"/>
        </w:rPr>
        <w:t xml:space="preserve"> La Comisión considera pertinente precisar, además, que en el análisis de razonabilidad del plazo se debe tomar en cuenta la afectación generada en los hermanos Larrabeiti Yáñez por la duración del procedimiento.</w:t>
      </w:r>
    </w:p>
    <w:p w14:paraId="22035D8F" w14:textId="77777777" w:rsidR="00BA76F2" w:rsidRDefault="00BA76F2" w:rsidP="00BA76F2">
      <w:pPr>
        <w:pStyle w:val="ListParagraph"/>
        <w:rPr>
          <w:rFonts w:asciiTheme="majorHAnsi" w:hAnsiTheme="majorHAnsi"/>
          <w:sz w:val="20"/>
          <w:szCs w:val="20"/>
          <w:lang w:val="es-ES"/>
        </w:rPr>
      </w:pPr>
    </w:p>
    <w:p w14:paraId="4469233E" w14:textId="77777777" w:rsidR="00BA76F2" w:rsidRDefault="007C3DC5" w:rsidP="00B14871">
      <w:pPr>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ind w:left="0" w:firstLine="0"/>
        <w:jc w:val="both"/>
        <w:rPr>
          <w:rFonts w:asciiTheme="majorHAnsi" w:hAnsiTheme="majorHAnsi"/>
          <w:sz w:val="20"/>
          <w:szCs w:val="20"/>
          <w:lang w:val="es-ES_tradnl"/>
        </w:rPr>
      </w:pPr>
      <w:r w:rsidRPr="00BA76F2">
        <w:rPr>
          <w:rFonts w:asciiTheme="majorHAnsi" w:hAnsiTheme="majorHAnsi"/>
          <w:sz w:val="20"/>
          <w:szCs w:val="20"/>
          <w:lang w:val="es-ES"/>
        </w:rPr>
        <w:t>La Comisión observa con preocupación que, a pesar</w:t>
      </w:r>
      <w:r w:rsidR="009462D4" w:rsidRPr="00BA76F2">
        <w:rPr>
          <w:rFonts w:asciiTheme="majorHAnsi" w:hAnsiTheme="majorHAnsi"/>
          <w:sz w:val="20"/>
          <w:szCs w:val="20"/>
          <w:lang w:val="es-ES"/>
        </w:rPr>
        <w:t xml:space="preserve"> que han pasado </w:t>
      </w:r>
      <w:r w:rsidR="00E22B76" w:rsidRPr="00BA76F2">
        <w:rPr>
          <w:rFonts w:asciiTheme="majorHAnsi" w:hAnsiTheme="majorHAnsi"/>
          <w:sz w:val="20"/>
          <w:szCs w:val="20"/>
          <w:lang w:val="es-ES"/>
        </w:rPr>
        <w:t xml:space="preserve">42 años desde el inicio de los hechos, 33 </w:t>
      </w:r>
      <w:r w:rsidRPr="00BA76F2">
        <w:rPr>
          <w:rFonts w:asciiTheme="majorHAnsi" w:hAnsiTheme="majorHAnsi"/>
          <w:sz w:val="20"/>
          <w:szCs w:val="20"/>
          <w:lang w:val="es-ES"/>
        </w:rPr>
        <w:t xml:space="preserve">años </w:t>
      </w:r>
      <w:r w:rsidR="00E22B76" w:rsidRPr="00BA76F2">
        <w:rPr>
          <w:rFonts w:asciiTheme="majorHAnsi" w:hAnsiTheme="majorHAnsi"/>
          <w:sz w:val="20"/>
          <w:szCs w:val="20"/>
          <w:lang w:val="es-ES"/>
        </w:rPr>
        <w:t xml:space="preserve">desde el </w:t>
      </w:r>
      <w:r w:rsidRPr="00BA76F2">
        <w:rPr>
          <w:rFonts w:asciiTheme="majorHAnsi" w:hAnsiTheme="majorHAnsi"/>
          <w:sz w:val="20"/>
          <w:szCs w:val="20"/>
          <w:lang w:val="es-ES"/>
        </w:rPr>
        <w:t>regreso a</w:t>
      </w:r>
      <w:r w:rsidR="00E22B76" w:rsidRPr="00BA76F2">
        <w:rPr>
          <w:rFonts w:asciiTheme="majorHAnsi" w:hAnsiTheme="majorHAnsi"/>
          <w:sz w:val="20"/>
          <w:szCs w:val="20"/>
          <w:lang w:val="es-ES"/>
        </w:rPr>
        <w:t xml:space="preserve"> la democracia y </w:t>
      </w:r>
      <w:r w:rsidRPr="00BA76F2">
        <w:rPr>
          <w:rFonts w:asciiTheme="majorHAnsi" w:hAnsiTheme="majorHAnsi"/>
          <w:sz w:val="20"/>
          <w:szCs w:val="20"/>
          <w:lang w:val="es-ES"/>
        </w:rPr>
        <w:t xml:space="preserve">13 años desde que se levantaron los obstáculos legales para la investigación y sanción de </w:t>
      </w:r>
      <w:r w:rsidR="00910B93" w:rsidRPr="00BA76F2">
        <w:rPr>
          <w:rFonts w:asciiTheme="majorHAnsi" w:hAnsiTheme="majorHAnsi"/>
          <w:sz w:val="20"/>
          <w:szCs w:val="20"/>
          <w:lang w:val="es-ES"/>
        </w:rPr>
        <w:t>estos delitos</w:t>
      </w:r>
      <w:r w:rsidRPr="00BA76F2">
        <w:rPr>
          <w:rFonts w:asciiTheme="majorHAnsi" w:hAnsiTheme="majorHAnsi"/>
          <w:sz w:val="20"/>
          <w:szCs w:val="20"/>
          <w:lang w:val="es-ES"/>
        </w:rPr>
        <w:t>, aún no se han sancionado a los responsables por las desapariciones forzadas de Mario Julien e hijos, ni se ha</w:t>
      </w:r>
      <w:r w:rsidR="002035A5" w:rsidRPr="00BA76F2">
        <w:rPr>
          <w:rFonts w:asciiTheme="majorHAnsi" w:hAnsiTheme="majorHAnsi"/>
          <w:sz w:val="20"/>
          <w:szCs w:val="20"/>
          <w:lang w:val="es-ES"/>
        </w:rPr>
        <w:t xml:space="preserve"> determinado el destino y paradero </w:t>
      </w:r>
      <w:r w:rsidRPr="00BA76F2">
        <w:rPr>
          <w:rFonts w:asciiTheme="majorHAnsi" w:hAnsiTheme="majorHAnsi"/>
          <w:sz w:val="20"/>
          <w:szCs w:val="20"/>
          <w:lang w:val="es-ES"/>
        </w:rPr>
        <w:t>de Victoria Grisonas y Mario Julien</w:t>
      </w:r>
      <w:r w:rsidR="005A047F" w:rsidRPr="00BA76F2">
        <w:rPr>
          <w:rFonts w:asciiTheme="majorHAnsi" w:hAnsiTheme="majorHAnsi"/>
          <w:sz w:val="20"/>
          <w:szCs w:val="20"/>
          <w:lang w:val="es-ES"/>
        </w:rPr>
        <w:t>.</w:t>
      </w:r>
      <w:r w:rsidRPr="00BA76F2">
        <w:rPr>
          <w:rFonts w:asciiTheme="majorHAnsi" w:hAnsiTheme="majorHAnsi"/>
          <w:sz w:val="20"/>
          <w:szCs w:val="20"/>
          <w:lang w:val="es-ES"/>
        </w:rPr>
        <w:t xml:space="preserve"> </w:t>
      </w:r>
    </w:p>
    <w:p w14:paraId="2CBEFD85" w14:textId="77777777" w:rsidR="00BA76F2" w:rsidRDefault="00BA76F2" w:rsidP="00BA76F2">
      <w:pPr>
        <w:pStyle w:val="ListParagraph"/>
        <w:rPr>
          <w:rFonts w:asciiTheme="majorHAnsi" w:hAnsiTheme="majorHAnsi"/>
          <w:sz w:val="20"/>
          <w:szCs w:val="20"/>
          <w:lang w:val="es-ES"/>
        </w:rPr>
      </w:pPr>
    </w:p>
    <w:p w14:paraId="640D8119" w14:textId="1079D3CC" w:rsidR="00E664A6" w:rsidRPr="00BA76F2" w:rsidRDefault="003772D4" w:rsidP="00B14871">
      <w:pPr>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ind w:left="0" w:firstLine="0"/>
        <w:jc w:val="both"/>
        <w:rPr>
          <w:rFonts w:asciiTheme="majorHAnsi" w:hAnsiTheme="majorHAnsi"/>
          <w:sz w:val="20"/>
          <w:szCs w:val="20"/>
          <w:lang w:val="es-ES_tradnl"/>
        </w:rPr>
      </w:pPr>
      <w:r w:rsidRPr="00BA76F2">
        <w:rPr>
          <w:rFonts w:asciiTheme="majorHAnsi" w:hAnsiTheme="majorHAnsi"/>
          <w:sz w:val="20"/>
          <w:szCs w:val="20"/>
          <w:lang w:val="es-ES"/>
        </w:rPr>
        <w:t xml:space="preserve">Por lo tanto, la Comisión concluye que </w:t>
      </w:r>
      <w:r w:rsidR="00EF28FF" w:rsidRPr="00BA76F2">
        <w:rPr>
          <w:rFonts w:asciiTheme="majorHAnsi" w:hAnsiTheme="majorHAnsi"/>
          <w:sz w:val="20"/>
          <w:szCs w:val="20"/>
          <w:lang w:val="es-ES"/>
        </w:rPr>
        <w:t>el Estado argentino violó los derechos reconocidos en los artículos 8.1 y 25 de la Convención, en relación con su artículo 1.1, así como la obligación establecida en el artículo I b) de la CIDFP</w:t>
      </w:r>
      <w:r w:rsidR="00B361BE" w:rsidRPr="00BA76F2">
        <w:rPr>
          <w:rFonts w:asciiTheme="majorHAnsi" w:hAnsiTheme="majorHAnsi"/>
          <w:sz w:val="20"/>
          <w:szCs w:val="20"/>
          <w:lang w:val="es-ES"/>
        </w:rPr>
        <w:t>,</w:t>
      </w:r>
      <w:r w:rsidR="00EF28FF" w:rsidRPr="00BA76F2">
        <w:rPr>
          <w:rFonts w:asciiTheme="majorHAnsi" w:hAnsiTheme="majorHAnsi"/>
          <w:sz w:val="20"/>
          <w:szCs w:val="20"/>
          <w:lang w:val="es-ES"/>
        </w:rPr>
        <w:t xml:space="preserve"> al no haber </w:t>
      </w:r>
      <w:r w:rsidR="00B509E8" w:rsidRPr="00BA76F2">
        <w:rPr>
          <w:rFonts w:asciiTheme="majorHAnsi" w:hAnsiTheme="majorHAnsi"/>
          <w:sz w:val="20"/>
          <w:szCs w:val="20"/>
          <w:lang w:val="es-ES"/>
        </w:rPr>
        <w:t xml:space="preserve">aún </w:t>
      </w:r>
      <w:r w:rsidR="00EF28FF" w:rsidRPr="00BA76F2">
        <w:rPr>
          <w:rFonts w:asciiTheme="majorHAnsi" w:hAnsiTheme="majorHAnsi"/>
          <w:sz w:val="20"/>
          <w:szCs w:val="20"/>
          <w:lang w:val="es-ES"/>
        </w:rPr>
        <w:t xml:space="preserve">sancionado </w:t>
      </w:r>
      <w:r w:rsidR="00B509E8" w:rsidRPr="00BA76F2">
        <w:rPr>
          <w:rFonts w:asciiTheme="majorHAnsi" w:hAnsiTheme="majorHAnsi"/>
          <w:sz w:val="20"/>
          <w:szCs w:val="20"/>
          <w:lang w:val="es-ES"/>
        </w:rPr>
        <w:t>a los responsables de</w:t>
      </w:r>
      <w:r w:rsidR="00EF28FF" w:rsidRPr="00BA76F2">
        <w:rPr>
          <w:rFonts w:asciiTheme="majorHAnsi" w:hAnsiTheme="majorHAnsi"/>
          <w:sz w:val="20"/>
          <w:szCs w:val="20"/>
          <w:lang w:val="es-ES"/>
        </w:rPr>
        <w:t xml:space="preserve"> la desaparición forzada de Mario Roger Julien Cáceres</w:t>
      </w:r>
      <w:r w:rsidR="001D0CB4" w:rsidRPr="00BA76F2">
        <w:rPr>
          <w:rFonts w:asciiTheme="majorHAnsi" w:hAnsiTheme="majorHAnsi"/>
          <w:sz w:val="20"/>
          <w:szCs w:val="20"/>
          <w:lang w:val="es-ES"/>
        </w:rPr>
        <w:t xml:space="preserve"> </w:t>
      </w:r>
      <w:r w:rsidR="00B509E8" w:rsidRPr="00BA76F2">
        <w:rPr>
          <w:rFonts w:asciiTheme="majorHAnsi" w:hAnsiTheme="majorHAnsi"/>
          <w:sz w:val="20"/>
          <w:szCs w:val="20"/>
          <w:lang w:val="es-ES"/>
        </w:rPr>
        <w:t>y</w:t>
      </w:r>
      <w:r w:rsidR="001D0CB4" w:rsidRPr="00BA76F2">
        <w:rPr>
          <w:rFonts w:asciiTheme="majorHAnsi" w:hAnsiTheme="majorHAnsi"/>
          <w:sz w:val="20"/>
          <w:szCs w:val="20"/>
          <w:lang w:val="es-ES"/>
        </w:rPr>
        <w:t xml:space="preserve"> de los hermanos Larrabeiti Yáñez</w:t>
      </w:r>
      <w:r w:rsidR="00B509E8" w:rsidRPr="00BA76F2">
        <w:rPr>
          <w:rFonts w:asciiTheme="majorHAnsi" w:hAnsiTheme="majorHAnsi"/>
          <w:sz w:val="20"/>
          <w:szCs w:val="20"/>
          <w:lang w:val="es-ES"/>
        </w:rPr>
        <w:t xml:space="preserve">, ni haber </w:t>
      </w:r>
      <w:r w:rsidR="005A047F" w:rsidRPr="00BA76F2">
        <w:rPr>
          <w:rFonts w:asciiTheme="majorHAnsi" w:hAnsiTheme="majorHAnsi"/>
          <w:sz w:val="20"/>
          <w:szCs w:val="20"/>
          <w:lang w:val="es-ES"/>
        </w:rPr>
        <w:t>establecido el destino y paradero</w:t>
      </w:r>
      <w:r w:rsidR="007F6C93" w:rsidRPr="00BA76F2">
        <w:rPr>
          <w:rFonts w:asciiTheme="majorHAnsi" w:hAnsiTheme="majorHAnsi"/>
          <w:sz w:val="20"/>
          <w:szCs w:val="20"/>
          <w:lang w:val="es-ES"/>
        </w:rPr>
        <w:t xml:space="preserve"> de</w:t>
      </w:r>
      <w:r w:rsidR="00B509E8" w:rsidRPr="00BA76F2">
        <w:rPr>
          <w:rFonts w:asciiTheme="majorHAnsi" w:hAnsiTheme="majorHAnsi"/>
          <w:sz w:val="20"/>
          <w:szCs w:val="20"/>
          <w:lang w:val="es-ES"/>
        </w:rPr>
        <w:t xml:space="preserve"> Victoria Grisonas y Mario Julien</w:t>
      </w:r>
      <w:r w:rsidR="00EF28FF" w:rsidRPr="00BA76F2">
        <w:rPr>
          <w:rFonts w:asciiTheme="majorHAnsi" w:hAnsiTheme="majorHAnsi"/>
          <w:sz w:val="20"/>
          <w:szCs w:val="20"/>
          <w:lang w:val="es-ES"/>
        </w:rPr>
        <w:t>.</w:t>
      </w:r>
      <w:r w:rsidR="001D0CB4" w:rsidRPr="00BA76F2">
        <w:rPr>
          <w:rFonts w:asciiTheme="majorHAnsi" w:hAnsiTheme="majorHAnsi"/>
          <w:sz w:val="20"/>
          <w:szCs w:val="20"/>
          <w:lang w:val="es-ES"/>
        </w:rPr>
        <w:t xml:space="preserve"> Asimismo, el Estado violó los artículos 1, 6 y 8 de la CIPST por no haber a la fecha</w:t>
      </w:r>
      <w:r w:rsidR="0044130B" w:rsidRPr="00BA76F2">
        <w:rPr>
          <w:rFonts w:asciiTheme="majorHAnsi" w:hAnsiTheme="majorHAnsi"/>
          <w:sz w:val="20"/>
          <w:szCs w:val="20"/>
          <w:lang w:val="es-ES"/>
        </w:rPr>
        <w:t xml:space="preserve"> investigado ni sancionado los actos de tortura cometidos contra los hermanos</w:t>
      </w:r>
      <w:r w:rsidR="00B509E8" w:rsidRPr="00BA76F2">
        <w:rPr>
          <w:rFonts w:asciiTheme="majorHAnsi" w:hAnsiTheme="majorHAnsi"/>
          <w:sz w:val="20"/>
          <w:szCs w:val="20"/>
          <w:lang w:val="es-ES"/>
        </w:rPr>
        <w:t xml:space="preserve"> Larrabeiti Yáñez</w:t>
      </w:r>
      <w:r w:rsidR="0044130B" w:rsidRPr="00BA76F2">
        <w:rPr>
          <w:rFonts w:asciiTheme="majorHAnsi" w:hAnsiTheme="majorHAnsi"/>
          <w:sz w:val="20"/>
          <w:szCs w:val="20"/>
          <w:lang w:val="es-ES"/>
        </w:rPr>
        <w:t xml:space="preserve">. Por otra parte, </w:t>
      </w:r>
      <w:r w:rsidR="00A62FA4" w:rsidRPr="00BA76F2">
        <w:rPr>
          <w:rFonts w:asciiTheme="majorHAnsi" w:hAnsiTheme="majorHAnsi"/>
          <w:sz w:val="20"/>
          <w:szCs w:val="20"/>
          <w:lang w:val="es-ES"/>
        </w:rPr>
        <w:t xml:space="preserve">la </w:t>
      </w:r>
      <w:r w:rsidR="00110559" w:rsidRPr="00BA76F2">
        <w:rPr>
          <w:rFonts w:asciiTheme="majorHAnsi" w:hAnsiTheme="majorHAnsi"/>
          <w:sz w:val="20"/>
          <w:szCs w:val="20"/>
          <w:lang w:val="es-ES"/>
        </w:rPr>
        <w:t>vigencia de</w:t>
      </w:r>
      <w:r w:rsidR="00A62FA4" w:rsidRPr="00BA76F2">
        <w:rPr>
          <w:rFonts w:asciiTheme="majorHAnsi" w:hAnsiTheme="majorHAnsi"/>
          <w:sz w:val="20"/>
          <w:szCs w:val="20"/>
          <w:lang w:val="es-ES"/>
        </w:rPr>
        <w:t xml:space="preserve"> las leyes </w:t>
      </w:r>
      <w:r w:rsidR="00684CF4" w:rsidRPr="00BA76F2">
        <w:rPr>
          <w:rFonts w:asciiTheme="majorHAnsi" w:hAnsiTheme="majorHAnsi"/>
          <w:sz w:val="20"/>
          <w:szCs w:val="20"/>
          <w:lang w:val="es-ES"/>
        </w:rPr>
        <w:t xml:space="preserve">No. </w:t>
      </w:r>
      <w:r w:rsidR="0044130B" w:rsidRPr="00BA76F2">
        <w:rPr>
          <w:rFonts w:asciiTheme="majorHAnsi" w:hAnsiTheme="majorHAnsi"/>
          <w:sz w:val="20"/>
          <w:szCs w:val="20"/>
          <w:lang w:val="es-ES"/>
        </w:rPr>
        <w:t>23.492 y 23.521</w:t>
      </w:r>
      <w:r w:rsidR="00110559" w:rsidRPr="00BA76F2">
        <w:rPr>
          <w:rFonts w:asciiTheme="majorHAnsi" w:hAnsiTheme="majorHAnsi"/>
          <w:sz w:val="20"/>
          <w:szCs w:val="20"/>
          <w:lang w:val="es-ES"/>
        </w:rPr>
        <w:t xml:space="preserve"> y la consecuente obstaculización a la búsqueda de justicia, constituyeron una violación</w:t>
      </w:r>
      <w:r w:rsidR="00A62FA4" w:rsidRPr="00BA76F2">
        <w:rPr>
          <w:rFonts w:asciiTheme="majorHAnsi" w:hAnsiTheme="majorHAnsi"/>
          <w:sz w:val="20"/>
          <w:szCs w:val="20"/>
          <w:lang w:val="es-ES"/>
        </w:rPr>
        <w:t xml:space="preserve"> de los derechos consagrados en los artículos 8.1 y 25 de la Convención, en relación con </w:t>
      </w:r>
      <w:r w:rsidR="00B509E8" w:rsidRPr="00BA76F2">
        <w:rPr>
          <w:rFonts w:asciiTheme="majorHAnsi" w:hAnsiTheme="majorHAnsi"/>
          <w:sz w:val="20"/>
          <w:szCs w:val="20"/>
          <w:lang w:val="es-ES"/>
        </w:rPr>
        <w:t>su</w:t>
      </w:r>
      <w:r w:rsidR="0044130B" w:rsidRPr="00BA76F2">
        <w:rPr>
          <w:rFonts w:asciiTheme="majorHAnsi" w:hAnsiTheme="majorHAnsi"/>
          <w:sz w:val="20"/>
          <w:szCs w:val="20"/>
          <w:lang w:val="es-ES"/>
        </w:rPr>
        <w:t>s</w:t>
      </w:r>
      <w:r w:rsidR="00A62FA4" w:rsidRPr="00BA76F2">
        <w:rPr>
          <w:rFonts w:asciiTheme="majorHAnsi" w:hAnsiTheme="majorHAnsi"/>
          <w:sz w:val="20"/>
          <w:szCs w:val="20"/>
          <w:lang w:val="es-ES"/>
        </w:rPr>
        <w:t xml:space="preserve"> artículo</w:t>
      </w:r>
      <w:r w:rsidR="00B509E8" w:rsidRPr="00BA76F2">
        <w:rPr>
          <w:rFonts w:asciiTheme="majorHAnsi" w:hAnsiTheme="majorHAnsi"/>
          <w:sz w:val="20"/>
          <w:szCs w:val="20"/>
          <w:lang w:val="es-ES"/>
        </w:rPr>
        <w:t>s</w:t>
      </w:r>
      <w:r w:rsidR="00A62FA4" w:rsidRPr="00BA76F2">
        <w:rPr>
          <w:rFonts w:asciiTheme="majorHAnsi" w:hAnsiTheme="majorHAnsi"/>
          <w:sz w:val="20"/>
          <w:szCs w:val="20"/>
          <w:lang w:val="es-ES"/>
        </w:rPr>
        <w:t xml:space="preserve"> 1.1 </w:t>
      </w:r>
      <w:r w:rsidR="0044130B" w:rsidRPr="00BA76F2">
        <w:rPr>
          <w:rFonts w:asciiTheme="majorHAnsi" w:hAnsiTheme="majorHAnsi"/>
          <w:sz w:val="20"/>
          <w:szCs w:val="20"/>
          <w:lang w:val="es-ES"/>
        </w:rPr>
        <w:t>y 2</w:t>
      </w:r>
      <w:r w:rsidR="00B509E8" w:rsidRPr="00BA76F2">
        <w:rPr>
          <w:rFonts w:asciiTheme="majorHAnsi" w:hAnsiTheme="majorHAnsi"/>
          <w:sz w:val="20"/>
          <w:szCs w:val="20"/>
          <w:lang w:val="es-ES"/>
        </w:rPr>
        <w:t>,</w:t>
      </w:r>
      <w:r w:rsidR="00A62FA4" w:rsidRPr="00BA76F2">
        <w:rPr>
          <w:rFonts w:asciiTheme="majorHAnsi" w:hAnsiTheme="majorHAnsi"/>
          <w:sz w:val="20"/>
          <w:szCs w:val="20"/>
          <w:lang w:val="es-ES"/>
        </w:rPr>
        <w:t xml:space="preserve"> y del artículo I inciso b) de la CIDFP</w:t>
      </w:r>
      <w:r w:rsidR="007F1E54" w:rsidRPr="00BA76F2">
        <w:rPr>
          <w:rFonts w:asciiTheme="majorHAnsi" w:hAnsiTheme="majorHAnsi"/>
          <w:sz w:val="20"/>
          <w:szCs w:val="20"/>
          <w:lang w:val="es-ES"/>
        </w:rPr>
        <w:t>, en perjuicio de los hermanos Larrabeiti Yáñez y su madre y padre biológicos</w:t>
      </w:r>
      <w:r w:rsidR="00A62FA4" w:rsidRPr="00BA76F2">
        <w:rPr>
          <w:rFonts w:asciiTheme="majorHAnsi" w:hAnsiTheme="majorHAnsi"/>
          <w:sz w:val="20"/>
          <w:szCs w:val="20"/>
          <w:lang w:val="es-ES"/>
        </w:rPr>
        <w:t>.</w:t>
      </w:r>
      <w:r w:rsidR="00B361BE" w:rsidRPr="00BA76F2">
        <w:rPr>
          <w:rFonts w:asciiTheme="majorHAnsi" w:hAnsiTheme="majorHAnsi"/>
          <w:sz w:val="20"/>
          <w:szCs w:val="20"/>
          <w:lang w:val="es-ES"/>
        </w:rPr>
        <w:t xml:space="preserve"> Asimismo, la tipificación tardía de la </w:t>
      </w:r>
      <w:r w:rsidR="00A755F3" w:rsidRPr="00BA76F2">
        <w:rPr>
          <w:rFonts w:asciiTheme="majorHAnsi" w:hAnsiTheme="majorHAnsi"/>
          <w:sz w:val="20"/>
          <w:szCs w:val="20"/>
          <w:lang w:val="es-ES"/>
        </w:rPr>
        <w:t xml:space="preserve">desaparición forzada violó el artículo III de la CIDFP.  </w:t>
      </w:r>
    </w:p>
    <w:p w14:paraId="751E83DB" w14:textId="77777777" w:rsidR="00417234" w:rsidRPr="0007034B" w:rsidRDefault="00417234" w:rsidP="00E664A6">
      <w:pPr>
        <w:pStyle w:val="ListParagraph"/>
        <w:rPr>
          <w:rFonts w:asciiTheme="majorHAnsi" w:eastAsia="Times New Roman" w:hAnsiTheme="majorHAnsi"/>
          <w:sz w:val="20"/>
          <w:szCs w:val="20"/>
          <w:lang w:val="es-ES"/>
        </w:rPr>
      </w:pPr>
    </w:p>
    <w:p w14:paraId="2EB5585A" w14:textId="7B236FCA" w:rsidR="00E16122" w:rsidRPr="007E73E1" w:rsidRDefault="00C3204B" w:rsidP="00F9082E">
      <w:pPr>
        <w:pStyle w:val="Heading2"/>
        <w:jc w:val="both"/>
      </w:pPr>
      <w:bookmarkStart w:id="98" w:name="_Toc6349180"/>
      <w:bookmarkStart w:id="99" w:name="_Toc6466673"/>
      <w:r w:rsidRPr="007E73E1">
        <w:t>Der</w:t>
      </w:r>
      <w:r w:rsidR="001F0175" w:rsidRPr="007E73E1">
        <w:t>echo a</w:t>
      </w:r>
      <w:r w:rsidR="000F7D77" w:rsidRPr="007E73E1">
        <w:t>l debido proceso y a la tutela judicial efectiva respecto del artículo 280 del Código Procesal Civil y Comercial de la Nación</w:t>
      </w:r>
      <w:bookmarkEnd w:id="98"/>
      <w:bookmarkEnd w:id="99"/>
    </w:p>
    <w:p w14:paraId="7E0B4ED5" w14:textId="77777777" w:rsidR="00B509E8" w:rsidRPr="0007034B" w:rsidRDefault="00B509E8" w:rsidP="00147099">
      <w:pPr>
        <w:jc w:val="both"/>
        <w:rPr>
          <w:rFonts w:asciiTheme="majorHAnsi" w:hAnsiTheme="majorHAnsi"/>
          <w:sz w:val="20"/>
          <w:szCs w:val="20"/>
          <w:lang w:val="es-ES"/>
        </w:rPr>
      </w:pPr>
    </w:p>
    <w:p w14:paraId="044CF5A0" w14:textId="77777777" w:rsidR="00B14871" w:rsidRDefault="00B315B4" w:rsidP="00B14871">
      <w:pPr>
        <w:pStyle w:val="BodyTextIndent"/>
        <w:numPr>
          <w:ilvl w:val="0"/>
          <w:numId w:val="8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ind w:left="0" w:firstLine="0"/>
        <w:jc w:val="both"/>
        <w:rPr>
          <w:rFonts w:asciiTheme="majorHAnsi" w:hAnsiTheme="majorHAnsi"/>
          <w:sz w:val="20"/>
          <w:szCs w:val="20"/>
          <w:lang w:val="es-VE"/>
        </w:rPr>
      </w:pPr>
      <w:r w:rsidRPr="0007034B">
        <w:rPr>
          <w:rFonts w:asciiTheme="majorHAnsi" w:hAnsiTheme="majorHAnsi"/>
          <w:sz w:val="20"/>
          <w:szCs w:val="20"/>
        </w:rPr>
        <w:t xml:space="preserve">El 26 de agosto de 1998 los hermanos Larrabeiti Yáñez presentaron una acción civil </w:t>
      </w:r>
      <w:r w:rsidR="00AD107E" w:rsidRPr="0007034B">
        <w:rPr>
          <w:rFonts w:asciiTheme="majorHAnsi" w:hAnsiTheme="majorHAnsi"/>
          <w:sz w:val="20"/>
          <w:szCs w:val="20"/>
          <w:lang w:val="es-VE"/>
        </w:rPr>
        <w:t xml:space="preserve">(Expediente Nro. 24.518/98) </w:t>
      </w:r>
      <w:r w:rsidRPr="0007034B">
        <w:rPr>
          <w:rFonts w:asciiTheme="majorHAnsi" w:hAnsiTheme="majorHAnsi"/>
          <w:sz w:val="20"/>
          <w:szCs w:val="20"/>
        </w:rPr>
        <w:t xml:space="preserve">contra el Ministerio del Interior por los daños y perjuicios sufridos por la esperanza de que su padre biológico se encontrase con vida, generada por el considerando cuarto del Decreto 1025/96. Como se indicó en el apartado relativo a </w:t>
      </w:r>
      <w:r w:rsidR="0005536A" w:rsidRPr="0007034B">
        <w:rPr>
          <w:rFonts w:asciiTheme="majorHAnsi" w:hAnsiTheme="majorHAnsi"/>
          <w:sz w:val="20"/>
          <w:szCs w:val="20"/>
        </w:rPr>
        <w:t xml:space="preserve">las cuestiones previas, </w:t>
      </w:r>
      <w:r w:rsidR="0005536A" w:rsidRPr="0007034B">
        <w:rPr>
          <w:rFonts w:asciiTheme="majorHAnsi" w:hAnsiTheme="majorHAnsi"/>
          <w:sz w:val="20"/>
          <w:szCs w:val="20"/>
          <w:lang w:val="es-VE"/>
        </w:rPr>
        <w:t>los alegatos relativos a la falta de reparación por los daños causados por dicho considerando, así como las alegadas violaciones ocurridas en el marco de la acción civil iniciada el 26 de agosto de 1998, forman parte del objeto de</w:t>
      </w:r>
      <w:r w:rsidR="00AD107E" w:rsidRPr="0007034B">
        <w:rPr>
          <w:rFonts w:asciiTheme="majorHAnsi" w:hAnsiTheme="majorHAnsi"/>
          <w:sz w:val="20"/>
          <w:szCs w:val="20"/>
          <w:lang w:val="es-VE"/>
        </w:rPr>
        <w:t>l presente caso</w:t>
      </w:r>
      <w:r w:rsidR="0005536A" w:rsidRPr="0007034B">
        <w:rPr>
          <w:rFonts w:asciiTheme="majorHAnsi" w:hAnsiTheme="majorHAnsi"/>
          <w:sz w:val="20"/>
          <w:szCs w:val="20"/>
          <w:lang w:val="es-VE"/>
        </w:rPr>
        <w:t>.</w:t>
      </w:r>
      <w:r w:rsidR="00AD107E" w:rsidRPr="0007034B">
        <w:rPr>
          <w:rFonts w:asciiTheme="majorHAnsi" w:hAnsiTheme="majorHAnsi"/>
          <w:sz w:val="20"/>
          <w:szCs w:val="20"/>
          <w:lang w:val="es-VE"/>
        </w:rPr>
        <w:t xml:space="preserve"> </w:t>
      </w:r>
    </w:p>
    <w:p w14:paraId="6743C6AA" w14:textId="77777777" w:rsidR="00B14871" w:rsidRDefault="00B14871" w:rsidP="00B14871">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ind w:left="0" w:firstLine="0"/>
        <w:jc w:val="both"/>
        <w:rPr>
          <w:rFonts w:asciiTheme="majorHAnsi" w:hAnsiTheme="majorHAnsi"/>
          <w:sz w:val="20"/>
          <w:szCs w:val="20"/>
          <w:lang w:val="es-VE"/>
        </w:rPr>
      </w:pPr>
    </w:p>
    <w:p w14:paraId="2E65EAF6" w14:textId="77777777" w:rsidR="00B14871" w:rsidRDefault="00AD107E" w:rsidP="00B14871">
      <w:pPr>
        <w:pStyle w:val="BodyTextIndent"/>
        <w:numPr>
          <w:ilvl w:val="0"/>
          <w:numId w:val="8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ind w:left="0" w:firstLine="0"/>
        <w:jc w:val="both"/>
        <w:rPr>
          <w:rFonts w:asciiTheme="majorHAnsi" w:hAnsiTheme="majorHAnsi"/>
          <w:sz w:val="20"/>
          <w:szCs w:val="20"/>
          <w:lang w:val="es-VE"/>
        </w:rPr>
      </w:pPr>
      <w:r w:rsidRPr="00B14871">
        <w:rPr>
          <w:rFonts w:asciiTheme="majorHAnsi" w:hAnsiTheme="majorHAnsi"/>
          <w:sz w:val="20"/>
          <w:szCs w:val="20"/>
        </w:rPr>
        <w:t xml:space="preserve">Dicha </w:t>
      </w:r>
      <w:r w:rsidR="00B315B4" w:rsidRPr="00B14871">
        <w:rPr>
          <w:rFonts w:asciiTheme="majorHAnsi" w:hAnsiTheme="majorHAnsi"/>
          <w:sz w:val="20"/>
          <w:szCs w:val="20"/>
        </w:rPr>
        <w:t>demanda fue rechazada e</w:t>
      </w:r>
      <w:r w:rsidRPr="00B14871">
        <w:rPr>
          <w:rFonts w:asciiTheme="majorHAnsi" w:hAnsiTheme="majorHAnsi"/>
          <w:sz w:val="20"/>
          <w:szCs w:val="20"/>
        </w:rPr>
        <w:t xml:space="preserve">n primera instancia el 13 de agosto de 2003, decisión confirmada en sede de apelación el </w:t>
      </w:r>
      <w:r w:rsidR="00B315B4" w:rsidRPr="00B14871">
        <w:rPr>
          <w:rFonts w:asciiTheme="majorHAnsi" w:hAnsiTheme="majorHAnsi"/>
          <w:sz w:val="20"/>
          <w:szCs w:val="20"/>
        </w:rPr>
        <w:t>22 de junio de 2004</w:t>
      </w:r>
      <w:r w:rsidRPr="00B14871">
        <w:rPr>
          <w:rFonts w:asciiTheme="majorHAnsi" w:hAnsiTheme="majorHAnsi"/>
          <w:sz w:val="20"/>
          <w:szCs w:val="20"/>
        </w:rPr>
        <w:t xml:space="preserve">. </w:t>
      </w:r>
      <w:r w:rsidR="00B315B4" w:rsidRPr="00B14871">
        <w:rPr>
          <w:rFonts w:asciiTheme="majorHAnsi" w:hAnsiTheme="majorHAnsi"/>
          <w:sz w:val="20"/>
          <w:szCs w:val="20"/>
        </w:rPr>
        <w:t xml:space="preserve">El 3 de agosto de 2004 los hermanos Larrabeiti Yáñez interpusieron recurso extraordinario </w:t>
      </w:r>
      <w:r w:rsidRPr="00B14871">
        <w:rPr>
          <w:rFonts w:asciiTheme="majorHAnsi" w:hAnsiTheme="majorHAnsi"/>
          <w:sz w:val="20"/>
          <w:szCs w:val="20"/>
        </w:rPr>
        <w:t>por considerar</w:t>
      </w:r>
      <w:r w:rsidR="009E1393" w:rsidRPr="00B14871">
        <w:rPr>
          <w:rFonts w:asciiTheme="majorHAnsi" w:hAnsiTheme="majorHAnsi"/>
          <w:sz w:val="20"/>
          <w:szCs w:val="20"/>
        </w:rPr>
        <w:t xml:space="preserve"> esta decisión</w:t>
      </w:r>
      <w:r w:rsidRPr="00B14871">
        <w:rPr>
          <w:rFonts w:asciiTheme="majorHAnsi" w:hAnsiTheme="majorHAnsi"/>
          <w:sz w:val="20"/>
          <w:szCs w:val="20"/>
        </w:rPr>
        <w:t xml:space="preserve"> arbitraria, </w:t>
      </w:r>
      <w:r w:rsidR="00B315B4" w:rsidRPr="00B14871">
        <w:rPr>
          <w:rFonts w:asciiTheme="majorHAnsi" w:hAnsiTheme="majorHAnsi"/>
          <w:sz w:val="20"/>
          <w:szCs w:val="20"/>
        </w:rPr>
        <w:t xml:space="preserve">recurso </w:t>
      </w:r>
      <w:r w:rsidRPr="00B14871">
        <w:rPr>
          <w:rFonts w:asciiTheme="majorHAnsi" w:hAnsiTheme="majorHAnsi"/>
          <w:sz w:val="20"/>
          <w:szCs w:val="20"/>
        </w:rPr>
        <w:t xml:space="preserve">que </w:t>
      </w:r>
      <w:r w:rsidR="00B315B4" w:rsidRPr="00B14871">
        <w:rPr>
          <w:rFonts w:asciiTheme="majorHAnsi" w:hAnsiTheme="majorHAnsi"/>
          <w:sz w:val="20"/>
          <w:szCs w:val="20"/>
        </w:rPr>
        <w:t>fue dene</w:t>
      </w:r>
      <w:r w:rsidRPr="00B14871">
        <w:rPr>
          <w:rFonts w:asciiTheme="majorHAnsi" w:hAnsiTheme="majorHAnsi"/>
          <w:sz w:val="20"/>
          <w:szCs w:val="20"/>
        </w:rPr>
        <w:t xml:space="preserve">gado el 16 de noviembre de 2004. </w:t>
      </w:r>
      <w:r w:rsidR="00B315B4" w:rsidRPr="00B14871">
        <w:rPr>
          <w:rFonts w:asciiTheme="majorHAnsi" w:hAnsiTheme="majorHAnsi"/>
          <w:sz w:val="20"/>
          <w:szCs w:val="20"/>
        </w:rPr>
        <w:t xml:space="preserve">El 10 de diciembre de 2004 presentaron recurso de queja ante la CSJN alegando, entre otros, que la sentencia recurrida prescindió de elementos de prueba expresamente invocados. El 27 de septiembre de 2005 la CSJN declaró inadmisible el recurso con base en lo establecido en el artículo 280 del Código Procesal Civil y Comercial de la Nación. </w:t>
      </w:r>
    </w:p>
    <w:p w14:paraId="1A46AF48" w14:textId="77777777" w:rsidR="00B14871" w:rsidRDefault="00B14871" w:rsidP="00B14871">
      <w:pPr>
        <w:pStyle w:val="ListParagraph"/>
        <w:rPr>
          <w:rFonts w:asciiTheme="majorHAnsi" w:hAnsiTheme="majorHAnsi"/>
          <w:sz w:val="20"/>
          <w:szCs w:val="20"/>
          <w:lang w:val="es-ES"/>
        </w:rPr>
      </w:pPr>
    </w:p>
    <w:p w14:paraId="34B8EE7C" w14:textId="77777777" w:rsidR="00B14871" w:rsidRDefault="00D67DFD" w:rsidP="00B14871">
      <w:pPr>
        <w:pStyle w:val="BodyTextIndent"/>
        <w:numPr>
          <w:ilvl w:val="0"/>
          <w:numId w:val="8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ind w:left="0" w:firstLine="0"/>
        <w:jc w:val="both"/>
        <w:rPr>
          <w:rFonts w:asciiTheme="majorHAnsi" w:hAnsiTheme="majorHAnsi"/>
          <w:sz w:val="20"/>
          <w:szCs w:val="20"/>
          <w:lang w:val="es-VE"/>
        </w:rPr>
      </w:pPr>
      <w:r w:rsidRPr="00B14871">
        <w:rPr>
          <w:rFonts w:asciiTheme="majorHAnsi" w:hAnsiTheme="majorHAnsi"/>
          <w:sz w:val="20"/>
          <w:szCs w:val="20"/>
          <w:lang w:val="es-ES"/>
        </w:rPr>
        <w:t>La parte peticionaria alega que el artículo 280 del CPCCN se encuentra en pugna con los derechos al debido proceso y a la tutela judicial efectiva</w:t>
      </w:r>
      <w:r w:rsidR="005E4B8E" w:rsidRPr="00B14871">
        <w:rPr>
          <w:rFonts w:asciiTheme="majorHAnsi" w:hAnsiTheme="majorHAnsi"/>
          <w:sz w:val="20"/>
          <w:szCs w:val="20"/>
          <w:lang w:val="es-ES"/>
        </w:rPr>
        <w:t>,</w:t>
      </w:r>
      <w:r w:rsidRPr="00B14871">
        <w:rPr>
          <w:rFonts w:asciiTheme="majorHAnsi" w:hAnsiTheme="majorHAnsi"/>
          <w:sz w:val="20"/>
          <w:szCs w:val="20"/>
          <w:lang w:val="es-ES"/>
        </w:rPr>
        <w:t xml:space="preserve"> debido a que faculta la falta de fundamentación y la discrecionalidad. </w:t>
      </w:r>
      <w:r w:rsidR="008C75CA" w:rsidRPr="00B14871">
        <w:rPr>
          <w:rFonts w:asciiTheme="majorHAnsi" w:hAnsiTheme="majorHAnsi"/>
          <w:sz w:val="20"/>
          <w:szCs w:val="20"/>
          <w:lang w:val="es-ES"/>
        </w:rPr>
        <w:t xml:space="preserve">Por lo tanto, corresponde a la CIDH analizar </w:t>
      </w:r>
      <w:r w:rsidR="005E4B8E" w:rsidRPr="00B14871">
        <w:rPr>
          <w:rFonts w:asciiTheme="majorHAnsi" w:hAnsiTheme="majorHAnsi"/>
          <w:sz w:val="20"/>
          <w:szCs w:val="20"/>
          <w:lang w:val="es-ES"/>
        </w:rPr>
        <w:t>dicho alegato a la luz de las garantías consagradas en la Convención Americana.</w:t>
      </w:r>
    </w:p>
    <w:p w14:paraId="1DCE3609" w14:textId="77777777" w:rsidR="00B14871" w:rsidRDefault="00B14871" w:rsidP="00B14871">
      <w:pPr>
        <w:pStyle w:val="ListParagraph"/>
        <w:rPr>
          <w:rFonts w:asciiTheme="majorHAnsi" w:hAnsiTheme="majorHAnsi"/>
          <w:sz w:val="20"/>
          <w:szCs w:val="20"/>
          <w:lang w:val="es-ES"/>
        </w:rPr>
      </w:pPr>
    </w:p>
    <w:p w14:paraId="15893624" w14:textId="77777777" w:rsidR="00B14871" w:rsidRDefault="00637DAD" w:rsidP="00B14871">
      <w:pPr>
        <w:pStyle w:val="BodyTextIndent"/>
        <w:numPr>
          <w:ilvl w:val="0"/>
          <w:numId w:val="8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ind w:left="0" w:firstLine="0"/>
        <w:jc w:val="both"/>
        <w:rPr>
          <w:rFonts w:asciiTheme="majorHAnsi" w:hAnsiTheme="majorHAnsi"/>
          <w:sz w:val="20"/>
          <w:szCs w:val="20"/>
          <w:lang w:val="es-VE"/>
        </w:rPr>
      </w:pPr>
      <w:r w:rsidRPr="00B14871">
        <w:rPr>
          <w:rFonts w:asciiTheme="majorHAnsi" w:hAnsiTheme="majorHAnsi"/>
          <w:sz w:val="20"/>
          <w:szCs w:val="20"/>
          <w:lang w:val="es-ES"/>
        </w:rPr>
        <w:t xml:space="preserve">Respecto a dicha disposición del CPCCN, la Corte Interamericana estableció que </w:t>
      </w:r>
      <w:r w:rsidR="00147099" w:rsidRPr="00B14871">
        <w:rPr>
          <w:rFonts w:asciiTheme="majorHAnsi" w:hAnsiTheme="majorHAnsi"/>
          <w:sz w:val="20"/>
          <w:szCs w:val="20"/>
          <w:lang w:val="es-ES"/>
        </w:rPr>
        <w:t xml:space="preserve">“el hecho de que el recurso haya sido rechazado con base en el artículo 280 del Código Procesal Civil y Comercial de la Nación torna en incierta la accesibilidad al mismo puesto que esa disposición habilita la denegatoria no motivada del </w:t>
      </w:r>
      <w:r w:rsidR="00147099" w:rsidRPr="00B14871">
        <w:rPr>
          <w:rFonts w:asciiTheme="majorHAnsi" w:hAnsiTheme="majorHAnsi"/>
          <w:sz w:val="20"/>
          <w:szCs w:val="20"/>
          <w:lang w:val="es-ES"/>
        </w:rPr>
        <w:lastRenderedPageBreak/>
        <w:t>recurso, de manera que los usuarios de la administración de justicia […] no pueden conocer las razones por las que no pudieron acceder a esa instancia recursiva”</w:t>
      </w:r>
      <w:r w:rsidR="00147099" w:rsidRPr="0007034B">
        <w:rPr>
          <w:rStyle w:val="FootnoteReference"/>
          <w:rFonts w:asciiTheme="majorHAnsi" w:hAnsiTheme="majorHAnsi"/>
          <w:sz w:val="20"/>
          <w:szCs w:val="20"/>
          <w:lang w:val="es-ES"/>
        </w:rPr>
        <w:footnoteReference w:id="174"/>
      </w:r>
      <w:r w:rsidR="00147099" w:rsidRPr="00B14871">
        <w:rPr>
          <w:rFonts w:asciiTheme="majorHAnsi" w:hAnsiTheme="majorHAnsi"/>
          <w:sz w:val="20"/>
          <w:szCs w:val="20"/>
          <w:lang w:val="es-ES"/>
        </w:rPr>
        <w:t xml:space="preserve">. </w:t>
      </w:r>
      <w:r w:rsidR="00342370" w:rsidRPr="00B14871">
        <w:rPr>
          <w:rFonts w:asciiTheme="majorHAnsi" w:hAnsiTheme="majorHAnsi"/>
          <w:sz w:val="20"/>
          <w:szCs w:val="20"/>
          <w:lang w:val="es-ES"/>
        </w:rPr>
        <w:t xml:space="preserve"> Sin embargo, la Comisión observa que dicha decisión de la Corte fue dictada en un caso penal en el cual </w:t>
      </w:r>
      <w:r w:rsidR="0001747A" w:rsidRPr="00B14871">
        <w:rPr>
          <w:rFonts w:asciiTheme="majorHAnsi" w:hAnsiTheme="majorHAnsi"/>
          <w:sz w:val="20"/>
          <w:szCs w:val="20"/>
          <w:lang w:val="es-ES"/>
        </w:rPr>
        <w:t xml:space="preserve">no se garantizó el derecho de recurrir </w:t>
      </w:r>
      <w:r w:rsidR="00C666F9" w:rsidRPr="00B14871">
        <w:rPr>
          <w:rFonts w:asciiTheme="majorHAnsi" w:hAnsiTheme="majorHAnsi"/>
          <w:sz w:val="20"/>
          <w:szCs w:val="20"/>
          <w:lang w:val="es-ES"/>
        </w:rPr>
        <w:t>un fallo condenatorio</w:t>
      </w:r>
      <w:r w:rsidR="0001747A" w:rsidRPr="00B14871">
        <w:rPr>
          <w:rFonts w:asciiTheme="majorHAnsi" w:hAnsiTheme="majorHAnsi"/>
          <w:sz w:val="20"/>
          <w:szCs w:val="20"/>
          <w:lang w:val="es-ES"/>
        </w:rPr>
        <w:t xml:space="preserve">. </w:t>
      </w:r>
      <w:r w:rsidR="00383711" w:rsidRPr="00B14871">
        <w:rPr>
          <w:rFonts w:asciiTheme="majorHAnsi" w:hAnsiTheme="majorHAnsi"/>
          <w:sz w:val="20"/>
          <w:szCs w:val="20"/>
          <w:lang w:val="es-ES"/>
        </w:rPr>
        <w:t>En ese sentido, la Corte consideró que el recurso de queja, “en tan</w:t>
      </w:r>
      <w:r w:rsidR="00A346D4" w:rsidRPr="00B14871">
        <w:rPr>
          <w:rFonts w:asciiTheme="majorHAnsi" w:hAnsiTheme="majorHAnsi"/>
          <w:sz w:val="20"/>
          <w:szCs w:val="20"/>
          <w:lang w:val="es-ES"/>
        </w:rPr>
        <w:t>t</w:t>
      </w:r>
      <w:r w:rsidR="00383711" w:rsidRPr="00B14871">
        <w:rPr>
          <w:rFonts w:asciiTheme="majorHAnsi" w:hAnsiTheme="majorHAnsi"/>
          <w:sz w:val="20"/>
          <w:szCs w:val="20"/>
          <w:lang w:val="es-ES"/>
        </w:rPr>
        <w:t>o salvaguarda de acceso al [recurso ordinario que permitiera un examen de la sentencia condenatoria]” no constituyó en el caso concreto un recurso eficaz para garantizar el derecho a un recurso integral.</w:t>
      </w:r>
      <w:r w:rsidR="002B3F25" w:rsidRPr="00B14871">
        <w:rPr>
          <w:rFonts w:asciiTheme="majorHAnsi" w:hAnsiTheme="majorHAnsi"/>
          <w:sz w:val="20"/>
          <w:szCs w:val="20"/>
          <w:lang w:val="es-ES"/>
        </w:rPr>
        <w:t xml:space="preserve"> </w:t>
      </w:r>
    </w:p>
    <w:p w14:paraId="204B7258" w14:textId="77777777" w:rsidR="00B14871" w:rsidRDefault="00B14871" w:rsidP="00B14871">
      <w:pPr>
        <w:pStyle w:val="ListParagraph"/>
        <w:rPr>
          <w:rFonts w:asciiTheme="majorHAnsi" w:hAnsiTheme="majorHAnsi"/>
          <w:sz w:val="20"/>
          <w:szCs w:val="20"/>
          <w:lang w:val="es-ES"/>
        </w:rPr>
      </w:pPr>
    </w:p>
    <w:p w14:paraId="63A7D03F" w14:textId="77777777" w:rsidR="00B14871" w:rsidRDefault="002B3F25" w:rsidP="00B14871">
      <w:pPr>
        <w:pStyle w:val="BodyTextIndent"/>
        <w:numPr>
          <w:ilvl w:val="0"/>
          <w:numId w:val="8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ind w:left="0" w:firstLine="0"/>
        <w:jc w:val="both"/>
        <w:rPr>
          <w:rFonts w:asciiTheme="majorHAnsi" w:hAnsiTheme="majorHAnsi"/>
          <w:sz w:val="20"/>
          <w:szCs w:val="20"/>
          <w:lang w:val="es-VE"/>
        </w:rPr>
      </w:pPr>
      <w:r w:rsidRPr="00B14871">
        <w:rPr>
          <w:rFonts w:asciiTheme="majorHAnsi" w:hAnsiTheme="majorHAnsi"/>
          <w:sz w:val="20"/>
          <w:szCs w:val="20"/>
          <w:lang w:val="es-ES"/>
        </w:rPr>
        <w:t xml:space="preserve">Esto es, </w:t>
      </w:r>
      <w:r w:rsidR="007D580F" w:rsidRPr="00B14871">
        <w:rPr>
          <w:rFonts w:asciiTheme="majorHAnsi" w:hAnsiTheme="majorHAnsi"/>
          <w:sz w:val="20"/>
          <w:szCs w:val="20"/>
          <w:lang w:val="es-ES"/>
        </w:rPr>
        <w:t xml:space="preserve">en el mencionado caso </w:t>
      </w:r>
      <w:r w:rsidRPr="00B14871">
        <w:rPr>
          <w:rFonts w:asciiTheme="majorHAnsi" w:hAnsiTheme="majorHAnsi"/>
          <w:sz w:val="20"/>
          <w:szCs w:val="20"/>
          <w:lang w:val="es-ES"/>
        </w:rPr>
        <w:t>el recurso extraordinario era el único disponible para impugnar la condena</w:t>
      </w:r>
      <w:r w:rsidR="001E7511" w:rsidRPr="00B14871">
        <w:rPr>
          <w:rFonts w:asciiTheme="majorHAnsi" w:hAnsiTheme="majorHAnsi"/>
          <w:sz w:val="20"/>
          <w:szCs w:val="20"/>
          <w:lang w:val="es-ES"/>
        </w:rPr>
        <w:t xml:space="preserve">, por lo que la </w:t>
      </w:r>
      <w:r w:rsidR="0045416A" w:rsidRPr="00B14871">
        <w:rPr>
          <w:rFonts w:asciiTheme="majorHAnsi" w:hAnsiTheme="majorHAnsi"/>
          <w:sz w:val="20"/>
          <w:szCs w:val="20"/>
          <w:lang w:val="es-ES"/>
        </w:rPr>
        <w:t>referida</w:t>
      </w:r>
      <w:r w:rsidR="001E7511" w:rsidRPr="00B14871">
        <w:rPr>
          <w:rFonts w:asciiTheme="majorHAnsi" w:hAnsiTheme="majorHAnsi"/>
          <w:sz w:val="20"/>
          <w:szCs w:val="20"/>
          <w:lang w:val="es-ES"/>
        </w:rPr>
        <w:t xml:space="preserve"> limitación respecto de la accesibilidad </w:t>
      </w:r>
      <w:r w:rsidR="007D580F" w:rsidRPr="00B14871">
        <w:rPr>
          <w:rFonts w:asciiTheme="majorHAnsi" w:hAnsiTheme="majorHAnsi"/>
          <w:sz w:val="20"/>
          <w:szCs w:val="20"/>
          <w:lang w:val="es-ES"/>
        </w:rPr>
        <w:t>a</w:t>
      </w:r>
      <w:r w:rsidR="001E7511" w:rsidRPr="00B14871">
        <w:rPr>
          <w:rFonts w:asciiTheme="majorHAnsi" w:hAnsiTheme="majorHAnsi"/>
          <w:sz w:val="20"/>
          <w:szCs w:val="20"/>
          <w:lang w:val="es-ES"/>
        </w:rPr>
        <w:t xml:space="preserve">l recurso de queja fue analizada a la luz de las exigencias del artículo 8.2 h) de la Convención, entre las cuales figura la accesibilidad al recurso. Cabe señalar, asimismo, que el artículo 8.2 </w:t>
      </w:r>
      <w:r w:rsidR="007D580F" w:rsidRPr="00B14871">
        <w:rPr>
          <w:rFonts w:asciiTheme="majorHAnsi" w:hAnsiTheme="majorHAnsi"/>
          <w:sz w:val="20"/>
          <w:szCs w:val="20"/>
          <w:lang w:val="es-ES"/>
        </w:rPr>
        <w:t xml:space="preserve">de la Convención </w:t>
      </w:r>
      <w:r w:rsidR="001E7511" w:rsidRPr="00B14871">
        <w:rPr>
          <w:rFonts w:asciiTheme="majorHAnsi" w:hAnsiTheme="majorHAnsi"/>
          <w:sz w:val="20"/>
          <w:szCs w:val="20"/>
          <w:lang w:val="es-ES"/>
        </w:rPr>
        <w:t>aplica</w:t>
      </w:r>
      <w:r w:rsidR="007D580F" w:rsidRPr="00B14871">
        <w:rPr>
          <w:rFonts w:asciiTheme="majorHAnsi" w:hAnsiTheme="majorHAnsi"/>
          <w:sz w:val="20"/>
          <w:szCs w:val="20"/>
          <w:lang w:val="es-ES"/>
        </w:rPr>
        <w:t xml:space="preserve"> exclusivamente</w:t>
      </w:r>
      <w:r w:rsidR="001E7511" w:rsidRPr="00B14871">
        <w:rPr>
          <w:rFonts w:asciiTheme="majorHAnsi" w:hAnsiTheme="majorHAnsi"/>
          <w:sz w:val="20"/>
          <w:szCs w:val="20"/>
          <w:lang w:val="es-ES"/>
        </w:rPr>
        <w:t xml:space="preserve"> a procesos penales</w:t>
      </w:r>
      <w:r w:rsidR="000E55B3" w:rsidRPr="00B14871">
        <w:rPr>
          <w:rFonts w:asciiTheme="majorHAnsi" w:hAnsiTheme="majorHAnsi"/>
          <w:sz w:val="20"/>
          <w:szCs w:val="20"/>
          <w:lang w:val="es-ES"/>
        </w:rPr>
        <w:t xml:space="preserve"> </w:t>
      </w:r>
      <w:r w:rsidR="001E7511" w:rsidRPr="00B14871">
        <w:rPr>
          <w:rFonts w:asciiTheme="majorHAnsi" w:hAnsiTheme="majorHAnsi"/>
          <w:sz w:val="20"/>
          <w:szCs w:val="20"/>
          <w:lang w:val="es-ES"/>
        </w:rPr>
        <w:t>y, por extensión jurisprudencial, a procesos</w:t>
      </w:r>
      <w:r w:rsidR="007D580F" w:rsidRPr="00B14871">
        <w:rPr>
          <w:rFonts w:asciiTheme="majorHAnsi" w:hAnsiTheme="majorHAnsi"/>
          <w:sz w:val="20"/>
          <w:szCs w:val="20"/>
          <w:lang w:val="es-ES"/>
        </w:rPr>
        <w:t xml:space="preserve"> de carácter sancionatorio</w:t>
      </w:r>
      <w:r w:rsidRPr="00B14871">
        <w:rPr>
          <w:rFonts w:asciiTheme="majorHAnsi" w:hAnsiTheme="majorHAnsi"/>
          <w:sz w:val="20"/>
          <w:szCs w:val="20"/>
          <w:lang w:val="es-ES"/>
        </w:rPr>
        <w:t>.</w:t>
      </w:r>
      <w:r w:rsidR="00383711" w:rsidRPr="00B14871">
        <w:rPr>
          <w:rFonts w:asciiTheme="majorHAnsi" w:hAnsiTheme="majorHAnsi"/>
          <w:sz w:val="20"/>
          <w:szCs w:val="20"/>
          <w:lang w:val="es-ES"/>
        </w:rPr>
        <w:t xml:space="preserve"> </w:t>
      </w:r>
    </w:p>
    <w:p w14:paraId="192A6E39" w14:textId="77777777" w:rsidR="00B14871" w:rsidRDefault="00B14871" w:rsidP="00B14871">
      <w:pPr>
        <w:pStyle w:val="ListParagraph"/>
        <w:rPr>
          <w:rFonts w:asciiTheme="majorHAnsi" w:hAnsiTheme="majorHAnsi"/>
          <w:sz w:val="20"/>
          <w:szCs w:val="20"/>
          <w:lang w:val="es-ES"/>
        </w:rPr>
      </w:pPr>
    </w:p>
    <w:p w14:paraId="71DF5DF8" w14:textId="37ECF972" w:rsidR="00A95172" w:rsidRPr="00B14871" w:rsidRDefault="00C666F9" w:rsidP="00B14871">
      <w:pPr>
        <w:pStyle w:val="BodyTextIndent"/>
        <w:numPr>
          <w:ilvl w:val="0"/>
          <w:numId w:val="8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ind w:left="0" w:firstLine="0"/>
        <w:jc w:val="both"/>
        <w:rPr>
          <w:rFonts w:asciiTheme="majorHAnsi" w:hAnsiTheme="majorHAnsi"/>
          <w:sz w:val="20"/>
          <w:szCs w:val="20"/>
          <w:lang w:val="es-VE"/>
        </w:rPr>
      </w:pPr>
      <w:r w:rsidRPr="00B14871">
        <w:rPr>
          <w:rFonts w:asciiTheme="majorHAnsi" w:hAnsiTheme="majorHAnsi"/>
          <w:sz w:val="20"/>
          <w:szCs w:val="20"/>
          <w:lang w:val="es-ES"/>
        </w:rPr>
        <w:t xml:space="preserve">En el presente caso, sin embargo, se trata de un </w:t>
      </w:r>
      <w:r w:rsidR="002B3F25" w:rsidRPr="00B14871">
        <w:rPr>
          <w:rFonts w:asciiTheme="majorHAnsi" w:hAnsiTheme="majorHAnsi"/>
          <w:sz w:val="20"/>
          <w:szCs w:val="20"/>
          <w:lang w:val="es-ES"/>
        </w:rPr>
        <w:t xml:space="preserve">proceso civil </w:t>
      </w:r>
      <w:r w:rsidR="007D580F" w:rsidRPr="00B14871">
        <w:rPr>
          <w:rFonts w:asciiTheme="majorHAnsi" w:hAnsiTheme="majorHAnsi"/>
          <w:sz w:val="20"/>
          <w:szCs w:val="20"/>
          <w:lang w:val="es-ES"/>
        </w:rPr>
        <w:t xml:space="preserve">de daños y perjuicios </w:t>
      </w:r>
      <w:r w:rsidR="002B3F25" w:rsidRPr="00B14871">
        <w:rPr>
          <w:rFonts w:asciiTheme="majorHAnsi" w:hAnsiTheme="majorHAnsi"/>
          <w:sz w:val="20"/>
          <w:szCs w:val="20"/>
          <w:lang w:val="es-ES"/>
        </w:rPr>
        <w:t>en el cual hubo sentencia de primera y segunda instancia. Por lo tanto, la Comisión no considera que la conclusión de la Corte Interamericana respecto del artículo 280 del CPCC</w:t>
      </w:r>
      <w:r w:rsidR="001E7511" w:rsidRPr="00B14871">
        <w:rPr>
          <w:rFonts w:asciiTheme="majorHAnsi" w:hAnsiTheme="majorHAnsi"/>
          <w:sz w:val="20"/>
          <w:szCs w:val="20"/>
          <w:lang w:val="es-ES"/>
        </w:rPr>
        <w:t>N</w:t>
      </w:r>
      <w:r w:rsidR="002B3F25" w:rsidRPr="00B14871">
        <w:rPr>
          <w:rFonts w:asciiTheme="majorHAnsi" w:hAnsiTheme="majorHAnsi"/>
          <w:sz w:val="20"/>
          <w:szCs w:val="20"/>
          <w:lang w:val="es-ES"/>
        </w:rPr>
        <w:t xml:space="preserve"> deba ser aplicada análogamente en un caso de la naturaleza del presente.</w:t>
      </w:r>
      <w:r w:rsidR="00346B34" w:rsidRPr="00B14871">
        <w:rPr>
          <w:rFonts w:asciiTheme="majorHAnsi" w:hAnsiTheme="majorHAnsi"/>
          <w:sz w:val="20"/>
          <w:szCs w:val="20"/>
          <w:lang w:val="es-ES"/>
        </w:rPr>
        <w:t xml:space="preserve"> </w:t>
      </w:r>
    </w:p>
    <w:p w14:paraId="2124D9D3" w14:textId="77777777" w:rsidR="002F3645" w:rsidRPr="0007034B" w:rsidRDefault="002F3645" w:rsidP="004D6618">
      <w:pPr>
        <w:rPr>
          <w:rFonts w:asciiTheme="majorHAnsi" w:eastAsia="Times New Roman" w:hAnsiTheme="majorHAnsi"/>
          <w:sz w:val="20"/>
          <w:szCs w:val="20"/>
          <w:u w:color="000000"/>
          <w:lang w:val="es-CR" w:eastAsia="es-ES"/>
        </w:rPr>
      </w:pPr>
    </w:p>
    <w:p w14:paraId="1DC52854" w14:textId="77777777" w:rsidR="00007918" w:rsidRPr="007E73E1" w:rsidRDefault="00007918" w:rsidP="00F9082E">
      <w:pPr>
        <w:pStyle w:val="Heading2"/>
        <w:jc w:val="both"/>
      </w:pPr>
      <w:bookmarkStart w:id="100" w:name="_Toc6349181"/>
      <w:bookmarkStart w:id="101" w:name="_Toc6466674"/>
      <w:r w:rsidRPr="007E73E1">
        <w:t>Derechos a las garantías judiciales y protección judicial</w:t>
      </w:r>
      <w:r w:rsidR="000742F3" w:rsidRPr="007E73E1">
        <w:t xml:space="preserve"> en materia de </w:t>
      </w:r>
      <w:r w:rsidR="00972424" w:rsidRPr="007E73E1">
        <w:t>reparaciones por</w:t>
      </w:r>
      <w:r w:rsidR="000742F3" w:rsidRPr="007E73E1">
        <w:t xml:space="preserve"> graves violaciones a los derechos humanos</w:t>
      </w:r>
      <w:r w:rsidRPr="007E73E1">
        <w:t xml:space="preserve"> (Artículos 8.1 y 25.1 de la Convención, en relación con su</w:t>
      </w:r>
      <w:r w:rsidR="0035491F" w:rsidRPr="007E73E1">
        <w:t>s</w:t>
      </w:r>
      <w:r w:rsidRPr="007E73E1">
        <w:t xml:space="preserve"> artículos 1.1</w:t>
      </w:r>
      <w:r w:rsidR="0035491F" w:rsidRPr="007E73E1">
        <w:t xml:space="preserve"> y 2</w:t>
      </w:r>
      <w:r w:rsidRPr="007E73E1">
        <w:t>)</w:t>
      </w:r>
      <w:bookmarkEnd w:id="100"/>
      <w:bookmarkEnd w:id="101"/>
    </w:p>
    <w:p w14:paraId="2FA8EC98" w14:textId="77777777" w:rsidR="00337684" w:rsidRPr="0007034B" w:rsidRDefault="00337684" w:rsidP="004D6618">
      <w:pPr>
        <w:rPr>
          <w:rFonts w:asciiTheme="majorHAnsi" w:hAnsiTheme="majorHAnsi"/>
          <w:sz w:val="20"/>
          <w:szCs w:val="20"/>
          <w:lang w:val="es-ES"/>
        </w:rPr>
      </w:pPr>
    </w:p>
    <w:p w14:paraId="7E894108" w14:textId="4BBA0A35" w:rsidR="00972424" w:rsidRPr="007E73E1" w:rsidRDefault="00972424" w:rsidP="00B14871">
      <w:pPr>
        <w:pStyle w:val="Heading3"/>
        <w:numPr>
          <w:ilvl w:val="0"/>
          <w:numId w:val="73"/>
        </w:numPr>
        <w:ind w:hanging="720"/>
      </w:pPr>
      <w:bookmarkStart w:id="102" w:name="_Toc6349182"/>
      <w:bookmarkStart w:id="103" w:name="_Toc6466675"/>
      <w:r w:rsidRPr="007E73E1">
        <w:t xml:space="preserve">Consideraciones generales sobre </w:t>
      </w:r>
      <w:r w:rsidR="00161552" w:rsidRPr="007E73E1">
        <w:t>la imprescriptibilidad de las</w:t>
      </w:r>
      <w:r w:rsidRPr="007E73E1">
        <w:t xml:space="preserve"> acciones civiles relativas a graves violaciones a los derechos humanos</w:t>
      </w:r>
      <w:bookmarkEnd w:id="102"/>
      <w:bookmarkEnd w:id="103"/>
    </w:p>
    <w:p w14:paraId="7290CA7C" w14:textId="77777777" w:rsidR="00972424" w:rsidRPr="0007034B" w:rsidRDefault="00972424" w:rsidP="000711B5">
      <w:pPr>
        <w:ind w:left="1440" w:hanging="720"/>
        <w:rPr>
          <w:rFonts w:asciiTheme="majorHAnsi" w:hAnsiTheme="majorHAnsi"/>
          <w:sz w:val="20"/>
          <w:szCs w:val="20"/>
          <w:lang w:val="es-ES"/>
        </w:rPr>
      </w:pPr>
    </w:p>
    <w:p w14:paraId="68859A22" w14:textId="77777777" w:rsidR="00B14871" w:rsidRDefault="00972424" w:rsidP="00B14871">
      <w:pPr>
        <w:pStyle w:val="BodyTextIndent"/>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ind w:left="0" w:firstLine="0"/>
        <w:jc w:val="both"/>
        <w:rPr>
          <w:rFonts w:asciiTheme="majorHAnsi" w:hAnsiTheme="majorHAnsi"/>
          <w:sz w:val="20"/>
          <w:szCs w:val="20"/>
        </w:rPr>
      </w:pPr>
      <w:r w:rsidRPr="0007034B">
        <w:rPr>
          <w:rFonts w:asciiTheme="majorHAnsi" w:hAnsiTheme="majorHAnsi"/>
          <w:sz w:val="20"/>
          <w:szCs w:val="20"/>
          <w:bdr w:val="none" w:sz="0" w:space="0" w:color="auto"/>
          <w:lang w:val="es-ES"/>
        </w:rPr>
        <w:t>En primer lugar, la Comisión desea resaltar que e</w:t>
      </w:r>
      <w:r w:rsidRPr="0007034B">
        <w:rPr>
          <w:rFonts w:asciiTheme="majorHAnsi" w:hAnsiTheme="majorHAnsi"/>
          <w:sz w:val="20"/>
          <w:szCs w:val="20"/>
          <w:bdr w:val="none" w:sz="0" w:space="0" w:color="auto"/>
        </w:rPr>
        <w:t>l artículo 2 de la Convención Americana implica la adopción de medidas en dos vertientes, a saber: i) la supresión de las normas y prácticas de cualquier naturaleza que entrañen violación a las garantías previstas en la Convención o que desconozcan los derechos allí reconocidos u obstaculicen su ejercicio, y ii) la expedición de normas y el desarrollo de prácticas conducentes a la efectiva observancia de dichas garantías. La obligación de la primera vertiente se incumple mientras la norma o práctica violatoria de la Convención se mantenga en el ordenamiento jurídico y, por ende, se satisface con la modificación, la derogación, o de algún modo anulación, o la reforma de las normas o prácticas que tengan esos alcances, según corresponda.</w:t>
      </w:r>
      <w:r w:rsidRPr="0007034B">
        <w:rPr>
          <w:rStyle w:val="FootnoteReference"/>
          <w:rFonts w:asciiTheme="majorHAnsi" w:hAnsiTheme="majorHAnsi"/>
          <w:sz w:val="20"/>
          <w:szCs w:val="20"/>
          <w:bdr w:val="none" w:sz="0" w:space="0" w:color="auto"/>
        </w:rPr>
        <w:footnoteReference w:id="175"/>
      </w:r>
    </w:p>
    <w:p w14:paraId="34C695D8" w14:textId="77777777" w:rsidR="00B14871" w:rsidRDefault="00B14871" w:rsidP="00B14871">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ind w:left="0" w:firstLine="0"/>
        <w:jc w:val="both"/>
        <w:rPr>
          <w:rFonts w:asciiTheme="majorHAnsi" w:hAnsiTheme="majorHAnsi"/>
          <w:sz w:val="20"/>
          <w:szCs w:val="20"/>
        </w:rPr>
      </w:pPr>
    </w:p>
    <w:p w14:paraId="5A7D6D33" w14:textId="77777777" w:rsidR="00B14871" w:rsidRDefault="00972424" w:rsidP="00B14871">
      <w:pPr>
        <w:pStyle w:val="BodyTextIndent"/>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ind w:left="0" w:firstLine="0"/>
        <w:jc w:val="both"/>
        <w:rPr>
          <w:rFonts w:asciiTheme="majorHAnsi" w:hAnsiTheme="majorHAnsi"/>
          <w:sz w:val="20"/>
          <w:szCs w:val="20"/>
        </w:rPr>
      </w:pPr>
      <w:r w:rsidRPr="00B14871">
        <w:rPr>
          <w:rFonts w:asciiTheme="majorHAnsi" w:hAnsiTheme="majorHAnsi"/>
          <w:sz w:val="20"/>
          <w:szCs w:val="20"/>
        </w:rPr>
        <w:t>La Comisión ha considerado que la aplicación de la figura de la prescripción a acciones civiles derivadas de crímenes de lesa humanidad constituye una restricción desproporcional en la posibilidad de obtener una reparación. Ello, dado que si bien el principio de seguridad jurídica busca coadyuvar al orden público, el derecho a un recurso judicial para obtener una reparación por crímenes de lesa humanidad no va en desmedro de este principio, sino que lo fortalece y contribuye a su optimización.</w:t>
      </w:r>
      <w:r w:rsidRPr="00B14871">
        <w:rPr>
          <w:rFonts w:asciiTheme="majorHAnsi" w:hAnsiTheme="majorHAnsi"/>
          <w:sz w:val="20"/>
          <w:szCs w:val="20"/>
          <w:lang w:val="es-ES"/>
        </w:rPr>
        <w:t xml:space="preserve"> </w:t>
      </w:r>
      <w:r w:rsidRPr="00B14871">
        <w:rPr>
          <w:rFonts w:asciiTheme="majorHAnsi" w:hAnsiTheme="majorHAnsi"/>
          <w:sz w:val="20"/>
          <w:szCs w:val="20"/>
        </w:rPr>
        <w:t>Además, las reparaciones de crímenes de lesa humanidad, por la gravedad de tales crímenes y su impacto en la sociedad que trasciende a los individuos, debe atribuírsele un mayor peso frente al atribuido a la seguridad jurídica</w:t>
      </w:r>
      <w:r w:rsidRPr="0007034B">
        <w:rPr>
          <w:rStyle w:val="FootnoteReference"/>
          <w:rFonts w:asciiTheme="majorHAnsi" w:hAnsiTheme="majorHAnsi"/>
          <w:sz w:val="20"/>
          <w:szCs w:val="20"/>
        </w:rPr>
        <w:footnoteReference w:id="176"/>
      </w:r>
      <w:r w:rsidRPr="00B14871">
        <w:rPr>
          <w:rFonts w:asciiTheme="majorHAnsi" w:hAnsiTheme="majorHAnsi"/>
          <w:sz w:val="20"/>
          <w:szCs w:val="20"/>
        </w:rPr>
        <w:t>.</w:t>
      </w:r>
    </w:p>
    <w:p w14:paraId="78C379D2" w14:textId="77777777" w:rsidR="00B14871" w:rsidRPr="00B14871" w:rsidRDefault="00B14871" w:rsidP="00B14871">
      <w:pPr>
        <w:pStyle w:val="ListParagraph"/>
        <w:rPr>
          <w:rFonts w:asciiTheme="majorHAnsi" w:hAnsiTheme="majorHAnsi"/>
          <w:sz w:val="20"/>
          <w:szCs w:val="20"/>
          <w:lang w:val="es-ES"/>
        </w:rPr>
      </w:pPr>
    </w:p>
    <w:p w14:paraId="229FE526" w14:textId="18D32F1F" w:rsidR="00972424" w:rsidRPr="00B14871" w:rsidRDefault="00972424" w:rsidP="00B14871">
      <w:pPr>
        <w:pStyle w:val="BodyTextIndent"/>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ind w:left="0" w:firstLine="0"/>
        <w:jc w:val="both"/>
        <w:rPr>
          <w:rFonts w:asciiTheme="majorHAnsi" w:hAnsiTheme="majorHAnsi"/>
          <w:sz w:val="20"/>
          <w:szCs w:val="20"/>
        </w:rPr>
      </w:pPr>
      <w:r w:rsidRPr="00B14871">
        <w:rPr>
          <w:rFonts w:asciiTheme="majorHAnsi" w:hAnsiTheme="majorHAnsi"/>
          <w:sz w:val="20"/>
          <w:szCs w:val="20"/>
        </w:rPr>
        <w:t>La razón de ser de la inconvencionalidad de aplicar la figura de prescripción de la acción penal en este tipo de casos se relaciona con el carácter fundamental que tiene el esclarecimiento de los hechos y la obtención de justicia para las víctimas. Por ello, la Comisión ha sostenido que no encuentra razones para aplicar un estándar distinto a un aspecto igualmente fundamental como es la reparación en estos casos, por lo cual las acciones judiciales de reparación del daño causado por graves violaciones de derechos humanos no deberían estar sujetas a prescripción</w:t>
      </w:r>
      <w:r w:rsidRPr="0007034B">
        <w:rPr>
          <w:rStyle w:val="FootnoteReference"/>
          <w:rFonts w:asciiTheme="majorHAnsi" w:hAnsiTheme="majorHAnsi"/>
          <w:sz w:val="20"/>
          <w:szCs w:val="20"/>
        </w:rPr>
        <w:footnoteReference w:id="177"/>
      </w:r>
      <w:r w:rsidR="009C3ED4" w:rsidRPr="00B14871">
        <w:rPr>
          <w:rFonts w:asciiTheme="majorHAnsi" w:hAnsiTheme="majorHAnsi"/>
          <w:sz w:val="20"/>
          <w:szCs w:val="20"/>
        </w:rPr>
        <w:t>.</w:t>
      </w:r>
      <w:r w:rsidRPr="00B14871">
        <w:rPr>
          <w:rFonts w:asciiTheme="majorHAnsi" w:hAnsiTheme="majorHAnsi"/>
          <w:sz w:val="20"/>
          <w:szCs w:val="20"/>
        </w:rPr>
        <w:t xml:space="preserve"> En igual sentido ha fallado la Corte Interamericana al considerar que </w:t>
      </w:r>
      <w:r w:rsidRPr="00B14871">
        <w:rPr>
          <w:rFonts w:asciiTheme="majorHAnsi" w:hAnsiTheme="majorHAnsi"/>
          <w:sz w:val="20"/>
          <w:szCs w:val="20"/>
        </w:rPr>
        <w:lastRenderedPageBreak/>
        <w:t>“en la medida en que los hechos que dieron origen a las acciones civiles de reparación de daños han sido calificados como crímenes contra la humanidad, tales acciones no deberían ser objeto de prescripción”</w:t>
      </w:r>
      <w:r w:rsidRPr="0007034B">
        <w:rPr>
          <w:rStyle w:val="FootnoteReference"/>
          <w:rFonts w:asciiTheme="majorHAnsi" w:hAnsiTheme="majorHAnsi"/>
          <w:sz w:val="20"/>
          <w:szCs w:val="20"/>
        </w:rPr>
        <w:footnoteReference w:id="178"/>
      </w:r>
      <w:r w:rsidRPr="00B14871">
        <w:rPr>
          <w:rFonts w:asciiTheme="majorHAnsi" w:hAnsiTheme="majorHAnsi"/>
          <w:sz w:val="20"/>
          <w:szCs w:val="20"/>
        </w:rPr>
        <w:t xml:space="preserve">. </w:t>
      </w:r>
    </w:p>
    <w:p w14:paraId="6B26A6C3" w14:textId="77777777" w:rsidR="00972424" w:rsidRPr="0007034B" w:rsidRDefault="00972424" w:rsidP="00972424">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rPr>
      </w:pPr>
    </w:p>
    <w:p w14:paraId="44D87D60" w14:textId="283DCC01" w:rsidR="00972424" w:rsidRPr="007E73E1" w:rsidRDefault="00161552" w:rsidP="007E73E1">
      <w:pPr>
        <w:pStyle w:val="Heading3"/>
      </w:pPr>
      <w:bookmarkStart w:id="104" w:name="_Toc6349183"/>
      <w:bookmarkStart w:id="105" w:name="_Toc6466676"/>
      <w:r w:rsidRPr="007E73E1">
        <w:t>Análisis del caso</w:t>
      </w:r>
      <w:bookmarkEnd w:id="104"/>
      <w:bookmarkEnd w:id="105"/>
    </w:p>
    <w:p w14:paraId="404EB380" w14:textId="77777777" w:rsidR="00972424" w:rsidRPr="0007034B" w:rsidRDefault="00972424" w:rsidP="00972424">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rPr>
      </w:pPr>
    </w:p>
    <w:p w14:paraId="60A47636" w14:textId="77777777" w:rsidR="00B14871" w:rsidRDefault="00210F7C" w:rsidP="00B14871">
      <w:pPr>
        <w:pStyle w:val="BodyTextIndent"/>
        <w:numPr>
          <w:ilvl w:val="0"/>
          <w:numId w:val="83"/>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rPr>
      </w:pPr>
      <w:r w:rsidRPr="0007034B">
        <w:rPr>
          <w:rFonts w:asciiTheme="majorHAnsi" w:hAnsiTheme="majorHAnsi"/>
          <w:color w:val="000000" w:themeColor="text1"/>
          <w:sz w:val="20"/>
          <w:szCs w:val="20"/>
          <w:lang w:val="es-VE"/>
        </w:rPr>
        <w:t xml:space="preserve">De acuerdo a los hechos probados, el 9 de junio de 1996 los hermanos Larrabeiti Yáñez presentaron una demanda civil contra el Estado Nacional por los daños causados a ellos y a su madre y padre biológicos.  El 15 de octubre de 2002 el Juzgado de Primera Instancia en lo Contencioso Administrativo Federal condenó al Estado Nacional al pago de US$ 600.000 en concepto de daños y perjuicios. La sentencia estableció que el hecho generador del daño nunca concluyó por tratarse de una desaparición forzada. </w:t>
      </w:r>
    </w:p>
    <w:p w14:paraId="6411E96C" w14:textId="77777777" w:rsidR="00B14871" w:rsidRDefault="00B14871" w:rsidP="00B14871">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rPr>
      </w:pPr>
    </w:p>
    <w:p w14:paraId="6981FD24" w14:textId="77777777" w:rsidR="00B14871" w:rsidRDefault="00210F7C" w:rsidP="00B14871">
      <w:pPr>
        <w:pStyle w:val="BodyTextIndent"/>
        <w:numPr>
          <w:ilvl w:val="0"/>
          <w:numId w:val="83"/>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rPr>
      </w:pPr>
      <w:r w:rsidRPr="00B14871">
        <w:rPr>
          <w:rFonts w:asciiTheme="majorHAnsi" w:hAnsiTheme="majorHAnsi"/>
          <w:color w:val="000000" w:themeColor="text1"/>
          <w:sz w:val="20"/>
          <w:szCs w:val="20"/>
          <w:lang w:val="es-VE"/>
        </w:rPr>
        <w:t xml:space="preserve">En segunda instancia, el 4 de noviembre de 2004 la Sala III de la Cámara Federal en lo Contencioso Administrativo admitió parcialmente la demanda a favor de Victoria Larrabeiti Yáñez y declaró </w:t>
      </w:r>
      <w:r w:rsidR="002336C3" w:rsidRPr="00B14871">
        <w:rPr>
          <w:rFonts w:asciiTheme="majorHAnsi" w:hAnsiTheme="majorHAnsi"/>
          <w:color w:val="000000" w:themeColor="text1"/>
          <w:sz w:val="20"/>
          <w:szCs w:val="20"/>
          <w:lang w:val="es-VE"/>
        </w:rPr>
        <w:t>la prescripci</w:t>
      </w:r>
      <w:r w:rsidR="002336C3" w:rsidRPr="00B14871">
        <w:rPr>
          <w:rFonts w:asciiTheme="majorHAnsi" w:hAnsiTheme="majorHAnsi"/>
          <w:color w:val="000000" w:themeColor="text1"/>
          <w:sz w:val="20"/>
          <w:szCs w:val="20"/>
          <w:lang w:val="es-CO"/>
        </w:rPr>
        <w:t xml:space="preserve">ón de </w:t>
      </w:r>
      <w:r w:rsidRPr="00B14871">
        <w:rPr>
          <w:rFonts w:asciiTheme="majorHAnsi" w:hAnsiTheme="majorHAnsi"/>
          <w:color w:val="000000" w:themeColor="text1"/>
          <w:sz w:val="20"/>
          <w:szCs w:val="20"/>
          <w:lang w:val="es-VE"/>
        </w:rPr>
        <w:t xml:space="preserve">la acción respecto de su hermano por haber transcurrido el plazo de dos años desde que adquirió la mayoría de edad. </w:t>
      </w:r>
      <w:r w:rsidR="00E93714" w:rsidRPr="00B14871">
        <w:rPr>
          <w:rFonts w:asciiTheme="majorHAnsi" w:hAnsiTheme="majorHAnsi"/>
          <w:sz w:val="20"/>
          <w:szCs w:val="20"/>
        </w:rPr>
        <w:t xml:space="preserve">El 30 de octubre de 2007 la </w:t>
      </w:r>
      <w:r w:rsidRPr="00B14871">
        <w:rPr>
          <w:rFonts w:asciiTheme="majorHAnsi" w:hAnsiTheme="majorHAnsi"/>
          <w:sz w:val="20"/>
          <w:szCs w:val="20"/>
        </w:rPr>
        <w:t>C</w:t>
      </w:r>
      <w:r w:rsidR="00E93714" w:rsidRPr="00B14871">
        <w:rPr>
          <w:rFonts w:asciiTheme="majorHAnsi" w:hAnsiTheme="majorHAnsi"/>
          <w:sz w:val="20"/>
          <w:szCs w:val="20"/>
        </w:rPr>
        <w:t>S</w:t>
      </w:r>
      <w:r w:rsidRPr="00B14871">
        <w:rPr>
          <w:rFonts w:asciiTheme="majorHAnsi" w:hAnsiTheme="majorHAnsi"/>
          <w:sz w:val="20"/>
          <w:szCs w:val="20"/>
        </w:rPr>
        <w:t xml:space="preserve">JN hizo lugar al recurso ordinario interpuesto por el Estado Nacional contra la sentencia de segunda instancia, declarando prescripta la acción respecto de ambos hermanos. La Corte consideró que los padres adoptivos deberían haber deducido la demanda </w:t>
      </w:r>
      <w:r w:rsidR="00DB1FF1" w:rsidRPr="00B14871">
        <w:rPr>
          <w:rFonts w:asciiTheme="majorHAnsi" w:hAnsiTheme="majorHAnsi"/>
          <w:sz w:val="20"/>
          <w:szCs w:val="20"/>
        </w:rPr>
        <w:t>al menos</w:t>
      </w:r>
      <w:r w:rsidR="000655CA" w:rsidRPr="00B14871">
        <w:rPr>
          <w:rFonts w:asciiTheme="majorHAnsi" w:hAnsiTheme="majorHAnsi"/>
          <w:sz w:val="20"/>
          <w:szCs w:val="20"/>
        </w:rPr>
        <w:t>,</w:t>
      </w:r>
      <w:r w:rsidR="00DB1FF1" w:rsidRPr="00B14871">
        <w:rPr>
          <w:rFonts w:asciiTheme="majorHAnsi" w:hAnsiTheme="majorHAnsi"/>
          <w:sz w:val="20"/>
          <w:szCs w:val="20"/>
        </w:rPr>
        <w:t xml:space="preserve"> a partir de la publicación en el año 1986 d</w:t>
      </w:r>
      <w:r w:rsidRPr="00B14871">
        <w:rPr>
          <w:rFonts w:asciiTheme="majorHAnsi" w:hAnsiTheme="majorHAnsi"/>
          <w:sz w:val="20"/>
          <w:szCs w:val="20"/>
        </w:rPr>
        <w:t xml:space="preserve">el informe final elaborado por la </w:t>
      </w:r>
      <w:r w:rsidR="00DB1FF1" w:rsidRPr="00B14871">
        <w:rPr>
          <w:rFonts w:asciiTheme="majorHAnsi" w:hAnsiTheme="majorHAnsi"/>
          <w:sz w:val="20"/>
          <w:szCs w:val="20"/>
        </w:rPr>
        <w:t>CONADEP</w:t>
      </w:r>
      <w:r w:rsidRPr="00B14871">
        <w:rPr>
          <w:rFonts w:asciiTheme="majorHAnsi" w:hAnsiTheme="majorHAnsi"/>
          <w:sz w:val="20"/>
          <w:szCs w:val="20"/>
        </w:rPr>
        <w:t>, en cuyo anexo figura</w:t>
      </w:r>
      <w:r w:rsidR="00DB1FF1" w:rsidRPr="00B14871">
        <w:rPr>
          <w:rFonts w:asciiTheme="majorHAnsi" w:hAnsiTheme="majorHAnsi"/>
          <w:sz w:val="20"/>
          <w:szCs w:val="20"/>
        </w:rPr>
        <w:t>n</w:t>
      </w:r>
      <w:r w:rsidRPr="00B14871">
        <w:rPr>
          <w:rFonts w:asciiTheme="majorHAnsi" w:hAnsiTheme="majorHAnsi"/>
          <w:sz w:val="20"/>
          <w:szCs w:val="20"/>
        </w:rPr>
        <w:t xml:space="preserve"> los números de legajo correspondientes a los padres biológicos. La sentencia estableció asimismo que</w:t>
      </w:r>
      <w:r w:rsidR="00C50D7E" w:rsidRPr="00B14871">
        <w:rPr>
          <w:rFonts w:asciiTheme="majorHAnsi" w:hAnsiTheme="majorHAnsi"/>
          <w:sz w:val="20"/>
          <w:szCs w:val="20"/>
        </w:rPr>
        <w:t xml:space="preserve"> aplica la prescripción respecto de las acciones civiles </w:t>
      </w:r>
      <w:r w:rsidR="004B6D82" w:rsidRPr="00B14871">
        <w:rPr>
          <w:rFonts w:asciiTheme="majorHAnsi" w:hAnsiTheme="majorHAnsi"/>
          <w:sz w:val="20"/>
          <w:szCs w:val="20"/>
        </w:rPr>
        <w:t>derivadas de</w:t>
      </w:r>
      <w:r w:rsidR="00C50D7E" w:rsidRPr="00B14871">
        <w:rPr>
          <w:rFonts w:asciiTheme="majorHAnsi" w:hAnsiTheme="majorHAnsi"/>
          <w:sz w:val="20"/>
          <w:szCs w:val="20"/>
        </w:rPr>
        <w:t xml:space="preserve"> delitos de lesa humanidad</w:t>
      </w:r>
      <w:r w:rsidR="00DB1FF1" w:rsidRPr="00B14871">
        <w:rPr>
          <w:rFonts w:asciiTheme="majorHAnsi" w:hAnsiTheme="majorHAnsi"/>
          <w:sz w:val="20"/>
          <w:szCs w:val="20"/>
        </w:rPr>
        <w:t>,</w:t>
      </w:r>
      <w:r w:rsidR="00C50D7E" w:rsidRPr="00B14871">
        <w:rPr>
          <w:rFonts w:asciiTheme="majorHAnsi" w:hAnsiTheme="majorHAnsi"/>
          <w:sz w:val="20"/>
          <w:szCs w:val="20"/>
        </w:rPr>
        <w:t xml:space="preserve"> ya que atañen a una materia disponible y renunciable. </w:t>
      </w:r>
    </w:p>
    <w:p w14:paraId="3BDC8601" w14:textId="77777777" w:rsidR="00B14871" w:rsidRPr="00B14871" w:rsidRDefault="00B14871" w:rsidP="00B14871">
      <w:pPr>
        <w:pStyle w:val="ListParagraph"/>
        <w:rPr>
          <w:rFonts w:asciiTheme="majorHAnsi" w:hAnsiTheme="majorHAnsi"/>
          <w:sz w:val="20"/>
          <w:szCs w:val="20"/>
          <w:lang w:val="es-ES"/>
        </w:rPr>
      </w:pPr>
    </w:p>
    <w:p w14:paraId="612DB73E" w14:textId="77777777" w:rsidR="00B14871" w:rsidRDefault="00DB1FF1" w:rsidP="00B14871">
      <w:pPr>
        <w:pStyle w:val="BodyTextIndent"/>
        <w:numPr>
          <w:ilvl w:val="0"/>
          <w:numId w:val="83"/>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rPr>
      </w:pPr>
      <w:r w:rsidRPr="00B14871">
        <w:rPr>
          <w:rFonts w:asciiTheme="majorHAnsi" w:hAnsiTheme="majorHAnsi"/>
          <w:sz w:val="20"/>
          <w:szCs w:val="20"/>
        </w:rPr>
        <w:t>La Comisión observa que el artículo 2561 del Código Civil aprobado en 2015</w:t>
      </w:r>
      <w:r w:rsidR="004B6D82" w:rsidRPr="00B14871">
        <w:rPr>
          <w:rFonts w:asciiTheme="majorHAnsi" w:hAnsiTheme="majorHAnsi"/>
          <w:sz w:val="20"/>
          <w:szCs w:val="20"/>
        </w:rPr>
        <w:t xml:space="preserve"> estableció la imprescriptibilidad de las acciones civiles derivadas de delitos de lesa humanidad.</w:t>
      </w:r>
      <w:r w:rsidR="000655CA" w:rsidRPr="00B14871">
        <w:rPr>
          <w:rFonts w:asciiTheme="majorHAnsi" w:hAnsiTheme="majorHAnsi"/>
          <w:sz w:val="20"/>
          <w:szCs w:val="20"/>
        </w:rPr>
        <w:t xml:space="preserve"> Sin embargo, de acuerdo a la información disponible, </w:t>
      </w:r>
      <w:r w:rsidR="00210F7C" w:rsidRPr="00B14871">
        <w:rPr>
          <w:rFonts w:asciiTheme="majorHAnsi" w:hAnsiTheme="majorHAnsi"/>
          <w:sz w:val="20"/>
          <w:szCs w:val="20"/>
        </w:rPr>
        <w:t xml:space="preserve">a la fecha el criterio jurisprudencial de la SCJN es que </w:t>
      </w:r>
      <w:r w:rsidR="000655CA" w:rsidRPr="00B14871">
        <w:rPr>
          <w:rFonts w:asciiTheme="majorHAnsi" w:hAnsiTheme="majorHAnsi"/>
          <w:sz w:val="20"/>
          <w:szCs w:val="20"/>
        </w:rPr>
        <w:t xml:space="preserve">dicha </w:t>
      </w:r>
      <w:r w:rsidR="00210F7C" w:rsidRPr="00B14871">
        <w:rPr>
          <w:rFonts w:asciiTheme="majorHAnsi" w:hAnsiTheme="majorHAnsi"/>
          <w:sz w:val="20"/>
          <w:szCs w:val="20"/>
        </w:rPr>
        <w:t xml:space="preserve">imprescriptibilidad no rige para los casos de desapariciones forzadas ocurridas durante la dictadura, toda vez que el artículo 2537 de dicho Código </w:t>
      </w:r>
      <w:r w:rsidR="000655CA" w:rsidRPr="00B14871">
        <w:rPr>
          <w:rFonts w:asciiTheme="majorHAnsi" w:hAnsiTheme="majorHAnsi"/>
          <w:sz w:val="20"/>
          <w:szCs w:val="20"/>
        </w:rPr>
        <w:t>establece</w:t>
      </w:r>
      <w:r w:rsidR="00210F7C" w:rsidRPr="00B14871">
        <w:rPr>
          <w:rFonts w:asciiTheme="majorHAnsi" w:hAnsiTheme="majorHAnsi"/>
          <w:sz w:val="20"/>
          <w:szCs w:val="20"/>
        </w:rPr>
        <w:t xml:space="preserve"> que los plazos de prescripción en curso al momento de la entrada en vigencia del Código se rigen por la ley anterior.</w:t>
      </w:r>
      <w:r w:rsidR="000655CA" w:rsidRPr="00B14871">
        <w:rPr>
          <w:rFonts w:asciiTheme="majorHAnsi" w:hAnsiTheme="majorHAnsi"/>
          <w:sz w:val="20"/>
          <w:szCs w:val="20"/>
        </w:rPr>
        <w:t xml:space="preserve"> Como se indicó en la sección relativa al establecimiento de los hechos, de acuerdo a dicha interpretación, </w:t>
      </w:r>
      <w:r w:rsidR="00210F7C" w:rsidRPr="00B14871">
        <w:rPr>
          <w:rFonts w:asciiTheme="majorHAnsi" w:hAnsiTheme="majorHAnsi"/>
          <w:sz w:val="20"/>
          <w:szCs w:val="20"/>
        </w:rPr>
        <w:t>“el punto de arranque del curso de la prescripción puede situarse –entre otras posibilidades- en la fecha en que, mediante una sentencia judicial, se determine el fallecimiento presunto de la víctima del delito”.</w:t>
      </w:r>
    </w:p>
    <w:p w14:paraId="54888169" w14:textId="77777777" w:rsidR="00B14871" w:rsidRPr="00B14871" w:rsidRDefault="00B14871" w:rsidP="00B14871">
      <w:pPr>
        <w:pStyle w:val="ListParagraph"/>
        <w:rPr>
          <w:rFonts w:asciiTheme="majorHAnsi" w:hAnsiTheme="majorHAnsi"/>
          <w:sz w:val="20"/>
          <w:szCs w:val="20"/>
          <w:lang w:val="es-ES"/>
        </w:rPr>
      </w:pPr>
    </w:p>
    <w:p w14:paraId="0C4CB921" w14:textId="77777777" w:rsidR="00B14871" w:rsidRDefault="000655CA" w:rsidP="00B14871">
      <w:pPr>
        <w:pStyle w:val="BodyTextIndent"/>
        <w:numPr>
          <w:ilvl w:val="0"/>
          <w:numId w:val="83"/>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rPr>
      </w:pPr>
      <w:r w:rsidRPr="00B14871">
        <w:rPr>
          <w:rFonts w:asciiTheme="majorHAnsi" w:hAnsiTheme="majorHAnsi"/>
          <w:sz w:val="20"/>
          <w:szCs w:val="20"/>
        </w:rPr>
        <w:t xml:space="preserve">Por lo tanto, </w:t>
      </w:r>
      <w:r w:rsidR="007226AC" w:rsidRPr="00B14871">
        <w:rPr>
          <w:rFonts w:asciiTheme="majorHAnsi" w:hAnsiTheme="majorHAnsi"/>
          <w:sz w:val="20"/>
          <w:szCs w:val="20"/>
        </w:rPr>
        <w:t>t</w:t>
      </w:r>
      <w:r w:rsidR="00F20D5D" w:rsidRPr="00B14871">
        <w:rPr>
          <w:rFonts w:asciiTheme="majorHAnsi" w:hAnsiTheme="majorHAnsi"/>
          <w:sz w:val="20"/>
          <w:szCs w:val="20"/>
          <w:bdr w:val="none" w:sz="0" w:space="0" w:color="auto"/>
        </w:rPr>
        <w:t xml:space="preserve">omando en cuenta </w:t>
      </w:r>
      <w:r w:rsidR="007226AC" w:rsidRPr="00B14871">
        <w:rPr>
          <w:rFonts w:asciiTheme="majorHAnsi" w:hAnsiTheme="majorHAnsi"/>
          <w:sz w:val="20"/>
          <w:szCs w:val="20"/>
        </w:rPr>
        <w:t>los mencionados estándares interamericanos en la materia</w:t>
      </w:r>
      <w:r w:rsidR="00F20D5D" w:rsidRPr="00B14871">
        <w:rPr>
          <w:rFonts w:asciiTheme="majorHAnsi" w:hAnsiTheme="majorHAnsi"/>
          <w:sz w:val="20"/>
          <w:szCs w:val="20"/>
          <w:bdr w:val="none" w:sz="0" w:space="0" w:color="auto"/>
        </w:rPr>
        <w:t xml:space="preserve">, la Comisión considera que existe claridad sobre la inconvencionalidad de la aplicación de la figura de prescripción de la acción </w:t>
      </w:r>
      <w:r w:rsidR="005E7482" w:rsidRPr="00B14871">
        <w:rPr>
          <w:rFonts w:asciiTheme="majorHAnsi" w:hAnsiTheme="majorHAnsi"/>
          <w:sz w:val="20"/>
          <w:szCs w:val="20"/>
          <w:bdr w:val="none" w:sz="0" w:space="0" w:color="auto"/>
        </w:rPr>
        <w:t>civil</w:t>
      </w:r>
      <w:r w:rsidR="00F20D5D" w:rsidRPr="00B14871">
        <w:rPr>
          <w:rFonts w:asciiTheme="majorHAnsi" w:hAnsiTheme="majorHAnsi"/>
          <w:sz w:val="20"/>
          <w:szCs w:val="20"/>
          <w:bdr w:val="none" w:sz="0" w:space="0" w:color="auto"/>
        </w:rPr>
        <w:t xml:space="preserve"> en casos de graves violaciones de derechos humanos.</w:t>
      </w:r>
      <w:r w:rsidR="00CE2252" w:rsidRPr="00B14871">
        <w:rPr>
          <w:rFonts w:asciiTheme="majorHAnsi" w:hAnsiTheme="majorHAnsi"/>
          <w:sz w:val="20"/>
          <w:szCs w:val="20"/>
          <w:bdr w:val="none" w:sz="0" w:space="0" w:color="auto"/>
        </w:rPr>
        <w:t xml:space="preserve"> Por otra parte, además del carácter imprescriptible de los hechos del presente caso por tratarse de graves violaciones, la Comisión nota que, al ser la desaparición forzada de carácter continuad</w:t>
      </w:r>
      <w:r w:rsidR="005E7482" w:rsidRPr="00B14871">
        <w:rPr>
          <w:rFonts w:asciiTheme="majorHAnsi" w:hAnsiTheme="majorHAnsi"/>
          <w:sz w:val="20"/>
          <w:szCs w:val="20"/>
          <w:bdr w:val="none" w:sz="0" w:space="0" w:color="auto"/>
        </w:rPr>
        <w:t>o</w:t>
      </w:r>
      <w:r w:rsidR="00CE2252" w:rsidRPr="00B14871">
        <w:rPr>
          <w:rFonts w:asciiTheme="majorHAnsi" w:hAnsiTheme="majorHAnsi"/>
          <w:sz w:val="20"/>
          <w:szCs w:val="20"/>
          <w:bdr w:val="none" w:sz="0" w:space="0" w:color="auto"/>
        </w:rPr>
        <w:t>, no existe un punto a partir del cual se pueda iniciar el cómputo del plazo de prescripción</w:t>
      </w:r>
      <w:r w:rsidR="00543007" w:rsidRPr="00B14871">
        <w:rPr>
          <w:rFonts w:asciiTheme="majorHAnsi" w:hAnsiTheme="majorHAnsi"/>
          <w:sz w:val="20"/>
          <w:szCs w:val="20"/>
          <w:bdr w:val="none" w:sz="0" w:space="0" w:color="auto"/>
        </w:rPr>
        <w:t xml:space="preserve"> </w:t>
      </w:r>
      <w:r w:rsidR="002B32A9" w:rsidRPr="00B14871">
        <w:rPr>
          <w:rFonts w:asciiTheme="majorHAnsi" w:hAnsiTheme="majorHAnsi"/>
          <w:sz w:val="20"/>
          <w:szCs w:val="20"/>
          <w:bdr w:val="none" w:sz="0" w:space="0" w:color="auto"/>
        </w:rPr>
        <w:t>dado que</w:t>
      </w:r>
      <w:r w:rsidR="00543007" w:rsidRPr="00B14871">
        <w:rPr>
          <w:rFonts w:asciiTheme="majorHAnsi" w:hAnsiTheme="majorHAnsi"/>
          <w:sz w:val="20"/>
          <w:szCs w:val="20"/>
          <w:bdr w:val="none" w:sz="0" w:space="0" w:color="auto"/>
        </w:rPr>
        <w:t xml:space="preserve"> la declaración de muerte presunta</w:t>
      </w:r>
      <w:r w:rsidR="00744CC5" w:rsidRPr="00B14871">
        <w:rPr>
          <w:rFonts w:asciiTheme="majorHAnsi" w:hAnsiTheme="majorHAnsi"/>
          <w:sz w:val="20"/>
          <w:szCs w:val="20"/>
          <w:bdr w:val="none" w:sz="0" w:space="0" w:color="auto"/>
        </w:rPr>
        <w:t>, a diferencia del</w:t>
      </w:r>
      <w:r w:rsidR="00972343" w:rsidRPr="00B14871">
        <w:rPr>
          <w:rFonts w:asciiTheme="majorHAnsi" w:hAnsiTheme="majorHAnsi"/>
          <w:sz w:val="20"/>
          <w:szCs w:val="20"/>
          <w:bdr w:val="none" w:sz="0" w:space="0" w:color="auto"/>
        </w:rPr>
        <w:t xml:space="preserve"> criterio aplicado </w:t>
      </w:r>
      <w:r w:rsidR="00744CC5" w:rsidRPr="00B14871">
        <w:rPr>
          <w:rFonts w:asciiTheme="majorHAnsi" w:hAnsiTheme="majorHAnsi"/>
          <w:sz w:val="20"/>
          <w:szCs w:val="20"/>
          <w:bdr w:val="none" w:sz="0" w:space="0" w:color="auto"/>
        </w:rPr>
        <w:t>por la CSJN</w:t>
      </w:r>
      <w:r w:rsidR="00972343" w:rsidRPr="00B14871">
        <w:rPr>
          <w:rFonts w:asciiTheme="majorHAnsi" w:hAnsiTheme="majorHAnsi"/>
          <w:sz w:val="20"/>
          <w:szCs w:val="20"/>
          <w:bdr w:val="none" w:sz="0" w:space="0" w:color="auto"/>
        </w:rPr>
        <w:t xml:space="preserve"> en su jurisprudencia</w:t>
      </w:r>
      <w:r w:rsidR="00744CC5" w:rsidRPr="00B14871">
        <w:rPr>
          <w:rFonts w:asciiTheme="majorHAnsi" w:hAnsiTheme="majorHAnsi"/>
          <w:sz w:val="20"/>
          <w:szCs w:val="20"/>
          <w:bdr w:val="none" w:sz="0" w:space="0" w:color="auto"/>
        </w:rPr>
        <w:t>,</w:t>
      </w:r>
      <w:r w:rsidR="00543007" w:rsidRPr="00B14871">
        <w:rPr>
          <w:rFonts w:asciiTheme="majorHAnsi" w:hAnsiTheme="majorHAnsi"/>
          <w:sz w:val="20"/>
          <w:szCs w:val="20"/>
          <w:bdr w:val="none" w:sz="0" w:space="0" w:color="auto"/>
        </w:rPr>
        <w:t xml:space="preserve"> no hace cesar el delito.</w:t>
      </w:r>
    </w:p>
    <w:p w14:paraId="619027A5" w14:textId="77777777" w:rsidR="00B14871" w:rsidRPr="00B14871" w:rsidRDefault="00B14871" w:rsidP="00B14871">
      <w:pPr>
        <w:pStyle w:val="ListParagraph"/>
        <w:rPr>
          <w:rFonts w:asciiTheme="majorHAnsi" w:hAnsiTheme="majorHAnsi"/>
          <w:sz w:val="20"/>
          <w:szCs w:val="20"/>
          <w:lang w:val="es-ES"/>
        </w:rPr>
      </w:pPr>
    </w:p>
    <w:p w14:paraId="3401DE83" w14:textId="7B971472" w:rsidR="003123C8" w:rsidRPr="00B14871" w:rsidRDefault="00CC1374" w:rsidP="00B14871">
      <w:pPr>
        <w:pStyle w:val="BodyTextIndent"/>
        <w:numPr>
          <w:ilvl w:val="0"/>
          <w:numId w:val="83"/>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rPr>
      </w:pPr>
      <w:r w:rsidRPr="00B14871">
        <w:rPr>
          <w:rFonts w:asciiTheme="majorHAnsi" w:hAnsiTheme="majorHAnsi"/>
          <w:sz w:val="20"/>
          <w:szCs w:val="20"/>
        </w:rPr>
        <w:t xml:space="preserve">Por otra parte, </w:t>
      </w:r>
      <w:r w:rsidR="003123C8" w:rsidRPr="00B14871">
        <w:rPr>
          <w:rFonts w:asciiTheme="majorHAnsi" w:hAnsiTheme="majorHAnsi"/>
          <w:sz w:val="20"/>
          <w:szCs w:val="20"/>
        </w:rPr>
        <w:t>la Comisión estima que la exigencia de la CSJN de que los</w:t>
      </w:r>
      <w:r w:rsidR="00E97BC1" w:rsidRPr="00B14871">
        <w:rPr>
          <w:rFonts w:asciiTheme="majorHAnsi" w:hAnsiTheme="majorHAnsi"/>
          <w:sz w:val="20"/>
          <w:szCs w:val="20"/>
          <w:lang w:val="es-ES"/>
        </w:rPr>
        <w:t xml:space="preserve"> </w:t>
      </w:r>
      <w:r w:rsidR="003123C8" w:rsidRPr="00B14871">
        <w:rPr>
          <w:rFonts w:asciiTheme="majorHAnsi" w:hAnsiTheme="majorHAnsi"/>
          <w:sz w:val="20"/>
          <w:szCs w:val="20"/>
          <w:lang w:val="es-ES"/>
        </w:rPr>
        <w:t xml:space="preserve">padres adoptivos deberían haber deducido la demanda al menos, a partir de la publicación del informe final elaborado por la CONADEP, limita excesivamente el acceso a la justicia tornando ilusorio el derecho a la obtención de una reparación. </w:t>
      </w:r>
      <w:r w:rsidR="003F649C" w:rsidRPr="00B14871">
        <w:rPr>
          <w:rFonts w:asciiTheme="majorHAnsi" w:hAnsiTheme="majorHAnsi"/>
          <w:sz w:val="20"/>
          <w:szCs w:val="20"/>
          <w:lang w:val="es-ES"/>
        </w:rPr>
        <w:t xml:space="preserve">La Comisión observa que, de acuerdo a información oficial, la primera impresión del Informe Final de la CONADEP publicado en 1986 fue de 40.000 ejemplares y se agotó en las primeras 48 horas de venta. Asimismo, es necesario tomar en cuenta que la familia adoptiva residía en Chile, por lo que no tenía necesariamente conocimiento de los sucesos ocurridos en Argentina, aún menos en una </w:t>
      </w:r>
      <w:r w:rsidR="00E97BC1" w:rsidRPr="00B14871">
        <w:rPr>
          <w:rFonts w:asciiTheme="majorHAnsi" w:hAnsiTheme="majorHAnsi"/>
          <w:sz w:val="20"/>
          <w:szCs w:val="20"/>
          <w:lang w:val="es-ES"/>
        </w:rPr>
        <w:t>época en que</w:t>
      </w:r>
      <w:r w:rsidR="003F649C" w:rsidRPr="00B14871">
        <w:rPr>
          <w:rFonts w:asciiTheme="majorHAnsi" w:hAnsiTheme="majorHAnsi"/>
          <w:sz w:val="20"/>
          <w:szCs w:val="20"/>
          <w:lang w:val="es-ES"/>
        </w:rPr>
        <w:t xml:space="preserve"> la información </w:t>
      </w:r>
      <w:r w:rsidR="00E97BC1" w:rsidRPr="00B14871">
        <w:rPr>
          <w:rFonts w:asciiTheme="majorHAnsi" w:hAnsiTheme="majorHAnsi"/>
          <w:sz w:val="20"/>
          <w:szCs w:val="20"/>
          <w:lang w:val="es-ES"/>
        </w:rPr>
        <w:t>no era tan accesible ni circulaba con la velocidad de la época en la que fue dictada la sentencia.</w:t>
      </w:r>
      <w:r w:rsidR="0035497F" w:rsidRPr="00B14871">
        <w:rPr>
          <w:rFonts w:asciiTheme="majorHAnsi" w:hAnsiTheme="majorHAnsi"/>
          <w:sz w:val="20"/>
          <w:szCs w:val="20"/>
          <w:lang w:val="es-ES"/>
        </w:rPr>
        <w:t xml:space="preserve"> Por lo tanto, </w:t>
      </w:r>
      <w:r w:rsidR="00FB3746" w:rsidRPr="00B14871">
        <w:rPr>
          <w:rFonts w:asciiTheme="majorHAnsi" w:hAnsiTheme="majorHAnsi"/>
          <w:sz w:val="20"/>
          <w:szCs w:val="20"/>
          <w:lang w:val="es-ES"/>
        </w:rPr>
        <w:t xml:space="preserve">la Comisión considera que la aplicación de la prescripción civil en el presente caso violó </w:t>
      </w:r>
      <w:r w:rsidR="00FB3746" w:rsidRPr="00B14871">
        <w:rPr>
          <w:rFonts w:asciiTheme="majorHAnsi" w:hAnsiTheme="majorHAnsi"/>
          <w:sz w:val="20"/>
          <w:szCs w:val="20"/>
          <w:bdr w:val="none" w:sz="0" w:space="0" w:color="auto"/>
        </w:rPr>
        <w:t>los artículos 8.1 y 25.1 de la Convención Americana, en relación con las obligaciones establecidas en los artículos 1.1 y 2 del mismo instrumento, en perjuicio de los hermanos Larrabeiti Yáñez.</w:t>
      </w:r>
    </w:p>
    <w:p w14:paraId="46C20805" w14:textId="77777777" w:rsidR="003123C8" w:rsidRPr="0007034B" w:rsidRDefault="003123C8" w:rsidP="003123C8">
      <w:pPr>
        <w:pStyle w:val="ListParagraph"/>
        <w:rPr>
          <w:rFonts w:asciiTheme="majorHAnsi" w:hAnsiTheme="majorHAnsi"/>
          <w:sz w:val="20"/>
          <w:szCs w:val="20"/>
          <w:lang w:val="es-ES"/>
        </w:rPr>
      </w:pPr>
    </w:p>
    <w:p w14:paraId="5C8D27A5" w14:textId="77777777" w:rsidR="007B034C" w:rsidRPr="007E73E1" w:rsidRDefault="007B034C" w:rsidP="007E73E1">
      <w:pPr>
        <w:pStyle w:val="Heading3"/>
      </w:pPr>
      <w:bookmarkStart w:id="106" w:name="_Toc6349184"/>
      <w:bookmarkStart w:id="107" w:name="_Toc6466677"/>
      <w:r w:rsidRPr="007E73E1">
        <w:lastRenderedPageBreak/>
        <w:t>Consideraciones generales sobre los mecanismos de reparación administrativa en casos de graves violaciones a los derechos humanos</w:t>
      </w:r>
      <w:bookmarkEnd w:id="106"/>
      <w:bookmarkEnd w:id="107"/>
    </w:p>
    <w:p w14:paraId="2E36BA96" w14:textId="77777777" w:rsidR="007B034C" w:rsidRPr="0007034B" w:rsidRDefault="007B034C" w:rsidP="007B034C">
      <w:pPr>
        <w:pStyle w:val="ListParagraph"/>
        <w:jc w:val="both"/>
        <w:rPr>
          <w:rFonts w:asciiTheme="majorHAnsi" w:eastAsia="Times New Roman" w:hAnsiTheme="majorHAnsi" w:cs="Times New Roman"/>
          <w:sz w:val="20"/>
          <w:szCs w:val="20"/>
          <w:bdr w:val="none" w:sz="0" w:space="0" w:color="auto"/>
          <w:lang w:val="es-ES_tradnl"/>
        </w:rPr>
      </w:pPr>
    </w:p>
    <w:p w14:paraId="04A0D793" w14:textId="77777777" w:rsidR="007B034C" w:rsidRPr="0007034B" w:rsidRDefault="007B034C" w:rsidP="00B14871">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ind w:left="0" w:firstLine="0"/>
        <w:jc w:val="both"/>
        <w:rPr>
          <w:rFonts w:asciiTheme="majorHAnsi" w:hAnsiTheme="majorHAnsi"/>
          <w:sz w:val="20"/>
          <w:szCs w:val="20"/>
        </w:rPr>
      </w:pPr>
      <w:r w:rsidRPr="0007034B">
        <w:rPr>
          <w:rFonts w:asciiTheme="majorHAnsi" w:hAnsiTheme="majorHAnsi"/>
          <w:sz w:val="20"/>
          <w:szCs w:val="20"/>
        </w:rPr>
        <w:t>La Comisión reitera que los Estados tienen la obligación de ofrecer una reparación integral a las víctimas de violaciones de derechos humanos. Al respecto, la Comisión ha reconocido que “en situaciones graves, sistemáticas y prolongadas de violaciones de derechos humanos, los Estados pueden crear programas de reparación que permitan que las personas afectadas puedan recurrir a mecanismos expeditos y eficaces”</w:t>
      </w:r>
      <w:r w:rsidRPr="0007034B">
        <w:rPr>
          <w:rStyle w:val="FootnoteReference"/>
          <w:rFonts w:asciiTheme="majorHAnsi" w:hAnsiTheme="majorHAnsi"/>
          <w:sz w:val="20"/>
          <w:szCs w:val="20"/>
        </w:rPr>
        <w:footnoteReference w:id="179"/>
      </w:r>
      <w:r w:rsidRPr="0007034B">
        <w:rPr>
          <w:rFonts w:asciiTheme="majorHAnsi" w:hAnsiTheme="majorHAnsi"/>
          <w:sz w:val="20"/>
          <w:szCs w:val="20"/>
        </w:rPr>
        <w:t>. Sin embargo, la Comisión ha destacado al respecto que</w:t>
      </w:r>
      <w:r w:rsidRPr="0007034B">
        <w:rPr>
          <w:rStyle w:val="FootnoteReference"/>
          <w:rFonts w:asciiTheme="majorHAnsi" w:hAnsiTheme="majorHAnsi"/>
          <w:sz w:val="20"/>
          <w:szCs w:val="20"/>
        </w:rPr>
        <w:footnoteReference w:id="180"/>
      </w:r>
      <w:r w:rsidRPr="0007034B">
        <w:rPr>
          <w:rFonts w:asciiTheme="majorHAnsi" w:hAnsiTheme="majorHAnsi"/>
          <w:sz w:val="20"/>
          <w:szCs w:val="20"/>
        </w:rPr>
        <w:t>:</w:t>
      </w:r>
    </w:p>
    <w:p w14:paraId="297AD608" w14:textId="77777777" w:rsidR="007B034C" w:rsidRPr="0007034B" w:rsidRDefault="007B034C" w:rsidP="007B034C">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rPr>
      </w:pPr>
    </w:p>
    <w:p w14:paraId="6871AA26" w14:textId="77777777" w:rsidR="007B034C" w:rsidRPr="00F9082E" w:rsidRDefault="007B034C" w:rsidP="007B034C">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firstLine="0"/>
        <w:jc w:val="both"/>
        <w:rPr>
          <w:rFonts w:asciiTheme="majorHAnsi" w:hAnsiTheme="majorHAnsi"/>
          <w:sz w:val="18"/>
          <w:szCs w:val="18"/>
        </w:rPr>
      </w:pPr>
      <w:r w:rsidRPr="00F9082E">
        <w:rPr>
          <w:rFonts w:asciiTheme="majorHAnsi" w:hAnsiTheme="majorHAnsi"/>
          <w:sz w:val="18"/>
          <w:szCs w:val="18"/>
        </w:rPr>
        <w:t xml:space="preserve">[l]os mecanismos de reparación ofrecidos por el Estado deben ser integrales en el sentido de tomar en cuenta todos los componentes de una reparación de conformidad con las obligaciones internacionales del Estado. En particular, la Comisión considera que la determinación de una reparación, sea determinada vía administrativa o judicial (sin ser excluyente alguna de las dos vías), no exime al Estado de sus obligaciones relacionadas con el componente de justicia por las violaciones causadas, la cual obliga al Estado a garantizar a las víctimas la investigación y sanción a los responsables de esas violaciones, de acuerdo con lo establecido en el derecho internacional. </w:t>
      </w:r>
    </w:p>
    <w:p w14:paraId="6B996B50" w14:textId="77777777" w:rsidR="007B034C" w:rsidRPr="0007034B" w:rsidRDefault="007B034C" w:rsidP="007B034C">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rPr>
      </w:pPr>
    </w:p>
    <w:p w14:paraId="77B6D166" w14:textId="77777777" w:rsidR="007B034C" w:rsidRPr="0007034B" w:rsidRDefault="007B034C" w:rsidP="00B14871">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r w:rsidRPr="0007034B">
        <w:rPr>
          <w:rFonts w:asciiTheme="majorHAnsi" w:hAnsiTheme="majorHAnsi"/>
          <w:sz w:val="20"/>
          <w:szCs w:val="20"/>
        </w:rPr>
        <w:t>Respecto a la idoneidad de los mecanismos de reparación administrativa en escenarios de justicia transicional como el de Colombia, l</w:t>
      </w:r>
      <w:r w:rsidRPr="0007034B">
        <w:rPr>
          <w:rFonts w:asciiTheme="majorHAnsi" w:hAnsiTheme="majorHAnsi"/>
          <w:sz w:val="20"/>
          <w:szCs w:val="20"/>
          <w:lang w:val="es-ES"/>
        </w:rPr>
        <w:t>a Corte Interamericana ha considerado que</w:t>
      </w:r>
      <w:r w:rsidRPr="0007034B">
        <w:rPr>
          <w:rStyle w:val="FootnoteReference"/>
          <w:rFonts w:asciiTheme="majorHAnsi" w:hAnsiTheme="majorHAnsi"/>
          <w:sz w:val="20"/>
          <w:szCs w:val="20"/>
          <w:lang w:val="es-ES"/>
        </w:rPr>
        <w:footnoteReference w:id="181"/>
      </w:r>
      <w:r w:rsidRPr="0007034B">
        <w:rPr>
          <w:rFonts w:asciiTheme="majorHAnsi" w:hAnsiTheme="majorHAnsi"/>
          <w:sz w:val="20"/>
          <w:szCs w:val="20"/>
          <w:lang w:val="es-ES"/>
        </w:rPr>
        <w:t>:</w:t>
      </w:r>
    </w:p>
    <w:p w14:paraId="3B8C2147" w14:textId="77777777" w:rsidR="007B034C" w:rsidRPr="0007034B" w:rsidRDefault="007B034C" w:rsidP="007B034C">
      <w:pPr>
        <w:pStyle w:val="ListParagraph"/>
        <w:rPr>
          <w:rFonts w:asciiTheme="majorHAnsi" w:hAnsiTheme="majorHAnsi"/>
          <w:sz w:val="20"/>
          <w:szCs w:val="20"/>
          <w:lang w:val="es-ES"/>
        </w:rPr>
      </w:pPr>
    </w:p>
    <w:p w14:paraId="09E577F0" w14:textId="77777777" w:rsidR="007B034C" w:rsidRPr="00F9082E" w:rsidRDefault="007B034C" w:rsidP="007B034C">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firstLine="0"/>
        <w:jc w:val="both"/>
        <w:rPr>
          <w:rFonts w:asciiTheme="majorHAnsi" w:hAnsiTheme="majorHAnsi"/>
          <w:sz w:val="18"/>
          <w:szCs w:val="18"/>
          <w:lang w:val="es-ES"/>
        </w:rPr>
      </w:pPr>
      <w:r w:rsidRPr="00F9082E">
        <w:rPr>
          <w:rFonts w:asciiTheme="majorHAnsi" w:hAnsiTheme="majorHAnsi"/>
          <w:sz w:val="18"/>
          <w:szCs w:val="18"/>
          <w:lang w:val="es-ES"/>
        </w:rPr>
        <w:t xml:space="preserve">en escenarios de justicia transicional, en los cuales los Estados deben asumir su deber de reparar masivamente a números de víctimas que pueden exceder ampliamente las capacidades y posibilidades de los tribunales internos, los programas administrativos de reparación constituyen una de las maneras legítimas de satisfacer el derecho a la reparación. En esos contextos, esas medidas de reparación deben entenderse en conjunto con otras medidas de verdad y justicia, siempre y cuando se cumplan con una serie de requisitos relacionados, entre otros, con su legitimidad y efectiva capacidad de reparación integral de las mismas. </w:t>
      </w:r>
    </w:p>
    <w:p w14:paraId="4336EF2E" w14:textId="77777777" w:rsidR="007B034C" w:rsidRPr="0007034B" w:rsidRDefault="007B034C" w:rsidP="007B034C">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p>
    <w:p w14:paraId="2D828C02" w14:textId="77777777" w:rsidR="007B034C" w:rsidRPr="0007034B" w:rsidRDefault="007B034C" w:rsidP="00B14871">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r w:rsidRPr="0007034B">
        <w:rPr>
          <w:rFonts w:asciiTheme="majorHAnsi" w:hAnsiTheme="majorHAnsi"/>
          <w:sz w:val="20"/>
          <w:szCs w:val="20"/>
        </w:rPr>
        <w:t>Asimismo, de acuerdo a lo establecido por la CIDH, “la complementariedad entre las reparaciones ordenadas vía administrativa y judicial, se verifica a nivel internacional, donde por ejemplo, la Corte Interamericana ha establecido medidas de reparación judicial, aun cuando las víctimas ya habían recibido algún tipo de compensación en el marco de programas generales de reparación a nivel nacional”</w:t>
      </w:r>
      <w:r w:rsidRPr="0007034B">
        <w:rPr>
          <w:rStyle w:val="FootnoteReference"/>
          <w:rFonts w:asciiTheme="majorHAnsi" w:hAnsiTheme="majorHAnsi"/>
          <w:sz w:val="20"/>
          <w:szCs w:val="20"/>
        </w:rPr>
        <w:footnoteReference w:id="182"/>
      </w:r>
      <w:r w:rsidRPr="0007034B">
        <w:rPr>
          <w:rFonts w:asciiTheme="majorHAnsi" w:hAnsiTheme="majorHAnsi"/>
          <w:sz w:val="20"/>
          <w:szCs w:val="20"/>
        </w:rPr>
        <w:t>.</w:t>
      </w:r>
    </w:p>
    <w:p w14:paraId="0441E978" w14:textId="77777777" w:rsidR="007B034C" w:rsidRPr="0007034B" w:rsidRDefault="007B034C" w:rsidP="007B034C">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lang w:val="es-ES"/>
        </w:rPr>
      </w:pPr>
    </w:p>
    <w:p w14:paraId="6FA651AB" w14:textId="6AFBF366" w:rsidR="007B034C" w:rsidRPr="0007034B" w:rsidRDefault="007B034C" w:rsidP="00B14871">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r w:rsidRPr="0007034B">
        <w:rPr>
          <w:rFonts w:asciiTheme="majorHAnsi" w:hAnsiTheme="majorHAnsi"/>
          <w:sz w:val="20"/>
          <w:szCs w:val="20"/>
          <w:lang w:val="es-ES"/>
        </w:rPr>
        <w:t>De acuerdo</w:t>
      </w:r>
      <w:r w:rsidR="00A16F02" w:rsidRPr="0007034B">
        <w:rPr>
          <w:rFonts w:asciiTheme="majorHAnsi" w:hAnsiTheme="majorHAnsi"/>
          <w:sz w:val="20"/>
          <w:szCs w:val="20"/>
          <w:lang w:val="es-ES"/>
        </w:rPr>
        <w:t xml:space="preserve"> a</w:t>
      </w:r>
      <w:r w:rsidRPr="0007034B">
        <w:rPr>
          <w:rFonts w:asciiTheme="majorHAnsi" w:hAnsiTheme="majorHAnsi"/>
          <w:sz w:val="20"/>
          <w:szCs w:val="20"/>
        </w:rPr>
        <w:t xml:space="preserve"> la Corte, “de existir mecanismos nacionales para determinar formas de reparación, esos procedimientos y [sus] resultados deben ser valorados” y, a tal efecto, debe considerarse si los mismos “satisfacen criterios de objetividad, razonabilidad y efectividad”</w:t>
      </w:r>
      <w:r w:rsidRPr="0007034B">
        <w:rPr>
          <w:rStyle w:val="FootnoteReference"/>
          <w:rFonts w:asciiTheme="majorHAnsi" w:eastAsia="Trebuchet MS" w:hAnsiTheme="majorHAnsi"/>
          <w:sz w:val="20"/>
          <w:szCs w:val="20"/>
        </w:rPr>
        <w:footnoteReference w:id="183"/>
      </w:r>
      <w:r w:rsidRPr="0007034B">
        <w:rPr>
          <w:rFonts w:asciiTheme="majorHAnsi" w:hAnsiTheme="majorHAnsi"/>
          <w:sz w:val="20"/>
          <w:szCs w:val="20"/>
        </w:rPr>
        <w:t xml:space="preserve">. </w:t>
      </w:r>
      <w:r w:rsidRPr="0007034B">
        <w:rPr>
          <w:rFonts w:asciiTheme="majorHAnsi" w:hAnsiTheme="majorHAnsi"/>
          <w:sz w:val="20"/>
          <w:szCs w:val="20"/>
          <w:lang w:val="es-ES"/>
        </w:rPr>
        <w:t>Por otra parte, la Corte ha considerado al respecto que</w:t>
      </w:r>
      <w:r w:rsidRPr="0007034B">
        <w:rPr>
          <w:rStyle w:val="FootnoteReference"/>
          <w:rFonts w:asciiTheme="majorHAnsi" w:hAnsiTheme="majorHAnsi"/>
          <w:sz w:val="20"/>
          <w:szCs w:val="20"/>
        </w:rPr>
        <w:footnoteReference w:id="184"/>
      </w:r>
      <w:r w:rsidRPr="0007034B">
        <w:rPr>
          <w:rFonts w:asciiTheme="majorHAnsi" w:hAnsiTheme="majorHAnsi"/>
          <w:sz w:val="20"/>
          <w:szCs w:val="20"/>
          <w:lang w:val="es-ES"/>
        </w:rPr>
        <w:t xml:space="preserve">: </w:t>
      </w:r>
    </w:p>
    <w:p w14:paraId="5A980C59" w14:textId="77777777" w:rsidR="007B034C" w:rsidRPr="0007034B" w:rsidRDefault="007B034C" w:rsidP="007B034C">
      <w:pPr>
        <w:pStyle w:val="ListParagraph"/>
        <w:rPr>
          <w:rFonts w:asciiTheme="majorHAnsi" w:eastAsia="Times New Roman" w:hAnsiTheme="majorHAnsi"/>
          <w:sz w:val="20"/>
          <w:szCs w:val="20"/>
          <w:lang w:val="es-ES"/>
        </w:rPr>
      </w:pPr>
    </w:p>
    <w:p w14:paraId="161E9CA8" w14:textId="77777777" w:rsidR="007B034C" w:rsidRPr="00F9082E" w:rsidRDefault="007B034C" w:rsidP="00F84E88">
      <w:pPr>
        <w:pStyle w:val="ListParagraph"/>
        <w:ind w:right="720"/>
        <w:jc w:val="both"/>
        <w:rPr>
          <w:rFonts w:asciiTheme="majorHAnsi" w:eastAsia="Times New Roman" w:hAnsiTheme="majorHAnsi"/>
          <w:sz w:val="18"/>
          <w:szCs w:val="18"/>
          <w:lang w:val="es-ES"/>
        </w:rPr>
      </w:pPr>
      <w:r w:rsidRPr="00F9082E">
        <w:rPr>
          <w:rFonts w:asciiTheme="majorHAnsi" w:hAnsiTheme="majorHAnsi"/>
          <w:sz w:val="18"/>
          <w:szCs w:val="18"/>
          <w:lang w:val="es-ES"/>
        </w:rPr>
        <w:t xml:space="preserve">la existencia de programas administrativos de reparación debe ser compatible con las obligaciones estatales bajo la Convención Americana y otras normas internacionales y, por ello, no puede derivar en un menoscabo al deber estatal de garantizar el “libre y pleno ejercicio” de los derechos a las garantías y protección judiciales, en los términos de los artículos 1.1, 25.1 y 8.1 de la Convención, respectivamente. En otros términos, los programas administrativos de reparación u otras medidas o acciones normativas o de otro carácter que coexistan con los mismos, no pueden generar una obstrucción a la posibilidad de que las víctimas, de conformidad a los derechos a las garantías y protección judiciales, interpongan acciones en reclamo de reparaciones. […] Resulta conforme a la observancia de derechos </w:t>
      </w:r>
      <w:r w:rsidRPr="00F9082E">
        <w:rPr>
          <w:rFonts w:asciiTheme="majorHAnsi" w:hAnsiTheme="majorHAnsi"/>
          <w:sz w:val="18"/>
          <w:szCs w:val="18"/>
          <w:lang w:val="es-ES"/>
        </w:rPr>
        <w:lastRenderedPageBreak/>
        <w:t>convencionales que el establecimiento de sistemas internos administrativos o colectivos de reparación no impida a las víctimas el ejercicio de acciones jurisdiccionales en reclamo de medidas de reparación.</w:t>
      </w:r>
    </w:p>
    <w:p w14:paraId="2F6CA935" w14:textId="77777777" w:rsidR="007B034C" w:rsidRPr="0007034B" w:rsidRDefault="007B034C" w:rsidP="007B034C">
      <w:pPr>
        <w:pStyle w:val="ListParagraph"/>
        <w:ind w:left="0"/>
        <w:jc w:val="both"/>
        <w:rPr>
          <w:rFonts w:asciiTheme="majorHAnsi" w:hAnsiTheme="majorHAnsi"/>
          <w:sz w:val="20"/>
          <w:szCs w:val="20"/>
          <w:lang w:val="es-ES"/>
        </w:rPr>
      </w:pPr>
    </w:p>
    <w:p w14:paraId="76A4175D" w14:textId="77777777" w:rsidR="007B034C" w:rsidRPr="0007034B" w:rsidRDefault="007B034C" w:rsidP="00B14871">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r w:rsidRPr="0007034B">
        <w:rPr>
          <w:rFonts w:asciiTheme="majorHAnsi" w:hAnsiTheme="majorHAnsi"/>
          <w:sz w:val="20"/>
          <w:szCs w:val="20"/>
          <w:lang w:val="es-ES"/>
        </w:rPr>
        <w:t>Asimismo, respecto de Chile, la Corte ha señalado que el criterio jurisprudencial sobre el carácter complementario y no excluyente de reparaciones otorgadas en vías administrativa y judicial, “es razonable en relación con el derecho de víctimas de graves violaciones de derechos humanos de acceder a la justicia para solicitar una declaratoria judicial de responsabilidad estatal, ya sea para que se efectúe una determinación individual de daños o, en su caso, para cuestionar la suficiencia o efectividad de reparaciones recibidas con anterioridad”</w:t>
      </w:r>
      <w:r w:rsidRPr="0007034B">
        <w:rPr>
          <w:rStyle w:val="FootnoteReference"/>
          <w:rFonts w:asciiTheme="majorHAnsi" w:hAnsiTheme="majorHAnsi"/>
          <w:sz w:val="20"/>
          <w:szCs w:val="20"/>
          <w:lang w:val="es-ES"/>
        </w:rPr>
        <w:footnoteReference w:id="185"/>
      </w:r>
      <w:r w:rsidRPr="0007034B">
        <w:rPr>
          <w:rFonts w:asciiTheme="majorHAnsi" w:hAnsiTheme="majorHAnsi"/>
          <w:sz w:val="20"/>
          <w:szCs w:val="20"/>
          <w:lang w:val="es-ES"/>
        </w:rPr>
        <w:t>.</w:t>
      </w:r>
    </w:p>
    <w:p w14:paraId="10214512" w14:textId="77777777" w:rsidR="007B034C" w:rsidRPr="0007034B" w:rsidRDefault="007B034C" w:rsidP="007B034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Theme="majorHAnsi" w:hAnsiTheme="majorHAnsi"/>
          <w:sz w:val="20"/>
          <w:szCs w:val="20"/>
          <w:lang w:val="es-ES"/>
        </w:rPr>
      </w:pPr>
    </w:p>
    <w:p w14:paraId="676387CC" w14:textId="77777777" w:rsidR="007B034C" w:rsidRPr="007E73E1" w:rsidRDefault="007B034C" w:rsidP="007E73E1">
      <w:pPr>
        <w:pStyle w:val="Heading3"/>
      </w:pPr>
      <w:bookmarkStart w:id="108" w:name="_Toc6349185"/>
      <w:bookmarkStart w:id="109" w:name="_Toc6466678"/>
      <w:r w:rsidRPr="007E73E1">
        <w:t>Análisis del caso</w:t>
      </w:r>
      <w:bookmarkEnd w:id="108"/>
      <w:bookmarkEnd w:id="109"/>
    </w:p>
    <w:p w14:paraId="705D8927" w14:textId="77777777" w:rsidR="007B034C" w:rsidRPr="0007034B" w:rsidRDefault="007B034C" w:rsidP="007B034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Theme="majorHAnsi" w:hAnsiTheme="majorHAnsi"/>
          <w:sz w:val="20"/>
          <w:szCs w:val="20"/>
          <w:lang w:val="es-ES"/>
        </w:rPr>
      </w:pPr>
    </w:p>
    <w:p w14:paraId="4F639A86" w14:textId="106BD6EA" w:rsidR="007B034C" w:rsidRPr="0007034B" w:rsidRDefault="007B034C" w:rsidP="00B14871">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r w:rsidRPr="0007034B">
        <w:rPr>
          <w:rFonts w:asciiTheme="majorHAnsi" w:hAnsiTheme="majorHAnsi"/>
          <w:sz w:val="20"/>
          <w:szCs w:val="20"/>
          <w:bdr w:val="none" w:sz="0" w:space="0" w:color="auto"/>
        </w:rPr>
        <w:t xml:space="preserve">De acuerdo a la información disponible, el 22 de agosto de 1995 los hermanos Larrabeiti Yáñez solicitaron los beneficios de la Ley Nro. 24.411 por la desaparición forzada de su madre y padre biológicos. Posteriormente, solicitaron los beneficios de la </w:t>
      </w:r>
      <w:r w:rsidR="005B3331" w:rsidRPr="0007034B">
        <w:rPr>
          <w:rFonts w:asciiTheme="majorHAnsi" w:hAnsiTheme="majorHAnsi"/>
          <w:sz w:val="20"/>
          <w:szCs w:val="20"/>
          <w:bdr w:val="none" w:sz="0" w:space="0" w:color="auto"/>
        </w:rPr>
        <w:t>L</w:t>
      </w:r>
      <w:r w:rsidRPr="0007034B">
        <w:rPr>
          <w:rFonts w:asciiTheme="majorHAnsi" w:hAnsiTheme="majorHAnsi"/>
          <w:sz w:val="20"/>
          <w:szCs w:val="20"/>
          <w:bdr w:val="none" w:sz="0" w:space="0" w:color="auto"/>
        </w:rPr>
        <w:t>ey</w:t>
      </w:r>
      <w:r w:rsidR="005B3331" w:rsidRPr="0007034B">
        <w:rPr>
          <w:rFonts w:asciiTheme="majorHAnsi" w:hAnsiTheme="majorHAnsi"/>
          <w:sz w:val="20"/>
          <w:szCs w:val="20"/>
          <w:bdr w:val="none" w:sz="0" w:space="0" w:color="auto"/>
        </w:rPr>
        <w:t xml:space="preserve"> Nro.</w:t>
      </w:r>
      <w:r w:rsidRPr="0007034B">
        <w:rPr>
          <w:rFonts w:asciiTheme="majorHAnsi" w:hAnsiTheme="majorHAnsi"/>
          <w:sz w:val="20"/>
          <w:szCs w:val="20"/>
          <w:bdr w:val="none" w:sz="0" w:space="0" w:color="auto"/>
        </w:rPr>
        <w:t xml:space="preserve"> 25.914 por la privación ilegal de la libertad cometida contra ellos cuando eran menores de edad. En ambos casos los trámites fueron archivados provisoriamente debido a la existencia de una demanda civil contra el Estado Nacional, siendo desarchivados en 2017 y 2016, respectivamente. No existe información en el expediente ante la CIDH que indique que hayan continuado con el trámite y obtenido las respectivas reparaciones.</w:t>
      </w:r>
    </w:p>
    <w:p w14:paraId="3B2BDC2C" w14:textId="77777777" w:rsidR="007B034C" w:rsidRPr="0007034B" w:rsidRDefault="007B034C" w:rsidP="007B034C">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rPr>
      </w:pPr>
    </w:p>
    <w:p w14:paraId="5617538F" w14:textId="30FB1C92" w:rsidR="007B034C" w:rsidRPr="0007034B" w:rsidRDefault="007B034C" w:rsidP="00B14871">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r w:rsidRPr="0007034B">
        <w:rPr>
          <w:rFonts w:asciiTheme="majorHAnsi" w:hAnsiTheme="majorHAnsi"/>
          <w:sz w:val="20"/>
          <w:szCs w:val="20"/>
          <w:bdr w:val="none" w:sz="0" w:space="0" w:color="auto"/>
        </w:rPr>
        <w:t xml:space="preserve">El Estado alega que las leyes reparatorias son los mecanismos adecuados para dar una respuesta satisfactoria a los reclamos de índole pecuniaria ya que reconocieron un beneficio especial a las personas que no hubieran promovido las respectivas acciones de daños y perjuicios en el plazo general de prescripción, por lo que el Estado brindó una respuesta en conformidad con los principios de justicia distributiva para evitar a las víctimas la privación de todo resarcimiento. La parte peticionaria, a su vez, sostiene que “el trámite administrativo con reparación tarifada” no da respuesta al presente caso sino que el camino a seguir es el de una “acción judicial con amplitud de prueba y sin tope predeterminado”. Señala que la preocupación principal de las víctimas era conocer la verdad de los hechos y procurar establecer el destino de su madre y padre biológicos en un momento en que no existía la posibilidad de una investigación penal, lo cual no se puede lograr por medio de una reparación tasada y limitada. Indica al respecto que la opción por la vía judicial resultó ser un acierto total ya que a través de la acción civil se pudieron ubicar a testigos clave y conocer gran parte de los hechos.    </w:t>
      </w:r>
    </w:p>
    <w:p w14:paraId="57ED7C46" w14:textId="77777777" w:rsidR="007B034C" w:rsidRPr="0007034B" w:rsidRDefault="007B034C" w:rsidP="007B034C">
      <w:pPr>
        <w:pStyle w:val="ListParagraph"/>
        <w:rPr>
          <w:rFonts w:asciiTheme="majorHAnsi" w:hAnsiTheme="majorHAnsi"/>
          <w:sz w:val="20"/>
          <w:szCs w:val="20"/>
          <w:lang w:val="es-ES"/>
        </w:rPr>
      </w:pPr>
    </w:p>
    <w:p w14:paraId="4CC575C7" w14:textId="08B057B7" w:rsidR="007B034C" w:rsidRPr="0007034B" w:rsidRDefault="007B034C" w:rsidP="00B14871">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r w:rsidRPr="0007034B">
        <w:rPr>
          <w:rFonts w:asciiTheme="majorHAnsi" w:hAnsiTheme="majorHAnsi"/>
          <w:sz w:val="20"/>
          <w:szCs w:val="20"/>
        </w:rPr>
        <w:t xml:space="preserve">  En el presente caso, la voluntad de los hermanos Larrabeiti Yáñez es obtener una reparación decretada en sede judicial de acuerdo a un concepto amplio de reparación, fijada según las características particulares de su caso y no con base en montos y topes previamente establecidos. Si las víctimas, como en este caso, en lugar de </w:t>
      </w:r>
      <w:r w:rsidR="003B333A" w:rsidRPr="0007034B">
        <w:rPr>
          <w:rFonts w:asciiTheme="majorHAnsi" w:hAnsiTheme="majorHAnsi"/>
          <w:sz w:val="20"/>
          <w:szCs w:val="20"/>
        </w:rPr>
        <w:t xml:space="preserve">priorizar </w:t>
      </w:r>
      <w:r w:rsidRPr="0007034B">
        <w:rPr>
          <w:rFonts w:asciiTheme="majorHAnsi" w:hAnsiTheme="majorHAnsi"/>
          <w:sz w:val="20"/>
          <w:szCs w:val="20"/>
        </w:rPr>
        <w:t xml:space="preserve">un proceso administrativo sencillo, sin las dificultades y los costos del litigio, prefieren acudir a la sede judicial con las exigencias que ello implica (plazos más largos, costos más elevados y exigencias probatorias más estrictas respecto de los daños) para obtener una declaratoria judicial de responsabilidad, el Estado no puede menoscabar el libre y pleno ejercicio de sus derechos a las garantías judiciales y a la protección judicial.  </w:t>
      </w:r>
    </w:p>
    <w:p w14:paraId="4E441FCB" w14:textId="77777777" w:rsidR="007B034C" w:rsidRPr="0007034B" w:rsidRDefault="007B034C" w:rsidP="007B034C">
      <w:pPr>
        <w:pStyle w:val="ListParagraph"/>
        <w:rPr>
          <w:rFonts w:asciiTheme="majorHAnsi" w:hAnsiTheme="majorHAnsi"/>
          <w:sz w:val="20"/>
          <w:szCs w:val="20"/>
          <w:lang w:val="es-ES_tradnl"/>
        </w:rPr>
      </w:pPr>
    </w:p>
    <w:p w14:paraId="26849A0C" w14:textId="533D5092" w:rsidR="007B034C" w:rsidRPr="0007034B" w:rsidRDefault="004C3E62" w:rsidP="00B14871">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0"/>
        <w:jc w:val="both"/>
        <w:rPr>
          <w:rFonts w:asciiTheme="majorHAnsi" w:hAnsiTheme="majorHAnsi"/>
          <w:sz w:val="20"/>
          <w:szCs w:val="20"/>
        </w:rPr>
      </w:pPr>
      <w:r w:rsidRPr="0007034B">
        <w:rPr>
          <w:rFonts w:asciiTheme="majorHAnsi" w:hAnsiTheme="majorHAnsi"/>
          <w:sz w:val="20"/>
          <w:szCs w:val="20"/>
        </w:rPr>
        <w:t xml:space="preserve">Sin embargo, en el presente caso la Comisión observa que la vía priorizada por los hermanos Larrabeiti Yáñez no se vio, en la práctica, obstaculizada por las disposiciones de las leyes Nro. 24.411 y 25.914 que excluían la vía judicial, en la medida en que pudieron completar el proceso civil en todas las instancias y finalmente fue declarada la acción improcedente por la aplicación de la figura de prescripción, tema que ya fue analizado en el presente informe. En ese sentido, en las circunstancias del caso particular, la Comisión no encuentra violaciones a la Convención Americana por </w:t>
      </w:r>
      <w:r w:rsidR="00D41F9B" w:rsidRPr="0007034B">
        <w:rPr>
          <w:rFonts w:asciiTheme="majorHAnsi" w:hAnsiTheme="majorHAnsi"/>
          <w:sz w:val="20"/>
          <w:szCs w:val="20"/>
        </w:rPr>
        <w:t xml:space="preserve">la exclusión contenida en las referidas leyes. </w:t>
      </w:r>
    </w:p>
    <w:p w14:paraId="6E4EC272" w14:textId="77777777" w:rsidR="007301BA" w:rsidRDefault="007301BA" w:rsidP="007B034C">
      <w:pPr>
        <w:rPr>
          <w:rFonts w:asciiTheme="majorHAnsi" w:hAnsiTheme="majorHAnsi"/>
          <w:sz w:val="20"/>
          <w:szCs w:val="20"/>
          <w:lang w:val="es-ES_tradnl"/>
        </w:rPr>
      </w:pPr>
    </w:p>
    <w:p w14:paraId="367C93D5" w14:textId="77777777" w:rsidR="00F9082E" w:rsidRDefault="00F9082E" w:rsidP="007B034C">
      <w:pPr>
        <w:rPr>
          <w:rFonts w:asciiTheme="majorHAnsi" w:hAnsiTheme="majorHAnsi"/>
          <w:sz w:val="20"/>
          <w:szCs w:val="20"/>
          <w:lang w:val="es-ES_tradnl"/>
        </w:rPr>
      </w:pPr>
    </w:p>
    <w:p w14:paraId="644023D3" w14:textId="77777777" w:rsidR="00F9082E" w:rsidRDefault="00F9082E" w:rsidP="007B034C">
      <w:pPr>
        <w:rPr>
          <w:rFonts w:asciiTheme="majorHAnsi" w:hAnsiTheme="majorHAnsi"/>
          <w:sz w:val="20"/>
          <w:szCs w:val="20"/>
          <w:lang w:val="es-ES_tradnl"/>
        </w:rPr>
      </w:pPr>
    </w:p>
    <w:p w14:paraId="0BAB4081" w14:textId="77777777" w:rsidR="00F9082E" w:rsidRPr="0007034B" w:rsidRDefault="00F9082E" w:rsidP="007B034C">
      <w:pPr>
        <w:rPr>
          <w:rFonts w:asciiTheme="majorHAnsi" w:hAnsiTheme="majorHAnsi"/>
          <w:sz w:val="20"/>
          <w:szCs w:val="20"/>
          <w:lang w:val="es-ES_tradnl"/>
        </w:rPr>
      </w:pPr>
    </w:p>
    <w:p w14:paraId="5E867431" w14:textId="77777777" w:rsidR="00632B43" w:rsidRPr="0007034B" w:rsidRDefault="00632B43" w:rsidP="0007034B">
      <w:pPr>
        <w:pStyle w:val="Heading1"/>
      </w:pPr>
      <w:bookmarkStart w:id="110" w:name="_Toc6349186"/>
      <w:bookmarkStart w:id="111" w:name="_Toc6466679"/>
      <w:r w:rsidRPr="0007034B">
        <w:lastRenderedPageBreak/>
        <w:t>CONCLUSIONES Y RECOMENDACIONES</w:t>
      </w:r>
      <w:bookmarkEnd w:id="110"/>
      <w:bookmarkEnd w:id="111"/>
      <w:r w:rsidRPr="0007034B">
        <w:t xml:space="preserve"> </w:t>
      </w:r>
    </w:p>
    <w:p w14:paraId="6724617A" w14:textId="77777777" w:rsidR="00632B43" w:rsidRPr="0007034B" w:rsidRDefault="00632B43" w:rsidP="00632B43">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rPr>
      </w:pPr>
    </w:p>
    <w:p w14:paraId="79BC71D0" w14:textId="2455A0B7" w:rsidR="00FE2027" w:rsidRPr="0007034B" w:rsidRDefault="00632B43" w:rsidP="00B14871">
      <w:pPr>
        <w:pStyle w:val="BodyTextIndent"/>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jc w:val="both"/>
        <w:rPr>
          <w:rFonts w:asciiTheme="majorHAnsi" w:hAnsiTheme="majorHAnsi"/>
          <w:sz w:val="20"/>
          <w:szCs w:val="20"/>
        </w:rPr>
      </w:pPr>
      <w:r w:rsidRPr="0007034B">
        <w:rPr>
          <w:rFonts w:asciiTheme="majorHAnsi" w:hAnsiTheme="majorHAnsi"/>
          <w:sz w:val="20"/>
          <w:szCs w:val="20"/>
        </w:rPr>
        <w:t xml:space="preserve">La </w:t>
      </w:r>
      <w:r w:rsidR="002E4AEA" w:rsidRPr="0007034B">
        <w:rPr>
          <w:rFonts w:asciiTheme="majorHAnsi" w:hAnsiTheme="majorHAnsi"/>
          <w:sz w:val="20"/>
          <w:szCs w:val="20"/>
          <w:lang w:val="es-CL"/>
        </w:rPr>
        <w:t>Comisión concluye que</w:t>
      </w:r>
      <w:r w:rsidR="003D67C7" w:rsidRPr="0007034B">
        <w:rPr>
          <w:rFonts w:asciiTheme="majorHAnsi" w:hAnsiTheme="majorHAnsi"/>
          <w:sz w:val="20"/>
          <w:szCs w:val="20"/>
          <w:lang w:val="es-CL"/>
        </w:rPr>
        <w:t xml:space="preserve"> el Estado</w:t>
      </w:r>
      <w:r w:rsidR="00FE2027" w:rsidRPr="0007034B">
        <w:rPr>
          <w:rFonts w:asciiTheme="majorHAnsi" w:hAnsiTheme="majorHAnsi"/>
          <w:sz w:val="20"/>
          <w:szCs w:val="20"/>
          <w:lang w:val="es-CL"/>
        </w:rPr>
        <w:t xml:space="preserve"> de Argentina</w:t>
      </w:r>
      <w:r w:rsidR="003D67C7" w:rsidRPr="0007034B">
        <w:rPr>
          <w:rFonts w:asciiTheme="majorHAnsi" w:hAnsiTheme="majorHAnsi"/>
          <w:sz w:val="20"/>
          <w:szCs w:val="20"/>
          <w:lang w:val="es-CL"/>
        </w:rPr>
        <w:t xml:space="preserve"> es responsable por la violación de los derechos </w:t>
      </w:r>
      <w:r w:rsidR="00FE2027" w:rsidRPr="0007034B">
        <w:rPr>
          <w:rFonts w:asciiTheme="majorHAnsi" w:hAnsiTheme="majorHAnsi" w:cs="Verdana"/>
          <w:sz w:val="20"/>
          <w:szCs w:val="20"/>
          <w:lang w:val="es-VE"/>
        </w:rPr>
        <w:t>al reconocimiento de la personalidad jurídica, a la vida, a la integridad personal, a la libertad personal, a las garantías judiciales, y a la protección judicial consagrados en los artículos 3, 4.1, 5.1, 5.2, 7.1, 8.1 y 25.1 de la Convención Americana</w:t>
      </w:r>
      <w:r w:rsidR="00C76895" w:rsidRPr="0007034B">
        <w:rPr>
          <w:rFonts w:asciiTheme="majorHAnsi" w:hAnsiTheme="majorHAnsi" w:cs="Verdana"/>
          <w:sz w:val="20"/>
          <w:szCs w:val="20"/>
          <w:lang w:val="es-VE"/>
        </w:rPr>
        <w:t xml:space="preserve"> sobre Derechos Humanos</w:t>
      </w:r>
      <w:r w:rsidR="00FE2027" w:rsidRPr="0007034B">
        <w:rPr>
          <w:rFonts w:asciiTheme="majorHAnsi" w:hAnsiTheme="majorHAnsi" w:cs="Verdana"/>
          <w:sz w:val="20"/>
          <w:szCs w:val="20"/>
          <w:lang w:val="es-VE"/>
        </w:rPr>
        <w:t xml:space="preserve">, en relación con </w:t>
      </w:r>
      <w:r w:rsidR="007D790C" w:rsidRPr="0007034B">
        <w:rPr>
          <w:rFonts w:asciiTheme="majorHAnsi" w:hAnsiTheme="majorHAnsi" w:cs="Verdana"/>
          <w:sz w:val="20"/>
          <w:szCs w:val="20"/>
          <w:lang w:val="es-VE"/>
        </w:rPr>
        <w:t>sus</w:t>
      </w:r>
      <w:r w:rsidR="00FE2027" w:rsidRPr="0007034B">
        <w:rPr>
          <w:rFonts w:asciiTheme="majorHAnsi" w:hAnsiTheme="majorHAnsi" w:cs="Verdana"/>
          <w:sz w:val="20"/>
          <w:szCs w:val="20"/>
          <w:lang w:val="es-VE"/>
        </w:rPr>
        <w:t xml:space="preserve"> artículo</w:t>
      </w:r>
      <w:r w:rsidR="007D790C" w:rsidRPr="0007034B">
        <w:rPr>
          <w:rFonts w:asciiTheme="majorHAnsi" w:hAnsiTheme="majorHAnsi" w:cs="Verdana"/>
          <w:sz w:val="20"/>
          <w:szCs w:val="20"/>
          <w:lang w:val="es-VE"/>
        </w:rPr>
        <w:t>s</w:t>
      </w:r>
      <w:r w:rsidR="00FE2027" w:rsidRPr="0007034B">
        <w:rPr>
          <w:rFonts w:asciiTheme="majorHAnsi" w:hAnsiTheme="majorHAnsi" w:cs="Verdana"/>
          <w:sz w:val="20"/>
          <w:szCs w:val="20"/>
          <w:lang w:val="es-VE"/>
        </w:rPr>
        <w:t xml:space="preserve"> 1.1 y 2</w:t>
      </w:r>
      <w:r w:rsidR="007D790C" w:rsidRPr="0007034B">
        <w:rPr>
          <w:rFonts w:asciiTheme="majorHAnsi" w:hAnsiTheme="majorHAnsi" w:cs="Verdana"/>
          <w:sz w:val="20"/>
          <w:szCs w:val="20"/>
          <w:lang w:val="es-VE"/>
        </w:rPr>
        <w:t>;</w:t>
      </w:r>
      <w:r w:rsidR="00FE2027" w:rsidRPr="0007034B">
        <w:rPr>
          <w:rFonts w:asciiTheme="majorHAnsi" w:hAnsiTheme="majorHAnsi" w:cs="Verdana"/>
          <w:sz w:val="20"/>
          <w:szCs w:val="20"/>
          <w:lang w:val="es-VE"/>
        </w:rPr>
        <w:t xml:space="preserve"> de los artículos I incisos a) y b) y III de la Convención Interamericana sobre Desaparición Forzada de Personas</w:t>
      </w:r>
      <w:r w:rsidR="007D790C" w:rsidRPr="0007034B">
        <w:rPr>
          <w:rFonts w:asciiTheme="majorHAnsi" w:hAnsiTheme="majorHAnsi" w:cs="Verdana"/>
          <w:sz w:val="20"/>
          <w:szCs w:val="20"/>
          <w:lang w:val="es-VE"/>
        </w:rPr>
        <w:t>;</w:t>
      </w:r>
      <w:r w:rsidR="00FE2027" w:rsidRPr="0007034B">
        <w:rPr>
          <w:rFonts w:asciiTheme="majorHAnsi" w:hAnsiTheme="majorHAnsi" w:cs="Verdana"/>
          <w:sz w:val="20"/>
          <w:szCs w:val="20"/>
          <w:lang w:val="es-VE"/>
        </w:rPr>
        <w:t xml:space="preserve"> de los artículos </w:t>
      </w:r>
      <w:r w:rsidR="007D790C" w:rsidRPr="0007034B">
        <w:rPr>
          <w:rFonts w:asciiTheme="majorHAnsi" w:hAnsiTheme="majorHAnsi" w:cs="Verdana"/>
          <w:sz w:val="20"/>
          <w:szCs w:val="20"/>
          <w:lang w:val="es-VE"/>
        </w:rPr>
        <w:t>1, 6 y 8 de la Convención Interamericana para Prevenir y Sancionar la Tortura;</w:t>
      </w:r>
      <w:r w:rsidR="00FE2027" w:rsidRPr="0007034B">
        <w:rPr>
          <w:rFonts w:asciiTheme="majorHAnsi" w:hAnsiTheme="majorHAnsi" w:cs="Verdana"/>
          <w:sz w:val="20"/>
          <w:szCs w:val="20"/>
          <w:lang w:val="es-VE"/>
        </w:rPr>
        <w:t xml:space="preserve"> así como de los artículos I, </w:t>
      </w:r>
      <w:r w:rsidR="007D790C" w:rsidRPr="0007034B">
        <w:rPr>
          <w:rFonts w:asciiTheme="majorHAnsi" w:hAnsiTheme="majorHAnsi" w:cs="Verdana"/>
          <w:sz w:val="20"/>
          <w:szCs w:val="20"/>
          <w:lang w:val="es-VE"/>
        </w:rPr>
        <w:t xml:space="preserve">V, VI, VIII, </w:t>
      </w:r>
      <w:r w:rsidR="00FE2027" w:rsidRPr="0007034B">
        <w:rPr>
          <w:rFonts w:asciiTheme="majorHAnsi" w:hAnsiTheme="majorHAnsi" w:cs="Verdana"/>
          <w:sz w:val="20"/>
          <w:szCs w:val="20"/>
          <w:lang w:val="es-VE"/>
        </w:rPr>
        <w:t xml:space="preserve">XVII, </w:t>
      </w:r>
      <w:r w:rsidR="007D790C" w:rsidRPr="0007034B">
        <w:rPr>
          <w:rFonts w:asciiTheme="majorHAnsi" w:hAnsiTheme="majorHAnsi" w:cs="Verdana"/>
          <w:sz w:val="20"/>
          <w:szCs w:val="20"/>
          <w:lang w:val="es-VE"/>
        </w:rPr>
        <w:t>XIX</w:t>
      </w:r>
      <w:r w:rsidR="005420F5" w:rsidRPr="0007034B">
        <w:rPr>
          <w:rFonts w:asciiTheme="majorHAnsi" w:hAnsiTheme="majorHAnsi" w:cs="Verdana"/>
          <w:sz w:val="20"/>
          <w:szCs w:val="20"/>
          <w:lang w:val="es-VE"/>
        </w:rPr>
        <w:t xml:space="preserve"> y</w:t>
      </w:r>
      <w:r w:rsidR="007D790C" w:rsidRPr="0007034B">
        <w:rPr>
          <w:rFonts w:asciiTheme="majorHAnsi" w:hAnsiTheme="majorHAnsi" w:cs="Verdana"/>
          <w:sz w:val="20"/>
          <w:szCs w:val="20"/>
          <w:lang w:val="es-VE"/>
        </w:rPr>
        <w:t xml:space="preserve"> </w:t>
      </w:r>
      <w:r w:rsidR="00FE2027" w:rsidRPr="0007034B">
        <w:rPr>
          <w:rFonts w:asciiTheme="majorHAnsi" w:hAnsiTheme="majorHAnsi" w:cs="Verdana"/>
          <w:sz w:val="20"/>
          <w:szCs w:val="20"/>
          <w:lang w:val="es-VE"/>
        </w:rPr>
        <w:t xml:space="preserve">XXV de la Declaración Americana de los Derechos y Deberes del Hombre, </w:t>
      </w:r>
      <w:r w:rsidR="007D790C" w:rsidRPr="0007034B">
        <w:rPr>
          <w:rFonts w:asciiTheme="majorHAnsi" w:hAnsiTheme="majorHAnsi" w:cs="Verdana"/>
          <w:sz w:val="20"/>
          <w:szCs w:val="20"/>
          <w:lang w:val="es-VE"/>
        </w:rPr>
        <w:t xml:space="preserve">en relación con su artículo VII, </w:t>
      </w:r>
      <w:r w:rsidR="00FE2027" w:rsidRPr="0007034B">
        <w:rPr>
          <w:rFonts w:asciiTheme="majorHAnsi" w:hAnsiTheme="majorHAnsi" w:cs="Verdana"/>
          <w:sz w:val="20"/>
          <w:szCs w:val="20"/>
          <w:lang w:val="es-VE"/>
        </w:rPr>
        <w:t>en perjuicio de</w:t>
      </w:r>
      <w:r w:rsidR="007D790C" w:rsidRPr="0007034B">
        <w:rPr>
          <w:rFonts w:asciiTheme="majorHAnsi" w:hAnsiTheme="majorHAnsi" w:cs="Verdana"/>
          <w:sz w:val="20"/>
          <w:szCs w:val="20"/>
          <w:lang w:val="es-VE"/>
        </w:rPr>
        <w:t xml:space="preserve"> Mario Roger Julien, Victoria Lucía Grisonas</w:t>
      </w:r>
      <w:r w:rsidR="00F208B4" w:rsidRPr="0007034B">
        <w:rPr>
          <w:rFonts w:asciiTheme="majorHAnsi" w:hAnsiTheme="majorHAnsi" w:cs="Verdana"/>
          <w:sz w:val="20"/>
          <w:szCs w:val="20"/>
          <w:lang w:val="es-VE"/>
        </w:rPr>
        <w:t xml:space="preserve"> </w:t>
      </w:r>
      <w:r w:rsidR="00F208B4" w:rsidRPr="0007034B">
        <w:rPr>
          <w:rFonts w:asciiTheme="majorHAnsi" w:hAnsiTheme="majorHAnsi"/>
          <w:sz w:val="20"/>
          <w:szCs w:val="20"/>
        </w:rPr>
        <w:t>Andrijauskaite</w:t>
      </w:r>
      <w:r w:rsidR="007D790C" w:rsidRPr="0007034B">
        <w:rPr>
          <w:rFonts w:asciiTheme="majorHAnsi" w:hAnsiTheme="majorHAnsi" w:cs="Verdana"/>
          <w:sz w:val="20"/>
          <w:szCs w:val="20"/>
          <w:lang w:val="es-VE"/>
        </w:rPr>
        <w:t>, Anatole Alejandro y Claudia Victoria Larrabeiti Yáñez.</w:t>
      </w:r>
    </w:p>
    <w:p w14:paraId="713B01C2" w14:textId="77777777" w:rsidR="00006896" w:rsidRPr="0007034B" w:rsidRDefault="00006896" w:rsidP="00006896">
      <w:pPr>
        <w:suppressAutoHyphens/>
        <w:jc w:val="both"/>
        <w:rPr>
          <w:rFonts w:asciiTheme="majorHAnsi" w:hAnsiTheme="majorHAnsi"/>
          <w:sz w:val="20"/>
          <w:szCs w:val="20"/>
          <w:lang w:val="es-ES_tradnl"/>
        </w:rPr>
      </w:pPr>
    </w:p>
    <w:p w14:paraId="7FBF62F0" w14:textId="77777777" w:rsidR="00006896" w:rsidRPr="0007034B" w:rsidRDefault="00006896" w:rsidP="0031160D">
      <w:pPr>
        <w:jc w:val="both"/>
        <w:rPr>
          <w:rFonts w:asciiTheme="majorHAnsi" w:hAnsiTheme="majorHAnsi"/>
          <w:b/>
          <w:sz w:val="20"/>
          <w:szCs w:val="20"/>
          <w:lang w:val="es-ES_tradnl"/>
        </w:rPr>
      </w:pPr>
      <w:r w:rsidRPr="0007034B">
        <w:rPr>
          <w:rFonts w:asciiTheme="majorHAnsi" w:hAnsiTheme="majorHAnsi"/>
          <w:b/>
          <w:sz w:val="20"/>
          <w:szCs w:val="20"/>
          <w:lang w:val="es-ES_tradnl"/>
        </w:rPr>
        <w:t xml:space="preserve">LA COMISIÓN INTERAMERICANA DE DERECHOS HUMANOS, RECOMIENDA AL ESTADO DE </w:t>
      </w:r>
      <w:r w:rsidR="00DB3110" w:rsidRPr="0007034B">
        <w:rPr>
          <w:rFonts w:asciiTheme="majorHAnsi" w:hAnsiTheme="majorHAnsi"/>
          <w:b/>
          <w:sz w:val="20"/>
          <w:szCs w:val="20"/>
          <w:lang w:val="es-ES_tradnl"/>
        </w:rPr>
        <w:t>ARGENTINA</w:t>
      </w:r>
      <w:r w:rsidRPr="0007034B">
        <w:rPr>
          <w:rFonts w:asciiTheme="majorHAnsi" w:hAnsiTheme="majorHAnsi"/>
          <w:b/>
          <w:sz w:val="20"/>
          <w:szCs w:val="20"/>
          <w:lang w:val="es-ES_tradnl"/>
        </w:rPr>
        <w:t>,</w:t>
      </w:r>
    </w:p>
    <w:p w14:paraId="6C438DF1" w14:textId="77777777" w:rsidR="00006896" w:rsidRPr="0007034B" w:rsidRDefault="00006896" w:rsidP="0000689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666666"/>
          <w:sz w:val="20"/>
          <w:szCs w:val="20"/>
          <w:bdr w:val="none" w:sz="0" w:space="0" w:color="auto"/>
          <w:lang w:val="es-US"/>
        </w:rPr>
      </w:pPr>
      <w:r w:rsidRPr="0007034B">
        <w:rPr>
          <w:rFonts w:asciiTheme="majorHAnsi" w:eastAsia="Times New Roman" w:hAnsiTheme="majorHAnsi"/>
          <w:color w:val="666666"/>
          <w:sz w:val="20"/>
          <w:szCs w:val="20"/>
          <w:bdr w:val="none" w:sz="0" w:space="0" w:color="auto"/>
          <w:lang w:val="es-US"/>
        </w:rPr>
        <w:t> </w:t>
      </w:r>
    </w:p>
    <w:p w14:paraId="76A94105" w14:textId="77777777" w:rsidR="0046191D" w:rsidRPr="0007034B" w:rsidRDefault="0046191D" w:rsidP="00B14871">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630"/>
        </w:tabs>
        <w:ind w:left="0" w:firstLine="0"/>
        <w:jc w:val="both"/>
        <w:rPr>
          <w:rFonts w:asciiTheme="majorHAnsi" w:hAnsiTheme="majorHAnsi"/>
          <w:sz w:val="20"/>
          <w:szCs w:val="20"/>
          <w:lang w:val="es-ES"/>
        </w:rPr>
      </w:pPr>
      <w:r w:rsidRPr="0007034B">
        <w:rPr>
          <w:rFonts w:asciiTheme="majorHAnsi" w:hAnsiTheme="majorHAnsi"/>
          <w:sz w:val="20"/>
          <w:szCs w:val="20"/>
          <w:lang w:val="es-ES"/>
        </w:rPr>
        <w:t xml:space="preserve">Investigar de manera completa, imparcial y efectiva el paradero de </w:t>
      </w:r>
      <w:r w:rsidRPr="0007034B">
        <w:rPr>
          <w:rFonts w:asciiTheme="majorHAnsi" w:hAnsiTheme="majorHAnsi" w:cs="Verdana"/>
          <w:sz w:val="20"/>
          <w:szCs w:val="20"/>
          <w:lang w:val="es-VE"/>
        </w:rPr>
        <w:t xml:space="preserve">Mario Roger Julien </w:t>
      </w:r>
      <w:r w:rsidR="005B2D3E" w:rsidRPr="0007034B">
        <w:rPr>
          <w:rFonts w:asciiTheme="majorHAnsi" w:hAnsiTheme="majorHAnsi" w:cs="Verdana"/>
          <w:sz w:val="20"/>
          <w:szCs w:val="20"/>
          <w:lang w:val="es-VE"/>
        </w:rPr>
        <w:t xml:space="preserve">Cáceres </w:t>
      </w:r>
      <w:r w:rsidRPr="0007034B">
        <w:rPr>
          <w:rFonts w:asciiTheme="majorHAnsi" w:hAnsiTheme="majorHAnsi" w:cs="Verdana"/>
          <w:sz w:val="20"/>
          <w:szCs w:val="20"/>
          <w:lang w:val="es-VE"/>
        </w:rPr>
        <w:t xml:space="preserve">y Victoria Lucía Grisonas </w:t>
      </w:r>
      <w:r w:rsidRPr="0007034B">
        <w:rPr>
          <w:rFonts w:asciiTheme="majorHAnsi" w:hAnsiTheme="majorHAnsi"/>
          <w:sz w:val="20"/>
          <w:szCs w:val="20"/>
          <w:lang w:val="es-ES"/>
        </w:rPr>
        <w:t>Andrijauskaite</w:t>
      </w:r>
      <w:r w:rsidRPr="0007034B">
        <w:rPr>
          <w:rFonts w:asciiTheme="majorHAnsi" w:eastAsia="Times New Roman" w:hAnsiTheme="majorHAnsi"/>
          <w:sz w:val="20"/>
          <w:szCs w:val="20"/>
          <w:lang w:val="es-ES" w:eastAsia="es-ES"/>
        </w:rPr>
        <w:t xml:space="preserve">, y de ser el caso, </w:t>
      </w:r>
      <w:r w:rsidRPr="0007034B">
        <w:rPr>
          <w:rFonts w:asciiTheme="majorHAnsi" w:hAnsiTheme="majorHAnsi"/>
          <w:sz w:val="20"/>
          <w:szCs w:val="20"/>
          <w:lang w:val="es-ES"/>
        </w:rPr>
        <w:t xml:space="preserve">adoptar las medidas necesarias para identificar y entregar a sus familiares los restos mortales según sus deseos. </w:t>
      </w:r>
    </w:p>
    <w:p w14:paraId="5630615D" w14:textId="77777777" w:rsidR="0046191D" w:rsidRPr="0007034B" w:rsidRDefault="0046191D" w:rsidP="004619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14:paraId="627A8A59" w14:textId="13998DD3" w:rsidR="0046191D" w:rsidRPr="0007034B" w:rsidRDefault="0046191D" w:rsidP="00B14871">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630"/>
        </w:tabs>
        <w:ind w:left="0" w:firstLine="0"/>
        <w:jc w:val="both"/>
        <w:rPr>
          <w:rFonts w:asciiTheme="majorHAnsi" w:hAnsiTheme="majorHAnsi"/>
          <w:sz w:val="20"/>
          <w:szCs w:val="20"/>
          <w:lang w:val="es-ES"/>
        </w:rPr>
      </w:pPr>
      <w:r w:rsidRPr="0007034B">
        <w:rPr>
          <w:rFonts w:asciiTheme="majorHAnsi" w:hAnsiTheme="majorHAnsi"/>
          <w:sz w:val="20"/>
          <w:szCs w:val="20"/>
          <w:lang w:val="es-ES"/>
        </w:rPr>
        <w:t xml:space="preserve">Investigar </w:t>
      </w:r>
      <w:r w:rsidR="005E7482">
        <w:rPr>
          <w:rFonts w:asciiTheme="majorHAnsi" w:hAnsiTheme="majorHAnsi"/>
          <w:sz w:val="20"/>
          <w:szCs w:val="20"/>
          <w:lang w:val="es-ES"/>
        </w:rPr>
        <w:t>penalmente</w:t>
      </w:r>
      <w:r w:rsidRPr="0007034B">
        <w:rPr>
          <w:rFonts w:asciiTheme="majorHAnsi" w:hAnsiTheme="majorHAnsi"/>
          <w:sz w:val="20"/>
          <w:szCs w:val="20"/>
          <w:lang w:val="es-ES"/>
        </w:rPr>
        <w:t xml:space="preserve"> las violaciones a los derechos humanos declaradas en el presente informe y conducir los procesos correspondientes por el delito de desaparición forzada de </w:t>
      </w:r>
      <w:r w:rsidR="005B2D3E" w:rsidRPr="0007034B">
        <w:rPr>
          <w:rFonts w:asciiTheme="majorHAnsi" w:hAnsiTheme="majorHAnsi" w:cs="Verdana"/>
          <w:sz w:val="20"/>
          <w:szCs w:val="20"/>
          <w:lang w:val="es-VE"/>
        </w:rPr>
        <w:t>Mario Roger Julien Cáceres y por los delitos de desaparición forzada y tortura de Anatole Alejandro y Claudia Victoria Larrabeiti Yáñez</w:t>
      </w:r>
      <w:r w:rsidRPr="0007034B">
        <w:rPr>
          <w:rFonts w:asciiTheme="majorHAnsi" w:hAnsiTheme="majorHAnsi"/>
          <w:sz w:val="20"/>
          <w:szCs w:val="20"/>
          <w:lang w:val="es-ES"/>
        </w:rPr>
        <w:t>, de manera imparcial, efectiva y dentro de un plazo razonable, con el objeto de esclarecer los hechos en forma completa, identificar a todos los responsables e imponer las sanciones que correspondan.</w:t>
      </w:r>
    </w:p>
    <w:p w14:paraId="121A5E63" w14:textId="77777777" w:rsidR="0046191D" w:rsidRPr="0007034B" w:rsidRDefault="0046191D" w:rsidP="0046191D">
      <w:pPr>
        <w:tabs>
          <w:tab w:val="left" w:pos="630"/>
        </w:tabs>
        <w:jc w:val="both"/>
        <w:rPr>
          <w:rFonts w:asciiTheme="majorHAnsi" w:hAnsiTheme="majorHAnsi"/>
          <w:sz w:val="20"/>
          <w:szCs w:val="20"/>
          <w:lang w:val="es-ES"/>
        </w:rPr>
      </w:pPr>
    </w:p>
    <w:p w14:paraId="18A3BE94" w14:textId="0E332F09" w:rsidR="0046191D" w:rsidRPr="0007034B" w:rsidRDefault="0046191D" w:rsidP="00B14871">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630"/>
        </w:tabs>
        <w:ind w:left="0" w:firstLine="0"/>
        <w:jc w:val="both"/>
        <w:rPr>
          <w:rFonts w:asciiTheme="majorHAnsi" w:hAnsiTheme="majorHAnsi"/>
          <w:sz w:val="20"/>
          <w:szCs w:val="20"/>
          <w:lang w:val="es-ES"/>
        </w:rPr>
      </w:pPr>
      <w:r w:rsidRPr="0007034B">
        <w:rPr>
          <w:rFonts w:asciiTheme="majorHAnsi" w:hAnsiTheme="majorHAnsi"/>
          <w:sz w:val="20"/>
          <w:szCs w:val="20"/>
          <w:lang w:val="es-ES"/>
        </w:rPr>
        <w:t>Reparar adecuadamente las violaciones de derechos humanos declaradas en el presente informe tanto en el aspecto material como moral, incluyendo una justa compensación</w:t>
      </w:r>
      <w:r w:rsidR="00D87A2B" w:rsidRPr="0007034B">
        <w:rPr>
          <w:rFonts w:asciiTheme="majorHAnsi" w:hAnsiTheme="majorHAnsi"/>
          <w:sz w:val="20"/>
          <w:szCs w:val="20"/>
          <w:lang w:val="es-ES"/>
        </w:rPr>
        <w:t xml:space="preserve"> y medidas de satisfacción que incluyan</w:t>
      </w:r>
      <w:r w:rsidRPr="0007034B">
        <w:rPr>
          <w:rFonts w:asciiTheme="majorHAnsi" w:hAnsiTheme="majorHAnsi"/>
          <w:sz w:val="20"/>
          <w:szCs w:val="20"/>
          <w:lang w:val="es-ES"/>
        </w:rPr>
        <w:t xml:space="preserve"> el establecimiento y difusión de la verdad histórica de los hechos</w:t>
      </w:r>
      <w:r w:rsidR="00D87A2B" w:rsidRPr="0007034B">
        <w:rPr>
          <w:rFonts w:asciiTheme="majorHAnsi" w:hAnsiTheme="majorHAnsi"/>
          <w:sz w:val="20"/>
          <w:szCs w:val="20"/>
          <w:lang w:val="es-ES"/>
        </w:rPr>
        <w:t xml:space="preserve">, así como otras medidas de similar naturaleza en  consulta con </w:t>
      </w:r>
      <w:r w:rsidR="005B2D3E" w:rsidRPr="0007034B">
        <w:rPr>
          <w:rFonts w:asciiTheme="majorHAnsi" w:hAnsiTheme="majorHAnsi" w:cs="Verdana"/>
          <w:sz w:val="20"/>
          <w:szCs w:val="20"/>
          <w:lang w:val="es-VE"/>
        </w:rPr>
        <w:t>Anatole Alejandro y Claudia Victoria Larrabeiti Yáñez</w:t>
      </w:r>
      <w:r w:rsidRPr="0007034B">
        <w:rPr>
          <w:rFonts w:asciiTheme="majorHAnsi" w:hAnsiTheme="majorHAnsi"/>
          <w:sz w:val="20"/>
          <w:szCs w:val="20"/>
          <w:lang w:val="es-ES"/>
        </w:rPr>
        <w:t xml:space="preserve">. </w:t>
      </w:r>
    </w:p>
    <w:p w14:paraId="01D96C41" w14:textId="77777777" w:rsidR="009B01F2" w:rsidRPr="0007034B" w:rsidRDefault="009B01F2" w:rsidP="009B01F2">
      <w:pPr>
        <w:pStyle w:val="ListParagraph"/>
        <w:rPr>
          <w:rFonts w:asciiTheme="majorHAnsi" w:hAnsiTheme="majorHAnsi"/>
          <w:sz w:val="20"/>
          <w:szCs w:val="20"/>
          <w:lang w:val="es-ES"/>
        </w:rPr>
      </w:pPr>
    </w:p>
    <w:p w14:paraId="2FAC58DA" w14:textId="62831D1D" w:rsidR="009B01F2" w:rsidRPr="0007034B" w:rsidRDefault="009B01F2" w:rsidP="00B14871">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630"/>
        </w:tabs>
        <w:ind w:left="0" w:firstLine="0"/>
        <w:jc w:val="both"/>
        <w:rPr>
          <w:rFonts w:asciiTheme="majorHAnsi" w:hAnsiTheme="majorHAnsi"/>
          <w:sz w:val="20"/>
          <w:szCs w:val="20"/>
          <w:lang w:val="es-ES"/>
        </w:rPr>
      </w:pPr>
      <w:r w:rsidRPr="0007034B">
        <w:rPr>
          <w:rFonts w:asciiTheme="majorHAnsi" w:hAnsiTheme="majorHAnsi"/>
          <w:sz w:val="20"/>
          <w:szCs w:val="20"/>
          <w:lang w:val="es-ES"/>
        </w:rPr>
        <w:t xml:space="preserve">Implementar un programa adecuado de atención en salud física o mental a </w:t>
      </w:r>
      <w:r w:rsidRPr="0007034B">
        <w:rPr>
          <w:rFonts w:asciiTheme="majorHAnsi" w:hAnsiTheme="majorHAnsi" w:cs="Verdana"/>
          <w:sz w:val="20"/>
          <w:szCs w:val="20"/>
          <w:lang w:val="es-VE"/>
        </w:rPr>
        <w:t>Anatole Alejandro y Claudia Victoria Larrabeiti Yáñez</w:t>
      </w:r>
      <w:r w:rsidRPr="0007034B">
        <w:rPr>
          <w:rFonts w:asciiTheme="majorHAnsi" w:hAnsiTheme="majorHAnsi"/>
          <w:sz w:val="20"/>
          <w:szCs w:val="20"/>
          <w:lang w:val="es-ES"/>
        </w:rPr>
        <w:t>, de ser su deseo y en consulta con estos.</w:t>
      </w:r>
      <w:r w:rsidR="00925E0B" w:rsidRPr="0007034B">
        <w:rPr>
          <w:rFonts w:asciiTheme="majorHAnsi" w:hAnsiTheme="majorHAnsi"/>
          <w:sz w:val="20"/>
          <w:szCs w:val="20"/>
          <w:lang w:val="es-ES"/>
        </w:rPr>
        <w:t xml:space="preserve"> Tomando en cuenta que no se encuentran bajo la jurisdicción del Estado de Argentina, se disponga de los medios diplomáticos o de otra índole para el cumplimiento de esta medida en el centro de atención especializada de su escogencia, o se valore el pago de un monto suficiente para que puedan costear el eventual tratamiento.</w:t>
      </w:r>
    </w:p>
    <w:p w14:paraId="512EF429" w14:textId="3540C96E" w:rsidR="00D87A2B" w:rsidRPr="0007034B" w:rsidRDefault="00D87A2B" w:rsidP="00D87A2B">
      <w:pPr>
        <w:pBdr>
          <w:top w:val="none" w:sz="0" w:space="0" w:color="auto"/>
          <w:left w:val="none" w:sz="0" w:space="0" w:color="auto"/>
          <w:bottom w:val="none" w:sz="0" w:space="0" w:color="auto"/>
          <w:right w:val="none" w:sz="0" w:space="0" w:color="auto"/>
          <w:between w:val="none" w:sz="0" w:space="0" w:color="auto"/>
          <w:bar w:val="none" w:sz="0" w:color="auto"/>
        </w:pBdr>
        <w:tabs>
          <w:tab w:val="left" w:pos="630"/>
        </w:tabs>
        <w:jc w:val="both"/>
        <w:rPr>
          <w:rFonts w:asciiTheme="majorHAnsi" w:hAnsiTheme="majorHAnsi"/>
          <w:sz w:val="20"/>
          <w:szCs w:val="20"/>
          <w:lang w:val="es-ES"/>
        </w:rPr>
      </w:pPr>
    </w:p>
    <w:p w14:paraId="24BE4783" w14:textId="06E5E8F1" w:rsidR="0046191D" w:rsidRPr="0007034B" w:rsidRDefault="0046191D" w:rsidP="00B14871">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630"/>
          <w:tab w:val="num" w:pos="720"/>
          <w:tab w:val="left" w:pos="1134"/>
        </w:tabs>
        <w:suppressAutoHyphens/>
        <w:ind w:left="0" w:firstLine="0"/>
        <w:jc w:val="both"/>
        <w:rPr>
          <w:rFonts w:asciiTheme="majorHAnsi" w:hAnsiTheme="majorHAnsi"/>
          <w:sz w:val="20"/>
          <w:szCs w:val="20"/>
          <w:lang w:val="es-ES"/>
        </w:rPr>
      </w:pPr>
      <w:r w:rsidRPr="0007034B">
        <w:rPr>
          <w:rFonts w:asciiTheme="majorHAnsi" w:hAnsiTheme="majorHAnsi"/>
          <w:sz w:val="20"/>
          <w:szCs w:val="20"/>
          <w:lang w:val="es-ES"/>
        </w:rPr>
        <w:t xml:space="preserve">Adoptar las medidas de no repetición necesarias para evitar que en el futuro se produzcan hechos similares. Las medidas de no repetición en el presente caso deberán incluir </w:t>
      </w:r>
      <w:r w:rsidR="00870233" w:rsidRPr="0007034B">
        <w:rPr>
          <w:rFonts w:asciiTheme="majorHAnsi" w:hAnsiTheme="majorHAnsi"/>
          <w:sz w:val="20"/>
          <w:szCs w:val="20"/>
          <w:lang w:val="es-ES"/>
        </w:rPr>
        <w:t>un</w:t>
      </w:r>
      <w:r w:rsidR="006C3D6F" w:rsidRPr="0007034B">
        <w:rPr>
          <w:rFonts w:asciiTheme="majorHAnsi" w:hAnsiTheme="majorHAnsi"/>
          <w:sz w:val="20"/>
          <w:szCs w:val="20"/>
          <w:lang w:val="es-ES"/>
        </w:rPr>
        <w:t>a adecuación legislativa y</w:t>
      </w:r>
      <w:r w:rsidR="00870233" w:rsidRPr="0007034B">
        <w:rPr>
          <w:rFonts w:asciiTheme="majorHAnsi" w:hAnsiTheme="majorHAnsi"/>
          <w:sz w:val="20"/>
          <w:szCs w:val="20"/>
          <w:lang w:val="es-ES"/>
        </w:rPr>
        <w:t xml:space="preserve"> cambio de práctica en la jurisprudencia nacional para que no se declaren prescriptas </w:t>
      </w:r>
      <w:r w:rsidR="00870233" w:rsidRPr="0007034B">
        <w:rPr>
          <w:rFonts w:asciiTheme="majorHAnsi" w:hAnsiTheme="majorHAnsi"/>
          <w:sz w:val="20"/>
          <w:szCs w:val="20"/>
          <w:bdr w:val="none" w:sz="0" w:space="0" w:color="auto"/>
          <w:lang w:val="es-ES"/>
        </w:rPr>
        <w:t>las acciones civiles relativas a</w:t>
      </w:r>
      <w:r w:rsidR="008269D3" w:rsidRPr="0007034B">
        <w:rPr>
          <w:rFonts w:asciiTheme="majorHAnsi" w:hAnsiTheme="majorHAnsi"/>
          <w:sz w:val="20"/>
          <w:szCs w:val="20"/>
          <w:bdr w:val="none" w:sz="0" w:space="0" w:color="auto"/>
          <w:lang w:val="es-ES"/>
        </w:rPr>
        <w:t xml:space="preserve"> crímenes de lesa humanidad, con independencia de si las acciones iniciaron con anterioridad a la vigencia de la normativa actual que establece la imprescriptibilidad de las mismas.</w:t>
      </w:r>
      <w:r w:rsidR="0084514B" w:rsidRPr="0007034B">
        <w:rPr>
          <w:rFonts w:asciiTheme="majorHAnsi" w:hAnsiTheme="majorHAnsi"/>
          <w:sz w:val="20"/>
          <w:szCs w:val="20"/>
          <w:bdr w:val="none" w:sz="0" w:space="0" w:color="auto"/>
          <w:lang w:val="es-ES"/>
        </w:rPr>
        <w:t xml:space="preserve"> Asimismo, deberán incluir medidas para continuar desplegando los esfuerzos necesarios para que las investigaciones de los crímenes de lesa humanidad cometidos durante la dictadura avancen con la mayor celeridad y conforme a las obligaciones internacionales del Estado</w:t>
      </w:r>
      <w:r w:rsidR="00673A4C" w:rsidRPr="0007034B">
        <w:rPr>
          <w:rFonts w:asciiTheme="majorHAnsi" w:hAnsiTheme="majorHAnsi"/>
          <w:sz w:val="20"/>
          <w:szCs w:val="20"/>
          <w:bdr w:val="none" w:sz="0" w:space="0" w:color="auto"/>
          <w:lang w:val="es-ES"/>
        </w:rPr>
        <w:t>, y para el restablecimiento de la identidad de niños y niñas desaparecidos durante la dictadura.</w:t>
      </w:r>
      <w:r w:rsidR="008269D3" w:rsidRPr="0007034B">
        <w:rPr>
          <w:rFonts w:asciiTheme="majorHAnsi" w:hAnsiTheme="majorHAnsi"/>
          <w:sz w:val="20"/>
          <w:szCs w:val="20"/>
          <w:bdr w:val="none" w:sz="0" w:space="0" w:color="auto"/>
          <w:lang w:val="es-ES"/>
        </w:rPr>
        <w:t xml:space="preserve"> </w:t>
      </w:r>
    </w:p>
    <w:p w14:paraId="32CA39C4" w14:textId="08712F73" w:rsidR="0046191D" w:rsidRDefault="0046191D" w:rsidP="0000689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666666"/>
          <w:sz w:val="20"/>
          <w:szCs w:val="20"/>
          <w:bdr w:val="none" w:sz="0" w:space="0" w:color="auto"/>
          <w:lang w:val="es-ES"/>
        </w:rPr>
      </w:pPr>
    </w:p>
    <w:p w14:paraId="7935F8F5" w14:textId="4B023EB9" w:rsidR="009624E3" w:rsidRDefault="009624E3" w:rsidP="009624E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bdr w:val="none" w:sz="0" w:space="0" w:color="auto"/>
          <w:lang w:val="es-ES"/>
        </w:rPr>
      </w:pPr>
      <w:r w:rsidRPr="009624E3">
        <w:rPr>
          <w:rFonts w:asciiTheme="majorHAnsi" w:hAnsiTheme="majorHAnsi"/>
          <w:sz w:val="20"/>
          <w:szCs w:val="20"/>
          <w:bdr w:val="none" w:sz="0" w:space="0" w:color="auto"/>
          <w:lang w:val="es-ES"/>
        </w:rPr>
        <w:t>Aprobado por la Comisión Interamericana de Derechos Humanos en la ciudad de Kingston, Jamaica, a los 4 días del mes de mayo de 2019. (Firmado): Esmeralda E. Arosemena Bernal de Troitiño, Presidenta; Joel Hernández, Primer Vicepresidnete; Antoia Urrejola, Segunda Vicepresidenta; Margarette May Mcaulay, Francisco José Eguiguren, Luis Ernesto Vargas Silva, y Flávia Piovesan, Miembros de la Comisión.</w:t>
      </w:r>
    </w:p>
    <w:p w14:paraId="302D0F9B" w14:textId="520D48CC" w:rsidR="009624E3" w:rsidRDefault="009624E3" w:rsidP="009624E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bdr w:val="none" w:sz="0" w:space="0" w:color="auto"/>
          <w:lang w:val="es-ES"/>
        </w:rPr>
      </w:pPr>
    </w:p>
    <w:p w14:paraId="1CE45F06" w14:textId="56549770" w:rsidR="009624E3" w:rsidRDefault="009624E3" w:rsidP="009624E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bdr w:val="none" w:sz="0" w:space="0" w:color="auto"/>
          <w:lang w:val="es-ES"/>
        </w:rPr>
      </w:pPr>
      <w:bookmarkStart w:id="112" w:name="_GoBack"/>
      <w:bookmarkEnd w:id="112"/>
    </w:p>
    <w:p w14:paraId="4FB8DF86" w14:textId="5D44FF66" w:rsidR="009624E3" w:rsidRPr="009624E3" w:rsidRDefault="009624E3" w:rsidP="009624E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bdr w:val="none" w:sz="0" w:space="0" w:color="auto"/>
          <w:lang w:val="es-ES"/>
        </w:rPr>
      </w:pPr>
    </w:p>
    <w:sectPr w:rsidR="009624E3" w:rsidRPr="009624E3" w:rsidSect="00D63269">
      <w:headerReference w:type="even" r:id="rId14"/>
      <w:footerReference w:type="default" r:id="rId15"/>
      <w:footerReference w:type="first" r:id="rId16"/>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826D6" w14:textId="77777777" w:rsidR="001A50E3" w:rsidRDefault="001A50E3">
      <w:r>
        <w:separator/>
      </w:r>
    </w:p>
  </w:endnote>
  <w:endnote w:type="continuationSeparator" w:id="0">
    <w:p w14:paraId="1506F867" w14:textId="77777777" w:rsidR="001A50E3" w:rsidRDefault="001A5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BookAntiqu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2081886"/>
      <w:docPartObj>
        <w:docPartGallery w:val="Page Numbers (Bottom of Page)"/>
        <w:docPartUnique/>
      </w:docPartObj>
    </w:sdtPr>
    <w:sdtEndPr>
      <w:rPr>
        <w:noProof/>
        <w:sz w:val="16"/>
        <w:szCs w:val="22"/>
      </w:rPr>
    </w:sdtEndPr>
    <w:sdtContent>
      <w:p w14:paraId="6D343392" w14:textId="77777777" w:rsidR="009624E3" w:rsidRPr="00934A2C" w:rsidRDefault="009624E3">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4</w:t>
        </w:r>
        <w:r w:rsidRPr="00934A2C">
          <w:rPr>
            <w:noProof/>
            <w:sz w:val="16"/>
            <w:szCs w:val="22"/>
          </w:rPr>
          <w:fldChar w:fldCharType="end"/>
        </w:r>
      </w:p>
    </w:sdtContent>
  </w:sdt>
  <w:p w14:paraId="06AB4D32" w14:textId="77777777" w:rsidR="009624E3" w:rsidRDefault="009624E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B98C5" w14:textId="77777777" w:rsidR="009624E3" w:rsidRPr="00934A2C" w:rsidRDefault="009624E3">
    <w:pPr>
      <w:pStyle w:val="Footer"/>
      <w:jc w:val="center"/>
      <w:rPr>
        <w:sz w:val="16"/>
        <w:szCs w:val="22"/>
      </w:rPr>
    </w:pPr>
  </w:p>
  <w:p w14:paraId="6A006F8B" w14:textId="77777777" w:rsidR="009624E3" w:rsidRDefault="009624E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5294112"/>
      <w:docPartObj>
        <w:docPartGallery w:val="Page Numbers (Bottom of Page)"/>
        <w:docPartUnique/>
      </w:docPartObj>
    </w:sdtPr>
    <w:sdtEndPr>
      <w:rPr>
        <w:noProof/>
        <w:sz w:val="16"/>
        <w:szCs w:val="22"/>
      </w:rPr>
    </w:sdtEndPr>
    <w:sdtContent>
      <w:p w14:paraId="4617A382" w14:textId="0FEA6A31" w:rsidR="009624E3" w:rsidRPr="00934A2C" w:rsidRDefault="009624E3">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F449F">
          <w:rPr>
            <w:noProof/>
            <w:sz w:val="16"/>
            <w:szCs w:val="22"/>
          </w:rPr>
          <w:t>53</w:t>
        </w:r>
        <w:r w:rsidRPr="00934A2C">
          <w:rPr>
            <w:noProof/>
            <w:sz w:val="16"/>
            <w:szCs w:val="22"/>
          </w:rPr>
          <w:fldChar w:fldCharType="end"/>
        </w:r>
      </w:p>
    </w:sdtContent>
  </w:sdt>
  <w:p w14:paraId="13E88B9E" w14:textId="77777777" w:rsidR="009624E3" w:rsidRDefault="009624E3">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B97E0" w14:textId="77777777" w:rsidR="009624E3" w:rsidRPr="00934A2C" w:rsidRDefault="009624E3">
    <w:pPr>
      <w:pStyle w:val="Footer"/>
      <w:jc w:val="center"/>
      <w:rPr>
        <w:sz w:val="16"/>
        <w:szCs w:val="22"/>
      </w:rPr>
    </w:pPr>
  </w:p>
  <w:p w14:paraId="115E5EB8" w14:textId="77777777" w:rsidR="009624E3" w:rsidRDefault="009624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3FEED" w14:textId="77777777" w:rsidR="001A50E3" w:rsidRPr="000F35ED" w:rsidRDefault="001A50E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9E800F4" w14:textId="77777777" w:rsidR="001A50E3" w:rsidRPr="000F35ED" w:rsidRDefault="001A50E3" w:rsidP="000F35ED">
      <w:pPr>
        <w:rPr>
          <w:rFonts w:asciiTheme="majorHAnsi" w:hAnsiTheme="majorHAnsi"/>
          <w:sz w:val="16"/>
          <w:szCs w:val="16"/>
        </w:rPr>
      </w:pPr>
      <w:r w:rsidRPr="000F35ED">
        <w:rPr>
          <w:rFonts w:asciiTheme="majorHAnsi" w:hAnsiTheme="majorHAnsi"/>
          <w:sz w:val="16"/>
          <w:szCs w:val="16"/>
        </w:rPr>
        <w:separator/>
      </w:r>
    </w:p>
    <w:p w14:paraId="44795041" w14:textId="77777777" w:rsidR="001A50E3" w:rsidRPr="000F35ED" w:rsidRDefault="001A50E3"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14630B7" w14:textId="77777777" w:rsidR="001A50E3" w:rsidRPr="000F35ED" w:rsidRDefault="001A50E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D2EC5DD" w14:textId="77777777" w:rsidR="009624E3" w:rsidRPr="002A5EB5" w:rsidRDefault="009624E3">
      <w:pPr>
        <w:pStyle w:val="FootnoteText"/>
        <w:rPr>
          <w:lang w:val="es-ES"/>
        </w:rPr>
      </w:pPr>
      <w:r>
        <w:rPr>
          <w:rStyle w:val="FootnoteReference"/>
        </w:rPr>
        <w:footnoteRef/>
      </w:r>
      <w:r w:rsidRPr="002A5EB5">
        <w:rPr>
          <w:lang w:val="es-ES"/>
        </w:rPr>
        <w:t xml:space="preserve"> </w:t>
      </w:r>
      <w:r>
        <w:rPr>
          <w:lang w:val="es-ES"/>
        </w:rPr>
        <w:t xml:space="preserve">Durante el trámite del presente caso ante la Comisión Interamericana, el mismo tuvo el nombre de “Anatole Alejandro y Claudia Victoria Larrabeiti Yáñez”. Teniendo en cuenta que el presente informe abarca los hechos ocurridos a la pareja de Mario Roger Julien y Victoria Lucía Grisonas y su hijo e hija, se ha cambiado el nombre al de “Familia Julien – Grisonas”. </w:t>
      </w:r>
    </w:p>
  </w:footnote>
  <w:footnote w:id="3">
    <w:p w14:paraId="06699E8F" w14:textId="08B8259A" w:rsidR="009624E3" w:rsidRPr="00F65B8B" w:rsidRDefault="009624E3" w:rsidP="00D47D84">
      <w:pPr>
        <w:pStyle w:val="FootnoteText"/>
        <w:mirrorIndents/>
        <w:rPr>
          <w:lang w:val="es-ES"/>
        </w:rPr>
      </w:pPr>
      <w:r>
        <w:rPr>
          <w:rStyle w:val="FootnoteReference"/>
        </w:rPr>
        <w:footnoteRef/>
      </w:r>
      <w:r w:rsidRPr="00F65B8B">
        <w:rPr>
          <w:lang w:val="es-ES"/>
        </w:rPr>
        <w:t xml:space="preserve"> </w:t>
      </w:r>
      <w:r>
        <w:rPr>
          <w:lang w:val="es-ES"/>
        </w:rPr>
        <w:t xml:space="preserve">Los nombres y apellidos corresponden a su condición de hijo e hija adoptivos. De acuerdo a su filiación biológica, sus nombres son Anatole Boris y Victoria Eva Julien Grisonas. </w:t>
      </w:r>
    </w:p>
  </w:footnote>
  <w:footnote w:id="4">
    <w:p w14:paraId="7103F068" w14:textId="42AEBF88" w:rsidR="009624E3" w:rsidRDefault="009624E3" w:rsidP="00FD6D5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eastAsia="Calibri" w:hAnsiTheme="majorHAnsi" w:cs="Calibri"/>
          <w:color w:val="000000"/>
          <w:sz w:val="16"/>
          <w:szCs w:val="16"/>
          <w:u w:color="000000"/>
          <w:lang w:val="es-ES" w:eastAsia="es-ES"/>
        </w:rPr>
      </w:pPr>
      <w:r w:rsidRPr="00FD6D56">
        <w:rPr>
          <w:rStyle w:val="FootnoteReference"/>
          <w:rFonts w:asciiTheme="majorHAnsi" w:eastAsia="Calibri" w:hAnsiTheme="majorHAnsi" w:cs="Calibri"/>
          <w:color w:val="000000"/>
          <w:sz w:val="16"/>
          <w:szCs w:val="16"/>
          <w:u w:color="000000"/>
          <w:lang w:eastAsia="es-ES"/>
        </w:rPr>
        <w:footnoteRef/>
      </w:r>
      <w:r>
        <w:rPr>
          <w:rStyle w:val="FootnoteReference"/>
          <w:rFonts w:asciiTheme="majorHAnsi" w:eastAsia="Calibri" w:hAnsiTheme="majorHAnsi" w:cs="Calibri"/>
          <w:color w:val="000000"/>
          <w:sz w:val="16"/>
          <w:szCs w:val="16"/>
          <w:u w:color="000000"/>
          <w:lang w:val="es-ES" w:eastAsia="es-ES"/>
        </w:rPr>
        <w:t xml:space="preserve"> </w:t>
      </w:r>
      <w:r>
        <w:rPr>
          <w:rFonts w:asciiTheme="majorHAnsi" w:eastAsia="Calibri" w:hAnsiTheme="majorHAnsi" w:cs="Calibri"/>
          <w:color w:val="000000"/>
          <w:sz w:val="16"/>
          <w:szCs w:val="16"/>
          <w:u w:color="000000"/>
          <w:lang w:val="es-ES" w:eastAsia="es-ES"/>
        </w:rPr>
        <w:t xml:space="preserve">La Comisión considera pertinente hacer referencia a dos aspectos relacionados al trámite del presente caso y a otras peticiones relacionadas con el objeto del mismo:   </w:t>
      </w:r>
    </w:p>
    <w:p w14:paraId="63558278" w14:textId="05A4485F" w:rsidR="009624E3" w:rsidRPr="00FD6D56" w:rsidRDefault="009624E3" w:rsidP="00FD6D5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eastAsia="Calibri" w:hAnsiTheme="majorHAnsi" w:cs="Calibri"/>
          <w:color w:val="000000"/>
          <w:sz w:val="16"/>
          <w:szCs w:val="16"/>
          <w:u w:color="000000"/>
          <w:lang w:val="es-ES" w:eastAsia="es-ES"/>
        </w:rPr>
      </w:pPr>
      <w:r>
        <w:rPr>
          <w:rFonts w:asciiTheme="majorHAnsi" w:eastAsia="Calibri" w:hAnsiTheme="majorHAnsi" w:cs="Calibri"/>
          <w:color w:val="000000"/>
          <w:sz w:val="16"/>
          <w:szCs w:val="16"/>
          <w:u w:color="000000"/>
          <w:lang w:val="es-ES" w:eastAsia="es-ES"/>
        </w:rPr>
        <w:t>E</w:t>
      </w:r>
      <w:r w:rsidRPr="00FD6D56">
        <w:rPr>
          <w:rFonts w:asciiTheme="majorHAnsi" w:eastAsia="Calibri" w:hAnsiTheme="majorHAnsi" w:cs="Calibri"/>
          <w:color w:val="000000"/>
          <w:sz w:val="16"/>
          <w:szCs w:val="16"/>
          <w:u w:color="000000"/>
          <w:lang w:val="es-ES" w:eastAsia="es-ES"/>
        </w:rPr>
        <w:t>l 8 de enero de 1997 el señor Marques Iraola presentó una petición ante la CIDH alegando violaciones a los derechos humanos de los h</w:t>
      </w:r>
      <w:r>
        <w:rPr>
          <w:rFonts w:asciiTheme="majorHAnsi" w:eastAsia="Calibri" w:hAnsiTheme="majorHAnsi" w:cs="Calibri"/>
          <w:color w:val="000000"/>
          <w:sz w:val="16"/>
          <w:szCs w:val="16"/>
          <w:u w:color="000000"/>
          <w:lang w:val="es-ES" w:eastAsia="es-ES"/>
        </w:rPr>
        <w:t xml:space="preserve">ermanos Larrabeiti Yáñez por </w:t>
      </w:r>
      <w:r w:rsidRPr="00FD6D56">
        <w:rPr>
          <w:rFonts w:asciiTheme="majorHAnsi" w:eastAsia="Calibri" w:hAnsiTheme="majorHAnsi" w:cs="Calibri"/>
          <w:color w:val="000000"/>
          <w:sz w:val="16"/>
          <w:szCs w:val="16"/>
          <w:u w:color="000000"/>
          <w:lang w:val="es-ES" w:eastAsia="es-ES"/>
        </w:rPr>
        <w:t xml:space="preserve">falta de acceso a la información respecto del considerando cuarto del Decreto No. 1025/96 que se hará mención en el presente informe. Dicha petición fue registrada bajo el número P-13-97. A raíz de la notificación de dicha petición al Estado, la entonces Subsecretaria de Derechos Humanos dio respuesta a la solicitud de información, por lo que el peticionario dio por terminada la búsqueda de información y desistió de la petición ante la CIDH el 27 de octubre de 1997.  </w:t>
      </w:r>
    </w:p>
    <w:p w14:paraId="684547B2" w14:textId="058CE68C" w:rsidR="009624E3" w:rsidRPr="00FD6D56" w:rsidRDefault="009624E3" w:rsidP="00FD6D5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eastAsia="Calibri" w:hAnsiTheme="majorHAnsi" w:cs="Calibri"/>
          <w:color w:val="000000"/>
          <w:sz w:val="16"/>
          <w:szCs w:val="16"/>
          <w:u w:color="000000"/>
          <w:lang w:val="es-ES" w:eastAsia="es-ES"/>
        </w:rPr>
      </w:pPr>
      <w:r w:rsidRPr="00FD6D56">
        <w:rPr>
          <w:rFonts w:asciiTheme="majorHAnsi" w:eastAsia="Calibri" w:hAnsiTheme="majorHAnsi" w:cs="Calibri"/>
          <w:color w:val="000000"/>
          <w:sz w:val="16"/>
          <w:szCs w:val="16"/>
          <w:u w:color="000000"/>
          <w:lang w:val="es-ES" w:eastAsia="es-ES"/>
        </w:rPr>
        <w:t xml:space="preserve">Por otra parte, el 11 de noviembre de 2005 el señor Marques Iraola presentó ante la CIDH la petición objeto del presente informe. El 30 de abril de 2008, mientras la petición se encontraba en etapa de </w:t>
      </w:r>
      <w:r>
        <w:rPr>
          <w:rFonts w:asciiTheme="majorHAnsi" w:eastAsia="Calibri" w:hAnsiTheme="majorHAnsi" w:cs="Calibri"/>
          <w:color w:val="000000"/>
          <w:sz w:val="16"/>
          <w:szCs w:val="16"/>
          <w:u w:color="000000"/>
          <w:lang w:val="es-ES" w:eastAsia="es-ES"/>
        </w:rPr>
        <w:t>estudio preliminar</w:t>
      </w:r>
      <w:r w:rsidRPr="00FD6D56">
        <w:rPr>
          <w:rFonts w:asciiTheme="majorHAnsi" w:eastAsia="Calibri" w:hAnsiTheme="majorHAnsi" w:cs="Calibri"/>
          <w:color w:val="000000"/>
          <w:sz w:val="16"/>
          <w:szCs w:val="16"/>
          <w:u w:color="000000"/>
          <w:lang w:val="es-ES" w:eastAsia="es-ES"/>
        </w:rPr>
        <w:t xml:space="preserve">, la parte peticionaria presentó una petición que calificó de “nueva y distinta” de la presentada el 11 de noviembre de 2005. La Secretaría Ejecutiva de la CIDH, luego de analizar dicha petición, determinó que, por tratarse de hechos intrínsecamente vinculados a los referidos en la petición presentada en 2005, correspondía considerarla como parte de ésta. El 15 de diciembre de 2010 la Comisión trasladó al Estado la petición original recibida en 2005 junto con la información presentada durante la etapa de </w:t>
      </w:r>
      <w:r>
        <w:rPr>
          <w:rFonts w:asciiTheme="majorHAnsi" w:eastAsia="Calibri" w:hAnsiTheme="majorHAnsi" w:cs="Calibri"/>
          <w:color w:val="000000"/>
          <w:sz w:val="16"/>
          <w:szCs w:val="16"/>
          <w:u w:color="000000"/>
          <w:lang w:val="es-ES" w:eastAsia="es-ES"/>
        </w:rPr>
        <w:t>estudio preliminar</w:t>
      </w:r>
      <w:r w:rsidRPr="00FD6D56">
        <w:rPr>
          <w:rFonts w:asciiTheme="majorHAnsi" w:eastAsia="Calibri" w:hAnsiTheme="majorHAnsi" w:cs="Calibri"/>
          <w:color w:val="000000"/>
          <w:sz w:val="16"/>
          <w:szCs w:val="16"/>
          <w:u w:color="000000"/>
          <w:lang w:val="es-ES" w:eastAsia="es-ES"/>
        </w:rPr>
        <w:t xml:space="preserve">, entre ella la recibida el 30 de abril de 2008. </w:t>
      </w:r>
    </w:p>
    <w:p w14:paraId="34D9E026" w14:textId="70568F65" w:rsidR="009624E3" w:rsidRPr="00FD6D56" w:rsidRDefault="009624E3" w:rsidP="00FD6D5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ES_tradnl"/>
        </w:rPr>
      </w:pPr>
      <w:r w:rsidRPr="00FD6D56">
        <w:rPr>
          <w:rFonts w:asciiTheme="majorHAnsi" w:eastAsia="Calibri" w:hAnsiTheme="majorHAnsi" w:cs="Calibri"/>
          <w:color w:val="000000"/>
          <w:sz w:val="16"/>
          <w:szCs w:val="16"/>
          <w:u w:color="000000"/>
          <w:lang w:val="es-ES" w:eastAsia="es-ES"/>
        </w:rPr>
        <w:t xml:space="preserve">Durante la etapa de admisibilidad se llevó a cabo un proceso de solución amistosa entre las partes. Dicho proceso inició en el año 2010 y finalizó a solicitud de la parte peticionaria en 2017. Mediante nota transmitida el 15 de junio de 2017, la CIDH informó a las partes que daba por concluida su intervención en el procedimiento de solución amistosa. </w:t>
      </w:r>
      <w:r>
        <w:rPr>
          <w:rFonts w:asciiTheme="majorHAnsi" w:eastAsia="Calibri" w:hAnsiTheme="majorHAnsi" w:cs="Calibri"/>
          <w:color w:val="000000"/>
          <w:sz w:val="16"/>
          <w:szCs w:val="16"/>
          <w:u w:color="000000"/>
          <w:lang w:val="es-ES" w:eastAsia="es-ES"/>
        </w:rPr>
        <w:t>E</w:t>
      </w:r>
      <w:r w:rsidRPr="00FD6D56">
        <w:rPr>
          <w:rFonts w:asciiTheme="majorHAnsi" w:eastAsia="Calibri" w:hAnsiTheme="majorHAnsi" w:cs="Calibri"/>
          <w:color w:val="000000"/>
          <w:sz w:val="16"/>
          <w:szCs w:val="16"/>
          <w:u w:color="000000"/>
          <w:lang w:val="es-ES" w:eastAsia="es-ES"/>
        </w:rPr>
        <w:t>l 21 de noviembre de 2017 la Comisión notificó a las partes la aplicación del artículo 36.3 de su Reglamento.</w:t>
      </w:r>
    </w:p>
  </w:footnote>
  <w:footnote w:id="5">
    <w:p w14:paraId="083AC002" w14:textId="77777777" w:rsidR="009624E3" w:rsidRPr="00844F0C" w:rsidRDefault="009624E3" w:rsidP="0098035E">
      <w:pPr>
        <w:pStyle w:val="FootnoteText"/>
        <w:rPr>
          <w:lang w:val="es-ES"/>
        </w:rPr>
      </w:pPr>
      <w:r>
        <w:rPr>
          <w:rStyle w:val="FootnoteReference"/>
        </w:rPr>
        <w:footnoteRef/>
      </w:r>
      <w:r w:rsidRPr="00844F0C">
        <w:rPr>
          <w:lang w:val="es-ES"/>
        </w:rPr>
        <w:t xml:space="preserve"> </w:t>
      </w:r>
      <w:r w:rsidRPr="00844F0C">
        <w:rPr>
          <w:rFonts w:ascii="Cambria" w:hAnsi="Cambria"/>
          <w:bCs/>
          <w:lang w:val="es-US"/>
        </w:rPr>
        <w:t>Corte I.D.H., Interpretación de la Declaración Americana de los Derechos y Deberes del Hombre en el Marco del artículo 64 de la Convención Americana sobre Derechos Humanos. Opinión Consultiva OC-10/89 del 14 de julio de 1989. Serie A No. 10, párr. 45.</w:t>
      </w:r>
    </w:p>
  </w:footnote>
  <w:footnote w:id="6">
    <w:p w14:paraId="1CF47D63" w14:textId="77777777" w:rsidR="009624E3" w:rsidRPr="00814172" w:rsidRDefault="009624E3" w:rsidP="00D47D84">
      <w:pPr>
        <w:pStyle w:val="FootnoteText"/>
        <w:mirrorIndents/>
        <w:rPr>
          <w:lang w:val="es-ES"/>
        </w:rPr>
      </w:pPr>
      <w:r>
        <w:rPr>
          <w:rStyle w:val="FootnoteReference"/>
        </w:rPr>
        <w:footnoteRef/>
      </w:r>
      <w:r w:rsidRPr="00814172">
        <w:rPr>
          <w:lang w:val="es-ES"/>
        </w:rPr>
        <w:t xml:space="preserve"> </w:t>
      </w:r>
      <w:r>
        <w:rPr>
          <w:lang w:val="es-ES"/>
        </w:rPr>
        <w:t xml:space="preserve">CIDH. Informe sobre la Situación de los Derechos Humanos en Argentina. OEA/Ser.L/V/II.49. 11 de abril de 1980. Conclusiones y Recomendaciones. </w:t>
      </w:r>
    </w:p>
  </w:footnote>
  <w:footnote w:id="7">
    <w:p w14:paraId="6A7B0399" w14:textId="77777777" w:rsidR="009624E3" w:rsidRPr="00BE59EF" w:rsidRDefault="009624E3" w:rsidP="00D47D84">
      <w:pPr>
        <w:pStyle w:val="FootnoteText"/>
        <w:mirrorIndents/>
        <w:rPr>
          <w:lang w:val="es-ES"/>
        </w:rPr>
      </w:pPr>
      <w:r>
        <w:rPr>
          <w:rStyle w:val="FootnoteReference"/>
        </w:rPr>
        <w:footnoteRef/>
      </w:r>
      <w:r w:rsidRPr="00BE59EF">
        <w:rPr>
          <w:lang w:val="es-ES"/>
        </w:rPr>
        <w:t xml:space="preserve"> CIDH. </w:t>
      </w:r>
      <w:r>
        <w:rPr>
          <w:lang w:val="es-ES"/>
        </w:rPr>
        <w:t>Informe No 28/92. Casos 10.147, 10.181, 10.240, 10.262, 10.309 y 10.311. Argentina. 2 de octubre de 1992, p</w:t>
      </w:r>
      <w:r w:rsidRPr="00BE59EF">
        <w:rPr>
          <w:lang w:val="es-ES"/>
        </w:rPr>
        <w:t xml:space="preserve">árr. </w:t>
      </w:r>
      <w:r>
        <w:rPr>
          <w:lang w:val="es-ES"/>
        </w:rPr>
        <w:t xml:space="preserve">42. </w:t>
      </w:r>
    </w:p>
  </w:footnote>
  <w:footnote w:id="8">
    <w:p w14:paraId="0C45ED1C" w14:textId="77777777" w:rsidR="009624E3" w:rsidRPr="00E57C28" w:rsidRDefault="009624E3" w:rsidP="00D47D84">
      <w:pPr>
        <w:pStyle w:val="FootnoteText"/>
        <w:mirrorIndents/>
        <w:rPr>
          <w:lang w:val="es-ES"/>
        </w:rPr>
      </w:pPr>
      <w:r>
        <w:rPr>
          <w:rStyle w:val="FootnoteReference"/>
        </w:rPr>
        <w:footnoteRef/>
      </w:r>
      <w:r w:rsidRPr="00BE59EF">
        <w:rPr>
          <w:lang w:val="es-ES"/>
        </w:rPr>
        <w:t xml:space="preserve"> </w:t>
      </w:r>
      <w:r>
        <w:rPr>
          <w:lang w:val="es-ES"/>
        </w:rPr>
        <w:t xml:space="preserve">Informe de la Comisión Nacional sobre la Desaparición de Personas. Nunca Más. Editorial Eudeba. Septiembre de 1984. Disponible en: </w:t>
      </w:r>
      <w:hyperlink r:id="rId1" w:history="1">
        <w:r w:rsidRPr="00857D49">
          <w:rPr>
            <w:rStyle w:val="Hyperlink"/>
            <w:lang w:val="es-ES"/>
          </w:rPr>
          <w:t>http://www.desaparecidos.org/arg/conadep/nuncamas/</w:t>
        </w:r>
      </w:hyperlink>
      <w:r>
        <w:rPr>
          <w:lang w:val="es-ES"/>
        </w:rPr>
        <w:t xml:space="preserve"> </w:t>
      </w:r>
    </w:p>
  </w:footnote>
  <w:footnote w:id="9">
    <w:p w14:paraId="71A60D8E" w14:textId="77777777" w:rsidR="009624E3" w:rsidRPr="00C13FFD" w:rsidRDefault="009624E3" w:rsidP="00D47D84">
      <w:pPr>
        <w:pStyle w:val="FootnoteText"/>
        <w:mirrorIndents/>
        <w:rPr>
          <w:lang w:val="es-ES"/>
        </w:rPr>
      </w:pPr>
      <w:r>
        <w:rPr>
          <w:rStyle w:val="FootnoteReference"/>
        </w:rPr>
        <w:footnoteRef/>
      </w:r>
      <w:r w:rsidRPr="00C13FFD">
        <w:rPr>
          <w:lang w:val="es-ES"/>
        </w:rPr>
        <w:t xml:space="preserve"> </w:t>
      </w:r>
      <w:r w:rsidRPr="00E57C28">
        <w:rPr>
          <w:lang w:val="es-ES"/>
        </w:rPr>
        <w:t>Ministerio de Cultura. Presidencia de la Nación Argentina. “El Nunca Más y los crímenes de la dictadura”. Edición Cultura Argentina, pág. 12</w:t>
      </w:r>
      <w:r>
        <w:rPr>
          <w:lang w:val="es-ES"/>
        </w:rPr>
        <w:t xml:space="preserve">. Disponible en: </w:t>
      </w:r>
      <w:hyperlink r:id="rId2" w:history="1">
        <w:r w:rsidRPr="00857D49">
          <w:rPr>
            <w:rStyle w:val="Hyperlink"/>
            <w:lang w:val="es-ES"/>
          </w:rPr>
          <w:t>https://librosycasas.cultura.gob.ar/wp-content/uploads/2015/11/LC_NuncaMas_Digital1.pdf</w:t>
        </w:r>
      </w:hyperlink>
      <w:r>
        <w:rPr>
          <w:lang w:val="es-ES"/>
        </w:rPr>
        <w:t xml:space="preserve"> </w:t>
      </w:r>
    </w:p>
  </w:footnote>
  <w:footnote w:id="10">
    <w:p w14:paraId="0A62FE3F" w14:textId="26EE76BE" w:rsidR="009624E3" w:rsidRPr="00D445C4" w:rsidRDefault="009624E3" w:rsidP="00D47D84">
      <w:pPr>
        <w:pStyle w:val="FootnoteText"/>
        <w:mirrorIndents/>
        <w:rPr>
          <w:lang w:val="es-ES"/>
        </w:rPr>
      </w:pPr>
      <w:r>
        <w:rPr>
          <w:rStyle w:val="FootnoteReference"/>
        </w:rPr>
        <w:footnoteRef/>
      </w:r>
      <w:r w:rsidRPr="00D445C4">
        <w:rPr>
          <w:lang w:val="es-ES"/>
        </w:rPr>
        <w:t xml:space="preserve"> </w:t>
      </w:r>
      <w:r>
        <w:rPr>
          <w:lang w:val="es-ES"/>
        </w:rPr>
        <w:t>Ministerio de Justicia y Derechos Humanos. Secretaría de Derechos Humanos y Pluralismo Cultural de la Nación. Informe de Investigación sobre Víctimas de Desaparición Forzada y Asesinato, por el accionar represivo del Estado y centros clandestinos de detención y otros lugares de reclusión clandestina. Anexo V. Listado de centros clandestinos de detención y otros lugares de reclusión ilegal del terrorismo de Estado en la Argentina entre 1974 y 1983, pág. 1574.</w:t>
      </w:r>
    </w:p>
  </w:footnote>
  <w:footnote w:id="11">
    <w:p w14:paraId="12C05B88" w14:textId="67A920AF" w:rsidR="009624E3" w:rsidRPr="002E1B2C" w:rsidRDefault="009624E3" w:rsidP="00D47D84">
      <w:pPr>
        <w:pStyle w:val="FootnoteText"/>
        <w:mirrorIndents/>
        <w:rPr>
          <w:lang w:val="es-ES"/>
        </w:rPr>
      </w:pPr>
      <w:r>
        <w:rPr>
          <w:rStyle w:val="FootnoteReference"/>
        </w:rPr>
        <w:footnoteRef/>
      </w:r>
      <w:r w:rsidRPr="002E1B2C">
        <w:rPr>
          <w:lang w:val="es-ES"/>
        </w:rPr>
        <w:t xml:space="preserve"> </w:t>
      </w:r>
      <w:r>
        <w:rPr>
          <w:lang w:val="es-ES"/>
        </w:rPr>
        <w:t xml:space="preserve">Anexo 1. Sentencia dictada el 19 de mayo de 2011 en la causa Nro. 2637/04 caratulada “Vaello, Orestes y otros sobre privación ilegal de la libertad agravada y homicidio agravado”, Juzgado Nacional en lo Criminal y Correccional Federal Nro. 3, Secretaría Nro. 6, pág. 2. Anexo al escrito de la parte peticionaria de fecha 3 de agosto de 2012.  </w:t>
      </w:r>
    </w:p>
  </w:footnote>
  <w:footnote w:id="12">
    <w:p w14:paraId="78841D0F" w14:textId="77777777" w:rsidR="009624E3" w:rsidRPr="00E06D9C" w:rsidRDefault="009624E3" w:rsidP="00D47D84">
      <w:pPr>
        <w:pStyle w:val="FootnoteText"/>
        <w:mirrorIndents/>
        <w:rPr>
          <w:lang w:val="es-ES"/>
        </w:rPr>
      </w:pPr>
      <w:r>
        <w:rPr>
          <w:rStyle w:val="FootnoteReference"/>
        </w:rPr>
        <w:footnoteRef/>
      </w:r>
      <w:r w:rsidRPr="00182BC8">
        <w:rPr>
          <w:lang w:val="es-ES"/>
        </w:rPr>
        <w:t xml:space="preserve"> </w:t>
      </w:r>
      <w:r>
        <w:rPr>
          <w:lang w:val="es-ES"/>
        </w:rPr>
        <w:t xml:space="preserve">Corte IDH. </w:t>
      </w:r>
      <w:r w:rsidRPr="00D741B9">
        <w:rPr>
          <w:lang w:val="es-ES"/>
        </w:rPr>
        <w:t>Caso Goiburú y otros Vs. Paraguay. Fondo, Reparaciones y Costas</w:t>
      </w:r>
      <w:r w:rsidRPr="00E06D9C">
        <w:rPr>
          <w:lang w:val="es-ES"/>
        </w:rPr>
        <w:t>. Sentencia de 22 de septiembre de 2006. Serie C No. 1</w:t>
      </w:r>
      <w:r>
        <w:rPr>
          <w:lang w:val="es-ES"/>
        </w:rPr>
        <w:t>53, párrs. 61.5 a 61.8; y Corte IDH. Caso Gelman Vs. Uruguay. Fondo y Reparaciones. Sentencia de 24 de febrero de 2011. Serie C No. 221, párr. 44.</w:t>
      </w:r>
    </w:p>
  </w:footnote>
  <w:footnote w:id="13">
    <w:p w14:paraId="7F5BD28A" w14:textId="77777777" w:rsidR="009624E3" w:rsidRPr="00182BC8" w:rsidRDefault="009624E3" w:rsidP="00D47D84">
      <w:pPr>
        <w:pStyle w:val="FootnoteText"/>
        <w:mirrorIndents/>
        <w:rPr>
          <w:szCs w:val="18"/>
          <w:lang w:val="es-ES"/>
        </w:rPr>
      </w:pPr>
      <w:r w:rsidRPr="00A06F25">
        <w:rPr>
          <w:rStyle w:val="FootnoteReference"/>
          <w:szCs w:val="18"/>
        </w:rPr>
        <w:footnoteRef/>
      </w:r>
      <w:r>
        <w:rPr>
          <w:szCs w:val="18"/>
          <w:lang w:val="es-ES"/>
        </w:rPr>
        <w:t xml:space="preserve"> </w:t>
      </w:r>
      <w:r w:rsidRPr="00182BC8">
        <w:rPr>
          <w:szCs w:val="18"/>
          <w:lang w:val="es-ES"/>
        </w:rPr>
        <w:t>Uruguay, 1973; Chile, 1973; Argentina, 1976; Brasil, 1964; Bolivia, 1971; Paraguay, 1954 y Perú, 1968 y 1975.</w:t>
      </w:r>
    </w:p>
  </w:footnote>
  <w:footnote w:id="14">
    <w:p w14:paraId="00A8EF59" w14:textId="77777777" w:rsidR="009624E3" w:rsidRPr="00182BC8" w:rsidRDefault="009624E3" w:rsidP="00D47D84">
      <w:pPr>
        <w:pStyle w:val="FootnoteText"/>
        <w:mirrorIndents/>
        <w:rPr>
          <w:lang w:val="es-ES"/>
        </w:rPr>
      </w:pPr>
      <w:r w:rsidRPr="00A06F25">
        <w:rPr>
          <w:rStyle w:val="FootnoteReference"/>
        </w:rPr>
        <w:footnoteRef/>
      </w:r>
      <w:r>
        <w:rPr>
          <w:lang w:val="es-ES"/>
        </w:rPr>
        <w:t xml:space="preserve"> </w:t>
      </w:r>
      <w:r w:rsidRPr="00182BC8">
        <w:rPr>
          <w:szCs w:val="32"/>
          <w:lang w:val="es-ES"/>
        </w:rPr>
        <w:t>Los “pueblos de las Naciones Unidas resueltos […] a reafirmar la fe en los derechos fundamentales del hombre, en la dignidad y el valor de la persona humana, en la igualdad de derechos de hombres y mujeres y de las naciones grandes y pequeñas […] a crear condiciones bajo las cuales puedan mantenerse la justicia y el respeto”. (Preámbulo)</w:t>
      </w:r>
    </w:p>
  </w:footnote>
  <w:footnote w:id="15">
    <w:p w14:paraId="6BF2DC81" w14:textId="77777777" w:rsidR="009624E3" w:rsidRPr="00182BC8" w:rsidRDefault="009624E3" w:rsidP="00D47D84">
      <w:pPr>
        <w:pStyle w:val="FootnoteText"/>
        <w:mirrorIndents/>
        <w:rPr>
          <w:lang w:val="es-ES"/>
        </w:rPr>
      </w:pPr>
      <w:r w:rsidRPr="00A06F25">
        <w:rPr>
          <w:rStyle w:val="FootnoteReference"/>
        </w:rPr>
        <w:footnoteRef/>
      </w:r>
      <w:r>
        <w:rPr>
          <w:lang w:val="es-ES"/>
        </w:rPr>
        <w:t xml:space="preserve"> </w:t>
      </w:r>
      <w:r w:rsidRPr="00182BC8">
        <w:rPr>
          <w:lang w:val="es-ES"/>
        </w:rPr>
        <w:t>“</w:t>
      </w:r>
      <w:r w:rsidRPr="00182BC8">
        <w:rPr>
          <w:szCs w:val="26"/>
          <w:lang w:val="es-ES"/>
        </w:rPr>
        <w:t>Los Estados americanos consagran en esta Carta la organización internacional que han desarrollado para lograr un orden de paz y de justicia, fomentar su solidaridad, robustecer su colaboración y defender su soberanía, su integridad territorial y su independencia” (Artículo 1).</w:t>
      </w:r>
    </w:p>
  </w:footnote>
  <w:footnote w:id="16">
    <w:p w14:paraId="5F024363" w14:textId="77777777" w:rsidR="009624E3" w:rsidRPr="00182BC8" w:rsidRDefault="009624E3" w:rsidP="00D47D84">
      <w:pPr>
        <w:pStyle w:val="FootnoteText"/>
        <w:mirrorIndents/>
        <w:rPr>
          <w:lang w:val="es-ES"/>
        </w:rPr>
      </w:pPr>
      <w:r w:rsidRPr="00A06F25">
        <w:rPr>
          <w:rStyle w:val="FootnoteReference"/>
        </w:rPr>
        <w:footnoteRef/>
      </w:r>
      <w:r>
        <w:rPr>
          <w:lang w:val="es-ES"/>
        </w:rPr>
        <w:t xml:space="preserve"> Corte IDH. </w:t>
      </w:r>
      <w:r w:rsidRPr="00D741B9">
        <w:rPr>
          <w:lang w:val="es-ES"/>
        </w:rPr>
        <w:t>Caso Goiburú y otros Vs. Paraguay. Fondo, Reparaciones y Costas</w:t>
      </w:r>
      <w:r w:rsidRPr="00E06D9C">
        <w:rPr>
          <w:lang w:val="es-ES"/>
        </w:rPr>
        <w:t>. Sentencia de 22 de septiembre de 2006. Serie C No. 1</w:t>
      </w:r>
      <w:r>
        <w:rPr>
          <w:lang w:val="es-ES"/>
        </w:rPr>
        <w:t xml:space="preserve">53, párrs. </w:t>
      </w:r>
      <w:r w:rsidRPr="00182BC8">
        <w:rPr>
          <w:bCs/>
          <w:lang w:val="es-ES"/>
        </w:rPr>
        <w:t>61.5,  61.6, 62, 72 y 73.</w:t>
      </w:r>
    </w:p>
  </w:footnote>
  <w:footnote w:id="17">
    <w:p w14:paraId="74E02260" w14:textId="64BCA270" w:rsidR="009624E3" w:rsidRPr="00FF529C" w:rsidRDefault="009624E3" w:rsidP="00D47D84">
      <w:pPr>
        <w:pStyle w:val="FootnoteText"/>
        <w:mirrorIndents/>
        <w:rPr>
          <w:lang w:val="es-ES"/>
        </w:rPr>
      </w:pPr>
      <w:r>
        <w:rPr>
          <w:rStyle w:val="FootnoteReference"/>
        </w:rPr>
        <w:footnoteRef/>
      </w:r>
      <w:r w:rsidRPr="003B7AF9">
        <w:rPr>
          <w:lang w:val="pt-BR"/>
        </w:rPr>
        <w:t xml:space="preserve"> Corte IDH. Caso Gelman Vs. </w:t>
      </w:r>
      <w:r>
        <w:rPr>
          <w:lang w:val="es-ES"/>
        </w:rPr>
        <w:t>Uruguay. Fondo y Reparaciones. Sentencia de 24 de febrero de 2011. Serie C No. 221, párrs. 46-50; y Anexo 2. Sentencia dictada el 31 de mayo de 2011 en la causa Nro. 1627 caratulada “Guillamondegui, Néstor Horacio y otros s/privación ilegal de la libertad agravada, imposición de tormentos y homicidio calificado”, Tribunal Oral en lo Criminal Federal Nro. 1, pág. 566. Anexo al escrito de la parte peticionaria de fecha 3 de agosto de 2012.</w:t>
      </w:r>
    </w:p>
  </w:footnote>
  <w:footnote w:id="18">
    <w:p w14:paraId="5593AEEA" w14:textId="77777777" w:rsidR="009624E3" w:rsidRPr="007075E6" w:rsidRDefault="009624E3" w:rsidP="00D47D84">
      <w:pPr>
        <w:pStyle w:val="FootnoteText"/>
        <w:mirrorIndents/>
        <w:rPr>
          <w:lang w:val="es-ES"/>
        </w:rPr>
      </w:pPr>
      <w:r>
        <w:rPr>
          <w:rStyle w:val="FootnoteReference"/>
        </w:rPr>
        <w:footnoteRef/>
      </w:r>
      <w:r w:rsidRPr="007075E6">
        <w:t xml:space="preserve"> Francesca Lessa, </w:t>
      </w:r>
      <w:r>
        <w:t>“</w:t>
      </w:r>
      <w:r w:rsidRPr="007075E6">
        <w:t>Operation Condor, Accountability for Transnational Crimes in South America</w:t>
      </w:r>
      <w:r>
        <w:t>”</w:t>
      </w:r>
      <w:r w:rsidRPr="007075E6">
        <w:t>.</w:t>
      </w:r>
      <w:r>
        <w:t xml:space="preserve"> </w:t>
      </w:r>
      <w:r w:rsidRPr="007075E6">
        <w:rPr>
          <w:lang w:val="es-ES"/>
        </w:rPr>
        <w:t xml:space="preserve">Disponible en: </w:t>
      </w:r>
      <w:hyperlink r:id="rId3" w:history="1">
        <w:r w:rsidRPr="007075E6">
          <w:rPr>
            <w:rStyle w:val="Hyperlink"/>
            <w:lang w:val="es-ES"/>
          </w:rPr>
          <w:t>https://sites.google.com/view/operationcondorjustice/data?authuser=2</w:t>
        </w:r>
      </w:hyperlink>
      <w:r w:rsidRPr="007075E6">
        <w:rPr>
          <w:lang w:val="es-ES"/>
        </w:rPr>
        <w:t xml:space="preserve">  </w:t>
      </w:r>
    </w:p>
  </w:footnote>
  <w:footnote w:id="19">
    <w:p w14:paraId="1DAA3288" w14:textId="77777777" w:rsidR="009624E3" w:rsidRPr="00AB7F80" w:rsidRDefault="009624E3" w:rsidP="00D47D84">
      <w:pPr>
        <w:pStyle w:val="FootnoteText"/>
        <w:mirrorIndents/>
        <w:rPr>
          <w:lang w:val="es-ES"/>
        </w:rPr>
      </w:pPr>
      <w:r>
        <w:rPr>
          <w:rStyle w:val="FootnoteReference"/>
        </w:rPr>
        <w:footnoteRef/>
      </w:r>
      <w:r w:rsidRPr="00AB7F80">
        <w:rPr>
          <w:lang w:val="es-ES"/>
        </w:rPr>
        <w:t xml:space="preserve"> Informe de la Procuraduría de Cr</w:t>
      </w:r>
      <w:r>
        <w:rPr>
          <w:lang w:val="es-ES"/>
        </w:rPr>
        <w:t>ímenes c</w:t>
      </w:r>
      <w:r w:rsidRPr="00AB7F80">
        <w:rPr>
          <w:lang w:val="es-ES"/>
        </w:rPr>
        <w:t>ontra la Humanidad</w:t>
      </w:r>
      <w:r>
        <w:rPr>
          <w:lang w:val="es-ES"/>
        </w:rPr>
        <w:t xml:space="preserve">, La Judicialización de la Operación Cóndor. Buenos Aires, noviembre de 2015, pág. 6. Disponible en: </w:t>
      </w:r>
      <w:hyperlink r:id="rId4" w:history="1">
        <w:r w:rsidRPr="00274F1E">
          <w:rPr>
            <w:rStyle w:val="Hyperlink"/>
            <w:lang w:val="es-ES"/>
          </w:rPr>
          <w:t>https://www.fiscales.gob.ar/wp-content/uploads/2015/11/Informe-ProcuLesa-Op-C%C3%B3ndor-Final.pdf</w:t>
        </w:r>
      </w:hyperlink>
      <w:r>
        <w:rPr>
          <w:lang w:val="es-ES"/>
        </w:rPr>
        <w:t xml:space="preserve"> </w:t>
      </w:r>
    </w:p>
  </w:footnote>
  <w:footnote w:id="20">
    <w:p w14:paraId="256157FC" w14:textId="77777777" w:rsidR="009624E3" w:rsidRPr="001008C3" w:rsidRDefault="009624E3" w:rsidP="00D47D84">
      <w:pPr>
        <w:pStyle w:val="FootnoteText"/>
        <w:mirrorIndents/>
        <w:rPr>
          <w:lang w:val="es-ES"/>
        </w:rPr>
      </w:pPr>
      <w:r>
        <w:rPr>
          <w:rStyle w:val="FootnoteReference"/>
        </w:rPr>
        <w:footnoteRef/>
      </w:r>
      <w:r w:rsidRPr="001008C3">
        <w:rPr>
          <w:lang w:val="pt-BR"/>
        </w:rPr>
        <w:t xml:space="preserve"> </w:t>
      </w:r>
      <w:r w:rsidRPr="00FF529C">
        <w:rPr>
          <w:lang w:val="pt-BR"/>
        </w:rPr>
        <w:t xml:space="preserve">Corte IDH. Caso Gelman Vs. </w:t>
      </w:r>
      <w:r>
        <w:rPr>
          <w:lang w:val="es-ES"/>
        </w:rPr>
        <w:t>Uruguay. Fondo y Reparaciones. Sentencia de 24 de febrero de 2011. Serie C No. 221, párr. 56.</w:t>
      </w:r>
    </w:p>
  </w:footnote>
  <w:footnote w:id="21">
    <w:p w14:paraId="22792A74" w14:textId="77777777" w:rsidR="009624E3" w:rsidRPr="00F52143" w:rsidRDefault="009624E3" w:rsidP="00D47D84">
      <w:pPr>
        <w:pStyle w:val="FootnoteText"/>
        <w:mirrorIndents/>
        <w:rPr>
          <w:lang w:val="es-ES"/>
        </w:rPr>
      </w:pPr>
      <w:r>
        <w:rPr>
          <w:rStyle w:val="FootnoteReference"/>
        </w:rPr>
        <w:footnoteRef/>
      </w:r>
      <w:r w:rsidRPr="00F52143">
        <w:rPr>
          <w:lang w:val="es-ES"/>
        </w:rPr>
        <w:t xml:space="preserve"> </w:t>
      </w:r>
      <w:r>
        <w:rPr>
          <w:lang w:val="es-ES"/>
        </w:rPr>
        <w:t xml:space="preserve">Secretaría de Derechos Humanos para el Pasado Reciente. Detenidos desaparecidos por responsabilidad y/o aquiescencia del Estado. Ficha perteneciente a JULIEN CACERES, Mario Roger. </w:t>
      </w:r>
      <w:r w:rsidRPr="00F52143">
        <w:rPr>
          <w:lang w:val="es-ES"/>
        </w:rPr>
        <w:t xml:space="preserve">Disponible en: </w:t>
      </w:r>
      <w:hyperlink r:id="rId5" w:history="1">
        <w:r w:rsidRPr="00F52143">
          <w:rPr>
            <w:rStyle w:val="Hyperlink"/>
            <w:lang w:val="es-ES"/>
          </w:rPr>
          <w:t>https://www.gub.uy/secretaria-derechos-humanos-pasado-reciente/sites/secretaria-derechos-humanos-pasado-reciente/files/documentos/publicaciones/JULI%C3%89N%20C%C3%81CERES%2C%20Mario%20Roger%20ficha%20accesible.pdf</w:t>
        </w:r>
      </w:hyperlink>
    </w:p>
  </w:footnote>
  <w:footnote w:id="22">
    <w:p w14:paraId="1D5E57B2" w14:textId="679E8341" w:rsidR="009624E3" w:rsidRPr="00C4346F" w:rsidRDefault="009624E3" w:rsidP="00D47D84">
      <w:pPr>
        <w:pStyle w:val="FootnoteText"/>
        <w:mirrorIndents/>
        <w:rPr>
          <w:lang w:val="es-ES"/>
        </w:rPr>
      </w:pPr>
      <w:r>
        <w:rPr>
          <w:rStyle w:val="FootnoteReference"/>
        </w:rPr>
        <w:footnoteRef/>
      </w:r>
      <w:r w:rsidRPr="00C4346F">
        <w:rPr>
          <w:lang w:val="es-ES"/>
        </w:rPr>
        <w:t xml:space="preserve"> </w:t>
      </w:r>
      <w:r>
        <w:rPr>
          <w:lang w:val="es-ES"/>
        </w:rPr>
        <w:t xml:space="preserve">Anexo 1. Sentencia dictada el 19 de mayo de 2011 en la causa Nro. 2637/04 caratulada “Vaello, Orestes y otros sobre privación ilegal de la libertad agravada y homicidio agravado”, Juzgado Nacional en lo Criminal y Correccional Federal Nro. 3, Secretaría Nro. 6, págs. 3 y 23-25. Anexo al escrito de la parte peticionaria de fecha 3 de agosto de 2012.  </w:t>
      </w:r>
    </w:p>
  </w:footnote>
  <w:footnote w:id="23">
    <w:p w14:paraId="4756F9F1" w14:textId="6C92822E" w:rsidR="009624E3" w:rsidRPr="000009FD" w:rsidRDefault="009624E3" w:rsidP="00D47D84">
      <w:pPr>
        <w:pStyle w:val="FootnoteText"/>
        <w:mirrorIndents/>
        <w:rPr>
          <w:lang w:val="es-ES"/>
        </w:rPr>
      </w:pPr>
      <w:r>
        <w:rPr>
          <w:rStyle w:val="FootnoteReference"/>
        </w:rPr>
        <w:footnoteRef/>
      </w:r>
      <w:r w:rsidRPr="000009FD">
        <w:rPr>
          <w:lang w:val="es-ES"/>
        </w:rPr>
        <w:t xml:space="preserve"> </w:t>
      </w:r>
      <w:r>
        <w:rPr>
          <w:lang w:val="es-ES"/>
        </w:rPr>
        <w:t xml:space="preserve">Anexo 1. Sentencia dictada el 19 de mayo de 2011 en la causa Nro. 2637/04 caratulada “Vaello, Orestes y otros sobre privación ilegal de la libertad agravada y homicidio agravado”, Juzgado Nacional en lo Criminal y Correccional Federal Nro. 3, Secretaría Nro. 6, págs. 32 y 33. Anexo al escrito de la parte peticionaria de fecha 3 de agosto de 2012.  </w:t>
      </w:r>
    </w:p>
  </w:footnote>
  <w:footnote w:id="24">
    <w:p w14:paraId="6EBF67D1" w14:textId="4A413FD4" w:rsidR="009624E3" w:rsidRPr="00367214" w:rsidRDefault="009624E3" w:rsidP="00D47D84">
      <w:pPr>
        <w:pStyle w:val="FootnoteText"/>
        <w:mirrorIndents/>
        <w:rPr>
          <w:lang w:val="es-ES"/>
        </w:rPr>
      </w:pPr>
      <w:r>
        <w:rPr>
          <w:rStyle w:val="FootnoteReference"/>
        </w:rPr>
        <w:footnoteRef/>
      </w:r>
      <w:r w:rsidRPr="00367214">
        <w:rPr>
          <w:lang w:val="es-ES"/>
        </w:rPr>
        <w:t xml:space="preserve"> </w:t>
      </w:r>
      <w:r>
        <w:rPr>
          <w:lang w:val="es-ES"/>
        </w:rPr>
        <w:t xml:space="preserve">Anexo 1. Sentencia dictada el 19 de mayo de 2011 en la causa Nro. 2637/04 caratulada “Vaello, Orestes y otros sobre privación ilegal de la libertad agravada y homicidio agravado”, Juzgado Nacional en lo Criminal y Correccional Federal Nro. 3, Secretaría Nro. 6, pág. 33. Anexo al escrito de la parte peticionaria de fecha 3 de agosto de 2012.  </w:t>
      </w:r>
    </w:p>
  </w:footnote>
  <w:footnote w:id="25">
    <w:p w14:paraId="3FFEB1E4" w14:textId="14D391E1" w:rsidR="009624E3" w:rsidRPr="002A0FC7" w:rsidRDefault="009624E3" w:rsidP="00D47D84">
      <w:pPr>
        <w:pStyle w:val="FootnoteText"/>
        <w:mirrorIndents/>
        <w:rPr>
          <w:lang w:val="es-ES"/>
        </w:rPr>
      </w:pPr>
      <w:r>
        <w:rPr>
          <w:rStyle w:val="FootnoteReference"/>
        </w:rPr>
        <w:footnoteRef/>
      </w:r>
      <w:r w:rsidRPr="002A0FC7">
        <w:rPr>
          <w:lang w:val="es-ES"/>
        </w:rPr>
        <w:t xml:space="preserve"> </w:t>
      </w:r>
      <w:r>
        <w:rPr>
          <w:lang w:val="es-ES"/>
        </w:rPr>
        <w:t xml:space="preserve">Anexo 1. Sentencia dictada el 19 de mayo de 2011 en la causa Nro. 2637/04 caratulada “Vaello, Orestes y otros sobre privación ilegal de la libertad agravada y homicidio agravado”, Juzgado Nacional en lo Criminal y Correccional Federal Nro. 3, Secretaría Nro. 6, págs. 32-38. Anexo al escrito de la parte peticionaria de fecha 3 de agosto de 2012.  </w:t>
      </w:r>
    </w:p>
  </w:footnote>
  <w:footnote w:id="26">
    <w:p w14:paraId="28FB4023" w14:textId="1A5CA363" w:rsidR="009624E3" w:rsidRPr="00186F1B" w:rsidRDefault="009624E3" w:rsidP="00D47D84">
      <w:pPr>
        <w:pStyle w:val="FootnoteText"/>
        <w:mirrorIndents/>
        <w:rPr>
          <w:lang w:val="es-ES"/>
        </w:rPr>
      </w:pPr>
      <w:r>
        <w:rPr>
          <w:rStyle w:val="FootnoteReference"/>
        </w:rPr>
        <w:footnoteRef/>
      </w:r>
      <w:r w:rsidRPr="00186F1B">
        <w:rPr>
          <w:lang w:val="es-ES"/>
        </w:rPr>
        <w:t xml:space="preserve"> </w:t>
      </w:r>
      <w:r>
        <w:rPr>
          <w:lang w:val="es-ES"/>
        </w:rPr>
        <w:t xml:space="preserve">Anexo 1. Sentencia dictada el 19 de mayo de 2011 en la causa Nro. 2637/04 caratulada “Vaello, Orestes y otros sobre privación ilegal de la libertad agravada y homicidio agravado”, Juzgado Nacional en lo Criminal y Correccional Federal Nro. 3, Secretaría Nro. 6, págs. 34-39. Anexo al escrito de la parte peticionaria de fecha 3 de agosto de 2012.  </w:t>
      </w:r>
    </w:p>
  </w:footnote>
  <w:footnote w:id="27">
    <w:p w14:paraId="49D83D0E" w14:textId="4114035E" w:rsidR="009624E3" w:rsidRPr="00B23750" w:rsidRDefault="009624E3" w:rsidP="00D47D84">
      <w:pPr>
        <w:pStyle w:val="FootnoteText"/>
        <w:mirrorIndents/>
        <w:rPr>
          <w:lang w:val="es-ES"/>
        </w:rPr>
      </w:pPr>
      <w:r>
        <w:rPr>
          <w:rStyle w:val="FootnoteReference"/>
        </w:rPr>
        <w:footnoteRef/>
      </w:r>
      <w:r w:rsidRPr="00B23750">
        <w:rPr>
          <w:lang w:val="es-ES"/>
        </w:rPr>
        <w:t xml:space="preserve"> </w:t>
      </w:r>
      <w:r>
        <w:rPr>
          <w:lang w:val="es-ES"/>
        </w:rPr>
        <w:t xml:space="preserve">Anexo 1. Sentencia dictada el 19 de mayo de 2011 en la causa Nro. 2637/04 caratulada “Vaello, Orestes y otros sobre privación ilegal de la libertad agravada y homicidio agravado”, Juzgado Nacional en lo Criminal y Correccional Federal Nro. 3, Secretaría Nro. 6, pág. 38. Anexo al escrito de la parte peticionaria de fecha 3 de agosto de 2012.  </w:t>
      </w:r>
    </w:p>
  </w:footnote>
  <w:footnote w:id="28">
    <w:p w14:paraId="07AB20B9" w14:textId="6F6EAF58" w:rsidR="009624E3" w:rsidRPr="00270851" w:rsidRDefault="009624E3" w:rsidP="00D47D84">
      <w:pPr>
        <w:pStyle w:val="FootnoteText"/>
        <w:mirrorIndents/>
        <w:rPr>
          <w:lang w:val="es-ES"/>
        </w:rPr>
      </w:pPr>
      <w:r>
        <w:rPr>
          <w:rStyle w:val="FootnoteReference"/>
        </w:rPr>
        <w:footnoteRef/>
      </w:r>
      <w:r w:rsidRPr="0065207F">
        <w:rPr>
          <w:lang w:val="pt-BR"/>
        </w:rPr>
        <w:t xml:space="preserve"> </w:t>
      </w:r>
      <w:r w:rsidRPr="00FF529C">
        <w:rPr>
          <w:lang w:val="pt-BR"/>
        </w:rPr>
        <w:t xml:space="preserve">Corte IDH. Caso Gelman Vs. </w:t>
      </w:r>
      <w:r>
        <w:rPr>
          <w:lang w:val="es-ES"/>
        </w:rPr>
        <w:t xml:space="preserve">Uruguay. Fondo y Reparaciones. Sentencia de 24 de febrero de 2011. Serie C No. 221, párr. 57; Anexo 1. Sentencia dictada el 19 de mayo de 2011 en la causa Nro. 2637/04 caratulada “Vaello, Orestes y otros sobre privación ilegal de la libertad agravada y homicidio agravado”, Juzgado Nacional en lo Criminal y Correccional Federal Nro. 3, Secretaría Nro. 6, págs.  43-45. Anexo al escrito de la parte peticionaria de fecha 3 de agosto de 2012; y Anexo 2. Sentencia dictada el 31 de mayo de 2011 en la causa Nro. 1627 caratulada “Guillamondegui, Néstor Horacio y otros s/privación ilegal de la libertad agravada, imposición de tormentos y homicidio calificado”, Tribunal Oral en lo Criminal Federal Nro. 1, pág. 570. Anexo al escrito de la parte peticionaria de fecha 3 de agosto de 2012. </w:t>
      </w:r>
    </w:p>
  </w:footnote>
  <w:footnote w:id="29">
    <w:p w14:paraId="4B131C7E" w14:textId="77777777" w:rsidR="009624E3" w:rsidRPr="007D653C" w:rsidRDefault="009624E3" w:rsidP="00D47D84">
      <w:pPr>
        <w:pStyle w:val="FootnoteText"/>
        <w:mirrorIndents/>
        <w:rPr>
          <w:lang w:val="es-ES"/>
        </w:rPr>
      </w:pPr>
      <w:r>
        <w:rPr>
          <w:rStyle w:val="FootnoteReference"/>
        </w:rPr>
        <w:footnoteRef/>
      </w:r>
      <w:r w:rsidRPr="007D653C">
        <w:rPr>
          <w:lang w:val="pt-BR"/>
        </w:rPr>
        <w:t xml:space="preserve"> </w:t>
      </w:r>
      <w:r w:rsidRPr="00FF529C">
        <w:rPr>
          <w:lang w:val="pt-BR"/>
        </w:rPr>
        <w:t xml:space="preserve">Corte IDH. Caso Gelman Vs. </w:t>
      </w:r>
      <w:r>
        <w:rPr>
          <w:lang w:val="es-ES"/>
        </w:rPr>
        <w:t>Uruguay. Fondo y Reparaciones. Sentencia de 24 de febrero de 2011. Serie C No. 221, párr. 61-63.</w:t>
      </w:r>
    </w:p>
  </w:footnote>
  <w:footnote w:id="30">
    <w:p w14:paraId="3738EBF6" w14:textId="77777777" w:rsidR="009624E3" w:rsidRPr="00651F59" w:rsidRDefault="009624E3" w:rsidP="002A49A3">
      <w:pPr>
        <w:pStyle w:val="FootnoteText"/>
        <w:rPr>
          <w:rFonts w:ascii="Cambria" w:hAnsi="Cambria"/>
          <w:lang w:val="es-US"/>
        </w:rPr>
      </w:pPr>
      <w:r w:rsidRPr="00651F59">
        <w:rPr>
          <w:rStyle w:val="FootnoteReference"/>
          <w:rFonts w:ascii="Cambria" w:hAnsi="Cambria"/>
        </w:rPr>
        <w:footnoteRef/>
      </w:r>
      <w:r w:rsidRPr="00651F59">
        <w:rPr>
          <w:rFonts w:ascii="Cambria" w:hAnsi="Cambria"/>
          <w:lang w:val="es-US"/>
        </w:rPr>
        <w:t xml:space="preserve"> CIDH. Informe No. 1/93. Informe sobre solución amistosa respecto de los casos 10.288, 10.310, 10.436,10.496 10.631 y 10.771. Argentina. 3 </w:t>
      </w:r>
      <w:r>
        <w:rPr>
          <w:rFonts w:ascii="Cambria" w:hAnsi="Cambria"/>
          <w:lang w:val="es-US"/>
        </w:rPr>
        <w:t xml:space="preserve">de </w:t>
      </w:r>
      <w:r w:rsidRPr="00651F59">
        <w:rPr>
          <w:rFonts w:ascii="Cambria" w:hAnsi="Cambria"/>
          <w:lang w:val="es-US"/>
        </w:rPr>
        <w:t xml:space="preserve">marzo </w:t>
      </w:r>
      <w:r>
        <w:rPr>
          <w:rFonts w:ascii="Cambria" w:hAnsi="Cambria"/>
          <w:lang w:val="es-US"/>
        </w:rPr>
        <w:t xml:space="preserve">de </w:t>
      </w:r>
      <w:r w:rsidRPr="00651F59">
        <w:rPr>
          <w:rFonts w:ascii="Cambria" w:hAnsi="Cambria"/>
          <w:lang w:val="es-US"/>
        </w:rPr>
        <w:t>1993.</w:t>
      </w:r>
    </w:p>
  </w:footnote>
  <w:footnote w:id="31">
    <w:p w14:paraId="1DC0FC35" w14:textId="1978A746" w:rsidR="009624E3" w:rsidRPr="00CF2147" w:rsidRDefault="009624E3" w:rsidP="00D47D84">
      <w:pPr>
        <w:pStyle w:val="FootnoteText"/>
        <w:mirrorIndents/>
        <w:rPr>
          <w:lang w:val="es-ES"/>
        </w:rPr>
      </w:pPr>
      <w:r>
        <w:rPr>
          <w:rStyle w:val="FootnoteReference"/>
        </w:rPr>
        <w:footnoteRef/>
      </w:r>
      <w:r w:rsidRPr="00CF2147">
        <w:rPr>
          <w:lang w:val="es-ES"/>
        </w:rPr>
        <w:t xml:space="preserve"> </w:t>
      </w:r>
      <w:r>
        <w:rPr>
          <w:lang w:val="es-ES"/>
        </w:rPr>
        <w:t>Anexo 3. Legajo No. 2.951 (Julien Cáceres, Mario Roger) del Informe final de la CONADEP,</w:t>
      </w:r>
      <w:r w:rsidRPr="00767F7F">
        <w:rPr>
          <w:lang w:val="es-ES"/>
        </w:rPr>
        <w:t xml:space="preserve"> </w:t>
      </w:r>
      <w:r>
        <w:rPr>
          <w:lang w:val="es-ES"/>
        </w:rPr>
        <w:t xml:space="preserve">pág. 5. Anexo 10 de la petición inicial del </w:t>
      </w:r>
      <w:r w:rsidRPr="00C26242">
        <w:rPr>
          <w:lang w:val="es-ES"/>
        </w:rPr>
        <w:t>11 de noviembre de 2005</w:t>
      </w:r>
      <w:r>
        <w:rPr>
          <w:lang w:val="es-ES"/>
        </w:rPr>
        <w:t>.</w:t>
      </w:r>
      <w:r w:rsidRPr="00C34BAD">
        <w:rPr>
          <w:rFonts w:ascii="Cambria" w:hAnsi="Cambria"/>
          <w:color w:val="000000" w:themeColor="text1"/>
          <w:sz w:val="20"/>
          <w:szCs w:val="20"/>
          <w:lang w:val="es-VE"/>
        </w:rPr>
        <w:t xml:space="preserve"> </w:t>
      </w:r>
      <w:r>
        <w:rPr>
          <w:lang w:val="es-ES"/>
        </w:rPr>
        <w:t xml:space="preserve"> </w:t>
      </w:r>
      <w:r w:rsidRPr="0099038C">
        <w:rPr>
          <w:lang w:val="es-ES"/>
        </w:rPr>
        <w:t xml:space="preserve">   </w:t>
      </w:r>
    </w:p>
  </w:footnote>
  <w:footnote w:id="32">
    <w:p w14:paraId="0F984DCE" w14:textId="24336E21" w:rsidR="009624E3" w:rsidRPr="00074F17" w:rsidRDefault="009624E3" w:rsidP="00D47D84">
      <w:pPr>
        <w:pStyle w:val="FootnoteText"/>
        <w:mirrorIndents/>
        <w:rPr>
          <w:lang w:val="es-ES"/>
        </w:rPr>
      </w:pPr>
      <w:r>
        <w:rPr>
          <w:rStyle w:val="FootnoteReference"/>
        </w:rPr>
        <w:footnoteRef/>
      </w:r>
      <w:r w:rsidRPr="00074F17">
        <w:rPr>
          <w:lang w:val="es-ES"/>
        </w:rPr>
        <w:t xml:space="preserve"> </w:t>
      </w:r>
      <w:r w:rsidRPr="0099038C">
        <w:rPr>
          <w:lang w:val="es-ES"/>
        </w:rPr>
        <w:t xml:space="preserve">Anexo </w:t>
      </w:r>
      <w:r>
        <w:rPr>
          <w:lang w:val="es-ES"/>
        </w:rPr>
        <w:t>1</w:t>
      </w:r>
      <w:r w:rsidRPr="0099038C">
        <w:rPr>
          <w:lang w:val="es-ES"/>
        </w:rPr>
        <w:t xml:space="preserve">. </w:t>
      </w:r>
      <w:r>
        <w:rPr>
          <w:lang w:val="es-ES"/>
        </w:rPr>
        <w:t xml:space="preserve">Sentencia dictada el 19 de mayo de 2011 en la causa Nro. 2637/04 caratulada “Vaello, Orestes y otros sobre privación ilegal de la libertad agravada y homicidio agravado”, Juzgado Nacional en lo Criminal y Correccional Federal Nro. 3, Secretaría Nro. 6, pág. 86. Anexo al escrito de la parte peticionaria de fecha 3 de agosto de 2012.  </w:t>
      </w:r>
    </w:p>
  </w:footnote>
  <w:footnote w:id="33">
    <w:p w14:paraId="60ED956D" w14:textId="35A4F5DD" w:rsidR="009624E3" w:rsidRPr="0099038C" w:rsidRDefault="009624E3" w:rsidP="00D47D84">
      <w:pPr>
        <w:pStyle w:val="FootnoteText"/>
        <w:mirrorIndents/>
        <w:rPr>
          <w:lang w:val="es-ES"/>
        </w:rPr>
      </w:pPr>
      <w:r>
        <w:rPr>
          <w:rStyle w:val="FootnoteReference"/>
        </w:rPr>
        <w:footnoteRef/>
      </w:r>
      <w:r w:rsidRPr="00407ED4">
        <w:rPr>
          <w:lang w:val="es-ES"/>
        </w:rPr>
        <w:t xml:space="preserve"> </w:t>
      </w:r>
      <w:r>
        <w:rPr>
          <w:lang w:val="es-ES"/>
        </w:rPr>
        <w:t xml:space="preserve">Secretaría de Derechos Humanos para el Pasado Reciente. Detenidos desaparecidos por responsabilidad y/o aquiescencia del Estado. Ficha perteneciente a JULIEN CACERES, Mario Roger. </w:t>
      </w:r>
      <w:r w:rsidRPr="00817BE9">
        <w:rPr>
          <w:lang w:val="es-ES"/>
        </w:rPr>
        <w:t xml:space="preserve">Disponible en: </w:t>
      </w:r>
      <w:hyperlink r:id="rId6" w:history="1">
        <w:r w:rsidRPr="00817BE9">
          <w:rPr>
            <w:rStyle w:val="Hyperlink"/>
            <w:lang w:val="es-ES"/>
          </w:rPr>
          <w:t>https://www.gub.uy/secretaria-derechos-humanos-pasado-reciente/sites/secretaria-derechos-humanos-pasado-reciente/files/documentos/publicaciones/JULI%C3%89N%20C%C3%81CERES%2C%20Mario%20Roger%20ficha%20accesible.pdf</w:t>
        </w:r>
      </w:hyperlink>
      <w:r w:rsidRPr="00817BE9">
        <w:rPr>
          <w:lang w:val="es-ES"/>
        </w:rPr>
        <w:t xml:space="preserve">; </w:t>
      </w:r>
      <w:r>
        <w:rPr>
          <w:lang w:val="es-ES"/>
        </w:rPr>
        <w:t xml:space="preserve">y </w:t>
      </w:r>
      <w:r w:rsidRPr="00817BE9">
        <w:rPr>
          <w:lang w:val="es-ES"/>
        </w:rPr>
        <w:t xml:space="preserve">Anexo </w:t>
      </w:r>
      <w:r>
        <w:rPr>
          <w:lang w:val="es-ES"/>
        </w:rPr>
        <w:t>4</w:t>
      </w:r>
      <w:r w:rsidRPr="00817BE9">
        <w:rPr>
          <w:lang w:val="es-ES"/>
        </w:rPr>
        <w:t xml:space="preserve">. </w:t>
      </w:r>
      <w:r w:rsidRPr="0099038C">
        <w:rPr>
          <w:lang w:val="es-ES"/>
        </w:rPr>
        <w:t xml:space="preserve">Escrito de Anatole Alejandro Larrabeiti Yáñez </w:t>
      </w:r>
      <w:r>
        <w:rPr>
          <w:lang w:val="es-ES"/>
        </w:rPr>
        <w:t xml:space="preserve">presentado el 19 de noviembre de 2012 </w:t>
      </w:r>
      <w:r w:rsidRPr="0099038C">
        <w:rPr>
          <w:lang w:val="es-ES"/>
        </w:rPr>
        <w:t xml:space="preserve">en el marco de la causa </w:t>
      </w:r>
      <w:r>
        <w:rPr>
          <w:lang w:val="es-ES"/>
        </w:rPr>
        <w:t xml:space="preserve">No. 2.637/04 caratulada “Vaello, Orestes y otros sobre privación ilegal de la libertad agravada y homicidio agravado”, págs. 1-2. Anexo al escrito de la parte peticionaria de fecha 21 de noviembre de 2012. </w:t>
      </w:r>
    </w:p>
  </w:footnote>
  <w:footnote w:id="34">
    <w:p w14:paraId="158A5C47" w14:textId="77777777" w:rsidR="009624E3" w:rsidRPr="0054005F" w:rsidRDefault="009624E3" w:rsidP="00D47D84">
      <w:pPr>
        <w:pStyle w:val="FootnoteText"/>
        <w:mirrorIndents/>
        <w:rPr>
          <w:lang w:val="es-ES"/>
        </w:rPr>
      </w:pPr>
      <w:r>
        <w:rPr>
          <w:rStyle w:val="FootnoteReference"/>
        </w:rPr>
        <w:footnoteRef/>
      </w:r>
      <w:r w:rsidRPr="0054005F">
        <w:rPr>
          <w:lang w:val="es-ES"/>
        </w:rPr>
        <w:t xml:space="preserve"> </w:t>
      </w:r>
      <w:r>
        <w:rPr>
          <w:lang w:val="es-ES"/>
        </w:rPr>
        <w:t xml:space="preserve">Secretaría de Derechos Humanos para el Pasado Reciente. Detenidos desaparecidos por responsabilidad y/o aquiescencia del Estado. Ficha perteneciente a GRISONAS ANDRIJAUSKAITE de JULIEN, Victoria Lucía. </w:t>
      </w:r>
      <w:r w:rsidRPr="0054005F">
        <w:rPr>
          <w:lang w:val="es-ES"/>
        </w:rPr>
        <w:t>Disponible en:</w:t>
      </w:r>
      <w:r>
        <w:rPr>
          <w:lang w:val="es-ES"/>
        </w:rPr>
        <w:t xml:space="preserve"> </w:t>
      </w:r>
      <w:hyperlink r:id="rId7" w:history="1">
        <w:r w:rsidRPr="00E71753">
          <w:rPr>
            <w:rStyle w:val="Hyperlink"/>
            <w:lang w:val="es-ES"/>
          </w:rPr>
          <w:t>file:///C:/Users/abanfi/Downloads/GRISONAS%20ANDRIJAUSKAITE,%20Victoria%20Lucia%20accesible.pdf</w:t>
        </w:r>
      </w:hyperlink>
      <w:r>
        <w:rPr>
          <w:lang w:val="es-ES"/>
        </w:rPr>
        <w:t xml:space="preserve"> </w:t>
      </w:r>
    </w:p>
  </w:footnote>
  <w:footnote w:id="35">
    <w:p w14:paraId="7802D5EC" w14:textId="76EFBFA8" w:rsidR="009624E3" w:rsidRPr="00A329E4" w:rsidRDefault="009624E3" w:rsidP="00D47D84">
      <w:pPr>
        <w:pStyle w:val="FootnoteText"/>
        <w:mirrorIndents/>
        <w:rPr>
          <w:lang w:val="es-ES"/>
        </w:rPr>
      </w:pPr>
      <w:r>
        <w:rPr>
          <w:rStyle w:val="FootnoteReference"/>
        </w:rPr>
        <w:footnoteRef/>
      </w:r>
      <w:r w:rsidRPr="00CF01A1">
        <w:rPr>
          <w:lang w:val="es-ES"/>
        </w:rPr>
        <w:t xml:space="preserve"> Anexo </w:t>
      </w:r>
      <w:r>
        <w:rPr>
          <w:lang w:val="es-ES"/>
        </w:rPr>
        <w:t>4</w:t>
      </w:r>
      <w:r w:rsidRPr="00CF01A1">
        <w:rPr>
          <w:lang w:val="es-ES"/>
        </w:rPr>
        <w:t xml:space="preserve">. </w:t>
      </w:r>
      <w:r w:rsidRPr="0099038C">
        <w:rPr>
          <w:lang w:val="es-ES"/>
        </w:rPr>
        <w:t xml:space="preserve">Escrito de Anatole Alejandro Larrabeiti Yáñez </w:t>
      </w:r>
      <w:r>
        <w:rPr>
          <w:lang w:val="es-ES"/>
        </w:rPr>
        <w:t xml:space="preserve">presentado el 19 de noviembre de 2012 </w:t>
      </w:r>
      <w:r w:rsidRPr="0099038C">
        <w:rPr>
          <w:lang w:val="es-ES"/>
        </w:rPr>
        <w:t xml:space="preserve">en el marco de la causa </w:t>
      </w:r>
      <w:r>
        <w:rPr>
          <w:lang w:val="es-ES"/>
        </w:rPr>
        <w:t xml:space="preserve">No. 2.637/04 caratulada “Vaello, Orestes y otros sobre privación ilegal de la libertad agravada y homicidio agravado”, págs. 2-3. </w:t>
      </w:r>
      <w:r w:rsidRPr="00C8237C">
        <w:rPr>
          <w:lang w:val="es-ES"/>
        </w:rPr>
        <w:t>Anexo al escrito de la parte peticionaria de fecha 21 de noviembre de 2012.</w:t>
      </w:r>
      <w:r w:rsidRPr="0099038C">
        <w:rPr>
          <w:lang w:val="es-ES"/>
        </w:rPr>
        <w:t xml:space="preserve">   </w:t>
      </w:r>
    </w:p>
  </w:footnote>
  <w:footnote w:id="36">
    <w:p w14:paraId="1FD5BF8A" w14:textId="252223EA" w:rsidR="009624E3" w:rsidRPr="0049717B" w:rsidRDefault="009624E3" w:rsidP="00D47D84">
      <w:pPr>
        <w:pStyle w:val="FootnoteText"/>
        <w:mirrorIndents/>
        <w:rPr>
          <w:lang w:val="es-ES"/>
        </w:rPr>
      </w:pPr>
      <w:r>
        <w:rPr>
          <w:rStyle w:val="FootnoteReference"/>
        </w:rPr>
        <w:footnoteRef/>
      </w:r>
      <w:r w:rsidRPr="0049717B">
        <w:rPr>
          <w:lang w:val="es-ES"/>
        </w:rPr>
        <w:t xml:space="preserve"> </w:t>
      </w:r>
      <w:r>
        <w:rPr>
          <w:lang w:val="es-ES"/>
        </w:rPr>
        <w:t>Escrito de la parte peticionaria de fecha 19 de julio de 2011, pág. 2.</w:t>
      </w:r>
    </w:p>
  </w:footnote>
  <w:footnote w:id="37">
    <w:p w14:paraId="6621CDE6" w14:textId="46514627" w:rsidR="009624E3" w:rsidRPr="003F2986" w:rsidRDefault="009624E3" w:rsidP="00D47D84">
      <w:pPr>
        <w:pStyle w:val="FootnoteText"/>
        <w:mirrorIndents/>
        <w:rPr>
          <w:lang w:val="es-ES"/>
        </w:rPr>
      </w:pPr>
      <w:r>
        <w:rPr>
          <w:rStyle w:val="FootnoteReference"/>
        </w:rPr>
        <w:footnoteRef/>
      </w:r>
      <w:r w:rsidRPr="0099038C">
        <w:rPr>
          <w:lang w:val="es-ES"/>
        </w:rPr>
        <w:t xml:space="preserve"> Anexo </w:t>
      </w:r>
      <w:r>
        <w:rPr>
          <w:lang w:val="es-ES"/>
        </w:rPr>
        <w:t>1</w:t>
      </w:r>
      <w:r w:rsidRPr="0099038C">
        <w:rPr>
          <w:lang w:val="es-ES"/>
        </w:rPr>
        <w:t xml:space="preserve">. </w:t>
      </w:r>
      <w:r>
        <w:rPr>
          <w:lang w:val="es-ES"/>
        </w:rPr>
        <w:t xml:space="preserve">Sentencia dictada el 19 de mayo de 2011 en la causa Nro. 2637/04 caratulada “Vaello, Orestes y otros sobre privación ilegal de la libertad agravada y homicidio agravado”, Juzgado Nacional en lo Criminal y Correccional Federal Nro. 3, Secretaría Nro. 6, págs. 74-75 y 89. Anexo al escrito de la parte peticionaria de fecha 3 de agosto de 2012.  </w:t>
      </w:r>
    </w:p>
  </w:footnote>
  <w:footnote w:id="38">
    <w:p w14:paraId="39E4D64F" w14:textId="29F53084" w:rsidR="009624E3" w:rsidRPr="00E504BE" w:rsidRDefault="009624E3" w:rsidP="00D47D84">
      <w:pPr>
        <w:pStyle w:val="FootnoteText"/>
        <w:mirrorIndents/>
        <w:rPr>
          <w:lang w:val="es-ES"/>
        </w:rPr>
      </w:pPr>
      <w:r>
        <w:rPr>
          <w:rStyle w:val="FootnoteReference"/>
        </w:rPr>
        <w:footnoteRef/>
      </w:r>
      <w:r w:rsidRPr="002877B8">
        <w:rPr>
          <w:lang w:val="es-ES"/>
        </w:rPr>
        <w:t xml:space="preserve"> </w:t>
      </w:r>
      <w:r>
        <w:rPr>
          <w:lang w:val="es-ES"/>
        </w:rPr>
        <w:t xml:space="preserve">Anexo 1. Sentencia dictada el 19 de mayo de 2011 en la causa Nro. 2637/04 caratulada “Vaello, Orestes y otros sobre privación ilegal de la libertad agravada y homicidio agravado”, Juzgado Nacional en lo Criminal y Correccional Federal Nro. 3, Secretaría Nro. 6, pág. 105. Anexo al escrito de la parte peticionaria de fecha 3 de agosto de 2012.  </w:t>
      </w:r>
    </w:p>
  </w:footnote>
  <w:footnote w:id="39">
    <w:p w14:paraId="1AFE61CE" w14:textId="12491CA8" w:rsidR="009624E3" w:rsidRPr="00221FBF" w:rsidRDefault="009624E3" w:rsidP="00D47D84">
      <w:pPr>
        <w:pStyle w:val="FootnoteText"/>
        <w:mirrorIndents/>
        <w:rPr>
          <w:lang w:val="es-ES"/>
        </w:rPr>
      </w:pPr>
      <w:r>
        <w:rPr>
          <w:rStyle w:val="FootnoteReference"/>
        </w:rPr>
        <w:footnoteRef/>
      </w:r>
      <w:r w:rsidRPr="003F62A1">
        <w:rPr>
          <w:lang w:val="es-ES"/>
        </w:rPr>
        <w:t xml:space="preserve"> </w:t>
      </w:r>
      <w:r>
        <w:rPr>
          <w:lang w:val="es-ES"/>
        </w:rPr>
        <w:t xml:space="preserve">Anexo 1. Sentencia dictada el 19 de mayo de 2011 en la causa Nro. 2637/04 caratulada “Vaello, Orestes y otros sobre privación ilegal de la libertad agravada y homicidio agravado”, Juzgado Nacional en lo Criminal y Correccional Federal Nro. 3, Secretaría Nro. 6, págs. 95-96. Anexo al escrito de la parte peticionaria de fecha 3 de agosto de 2012.  </w:t>
      </w:r>
    </w:p>
  </w:footnote>
  <w:footnote w:id="40">
    <w:p w14:paraId="2BFACBCB" w14:textId="50FBFFF9" w:rsidR="009624E3" w:rsidRPr="003F62A1" w:rsidRDefault="009624E3" w:rsidP="00D47D84">
      <w:pPr>
        <w:pStyle w:val="FootnoteText"/>
        <w:mirrorIndents/>
        <w:rPr>
          <w:lang w:val="es-ES"/>
        </w:rPr>
      </w:pPr>
      <w:r>
        <w:rPr>
          <w:rStyle w:val="FootnoteReference"/>
        </w:rPr>
        <w:footnoteRef/>
      </w:r>
      <w:r w:rsidRPr="003F62A1">
        <w:rPr>
          <w:lang w:val="es-ES"/>
        </w:rPr>
        <w:t xml:space="preserve"> </w:t>
      </w:r>
      <w:r>
        <w:rPr>
          <w:lang w:val="es-ES"/>
        </w:rPr>
        <w:t xml:space="preserve">Anexo 1. Sentencia dictada el 19 de mayo de 2011 en la causa Nro. 2637/04 caratulada “Vaello, Orestes y otros sobre privación ilegal de la libertad agravada y homicidio agravado”, Juzgado Nacional en lo Criminal y Correccional Federal Nro. 3, Secretaría Nro. 6, págs. 95-96 y 569-691. Anexo al escrito de la parte peticionaria de fecha 3 de agosto de 2012.  </w:t>
      </w:r>
    </w:p>
  </w:footnote>
  <w:footnote w:id="41">
    <w:p w14:paraId="4F68E7D0" w14:textId="53FBA821" w:rsidR="009624E3" w:rsidRPr="001F05E3" w:rsidRDefault="009624E3" w:rsidP="00D47D84">
      <w:pPr>
        <w:pStyle w:val="FootnoteText"/>
        <w:mirrorIndents/>
        <w:rPr>
          <w:lang w:val="es-ES"/>
        </w:rPr>
      </w:pPr>
      <w:r>
        <w:rPr>
          <w:rStyle w:val="FootnoteReference"/>
        </w:rPr>
        <w:footnoteRef/>
      </w:r>
      <w:r w:rsidRPr="002877B8">
        <w:rPr>
          <w:lang w:val="es-ES"/>
        </w:rPr>
        <w:t xml:space="preserve"> </w:t>
      </w:r>
      <w:r>
        <w:rPr>
          <w:lang w:val="es-ES"/>
        </w:rPr>
        <w:t xml:space="preserve">Anexo 1. Sentencia dictada el 19 de mayo de 2011 en la causa Nro. 2637/04 caratulada “Vaello, Orestes y otros sobre privación ilegal de la libertad agravada y homicidio agravado”, Juzgado Nacional en lo Criminal y Correccional Federal Nro. 3, Secretaría Nro. 6, pág. 100. Anexo al escrito de la parte peticionaria de fecha 3 de agosto de 2012.  </w:t>
      </w:r>
    </w:p>
  </w:footnote>
  <w:footnote w:id="42">
    <w:p w14:paraId="0691F1D4" w14:textId="2A1EE9C6" w:rsidR="009624E3" w:rsidRPr="0074554B" w:rsidRDefault="009624E3" w:rsidP="00D47D84">
      <w:pPr>
        <w:pStyle w:val="FootnoteText"/>
        <w:mirrorIndents/>
        <w:rPr>
          <w:lang w:val="es-ES"/>
        </w:rPr>
      </w:pPr>
      <w:r>
        <w:rPr>
          <w:rStyle w:val="FootnoteReference"/>
        </w:rPr>
        <w:footnoteRef/>
      </w:r>
      <w:r w:rsidRPr="0074554B">
        <w:rPr>
          <w:lang w:val="es-ES"/>
        </w:rPr>
        <w:t xml:space="preserve"> </w:t>
      </w:r>
      <w:r>
        <w:rPr>
          <w:lang w:val="es-ES"/>
        </w:rPr>
        <w:t xml:space="preserve">Anexo 1. Sentencia dictada el 19 de mayo de 2011 en la causa Nro. 2637/04 caratulada “Vaello, Orestes y otros sobre privación ilegal de la libertad agravada y homicidio agravado”, Juzgado Nacional en lo Criminal y Correccional Federal Nro. 3, Secretaría Nro. 6, pág. 96. Anexo al escrito de la parte peticionaria de fecha 3 de agosto de 2012.  </w:t>
      </w:r>
    </w:p>
  </w:footnote>
  <w:footnote w:id="43">
    <w:p w14:paraId="27F70EA2" w14:textId="039D79AC" w:rsidR="009624E3" w:rsidRPr="00717726" w:rsidRDefault="009624E3" w:rsidP="00D47D84">
      <w:pPr>
        <w:pStyle w:val="FootnoteText"/>
        <w:mirrorIndents/>
        <w:rPr>
          <w:lang w:val="es-ES"/>
        </w:rPr>
      </w:pPr>
      <w:r>
        <w:rPr>
          <w:rStyle w:val="FootnoteReference"/>
        </w:rPr>
        <w:footnoteRef/>
      </w:r>
      <w:r w:rsidRPr="00717726">
        <w:rPr>
          <w:lang w:val="es-ES"/>
        </w:rPr>
        <w:t xml:space="preserve"> </w:t>
      </w:r>
      <w:r>
        <w:rPr>
          <w:lang w:val="es-ES"/>
        </w:rPr>
        <w:t>Anexo 2. Sentencia dictada el 31 de mayo de 2011 en la causa Nro. 1627 caratulada “Guillamondegui, Néstor Horacio y otros s/privación ilegal de la libertad agravada, imposición de tormentos y homicidio calificado”, Tribunal Oral en lo Criminal Federal Nro. 1, pág. 619. Anexo al escrito de la parte peticionaria de fecha 3 de agosto de 2012.</w:t>
      </w:r>
    </w:p>
  </w:footnote>
  <w:footnote w:id="44">
    <w:p w14:paraId="4BF934AB" w14:textId="0D5A0DB5" w:rsidR="009624E3" w:rsidRPr="009227E8" w:rsidRDefault="009624E3" w:rsidP="00D47D84">
      <w:pPr>
        <w:pStyle w:val="FootnoteText"/>
        <w:mirrorIndents/>
        <w:rPr>
          <w:lang w:val="es-ES"/>
        </w:rPr>
      </w:pPr>
      <w:r>
        <w:rPr>
          <w:rStyle w:val="FootnoteReference"/>
        </w:rPr>
        <w:footnoteRef/>
      </w:r>
      <w:r w:rsidRPr="009227E8">
        <w:rPr>
          <w:lang w:val="es-ES"/>
        </w:rPr>
        <w:t xml:space="preserve"> </w:t>
      </w:r>
      <w:r>
        <w:rPr>
          <w:lang w:val="es-ES"/>
        </w:rPr>
        <w:t>Anexo 2. Sentencia dictada el 31 de mayo de 2011 en la causa Nro. 1627 caratulada “Guillamondegui, Néstor Horacio y otros s/privación ilegal de la libertad agravada, imposición de tormentos y homicidio calificado”, Tribunal Oral en lo Criminal Federal Nro. 1, pág. 235. Anexo al escrito de la parte peticionaria de fecha 3 de agosto de 2012.</w:t>
      </w:r>
    </w:p>
  </w:footnote>
  <w:footnote w:id="45">
    <w:p w14:paraId="32665977" w14:textId="4A41007E" w:rsidR="009624E3" w:rsidRPr="0024391C" w:rsidRDefault="009624E3" w:rsidP="00D47D84">
      <w:pPr>
        <w:pStyle w:val="FootnoteText"/>
        <w:mirrorIndents/>
        <w:rPr>
          <w:lang w:val="es-ES"/>
        </w:rPr>
      </w:pPr>
      <w:r>
        <w:rPr>
          <w:rStyle w:val="FootnoteReference"/>
        </w:rPr>
        <w:footnoteRef/>
      </w:r>
      <w:r w:rsidRPr="0024391C">
        <w:rPr>
          <w:lang w:val="es-ES"/>
        </w:rPr>
        <w:t xml:space="preserve"> </w:t>
      </w:r>
      <w:r>
        <w:rPr>
          <w:lang w:val="es-ES"/>
        </w:rPr>
        <w:t xml:space="preserve">Anexo 1. Sentencia dictada el 19 de mayo de 2011 en la causa Nro. 2637/04 caratulada “Vaello, Orestes y otros sobre privación ilegal de la libertad agravada y homicidio agravado”, Juzgado Nacional en lo Criminal y Correccional Federal Nro. 3, Secretaría Nro. 6, pág. 73. Anexo al escrito de la parte peticionaria de fecha 3 de agosto de 2012.  </w:t>
      </w:r>
    </w:p>
  </w:footnote>
  <w:footnote w:id="46">
    <w:p w14:paraId="1B82FFCD" w14:textId="0D3D98D3" w:rsidR="009624E3" w:rsidRPr="00A35F0B" w:rsidRDefault="009624E3" w:rsidP="00D47D84">
      <w:pPr>
        <w:pStyle w:val="FootnoteText"/>
        <w:mirrorIndents/>
        <w:rPr>
          <w:lang w:val="es-ES"/>
        </w:rPr>
      </w:pPr>
      <w:r>
        <w:rPr>
          <w:rStyle w:val="FootnoteReference"/>
        </w:rPr>
        <w:footnoteRef/>
      </w:r>
      <w:r w:rsidRPr="00A35F0B">
        <w:rPr>
          <w:lang w:val="es-ES"/>
        </w:rPr>
        <w:t xml:space="preserve"> </w:t>
      </w:r>
      <w:r>
        <w:rPr>
          <w:lang w:val="es-ES"/>
        </w:rPr>
        <w:t>Anexo 2. Sentencia dictada el 31 de mayo de 2011 en la causa Nro. 1627 caratulada “Guillamondegui, Néstor Horacio y otros s/privación ilegal de la libertad agravada, imposición de tormentos y homicidio calificado”, Tribunal Oral en lo Criminal Federal Nro. 1, págs. 463, 690-691. Anexo al escrito de la parte peticionaria de fecha 3 de agosto de 2012.</w:t>
      </w:r>
    </w:p>
  </w:footnote>
  <w:footnote w:id="47">
    <w:p w14:paraId="0B9C1F96" w14:textId="53ACD404" w:rsidR="009624E3" w:rsidRPr="00C419CD" w:rsidRDefault="009624E3" w:rsidP="00D47D84">
      <w:pPr>
        <w:pStyle w:val="FootnoteText"/>
        <w:mirrorIndents/>
        <w:rPr>
          <w:lang w:val="es-ES"/>
        </w:rPr>
      </w:pPr>
      <w:r>
        <w:rPr>
          <w:rStyle w:val="FootnoteReference"/>
        </w:rPr>
        <w:footnoteRef/>
      </w:r>
      <w:r w:rsidRPr="00C419CD">
        <w:rPr>
          <w:lang w:val="es-ES"/>
        </w:rPr>
        <w:t xml:space="preserve"> </w:t>
      </w:r>
      <w:r>
        <w:rPr>
          <w:lang w:val="es-ES"/>
        </w:rPr>
        <w:t>Anexo 2. Sentencia dictada el 31 de mayo de 2011 en la causa Nro. 1627 caratulada “Guillamondegui, Néstor Horacio y otros s/privación ilegal de la libertad agravada, imposición de tormentos y homicidio calificado”, Tribunal Oral en lo Criminal Federal Nro. 1, págs. 514 y 620. Anexo al escrito de la parte peticionaria de fecha 3 de agosto de 2012.</w:t>
      </w:r>
    </w:p>
  </w:footnote>
  <w:footnote w:id="48">
    <w:p w14:paraId="31C28465" w14:textId="64C1EFBC" w:rsidR="009624E3" w:rsidRPr="000F55A2" w:rsidRDefault="009624E3" w:rsidP="00D47D84">
      <w:pPr>
        <w:pStyle w:val="FootnoteText"/>
        <w:mirrorIndents/>
        <w:rPr>
          <w:lang w:val="es-ES"/>
        </w:rPr>
      </w:pPr>
      <w:r>
        <w:rPr>
          <w:rStyle w:val="FootnoteReference"/>
        </w:rPr>
        <w:footnoteRef/>
      </w:r>
      <w:r w:rsidRPr="000F55A2">
        <w:rPr>
          <w:lang w:val="es-ES"/>
        </w:rPr>
        <w:t xml:space="preserve"> </w:t>
      </w:r>
      <w:r>
        <w:rPr>
          <w:lang w:val="es-ES"/>
        </w:rPr>
        <w:t>Anexo 2. Sentencia dictada el 31 de mayo de 2011 en la causa Nro. 1627 caratulada “Guillamondegui, Néstor Horacio y otros s/privación ilegal de la libertad agravada, imposición de tormentos y homicidio calificado”, Tribunal Oral en lo Criminal Federal Nro. 1, pág. 524. Anexo al escrito de la parte peticionaria de fecha 3 de agosto de 2012.</w:t>
      </w:r>
    </w:p>
  </w:footnote>
  <w:footnote w:id="49">
    <w:p w14:paraId="0E5DEB70" w14:textId="2F4F0EF1" w:rsidR="009624E3" w:rsidRPr="001D0ED5" w:rsidRDefault="009624E3" w:rsidP="00D47D84">
      <w:pPr>
        <w:pStyle w:val="FootnoteText"/>
        <w:mirrorIndents/>
        <w:rPr>
          <w:lang w:val="es-ES"/>
        </w:rPr>
      </w:pPr>
      <w:r>
        <w:rPr>
          <w:rStyle w:val="FootnoteReference"/>
        </w:rPr>
        <w:footnoteRef/>
      </w:r>
      <w:r w:rsidRPr="001D0ED5">
        <w:rPr>
          <w:lang w:val="es-ES"/>
        </w:rPr>
        <w:t xml:space="preserve"> </w:t>
      </w:r>
      <w:r>
        <w:rPr>
          <w:lang w:val="es-ES"/>
        </w:rPr>
        <w:t>Anexo 2. Sentencia dictada el 31 de mayo de 2011 en la causa Nro. 1627 caratulada “Guillamondegui, Néstor Horacio y otros s/privación ilegal de la libertad agravada, imposición de tormentos y homicidio calificado”, Tribunal Oral en lo Criminal Federal Nro. 1, pág. 634. Anexo al escrito de la parte peticionaria de fecha 3 de agosto de 2012.</w:t>
      </w:r>
    </w:p>
  </w:footnote>
  <w:footnote w:id="50">
    <w:p w14:paraId="441DEBDF" w14:textId="3F693E17" w:rsidR="009624E3" w:rsidRPr="00DD1582" w:rsidRDefault="009624E3" w:rsidP="00D47D84">
      <w:pPr>
        <w:pStyle w:val="FootnoteText"/>
        <w:mirrorIndents/>
        <w:rPr>
          <w:lang w:val="es-ES"/>
        </w:rPr>
      </w:pPr>
      <w:r>
        <w:rPr>
          <w:rStyle w:val="FootnoteReference"/>
        </w:rPr>
        <w:footnoteRef/>
      </w:r>
      <w:r w:rsidRPr="00DD1582">
        <w:rPr>
          <w:lang w:val="es-ES"/>
        </w:rPr>
        <w:t xml:space="preserve"> </w:t>
      </w:r>
      <w:r>
        <w:rPr>
          <w:lang w:val="es-ES"/>
        </w:rPr>
        <w:t>Anexo 2. Sentencia dictada el 31 de mayo de 2011 en la causa Nro. 1627 caratulada “Guillamondegui, Néstor Horacio y otros s/privación ilegal de la libertad agravada, imposición de tormentos y homicidio calificado”, Tribunal Oral en lo Criminal Federal Nro. 1, págs. 559-631. Anexo al escrito de la parte peticionaria de fecha 3 de agosto de 2012.</w:t>
      </w:r>
    </w:p>
  </w:footnote>
  <w:footnote w:id="51">
    <w:p w14:paraId="4AEEAF17" w14:textId="17A19181" w:rsidR="009624E3" w:rsidRPr="00280605" w:rsidRDefault="009624E3" w:rsidP="00D47D84">
      <w:pPr>
        <w:pStyle w:val="FootnoteText"/>
        <w:mirrorIndents/>
        <w:rPr>
          <w:lang w:val="es-ES_tradnl"/>
        </w:rPr>
      </w:pPr>
      <w:r>
        <w:rPr>
          <w:rStyle w:val="FootnoteReference"/>
        </w:rPr>
        <w:footnoteRef/>
      </w:r>
      <w:r w:rsidRPr="00C23A02">
        <w:rPr>
          <w:lang w:val="es-ES"/>
        </w:rPr>
        <w:t xml:space="preserve"> </w:t>
      </w:r>
      <w:r>
        <w:rPr>
          <w:lang w:val="es-ES"/>
        </w:rPr>
        <w:t>Anexo 2. Sentencia dictada el 31 de mayo de 2011 en la causa Nro. 1627 caratulada “Guillamondegui, Néstor Horacio y otros s/privación ilegal de la libertad agravada, imposición de tormentos y homicidio calificado”, Tribunal Oral en lo Criminal Federal Nro. 1, págs. 622. Anexo al escrito de la parte peticionaria de fecha 3 de agosto de 2012.</w:t>
      </w:r>
    </w:p>
  </w:footnote>
  <w:footnote w:id="52">
    <w:p w14:paraId="41BFE078" w14:textId="48181C73" w:rsidR="009624E3" w:rsidRPr="008959E3" w:rsidRDefault="009624E3" w:rsidP="00D47D84">
      <w:pPr>
        <w:pStyle w:val="FootnoteText"/>
        <w:mirrorIndents/>
        <w:rPr>
          <w:lang w:val="es-ES"/>
        </w:rPr>
      </w:pPr>
      <w:r>
        <w:rPr>
          <w:rStyle w:val="FootnoteReference"/>
        </w:rPr>
        <w:footnoteRef/>
      </w:r>
      <w:r w:rsidRPr="00396B4A">
        <w:rPr>
          <w:lang w:val="es-ES"/>
        </w:rPr>
        <w:t xml:space="preserve"> </w:t>
      </w:r>
      <w:r>
        <w:rPr>
          <w:lang w:val="es-ES"/>
        </w:rPr>
        <w:t xml:space="preserve">Anexo 3. Legajo No. 2.951 (Julien Cáceres, Mario Roger) del Informe final de la CONADEP, pág. 7. Anexo 10 de la petición inicial del </w:t>
      </w:r>
      <w:r w:rsidRPr="00C26242">
        <w:rPr>
          <w:lang w:val="es-ES"/>
        </w:rPr>
        <w:t>11 de noviembre de 2005</w:t>
      </w:r>
      <w:r>
        <w:rPr>
          <w:lang w:val="es-ES"/>
        </w:rPr>
        <w:t>.</w:t>
      </w:r>
      <w:r w:rsidRPr="00C34BAD">
        <w:rPr>
          <w:rFonts w:ascii="Cambria" w:hAnsi="Cambria"/>
          <w:color w:val="000000" w:themeColor="text1"/>
          <w:sz w:val="20"/>
          <w:szCs w:val="20"/>
          <w:lang w:val="es-VE"/>
        </w:rPr>
        <w:t xml:space="preserve"> </w:t>
      </w:r>
      <w:r>
        <w:rPr>
          <w:lang w:val="es-ES"/>
        </w:rPr>
        <w:t xml:space="preserve"> </w:t>
      </w:r>
      <w:r w:rsidRPr="0099038C">
        <w:rPr>
          <w:lang w:val="es-ES"/>
        </w:rPr>
        <w:t xml:space="preserve">   </w:t>
      </w:r>
    </w:p>
  </w:footnote>
  <w:footnote w:id="53">
    <w:p w14:paraId="791330A2" w14:textId="3928CC4B" w:rsidR="009624E3" w:rsidRPr="00891D34" w:rsidRDefault="009624E3" w:rsidP="00D47D84">
      <w:pPr>
        <w:pStyle w:val="FootnoteText"/>
        <w:mirrorIndents/>
        <w:rPr>
          <w:lang w:val="es-ES"/>
        </w:rPr>
      </w:pPr>
      <w:r>
        <w:rPr>
          <w:rStyle w:val="FootnoteReference"/>
        </w:rPr>
        <w:footnoteRef/>
      </w:r>
      <w:r w:rsidRPr="00891D34">
        <w:rPr>
          <w:lang w:val="es-ES"/>
        </w:rPr>
        <w:t xml:space="preserve"> </w:t>
      </w:r>
      <w:r>
        <w:rPr>
          <w:lang w:val="es-ES"/>
        </w:rPr>
        <w:t>Anexo 2. Sentencia dictada el 31 de mayo de 2011 en la causa Nro. 1627 caratulada “Guillamondegui, Néstor Horacio y otros s/privación ilegal de la libertad agravada, imposición de tormentos y homicidio calificado”, Tribunal Oral en lo Criminal Federal Nro. 1, págs. 1108. Anexo al escrito de la parte peticionaria de fecha 3 de agosto de 2012.</w:t>
      </w:r>
    </w:p>
  </w:footnote>
  <w:footnote w:id="54">
    <w:p w14:paraId="703DBD45" w14:textId="39322C6D" w:rsidR="009624E3" w:rsidRPr="00885211" w:rsidRDefault="009624E3" w:rsidP="00D47D84">
      <w:pPr>
        <w:pStyle w:val="FootnoteText"/>
        <w:mirrorIndents/>
        <w:rPr>
          <w:lang w:val="es-ES"/>
        </w:rPr>
      </w:pPr>
      <w:r>
        <w:rPr>
          <w:rStyle w:val="FootnoteReference"/>
        </w:rPr>
        <w:footnoteRef/>
      </w:r>
      <w:r w:rsidRPr="000A77CC">
        <w:rPr>
          <w:lang w:val="es-ES"/>
        </w:rPr>
        <w:t xml:space="preserve"> </w:t>
      </w:r>
      <w:r>
        <w:rPr>
          <w:lang w:val="es-ES"/>
        </w:rPr>
        <w:t xml:space="preserve">Anexo 3. Legajo No. 2.951 (Julien Cáceres, Mario Roger) del Informe final de la CONADEP. Anexo 10 de la petición inicial del </w:t>
      </w:r>
      <w:r w:rsidRPr="00C26242">
        <w:rPr>
          <w:lang w:val="es-ES"/>
        </w:rPr>
        <w:t>11 de noviembre de 2005</w:t>
      </w:r>
      <w:r>
        <w:rPr>
          <w:lang w:val="es-ES"/>
        </w:rPr>
        <w:t>;</w:t>
      </w:r>
      <w:r w:rsidRPr="00C34BAD">
        <w:rPr>
          <w:rFonts w:ascii="Cambria" w:hAnsi="Cambria"/>
          <w:color w:val="000000" w:themeColor="text1"/>
          <w:sz w:val="20"/>
          <w:szCs w:val="20"/>
          <w:lang w:val="es-VE"/>
        </w:rPr>
        <w:t xml:space="preserve"> </w:t>
      </w:r>
      <w:r>
        <w:rPr>
          <w:lang w:val="es-ES"/>
        </w:rPr>
        <w:t xml:space="preserve">Fallos de la Corte Suprema de Justicia de la Nación, tomo 330, volumen 4. Anatole Alejandro Larrabeiti Yáñez y Otro v. Nación Argentina del 30 de octubre de 2007, pág. 4595. </w:t>
      </w:r>
      <w:r w:rsidRPr="00885211">
        <w:rPr>
          <w:lang w:val="es-ES"/>
        </w:rPr>
        <w:t xml:space="preserve">Disponible en: </w:t>
      </w:r>
      <w:hyperlink r:id="rId8" w:history="1">
        <w:r w:rsidRPr="00B171E0">
          <w:rPr>
            <w:rStyle w:val="Hyperlink"/>
            <w:lang w:val="es-ES"/>
          </w:rPr>
          <w:t>https://sj.csjn.gov.ar</w:t>
        </w:r>
      </w:hyperlink>
    </w:p>
  </w:footnote>
  <w:footnote w:id="55">
    <w:p w14:paraId="0B92FB2D" w14:textId="77777777" w:rsidR="009624E3" w:rsidRPr="0062658B" w:rsidRDefault="009624E3" w:rsidP="00D47D84">
      <w:pPr>
        <w:pStyle w:val="FootnoteText"/>
        <w:mirrorIndents/>
        <w:rPr>
          <w:lang w:val="es-ES"/>
        </w:rPr>
      </w:pPr>
      <w:r>
        <w:rPr>
          <w:rStyle w:val="FootnoteReference"/>
        </w:rPr>
        <w:footnoteRef/>
      </w:r>
      <w:r w:rsidRPr="009A693B">
        <w:rPr>
          <w:lang w:val="es-ES"/>
        </w:rPr>
        <w:t xml:space="preserve"> Ministerio de Cultura. Presidencia de la Nación Argentina. “El Nunca Más y los crímenes de la dictadura”. Edición Cultura Argentina, pág. 12</w:t>
      </w:r>
      <w:r>
        <w:rPr>
          <w:lang w:val="es-ES"/>
        </w:rPr>
        <w:t xml:space="preserve">. Disponible en: </w:t>
      </w:r>
      <w:hyperlink r:id="rId9" w:history="1">
        <w:r w:rsidRPr="00857D49">
          <w:rPr>
            <w:rStyle w:val="Hyperlink"/>
            <w:lang w:val="es-ES"/>
          </w:rPr>
          <w:t>https://librosycasas.cultura.gob.ar/wp-content/uploads/2015/11/LC_NuncaMas_Digital1.pdf</w:t>
        </w:r>
      </w:hyperlink>
      <w:r>
        <w:rPr>
          <w:rStyle w:val="Hyperlink"/>
          <w:lang w:val="es-ES"/>
        </w:rPr>
        <w:t xml:space="preserve"> </w:t>
      </w:r>
    </w:p>
  </w:footnote>
  <w:footnote w:id="56">
    <w:p w14:paraId="20BAB19C" w14:textId="0D509EDE" w:rsidR="009624E3" w:rsidRPr="00362618" w:rsidRDefault="009624E3" w:rsidP="00D47D84">
      <w:pPr>
        <w:pStyle w:val="FootnoteText"/>
        <w:mirrorIndents/>
        <w:rPr>
          <w:lang w:val="es-ES"/>
        </w:rPr>
      </w:pPr>
      <w:r>
        <w:rPr>
          <w:rStyle w:val="FootnoteReference"/>
        </w:rPr>
        <w:footnoteRef/>
      </w:r>
      <w:r w:rsidRPr="00885211">
        <w:rPr>
          <w:lang w:val="es-ES"/>
        </w:rPr>
        <w:t xml:space="preserve"> Anexo </w:t>
      </w:r>
      <w:r>
        <w:rPr>
          <w:lang w:val="es-ES"/>
        </w:rPr>
        <w:t>2</w:t>
      </w:r>
      <w:r w:rsidRPr="00885211">
        <w:rPr>
          <w:lang w:val="es-ES"/>
        </w:rPr>
        <w:t xml:space="preserve">. </w:t>
      </w:r>
      <w:r>
        <w:rPr>
          <w:lang w:val="es-ES"/>
        </w:rPr>
        <w:t>Sentencia dictada el 31 de mayo de 2011 en la causa Nro. 1627 caratulada “Guillamondegui, Néstor Horacio y otros s/privación ilegal de la libertad agravada, imposición de tormentos y homicidio calificado”, Tribunal Oral en lo Criminal Federal Nro. 1, págs. 559-560. Anexo al escrito de la parte peticionaria de fecha 3 de agosto de 2012.</w:t>
      </w:r>
    </w:p>
  </w:footnote>
  <w:footnote w:id="57">
    <w:p w14:paraId="353C735B" w14:textId="0A3DB4E0" w:rsidR="009624E3" w:rsidRPr="00EA2101" w:rsidRDefault="009624E3" w:rsidP="00D47D84">
      <w:pPr>
        <w:pStyle w:val="FootnoteText"/>
        <w:mirrorIndents/>
        <w:rPr>
          <w:lang w:val="es-ES"/>
        </w:rPr>
      </w:pPr>
      <w:r>
        <w:rPr>
          <w:rStyle w:val="FootnoteReference"/>
        </w:rPr>
        <w:footnoteRef/>
      </w:r>
      <w:r w:rsidRPr="00EA2101">
        <w:rPr>
          <w:lang w:val="es-ES"/>
        </w:rPr>
        <w:t xml:space="preserve"> Anexo </w:t>
      </w:r>
      <w:r>
        <w:rPr>
          <w:lang w:val="es-ES"/>
        </w:rPr>
        <w:t>3</w:t>
      </w:r>
      <w:r w:rsidRPr="00EA2101">
        <w:rPr>
          <w:lang w:val="es-ES"/>
        </w:rPr>
        <w:t xml:space="preserve">. </w:t>
      </w:r>
      <w:r w:rsidRPr="0099038C">
        <w:rPr>
          <w:lang w:val="es-ES"/>
        </w:rPr>
        <w:t xml:space="preserve">Escrito de Anatole Alejandro Larrabeiti Yáñez </w:t>
      </w:r>
      <w:r>
        <w:rPr>
          <w:lang w:val="es-ES"/>
        </w:rPr>
        <w:t xml:space="preserve">presentado el 19 de noviembre de 2012 </w:t>
      </w:r>
      <w:r w:rsidRPr="0099038C">
        <w:rPr>
          <w:lang w:val="es-ES"/>
        </w:rPr>
        <w:t xml:space="preserve">en el marco de la causa </w:t>
      </w:r>
      <w:r>
        <w:rPr>
          <w:lang w:val="es-ES"/>
        </w:rPr>
        <w:t>No. 2.637/04 caratulada “Vaello, Orestes y otros sobre privación ilegal de la libertad agravada y homicidio agravado”, pág. 3. Anexo al escrito de la parte peticionaria de fecha 21 de noviembre de 2012.</w:t>
      </w:r>
      <w:r w:rsidRPr="0099038C">
        <w:rPr>
          <w:lang w:val="es-ES"/>
        </w:rPr>
        <w:t xml:space="preserve">   </w:t>
      </w:r>
    </w:p>
  </w:footnote>
  <w:footnote w:id="58">
    <w:p w14:paraId="6B22410C" w14:textId="77777777" w:rsidR="009624E3" w:rsidRPr="00885211" w:rsidRDefault="009624E3" w:rsidP="00D47D84">
      <w:pPr>
        <w:pStyle w:val="FootnoteText"/>
        <w:mirrorIndents/>
        <w:rPr>
          <w:lang w:val="es-ES"/>
        </w:rPr>
      </w:pPr>
      <w:r>
        <w:rPr>
          <w:rStyle w:val="FootnoteReference"/>
        </w:rPr>
        <w:footnoteRef/>
      </w:r>
      <w:r w:rsidRPr="00274230">
        <w:rPr>
          <w:lang w:val="es-ES"/>
        </w:rPr>
        <w:t xml:space="preserve"> </w:t>
      </w:r>
      <w:r>
        <w:rPr>
          <w:lang w:val="es-ES"/>
        </w:rPr>
        <w:t xml:space="preserve">Fallos de la Corte Suprema de Justicia de la Nación, tomo 330, volumen 4. Anatole Alejandro Larrabeiti Yáñez y Otro v. Nación Argentina del 30 de octubre de 2007, pág. 4595. </w:t>
      </w:r>
      <w:r w:rsidRPr="00885211">
        <w:rPr>
          <w:lang w:val="es-ES"/>
        </w:rPr>
        <w:t xml:space="preserve">Disponible en: </w:t>
      </w:r>
      <w:hyperlink r:id="rId10" w:history="1">
        <w:r w:rsidRPr="00885211">
          <w:rPr>
            <w:rStyle w:val="Hyperlink"/>
            <w:lang w:val="es-ES"/>
          </w:rPr>
          <w:t>https://sj.csjn.gov.ar/sj/tomosFallos.do?method=siguiente</w:t>
        </w:r>
      </w:hyperlink>
      <w:r w:rsidRPr="00885211">
        <w:rPr>
          <w:lang w:val="es-ES"/>
        </w:rPr>
        <w:t xml:space="preserve">    </w:t>
      </w:r>
    </w:p>
  </w:footnote>
  <w:footnote w:id="59">
    <w:p w14:paraId="1C266525" w14:textId="77777777" w:rsidR="009624E3" w:rsidRPr="00C91F47" w:rsidRDefault="009624E3" w:rsidP="00D47D84">
      <w:pPr>
        <w:pStyle w:val="FootnoteText"/>
        <w:mirrorIndents/>
        <w:rPr>
          <w:lang w:val="es-ES"/>
        </w:rPr>
      </w:pPr>
      <w:r>
        <w:rPr>
          <w:rStyle w:val="FootnoteReference"/>
        </w:rPr>
        <w:footnoteRef/>
      </w:r>
      <w:r w:rsidRPr="00C91F47">
        <w:rPr>
          <w:lang w:val="es-ES"/>
        </w:rPr>
        <w:t xml:space="preserve"> </w:t>
      </w:r>
      <w:r>
        <w:rPr>
          <w:lang w:val="es-ES"/>
        </w:rPr>
        <w:t>Escrito del Estado de fecha 11 de julio de 2018, pág. 5.</w:t>
      </w:r>
    </w:p>
  </w:footnote>
  <w:footnote w:id="60">
    <w:p w14:paraId="0802F29E" w14:textId="77777777" w:rsidR="009624E3" w:rsidRPr="00EA7874" w:rsidRDefault="009624E3" w:rsidP="00D47D84">
      <w:pPr>
        <w:pStyle w:val="FootnoteText"/>
        <w:mirrorIndents/>
        <w:rPr>
          <w:lang w:val="es-ES"/>
        </w:rPr>
      </w:pPr>
      <w:r>
        <w:rPr>
          <w:rStyle w:val="FootnoteReference"/>
        </w:rPr>
        <w:footnoteRef/>
      </w:r>
      <w:r w:rsidRPr="00885211">
        <w:rPr>
          <w:lang w:val="es-ES"/>
        </w:rPr>
        <w:t xml:space="preserve"> </w:t>
      </w:r>
      <w:r>
        <w:rPr>
          <w:lang w:val="es-ES"/>
        </w:rPr>
        <w:t>Escrito del Estado de fecha 11 de julio de 2018, págs. 5 y 6.</w:t>
      </w:r>
    </w:p>
  </w:footnote>
  <w:footnote w:id="61">
    <w:p w14:paraId="74225762" w14:textId="2955B9FD" w:rsidR="009624E3" w:rsidRPr="009B6051" w:rsidRDefault="009624E3" w:rsidP="00D47D84">
      <w:pPr>
        <w:pStyle w:val="FootnoteText"/>
        <w:mirrorIndents/>
        <w:rPr>
          <w:lang w:val="es-ES"/>
        </w:rPr>
      </w:pPr>
      <w:r>
        <w:rPr>
          <w:rStyle w:val="FootnoteReference"/>
        </w:rPr>
        <w:footnoteRef/>
      </w:r>
      <w:r w:rsidRPr="00885211">
        <w:rPr>
          <w:lang w:val="es-ES"/>
        </w:rPr>
        <w:t xml:space="preserve"> Anexo </w:t>
      </w:r>
      <w:r>
        <w:rPr>
          <w:lang w:val="es-ES"/>
        </w:rPr>
        <w:t>5</w:t>
      </w:r>
      <w:r w:rsidRPr="00885211">
        <w:rPr>
          <w:lang w:val="es-ES"/>
        </w:rPr>
        <w:t xml:space="preserve">. </w:t>
      </w:r>
      <w:r>
        <w:rPr>
          <w:lang w:val="es-ES"/>
        </w:rPr>
        <w:t xml:space="preserve">Decreto del Poder Ejecutivo de la Nación No. 1025/96 del </w:t>
      </w:r>
      <w:r w:rsidRPr="00F30D34">
        <w:rPr>
          <w:lang w:val="es-ES"/>
        </w:rPr>
        <w:t>6 de septiembre de 1996</w:t>
      </w:r>
      <w:r>
        <w:rPr>
          <w:lang w:val="es-ES"/>
        </w:rPr>
        <w:t>,</w:t>
      </w:r>
      <w:r w:rsidRPr="00F30D34">
        <w:rPr>
          <w:lang w:val="es-ES"/>
        </w:rPr>
        <w:t xml:space="preserve"> </w:t>
      </w:r>
      <w:r>
        <w:rPr>
          <w:lang w:val="es-ES"/>
        </w:rPr>
        <w:t xml:space="preserve">publicado en el Boletín Oficial. Anexo 2 de la petición inicial del </w:t>
      </w:r>
      <w:r w:rsidRPr="00C26242">
        <w:rPr>
          <w:lang w:val="es-ES"/>
        </w:rPr>
        <w:t>11 de noviembre de 2005</w:t>
      </w:r>
      <w:r>
        <w:rPr>
          <w:lang w:val="es-ES"/>
        </w:rPr>
        <w:t>.</w:t>
      </w:r>
      <w:r w:rsidRPr="00C34BAD">
        <w:rPr>
          <w:rFonts w:ascii="Cambria" w:hAnsi="Cambria"/>
          <w:color w:val="000000" w:themeColor="text1"/>
          <w:sz w:val="20"/>
          <w:szCs w:val="20"/>
          <w:lang w:val="es-VE"/>
        </w:rPr>
        <w:t xml:space="preserve"> </w:t>
      </w:r>
      <w:r>
        <w:rPr>
          <w:lang w:val="es-ES"/>
        </w:rPr>
        <w:t xml:space="preserve"> </w:t>
      </w:r>
    </w:p>
  </w:footnote>
  <w:footnote w:id="62">
    <w:p w14:paraId="647F4F73" w14:textId="2BBF447E" w:rsidR="009624E3" w:rsidRPr="00A956B9" w:rsidRDefault="009624E3" w:rsidP="00D47D84">
      <w:pPr>
        <w:pStyle w:val="FootnoteText"/>
        <w:mirrorIndents/>
        <w:rPr>
          <w:lang w:val="es-ES"/>
        </w:rPr>
      </w:pPr>
      <w:r>
        <w:rPr>
          <w:rStyle w:val="FootnoteReference"/>
        </w:rPr>
        <w:footnoteRef/>
      </w:r>
      <w:r w:rsidRPr="00A956B9">
        <w:rPr>
          <w:lang w:val="es-ES"/>
        </w:rPr>
        <w:t xml:space="preserve"> </w:t>
      </w:r>
      <w:r>
        <w:rPr>
          <w:lang w:val="es-ES"/>
        </w:rPr>
        <w:t xml:space="preserve">Anexo 6. Carta documento de fecha 26 de septiembre de 1996 dirigida al Señor Presidente de la República Dr. Carlos Saúl Menem, pág. 2. Anexo 3 de la petición inicial del </w:t>
      </w:r>
      <w:r w:rsidRPr="00C26242">
        <w:rPr>
          <w:lang w:val="es-ES"/>
        </w:rPr>
        <w:t>11 de noviembre de 2005</w:t>
      </w:r>
      <w:r>
        <w:rPr>
          <w:lang w:val="es-ES"/>
        </w:rPr>
        <w:t>.</w:t>
      </w:r>
      <w:r w:rsidRPr="00C34BAD">
        <w:rPr>
          <w:rFonts w:ascii="Cambria" w:hAnsi="Cambria"/>
          <w:color w:val="000000" w:themeColor="text1"/>
          <w:sz w:val="20"/>
          <w:szCs w:val="20"/>
          <w:lang w:val="es-VE"/>
        </w:rPr>
        <w:t xml:space="preserve"> </w:t>
      </w:r>
      <w:r>
        <w:rPr>
          <w:lang w:val="es-ES"/>
        </w:rPr>
        <w:t xml:space="preserve"> </w:t>
      </w:r>
    </w:p>
  </w:footnote>
  <w:footnote w:id="63">
    <w:p w14:paraId="0317CA92" w14:textId="553E0133" w:rsidR="009624E3" w:rsidRPr="00E54A14" w:rsidRDefault="009624E3" w:rsidP="00D47D84">
      <w:pPr>
        <w:pStyle w:val="FootnoteText"/>
        <w:mirrorIndents/>
        <w:rPr>
          <w:lang w:val="es-ES"/>
        </w:rPr>
      </w:pPr>
      <w:r>
        <w:rPr>
          <w:rStyle w:val="FootnoteReference"/>
        </w:rPr>
        <w:footnoteRef/>
      </w:r>
      <w:r w:rsidRPr="00E54A14">
        <w:rPr>
          <w:lang w:val="es-ES"/>
        </w:rPr>
        <w:t xml:space="preserve"> </w:t>
      </w:r>
      <w:r>
        <w:rPr>
          <w:lang w:val="es-ES"/>
        </w:rPr>
        <w:t xml:space="preserve">Anexo 7. Carta documento de fecha 15 de agosto de 1997 dirigida al Ministro del Interior Dr. Carlos V. Corach, pág. 2. Anexo 4 de la petición inicial del </w:t>
      </w:r>
      <w:r w:rsidRPr="00C26242">
        <w:rPr>
          <w:lang w:val="es-ES"/>
        </w:rPr>
        <w:t>11 de noviembre de 2005</w:t>
      </w:r>
      <w:r>
        <w:rPr>
          <w:lang w:val="es-ES"/>
        </w:rPr>
        <w:t>.</w:t>
      </w:r>
      <w:r w:rsidRPr="00C34BAD">
        <w:rPr>
          <w:rFonts w:ascii="Cambria" w:hAnsi="Cambria"/>
          <w:color w:val="000000" w:themeColor="text1"/>
          <w:sz w:val="20"/>
          <w:szCs w:val="20"/>
          <w:lang w:val="es-VE"/>
        </w:rPr>
        <w:t xml:space="preserve"> </w:t>
      </w:r>
      <w:r>
        <w:rPr>
          <w:lang w:val="es-ES"/>
        </w:rPr>
        <w:t xml:space="preserve"> </w:t>
      </w:r>
    </w:p>
  </w:footnote>
  <w:footnote w:id="64">
    <w:p w14:paraId="42C2E3B5" w14:textId="46D45A6C" w:rsidR="009624E3" w:rsidRPr="00885211" w:rsidRDefault="009624E3" w:rsidP="00D47D84">
      <w:pPr>
        <w:pStyle w:val="FootnoteText"/>
        <w:mirrorIndents/>
        <w:rPr>
          <w:lang w:val="es-ES"/>
        </w:rPr>
      </w:pPr>
      <w:r>
        <w:rPr>
          <w:rStyle w:val="FootnoteReference"/>
        </w:rPr>
        <w:footnoteRef/>
      </w:r>
      <w:r w:rsidRPr="00885211">
        <w:rPr>
          <w:lang w:val="es-ES"/>
        </w:rPr>
        <w:t xml:space="preserve"> </w:t>
      </w:r>
      <w:r>
        <w:rPr>
          <w:lang w:val="es-ES"/>
        </w:rPr>
        <w:t xml:space="preserve">Anexo 8. Sentencia de la Sala II de la Cámara Nacional de Apelaciones en lo Contencioso Administrativo Federal, Causa 24.518/98 “Larrabeiti Yáñez Anatole Alejandro y otro c/ EN – No. Del Interior s/Daños y Perjuicios” del 16 de noviembre de 2004, pág. 3. Anexo 11 de la petición inicial del </w:t>
      </w:r>
      <w:r w:rsidRPr="00C26242">
        <w:rPr>
          <w:lang w:val="es-ES"/>
        </w:rPr>
        <w:t>11 de noviembre de 2005</w:t>
      </w:r>
      <w:r>
        <w:rPr>
          <w:lang w:val="es-ES"/>
        </w:rPr>
        <w:t>.</w:t>
      </w:r>
      <w:r w:rsidRPr="00C34BAD">
        <w:rPr>
          <w:rFonts w:ascii="Cambria" w:hAnsi="Cambria"/>
          <w:color w:val="000000" w:themeColor="text1"/>
          <w:sz w:val="20"/>
          <w:szCs w:val="20"/>
          <w:lang w:val="es-VE"/>
        </w:rPr>
        <w:t xml:space="preserve"> </w:t>
      </w:r>
      <w:r>
        <w:rPr>
          <w:lang w:val="es-ES"/>
        </w:rPr>
        <w:t xml:space="preserve"> </w:t>
      </w:r>
    </w:p>
  </w:footnote>
  <w:footnote w:id="65">
    <w:p w14:paraId="49A67816" w14:textId="47AA31B5" w:rsidR="009624E3" w:rsidRPr="00441D6C" w:rsidRDefault="009624E3" w:rsidP="00D47D84">
      <w:pPr>
        <w:pStyle w:val="FootnoteText"/>
        <w:mirrorIndents/>
        <w:rPr>
          <w:lang w:val="es-ES"/>
        </w:rPr>
      </w:pPr>
      <w:r>
        <w:rPr>
          <w:rStyle w:val="FootnoteReference"/>
        </w:rPr>
        <w:footnoteRef/>
      </w:r>
      <w:r w:rsidRPr="00441D6C">
        <w:rPr>
          <w:lang w:val="es-ES"/>
        </w:rPr>
        <w:t xml:space="preserve"> </w:t>
      </w:r>
      <w:r>
        <w:rPr>
          <w:lang w:val="es-ES"/>
        </w:rPr>
        <w:t xml:space="preserve">Anexo 9. Ministerio del Interior. Comunicación de la Dra. Alicia B. Pierini de fecha 3 se septiembre de 1997, pág. 1. Anexo 5 de la petición inicial del </w:t>
      </w:r>
      <w:r w:rsidRPr="00C26242">
        <w:rPr>
          <w:lang w:val="es-ES"/>
        </w:rPr>
        <w:t>11 de noviembre de 2005</w:t>
      </w:r>
      <w:r>
        <w:rPr>
          <w:lang w:val="es-ES"/>
        </w:rPr>
        <w:t>.</w:t>
      </w:r>
      <w:r w:rsidRPr="00C34BAD">
        <w:rPr>
          <w:rFonts w:ascii="Cambria" w:hAnsi="Cambria"/>
          <w:color w:val="000000" w:themeColor="text1"/>
          <w:sz w:val="20"/>
          <w:szCs w:val="20"/>
          <w:lang w:val="es-VE"/>
        </w:rPr>
        <w:t xml:space="preserve"> </w:t>
      </w:r>
      <w:r>
        <w:rPr>
          <w:lang w:val="es-ES"/>
        </w:rPr>
        <w:t xml:space="preserve"> </w:t>
      </w:r>
    </w:p>
  </w:footnote>
  <w:footnote w:id="66">
    <w:p w14:paraId="1259D2F7" w14:textId="1E165959" w:rsidR="009624E3" w:rsidRPr="0064672F" w:rsidRDefault="009624E3" w:rsidP="00D47D84">
      <w:pPr>
        <w:pStyle w:val="FootnoteText"/>
        <w:mirrorIndents/>
        <w:rPr>
          <w:lang w:val="es-ES"/>
        </w:rPr>
      </w:pPr>
      <w:r>
        <w:rPr>
          <w:rStyle w:val="FootnoteReference"/>
        </w:rPr>
        <w:footnoteRef/>
      </w:r>
      <w:r w:rsidRPr="00B3382C">
        <w:rPr>
          <w:lang w:val="es-ES"/>
        </w:rPr>
        <w:t xml:space="preserve"> Anexo </w:t>
      </w:r>
      <w:r>
        <w:rPr>
          <w:lang w:val="es-ES"/>
        </w:rPr>
        <w:t>10</w:t>
      </w:r>
      <w:r w:rsidRPr="00B3382C">
        <w:rPr>
          <w:lang w:val="es-ES"/>
        </w:rPr>
        <w:t xml:space="preserve">. </w:t>
      </w:r>
      <w:r>
        <w:rPr>
          <w:lang w:val="es-ES"/>
        </w:rPr>
        <w:t xml:space="preserve">Sentencia de la Sala II de la Cámara Nacional de Apelaciones en lo Contencioso Administrativo Federal, Causa 24.518/98 “Larrabeiti Yáñez Anatole Alejandro y otro c/ EN – No. Del Interior s/Daños y Perjuicios” del 22 de junio de 2004, pág. 1. Anexo 7 de la petición inicial del </w:t>
      </w:r>
      <w:r w:rsidRPr="00C26242">
        <w:rPr>
          <w:lang w:val="es-ES"/>
        </w:rPr>
        <w:t>11 de noviembre de 2005</w:t>
      </w:r>
      <w:r>
        <w:rPr>
          <w:lang w:val="es-ES"/>
        </w:rPr>
        <w:t>.</w:t>
      </w:r>
      <w:r w:rsidRPr="00C34BAD">
        <w:rPr>
          <w:rFonts w:ascii="Cambria" w:hAnsi="Cambria"/>
          <w:color w:val="000000" w:themeColor="text1"/>
          <w:sz w:val="20"/>
          <w:szCs w:val="20"/>
          <w:lang w:val="es-VE"/>
        </w:rPr>
        <w:t xml:space="preserve"> </w:t>
      </w:r>
      <w:r>
        <w:rPr>
          <w:lang w:val="es-ES"/>
        </w:rPr>
        <w:t xml:space="preserve"> </w:t>
      </w:r>
    </w:p>
  </w:footnote>
  <w:footnote w:id="67">
    <w:p w14:paraId="1AFF0195" w14:textId="538C1FEF" w:rsidR="009624E3" w:rsidRPr="00101B06" w:rsidRDefault="009624E3" w:rsidP="00D47D84">
      <w:pPr>
        <w:pStyle w:val="FootnoteText"/>
        <w:mirrorIndents/>
        <w:rPr>
          <w:lang w:val="es-ES"/>
        </w:rPr>
      </w:pPr>
      <w:r>
        <w:rPr>
          <w:rStyle w:val="FootnoteReference"/>
        </w:rPr>
        <w:footnoteRef/>
      </w:r>
      <w:r w:rsidRPr="00101B06">
        <w:rPr>
          <w:lang w:val="es-ES"/>
        </w:rPr>
        <w:t xml:space="preserve"> </w:t>
      </w:r>
      <w:r>
        <w:rPr>
          <w:lang w:val="es-ES"/>
        </w:rPr>
        <w:t xml:space="preserve">Anexo 11. Escrito de apelación de fecha 28 de octubre de 2003 presentado por los demandantes contra la sentencia de primera instancia en la Causa 24.518/98 “Larrabeiti Yáñez Anatole Alejandro y otro c/ EN – No. Del Interior s/Daños y Perjuicios”, párr. 3. Anexo 8 de la petición inicial del </w:t>
      </w:r>
      <w:r w:rsidRPr="00C26242">
        <w:rPr>
          <w:lang w:val="es-ES"/>
        </w:rPr>
        <w:t>11 de noviembre de 2005</w:t>
      </w:r>
      <w:r>
        <w:rPr>
          <w:lang w:val="es-ES"/>
        </w:rPr>
        <w:t>.</w:t>
      </w:r>
      <w:r w:rsidRPr="00C34BAD">
        <w:rPr>
          <w:rFonts w:ascii="Cambria" w:hAnsi="Cambria"/>
          <w:color w:val="000000" w:themeColor="text1"/>
          <w:sz w:val="20"/>
          <w:szCs w:val="20"/>
          <w:lang w:val="es-VE"/>
        </w:rPr>
        <w:t xml:space="preserve"> </w:t>
      </w:r>
      <w:r>
        <w:rPr>
          <w:lang w:val="es-ES"/>
        </w:rPr>
        <w:t xml:space="preserve"> </w:t>
      </w:r>
    </w:p>
  </w:footnote>
  <w:footnote w:id="68">
    <w:p w14:paraId="43EC7F47" w14:textId="543FF24D" w:rsidR="009624E3" w:rsidRPr="009773EA" w:rsidRDefault="009624E3" w:rsidP="00D47D84">
      <w:pPr>
        <w:pStyle w:val="FootnoteText"/>
        <w:mirrorIndents/>
        <w:rPr>
          <w:lang w:val="es-ES"/>
        </w:rPr>
      </w:pPr>
      <w:r>
        <w:rPr>
          <w:rStyle w:val="FootnoteReference"/>
        </w:rPr>
        <w:footnoteRef/>
      </w:r>
      <w:r w:rsidRPr="009773EA">
        <w:rPr>
          <w:lang w:val="es-ES"/>
        </w:rPr>
        <w:t xml:space="preserve"> </w:t>
      </w:r>
      <w:r>
        <w:rPr>
          <w:lang w:val="es-ES"/>
        </w:rPr>
        <w:t xml:space="preserve">Anexo 11. Escrito de apelación de fecha 28 de octubre de 2003 presentado por los demandantes contra la sentencia de primera instancia en la Causa 24.518/98 “Larrabeiti Yáñez Anatole Alejandro y otro c/ EN – No. Del Interior s/Daños y Perjuicios”, párrs. 4 y 5. Anexo 8 de la petición inicial del </w:t>
      </w:r>
      <w:r w:rsidRPr="00C26242">
        <w:rPr>
          <w:lang w:val="es-ES"/>
        </w:rPr>
        <w:t>11 de noviembre de 2005</w:t>
      </w:r>
      <w:r>
        <w:rPr>
          <w:lang w:val="es-ES"/>
        </w:rPr>
        <w:t>.</w:t>
      </w:r>
      <w:r w:rsidRPr="00C34BAD">
        <w:rPr>
          <w:rFonts w:ascii="Cambria" w:hAnsi="Cambria"/>
          <w:color w:val="000000" w:themeColor="text1"/>
          <w:sz w:val="20"/>
          <w:szCs w:val="20"/>
          <w:lang w:val="es-VE"/>
        </w:rPr>
        <w:t xml:space="preserve"> </w:t>
      </w:r>
      <w:r>
        <w:rPr>
          <w:lang w:val="es-ES"/>
        </w:rPr>
        <w:t xml:space="preserve"> </w:t>
      </w:r>
    </w:p>
  </w:footnote>
  <w:footnote w:id="69">
    <w:p w14:paraId="62DBB1F0" w14:textId="2A072E2A" w:rsidR="009624E3" w:rsidRPr="007A02CF" w:rsidRDefault="009624E3" w:rsidP="00D47D84">
      <w:pPr>
        <w:pStyle w:val="FootnoteText"/>
        <w:mirrorIndents/>
        <w:rPr>
          <w:lang w:val="es-ES"/>
        </w:rPr>
      </w:pPr>
      <w:r>
        <w:rPr>
          <w:rStyle w:val="FootnoteReference"/>
        </w:rPr>
        <w:footnoteRef/>
      </w:r>
      <w:r w:rsidRPr="007A02CF">
        <w:rPr>
          <w:lang w:val="es-ES"/>
        </w:rPr>
        <w:t xml:space="preserve"> </w:t>
      </w:r>
      <w:r>
        <w:rPr>
          <w:lang w:val="es-ES"/>
        </w:rPr>
        <w:t xml:space="preserve">Anexo 10. Sentencia de la Sala II de la Cámara Nacional de Apelaciones en lo Contencioso Administrativo Federal, Causa 24.518/98 “Larrabeiti Yáñez Anatole Alejandro y otro c/ EN – No. Del Interior s/Daños y Perjuicios” del 22 de junio de 2004, págs. 3-4. Anexo 7 de la petición inicial del </w:t>
      </w:r>
      <w:r w:rsidRPr="00C26242">
        <w:rPr>
          <w:lang w:val="es-ES"/>
        </w:rPr>
        <w:t>11 de noviembre de 2005</w:t>
      </w:r>
      <w:r>
        <w:rPr>
          <w:lang w:val="es-ES"/>
        </w:rPr>
        <w:t>.</w:t>
      </w:r>
      <w:r w:rsidRPr="00C34BAD">
        <w:rPr>
          <w:rFonts w:ascii="Cambria" w:hAnsi="Cambria"/>
          <w:color w:val="000000" w:themeColor="text1"/>
          <w:sz w:val="20"/>
          <w:szCs w:val="20"/>
          <w:lang w:val="es-VE"/>
        </w:rPr>
        <w:t xml:space="preserve"> </w:t>
      </w:r>
      <w:r>
        <w:rPr>
          <w:lang w:val="es-ES"/>
        </w:rPr>
        <w:t xml:space="preserve"> </w:t>
      </w:r>
    </w:p>
  </w:footnote>
  <w:footnote w:id="70">
    <w:p w14:paraId="21463AA7" w14:textId="1043A22F" w:rsidR="009624E3" w:rsidRPr="00D66BEA" w:rsidRDefault="009624E3" w:rsidP="00D47D84">
      <w:pPr>
        <w:pStyle w:val="FootnoteText"/>
        <w:mirrorIndents/>
        <w:rPr>
          <w:lang w:val="es-ES"/>
        </w:rPr>
      </w:pPr>
      <w:r>
        <w:rPr>
          <w:rStyle w:val="FootnoteReference"/>
        </w:rPr>
        <w:footnoteRef/>
      </w:r>
      <w:r w:rsidRPr="00D66BEA">
        <w:rPr>
          <w:lang w:val="es-ES"/>
        </w:rPr>
        <w:t xml:space="preserve"> </w:t>
      </w:r>
      <w:r>
        <w:rPr>
          <w:lang w:val="es-ES"/>
        </w:rPr>
        <w:t xml:space="preserve">Anexo 12. Recurso Extraordinario de fecha 3 de agosto de 2004 presentado en el Expediente No. 24.518/98 ante la Sala II de la Cámara de Apelaciones en lo Contencioso Administrativo Federal. Anexo 9 de la petición inicial del </w:t>
      </w:r>
      <w:r w:rsidRPr="00C26242">
        <w:rPr>
          <w:lang w:val="es-ES"/>
        </w:rPr>
        <w:t>11 de noviembre de 2005</w:t>
      </w:r>
      <w:r>
        <w:rPr>
          <w:lang w:val="es-ES"/>
        </w:rPr>
        <w:t>.</w:t>
      </w:r>
      <w:r w:rsidRPr="00C34BAD">
        <w:rPr>
          <w:rFonts w:ascii="Cambria" w:hAnsi="Cambria"/>
          <w:color w:val="000000" w:themeColor="text1"/>
          <w:sz w:val="20"/>
          <w:szCs w:val="20"/>
          <w:lang w:val="es-VE"/>
        </w:rPr>
        <w:t xml:space="preserve"> </w:t>
      </w:r>
      <w:r>
        <w:rPr>
          <w:lang w:val="es-ES"/>
        </w:rPr>
        <w:t xml:space="preserve"> </w:t>
      </w:r>
    </w:p>
  </w:footnote>
  <w:footnote w:id="71">
    <w:p w14:paraId="1E44D2D1" w14:textId="5DC4F352" w:rsidR="009624E3" w:rsidRPr="0038428D" w:rsidRDefault="009624E3" w:rsidP="00D47D84">
      <w:pPr>
        <w:pStyle w:val="FootnoteText"/>
        <w:mirrorIndents/>
        <w:rPr>
          <w:lang w:val="es-ES"/>
        </w:rPr>
      </w:pPr>
      <w:r>
        <w:rPr>
          <w:rStyle w:val="FootnoteReference"/>
        </w:rPr>
        <w:footnoteRef/>
      </w:r>
      <w:r w:rsidRPr="0038428D">
        <w:rPr>
          <w:lang w:val="es-ES"/>
        </w:rPr>
        <w:t xml:space="preserve"> </w:t>
      </w:r>
      <w:r>
        <w:rPr>
          <w:lang w:val="es-ES"/>
        </w:rPr>
        <w:t xml:space="preserve">Anexo 8. Sentencia de la Sala II de la Cámara Nacional de Apelaciones en lo Contencioso Administrativo Federal, Causa 24.518/98 “Larrabeiti Yáñez Anatole Alejandro y otro c/ EN – No. Del Interior s/Daños y Perjuicios” del 16 de noviembre de 2004. Anexo 11 de la petición inicial del </w:t>
      </w:r>
      <w:r w:rsidRPr="00C26242">
        <w:rPr>
          <w:lang w:val="es-ES"/>
        </w:rPr>
        <w:t>11 de noviembre de 2005</w:t>
      </w:r>
      <w:r>
        <w:rPr>
          <w:lang w:val="es-ES"/>
        </w:rPr>
        <w:t>.</w:t>
      </w:r>
      <w:r w:rsidRPr="00C34BAD">
        <w:rPr>
          <w:rFonts w:ascii="Cambria" w:hAnsi="Cambria"/>
          <w:color w:val="000000" w:themeColor="text1"/>
          <w:sz w:val="20"/>
          <w:szCs w:val="20"/>
          <w:lang w:val="es-VE"/>
        </w:rPr>
        <w:t xml:space="preserve"> </w:t>
      </w:r>
      <w:r>
        <w:rPr>
          <w:lang w:val="es-ES"/>
        </w:rPr>
        <w:t xml:space="preserve"> </w:t>
      </w:r>
    </w:p>
  </w:footnote>
  <w:footnote w:id="72">
    <w:p w14:paraId="51584D9A" w14:textId="6F7C2793" w:rsidR="009624E3" w:rsidRPr="00A05664" w:rsidRDefault="009624E3" w:rsidP="00D47D84">
      <w:pPr>
        <w:pStyle w:val="FootnoteText"/>
        <w:mirrorIndents/>
        <w:rPr>
          <w:lang w:val="es-ES"/>
        </w:rPr>
      </w:pPr>
      <w:r>
        <w:rPr>
          <w:rStyle w:val="FootnoteReference"/>
        </w:rPr>
        <w:footnoteRef/>
      </w:r>
      <w:r w:rsidRPr="00A05664">
        <w:rPr>
          <w:lang w:val="es-ES"/>
        </w:rPr>
        <w:t xml:space="preserve"> </w:t>
      </w:r>
      <w:r>
        <w:rPr>
          <w:lang w:val="es-ES"/>
        </w:rPr>
        <w:t xml:space="preserve">Anexo 13. Recurso de Queja de fecha 10 de diciembre de 2004 presentado en el Expediente No. 24.518/98 ante la Corte Suprema de Justicia de la Nación. Anexo 12 de la petición inicial del </w:t>
      </w:r>
      <w:r w:rsidRPr="00C26242">
        <w:rPr>
          <w:lang w:val="es-ES"/>
        </w:rPr>
        <w:t>11 de noviembre de 2005</w:t>
      </w:r>
      <w:r>
        <w:rPr>
          <w:lang w:val="es-ES"/>
        </w:rPr>
        <w:t>.</w:t>
      </w:r>
      <w:r w:rsidRPr="00C34BAD">
        <w:rPr>
          <w:rFonts w:ascii="Cambria" w:hAnsi="Cambria"/>
          <w:color w:val="000000" w:themeColor="text1"/>
          <w:sz w:val="20"/>
          <w:szCs w:val="20"/>
          <w:lang w:val="es-VE"/>
        </w:rPr>
        <w:t xml:space="preserve"> </w:t>
      </w:r>
      <w:r>
        <w:rPr>
          <w:lang w:val="es-ES"/>
        </w:rPr>
        <w:t xml:space="preserve"> </w:t>
      </w:r>
    </w:p>
  </w:footnote>
  <w:footnote w:id="73">
    <w:p w14:paraId="43A5F732" w14:textId="7249B98B" w:rsidR="009624E3" w:rsidRPr="00DA1066" w:rsidRDefault="009624E3" w:rsidP="00D47D84">
      <w:pPr>
        <w:pStyle w:val="FootnoteText"/>
        <w:mirrorIndents/>
        <w:rPr>
          <w:lang w:val="es-ES"/>
        </w:rPr>
      </w:pPr>
      <w:r>
        <w:rPr>
          <w:rStyle w:val="FootnoteReference"/>
        </w:rPr>
        <w:footnoteRef/>
      </w:r>
      <w:r w:rsidRPr="00DA1066">
        <w:rPr>
          <w:lang w:val="es-ES"/>
        </w:rPr>
        <w:t xml:space="preserve"> </w:t>
      </w:r>
      <w:r>
        <w:rPr>
          <w:lang w:val="es-ES"/>
        </w:rPr>
        <w:t xml:space="preserve">Anexo 14. Sentencia de la Corte Suprema de Justicia de la Nación, Causa 24.518/98 “Larrabeiti Yáñez Anatole Alejandro y otro c/ EN – No. Del Interior s/Daños y Perjuicios” del 27 de septiembre de 2005. Anexo 13 de la petición inicial del </w:t>
      </w:r>
      <w:r w:rsidRPr="00C26242">
        <w:rPr>
          <w:lang w:val="es-ES"/>
        </w:rPr>
        <w:t>11 de noviembre de 2005</w:t>
      </w:r>
      <w:r>
        <w:rPr>
          <w:lang w:val="es-ES"/>
        </w:rPr>
        <w:t>.</w:t>
      </w:r>
      <w:r w:rsidRPr="00C34BAD">
        <w:rPr>
          <w:rFonts w:ascii="Cambria" w:hAnsi="Cambria"/>
          <w:color w:val="000000" w:themeColor="text1"/>
          <w:sz w:val="20"/>
          <w:szCs w:val="20"/>
          <w:lang w:val="es-VE"/>
        </w:rPr>
        <w:t xml:space="preserve"> </w:t>
      </w:r>
      <w:r>
        <w:rPr>
          <w:lang w:val="es-ES"/>
        </w:rPr>
        <w:t xml:space="preserve"> </w:t>
      </w:r>
    </w:p>
  </w:footnote>
  <w:footnote w:id="74">
    <w:p w14:paraId="5109025E" w14:textId="77777777" w:rsidR="009624E3" w:rsidRPr="005831FF" w:rsidRDefault="009624E3" w:rsidP="00D47D84">
      <w:pPr>
        <w:pStyle w:val="FootnoteText"/>
        <w:mirrorIndents/>
        <w:rPr>
          <w:lang w:val="es-ES"/>
        </w:rPr>
      </w:pPr>
      <w:r>
        <w:rPr>
          <w:rStyle w:val="FootnoteReference"/>
        </w:rPr>
        <w:footnoteRef/>
      </w:r>
      <w:r w:rsidRPr="005831FF">
        <w:rPr>
          <w:lang w:val="es-ES"/>
        </w:rPr>
        <w:t xml:space="preserve"> Escrito de la parte peticionaria </w:t>
      </w:r>
      <w:r>
        <w:rPr>
          <w:lang w:val="es-ES"/>
        </w:rPr>
        <w:t>de fecha 19 de julio de 2011, pág. 5.</w:t>
      </w:r>
    </w:p>
  </w:footnote>
  <w:footnote w:id="75">
    <w:p w14:paraId="61ACBBBE" w14:textId="77777777" w:rsidR="009624E3" w:rsidRPr="002E6720" w:rsidRDefault="009624E3" w:rsidP="00D47D84">
      <w:pPr>
        <w:pStyle w:val="FootnoteText"/>
        <w:mirrorIndents/>
        <w:rPr>
          <w:lang w:val="es-ES"/>
        </w:rPr>
      </w:pPr>
      <w:r>
        <w:rPr>
          <w:rStyle w:val="FootnoteReference"/>
        </w:rPr>
        <w:footnoteRef/>
      </w:r>
      <w:r w:rsidRPr="002E6720">
        <w:rPr>
          <w:lang w:val="es-ES"/>
        </w:rPr>
        <w:t xml:space="preserve"> </w:t>
      </w:r>
      <w:r>
        <w:rPr>
          <w:lang w:val="es-ES"/>
        </w:rPr>
        <w:t xml:space="preserve">Fallos de la Corte Suprema de Justicia de la Nación, tomo 330, volumen 4. Anatole Alejandro Larrabeiti Yáñez y Otro v. Nación Argentina del 30 de octubre de 2007, pág. 4594. Disponible en: </w:t>
      </w:r>
      <w:hyperlink r:id="rId11" w:history="1">
        <w:r w:rsidRPr="00B171E0">
          <w:rPr>
            <w:rStyle w:val="Hyperlink"/>
            <w:lang w:val="es-ES"/>
          </w:rPr>
          <w:t>https://sj.csjn.gov.ar</w:t>
        </w:r>
      </w:hyperlink>
    </w:p>
  </w:footnote>
  <w:footnote w:id="76">
    <w:p w14:paraId="3AAB61EF" w14:textId="77777777" w:rsidR="009624E3" w:rsidRPr="00881C31" w:rsidRDefault="009624E3" w:rsidP="00D47D84">
      <w:pPr>
        <w:pStyle w:val="FootnoteText"/>
        <w:mirrorIndents/>
        <w:rPr>
          <w:lang w:val="es-ES"/>
        </w:rPr>
      </w:pPr>
      <w:r>
        <w:rPr>
          <w:rStyle w:val="FootnoteReference"/>
        </w:rPr>
        <w:footnoteRef/>
      </w:r>
      <w:r w:rsidRPr="00881C31">
        <w:rPr>
          <w:lang w:val="es-ES"/>
        </w:rPr>
        <w:t xml:space="preserve"> </w:t>
      </w:r>
      <w:r w:rsidRPr="005831FF">
        <w:rPr>
          <w:lang w:val="es-ES"/>
        </w:rPr>
        <w:t xml:space="preserve">Escrito de la parte peticionaria </w:t>
      </w:r>
      <w:r>
        <w:rPr>
          <w:lang w:val="es-ES"/>
        </w:rPr>
        <w:t>de fecha 19 de julio de 2011, pág. 6.</w:t>
      </w:r>
    </w:p>
  </w:footnote>
  <w:footnote w:id="77">
    <w:p w14:paraId="5BD8D59B" w14:textId="77777777" w:rsidR="009624E3" w:rsidRPr="00885211" w:rsidRDefault="009624E3" w:rsidP="00D47D84">
      <w:pPr>
        <w:pStyle w:val="FootnoteText"/>
        <w:mirrorIndents/>
        <w:rPr>
          <w:lang w:val="es-ES"/>
        </w:rPr>
      </w:pPr>
      <w:r>
        <w:rPr>
          <w:rStyle w:val="FootnoteReference"/>
        </w:rPr>
        <w:footnoteRef/>
      </w:r>
      <w:r w:rsidRPr="000A7144">
        <w:rPr>
          <w:lang w:val="es-ES"/>
        </w:rPr>
        <w:t xml:space="preserve"> </w:t>
      </w:r>
      <w:r>
        <w:rPr>
          <w:lang w:val="es-ES"/>
        </w:rPr>
        <w:t xml:space="preserve">Fallos de la Corte Suprema de Justicia de la Nación, tomo 330, volumen 4. Anatole Alejandro Larrabeiti Yáñez y Otro v. Nación Argentina del 30 de octubre de 2007, pág. 4596. </w:t>
      </w:r>
      <w:r w:rsidRPr="00885211">
        <w:rPr>
          <w:lang w:val="es-ES"/>
        </w:rPr>
        <w:t xml:space="preserve">Disponible en: </w:t>
      </w:r>
      <w:hyperlink r:id="rId12" w:history="1">
        <w:r w:rsidRPr="00B171E0">
          <w:rPr>
            <w:rStyle w:val="Hyperlink"/>
            <w:lang w:val="es-ES"/>
          </w:rPr>
          <w:t>https://sj.csjn.gov.ar</w:t>
        </w:r>
      </w:hyperlink>
    </w:p>
  </w:footnote>
  <w:footnote w:id="78">
    <w:p w14:paraId="28877599" w14:textId="77777777" w:rsidR="009624E3" w:rsidRPr="00885211" w:rsidRDefault="009624E3" w:rsidP="00D47D84">
      <w:pPr>
        <w:pStyle w:val="FootnoteText"/>
        <w:mirrorIndents/>
        <w:rPr>
          <w:lang w:val="es-ES"/>
        </w:rPr>
      </w:pPr>
      <w:r>
        <w:rPr>
          <w:rStyle w:val="FootnoteReference"/>
        </w:rPr>
        <w:footnoteRef/>
      </w:r>
      <w:r w:rsidRPr="000A7144">
        <w:rPr>
          <w:lang w:val="es-ES"/>
        </w:rPr>
        <w:t xml:space="preserve"> </w:t>
      </w:r>
      <w:r>
        <w:rPr>
          <w:lang w:val="es-ES"/>
        </w:rPr>
        <w:t xml:space="preserve">Fallos de la Corte Suprema de Justicia de la Nación, tomo 330, volumen 4. Anatole Alejandro Larrabeiti Yáñez y Otro v. Nación Argentina del 30 de octubre de 2007, pág. 4596. </w:t>
      </w:r>
      <w:r w:rsidRPr="00885211">
        <w:rPr>
          <w:lang w:val="es-ES"/>
        </w:rPr>
        <w:t xml:space="preserve">Disponible en: </w:t>
      </w:r>
      <w:hyperlink r:id="rId13" w:history="1">
        <w:r w:rsidRPr="00B171E0">
          <w:rPr>
            <w:rStyle w:val="Hyperlink"/>
            <w:lang w:val="es-ES"/>
          </w:rPr>
          <w:t>https://sj.csjn.gov.ar</w:t>
        </w:r>
      </w:hyperlink>
    </w:p>
  </w:footnote>
  <w:footnote w:id="79">
    <w:p w14:paraId="6FB743B3" w14:textId="77777777" w:rsidR="009624E3" w:rsidRPr="00885211" w:rsidRDefault="009624E3" w:rsidP="00D47D84">
      <w:pPr>
        <w:pStyle w:val="FootnoteText"/>
        <w:mirrorIndents/>
        <w:rPr>
          <w:lang w:val="es-ES"/>
        </w:rPr>
      </w:pPr>
      <w:r>
        <w:rPr>
          <w:rStyle w:val="FootnoteReference"/>
        </w:rPr>
        <w:footnoteRef/>
      </w:r>
      <w:r w:rsidRPr="005700C6">
        <w:rPr>
          <w:lang w:val="es-ES"/>
        </w:rPr>
        <w:t xml:space="preserve"> </w:t>
      </w:r>
      <w:r>
        <w:rPr>
          <w:lang w:val="es-ES"/>
        </w:rPr>
        <w:t xml:space="preserve">Fallos de la Corte Suprema de Justicia de la Nación, tomo 330, volumen 4. Anatole Alejandro Larrabeiti Yáñez y Otro v. Nación Argentina del 30 de octubre de 2007, pág. 4596. </w:t>
      </w:r>
      <w:r w:rsidRPr="00885211">
        <w:rPr>
          <w:lang w:val="es-ES"/>
        </w:rPr>
        <w:t xml:space="preserve">Disponible en: </w:t>
      </w:r>
      <w:hyperlink r:id="rId14" w:history="1">
        <w:r w:rsidRPr="00B171E0">
          <w:rPr>
            <w:rStyle w:val="Hyperlink"/>
            <w:lang w:val="es-ES"/>
          </w:rPr>
          <w:t>https://sj.csjn.gov.ar</w:t>
        </w:r>
      </w:hyperlink>
      <w:r w:rsidRPr="00885211">
        <w:rPr>
          <w:lang w:val="es-ES"/>
        </w:rPr>
        <w:t xml:space="preserve">    </w:t>
      </w:r>
    </w:p>
  </w:footnote>
  <w:footnote w:id="80">
    <w:p w14:paraId="64AD110D" w14:textId="77777777" w:rsidR="009624E3" w:rsidRPr="0033612E" w:rsidRDefault="009624E3" w:rsidP="00D47D84">
      <w:pPr>
        <w:pStyle w:val="FootnoteText"/>
        <w:mirrorIndents/>
        <w:rPr>
          <w:lang w:val="es-ES"/>
        </w:rPr>
      </w:pPr>
      <w:r>
        <w:rPr>
          <w:rStyle w:val="FootnoteReference"/>
        </w:rPr>
        <w:footnoteRef/>
      </w:r>
      <w:r w:rsidRPr="0033612E">
        <w:rPr>
          <w:lang w:val="es-ES"/>
        </w:rPr>
        <w:t xml:space="preserve"> </w:t>
      </w:r>
      <w:r>
        <w:rPr>
          <w:lang w:val="es-ES"/>
        </w:rPr>
        <w:t xml:space="preserve">Fallos de la Corte Suprema de Justicia de la Nación, tomo 330, volumen 4. Anatole Alejandro Larrabeiti Yáñez y Otro v. Nación Argentina del 30 de octubre de 2007, pág. 4598. </w:t>
      </w:r>
      <w:r w:rsidRPr="00B171E0">
        <w:rPr>
          <w:lang w:val="es-ES"/>
        </w:rPr>
        <w:t xml:space="preserve">Disponible en: </w:t>
      </w:r>
      <w:hyperlink r:id="rId15" w:history="1">
        <w:r w:rsidRPr="00B171E0">
          <w:rPr>
            <w:rStyle w:val="Hyperlink"/>
            <w:lang w:val="es-ES"/>
          </w:rPr>
          <w:t>https://sj.csjn.gov.ar</w:t>
        </w:r>
      </w:hyperlink>
      <w:r w:rsidRPr="00B171E0">
        <w:rPr>
          <w:lang w:val="es-ES"/>
        </w:rPr>
        <w:t xml:space="preserve">    </w:t>
      </w:r>
    </w:p>
  </w:footnote>
  <w:footnote w:id="81">
    <w:p w14:paraId="5E7416A2" w14:textId="77777777" w:rsidR="009624E3" w:rsidRPr="00524CE1" w:rsidRDefault="009624E3" w:rsidP="00D47D84">
      <w:pPr>
        <w:pStyle w:val="FootnoteText"/>
        <w:mirrorIndents/>
        <w:rPr>
          <w:lang w:val="es-ES"/>
        </w:rPr>
      </w:pPr>
      <w:r>
        <w:rPr>
          <w:rStyle w:val="FootnoteReference"/>
        </w:rPr>
        <w:footnoteRef/>
      </w:r>
      <w:r w:rsidRPr="00524CE1">
        <w:rPr>
          <w:lang w:val="es-ES"/>
        </w:rPr>
        <w:t xml:space="preserve"> </w:t>
      </w:r>
      <w:r>
        <w:rPr>
          <w:lang w:val="es-ES"/>
        </w:rPr>
        <w:t xml:space="preserve">Fallos de la Corte Suprema de Justicia de la Nación, tomo 340, volumen 1. Villamil, Amelia Ana c/ Estado Nacional s/ Daños y Perjuicios del 30 de octubre de 2007, pág. 360. </w:t>
      </w:r>
      <w:r w:rsidRPr="00B171E0">
        <w:rPr>
          <w:lang w:val="es-ES"/>
        </w:rPr>
        <w:t xml:space="preserve">Disponible en: </w:t>
      </w:r>
      <w:hyperlink r:id="rId16" w:history="1">
        <w:r w:rsidRPr="00F41CC6">
          <w:rPr>
            <w:rStyle w:val="Hyperlink"/>
            <w:lang w:val="es-ES"/>
          </w:rPr>
          <w:t>https://sj.csjn.gov.ar</w:t>
        </w:r>
      </w:hyperlink>
      <w:r w:rsidRPr="00B171E0">
        <w:rPr>
          <w:lang w:val="es-ES"/>
        </w:rPr>
        <w:t xml:space="preserve">    </w:t>
      </w:r>
    </w:p>
  </w:footnote>
  <w:footnote w:id="82">
    <w:p w14:paraId="269528CF" w14:textId="77777777" w:rsidR="009624E3" w:rsidRPr="00BE51FE" w:rsidRDefault="009624E3" w:rsidP="00D47D84">
      <w:pPr>
        <w:pStyle w:val="FootnoteText"/>
        <w:mirrorIndents/>
        <w:rPr>
          <w:lang w:val="es-ES"/>
        </w:rPr>
      </w:pPr>
      <w:r>
        <w:rPr>
          <w:rStyle w:val="FootnoteReference"/>
        </w:rPr>
        <w:footnoteRef/>
      </w:r>
      <w:r w:rsidRPr="00BE51FE">
        <w:rPr>
          <w:lang w:val="es-ES"/>
        </w:rPr>
        <w:t xml:space="preserve"> </w:t>
      </w:r>
      <w:r>
        <w:rPr>
          <w:lang w:val="es-ES"/>
        </w:rPr>
        <w:t xml:space="preserve">Fallos de la Corte Suprema de Justicia de la Nación, tomo 340, volumen 1. Villamil, Amelia Ana c/ Estado Nacional s/ Daños y Perjuicios del 30 de octubre de 2007, pág. 363, citando lo decidido en “Tarnopolsky” (Fallos: 322: 1888). </w:t>
      </w:r>
      <w:r w:rsidRPr="00B171E0">
        <w:rPr>
          <w:lang w:val="es-ES"/>
        </w:rPr>
        <w:t xml:space="preserve">Disponible en: </w:t>
      </w:r>
      <w:hyperlink r:id="rId17" w:history="1">
        <w:r w:rsidRPr="00F41CC6">
          <w:rPr>
            <w:rStyle w:val="Hyperlink"/>
            <w:lang w:val="es-ES"/>
          </w:rPr>
          <w:t>https://sj.csjn.gov.ar</w:t>
        </w:r>
      </w:hyperlink>
    </w:p>
  </w:footnote>
  <w:footnote w:id="83">
    <w:p w14:paraId="434B4C84" w14:textId="77777777" w:rsidR="009624E3" w:rsidRPr="004D7941" w:rsidRDefault="009624E3" w:rsidP="00D47D84">
      <w:pPr>
        <w:pStyle w:val="FootnoteText"/>
        <w:mirrorIndents/>
        <w:rPr>
          <w:lang w:val="es-ES"/>
        </w:rPr>
      </w:pPr>
      <w:r>
        <w:rPr>
          <w:rStyle w:val="FootnoteReference"/>
        </w:rPr>
        <w:footnoteRef/>
      </w:r>
      <w:r w:rsidRPr="004D7941">
        <w:rPr>
          <w:lang w:val="es-ES"/>
        </w:rPr>
        <w:t xml:space="preserve"> </w:t>
      </w:r>
      <w:r>
        <w:rPr>
          <w:lang w:val="es-ES"/>
        </w:rPr>
        <w:t xml:space="preserve">Sentencia de la CSJN de fecha 14 de junio de 2005 en el recurso de hecho interpuesto en la causa Nro. 17.768, “Simón, Julio Héctor y otros s/privación ilegítima de la libertad”. Disponible en: </w:t>
      </w:r>
      <w:hyperlink r:id="rId18" w:history="1">
        <w:r w:rsidRPr="007B6A34">
          <w:rPr>
            <w:rStyle w:val="Hyperlink"/>
            <w:lang w:val="es-ES"/>
          </w:rPr>
          <w:t>https://www.mpf.gov.ar/Institucional/UnidadesFE/Simon-CSJN.pdf</w:t>
        </w:r>
      </w:hyperlink>
      <w:r>
        <w:rPr>
          <w:lang w:val="es-ES"/>
        </w:rPr>
        <w:t xml:space="preserve"> </w:t>
      </w:r>
    </w:p>
  </w:footnote>
  <w:footnote w:id="84">
    <w:p w14:paraId="3AC32A16" w14:textId="77777777" w:rsidR="009624E3" w:rsidRPr="005C3AD5" w:rsidRDefault="009624E3" w:rsidP="00D47D84">
      <w:pPr>
        <w:pStyle w:val="FootnoteText"/>
        <w:mirrorIndents/>
        <w:rPr>
          <w:lang w:val="es-ES"/>
        </w:rPr>
      </w:pPr>
      <w:r>
        <w:rPr>
          <w:rStyle w:val="FootnoteReference"/>
        </w:rPr>
        <w:footnoteRef/>
      </w:r>
      <w:r w:rsidRPr="005C3AD5">
        <w:rPr>
          <w:lang w:val="es-ES"/>
        </w:rPr>
        <w:t xml:space="preserve"> </w:t>
      </w:r>
      <w:r>
        <w:rPr>
          <w:lang w:val="es-ES"/>
        </w:rPr>
        <w:t xml:space="preserve">Centro de Información Judicial. Descripción general de los juicios en Argentina. Lesa Humanidad. Disponible en: </w:t>
      </w:r>
      <w:hyperlink r:id="rId19" w:history="1">
        <w:r w:rsidRPr="00274F1E">
          <w:rPr>
            <w:rStyle w:val="Hyperlink"/>
            <w:lang w:val="es-ES"/>
          </w:rPr>
          <w:t>https://www.cij.gov.ar/lesa-humanidad.html</w:t>
        </w:r>
      </w:hyperlink>
      <w:r>
        <w:rPr>
          <w:lang w:val="es-ES"/>
        </w:rPr>
        <w:t xml:space="preserve"> </w:t>
      </w:r>
    </w:p>
  </w:footnote>
  <w:footnote w:id="85">
    <w:p w14:paraId="6C32686E" w14:textId="77777777" w:rsidR="009624E3" w:rsidRPr="00865821" w:rsidRDefault="009624E3" w:rsidP="00D47D84">
      <w:pPr>
        <w:pStyle w:val="FootnoteText"/>
        <w:mirrorIndents/>
        <w:rPr>
          <w:lang w:val="es-ES"/>
        </w:rPr>
      </w:pPr>
      <w:r>
        <w:rPr>
          <w:rStyle w:val="FootnoteReference"/>
        </w:rPr>
        <w:footnoteRef/>
      </w:r>
      <w:r w:rsidRPr="00865821">
        <w:rPr>
          <w:lang w:val="es-ES"/>
        </w:rPr>
        <w:t xml:space="preserve"> </w:t>
      </w:r>
      <w:r>
        <w:rPr>
          <w:lang w:val="es-ES"/>
        </w:rPr>
        <w:t xml:space="preserve">Centro de Información Judicial. Automotores Orletti. Disponible en: </w:t>
      </w:r>
      <w:hyperlink r:id="rId20" w:history="1">
        <w:r w:rsidRPr="00274F1E">
          <w:rPr>
            <w:rStyle w:val="Hyperlink"/>
            <w:lang w:val="es-ES"/>
          </w:rPr>
          <w:t>http://cij.gov.ar/nota-1190-.html</w:t>
        </w:r>
      </w:hyperlink>
      <w:r>
        <w:rPr>
          <w:lang w:val="es-ES"/>
        </w:rPr>
        <w:t xml:space="preserve"> </w:t>
      </w:r>
    </w:p>
  </w:footnote>
  <w:footnote w:id="86">
    <w:p w14:paraId="64DD2704" w14:textId="2C7D9741" w:rsidR="009624E3" w:rsidRPr="00554542" w:rsidRDefault="009624E3" w:rsidP="00D47D84">
      <w:pPr>
        <w:pStyle w:val="FootnoteText"/>
        <w:mirrorIndents/>
        <w:rPr>
          <w:lang w:val="es-ES"/>
        </w:rPr>
      </w:pPr>
      <w:r>
        <w:rPr>
          <w:rStyle w:val="FootnoteReference"/>
        </w:rPr>
        <w:footnoteRef/>
      </w:r>
      <w:r w:rsidRPr="00554542">
        <w:rPr>
          <w:lang w:val="es-ES"/>
        </w:rPr>
        <w:t xml:space="preserve"> </w:t>
      </w:r>
      <w:r>
        <w:rPr>
          <w:lang w:val="es-ES"/>
        </w:rPr>
        <w:t>Anexo 2. Sentencia dictada el 31 de mayo de 2011 en la causa Nro. 1627 caratulada “Guillamondegui, Néstor Horacio y otros s/privación ilegal de la libertad agravada, imposición de tormentos y homicidio calificado”, Tribunal Oral en lo Criminal Federal Nro. 1, págs. 1112-1113. Anexo al escrito de la parte peticionaria de fecha 3 de agosto de 2012.</w:t>
      </w:r>
    </w:p>
  </w:footnote>
  <w:footnote w:id="87">
    <w:p w14:paraId="132EA364" w14:textId="1B49CF88" w:rsidR="009624E3" w:rsidRPr="007F4F70" w:rsidRDefault="009624E3" w:rsidP="00D47D84">
      <w:pPr>
        <w:pStyle w:val="FootnoteText"/>
        <w:mirrorIndents/>
        <w:rPr>
          <w:lang w:val="es-ES"/>
        </w:rPr>
      </w:pPr>
      <w:r>
        <w:rPr>
          <w:rStyle w:val="FootnoteReference"/>
        </w:rPr>
        <w:footnoteRef/>
      </w:r>
      <w:r w:rsidRPr="007F4F70">
        <w:rPr>
          <w:lang w:val="es-ES"/>
        </w:rPr>
        <w:t xml:space="preserve"> </w:t>
      </w:r>
      <w:r>
        <w:rPr>
          <w:lang w:val="es-ES"/>
        </w:rPr>
        <w:t>Anexo 2. Sentencia dictada el 31 de mayo de 2011 en la causa Nro. 1627 caratulada “Guillamondegui, Néstor Horacio y otros s/privación ilegal de la libertad agravada, imposición de tormentos y homicidio calificado”, Tribunal Oral en lo Criminal Federal Nro. 1, pág. 1265. Anexo al escrito de la parte peticionaria de fecha 3 de agosto de 2012.</w:t>
      </w:r>
    </w:p>
  </w:footnote>
  <w:footnote w:id="88">
    <w:p w14:paraId="7F3EEC1F" w14:textId="3EFF2C16" w:rsidR="009624E3" w:rsidRPr="00062302" w:rsidRDefault="009624E3" w:rsidP="00D47D84">
      <w:pPr>
        <w:pStyle w:val="FootnoteText"/>
        <w:mirrorIndents/>
        <w:rPr>
          <w:lang w:val="es-ES"/>
        </w:rPr>
      </w:pPr>
      <w:r>
        <w:rPr>
          <w:rStyle w:val="FootnoteReference"/>
        </w:rPr>
        <w:footnoteRef/>
      </w:r>
      <w:r w:rsidRPr="00062302">
        <w:rPr>
          <w:lang w:val="es-ES"/>
        </w:rPr>
        <w:t xml:space="preserve"> </w:t>
      </w:r>
      <w:r>
        <w:rPr>
          <w:lang w:val="es-ES"/>
        </w:rPr>
        <w:t xml:space="preserve">Anexo 1. Sentencia dictada el 19 de mayo de 2011 en la causa Nro. 2637/04 caratulada “Vaello, Orestes y otros sobre privación ilegal de la libertad agravada y homicidio agravado”, Juzgado Nacional en lo Criminal y Correccional Federal Nro. 3, Secretaría Nro. 6. Anexo al escrito de la parte peticionaria de fecha 3 de agosto de 2012.  </w:t>
      </w:r>
    </w:p>
  </w:footnote>
  <w:footnote w:id="89">
    <w:p w14:paraId="2BF55554" w14:textId="74ACED17" w:rsidR="009624E3" w:rsidRPr="00087996" w:rsidRDefault="009624E3" w:rsidP="00D47D84">
      <w:pPr>
        <w:pStyle w:val="FootnoteText"/>
        <w:mirrorIndents/>
        <w:rPr>
          <w:lang w:val="es-ES"/>
        </w:rPr>
      </w:pPr>
      <w:r>
        <w:rPr>
          <w:rStyle w:val="FootnoteReference"/>
        </w:rPr>
        <w:footnoteRef/>
      </w:r>
      <w:r w:rsidRPr="00087996">
        <w:rPr>
          <w:lang w:val="es-ES"/>
        </w:rPr>
        <w:t xml:space="preserve"> </w:t>
      </w:r>
      <w:r>
        <w:rPr>
          <w:lang w:val="es-ES"/>
        </w:rPr>
        <w:t>Anexo 15. Pedido de información del Juez Daniel Eduardo Rafecas al Sr. Director del Cementerio Municipal del Partido de General San Martin, Provincia de Buenos Aires, Sr. Juan Baric de fecha 19 de junio de 2012, recibido el 28 de junio de 2012. Anexo 4 del escrito de la parte peticionaria del 12 de noviembre de 2012.</w:t>
      </w:r>
    </w:p>
  </w:footnote>
  <w:footnote w:id="90">
    <w:p w14:paraId="7DD738ED" w14:textId="7D3808DE" w:rsidR="009624E3" w:rsidRPr="00080A82" w:rsidRDefault="009624E3" w:rsidP="00D47D84">
      <w:pPr>
        <w:pStyle w:val="FootnoteText"/>
        <w:mirrorIndents/>
        <w:rPr>
          <w:lang w:val="es-ES"/>
        </w:rPr>
      </w:pPr>
      <w:r>
        <w:rPr>
          <w:rStyle w:val="FootnoteReference"/>
        </w:rPr>
        <w:footnoteRef/>
      </w:r>
      <w:r w:rsidRPr="00080A82">
        <w:rPr>
          <w:lang w:val="es-ES"/>
        </w:rPr>
        <w:t xml:space="preserve"> </w:t>
      </w:r>
      <w:r>
        <w:rPr>
          <w:lang w:val="es-ES"/>
        </w:rPr>
        <w:t>Anexo 16. Respuesta del Director del Cementerio Municipal del Partido de General San Martin, Provincia de Buenos Aires, de fecha 29 de junio de 2012  al pedido de información del Juez Daniel Eduardo Rafecas. Anexo 5 del escrito de la parte peticionaria del 12 de noviembre de 2012.</w:t>
      </w:r>
    </w:p>
  </w:footnote>
  <w:footnote w:id="91">
    <w:p w14:paraId="44AFCBE4" w14:textId="4299DC85" w:rsidR="009624E3" w:rsidRPr="00570422" w:rsidRDefault="009624E3" w:rsidP="00D47D84">
      <w:pPr>
        <w:pStyle w:val="FootnoteText"/>
        <w:mirrorIndents/>
        <w:rPr>
          <w:lang w:val="es-ES"/>
        </w:rPr>
      </w:pPr>
      <w:r>
        <w:rPr>
          <w:rStyle w:val="FootnoteReference"/>
        </w:rPr>
        <w:footnoteRef/>
      </w:r>
      <w:r w:rsidRPr="00570422">
        <w:rPr>
          <w:lang w:val="es-ES"/>
        </w:rPr>
        <w:t xml:space="preserve"> </w:t>
      </w:r>
      <w:r>
        <w:rPr>
          <w:lang w:val="es-ES"/>
        </w:rPr>
        <w:t>Anexo 17. Libro “Ficha cadáver”, Ficha Nro. 2.810, pág. 82. Anexo 1 del escrito de la parte peticionaria del 12 de noviembre de 2012.</w:t>
      </w:r>
    </w:p>
  </w:footnote>
  <w:footnote w:id="92">
    <w:p w14:paraId="272DC3F8" w14:textId="637CF3A8" w:rsidR="009624E3" w:rsidRPr="00570422" w:rsidRDefault="009624E3" w:rsidP="00D47D84">
      <w:pPr>
        <w:pStyle w:val="FootnoteText"/>
        <w:mirrorIndents/>
        <w:rPr>
          <w:lang w:val="es-ES"/>
        </w:rPr>
      </w:pPr>
      <w:r>
        <w:rPr>
          <w:rStyle w:val="FootnoteReference"/>
        </w:rPr>
        <w:footnoteRef/>
      </w:r>
      <w:r w:rsidRPr="00570422">
        <w:rPr>
          <w:lang w:val="es-ES"/>
        </w:rPr>
        <w:t xml:space="preserve"> </w:t>
      </w:r>
      <w:r>
        <w:rPr>
          <w:lang w:val="es-ES"/>
        </w:rPr>
        <w:t>Anexo 18. Partida de defunción de NN. Acta Nro. 1169. Anexo 3 del escrito de la parte peticionaria del 12 de noviembre de 2012.</w:t>
      </w:r>
    </w:p>
  </w:footnote>
  <w:footnote w:id="93">
    <w:p w14:paraId="21C3C847" w14:textId="038869F6" w:rsidR="009624E3" w:rsidRPr="004D76D8" w:rsidRDefault="009624E3" w:rsidP="00D47D84">
      <w:pPr>
        <w:pStyle w:val="FootnoteText"/>
        <w:mirrorIndents/>
        <w:rPr>
          <w:lang w:val="es-ES"/>
        </w:rPr>
      </w:pPr>
      <w:r>
        <w:rPr>
          <w:rStyle w:val="FootnoteReference"/>
        </w:rPr>
        <w:footnoteRef/>
      </w:r>
      <w:r w:rsidRPr="004D76D8">
        <w:rPr>
          <w:lang w:val="es-ES"/>
        </w:rPr>
        <w:t xml:space="preserve"> </w:t>
      </w:r>
      <w:r>
        <w:rPr>
          <w:lang w:val="es-ES"/>
        </w:rPr>
        <w:t>Anexo 19. Escrito de Anatole Alejandro Larrabeiti Yáñez solicitando se lo tenga por parte querellante en la Causa Nro. 2.637/04. Sin fecha, pág. 4. Anexo al escrito de la parte peticionaria del 21 de noviembre de 2012.</w:t>
      </w:r>
    </w:p>
  </w:footnote>
  <w:footnote w:id="94">
    <w:p w14:paraId="6EE714B2" w14:textId="783CF865" w:rsidR="009624E3" w:rsidRPr="00B4032E" w:rsidRDefault="009624E3" w:rsidP="00D47D84">
      <w:pPr>
        <w:pStyle w:val="FootnoteText"/>
        <w:mirrorIndents/>
        <w:rPr>
          <w:lang w:val="es-ES"/>
        </w:rPr>
      </w:pPr>
      <w:r>
        <w:rPr>
          <w:rStyle w:val="FootnoteReference"/>
        </w:rPr>
        <w:footnoteRef/>
      </w:r>
      <w:r w:rsidRPr="00B4032E">
        <w:rPr>
          <w:lang w:val="es-ES"/>
        </w:rPr>
        <w:t xml:space="preserve"> </w:t>
      </w:r>
      <w:r>
        <w:rPr>
          <w:lang w:val="es-ES"/>
        </w:rPr>
        <w:t>Anexo 20. Escrito de Anatole Alejandro Larrabeiti Yáñez de requerimiento de elevación a juicio en la Causa Nro. 2.637/04. Sin fecha, págs. 12, 16 y 17. Anexo al escrito de la parte peticionaria del 12 de diciembre de 2012.</w:t>
      </w:r>
    </w:p>
  </w:footnote>
  <w:footnote w:id="95">
    <w:p w14:paraId="3211E6C1" w14:textId="77777777" w:rsidR="009624E3" w:rsidRPr="00106BD1" w:rsidRDefault="009624E3" w:rsidP="00D47D84">
      <w:pPr>
        <w:pStyle w:val="FootnoteText"/>
        <w:mirrorIndents/>
        <w:rPr>
          <w:lang w:val="es-ES"/>
        </w:rPr>
      </w:pPr>
      <w:r>
        <w:rPr>
          <w:rStyle w:val="FootnoteReference"/>
        </w:rPr>
        <w:footnoteRef/>
      </w:r>
      <w:r w:rsidRPr="00106BD1">
        <w:rPr>
          <w:lang w:val="es-ES"/>
        </w:rPr>
        <w:t xml:space="preserve"> </w:t>
      </w:r>
      <w:r>
        <w:rPr>
          <w:lang w:val="es-ES"/>
        </w:rPr>
        <w:t xml:space="preserve">La Causa Nro. 2637/04 </w:t>
      </w:r>
      <w:r w:rsidRPr="00106BD1">
        <w:rPr>
          <w:lang w:val="es-ES"/>
        </w:rPr>
        <w:t>pasó a estar conformada por la acumulación de las causas Nro. 2.261 caratulada “Ferrer, José Néstor; Nerone, Rolando Oscar; y Gutiérrez, Oscar Roberto s/privación ilegal de la libertad agravada por mediar violencia o amenazas y homicidio agravado por alevosía” y Nro. 2.390 caratulada “Enciso, César Alejandro s/privación ilegal de la libertad agravada por mediar violencia o amenazas”.</w:t>
      </w:r>
      <w:r>
        <w:rPr>
          <w:lang w:val="es-ES"/>
        </w:rPr>
        <w:t xml:space="preserve"> Poder Judicial de la Nación. Sentencia de la Cámara Federal de Casación Penal, Sala IV, del 27 de febrero de 2019, pág. 4. Disponible en: </w:t>
      </w:r>
      <w:hyperlink r:id="rId21" w:history="1">
        <w:r w:rsidRPr="00274F1E">
          <w:rPr>
            <w:rStyle w:val="Hyperlink"/>
            <w:lang w:val="es-ES"/>
          </w:rPr>
          <w:t>https://www.cij.gov.ar/nota-33494-Anulan-absoluciones-en-una-causa-por-delitos-de-lesa-humanidad.html</w:t>
        </w:r>
      </w:hyperlink>
    </w:p>
  </w:footnote>
  <w:footnote w:id="96">
    <w:p w14:paraId="73CE37C7" w14:textId="77777777" w:rsidR="009624E3" w:rsidRPr="007D2AB5" w:rsidRDefault="009624E3" w:rsidP="00D47D84">
      <w:pPr>
        <w:pStyle w:val="FootnoteText"/>
        <w:mirrorIndents/>
        <w:rPr>
          <w:lang w:val="es-ES"/>
        </w:rPr>
      </w:pPr>
      <w:r>
        <w:rPr>
          <w:rStyle w:val="FootnoteReference"/>
        </w:rPr>
        <w:footnoteRef/>
      </w:r>
      <w:r w:rsidRPr="007D2AB5">
        <w:rPr>
          <w:lang w:val="es-ES"/>
        </w:rPr>
        <w:t xml:space="preserve"> </w:t>
      </w:r>
      <w:r>
        <w:rPr>
          <w:lang w:val="es-ES"/>
        </w:rPr>
        <w:t xml:space="preserve">Poder Judicial de la Nación. Sentencia de la Cámara Federal de Casación Penal, Sala IV, del 27 de febrero de 2019, pág. 4. Disponible en: </w:t>
      </w:r>
      <w:hyperlink r:id="rId22" w:history="1">
        <w:r w:rsidRPr="00274F1E">
          <w:rPr>
            <w:rStyle w:val="Hyperlink"/>
            <w:lang w:val="es-ES"/>
          </w:rPr>
          <w:t>https://www.cij.gov.ar/nota-33494-Anulan-absoluciones-en-una-causa-por-delitos-de-lesa-humanidad.html</w:t>
        </w:r>
      </w:hyperlink>
    </w:p>
  </w:footnote>
  <w:footnote w:id="97">
    <w:p w14:paraId="493EB9F0" w14:textId="77777777" w:rsidR="009624E3" w:rsidRPr="004E0789" w:rsidRDefault="009624E3" w:rsidP="00D47D84">
      <w:pPr>
        <w:pStyle w:val="FootnoteText"/>
        <w:mirrorIndents/>
        <w:rPr>
          <w:lang w:val="es-ES"/>
        </w:rPr>
      </w:pPr>
      <w:r>
        <w:rPr>
          <w:rStyle w:val="FootnoteReference"/>
        </w:rPr>
        <w:footnoteRef/>
      </w:r>
      <w:r w:rsidRPr="004E0789">
        <w:rPr>
          <w:lang w:val="es-ES"/>
        </w:rPr>
        <w:t xml:space="preserve"> </w:t>
      </w:r>
      <w:r>
        <w:rPr>
          <w:lang w:val="es-ES"/>
        </w:rPr>
        <w:t xml:space="preserve">Poder Judicial de la Nación. Sentencia de la Cámara Federal de Casación Penal, Sala IV, del 27 de febrero de 2019, págs. 4, 5, 95, 164, 167 y 168. Disponible en: </w:t>
      </w:r>
      <w:hyperlink r:id="rId23" w:history="1">
        <w:r w:rsidRPr="00274F1E">
          <w:rPr>
            <w:rStyle w:val="Hyperlink"/>
            <w:lang w:val="es-ES"/>
          </w:rPr>
          <w:t>https://www.cij.gov.ar/nota-33494-Anulan-absoluciones-en-una-causa-por-delitos-de-lesa-humanidad.html</w:t>
        </w:r>
      </w:hyperlink>
      <w:r>
        <w:rPr>
          <w:lang w:val="es-ES"/>
        </w:rPr>
        <w:t xml:space="preserve"> </w:t>
      </w:r>
    </w:p>
  </w:footnote>
  <w:footnote w:id="98">
    <w:p w14:paraId="067014B7" w14:textId="77777777" w:rsidR="009624E3" w:rsidRPr="007B6EA0" w:rsidRDefault="009624E3" w:rsidP="00D47D84">
      <w:pPr>
        <w:pStyle w:val="FootnoteText"/>
        <w:mirrorIndents/>
        <w:rPr>
          <w:lang w:val="es-ES"/>
        </w:rPr>
      </w:pPr>
      <w:r>
        <w:rPr>
          <w:rStyle w:val="FootnoteReference"/>
        </w:rPr>
        <w:footnoteRef/>
      </w:r>
      <w:r w:rsidRPr="00E72DE3">
        <w:rPr>
          <w:lang w:val="es-ES"/>
        </w:rPr>
        <w:t xml:space="preserve"> </w:t>
      </w:r>
      <w:r>
        <w:rPr>
          <w:lang w:val="es-ES"/>
        </w:rPr>
        <w:t xml:space="preserve">Poder Judicial de la Nación. Sentencia de la Cámara Federal de Casación Penal, Sala IV, del 27 de febrero de 2019, pág. 169. </w:t>
      </w:r>
      <w:r w:rsidRPr="007B6EA0">
        <w:rPr>
          <w:lang w:val="es-ES"/>
        </w:rPr>
        <w:t xml:space="preserve">Disponible en: </w:t>
      </w:r>
      <w:hyperlink r:id="rId24" w:history="1">
        <w:r w:rsidRPr="007B6EA0">
          <w:rPr>
            <w:rStyle w:val="Hyperlink"/>
            <w:lang w:val="es-ES"/>
          </w:rPr>
          <w:t>https://www.cij.gov.ar/nota-33494-Anulan-absoluciones-en-una-causa-por-delitos-de-lesa-humanidad.html</w:t>
        </w:r>
      </w:hyperlink>
    </w:p>
  </w:footnote>
  <w:footnote w:id="99">
    <w:p w14:paraId="14D772DF" w14:textId="00A48655" w:rsidR="009624E3" w:rsidRPr="004318B9" w:rsidRDefault="009624E3" w:rsidP="00D47D84">
      <w:pPr>
        <w:pStyle w:val="FootnoteText"/>
        <w:mirrorIndents/>
        <w:rPr>
          <w:lang w:val="es-ES"/>
        </w:rPr>
      </w:pPr>
      <w:r>
        <w:rPr>
          <w:rStyle w:val="FootnoteReference"/>
        </w:rPr>
        <w:footnoteRef/>
      </w:r>
      <w:r w:rsidRPr="007B6EA0">
        <w:rPr>
          <w:lang w:val="es-ES"/>
        </w:rPr>
        <w:t xml:space="preserve"> Anexo 21. </w:t>
      </w:r>
      <w:r>
        <w:rPr>
          <w:lang w:val="es-ES"/>
        </w:rPr>
        <w:t>Escrito de Anatole Alejandro Larrabeiti Yáñez titulado “Recusa con causa”  presentado en la Causa Nro. 2.637/04. Sin fecha, págs. 3-5. Anexo 2 del escrito de la parte peticionaria del 18 de septiembre de 2017.</w:t>
      </w:r>
    </w:p>
  </w:footnote>
  <w:footnote w:id="100">
    <w:p w14:paraId="285E85F1" w14:textId="2532E2B3" w:rsidR="009624E3" w:rsidRPr="00D51E47" w:rsidRDefault="009624E3" w:rsidP="00D47D84">
      <w:pPr>
        <w:pStyle w:val="FootnoteText"/>
        <w:mirrorIndents/>
        <w:rPr>
          <w:lang w:val="es-ES"/>
        </w:rPr>
      </w:pPr>
      <w:r>
        <w:rPr>
          <w:rStyle w:val="FootnoteReference"/>
        </w:rPr>
        <w:footnoteRef/>
      </w:r>
      <w:r w:rsidRPr="00D51E47">
        <w:rPr>
          <w:lang w:val="es-ES"/>
        </w:rPr>
        <w:t xml:space="preserve"> </w:t>
      </w:r>
      <w:r>
        <w:rPr>
          <w:lang w:val="es-ES"/>
        </w:rPr>
        <w:t>Anexo 21. Escrito de Anatole Alejandro Larrabeiti Yáñez titulado “Recusa con causa”  presentado en la Causa Nro. 2.637/04. Sin fecha, págs. 6-7. Anexo 2 del escrito de la parte peticionaria del 18 de septiembre de 2017.</w:t>
      </w:r>
    </w:p>
  </w:footnote>
  <w:footnote w:id="101">
    <w:p w14:paraId="4D45397B" w14:textId="77777777" w:rsidR="009624E3" w:rsidRPr="00EB337C" w:rsidRDefault="009624E3" w:rsidP="00D47D84">
      <w:pPr>
        <w:pStyle w:val="FootnoteText"/>
        <w:mirrorIndents/>
        <w:rPr>
          <w:lang w:val="es-ES"/>
        </w:rPr>
      </w:pPr>
      <w:r>
        <w:rPr>
          <w:rStyle w:val="FootnoteReference"/>
        </w:rPr>
        <w:footnoteRef/>
      </w:r>
      <w:r w:rsidRPr="00EB337C">
        <w:rPr>
          <w:lang w:val="es-ES"/>
        </w:rPr>
        <w:t xml:space="preserve"> </w:t>
      </w:r>
      <w:r>
        <w:rPr>
          <w:lang w:val="es-ES"/>
        </w:rPr>
        <w:t xml:space="preserve">Poder Judicial de la Nación. Sentencia de la Cámara Federal de Casación Penal, Sala IV, del 27 de febrero de 2019, págs. 211-214. Disponible en: </w:t>
      </w:r>
      <w:hyperlink r:id="rId25" w:history="1">
        <w:r w:rsidRPr="00274F1E">
          <w:rPr>
            <w:rStyle w:val="Hyperlink"/>
            <w:lang w:val="es-ES"/>
          </w:rPr>
          <w:t>https://www.cij.gov.ar/nota-33494-Anulan-absoluciones-en-una-causa-por-delitos-de-lesa-humanidad.html</w:t>
        </w:r>
      </w:hyperlink>
    </w:p>
  </w:footnote>
  <w:footnote w:id="102">
    <w:p w14:paraId="73BAEFBC" w14:textId="77777777" w:rsidR="009624E3" w:rsidRPr="00AF5186" w:rsidRDefault="009624E3" w:rsidP="00D47D84">
      <w:pPr>
        <w:pStyle w:val="FootnoteText"/>
        <w:mirrorIndents/>
        <w:rPr>
          <w:lang w:val="es-ES"/>
        </w:rPr>
      </w:pPr>
      <w:r>
        <w:rPr>
          <w:rStyle w:val="FootnoteReference"/>
        </w:rPr>
        <w:footnoteRef/>
      </w:r>
      <w:r w:rsidRPr="00AF5186">
        <w:rPr>
          <w:lang w:val="es-ES"/>
        </w:rPr>
        <w:t xml:space="preserve"> </w:t>
      </w:r>
      <w:r>
        <w:rPr>
          <w:lang w:val="es-ES"/>
        </w:rPr>
        <w:t>Poder Judicial de la Nación. Sentencia de</w:t>
      </w:r>
      <w:r w:rsidRPr="00AF5186">
        <w:rPr>
          <w:lang w:val="es-ES"/>
        </w:rPr>
        <w:t>l Tribunal Oral Federal Nro. 6 de la Capital</w:t>
      </w:r>
      <w:r>
        <w:rPr>
          <w:lang w:val="es-ES"/>
        </w:rPr>
        <w:t xml:space="preserve"> del 5 de julio de 2012. Disponible en:</w:t>
      </w:r>
      <w:r w:rsidRPr="005E3E29">
        <w:rPr>
          <w:rFonts w:eastAsia="Times New Roman"/>
          <w:sz w:val="20"/>
          <w:szCs w:val="20"/>
          <w:lang w:val="es-ES_tradnl"/>
        </w:rPr>
        <w:t xml:space="preserve"> </w:t>
      </w:r>
      <w:hyperlink r:id="rId26" w:history="1">
        <w:r w:rsidRPr="00AF5186">
          <w:rPr>
            <w:rStyle w:val="Hyperlink"/>
            <w:lang w:val="es-ES"/>
          </w:rPr>
          <w:t>https://www.cij.gov.ar/nota-9856-Difundieron-los-fundamentos-de-la-condena-a-Jorge-Rafael-Videla-a-50-a-os-de-prisi-n-por-el-robo-de-beb-s.html</w:t>
        </w:r>
      </w:hyperlink>
      <w:r w:rsidRPr="00AF5186">
        <w:rPr>
          <w:lang w:val="es-ES"/>
        </w:rPr>
        <w:t xml:space="preserve"> </w:t>
      </w:r>
    </w:p>
  </w:footnote>
  <w:footnote w:id="103">
    <w:p w14:paraId="644663D7" w14:textId="071969CF" w:rsidR="009624E3" w:rsidRPr="004D2EFD" w:rsidRDefault="009624E3">
      <w:pPr>
        <w:pStyle w:val="FootnoteText"/>
        <w:rPr>
          <w:lang w:val="es-ES"/>
        </w:rPr>
      </w:pPr>
      <w:r>
        <w:rPr>
          <w:rStyle w:val="FootnoteReference"/>
        </w:rPr>
        <w:footnoteRef/>
      </w:r>
      <w:r w:rsidRPr="004D2EFD">
        <w:rPr>
          <w:lang w:val="pt-BR"/>
        </w:rPr>
        <w:t xml:space="preserve"> </w:t>
      </w:r>
      <w:r w:rsidRPr="004D2EFD">
        <w:rPr>
          <w:rFonts w:ascii="Cambria" w:hAnsi="Cambria"/>
          <w:bCs/>
          <w:lang w:val="pt-BR"/>
        </w:rPr>
        <w:t xml:space="preserve">Corte IDH. Caso Mémoli Vs. </w:t>
      </w:r>
      <w:r w:rsidRPr="007E12C3">
        <w:rPr>
          <w:rFonts w:ascii="Cambria" w:hAnsi="Cambria"/>
          <w:bCs/>
          <w:lang w:val="es-US"/>
        </w:rPr>
        <w:t>Argentina. Excepciones Preliminares, Fondo, Reparaciones y Costas. Sentencia de 22 de agosto de 2013. Serie C No. 265, párr. 24</w:t>
      </w:r>
    </w:p>
  </w:footnote>
  <w:footnote w:id="104">
    <w:p w14:paraId="432F6D5A" w14:textId="5171D331" w:rsidR="009624E3" w:rsidRPr="007E12C3" w:rsidRDefault="009624E3">
      <w:pPr>
        <w:pStyle w:val="FootnoteText"/>
        <w:rPr>
          <w:lang w:val="es-ES"/>
        </w:rPr>
      </w:pPr>
      <w:r>
        <w:rPr>
          <w:rStyle w:val="FootnoteReference"/>
        </w:rPr>
        <w:footnoteRef/>
      </w:r>
      <w:r w:rsidRPr="003B7AF9">
        <w:rPr>
          <w:lang w:val="es-ES"/>
        </w:rPr>
        <w:t xml:space="preserve"> </w:t>
      </w:r>
      <w:r w:rsidRPr="003B7AF9">
        <w:rPr>
          <w:rFonts w:ascii="Cambria" w:hAnsi="Cambria"/>
          <w:bCs/>
          <w:lang w:val="es-ES"/>
        </w:rPr>
        <w:t xml:space="preserve">Corte IDH. Caso Mémoli Vs. </w:t>
      </w:r>
      <w:r w:rsidRPr="007E12C3">
        <w:rPr>
          <w:rFonts w:ascii="Cambria" w:hAnsi="Cambria"/>
          <w:bCs/>
          <w:lang w:val="es-US"/>
        </w:rPr>
        <w:t xml:space="preserve">Argentina. Excepciones Preliminares, Fondo, Reparaciones y Costas. Sentencia de 22 de agosto de 2013. Serie C No. 265, párr. </w:t>
      </w:r>
      <w:r>
        <w:rPr>
          <w:rFonts w:ascii="Cambria" w:hAnsi="Cambria"/>
          <w:bCs/>
          <w:lang w:val="es-US"/>
        </w:rPr>
        <w:t>33</w:t>
      </w:r>
      <w:r w:rsidRPr="007E12C3">
        <w:rPr>
          <w:rFonts w:ascii="Cambria" w:hAnsi="Cambria"/>
          <w:bCs/>
          <w:lang w:val="es-US"/>
        </w:rPr>
        <w:t>.</w:t>
      </w:r>
    </w:p>
  </w:footnote>
  <w:footnote w:id="105">
    <w:p w14:paraId="0D82F9A7" w14:textId="77777777" w:rsidR="009624E3" w:rsidRPr="0087668C" w:rsidRDefault="009624E3" w:rsidP="004A6145">
      <w:pPr>
        <w:pStyle w:val="FootnoteText"/>
        <w:mirrorIndents/>
        <w:rPr>
          <w:rFonts w:ascii="Cambria" w:eastAsia="Times New Roman" w:hAnsi="Cambria"/>
          <w:lang w:val="es-ES"/>
        </w:rPr>
      </w:pPr>
      <w:r w:rsidRPr="00EE15F8">
        <w:rPr>
          <w:rStyle w:val="FootnoteReference"/>
          <w:color w:val="auto"/>
        </w:rPr>
        <w:footnoteRef/>
      </w:r>
      <w:r w:rsidRPr="00EE15F8">
        <w:rPr>
          <w:color w:val="auto"/>
          <w:lang w:val="es-VE"/>
        </w:rPr>
        <w:t xml:space="preserve"> </w:t>
      </w:r>
      <w:r>
        <w:rPr>
          <w:color w:val="auto"/>
          <w:lang w:val="es-VE"/>
        </w:rPr>
        <w:t xml:space="preserve">Artículo 3 de la Convención Americana: </w:t>
      </w:r>
      <w:r w:rsidRPr="0087668C">
        <w:rPr>
          <w:rFonts w:ascii="Cambria" w:eastAsia="Times New Roman" w:hAnsi="Cambria"/>
          <w:lang w:val="es-ES"/>
        </w:rPr>
        <w:t xml:space="preserve">Toda persona tiene derecho al reconocimiento de su personalidad jurídica. </w:t>
      </w:r>
    </w:p>
    <w:p w14:paraId="74B03AFB" w14:textId="77777777" w:rsidR="009624E3" w:rsidRPr="0087668C" w:rsidRDefault="009624E3" w:rsidP="00DB4E00">
      <w:pPr>
        <w:mirrorIndents/>
        <w:jc w:val="both"/>
        <w:rPr>
          <w:rFonts w:ascii="Cambria" w:eastAsia="Times New Roman" w:hAnsi="Cambria"/>
          <w:sz w:val="16"/>
          <w:szCs w:val="16"/>
          <w:lang w:val="es-ES" w:eastAsia="es-ES"/>
        </w:rPr>
      </w:pPr>
      <w:r w:rsidRPr="0087668C">
        <w:rPr>
          <w:rFonts w:ascii="Cambria" w:eastAsia="Times New Roman" w:hAnsi="Cambria"/>
          <w:sz w:val="16"/>
          <w:szCs w:val="16"/>
          <w:lang w:val="es-ES" w:eastAsia="es-ES"/>
        </w:rPr>
        <w:t>Artículo 7</w:t>
      </w:r>
      <w:r>
        <w:rPr>
          <w:rFonts w:ascii="Cambria" w:eastAsia="Times New Roman" w:hAnsi="Cambria"/>
          <w:sz w:val="16"/>
          <w:szCs w:val="16"/>
          <w:lang w:val="es-ES" w:eastAsia="es-ES"/>
        </w:rPr>
        <w:t xml:space="preserve">.1 de la Convención Americana: </w:t>
      </w:r>
      <w:r w:rsidRPr="0087668C">
        <w:rPr>
          <w:rFonts w:ascii="Cambria" w:eastAsia="Times New Roman" w:hAnsi="Cambria"/>
          <w:sz w:val="16"/>
          <w:szCs w:val="16"/>
          <w:lang w:val="es-ES" w:eastAsia="es-ES"/>
        </w:rPr>
        <w:t xml:space="preserve">Toda persona tiene derecho a la libertad y a la seguridad personales. </w:t>
      </w:r>
    </w:p>
    <w:p w14:paraId="27D39BAE" w14:textId="77777777" w:rsidR="009624E3" w:rsidRPr="0087668C" w:rsidRDefault="009624E3" w:rsidP="00DB4E00">
      <w:pPr>
        <w:pBdr>
          <w:top w:val="none" w:sz="0" w:space="0" w:color="auto"/>
          <w:left w:val="none" w:sz="0" w:space="0" w:color="auto"/>
          <w:bottom w:val="none" w:sz="0" w:space="0" w:color="auto"/>
          <w:right w:val="none" w:sz="0" w:space="0" w:color="auto"/>
          <w:between w:val="none" w:sz="0" w:space="0" w:color="auto"/>
          <w:bar w:val="none" w:sz="0" w:color="auto"/>
        </w:pBdr>
        <w:mirrorIndents/>
        <w:jc w:val="both"/>
        <w:rPr>
          <w:rFonts w:ascii="Cambria" w:eastAsia="Times New Roman" w:hAnsi="Cambria"/>
          <w:sz w:val="16"/>
          <w:szCs w:val="16"/>
          <w:lang w:val="es-ES" w:eastAsia="es-ES"/>
        </w:rPr>
      </w:pPr>
      <w:r w:rsidRPr="0087668C">
        <w:rPr>
          <w:rFonts w:ascii="Cambria" w:eastAsia="Times New Roman" w:hAnsi="Cambria"/>
          <w:sz w:val="16"/>
          <w:szCs w:val="16"/>
          <w:lang w:val="es-ES" w:eastAsia="es-ES"/>
        </w:rPr>
        <w:t>Artículo 5.</w:t>
      </w:r>
      <w:r>
        <w:rPr>
          <w:rFonts w:ascii="Cambria" w:eastAsia="Times New Roman" w:hAnsi="Cambria"/>
          <w:sz w:val="16"/>
          <w:szCs w:val="16"/>
          <w:lang w:val="es-ES" w:eastAsia="es-ES"/>
        </w:rPr>
        <w:t>1 y 5.2 de la Convención Americana:</w:t>
      </w:r>
      <w:r w:rsidRPr="0087668C">
        <w:rPr>
          <w:rFonts w:ascii="Cambria" w:eastAsia="Times New Roman" w:hAnsi="Cambria"/>
          <w:sz w:val="16"/>
          <w:szCs w:val="16"/>
          <w:lang w:val="es-ES" w:eastAsia="es-ES"/>
        </w:rPr>
        <w:t xml:space="preserve"> 1. Toda persona tiene derecho a que se respete su integridad física, psíquica y moral. 2. Nadie debe ser sometido a torturas ni a penas o tratos crueles, inhumanos o degradantes. Toda persona privada de libertad será tratada con el respeto debido a la dignidad inherente al ser humano.</w:t>
      </w:r>
    </w:p>
    <w:p w14:paraId="7C083CA5" w14:textId="77777777" w:rsidR="009624E3" w:rsidRPr="0087668C" w:rsidRDefault="009624E3" w:rsidP="00D47D84">
      <w:pPr>
        <w:pBdr>
          <w:top w:val="none" w:sz="0" w:space="0" w:color="auto"/>
          <w:left w:val="none" w:sz="0" w:space="0" w:color="auto"/>
          <w:bottom w:val="none" w:sz="0" w:space="0" w:color="auto"/>
          <w:right w:val="none" w:sz="0" w:space="0" w:color="auto"/>
          <w:between w:val="none" w:sz="0" w:space="0" w:color="auto"/>
          <w:bar w:val="none" w:sz="0" w:color="auto"/>
        </w:pBdr>
        <w:mirrorIndents/>
        <w:jc w:val="both"/>
        <w:rPr>
          <w:rFonts w:ascii="Cambria" w:eastAsia="Times New Roman" w:hAnsi="Cambria"/>
          <w:sz w:val="16"/>
          <w:szCs w:val="16"/>
          <w:lang w:val="es-ES" w:eastAsia="es-ES"/>
        </w:rPr>
      </w:pPr>
      <w:r w:rsidRPr="0087668C">
        <w:rPr>
          <w:rFonts w:ascii="Cambria" w:eastAsia="Times New Roman" w:hAnsi="Cambria"/>
          <w:sz w:val="16"/>
          <w:szCs w:val="16"/>
          <w:lang w:val="es-ES" w:eastAsia="es-ES"/>
        </w:rPr>
        <w:t>Artículo 4</w:t>
      </w:r>
      <w:r>
        <w:rPr>
          <w:rFonts w:ascii="Cambria" w:eastAsia="Times New Roman" w:hAnsi="Cambria"/>
          <w:sz w:val="16"/>
          <w:szCs w:val="16"/>
          <w:lang w:val="es-ES" w:eastAsia="es-ES"/>
        </w:rPr>
        <w:t xml:space="preserve">.1 de la Convención Americana: </w:t>
      </w:r>
      <w:r w:rsidRPr="0087668C">
        <w:rPr>
          <w:rFonts w:ascii="Cambria" w:eastAsia="Times New Roman" w:hAnsi="Cambria"/>
          <w:sz w:val="16"/>
          <w:szCs w:val="16"/>
          <w:lang w:val="es-ES" w:eastAsia="es-ES"/>
        </w:rPr>
        <w:t>1. Toda persona tiene derecho a que se respete su vida. Este derecho estará protegido por la ley y, en general, a partir del momento de la concepción. Nadie puede ser privado de la vida arbitrariamente.</w:t>
      </w:r>
    </w:p>
    <w:p w14:paraId="630B8F5C" w14:textId="77777777" w:rsidR="009624E3" w:rsidRPr="0087668C" w:rsidRDefault="009624E3" w:rsidP="00D47D84">
      <w:pPr>
        <w:mirrorIndents/>
        <w:jc w:val="both"/>
        <w:rPr>
          <w:rFonts w:ascii="Cambria" w:eastAsia="Times New Roman" w:hAnsi="Cambria"/>
          <w:sz w:val="16"/>
          <w:szCs w:val="16"/>
          <w:lang w:val="es-ES" w:eastAsia="es-ES"/>
        </w:rPr>
      </w:pPr>
      <w:r w:rsidRPr="0087668C">
        <w:rPr>
          <w:rFonts w:ascii="Cambria" w:hAnsi="Cambria"/>
          <w:sz w:val="16"/>
          <w:szCs w:val="16"/>
          <w:lang w:val="es-US"/>
        </w:rPr>
        <w:t xml:space="preserve">Artículo 8. Garantías Judiciales. 1. </w:t>
      </w:r>
      <w:r w:rsidRPr="0087668C">
        <w:rPr>
          <w:rFonts w:ascii="Cambria" w:eastAsia="Times New Roman" w:hAnsi="Cambria"/>
          <w:sz w:val="16"/>
          <w:szCs w:val="16"/>
          <w:lang w:val="es-ES" w:eastAsia="es-ES"/>
        </w:rPr>
        <w:t>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14:paraId="4D879B5B" w14:textId="77777777" w:rsidR="009624E3" w:rsidRPr="0087668C" w:rsidRDefault="009624E3" w:rsidP="00D47D84">
      <w:pPr>
        <w:mirrorIndents/>
        <w:jc w:val="both"/>
        <w:rPr>
          <w:rFonts w:ascii="Cambria" w:eastAsia="Times New Roman" w:hAnsi="Cambria"/>
          <w:sz w:val="16"/>
          <w:szCs w:val="16"/>
          <w:lang w:val="es-ES"/>
        </w:rPr>
      </w:pPr>
      <w:r w:rsidRPr="0087668C">
        <w:rPr>
          <w:rFonts w:ascii="Cambria" w:hAnsi="Cambria"/>
          <w:sz w:val="16"/>
          <w:szCs w:val="16"/>
          <w:lang w:val="es-US"/>
        </w:rPr>
        <w:t xml:space="preserve">Artículo </w:t>
      </w:r>
      <w:r w:rsidRPr="0087668C">
        <w:rPr>
          <w:rFonts w:ascii="Cambria" w:hAnsi="Cambria"/>
          <w:spacing w:val="-2"/>
          <w:sz w:val="16"/>
          <w:szCs w:val="16"/>
          <w:lang w:val="es-US"/>
        </w:rPr>
        <w:t>25</w:t>
      </w:r>
      <w:r w:rsidRPr="0087668C">
        <w:rPr>
          <w:rFonts w:ascii="Cambria" w:hAnsi="Cambria"/>
          <w:sz w:val="16"/>
          <w:szCs w:val="16"/>
          <w:lang w:val="es-US"/>
        </w:rPr>
        <w:t xml:space="preserve">. Protección Judicial. 1. </w:t>
      </w:r>
      <w:r w:rsidRPr="0087668C">
        <w:rPr>
          <w:rFonts w:ascii="Cambria" w:eastAsia="Times New Roman" w:hAnsi="Cambria"/>
          <w:sz w:val="16"/>
          <w:szCs w:val="16"/>
          <w:lang w:val="es-ES"/>
        </w:rPr>
        <w:t>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p w14:paraId="665FD137" w14:textId="77777777" w:rsidR="009624E3" w:rsidRPr="00EE15F8" w:rsidRDefault="009624E3" w:rsidP="00D47D84">
      <w:pPr>
        <w:mirrorIndents/>
        <w:jc w:val="both"/>
        <w:rPr>
          <w:rFonts w:ascii="Cambria" w:hAnsi="Cambria"/>
          <w:sz w:val="16"/>
          <w:szCs w:val="16"/>
          <w:lang w:val="es-ES"/>
        </w:rPr>
      </w:pPr>
      <w:r w:rsidRPr="0087668C">
        <w:rPr>
          <w:rFonts w:ascii="Cambria" w:eastAsia="Times New Roman" w:hAnsi="Cambria"/>
          <w:sz w:val="16"/>
          <w:szCs w:val="16"/>
          <w:lang w:val="es-ES" w:eastAsia="es-ES"/>
        </w:rPr>
        <w:t>Artículo 1.1.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footnote>
  <w:footnote w:id="106">
    <w:p w14:paraId="04EA1F0C" w14:textId="0B65CC59" w:rsidR="009624E3" w:rsidRPr="00EE15F8" w:rsidRDefault="009624E3" w:rsidP="00D47D84">
      <w:pPr>
        <w:pStyle w:val="FootnoteText"/>
        <w:mirrorIndents/>
        <w:rPr>
          <w:lang w:val="es-ES"/>
        </w:rPr>
      </w:pPr>
      <w:r>
        <w:rPr>
          <w:rStyle w:val="FootnoteReference"/>
        </w:rPr>
        <w:footnoteRef/>
      </w:r>
      <w:r w:rsidRPr="00EE15F8">
        <w:rPr>
          <w:lang w:val="es-ES"/>
        </w:rPr>
        <w:t xml:space="preserve"> </w:t>
      </w:r>
      <w:r>
        <w:rPr>
          <w:lang w:val="es-ES"/>
        </w:rPr>
        <w:t xml:space="preserve">En adelante “CIDFP”. </w:t>
      </w:r>
      <w:r w:rsidRPr="0087668C">
        <w:rPr>
          <w:rFonts w:ascii="Cambria" w:hAnsi="Cambria"/>
          <w:lang w:val="es-US"/>
        </w:rPr>
        <w:t>Dicho artículo establece:</w:t>
      </w:r>
      <w:r>
        <w:rPr>
          <w:rFonts w:ascii="Cambria" w:hAnsi="Cambria"/>
          <w:lang w:val="es-US"/>
        </w:rPr>
        <w:t xml:space="preserve"> </w:t>
      </w:r>
      <w:r w:rsidRPr="0087668C">
        <w:rPr>
          <w:rFonts w:ascii="Cambria" w:eastAsia="Times New Roman" w:hAnsi="Cambria"/>
          <w:lang w:val="es-ES"/>
        </w:rPr>
        <w:t>Los Estados partes en esta Convención se comprometen a: a) No practicar, no permitir, ni tolerar la desaparición forzada de personas, ni aun en estado de emergencia, excepción o suspensión de garantías individuales</w:t>
      </w:r>
      <w:r>
        <w:rPr>
          <w:rFonts w:ascii="Cambria" w:eastAsia="Times New Roman" w:hAnsi="Cambria"/>
          <w:lang w:val="es-ES"/>
        </w:rPr>
        <w:t>.</w:t>
      </w:r>
      <w:r w:rsidRPr="0087668C">
        <w:rPr>
          <w:rFonts w:ascii="Cambria" w:eastAsia="Times New Roman" w:hAnsi="Cambria"/>
          <w:lang w:val="es-ES"/>
        </w:rPr>
        <w:t xml:space="preserve"> </w:t>
      </w:r>
    </w:p>
  </w:footnote>
  <w:footnote w:id="107">
    <w:p w14:paraId="24B5D0B3" w14:textId="77777777" w:rsidR="009624E3" w:rsidRDefault="009624E3" w:rsidP="00386714">
      <w:pPr>
        <w:pStyle w:val="FootnoteText"/>
        <w:mirrorIndents/>
        <w:rPr>
          <w:lang w:val="es-ES"/>
        </w:rPr>
      </w:pPr>
      <w:r>
        <w:rPr>
          <w:rStyle w:val="FootnoteReference"/>
        </w:rPr>
        <w:footnoteRef/>
      </w:r>
      <w:r w:rsidRPr="005C023C">
        <w:rPr>
          <w:lang w:val="es-ES"/>
        </w:rPr>
        <w:t xml:space="preserve"> </w:t>
      </w:r>
      <w:r>
        <w:rPr>
          <w:lang w:val="es-ES"/>
        </w:rPr>
        <w:t>Artículo XVII de la Declaración Americana: Toda persona tiene derecho a que se le reconozca en cualquier parte como sujeto de derechos y obligaciones, y a gozar de los derechos civiles fundamentales.</w:t>
      </w:r>
    </w:p>
    <w:p w14:paraId="6E14257C" w14:textId="77777777" w:rsidR="009624E3" w:rsidRPr="005C023C" w:rsidRDefault="009624E3" w:rsidP="00386714">
      <w:pPr>
        <w:pStyle w:val="FootnoteText"/>
        <w:mirrorIndents/>
        <w:rPr>
          <w:lang w:val="es-US"/>
        </w:rPr>
      </w:pPr>
      <w:r>
        <w:rPr>
          <w:lang w:val="es-US"/>
        </w:rPr>
        <w:t>Artículo XXV</w:t>
      </w:r>
      <w:r w:rsidRPr="0087668C">
        <w:rPr>
          <w:rFonts w:ascii="Cambria" w:hAnsi="Cambria"/>
          <w:lang w:val="es-US"/>
        </w:rPr>
        <w:t xml:space="preserve"> de la </w:t>
      </w:r>
      <w:r>
        <w:rPr>
          <w:rFonts w:ascii="Cambria" w:hAnsi="Cambria"/>
          <w:lang w:val="es-US"/>
        </w:rPr>
        <w:t>Declaración Americana</w:t>
      </w:r>
      <w:r w:rsidRPr="0087668C">
        <w:rPr>
          <w:rFonts w:ascii="Cambria" w:hAnsi="Cambria"/>
          <w:lang w:val="es-US"/>
        </w:rPr>
        <w:t>:</w:t>
      </w:r>
      <w:r>
        <w:rPr>
          <w:rFonts w:ascii="Cambria" w:hAnsi="Cambria"/>
          <w:lang w:val="es-US"/>
        </w:rPr>
        <w:t xml:space="preserve"> </w:t>
      </w:r>
      <w:r>
        <w:rPr>
          <w:lang w:val="es-US"/>
        </w:rPr>
        <w:t>Nadie puede ser privado de su libertad sino en los casos y según las formas establecidas por leyes preexistentes. […] Todo individuo que haya sido privado de su libertad tiene derecho a que el juez verifique sin demora la legalidad de la medida y a ser juzgado sin dilación injustificada, o, de lo contrario, a ser puesto en libertad. Tiene derecho también a un tratamiento humano durante la privación de libertad.</w:t>
      </w:r>
    </w:p>
    <w:p w14:paraId="15EF0AAC" w14:textId="77777777" w:rsidR="009624E3" w:rsidRPr="005C023C" w:rsidRDefault="009624E3" w:rsidP="00386714">
      <w:pPr>
        <w:pStyle w:val="FootnoteText"/>
        <w:rPr>
          <w:lang w:val="es-US"/>
        </w:rPr>
      </w:pPr>
      <w:r>
        <w:rPr>
          <w:lang w:val="es-US"/>
        </w:rPr>
        <w:t>Artículo I. Todo ser humano tiene derecho a la vida, a la libertad y a la seguridad de su persona.</w:t>
      </w:r>
    </w:p>
  </w:footnote>
  <w:footnote w:id="108">
    <w:p w14:paraId="0E792F72" w14:textId="77777777" w:rsidR="009624E3" w:rsidRPr="003E2BF9" w:rsidRDefault="009624E3" w:rsidP="00386714">
      <w:pPr>
        <w:pStyle w:val="FootnoteText"/>
        <w:rPr>
          <w:lang w:val="es-US"/>
        </w:rPr>
      </w:pPr>
      <w:r>
        <w:rPr>
          <w:rStyle w:val="FootnoteReference"/>
        </w:rPr>
        <w:footnoteRef/>
      </w:r>
      <w:r w:rsidRPr="003E2BF9">
        <w:rPr>
          <w:lang w:val="es-ES"/>
        </w:rPr>
        <w:t xml:space="preserve"> </w:t>
      </w:r>
      <w:r>
        <w:rPr>
          <w:lang w:val="es-US"/>
        </w:rPr>
        <w:t>Artículo VII</w:t>
      </w:r>
      <w:r w:rsidRPr="0087668C">
        <w:rPr>
          <w:rFonts w:ascii="Cambria" w:hAnsi="Cambria"/>
          <w:lang w:val="es-US"/>
        </w:rPr>
        <w:t xml:space="preserve"> de la </w:t>
      </w:r>
      <w:r>
        <w:rPr>
          <w:rFonts w:ascii="Cambria" w:hAnsi="Cambria"/>
          <w:lang w:val="es-US"/>
        </w:rPr>
        <w:t>Declaración Americana</w:t>
      </w:r>
      <w:r w:rsidRPr="0087668C">
        <w:rPr>
          <w:rFonts w:ascii="Cambria" w:hAnsi="Cambria"/>
          <w:lang w:val="es-US"/>
        </w:rPr>
        <w:t>:</w:t>
      </w:r>
      <w:r>
        <w:rPr>
          <w:rFonts w:ascii="Cambria" w:hAnsi="Cambria"/>
          <w:lang w:val="es-US"/>
        </w:rPr>
        <w:t xml:space="preserve"> </w:t>
      </w:r>
      <w:r>
        <w:rPr>
          <w:lang w:val="es-US"/>
        </w:rPr>
        <w:t>Toda mujer en estado de gravidez o en época de lactancia, así como todo niño, tienen derecho a protección, cuidados y ayuda especiales.</w:t>
      </w:r>
    </w:p>
  </w:footnote>
  <w:footnote w:id="109">
    <w:p w14:paraId="5A1DDC6A" w14:textId="77777777" w:rsidR="009624E3" w:rsidRPr="0087668C" w:rsidRDefault="009624E3" w:rsidP="00D47D84">
      <w:pPr>
        <w:tabs>
          <w:tab w:val="left" w:pos="360"/>
        </w:tabs>
        <w:mirrorIndents/>
        <w:jc w:val="both"/>
        <w:rPr>
          <w:rFonts w:ascii="Cambria" w:hAnsi="Cambria"/>
          <w:sz w:val="16"/>
          <w:szCs w:val="16"/>
          <w:lang w:val="es-ES_tradnl"/>
        </w:rPr>
      </w:pPr>
      <w:r w:rsidRPr="0087668C">
        <w:rPr>
          <w:rStyle w:val="FootnoteReference"/>
          <w:rFonts w:ascii="Cambria" w:hAnsi="Cambria"/>
          <w:sz w:val="16"/>
          <w:szCs w:val="16"/>
        </w:rPr>
        <w:footnoteRef/>
      </w:r>
      <w:r w:rsidRPr="0087668C">
        <w:rPr>
          <w:rFonts w:ascii="Cambria" w:hAnsi="Cambria"/>
          <w:sz w:val="16"/>
          <w:szCs w:val="16"/>
          <w:lang w:val="es-CO"/>
        </w:rPr>
        <w:t xml:space="preserve"> </w:t>
      </w:r>
      <w:r w:rsidRPr="0087668C">
        <w:rPr>
          <w:rFonts w:ascii="Cambria" w:hAnsi="Cambria"/>
          <w:sz w:val="16"/>
          <w:szCs w:val="16"/>
          <w:lang w:val="de-DE"/>
        </w:rPr>
        <w:t xml:space="preserve">CIDH. Demanda ante la Corte Interamericana, Caso No. 12.517, Gregoria Herminia Contreras y otros, El Salvador, 28 de junio de 2010, párr. 131; </w:t>
      </w:r>
      <w:r w:rsidRPr="0087668C">
        <w:rPr>
          <w:rFonts w:ascii="Cambria" w:hAnsi="Cambria"/>
          <w:sz w:val="16"/>
          <w:szCs w:val="16"/>
          <w:lang w:val="es-ES_tradnl"/>
        </w:rPr>
        <w:t xml:space="preserve">Corte IDH, </w:t>
      </w:r>
      <w:r w:rsidRPr="0087668C">
        <w:rPr>
          <w:rFonts w:ascii="Cambria" w:hAnsi="Cambria"/>
          <w:iCs/>
          <w:sz w:val="16"/>
          <w:szCs w:val="16"/>
          <w:lang w:val="es-ES_tradnl"/>
        </w:rPr>
        <w:t xml:space="preserve">Caso </w:t>
      </w:r>
      <w:r>
        <w:rPr>
          <w:rFonts w:ascii="Cambria" w:hAnsi="Cambria"/>
          <w:iCs/>
          <w:sz w:val="16"/>
          <w:szCs w:val="16"/>
          <w:lang w:val="es-ES_tradnl"/>
        </w:rPr>
        <w:t>Gelman Vs. Uruguay</w:t>
      </w:r>
      <w:r>
        <w:rPr>
          <w:rFonts w:ascii="Cambria" w:hAnsi="Cambria"/>
          <w:sz w:val="16"/>
          <w:szCs w:val="16"/>
          <w:lang w:val="es-ES_tradnl"/>
        </w:rPr>
        <w:t xml:space="preserve">. </w:t>
      </w:r>
      <w:r w:rsidRPr="0087668C">
        <w:rPr>
          <w:rFonts w:ascii="Cambria" w:hAnsi="Cambria"/>
          <w:sz w:val="16"/>
          <w:szCs w:val="16"/>
          <w:lang w:val="es-ES_tradnl"/>
        </w:rPr>
        <w:t>Fondo</w:t>
      </w:r>
      <w:r>
        <w:rPr>
          <w:rFonts w:ascii="Cambria" w:hAnsi="Cambria"/>
          <w:sz w:val="16"/>
          <w:szCs w:val="16"/>
          <w:lang w:val="es-ES_tradnl"/>
        </w:rPr>
        <w:t xml:space="preserve"> y</w:t>
      </w:r>
      <w:r w:rsidRPr="0087668C">
        <w:rPr>
          <w:rFonts w:ascii="Cambria" w:hAnsi="Cambria"/>
          <w:sz w:val="16"/>
          <w:szCs w:val="16"/>
          <w:lang w:val="es-ES_tradnl"/>
        </w:rPr>
        <w:t xml:space="preserve"> Reparaciones. Sentencia de 2</w:t>
      </w:r>
      <w:r>
        <w:rPr>
          <w:rFonts w:ascii="Cambria" w:hAnsi="Cambria"/>
          <w:sz w:val="16"/>
          <w:szCs w:val="16"/>
          <w:lang w:val="es-ES_tradnl"/>
        </w:rPr>
        <w:t>4</w:t>
      </w:r>
      <w:r w:rsidRPr="0087668C">
        <w:rPr>
          <w:rFonts w:ascii="Cambria" w:hAnsi="Cambria"/>
          <w:sz w:val="16"/>
          <w:szCs w:val="16"/>
          <w:lang w:val="es-ES_tradnl"/>
        </w:rPr>
        <w:t xml:space="preserve"> de </w:t>
      </w:r>
      <w:r>
        <w:rPr>
          <w:rFonts w:ascii="Cambria" w:hAnsi="Cambria"/>
          <w:sz w:val="16"/>
          <w:szCs w:val="16"/>
          <w:lang w:val="es-ES_tradnl"/>
        </w:rPr>
        <w:t>febrero de 2011. Serie C No. 221, p</w:t>
      </w:r>
      <w:r w:rsidRPr="0087668C">
        <w:rPr>
          <w:rFonts w:ascii="Cambria" w:hAnsi="Cambria"/>
          <w:sz w:val="16"/>
          <w:szCs w:val="16"/>
          <w:lang w:val="es-ES_tradnl"/>
        </w:rPr>
        <w:t xml:space="preserve">árr. </w:t>
      </w:r>
      <w:r>
        <w:rPr>
          <w:rFonts w:ascii="Cambria" w:hAnsi="Cambria"/>
          <w:sz w:val="16"/>
          <w:szCs w:val="16"/>
          <w:lang w:val="es-CO"/>
        </w:rPr>
        <w:t>74</w:t>
      </w:r>
      <w:r w:rsidRPr="0087668C">
        <w:rPr>
          <w:rFonts w:ascii="Cambria" w:hAnsi="Cambria"/>
          <w:sz w:val="16"/>
          <w:szCs w:val="16"/>
          <w:lang w:val="es-ES_tradnl"/>
        </w:rPr>
        <w:t xml:space="preserve">. </w:t>
      </w:r>
    </w:p>
  </w:footnote>
  <w:footnote w:id="110">
    <w:p w14:paraId="469DAA98" w14:textId="77777777" w:rsidR="009624E3" w:rsidRPr="0087668C" w:rsidRDefault="009624E3" w:rsidP="00D47D84">
      <w:pPr>
        <w:pStyle w:val="FootnoteText"/>
        <w:mirrorIndents/>
        <w:rPr>
          <w:rFonts w:ascii="Cambria" w:hAnsi="Cambria"/>
          <w:lang w:val="es-CO"/>
        </w:rPr>
      </w:pPr>
      <w:r w:rsidRPr="0087668C">
        <w:rPr>
          <w:rStyle w:val="FootnoteReference"/>
          <w:rFonts w:ascii="Cambria" w:hAnsi="Cambria"/>
        </w:rPr>
        <w:footnoteRef/>
      </w:r>
      <w:r w:rsidRPr="0087668C">
        <w:rPr>
          <w:rFonts w:ascii="Cambria" w:hAnsi="Cambria"/>
          <w:lang w:val="es-CO"/>
        </w:rPr>
        <w:t xml:space="preserve"> </w:t>
      </w:r>
      <w:r w:rsidRPr="0087668C">
        <w:rPr>
          <w:rFonts w:ascii="Cambria" w:hAnsi="Cambria"/>
          <w:lang w:val="de-DE"/>
        </w:rPr>
        <w:t xml:space="preserve">CIDH. Demanda ante la Corte Interamericana, Caso No. 12.529, Rainer Ibsen Cárdenas y José Luis Ibsen Peña, Bolivia, </w:t>
      </w:r>
      <w:r>
        <w:rPr>
          <w:rFonts w:ascii="Cambria" w:hAnsi="Cambria"/>
          <w:lang w:val="de-DE"/>
        </w:rPr>
        <w:t>12 de m</w:t>
      </w:r>
      <w:r w:rsidRPr="0087668C">
        <w:rPr>
          <w:rFonts w:ascii="Cambria" w:hAnsi="Cambria"/>
          <w:lang w:val="de-DE"/>
        </w:rPr>
        <w:t>ayo</w:t>
      </w:r>
      <w:r>
        <w:rPr>
          <w:rFonts w:ascii="Cambria" w:hAnsi="Cambria"/>
          <w:lang w:val="de-DE"/>
        </w:rPr>
        <w:t xml:space="preserve"> de</w:t>
      </w:r>
      <w:r w:rsidRPr="0087668C">
        <w:rPr>
          <w:rFonts w:ascii="Cambria" w:hAnsi="Cambria"/>
          <w:lang w:val="de-DE"/>
        </w:rPr>
        <w:t xml:space="preserve"> 2009, párr. </w:t>
      </w:r>
      <w:r>
        <w:rPr>
          <w:rFonts w:ascii="Cambria" w:hAnsi="Cambria"/>
          <w:lang w:val="de-DE"/>
        </w:rPr>
        <w:t>206; y CIDH. Informe de Fondo No. 60/18. Caso 12.709. Juan Carlos Flores Bedregal y familiares, Bolivia, 8 de mayo de 2018, párr. 78.</w:t>
      </w:r>
    </w:p>
  </w:footnote>
  <w:footnote w:id="111">
    <w:p w14:paraId="29A66C20" w14:textId="77777777" w:rsidR="009624E3" w:rsidRPr="0087668C" w:rsidRDefault="009624E3" w:rsidP="00D47D84">
      <w:pPr>
        <w:pStyle w:val="FootnoteText"/>
        <w:tabs>
          <w:tab w:val="left" w:pos="720"/>
        </w:tabs>
        <w:mirrorIndents/>
        <w:rPr>
          <w:rFonts w:ascii="Cambria" w:hAnsi="Cambria"/>
          <w:highlight w:val="red"/>
          <w:lang w:val="es-ES_tradnl"/>
        </w:rPr>
      </w:pPr>
      <w:r w:rsidRPr="0087668C">
        <w:rPr>
          <w:rStyle w:val="FootnoteReference"/>
          <w:rFonts w:ascii="Cambria" w:hAnsi="Cambria"/>
        </w:rPr>
        <w:footnoteRef/>
      </w:r>
      <w:r w:rsidRPr="0087668C">
        <w:rPr>
          <w:rFonts w:ascii="Cambria" w:hAnsi="Cambria"/>
          <w:lang w:val="es-ES_tradnl"/>
        </w:rPr>
        <w:t xml:space="preserve"> Corte IDH. Caso Anzualdo Castro Vs. Perú. Excepción Preliminar, Fondo, Reparaciones y Costas. Sentencia de 22 de septiembre de 2009. Serie C No. 202, párr. 85. </w:t>
      </w:r>
    </w:p>
  </w:footnote>
  <w:footnote w:id="112">
    <w:p w14:paraId="708ED878" w14:textId="77777777" w:rsidR="009624E3" w:rsidRPr="0087668C" w:rsidRDefault="009624E3" w:rsidP="00D47D84">
      <w:pPr>
        <w:pStyle w:val="FootnoteText"/>
        <w:mirrorIndents/>
        <w:rPr>
          <w:rFonts w:ascii="Cambria" w:hAnsi="Cambria"/>
          <w:lang w:val="es-MX"/>
        </w:rPr>
      </w:pPr>
      <w:r w:rsidRPr="0087668C">
        <w:rPr>
          <w:rStyle w:val="FootnoteReference"/>
          <w:rFonts w:ascii="Cambria" w:hAnsi="Cambria"/>
        </w:rPr>
        <w:footnoteRef/>
      </w:r>
      <w:r w:rsidRPr="0087668C">
        <w:rPr>
          <w:rFonts w:ascii="Cambria" w:hAnsi="Cambria"/>
          <w:lang w:val="es-MX"/>
        </w:rPr>
        <w:t xml:space="preserve"> </w:t>
      </w:r>
      <w:r w:rsidRPr="0087668C">
        <w:rPr>
          <w:rFonts w:ascii="Cambria" w:hAnsi="Cambria"/>
          <w:noProof/>
          <w:lang w:val="es-ES"/>
        </w:rPr>
        <w:t>Corte IDH. Caso Ticona Estrada y otros Vs. Bolivia. Fondo, Reparaciones y Costas. Sentencia de 27 de noviembre de 2008. Serie C No. 191, párr. 58</w:t>
      </w:r>
      <w:r w:rsidRPr="0087668C">
        <w:rPr>
          <w:rFonts w:ascii="Cambria" w:hAnsi="Cambria"/>
          <w:noProof/>
          <w:color w:val="auto"/>
          <w:lang w:val="es-ES"/>
        </w:rPr>
        <w:t xml:space="preserve">; y </w:t>
      </w:r>
      <w:r w:rsidRPr="0087668C">
        <w:rPr>
          <w:rFonts w:ascii="Cambria" w:hAnsi="Cambria"/>
          <w:color w:val="auto"/>
          <w:lang w:val="es-US"/>
        </w:rPr>
        <w:t xml:space="preserve">CIDH, Informe No. </w:t>
      </w:r>
      <w:r w:rsidRPr="0087668C">
        <w:rPr>
          <w:rFonts w:ascii="Cambria" w:hAnsi="Cambria"/>
          <w:color w:val="auto"/>
          <w:lang w:val="es-ES"/>
        </w:rPr>
        <w:t>5/16, Casos 11.053, 11.054, 12.224, 12.225, y 12.823. Fondo. Perú. 13 de abril de 2016, párr.</w:t>
      </w:r>
      <w:r w:rsidRPr="0087668C">
        <w:rPr>
          <w:rFonts w:ascii="Cambria" w:hAnsi="Cambria"/>
          <w:color w:val="auto"/>
          <w:lang w:val="es-US"/>
        </w:rPr>
        <w:t xml:space="preserve"> </w:t>
      </w:r>
      <w:r w:rsidRPr="0087668C">
        <w:rPr>
          <w:rFonts w:ascii="Cambria" w:hAnsi="Cambria"/>
          <w:noProof/>
          <w:color w:val="auto"/>
          <w:lang w:val="es-ES"/>
        </w:rPr>
        <w:t xml:space="preserve">167. </w:t>
      </w:r>
    </w:p>
  </w:footnote>
  <w:footnote w:id="113">
    <w:p w14:paraId="3313736C" w14:textId="77777777" w:rsidR="009624E3" w:rsidRPr="0087668C" w:rsidRDefault="009624E3" w:rsidP="00D47D84">
      <w:pPr>
        <w:pStyle w:val="FootnoteText"/>
        <w:tabs>
          <w:tab w:val="left" w:pos="720"/>
        </w:tabs>
        <w:mirrorIndents/>
        <w:rPr>
          <w:rFonts w:ascii="Cambria" w:hAnsi="Cambria"/>
          <w:highlight w:val="red"/>
          <w:lang w:val="es-ES_tradnl"/>
        </w:rPr>
      </w:pPr>
      <w:r w:rsidRPr="0087668C">
        <w:rPr>
          <w:rStyle w:val="FootnoteReference"/>
          <w:rFonts w:ascii="Cambria" w:hAnsi="Cambria"/>
        </w:rPr>
        <w:footnoteRef/>
      </w:r>
      <w:r w:rsidRPr="0087668C">
        <w:rPr>
          <w:rFonts w:ascii="Cambria" w:hAnsi="Cambria"/>
          <w:lang w:val="es-VE"/>
        </w:rPr>
        <w:t xml:space="preserve"> Corte IDH. Caso Ticona Estrada Vs. </w:t>
      </w:r>
      <w:r w:rsidRPr="0087668C">
        <w:rPr>
          <w:rFonts w:ascii="Cambria" w:hAnsi="Cambria"/>
          <w:lang w:val="es-CL"/>
        </w:rPr>
        <w:t xml:space="preserve">Bolivia. Fondo, Reparaciones y Costas. Sentencia de 27 de noviembre de 2008. Serie C No. 191, párr. 59; y </w:t>
      </w:r>
      <w:r w:rsidRPr="0087668C">
        <w:rPr>
          <w:rFonts w:ascii="Cambria" w:hAnsi="Cambria"/>
          <w:lang w:val="es-ES_tradnl"/>
        </w:rPr>
        <w:t xml:space="preserve">Caso </w:t>
      </w:r>
      <w:r w:rsidRPr="0087668C">
        <w:rPr>
          <w:rFonts w:ascii="Cambria" w:hAnsi="Cambria"/>
          <w:lang w:val="es-CR"/>
        </w:rPr>
        <w:t xml:space="preserve">Radilla Pacheco Vs. México. </w:t>
      </w:r>
      <w:r w:rsidRPr="0087668C">
        <w:rPr>
          <w:rFonts w:ascii="Cambria" w:hAnsi="Cambria"/>
          <w:lang w:val="es-ES_tradnl"/>
        </w:rPr>
        <w:t>Excepciones Preliminares, Fondo, Reparaciones y Costas. Sentencia de 23 de noviembre de 2009. Serie C No. 209</w:t>
      </w:r>
      <w:r w:rsidRPr="0087668C">
        <w:rPr>
          <w:rFonts w:ascii="Cambria" w:hAnsi="Cambria"/>
          <w:lang w:val="es-CL"/>
        </w:rPr>
        <w:t xml:space="preserve">, </w:t>
      </w:r>
      <w:r>
        <w:rPr>
          <w:rFonts w:ascii="Cambria" w:hAnsi="Cambria"/>
          <w:lang w:val="es-CL"/>
        </w:rPr>
        <w:t xml:space="preserve">párr. </w:t>
      </w:r>
      <w:r w:rsidRPr="0087668C">
        <w:rPr>
          <w:rFonts w:ascii="Cambria" w:hAnsi="Cambria"/>
          <w:lang w:val="es-CL"/>
        </w:rPr>
        <w:t>154.</w:t>
      </w:r>
    </w:p>
  </w:footnote>
  <w:footnote w:id="114">
    <w:p w14:paraId="0C3FCB95" w14:textId="77777777" w:rsidR="009624E3" w:rsidRPr="0087668C" w:rsidRDefault="009624E3" w:rsidP="00D47D84">
      <w:pPr>
        <w:tabs>
          <w:tab w:val="left" w:pos="360"/>
          <w:tab w:val="left" w:pos="1080"/>
        </w:tabs>
        <w:mirrorIndents/>
        <w:jc w:val="both"/>
        <w:rPr>
          <w:rFonts w:ascii="Cambria" w:hAnsi="Cambria"/>
          <w:sz w:val="16"/>
          <w:szCs w:val="16"/>
          <w:highlight w:val="red"/>
          <w:lang w:val="es-ES_tradnl"/>
        </w:rPr>
      </w:pPr>
      <w:r w:rsidRPr="0087668C">
        <w:rPr>
          <w:rStyle w:val="FootnoteReference"/>
          <w:rFonts w:ascii="Cambria" w:hAnsi="Cambria"/>
          <w:sz w:val="16"/>
          <w:szCs w:val="16"/>
        </w:rPr>
        <w:footnoteRef/>
      </w:r>
      <w:r w:rsidRPr="0087668C">
        <w:rPr>
          <w:rFonts w:ascii="Cambria" w:hAnsi="Cambria"/>
          <w:sz w:val="16"/>
          <w:szCs w:val="16"/>
          <w:lang w:val="es-ES_tradnl"/>
        </w:rPr>
        <w:t xml:space="preserve"> </w:t>
      </w:r>
      <w:r w:rsidRPr="0087668C">
        <w:rPr>
          <w:rFonts w:ascii="Cambria" w:hAnsi="Cambria"/>
          <w:color w:val="000000"/>
          <w:sz w:val="16"/>
          <w:szCs w:val="16"/>
          <w:lang w:val="es-ES_tradnl"/>
        </w:rPr>
        <w:t xml:space="preserve">Corte IDH. </w:t>
      </w:r>
      <w:r w:rsidRPr="0087668C">
        <w:rPr>
          <w:rFonts w:ascii="Cambria" w:hAnsi="Cambria"/>
          <w:iCs/>
          <w:color w:val="000000"/>
          <w:sz w:val="16"/>
          <w:szCs w:val="16"/>
          <w:lang w:val="es-ES_tradnl"/>
        </w:rPr>
        <w:t>Caso 19 Comerciantes</w:t>
      </w:r>
      <w:r w:rsidRPr="0087668C">
        <w:rPr>
          <w:rFonts w:ascii="Cambria" w:hAnsi="Cambria"/>
          <w:color w:val="000000"/>
          <w:sz w:val="16"/>
          <w:szCs w:val="16"/>
          <w:lang w:val="es-ES_tradnl"/>
        </w:rPr>
        <w:t>. Sentencia de 5 de julio de 2004. Serie C No. 109, párr.</w:t>
      </w:r>
      <w:r w:rsidRPr="0087668C">
        <w:rPr>
          <w:rFonts w:ascii="Cambria" w:hAnsi="Cambria"/>
          <w:sz w:val="16"/>
          <w:szCs w:val="16"/>
          <w:lang w:val="es-ES_tradnl"/>
        </w:rPr>
        <w:t xml:space="preserve">154; y CIDH, Informe No. 44/00. Caso 10.820. Américo Zavala Martínez. Perú. 13 de abril de 2000, párr. 41. </w:t>
      </w:r>
    </w:p>
  </w:footnote>
  <w:footnote w:id="115">
    <w:p w14:paraId="0671C256" w14:textId="77777777" w:rsidR="009624E3" w:rsidRPr="0087668C" w:rsidRDefault="009624E3" w:rsidP="00D47D84">
      <w:pPr>
        <w:pStyle w:val="FootnoteText"/>
        <w:tabs>
          <w:tab w:val="left" w:pos="-720"/>
          <w:tab w:val="left" w:pos="360"/>
          <w:tab w:val="left" w:pos="1080"/>
        </w:tabs>
        <w:mirrorIndents/>
        <w:rPr>
          <w:rFonts w:ascii="Cambria" w:hAnsi="Cambria"/>
          <w:highlight w:val="red"/>
          <w:lang w:val="es-ES_tradnl"/>
        </w:rPr>
      </w:pPr>
      <w:r w:rsidRPr="0087668C">
        <w:rPr>
          <w:rStyle w:val="FootnoteReference"/>
          <w:rFonts w:ascii="Cambria" w:hAnsi="Cambria"/>
          <w:spacing w:val="-2"/>
          <w:lang w:val="es-ES_tradnl"/>
        </w:rPr>
        <w:footnoteRef/>
      </w:r>
      <w:r w:rsidRPr="0087668C">
        <w:rPr>
          <w:rFonts w:ascii="Cambria" w:hAnsi="Cambria"/>
          <w:spacing w:val="-2"/>
          <w:lang w:val="es-ES_tradnl"/>
        </w:rPr>
        <w:t xml:space="preserve"> </w:t>
      </w:r>
      <w:r w:rsidRPr="0087668C">
        <w:rPr>
          <w:rFonts w:ascii="Cambria" w:hAnsi="Cambria"/>
          <w:lang w:val="es-ES_tradnl"/>
        </w:rPr>
        <w:t xml:space="preserve">Corte I.D.H., </w:t>
      </w:r>
      <w:r w:rsidRPr="0087668C">
        <w:rPr>
          <w:rFonts w:ascii="Cambria" w:hAnsi="Cambria"/>
          <w:iCs/>
          <w:lang w:val="es-ES_tradnl"/>
        </w:rPr>
        <w:t>Caso Velásquez Rodríguez</w:t>
      </w:r>
      <w:r w:rsidRPr="0087668C">
        <w:rPr>
          <w:rFonts w:ascii="Cambria" w:hAnsi="Cambria"/>
          <w:lang w:val="es-ES_tradnl"/>
        </w:rPr>
        <w:t xml:space="preserve">. Sentencia de 29 de julio de 1988. </w:t>
      </w:r>
      <w:r w:rsidRPr="0087668C">
        <w:rPr>
          <w:rFonts w:ascii="Cambria" w:hAnsi="Cambria"/>
          <w:lang w:val="es-US"/>
        </w:rPr>
        <w:t>Serie C No. 4</w:t>
      </w:r>
      <w:r w:rsidRPr="0087668C">
        <w:rPr>
          <w:rFonts w:ascii="Cambria" w:hAnsi="Cambria"/>
          <w:spacing w:val="-2"/>
          <w:lang w:val="es-US"/>
        </w:rPr>
        <w:t xml:space="preserve">, párr. </w:t>
      </w:r>
      <w:r w:rsidRPr="0087668C">
        <w:rPr>
          <w:rFonts w:ascii="Cambria" w:hAnsi="Cambria"/>
          <w:spacing w:val="-2"/>
          <w:lang w:val="es-AR"/>
        </w:rPr>
        <w:t>188; y CIDH. Demanda ante la Corte Interamericana</w:t>
      </w:r>
      <w:r>
        <w:rPr>
          <w:rFonts w:ascii="Cambria" w:hAnsi="Cambria"/>
          <w:spacing w:val="-2"/>
          <w:lang w:val="es-AR"/>
        </w:rPr>
        <w:t>. Caso Nro.</w:t>
      </w:r>
      <w:r w:rsidRPr="0087668C">
        <w:rPr>
          <w:rFonts w:ascii="Cambria" w:hAnsi="Cambria"/>
          <w:spacing w:val="-2"/>
          <w:lang w:val="es-AR"/>
        </w:rPr>
        <w:t xml:space="preserve"> 12.529. </w:t>
      </w:r>
      <w:r w:rsidRPr="0087668C">
        <w:rPr>
          <w:rFonts w:ascii="Cambria" w:hAnsi="Cambria"/>
          <w:lang w:val="es-ES"/>
        </w:rPr>
        <w:t xml:space="preserve">Rainer Ibsen Cárdenas y José Luís Ibsen Peña vs. Bolivia. </w:t>
      </w:r>
      <w:r w:rsidRPr="0087668C">
        <w:rPr>
          <w:rFonts w:ascii="Cambria" w:hAnsi="Cambria"/>
          <w:lang w:val="es-ES_tradnl"/>
        </w:rPr>
        <w:t xml:space="preserve">12 de mayo de 2009, párr. </w:t>
      </w:r>
      <w:r w:rsidRPr="0087668C">
        <w:rPr>
          <w:rFonts w:ascii="Cambria" w:hAnsi="Cambria"/>
          <w:spacing w:val="-2"/>
          <w:lang w:val="es-AR"/>
        </w:rPr>
        <w:t xml:space="preserve">248. </w:t>
      </w:r>
    </w:p>
  </w:footnote>
  <w:footnote w:id="116">
    <w:p w14:paraId="5539215A" w14:textId="77777777" w:rsidR="009624E3" w:rsidRPr="0087668C" w:rsidRDefault="009624E3" w:rsidP="00D47D84">
      <w:pPr>
        <w:pStyle w:val="FootnoteText"/>
        <w:mirrorIndents/>
        <w:rPr>
          <w:rFonts w:ascii="Cambria" w:hAnsi="Cambria"/>
          <w:highlight w:val="red"/>
          <w:lang w:val="es-ES_tradnl"/>
        </w:rPr>
      </w:pPr>
      <w:r w:rsidRPr="0087668C">
        <w:rPr>
          <w:rStyle w:val="FootnoteReference"/>
          <w:rFonts w:ascii="Cambria" w:hAnsi="Cambria"/>
        </w:rPr>
        <w:footnoteRef/>
      </w:r>
      <w:r w:rsidRPr="0087668C">
        <w:rPr>
          <w:rFonts w:ascii="Cambria" w:hAnsi="Cambria"/>
          <w:lang w:val="es-ES_tradnl"/>
        </w:rPr>
        <w:t xml:space="preserve"> CIDH. Demandas ante la Corte Interamericana en los casos: Renato Ticona Estrada y otros (12.527), párrs. 153-165; Rosendo Radilla Pacheco (12.511), párrs. 138-145; Kenneth Ney Anzualdo Castro (11.385), párrs. 167-176; Julia Gómez Lund y otros (11.552), párrs. 208-220; Florencio Chitay Nech (12.599), párrs. 136-146; Rainer Ibsen Cárdenas y José Luís Ibsen Peña (12.529), párrs. 251-262; y Narciso González Medina y otros (11.324), párrs. 138-149.   </w:t>
      </w:r>
    </w:p>
  </w:footnote>
  <w:footnote w:id="117">
    <w:p w14:paraId="0BC157CF" w14:textId="77777777" w:rsidR="009624E3" w:rsidRPr="00CC757D" w:rsidRDefault="009624E3" w:rsidP="00D47D84">
      <w:pPr>
        <w:pStyle w:val="FootnoteText"/>
        <w:mirrorIndents/>
        <w:rPr>
          <w:rFonts w:ascii="Cambria" w:hAnsi="Cambria"/>
          <w:highlight w:val="red"/>
          <w:lang w:val="es-ES_tradnl"/>
        </w:rPr>
      </w:pPr>
      <w:r w:rsidRPr="0087668C">
        <w:rPr>
          <w:rStyle w:val="FootnoteReference"/>
          <w:rFonts w:ascii="Cambria" w:hAnsi="Cambria"/>
        </w:rPr>
        <w:footnoteRef/>
      </w:r>
      <w:r w:rsidRPr="0087668C">
        <w:rPr>
          <w:rFonts w:ascii="Cambria" w:hAnsi="Cambria"/>
          <w:lang w:val="es-US"/>
        </w:rPr>
        <w:t xml:space="preserve"> Corte IDH. Caso Anzualdo Castro Vs. </w:t>
      </w:r>
      <w:r w:rsidRPr="0087668C">
        <w:rPr>
          <w:rFonts w:ascii="Cambria" w:hAnsi="Cambria"/>
          <w:lang w:val="es-ES_tradnl"/>
        </w:rPr>
        <w:t xml:space="preserve">Perú. Excepción Preliminar, Fondo, Reparaciones y Costas. Sentencia de 22 de septiembre de 2009. Serie C No. 202, párrs. 91-92; Caso </w:t>
      </w:r>
      <w:r w:rsidRPr="0087668C">
        <w:rPr>
          <w:rFonts w:ascii="Cambria" w:hAnsi="Cambria"/>
          <w:lang w:val="es-CR"/>
        </w:rPr>
        <w:t xml:space="preserve">Radilla Pacheco Vs. </w:t>
      </w:r>
      <w:r w:rsidRPr="00CC757D">
        <w:rPr>
          <w:rFonts w:ascii="Cambria" w:hAnsi="Cambria"/>
          <w:lang w:val="es-CR"/>
        </w:rPr>
        <w:t xml:space="preserve">México. </w:t>
      </w:r>
      <w:r w:rsidRPr="00CC757D">
        <w:rPr>
          <w:rFonts w:ascii="Cambria" w:hAnsi="Cambria"/>
          <w:lang w:val="es-ES_tradnl"/>
        </w:rPr>
        <w:t xml:space="preserve">Excepciones Preliminares, Fondo, Reparaciones y Costas. Sentencia de 23 de noviembre de 2009. Serie C No. 209, párr. 157. </w:t>
      </w:r>
    </w:p>
  </w:footnote>
  <w:footnote w:id="118">
    <w:p w14:paraId="13525913" w14:textId="77777777" w:rsidR="009624E3" w:rsidRPr="00CC757D" w:rsidRDefault="009624E3" w:rsidP="00D47D84">
      <w:pPr>
        <w:pStyle w:val="FootnoteText"/>
        <w:tabs>
          <w:tab w:val="left" w:pos="720"/>
        </w:tabs>
        <w:mirrorIndents/>
        <w:rPr>
          <w:rFonts w:ascii="Cambria" w:hAnsi="Cambria"/>
          <w:highlight w:val="red"/>
          <w:lang w:val="es-ES_tradnl"/>
        </w:rPr>
      </w:pPr>
      <w:r w:rsidRPr="00CC757D">
        <w:rPr>
          <w:rStyle w:val="FootnoteReference"/>
          <w:rFonts w:ascii="Cambria" w:hAnsi="Cambria"/>
          <w:color w:val="auto"/>
        </w:rPr>
        <w:footnoteRef/>
      </w:r>
      <w:r w:rsidRPr="00CC757D">
        <w:rPr>
          <w:rFonts w:ascii="Cambria" w:hAnsi="Cambria"/>
          <w:color w:val="auto"/>
          <w:lang w:val="es-VE"/>
        </w:rPr>
        <w:t xml:space="preserve"> Corte IDH. Caso Anzualdo Castro Vs. </w:t>
      </w:r>
      <w:r w:rsidRPr="00CC757D">
        <w:rPr>
          <w:rFonts w:ascii="Cambria" w:hAnsi="Cambria"/>
          <w:color w:val="auto"/>
          <w:lang w:val="es-ES_tradnl"/>
        </w:rPr>
        <w:t xml:space="preserve">Perú. Excepción Preliminar, Fondo, Reparaciones y Costas. Sentencia de 22 de septiembre de 2009. Serie C No. 202, párr. </w:t>
      </w:r>
      <w:r w:rsidRPr="00CC757D">
        <w:rPr>
          <w:rFonts w:ascii="Cambria" w:hAnsi="Cambria"/>
          <w:color w:val="auto"/>
          <w:lang w:val="es-VE"/>
        </w:rPr>
        <w:t xml:space="preserve">90. Ver también: </w:t>
      </w:r>
      <w:r w:rsidRPr="00CC757D">
        <w:rPr>
          <w:rFonts w:ascii="Cambria" w:hAnsi="Cambria"/>
          <w:color w:val="auto"/>
          <w:lang w:val="es-US"/>
        </w:rPr>
        <w:t xml:space="preserve">CIDH, Informe No. </w:t>
      </w:r>
      <w:r w:rsidRPr="00CC757D">
        <w:rPr>
          <w:rFonts w:ascii="Cambria" w:hAnsi="Cambria"/>
          <w:color w:val="auto"/>
          <w:lang w:val="es-ES"/>
        </w:rPr>
        <w:t xml:space="preserve">5/16, Casos 11.053, 11.054, 12.224, 12.225, y 12.823. Fondo. Perú. 13 de abril de 2016, párr. </w:t>
      </w:r>
      <w:r w:rsidRPr="00CC757D">
        <w:rPr>
          <w:rFonts w:ascii="Cambria" w:hAnsi="Cambria"/>
          <w:color w:val="auto"/>
          <w:lang w:val="es-VE"/>
        </w:rPr>
        <w:t xml:space="preserve">166. </w:t>
      </w:r>
    </w:p>
  </w:footnote>
  <w:footnote w:id="119">
    <w:p w14:paraId="592FDC35" w14:textId="77777777" w:rsidR="009624E3" w:rsidRPr="00CC757D" w:rsidRDefault="009624E3" w:rsidP="00D47D84">
      <w:pPr>
        <w:pStyle w:val="FootnoteText"/>
        <w:mirrorIndents/>
        <w:rPr>
          <w:lang w:val="es-ES"/>
        </w:rPr>
      </w:pPr>
      <w:r w:rsidRPr="00CC757D">
        <w:rPr>
          <w:rStyle w:val="FootnoteReference"/>
        </w:rPr>
        <w:footnoteRef/>
      </w:r>
      <w:r w:rsidRPr="00CC757D">
        <w:rPr>
          <w:lang w:val="es-ES"/>
        </w:rPr>
        <w:t xml:space="preserve"> </w:t>
      </w:r>
      <w:r w:rsidRPr="00CC757D">
        <w:rPr>
          <w:rFonts w:ascii="Cambria" w:hAnsi="Cambria"/>
          <w:lang w:val="de-DE"/>
        </w:rPr>
        <w:t>CIDH. Informe de Fondo No. 60/18. Caso 12.709. Juan Carlos Flores Bedregal y familiares, Bolivia, 8 de mayo de 2018, párr. 69.</w:t>
      </w:r>
    </w:p>
  </w:footnote>
  <w:footnote w:id="120">
    <w:p w14:paraId="4E96DAD9" w14:textId="77777777" w:rsidR="009624E3" w:rsidRPr="00CC757D" w:rsidRDefault="009624E3" w:rsidP="00CC3FE6">
      <w:pPr>
        <w:pStyle w:val="FootnoteText"/>
        <w:rPr>
          <w:lang w:val="es-US"/>
        </w:rPr>
      </w:pPr>
      <w:r w:rsidRPr="00CC757D">
        <w:rPr>
          <w:rStyle w:val="FootnoteReference"/>
        </w:rPr>
        <w:footnoteRef/>
      </w:r>
      <w:r w:rsidRPr="00CC757D">
        <w:rPr>
          <w:lang w:val="es-US"/>
        </w:rPr>
        <w:t xml:space="preserve"> La Corte se refirió al análisis de los casos </w:t>
      </w:r>
      <w:r w:rsidRPr="00CC757D">
        <w:rPr>
          <w:bCs/>
          <w:shd w:val="clear" w:color="auto" w:fill="FFFFFF"/>
          <w:lang w:val="es-US" w:eastAsia="es-CR"/>
        </w:rPr>
        <w:t>Rodríguez Vera y otros (Desaparecidos del Palacio de Justicia),</w:t>
      </w:r>
      <w:r w:rsidRPr="00CC757D">
        <w:rPr>
          <w:lang w:val="es-US" w:eastAsia="es-CR"/>
        </w:rPr>
        <w:t xml:space="preserve"> </w:t>
      </w:r>
      <w:r w:rsidRPr="00CC757D">
        <w:rPr>
          <w:bCs/>
          <w:shd w:val="clear" w:color="auto" w:fill="FFFFFF"/>
          <w:lang w:val="es-US" w:eastAsia="es-CR"/>
        </w:rPr>
        <w:t>Ibsen Cárdenas e Ibsen Peña</w:t>
      </w:r>
      <w:r w:rsidRPr="00CC757D">
        <w:rPr>
          <w:lang w:val="es-US" w:eastAsia="es-CR"/>
        </w:rPr>
        <w:t xml:space="preserve">, </w:t>
      </w:r>
      <w:r w:rsidRPr="00CC757D">
        <w:rPr>
          <w:bCs/>
          <w:shd w:val="clear" w:color="auto" w:fill="FFFFFF"/>
          <w:lang w:val="es-US" w:eastAsia="es-CR"/>
        </w:rPr>
        <w:t>La Cantuta</w:t>
      </w:r>
      <w:r w:rsidRPr="00CC757D">
        <w:rPr>
          <w:lang w:val="es-US" w:eastAsia="es-CR"/>
        </w:rPr>
        <w:t xml:space="preserve">, </w:t>
      </w:r>
      <w:r w:rsidRPr="00CC757D">
        <w:rPr>
          <w:bCs/>
          <w:shd w:val="clear" w:color="auto" w:fill="FFFFFF"/>
          <w:lang w:val="es-US" w:eastAsia="es-CR"/>
        </w:rPr>
        <w:t>Gómez Palomino</w:t>
      </w:r>
      <w:r w:rsidRPr="00CC757D">
        <w:rPr>
          <w:lang w:val="es-US" w:eastAsia="es-CR"/>
        </w:rPr>
        <w:t xml:space="preserve">, </w:t>
      </w:r>
      <w:r w:rsidRPr="00CC757D">
        <w:rPr>
          <w:bCs/>
          <w:shd w:val="clear" w:color="auto" w:fill="FFFFFF"/>
          <w:lang w:val="es-US" w:eastAsia="es-CR"/>
        </w:rPr>
        <w:t>19 Comerciantes</w:t>
      </w:r>
      <w:r w:rsidRPr="00CC757D">
        <w:rPr>
          <w:lang w:val="es-US" w:eastAsia="es-CR"/>
        </w:rPr>
        <w:t xml:space="preserve">, </w:t>
      </w:r>
      <w:r w:rsidRPr="00CC757D">
        <w:rPr>
          <w:bCs/>
          <w:shd w:val="clear" w:color="auto" w:fill="FFFFFF"/>
          <w:lang w:val="es-US" w:eastAsia="es-CR"/>
        </w:rPr>
        <w:t>Bámaca Velásquez</w:t>
      </w:r>
      <w:r w:rsidRPr="00CC757D">
        <w:rPr>
          <w:lang w:val="es-US" w:eastAsia="es-CR"/>
        </w:rPr>
        <w:t xml:space="preserve"> y </w:t>
      </w:r>
      <w:r w:rsidRPr="00CC757D">
        <w:rPr>
          <w:bCs/>
          <w:shd w:val="clear" w:color="auto" w:fill="FFFFFF"/>
          <w:lang w:val="es-US" w:eastAsia="es-CR"/>
        </w:rPr>
        <w:t xml:space="preserve">Castillo Páez. Ver: </w:t>
      </w:r>
      <w:r w:rsidRPr="00CC757D">
        <w:rPr>
          <w:rStyle w:val="Strong"/>
          <w:b w:val="0"/>
          <w:shd w:val="clear" w:color="auto" w:fill="FFFFFF"/>
          <w:lang w:val="es-US"/>
        </w:rPr>
        <w:t>Corte IDH. Caso Comunidad Campesina de Santa Bárbara Vs. Perú. Excepciones Preliminares, Fondo, Reparaciones y Costas. Sentencia de 1 de septiembre de 2015. Serie C No. 299,  párr.</w:t>
      </w:r>
      <w:r w:rsidRPr="00CC757D">
        <w:rPr>
          <w:rStyle w:val="Strong"/>
          <w:shd w:val="clear" w:color="auto" w:fill="FFFFFF"/>
          <w:lang w:val="es-US"/>
        </w:rPr>
        <w:t xml:space="preserve"> </w:t>
      </w:r>
      <w:r w:rsidRPr="00CC757D">
        <w:rPr>
          <w:bCs/>
          <w:shd w:val="clear" w:color="auto" w:fill="FFFFFF"/>
          <w:lang w:val="es-US" w:eastAsia="es-CR"/>
        </w:rPr>
        <w:t xml:space="preserve">164. </w:t>
      </w:r>
    </w:p>
  </w:footnote>
  <w:footnote w:id="121">
    <w:p w14:paraId="0C5691A6" w14:textId="77777777" w:rsidR="009624E3" w:rsidRPr="00CC757D" w:rsidRDefault="009624E3" w:rsidP="00CC3FE6">
      <w:pPr>
        <w:pStyle w:val="FootnoteText"/>
        <w:rPr>
          <w:lang w:val="es-US"/>
        </w:rPr>
      </w:pPr>
      <w:r w:rsidRPr="00CC757D">
        <w:rPr>
          <w:rStyle w:val="FootnoteReference"/>
        </w:rPr>
        <w:footnoteRef/>
      </w:r>
      <w:r w:rsidRPr="00CC757D">
        <w:rPr>
          <w:lang w:val="es-US"/>
        </w:rPr>
        <w:t xml:space="preserve"> </w:t>
      </w:r>
      <w:r w:rsidRPr="00CC757D">
        <w:rPr>
          <w:rStyle w:val="Strong"/>
          <w:b w:val="0"/>
          <w:shd w:val="clear" w:color="auto" w:fill="FFFFFF"/>
          <w:lang w:val="es-US"/>
        </w:rPr>
        <w:t xml:space="preserve">Corte IDH. Caso Comunidad Campesina de Santa Bárbara Vs. Perú. Excepciones Preliminares, Fondo, Reparaciones y Costas. Sentencia de 1 de septiembre de 2015. Serie C No. 299, párr. 164, citando, entre otros: </w:t>
      </w:r>
      <w:r w:rsidRPr="00CC757D">
        <w:rPr>
          <w:lang w:val="es-US"/>
        </w:rPr>
        <w:t xml:space="preserve">Grupo de Trabajo sobre las Desapariciones Forzadas o Involuntarias, Informe del Grupo de Trabajo sobre las Desapariciones Forzadas o Involuntarias, Comentario general sobre la definición de desapariciones forzadas, A/HRC/7/2, 10 de enero de 2008, pág. 14, párr. 10. </w:t>
      </w:r>
    </w:p>
  </w:footnote>
  <w:footnote w:id="122">
    <w:p w14:paraId="701E4679" w14:textId="77777777" w:rsidR="009624E3" w:rsidRPr="00CC757D" w:rsidRDefault="009624E3" w:rsidP="00CC3FE6">
      <w:pPr>
        <w:pStyle w:val="FootnoteText"/>
        <w:rPr>
          <w:lang w:val="es-US"/>
        </w:rPr>
      </w:pPr>
      <w:r w:rsidRPr="00CC757D">
        <w:rPr>
          <w:rStyle w:val="FootnoteReference"/>
        </w:rPr>
        <w:footnoteRef/>
      </w:r>
      <w:r w:rsidRPr="00CC757D">
        <w:rPr>
          <w:lang w:val="es-US"/>
        </w:rPr>
        <w:t xml:space="preserve"> La Corte se refirió al análisis de los casos </w:t>
      </w:r>
      <w:r w:rsidRPr="00CC757D">
        <w:rPr>
          <w:bCs/>
          <w:shd w:val="clear" w:color="auto" w:fill="FFFFFF"/>
          <w:lang w:val="es-US" w:eastAsia="es-CR"/>
        </w:rPr>
        <w:t>Rodríguez Vera y otros (Desaparecidos del Palacio de Justicia),</w:t>
      </w:r>
      <w:r w:rsidRPr="00CC757D">
        <w:rPr>
          <w:lang w:val="es-US" w:eastAsia="es-CR"/>
        </w:rPr>
        <w:t xml:space="preserve"> </w:t>
      </w:r>
      <w:r w:rsidRPr="00CC757D">
        <w:rPr>
          <w:bCs/>
          <w:shd w:val="clear" w:color="auto" w:fill="FFFFFF"/>
          <w:lang w:val="es-US" w:eastAsia="es-CR"/>
        </w:rPr>
        <w:t>Ibsen Cárdenas e Ibsen Peña</w:t>
      </w:r>
      <w:r w:rsidRPr="00CC757D">
        <w:rPr>
          <w:lang w:val="es-US" w:eastAsia="es-CR"/>
        </w:rPr>
        <w:t xml:space="preserve">, </w:t>
      </w:r>
      <w:r w:rsidRPr="00CC757D">
        <w:rPr>
          <w:bCs/>
          <w:shd w:val="clear" w:color="auto" w:fill="FFFFFF"/>
          <w:lang w:val="es-US" w:eastAsia="es-CR"/>
        </w:rPr>
        <w:t>La Cantuta</w:t>
      </w:r>
      <w:r w:rsidRPr="00CC757D">
        <w:rPr>
          <w:lang w:val="es-US" w:eastAsia="es-CR"/>
        </w:rPr>
        <w:t xml:space="preserve">, </w:t>
      </w:r>
      <w:r w:rsidRPr="00CC757D">
        <w:rPr>
          <w:bCs/>
          <w:shd w:val="clear" w:color="auto" w:fill="FFFFFF"/>
          <w:lang w:val="es-US" w:eastAsia="es-CR"/>
        </w:rPr>
        <w:t>Gómez Palomino</w:t>
      </w:r>
      <w:r w:rsidRPr="00CC757D">
        <w:rPr>
          <w:lang w:val="es-US" w:eastAsia="es-CR"/>
        </w:rPr>
        <w:t xml:space="preserve">, </w:t>
      </w:r>
      <w:r w:rsidRPr="00CC757D">
        <w:rPr>
          <w:bCs/>
          <w:shd w:val="clear" w:color="auto" w:fill="FFFFFF"/>
          <w:lang w:val="es-US" w:eastAsia="es-CR"/>
        </w:rPr>
        <w:t>19 Comerciantes</w:t>
      </w:r>
      <w:r w:rsidRPr="00CC757D">
        <w:rPr>
          <w:lang w:val="es-US" w:eastAsia="es-CR"/>
        </w:rPr>
        <w:t xml:space="preserve">, </w:t>
      </w:r>
      <w:r w:rsidRPr="00CC757D">
        <w:rPr>
          <w:bCs/>
          <w:shd w:val="clear" w:color="auto" w:fill="FFFFFF"/>
          <w:lang w:val="es-US" w:eastAsia="es-CR"/>
        </w:rPr>
        <w:t>Bámaca Velásquez</w:t>
      </w:r>
      <w:r w:rsidRPr="00CC757D">
        <w:rPr>
          <w:lang w:val="es-US" w:eastAsia="es-CR"/>
        </w:rPr>
        <w:t xml:space="preserve"> y </w:t>
      </w:r>
      <w:r w:rsidRPr="00CC757D">
        <w:rPr>
          <w:bCs/>
          <w:shd w:val="clear" w:color="auto" w:fill="FFFFFF"/>
          <w:lang w:val="es-US" w:eastAsia="es-CR"/>
        </w:rPr>
        <w:t xml:space="preserve">Castillo Páez. Ver: </w:t>
      </w:r>
      <w:r w:rsidRPr="00CC757D">
        <w:rPr>
          <w:rStyle w:val="Strong"/>
          <w:b w:val="0"/>
          <w:shd w:val="clear" w:color="auto" w:fill="FFFFFF"/>
          <w:lang w:val="es-US"/>
        </w:rPr>
        <w:t>Corte IDH. Caso Comunidad Campesina de Santa Bárbara Vs. Perú. Excepciones Preliminares, Fondo, Reparaciones y Costas. Sentencia de 1 de septiembre de 2015. Serie C No. 299,  párr.</w:t>
      </w:r>
      <w:r w:rsidRPr="00CC757D">
        <w:rPr>
          <w:rStyle w:val="Strong"/>
          <w:shd w:val="clear" w:color="auto" w:fill="FFFFFF"/>
          <w:lang w:val="es-US"/>
        </w:rPr>
        <w:t xml:space="preserve"> </w:t>
      </w:r>
      <w:r w:rsidRPr="00CC757D">
        <w:rPr>
          <w:bCs/>
          <w:shd w:val="clear" w:color="auto" w:fill="FFFFFF"/>
          <w:lang w:val="es-US" w:eastAsia="es-CR"/>
        </w:rPr>
        <w:t xml:space="preserve">163. </w:t>
      </w:r>
    </w:p>
  </w:footnote>
  <w:footnote w:id="123">
    <w:p w14:paraId="1C1FC0D6" w14:textId="77777777" w:rsidR="009624E3" w:rsidRPr="00CC757D" w:rsidRDefault="009624E3" w:rsidP="00D47D84">
      <w:pPr>
        <w:pStyle w:val="FootnoteText"/>
        <w:mirrorIndents/>
        <w:rPr>
          <w:lang w:val="es-ES"/>
        </w:rPr>
      </w:pPr>
      <w:r w:rsidRPr="00CC757D">
        <w:rPr>
          <w:rStyle w:val="FootnoteReference"/>
        </w:rPr>
        <w:footnoteRef/>
      </w:r>
      <w:r w:rsidRPr="00CC757D">
        <w:rPr>
          <w:lang w:val="es-ES"/>
        </w:rPr>
        <w:t xml:space="preserve"> CIDH. </w:t>
      </w:r>
      <w:r w:rsidRPr="00CC757D">
        <w:rPr>
          <w:rFonts w:ascii="Cambria" w:hAnsi="Cambria"/>
          <w:lang w:val="de-DE"/>
        </w:rPr>
        <w:t>Demanda ante la Corte Interamericana. Caso No. 12.517. Gregoria Herminia Contreras y otros, El Salvador, 28 de junio de 2010, p</w:t>
      </w:r>
      <w:r w:rsidRPr="00CC757D">
        <w:rPr>
          <w:lang w:val="es-ES"/>
        </w:rPr>
        <w:t>árr. 136.</w:t>
      </w:r>
    </w:p>
  </w:footnote>
  <w:footnote w:id="124">
    <w:p w14:paraId="09359495" w14:textId="77777777" w:rsidR="009624E3" w:rsidRPr="00350A32" w:rsidRDefault="009624E3" w:rsidP="00D47D84">
      <w:pPr>
        <w:pStyle w:val="FootnoteText"/>
        <w:mirrorIndents/>
        <w:rPr>
          <w:lang w:val="es-ES"/>
        </w:rPr>
      </w:pPr>
      <w:r>
        <w:rPr>
          <w:rStyle w:val="FootnoteReference"/>
        </w:rPr>
        <w:footnoteRef/>
      </w:r>
      <w:r w:rsidRPr="00350A32">
        <w:rPr>
          <w:lang w:val="es-ES"/>
        </w:rPr>
        <w:t xml:space="preserve"> </w:t>
      </w:r>
      <w:r>
        <w:rPr>
          <w:lang w:val="es-ES"/>
        </w:rPr>
        <w:t>Corte IDH. Caso Contreras y otros Vs. El Salvador. Fondo, Reparaciones y Costas. Sentencia de 31 de agosto de 2011. Serie C No. 232, párr. 85.</w:t>
      </w:r>
    </w:p>
  </w:footnote>
  <w:footnote w:id="125">
    <w:p w14:paraId="6791CC80" w14:textId="77777777" w:rsidR="009624E3" w:rsidRPr="00953885" w:rsidRDefault="009624E3" w:rsidP="00D8005C">
      <w:pPr>
        <w:pStyle w:val="FootnoteText"/>
        <w:rPr>
          <w:lang w:val="es-ES"/>
        </w:rPr>
      </w:pPr>
      <w:r>
        <w:rPr>
          <w:rStyle w:val="FootnoteReference"/>
        </w:rPr>
        <w:footnoteRef/>
      </w:r>
      <w:r w:rsidRPr="003B7AF9">
        <w:rPr>
          <w:lang w:val="es-ES"/>
        </w:rPr>
        <w:t xml:space="preserve"> Corte IDH. Caso Gelman Vs. </w:t>
      </w:r>
      <w:r>
        <w:rPr>
          <w:lang w:val="es-ES"/>
        </w:rPr>
        <w:t>Uruguay. Fondo y Reparaciones. Sentencia de 24 de febrero de 2011. Serie C No. 221, p</w:t>
      </w:r>
      <w:r w:rsidRPr="00953885">
        <w:rPr>
          <w:lang w:val="es-ES"/>
        </w:rPr>
        <w:t xml:space="preserve">árr. </w:t>
      </w:r>
      <w:r>
        <w:rPr>
          <w:lang w:val="es-ES"/>
        </w:rPr>
        <w:t>132.</w:t>
      </w:r>
    </w:p>
  </w:footnote>
  <w:footnote w:id="126">
    <w:p w14:paraId="5F5F496D" w14:textId="77777777" w:rsidR="009624E3" w:rsidRPr="00682A35" w:rsidRDefault="009624E3">
      <w:pPr>
        <w:pStyle w:val="FootnoteText"/>
        <w:rPr>
          <w:lang w:val="es-ES"/>
        </w:rPr>
      </w:pPr>
      <w:r>
        <w:rPr>
          <w:rStyle w:val="FootnoteReference"/>
        </w:rPr>
        <w:footnoteRef/>
      </w:r>
      <w:r w:rsidRPr="008840F5">
        <w:rPr>
          <w:lang w:val="es-ES"/>
        </w:rPr>
        <w:t xml:space="preserve"> Corte IDH. Caso Gelman Vs. </w:t>
      </w:r>
      <w:r>
        <w:rPr>
          <w:lang w:val="es-ES"/>
        </w:rPr>
        <w:t>Uruguay. Fondo y Reparaciones. Sentencia de 24 de febrero de 2011. Serie C No. 221, p</w:t>
      </w:r>
      <w:r w:rsidRPr="00953885">
        <w:rPr>
          <w:lang w:val="es-ES"/>
        </w:rPr>
        <w:t xml:space="preserve">árr. </w:t>
      </w:r>
      <w:r>
        <w:rPr>
          <w:lang w:val="es-ES"/>
        </w:rPr>
        <w:t>131.</w:t>
      </w:r>
    </w:p>
  </w:footnote>
  <w:footnote w:id="127">
    <w:p w14:paraId="6590CF42" w14:textId="77777777" w:rsidR="009624E3" w:rsidRPr="0087668C" w:rsidRDefault="009624E3" w:rsidP="00D47D84">
      <w:pPr>
        <w:pStyle w:val="FootnoteText"/>
        <w:tabs>
          <w:tab w:val="left" w:pos="720"/>
        </w:tabs>
        <w:mirrorIndents/>
        <w:rPr>
          <w:rFonts w:ascii="Cambria" w:hAnsi="Cambria"/>
          <w:lang w:val="es-ES_tradnl"/>
        </w:rPr>
      </w:pPr>
      <w:r w:rsidRPr="0087668C">
        <w:rPr>
          <w:rStyle w:val="FootnoteReference"/>
          <w:rFonts w:ascii="Cambria" w:hAnsi="Cambria"/>
        </w:rPr>
        <w:footnoteRef/>
      </w:r>
      <w:r w:rsidRPr="0087668C">
        <w:rPr>
          <w:rFonts w:ascii="Cambria" w:hAnsi="Cambria"/>
          <w:lang w:val="es-VE"/>
        </w:rPr>
        <w:t xml:space="preserve"> </w:t>
      </w:r>
      <w:r w:rsidRPr="0087668C">
        <w:rPr>
          <w:rFonts w:ascii="Cambria" w:hAnsi="Cambria"/>
          <w:lang w:val="es-MX"/>
        </w:rPr>
        <w:t xml:space="preserve">CIDH. Informe No. 111/09. Caso 11.324. </w:t>
      </w:r>
      <w:r w:rsidRPr="0087668C">
        <w:rPr>
          <w:rFonts w:ascii="Cambria" w:hAnsi="Cambria"/>
          <w:lang w:val="es-CO"/>
        </w:rPr>
        <w:t>Fondo. Narciso González Medina. República Dominicana. 10 de noviembre de 2009. Párr. 130; y</w:t>
      </w:r>
      <w:r w:rsidRPr="0087668C">
        <w:rPr>
          <w:rFonts w:ascii="Cambria" w:hAnsi="Cambria"/>
          <w:lang w:val="es-MX"/>
        </w:rPr>
        <w:t xml:space="preserve"> Corte I.D.H., </w:t>
      </w:r>
      <w:r w:rsidRPr="0087668C">
        <w:rPr>
          <w:rFonts w:ascii="Cambria" w:hAnsi="Cambria"/>
          <w:bCs/>
          <w:lang w:val="es-MX"/>
        </w:rPr>
        <w:t xml:space="preserve">Caso Anzualdo Castro Vs. </w:t>
      </w:r>
      <w:r w:rsidRPr="0087668C">
        <w:rPr>
          <w:rFonts w:ascii="Cambria" w:hAnsi="Cambria"/>
          <w:bCs/>
          <w:lang w:val="es-ES"/>
        </w:rPr>
        <w:t xml:space="preserve">Perú. </w:t>
      </w:r>
      <w:r w:rsidRPr="0087668C">
        <w:rPr>
          <w:rFonts w:ascii="Cambria" w:hAnsi="Cambria"/>
          <w:lang w:val="es-ES"/>
        </w:rPr>
        <w:t>Excepción Preliminar, Fondo, Reparaciones y Costas. Sentencia de 22 de Septiembre de 2009. Serie C No. 202, párr. 60</w:t>
      </w:r>
      <w:r w:rsidRPr="0087668C">
        <w:rPr>
          <w:rFonts w:ascii="Cambria" w:hAnsi="Cambria"/>
          <w:lang w:val="es-ES_tradnl"/>
        </w:rPr>
        <w:t>.</w:t>
      </w:r>
    </w:p>
  </w:footnote>
  <w:footnote w:id="128">
    <w:p w14:paraId="385248CB" w14:textId="6AE74EF0" w:rsidR="009624E3" w:rsidRPr="00084644" w:rsidRDefault="009624E3">
      <w:pPr>
        <w:pStyle w:val="FootnoteText"/>
        <w:rPr>
          <w:lang w:val="es-ES"/>
        </w:rPr>
      </w:pPr>
      <w:r>
        <w:rPr>
          <w:rStyle w:val="FootnoteReference"/>
        </w:rPr>
        <w:footnoteRef/>
      </w:r>
      <w:r w:rsidRPr="00084644">
        <w:rPr>
          <w:lang w:val="es-ES"/>
        </w:rPr>
        <w:t xml:space="preserve"> </w:t>
      </w:r>
      <w:r>
        <w:rPr>
          <w:lang w:val="es-ES"/>
        </w:rPr>
        <w:t>Corte IDH. Caso I.V. Vs Bolivia. Excepciones Preliminares, Fondo, Reparaciones y Costas. Sentencia de 30 de noviembre de 2016. Serie C No. 329, parr. 240.</w:t>
      </w:r>
    </w:p>
  </w:footnote>
  <w:footnote w:id="129">
    <w:p w14:paraId="676D6DE5" w14:textId="409CB3EA" w:rsidR="009624E3" w:rsidRPr="008309F6" w:rsidRDefault="009624E3">
      <w:pPr>
        <w:pStyle w:val="FootnoteText"/>
        <w:rPr>
          <w:lang w:val="es-ES"/>
        </w:rPr>
      </w:pPr>
      <w:r>
        <w:rPr>
          <w:rStyle w:val="FootnoteReference"/>
        </w:rPr>
        <w:footnoteRef/>
      </w:r>
      <w:r w:rsidRPr="008309F6">
        <w:rPr>
          <w:lang w:val="es-ES"/>
        </w:rPr>
        <w:t xml:space="preserve"> </w:t>
      </w:r>
      <w:r>
        <w:rPr>
          <w:lang w:val="es-ES"/>
        </w:rPr>
        <w:t xml:space="preserve">Corte IDH. Caso Contreras y otros Vs. El Salvador. Fondo, Reparaciones y Costas. Sentencia de 31 de agosto de 2011. Serie C No. 232, </w:t>
      </w:r>
      <w:r>
        <w:rPr>
          <w:rFonts w:ascii="Cambria" w:hAnsi="Cambria"/>
          <w:lang w:val="de-DE"/>
        </w:rPr>
        <w:t>p</w:t>
      </w:r>
      <w:r>
        <w:rPr>
          <w:lang w:val="es-ES"/>
        </w:rPr>
        <w:t>árrs. 80-94; y Rochac Hernández y otros Vs. El Salvador. Fondo, Reparaciones y Costas. Sentencia de 14 de octubre de 2014. Serie C No. 285, párrs. 92-97.</w:t>
      </w:r>
    </w:p>
  </w:footnote>
  <w:footnote w:id="130">
    <w:p w14:paraId="7F6C100F" w14:textId="77777777" w:rsidR="009624E3" w:rsidRPr="00613A0F" w:rsidRDefault="009624E3">
      <w:pPr>
        <w:pStyle w:val="FootnoteText"/>
        <w:rPr>
          <w:lang w:val="es-ES"/>
        </w:rPr>
      </w:pPr>
      <w:r>
        <w:rPr>
          <w:rStyle w:val="FootnoteReference"/>
        </w:rPr>
        <w:footnoteRef/>
      </w:r>
      <w:r w:rsidRPr="00613A0F">
        <w:rPr>
          <w:lang w:val="es-ES"/>
        </w:rPr>
        <w:t xml:space="preserve"> </w:t>
      </w:r>
      <w:r>
        <w:rPr>
          <w:lang w:val="es-ES"/>
        </w:rPr>
        <w:t>El artículo XXVI de la Declaración Americana, en su parte pertinente, establece que: Toda persona acusada de delito tiene derecho […] a que no se le imponga penas crueles, infamantes o inusitadas.</w:t>
      </w:r>
    </w:p>
  </w:footnote>
  <w:footnote w:id="131">
    <w:p w14:paraId="74006A73" w14:textId="77777777" w:rsidR="009624E3" w:rsidRPr="00663FDD" w:rsidRDefault="009624E3" w:rsidP="00D47D84">
      <w:pPr>
        <w:pStyle w:val="FootnoteText"/>
        <w:keepNext/>
        <w:mirrorIndents/>
        <w:rPr>
          <w:lang w:val="es-ES_tradnl"/>
        </w:rPr>
      </w:pPr>
      <w:r w:rsidRPr="00663FDD">
        <w:rPr>
          <w:rStyle w:val="FootnoteReference"/>
          <w:color w:val="auto"/>
        </w:rPr>
        <w:footnoteRef/>
      </w:r>
      <w:r w:rsidRPr="00663FDD">
        <w:rPr>
          <w:color w:val="auto"/>
          <w:lang w:val="es-ES_tradnl"/>
        </w:rPr>
        <w:t xml:space="preserve"> CIDH, Informe sobre Terrorismo y Derechos Humanos, OEA/SER.L/V/II.116, Doc. 5 rev. 1, corr., 22 de octubre de 2002. Citando. CIDH, Informe sobre la Situación de Derechos Humanos de los Solicitantes de Asilo en el Marco del Sistema Canadiense de Determinación de la Condición de Refugiado, OEA/Ser.L/V/II.106, Doc. 40 rev., 28 de febrero de 2000, párr. 118. </w:t>
      </w:r>
    </w:p>
  </w:footnote>
  <w:footnote w:id="132">
    <w:p w14:paraId="4F00BC2E" w14:textId="77777777" w:rsidR="009624E3" w:rsidRPr="00663FDD" w:rsidRDefault="009624E3" w:rsidP="00D47D84">
      <w:pPr>
        <w:pStyle w:val="FootnoteText"/>
        <w:mirrorIndents/>
        <w:rPr>
          <w:lang w:val="es-ES_tradnl"/>
        </w:rPr>
      </w:pPr>
      <w:r w:rsidRPr="00663FDD">
        <w:rPr>
          <w:rStyle w:val="FootnoteReference"/>
        </w:rPr>
        <w:footnoteRef/>
      </w:r>
      <w:r w:rsidRPr="00663FDD">
        <w:rPr>
          <w:lang w:val="es-ES_tradnl"/>
        </w:rPr>
        <w:t xml:space="preserve"> CIDH, Informe sobre Terrorismo y Derechos Humanos, OEA/SER.L/V/II.116, Doc. 5 rev. 1, corr., 22 de octubre de 2002. Citando. CIDH, Informe sobre la Situación de Derechos Humanos de los Solicitantes de Asilo en el Marco del Sistema Canadiense de Determinación de la Condición de Refugiado, OEA/Ser.L/V/II.106, Doc. 40 rev., 28 de febrero de 2000. Párr. 154. </w:t>
      </w:r>
    </w:p>
  </w:footnote>
  <w:footnote w:id="133">
    <w:p w14:paraId="6A401B08" w14:textId="77777777" w:rsidR="009624E3" w:rsidRPr="00663FDD" w:rsidRDefault="009624E3" w:rsidP="00D47D84">
      <w:pPr>
        <w:keepNext/>
        <w:tabs>
          <w:tab w:val="left" w:pos="900"/>
          <w:tab w:val="left" w:pos="1080"/>
        </w:tabs>
        <w:mirrorIndents/>
        <w:jc w:val="both"/>
        <w:rPr>
          <w:rFonts w:asciiTheme="majorHAnsi" w:hAnsiTheme="majorHAnsi"/>
          <w:sz w:val="16"/>
          <w:szCs w:val="16"/>
          <w:lang w:val="es-ES_tradnl"/>
        </w:rPr>
      </w:pPr>
      <w:r w:rsidRPr="00663FDD">
        <w:rPr>
          <w:rStyle w:val="FootnoteReference"/>
          <w:rFonts w:asciiTheme="majorHAnsi" w:hAnsiTheme="majorHAnsi"/>
          <w:sz w:val="16"/>
          <w:szCs w:val="16"/>
        </w:rPr>
        <w:footnoteRef/>
      </w:r>
      <w:r w:rsidRPr="00663FDD">
        <w:rPr>
          <w:rFonts w:asciiTheme="majorHAnsi" w:hAnsiTheme="majorHAnsi"/>
          <w:sz w:val="16"/>
          <w:szCs w:val="16"/>
          <w:lang w:val="es-ES"/>
        </w:rPr>
        <w:t xml:space="preserve"> Corte IDH. Caso Bueno Alves Vs. Argentina. Fondo, Reparaciones y Costas. Sentencia de 11 de mayo de 2007. Serie C No. 164, párr. 76; Corte IDH. Caso del Penal Miguel Castro Castro Vs. Perú. Fondo, Reparaciones y Costas. Sentencia de 25 de noviembre de 2006. Serie C No. 160, párr. 271; y Corte IDH. Caso Baldeón García Vs. Perú. Fondo, Reparaciones y Costas. Sentencia de 6 de abril de 2006. Serie C No. 147, párr. 117. </w:t>
      </w:r>
    </w:p>
  </w:footnote>
  <w:footnote w:id="134">
    <w:p w14:paraId="3859F872" w14:textId="77777777" w:rsidR="009624E3" w:rsidRPr="00663FDD" w:rsidRDefault="009624E3" w:rsidP="00D47D84">
      <w:pPr>
        <w:pStyle w:val="FootnoteText"/>
        <w:keepNext/>
        <w:mirrorIndents/>
        <w:rPr>
          <w:lang w:val="es-ES"/>
        </w:rPr>
      </w:pPr>
      <w:r w:rsidRPr="00663FDD">
        <w:rPr>
          <w:rStyle w:val="FootnoteReference"/>
          <w:color w:val="auto"/>
        </w:rPr>
        <w:footnoteRef/>
      </w:r>
      <w:r w:rsidRPr="00663FDD">
        <w:rPr>
          <w:color w:val="auto"/>
          <w:lang w:val="es-ES"/>
        </w:rPr>
        <w:t xml:space="preserve"> CIDH, Informe No. 5/96, Caso 10.970, Fondo, Raquel Martin Mejía, Perú, 1 de marzo de 1996, sección 3</w:t>
      </w:r>
      <w:r>
        <w:rPr>
          <w:color w:val="auto"/>
          <w:lang w:val="es-ES"/>
        </w:rPr>
        <w:t>; y</w:t>
      </w:r>
      <w:r w:rsidRPr="00663FDD">
        <w:rPr>
          <w:color w:val="auto"/>
          <w:lang w:val="es-ES"/>
        </w:rPr>
        <w:t xml:space="preserve"> Corte IDH. Caso Bueno Alves Vs. Argentina. Fondo, Reparaciones y Costas. Sentencia de 11 de mayo de 2007. Serie C No. 164, </w:t>
      </w:r>
      <w:r w:rsidRPr="00663FDD">
        <w:rPr>
          <w:color w:val="auto"/>
          <w:lang w:val="es-ES_tradnl"/>
        </w:rPr>
        <w:t>párr. 79.</w:t>
      </w:r>
      <w:r w:rsidRPr="00663FDD">
        <w:rPr>
          <w:color w:val="auto"/>
          <w:lang w:val="es-ES"/>
        </w:rPr>
        <w:t xml:space="preserve"> </w:t>
      </w:r>
    </w:p>
  </w:footnote>
  <w:footnote w:id="135">
    <w:p w14:paraId="6E9CEE86" w14:textId="77777777" w:rsidR="009624E3" w:rsidRPr="00343DBA" w:rsidRDefault="009624E3" w:rsidP="00D47D84">
      <w:pPr>
        <w:pStyle w:val="FootnoteText"/>
        <w:mirrorIndents/>
        <w:rPr>
          <w:lang w:val="es-ES"/>
        </w:rPr>
      </w:pPr>
      <w:r>
        <w:rPr>
          <w:rStyle w:val="FootnoteReference"/>
        </w:rPr>
        <w:footnoteRef/>
      </w:r>
      <w:r w:rsidRPr="00AA523F">
        <w:rPr>
          <w:lang w:val="es-ES"/>
        </w:rPr>
        <w:t xml:space="preserve"> Corte IDH. Caso Bueno Alves Vs. </w:t>
      </w:r>
      <w:r w:rsidRPr="00663FDD">
        <w:rPr>
          <w:lang w:val="es-ES"/>
        </w:rPr>
        <w:t xml:space="preserve">Argentina. Fondo, Reparaciones y Costas. Sentencia de 11 de mayo de 2007. Serie C No. 164, párr. </w:t>
      </w:r>
      <w:r>
        <w:rPr>
          <w:lang w:val="es-ES"/>
        </w:rPr>
        <w:t>83.</w:t>
      </w:r>
    </w:p>
  </w:footnote>
  <w:footnote w:id="136">
    <w:p w14:paraId="157784F7" w14:textId="77777777" w:rsidR="009624E3" w:rsidRPr="00D374CE" w:rsidRDefault="009624E3">
      <w:pPr>
        <w:pStyle w:val="FootnoteText"/>
        <w:rPr>
          <w:lang w:val="es-ES"/>
        </w:rPr>
      </w:pPr>
      <w:r>
        <w:rPr>
          <w:rStyle w:val="FootnoteReference"/>
        </w:rPr>
        <w:footnoteRef/>
      </w:r>
      <w:r w:rsidRPr="008840F5">
        <w:rPr>
          <w:lang w:val="es-ES"/>
        </w:rPr>
        <w:t xml:space="preserve"> Corte IDH. Caso Gelman Vs. </w:t>
      </w:r>
      <w:r>
        <w:rPr>
          <w:lang w:val="es-ES"/>
        </w:rPr>
        <w:t>Uruguay. Fondo y Reparaciones. Sentencia de 24 de febrero de 2011. Serie C No. 221, p</w:t>
      </w:r>
      <w:r w:rsidRPr="00953885">
        <w:rPr>
          <w:lang w:val="es-ES"/>
        </w:rPr>
        <w:t>árr.</w:t>
      </w:r>
      <w:r>
        <w:rPr>
          <w:lang w:val="es-ES"/>
        </w:rPr>
        <w:t xml:space="preserve"> 133.</w:t>
      </w:r>
    </w:p>
  </w:footnote>
  <w:footnote w:id="137">
    <w:p w14:paraId="2534BBFE" w14:textId="77777777" w:rsidR="009624E3" w:rsidRDefault="009624E3">
      <w:pPr>
        <w:pStyle w:val="FootnoteText"/>
        <w:rPr>
          <w:lang w:val="es-ES"/>
        </w:rPr>
      </w:pPr>
      <w:r>
        <w:rPr>
          <w:rStyle w:val="FootnoteReference"/>
        </w:rPr>
        <w:footnoteRef/>
      </w:r>
      <w:r w:rsidRPr="00960EB4">
        <w:rPr>
          <w:lang w:val="es-ES"/>
        </w:rPr>
        <w:t xml:space="preserve"> </w:t>
      </w:r>
      <w:r>
        <w:rPr>
          <w:lang w:val="es-ES"/>
        </w:rPr>
        <w:t>Artículo VI de la Declaración Americana: Toda persona tiene derecho a constituir familia, elemento fundamental de la sociedad, y a recibir protección para ella.</w:t>
      </w:r>
    </w:p>
    <w:p w14:paraId="731CC4F4" w14:textId="77777777" w:rsidR="009624E3" w:rsidRDefault="009624E3">
      <w:pPr>
        <w:pStyle w:val="FootnoteText"/>
        <w:rPr>
          <w:lang w:val="es-ES"/>
        </w:rPr>
      </w:pPr>
      <w:r>
        <w:rPr>
          <w:lang w:val="es-ES"/>
        </w:rPr>
        <w:t>Artículo V de la Declaración Americana: Toda persona tiene derecho a la protección de la Ley contra los ataques abusivos a su honra, a su reputación y a su vida privada y familiar.</w:t>
      </w:r>
    </w:p>
    <w:p w14:paraId="31BCC1FF" w14:textId="77777777" w:rsidR="009624E3" w:rsidRDefault="009624E3">
      <w:pPr>
        <w:pStyle w:val="FootnoteText"/>
        <w:rPr>
          <w:lang w:val="es-ES"/>
        </w:rPr>
      </w:pPr>
      <w:r>
        <w:rPr>
          <w:lang w:val="es-ES"/>
        </w:rPr>
        <w:t>Artículo XIX de la Declaración Americana: Toda persona tiene derecho a la nacionalidad que legalmente le corresponda y el de cambiarla, si así lo desea, por la de cualquier otro país que esté dispuesto a otorgársela.</w:t>
      </w:r>
    </w:p>
    <w:p w14:paraId="316B2922" w14:textId="77777777" w:rsidR="009624E3" w:rsidRPr="00960EB4" w:rsidRDefault="009624E3">
      <w:pPr>
        <w:pStyle w:val="FootnoteText"/>
        <w:rPr>
          <w:lang w:val="es-ES"/>
        </w:rPr>
      </w:pPr>
      <w:r>
        <w:rPr>
          <w:lang w:val="es-ES"/>
        </w:rPr>
        <w:t xml:space="preserve">Artículo VIII de la Declaración Americana: Toda persona tiene el derecho de fijar su residencia en el territorio del Estado de que es nacional, de transitar por él libremente y no abandonarlo sino por su voluntad. </w:t>
      </w:r>
    </w:p>
  </w:footnote>
  <w:footnote w:id="138">
    <w:p w14:paraId="7715BA7D" w14:textId="77777777" w:rsidR="009624E3" w:rsidRPr="00345290" w:rsidRDefault="009624E3" w:rsidP="00227DDF">
      <w:pPr>
        <w:pStyle w:val="FootnoteText"/>
        <w:rPr>
          <w:lang w:val="es-ES"/>
        </w:rPr>
      </w:pPr>
      <w:r>
        <w:rPr>
          <w:rStyle w:val="FootnoteReference"/>
        </w:rPr>
        <w:footnoteRef/>
      </w:r>
      <w:r w:rsidRPr="00345290">
        <w:rPr>
          <w:lang w:val="pt-BR"/>
        </w:rPr>
        <w:t xml:space="preserve"> Corte IDH. Caso Gelman Vs. </w:t>
      </w:r>
      <w:r>
        <w:rPr>
          <w:lang w:val="es-ES"/>
        </w:rPr>
        <w:t>Uruguay. Fondo y Reparaciones. Sentencia de 24 de febrero de 2011. Serie C No. 221, p</w:t>
      </w:r>
      <w:r w:rsidRPr="00953885">
        <w:rPr>
          <w:lang w:val="es-ES"/>
        </w:rPr>
        <w:t>árr.</w:t>
      </w:r>
      <w:r>
        <w:rPr>
          <w:lang w:val="es-ES"/>
        </w:rPr>
        <w:t xml:space="preserve"> 120.</w:t>
      </w:r>
    </w:p>
  </w:footnote>
  <w:footnote w:id="139">
    <w:p w14:paraId="17A05602" w14:textId="77777777" w:rsidR="009624E3" w:rsidRPr="004B2166" w:rsidRDefault="009624E3" w:rsidP="00227DDF">
      <w:pPr>
        <w:pStyle w:val="FootnoteText"/>
        <w:rPr>
          <w:lang w:val="es-ES"/>
        </w:rPr>
      </w:pPr>
      <w:r>
        <w:rPr>
          <w:rStyle w:val="FootnoteReference"/>
        </w:rPr>
        <w:footnoteRef/>
      </w:r>
      <w:r w:rsidRPr="008840F5">
        <w:rPr>
          <w:lang w:val="es-ES"/>
        </w:rPr>
        <w:t xml:space="preserve"> Corte IDH. Caso Gelman Vs. </w:t>
      </w:r>
      <w:r>
        <w:rPr>
          <w:lang w:val="es-ES"/>
        </w:rPr>
        <w:t>Uruguay. Fondo y Reparaciones. Sentencia de 24 de febrero de 2011. Serie C No. 221, p</w:t>
      </w:r>
      <w:r w:rsidRPr="00953885">
        <w:rPr>
          <w:lang w:val="es-ES"/>
        </w:rPr>
        <w:t>árr.</w:t>
      </w:r>
      <w:r>
        <w:rPr>
          <w:lang w:val="es-ES"/>
        </w:rPr>
        <w:t xml:space="preserve"> 122.</w:t>
      </w:r>
    </w:p>
  </w:footnote>
  <w:footnote w:id="140">
    <w:p w14:paraId="7D10434B" w14:textId="77777777" w:rsidR="009624E3" w:rsidRPr="00227DDF" w:rsidRDefault="009624E3" w:rsidP="00227DDF">
      <w:pPr>
        <w:pStyle w:val="FootnoteText"/>
        <w:rPr>
          <w:lang w:val="es-ES"/>
        </w:rPr>
      </w:pPr>
      <w:r>
        <w:rPr>
          <w:rStyle w:val="FootnoteReference"/>
        </w:rPr>
        <w:footnoteRef/>
      </w:r>
      <w:r w:rsidRPr="00227DDF">
        <w:rPr>
          <w:lang w:val="es-ES"/>
        </w:rPr>
        <w:t xml:space="preserve"> Corte IDH. Caso Gelman Vs. </w:t>
      </w:r>
      <w:r>
        <w:rPr>
          <w:lang w:val="es-ES"/>
        </w:rPr>
        <w:t>Uruguay. Fondo y Reparaciones. Sentencia de 24 de febrero de 2011. Serie C No. 221, p</w:t>
      </w:r>
      <w:r w:rsidRPr="00953885">
        <w:rPr>
          <w:lang w:val="es-ES"/>
        </w:rPr>
        <w:t>árr.</w:t>
      </w:r>
      <w:r>
        <w:rPr>
          <w:lang w:val="es-ES"/>
        </w:rPr>
        <w:t xml:space="preserve"> 123.</w:t>
      </w:r>
    </w:p>
  </w:footnote>
  <w:footnote w:id="141">
    <w:p w14:paraId="73F299C4" w14:textId="77777777" w:rsidR="009624E3" w:rsidRDefault="009624E3" w:rsidP="00227DDF">
      <w:pPr>
        <w:pStyle w:val="FootnoteText"/>
        <w:rPr>
          <w:lang w:val="es-CO"/>
        </w:rPr>
      </w:pPr>
      <w:r w:rsidRPr="009C20F9">
        <w:rPr>
          <w:rStyle w:val="FootnoteReference"/>
        </w:rPr>
        <w:footnoteRef/>
      </w:r>
      <w:r>
        <w:rPr>
          <w:lang w:val="es-ES"/>
        </w:rPr>
        <w:t xml:space="preserve"> </w:t>
      </w:r>
      <w:r w:rsidRPr="00227DDF">
        <w:rPr>
          <w:lang w:val="es-ES"/>
        </w:rPr>
        <w:t xml:space="preserve">OEA, “Programa Interamericano para el Registro Civil Universal y ‘Derecho a la Identidad’”, </w:t>
      </w:r>
      <w:r>
        <w:rPr>
          <w:lang w:val="es-ES"/>
        </w:rPr>
        <w:t>R</w:t>
      </w:r>
      <w:r w:rsidRPr="00227DDF">
        <w:rPr>
          <w:lang w:val="es-ES"/>
        </w:rPr>
        <w:t xml:space="preserve">esolución AG/RES. 2286 (XXXVII-O/07) de 5 de junio de 2007; </w:t>
      </w:r>
      <w:r>
        <w:rPr>
          <w:lang w:val="es-ES"/>
        </w:rPr>
        <w:t>R</w:t>
      </w:r>
      <w:r w:rsidRPr="00227DDF">
        <w:rPr>
          <w:lang w:val="es-ES"/>
        </w:rPr>
        <w:t xml:space="preserve">esolución AG/RES. 2362 (XXXVIII-O/08) de 3 de junio de 2008, y </w:t>
      </w:r>
      <w:r>
        <w:rPr>
          <w:lang w:val="es-ES"/>
        </w:rPr>
        <w:t>R</w:t>
      </w:r>
      <w:r w:rsidRPr="00227DDF">
        <w:rPr>
          <w:lang w:val="es-ES"/>
        </w:rPr>
        <w:t xml:space="preserve">esolución AG/RES. 2602 (XL-O/10), sobre seguimiento al programa, de 8 de junio de 2010. Sobre ese aspecto el </w:t>
      </w:r>
      <w:r w:rsidRPr="009C20F9">
        <w:rPr>
          <w:lang w:val="es-CO"/>
        </w:rPr>
        <w:t xml:space="preserve">Comité Jurídico Interamericano </w:t>
      </w:r>
      <w:r>
        <w:rPr>
          <w:lang w:val="es-CO"/>
        </w:rPr>
        <w:t>consideró</w:t>
      </w:r>
      <w:r w:rsidRPr="009C20F9">
        <w:rPr>
          <w:lang w:val="es-CO"/>
        </w:rPr>
        <w:t xml:space="preserve"> que la Convención Americana sobre Derechos Humanos, si bien no consagra el derecho a la identidad bajo ese nombre expresamente, s</w:t>
      </w:r>
      <w:r>
        <w:rPr>
          <w:lang w:val="es-CO"/>
        </w:rPr>
        <w:t>í</w:t>
      </w:r>
      <w:r w:rsidRPr="009C20F9">
        <w:rPr>
          <w:lang w:val="es-CO"/>
        </w:rPr>
        <w:t xml:space="preserve"> incluye, como se ha visto, el derecho al nombre, el derecho a la nacionalidad y el derecho relativo a la protección de la familia. </w:t>
      </w:r>
      <w:r>
        <w:rPr>
          <w:lang w:val="es-CO"/>
        </w:rPr>
        <w:t xml:space="preserve">Al respecto, </w:t>
      </w:r>
      <w:r w:rsidRPr="009C20F9">
        <w:rPr>
          <w:lang w:val="es-CO"/>
        </w:rPr>
        <w:t>Comité Jurídico Interamericano</w:t>
      </w:r>
      <w:r>
        <w:rPr>
          <w:lang w:val="es-CO"/>
        </w:rPr>
        <w:t>, Opinión “sobre el alcance del derecho a la identidad”,</w:t>
      </w:r>
      <w:r w:rsidRPr="009C20F9">
        <w:rPr>
          <w:lang w:val="es-CO"/>
        </w:rPr>
        <w:t xml:space="preserve"> </w:t>
      </w:r>
      <w:r>
        <w:rPr>
          <w:lang w:val="es-CO"/>
        </w:rPr>
        <w:t xml:space="preserve">resolución CJI/doc. 276/07 rev. 1, de 10 de agosto de 2007, párrs. 11.2 y 18.3.3, ratificada mediante </w:t>
      </w:r>
      <w:r w:rsidRPr="009C20F9">
        <w:rPr>
          <w:lang w:val="es-CO"/>
        </w:rPr>
        <w:t>resolución CJI/RES.137 (LXXI-O/07)</w:t>
      </w:r>
      <w:r>
        <w:rPr>
          <w:lang w:val="es-CO"/>
        </w:rPr>
        <w:t>, de 10 de agosto de 2010</w:t>
      </w:r>
      <w:r w:rsidRPr="009C20F9">
        <w:rPr>
          <w:lang w:val="es-CO"/>
        </w:rPr>
        <w:t>.</w:t>
      </w:r>
    </w:p>
  </w:footnote>
  <w:footnote w:id="142">
    <w:p w14:paraId="3D01E86B" w14:textId="77777777" w:rsidR="009624E3" w:rsidRDefault="009624E3" w:rsidP="00227DDF">
      <w:pPr>
        <w:pStyle w:val="FootnoteText"/>
        <w:rPr>
          <w:lang w:val="es-CO"/>
        </w:rPr>
      </w:pPr>
      <w:r w:rsidRPr="009C20F9">
        <w:rPr>
          <w:rStyle w:val="FootnoteReference"/>
        </w:rPr>
        <w:footnoteRef/>
      </w:r>
      <w:r w:rsidRPr="00227DDF">
        <w:rPr>
          <w:lang w:val="es-CO"/>
        </w:rPr>
        <w:t xml:space="preserve"> </w:t>
      </w:r>
      <w:r w:rsidRPr="00227DDF">
        <w:rPr>
          <w:lang w:val="es-ES"/>
        </w:rPr>
        <w:t xml:space="preserve">OEA, “Programa Interamericano para el Registro Civil Universal y ‘Derecho a la Identidad’”, </w:t>
      </w:r>
      <w:r>
        <w:rPr>
          <w:lang w:val="es-ES"/>
        </w:rPr>
        <w:t>R</w:t>
      </w:r>
      <w:r w:rsidRPr="00227DDF">
        <w:rPr>
          <w:lang w:val="es-ES"/>
        </w:rPr>
        <w:t xml:space="preserve">esolución AG/RES. 2286 (XXXVII-O/07) de 5 de junio de 2007; </w:t>
      </w:r>
      <w:r>
        <w:rPr>
          <w:lang w:val="es-ES"/>
        </w:rPr>
        <w:t>R</w:t>
      </w:r>
      <w:r w:rsidRPr="00227DDF">
        <w:rPr>
          <w:lang w:val="es-ES"/>
        </w:rPr>
        <w:t xml:space="preserve">esolución AG/RES. 2362 (XXXVIII-O/08) de 3 de junio de 2008, y </w:t>
      </w:r>
      <w:r>
        <w:rPr>
          <w:lang w:val="es-ES"/>
        </w:rPr>
        <w:t>R</w:t>
      </w:r>
      <w:r w:rsidRPr="00227DDF">
        <w:rPr>
          <w:lang w:val="es-ES"/>
        </w:rPr>
        <w:t>esolución AG/RES. 2602 (XL-O/10), sobre seguimiento al programa, de 8 de junio de 2010.</w:t>
      </w:r>
    </w:p>
  </w:footnote>
  <w:footnote w:id="143">
    <w:p w14:paraId="0D3E2039" w14:textId="77777777" w:rsidR="009624E3" w:rsidRPr="00303AFA" w:rsidRDefault="009624E3" w:rsidP="00601CA8">
      <w:pPr>
        <w:pStyle w:val="FootnoteText"/>
        <w:rPr>
          <w:lang w:val="es-ES"/>
        </w:rPr>
      </w:pPr>
      <w:r>
        <w:rPr>
          <w:rStyle w:val="FootnoteReference"/>
        </w:rPr>
        <w:footnoteRef/>
      </w:r>
      <w:r w:rsidRPr="00227DDF">
        <w:rPr>
          <w:lang w:val="pt-BR"/>
        </w:rPr>
        <w:t xml:space="preserve"> Corte IDH. </w:t>
      </w:r>
      <w:r w:rsidRPr="00345290">
        <w:rPr>
          <w:lang w:val="pt-BR"/>
        </w:rPr>
        <w:t xml:space="preserve">Caso Gelman Vs. </w:t>
      </w:r>
      <w:r>
        <w:rPr>
          <w:lang w:val="es-ES"/>
        </w:rPr>
        <w:t>Uruguay. Fondo y Reparaciones. Sentencia de 24 de febrero de 2011. Serie C No. 221, p</w:t>
      </w:r>
      <w:r w:rsidRPr="00953885">
        <w:rPr>
          <w:lang w:val="es-ES"/>
        </w:rPr>
        <w:t>árr.</w:t>
      </w:r>
      <w:r>
        <w:rPr>
          <w:lang w:val="es-ES"/>
        </w:rPr>
        <w:t xml:space="preserve"> 124.</w:t>
      </w:r>
    </w:p>
  </w:footnote>
  <w:footnote w:id="144">
    <w:p w14:paraId="2366EBE6" w14:textId="77777777" w:rsidR="009624E3" w:rsidRPr="009A405E" w:rsidRDefault="009624E3" w:rsidP="00601CA8">
      <w:pPr>
        <w:pStyle w:val="FootnoteText"/>
        <w:rPr>
          <w:lang w:val="es-ES"/>
        </w:rPr>
      </w:pPr>
      <w:r w:rsidRPr="0049030E">
        <w:rPr>
          <w:rStyle w:val="FootnoteReference"/>
        </w:rPr>
        <w:footnoteRef/>
      </w:r>
      <w:r>
        <w:rPr>
          <w:lang w:val="es-CO"/>
        </w:rPr>
        <w:t xml:space="preserve"> Artículo 24.2 d</w:t>
      </w:r>
      <w:r w:rsidRPr="0049030E">
        <w:rPr>
          <w:lang w:val="es-ES"/>
        </w:rPr>
        <w:t xml:space="preserve">el Pacto Internacional de los Derechos Civiles y Políticos; </w:t>
      </w:r>
      <w:r>
        <w:rPr>
          <w:lang w:val="es-ES"/>
        </w:rPr>
        <w:t xml:space="preserve">artículo 7.1 de la </w:t>
      </w:r>
      <w:r w:rsidRPr="0049030E">
        <w:rPr>
          <w:lang w:val="es-ES"/>
        </w:rPr>
        <w:t>Convención sobre los Derechos del Niño;</w:t>
      </w:r>
      <w:r>
        <w:rPr>
          <w:lang w:val="es-ES"/>
        </w:rPr>
        <w:t xml:space="preserve"> artículo 6.1 de la Carta Africana sobre los Derechos y Bienestar </w:t>
      </w:r>
      <w:r w:rsidRPr="00895ED9">
        <w:rPr>
          <w:lang w:val="es-ES"/>
        </w:rPr>
        <w:t>del Niño;</w:t>
      </w:r>
      <w:r>
        <w:rPr>
          <w:lang w:val="es-ES"/>
        </w:rPr>
        <w:t xml:space="preserve"> </w:t>
      </w:r>
      <w:r w:rsidRPr="00895ED9">
        <w:rPr>
          <w:lang w:val="es-CO"/>
        </w:rPr>
        <w:t>artículo 29 de la Convención</w:t>
      </w:r>
      <w:r w:rsidRPr="0049030E">
        <w:rPr>
          <w:lang w:val="es-CO"/>
        </w:rPr>
        <w:t xml:space="preserve"> Internacional sobre la Protección de los Derechos de Todos los Trabajadores Migratorios y de sus Familiares</w:t>
      </w:r>
      <w:r>
        <w:rPr>
          <w:lang w:val="es-CO"/>
        </w:rPr>
        <w:t>; y artículo 18.2 de la Convención sobre los Derechos de las Personas con Discapacidad</w:t>
      </w:r>
      <w:r w:rsidRPr="0049030E">
        <w:rPr>
          <w:lang w:val="es-ES"/>
        </w:rPr>
        <w:t>.</w:t>
      </w:r>
    </w:p>
  </w:footnote>
  <w:footnote w:id="145">
    <w:p w14:paraId="3E748B14" w14:textId="77777777" w:rsidR="009624E3" w:rsidRPr="00C9572B" w:rsidRDefault="009624E3" w:rsidP="00601CA8">
      <w:pPr>
        <w:pStyle w:val="FootnoteText"/>
        <w:rPr>
          <w:lang w:val="es-ES"/>
        </w:rPr>
      </w:pPr>
      <w:r>
        <w:rPr>
          <w:rStyle w:val="FootnoteReference"/>
        </w:rPr>
        <w:footnoteRef/>
      </w:r>
      <w:r w:rsidRPr="00C9572B">
        <w:rPr>
          <w:lang w:val="es-ES"/>
        </w:rPr>
        <w:t xml:space="preserve"> </w:t>
      </w:r>
      <w:r w:rsidRPr="00C9572B">
        <w:rPr>
          <w:rStyle w:val="hit1"/>
          <w:rFonts w:eastAsia="Batang"/>
          <w:color w:val="auto"/>
          <w:lang w:val="es-ES"/>
        </w:rPr>
        <w:t>T.E.D.H., Caso Stjerna</w:t>
      </w:r>
      <w:r w:rsidRPr="00C9572B">
        <w:rPr>
          <w:color w:val="auto"/>
          <w:lang w:val="es-ES"/>
        </w:rPr>
        <w:t xml:space="preserve"> </w:t>
      </w:r>
      <w:r>
        <w:rPr>
          <w:color w:val="auto"/>
          <w:lang w:val="es-ES"/>
        </w:rPr>
        <w:t>vs.</w:t>
      </w:r>
      <w:r w:rsidRPr="00C9572B">
        <w:rPr>
          <w:color w:val="auto"/>
          <w:lang w:val="es-ES"/>
        </w:rPr>
        <w:t xml:space="preserve"> Finlandia, Sentencia del </w:t>
      </w:r>
      <w:r w:rsidRPr="00C9572B">
        <w:rPr>
          <w:lang w:val="es-ES"/>
        </w:rPr>
        <w:t xml:space="preserve">25 de noviembre de 1994, párr. 37; y T.E.D.H., Caso Burghartz vs. Suiza, Sentencia del 22 de febrero de 1994, párr. </w:t>
      </w:r>
      <w:r>
        <w:rPr>
          <w:lang w:val="es-ES"/>
        </w:rPr>
        <w:t>24.</w:t>
      </w:r>
    </w:p>
  </w:footnote>
  <w:footnote w:id="146">
    <w:p w14:paraId="180864C5" w14:textId="77777777" w:rsidR="009624E3" w:rsidRPr="0049030E" w:rsidRDefault="009624E3" w:rsidP="00FC0BC3">
      <w:pPr>
        <w:pStyle w:val="FootnoteText"/>
        <w:rPr>
          <w:rFonts w:cs="Verdana"/>
          <w:bCs/>
          <w:lang w:val="es-MX"/>
        </w:rPr>
      </w:pPr>
      <w:r w:rsidRPr="0049030E">
        <w:rPr>
          <w:rStyle w:val="FootnoteReference"/>
          <w:rFonts w:cs="Verdana"/>
        </w:rPr>
        <w:footnoteRef/>
      </w:r>
      <w:r>
        <w:rPr>
          <w:rFonts w:cs="Verdana"/>
          <w:bCs/>
          <w:lang w:val="es-CO"/>
        </w:rPr>
        <w:t xml:space="preserve"> Corte </w:t>
      </w:r>
      <w:r w:rsidRPr="00695ECF">
        <w:rPr>
          <w:rFonts w:cs="Verdana"/>
          <w:bCs/>
          <w:lang w:val="es-CO"/>
        </w:rPr>
        <w:t xml:space="preserve">IDH. </w:t>
      </w:r>
      <w:r w:rsidRPr="00695ECF">
        <w:rPr>
          <w:bCs/>
          <w:lang w:val="es-MX"/>
        </w:rPr>
        <w:t>Caso de las Niñas Yean y Bosico</w:t>
      </w:r>
      <w:r>
        <w:rPr>
          <w:bCs/>
          <w:lang w:val="es-MX"/>
        </w:rPr>
        <w:t xml:space="preserve"> Vs. República Dominicana. Sentencia de 8 de septiembre de 2005. Serie C No. 130</w:t>
      </w:r>
      <w:r w:rsidRPr="00695ECF">
        <w:rPr>
          <w:bCs/>
          <w:lang w:val="es-MX"/>
        </w:rPr>
        <w:t>,</w:t>
      </w:r>
      <w:r w:rsidRPr="00357B56">
        <w:rPr>
          <w:bCs/>
          <w:lang w:val="es-MX"/>
        </w:rPr>
        <w:t xml:space="preserve"> </w:t>
      </w:r>
      <w:r w:rsidRPr="00357B56">
        <w:rPr>
          <w:lang w:val="es-MX"/>
        </w:rPr>
        <w:t>párr</w:t>
      </w:r>
      <w:r>
        <w:rPr>
          <w:lang w:val="es-MX"/>
        </w:rPr>
        <w:t>s</w:t>
      </w:r>
      <w:r w:rsidRPr="00357B56">
        <w:rPr>
          <w:lang w:val="es-MX"/>
        </w:rPr>
        <w:t>. 18</w:t>
      </w:r>
      <w:r>
        <w:rPr>
          <w:lang w:val="es-MX"/>
        </w:rPr>
        <w:t>2 y 18</w:t>
      </w:r>
      <w:r w:rsidRPr="00357B56">
        <w:rPr>
          <w:lang w:val="es-MX"/>
        </w:rPr>
        <w:t>4</w:t>
      </w:r>
      <w:r w:rsidRPr="0049030E">
        <w:rPr>
          <w:rFonts w:cs="Verdana"/>
          <w:bCs/>
          <w:lang w:val="es-MX"/>
        </w:rPr>
        <w:t>.</w:t>
      </w:r>
    </w:p>
  </w:footnote>
  <w:footnote w:id="147">
    <w:p w14:paraId="150E9FA1" w14:textId="77777777" w:rsidR="009624E3" w:rsidRPr="00695ECF" w:rsidRDefault="009624E3" w:rsidP="00FC0BC3">
      <w:pPr>
        <w:pStyle w:val="FootnoteText"/>
        <w:rPr>
          <w:lang w:val="es-ES"/>
        </w:rPr>
      </w:pPr>
      <w:r>
        <w:rPr>
          <w:rStyle w:val="FootnoteReference"/>
        </w:rPr>
        <w:footnoteRef/>
      </w:r>
      <w:r w:rsidRPr="00695ECF">
        <w:rPr>
          <w:lang w:val="pt-BR"/>
        </w:rPr>
        <w:t xml:space="preserve"> </w:t>
      </w:r>
      <w:r w:rsidRPr="00345290">
        <w:rPr>
          <w:lang w:val="pt-BR"/>
        </w:rPr>
        <w:t xml:space="preserve">Corte IDH. Caso Gelman Vs. </w:t>
      </w:r>
      <w:r>
        <w:rPr>
          <w:lang w:val="es-ES"/>
        </w:rPr>
        <w:t>Uruguay. Fondo y Reparaciones. Sentencia de 24 de febrero de 2011. Serie C No. 221, p</w:t>
      </w:r>
      <w:r w:rsidRPr="00953885">
        <w:rPr>
          <w:lang w:val="es-ES"/>
        </w:rPr>
        <w:t>árr.</w:t>
      </w:r>
      <w:r>
        <w:rPr>
          <w:lang w:val="es-ES"/>
        </w:rPr>
        <w:t xml:space="preserve"> 127.</w:t>
      </w:r>
    </w:p>
  </w:footnote>
  <w:footnote w:id="148">
    <w:p w14:paraId="6D0E9098" w14:textId="77777777" w:rsidR="009624E3" w:rsidRPr="00601CA8" w:rsidRDefault="009624E3" w:rsidP="00FC0BC3">
      <w:pPr>
        <w:pStyle w:val="FootnoteText"/>
        <w:rPr>
          <w:lang w:val="es-ES"/>
        </w:rPr>
      </w:pPr>
      <w:r>
        <w:rPr>
          <w:rStyle w:val="FootnoteReference"/>
        </w:rPr>
        <w:footnoteRef/>
      </w:r>
      <w:r w:rsidRPr="008840F5">
        <w:rPr>
          <w:lang w:val="es-ES"/>
        </w:rPr>
        <w:t xml:space="preserve"> Corte IDH. Caso Gelman Vs. </w:t>
      </w:r>
      <w:r>
        <w:rPr>
          <w:lang w:val="es-ES"/>
        </w:rPr>
        <w:t>Uruguay. Fondo y Reparaciones. Sentencia de 24 de febrero de 2011. Serie C No. 221, p</w:t>
      </w:r>
      <w:r w:rsidRPr="00953885">
        <w:rPr>
          <w:lang w:val="es-ES"/>
        </w:rPr>
        <w:t>árr.</w:t>
      </w:r>
      <w:r>
        <w:rPr>
          <w:lang w:val="es-ES"/>
        </w:rPr>
        <w:t xml:space="preserve"> 135.</w:t>
      </w:r>
    </w:p>
  </w:footnote>
  <w:footnote w:id="149">
    <w:p w14:paraId="62CDFE65" w14:textId="77777777" w:rsidR="009624E3" w:rsidRPr="00A40292" w:rsidRDefault="009624E3" w:rsidP="00FC0BC3">
      <w:pPr>
        <w:pStyle w:val="FootnoteText"/>
        <w:rPr>
          <w:lang w:val="es-ES"/>
        </w:rPr>
      </w:pPr>
      <w:r>
        <w:rPr>
          <w:rStyle w:val="FootnoteReference"/>
        </w:rPr>
        <w:footnoteRef/>
      </w:r>
      <w:r w:rsidRPr="00A40292">
        <w:rPr>
          <w:lang w:val="es-ES"/>
        </w:rPr>
        <w:t xml:space="preserve"> </w:t>
      </w:r>
      <w:r>
        <w:rPr>
          <w:lang w:val="es-ES"/>
        </w:rPr>
        <w:t xml:space="preserve">CIDH. </w:t>
      </w:r>
      <w:r w:rsidRPr="0087668C">
        <w:rPr>
          <w:rFonts w:ascii="Cambria" w:hAnsi="Cambria"/>
          <w:lang w:val="de-DE"/>
        </w:rPr>
        <w:t>Demanda ante la Corte Interamericana</w:t>
      </w:r>
      <w:r>
        <w:rPr>
          <w:rFonts w:ascii="Cambria" w:hAnsi="Cambria"/>
          <w:lang w:val="de-DE"/>
        </w:rPr>
        <w:t>.</w:t>
      </w:r>
      <w:r w:rsidRPr="0087668C">
        <w:rPr>
          <w:rFonts w:ascii="Cambria" w:hAnsi="Cambria"/>
          <w:lang w:val="de-DE"/>
        </w:rPr>
        <w:t xml:space="preserve"> Caso No. 12.517</w:t>
      </w:r>
      <w:r>
        <w:rPr>
          <w:rFonts w:ascii="Cambria" w:hAnsi="Cambria"/>
          <w:lang w:val="de-DE"/>
        </w:rPr>
        <w:t>.</w:t>
      </w:r>
      <w:r w:rsidRPr="0087668C">
        <w:rPr>
          <w:rFonts w:ascii="Cambria" w:hAnsi="Cambria"/>
          <w:lang w:val="de-DE"/>
        </w:rPr>
        <w:t xml:space="preserve"> Gregoria Herminia Contreras y otros, El Salvador, 28 de junio de 2010,</w:t>
      </w:r>
      <w:r>
        <w:rPr>
          <w:rFonts w:ascii="Cambria" w:hAnsi="Cambria"/>
          <w:lang w:val="de-DE"/>
        </w:rPr>
        <w:t xml:space="preserve"> p</w:t>
      </w:r>
      <w:r>
        <w:rPr>
          <w:lang w:val="es-ES"/>
        </w:rPr>
        <w:t>árr. 118.</w:t>
      </w:r>
    </w:p>
  </w:footnote>
  <w:footnote w:id="150">
    <w:p w14:paraId="13A5472E" w14:textId="77777777" w:rsidR="009624E3" w:rsidRPr="00BE4AE6" w:rsidRDefault="009624E3">
      <w:pPr>
        <w:pStyle w:val="FootnoteText"/>
        <w:rPr>
          <w:lang w:val="es-ES"/>
        </w:rPr>
      </w:pPr>
      <w:r>
        <w:rPr>
          <w:rStyle w:val="FootnoteReference"/>
        </w:rPr>
        <w:footnoteRef/>
      </w:r>
      <w:r w:rsidRPr="00BE4AE6">
        <w:rPr>
          <w:lang w:val="es-ES"/>
        </w:rPr>
        <w:t xml:space="preserve"> </w:t>
      </w:r>
      <w:r>
        <w:rPr>
          <w:lang w:val="es-ES"/>
        </w:rPr>
        <w:t>CIDH. Derechos humanos de migrantes, refugiados, apátridas, víctimas de trata de personas y desplazados internos: Normas y Estándares del Sistema Interamericano de Derechos Humanos. OEA/Ser.L/V/II.Doc.46/15. Diciembre 2015, párr. 467.</w:t>
      </w:r>
    </w:p>
  </w:footnote>
  <w:footnote w:id="151">
    <w:p w14:paraId="46A8650F" w14:textId="77777777" w:rsidR="009624E3" w:rsidRPr="00BB1D64" w:rsidRDefault="009624E3">
      <w:pPr>
        <w:pStyle w:val="FootnoteText"/>
        <w:rPr>
          <w:lang w:val="es-ES"/>
        </w:rPr>
      </w:pPr>
      <w:r>
        <w:rPr>
          <w:rStyle w:val="FootnoteReference"/>
        </w:rPr>
        <w:footnoteRef/>
      </w:r>
      <w:r w:rsidRPr="00BB1D64">
        <w:rPr>
          <w:lang w:val="es-ES"/>
        </w:rPr>
        <w:t xml:space="preserve"> </w:t>
      </w:r>
      <w:r>
        <w:rPr>
          <w:lang w:val="es-ES"/>
        </w:rPr>
        <w:t>CIDH. Derechos humanos de migrantes, refugiados, apátridas, víctimas de trata de personas y desplazados internos: Normas y Estándares del Sistema Interamericano de Derechos Humanos. OEA/Ser.L/V/II.Doc.46/15. Diciembre 2015, párr. 470.</w:t>
      </w:r>
    </w:p>
  </w:footnote>
  <w:footnote w:id="152">
    <w:p w14:paraId="4539D6E0" w14:textId="77777777" w:rsidR="009624E3" w:rsidRPr="0049030E" w:rsidRDefault="009624E3" w:rsidP="00FC0BC3">
      <w:pPr>
        <w:pStyle w:val="FootnoteText"/>
        <w:rPr>
          <w:lang w:val="es-CR"/>
        </w:rPr>
      </w:pPr>
      <w:r w:rsidRPr="0049030E">
        <w:rPr>
          <w:rStyle w:val="FootnoteReference"/>
        </w:rPr>
        <w:footnoteRef/>
      </w:r>
      <w:r>
        <w:rPr>
          <w:rFonts w:cs="Verdana"/>
          <w:bCs/>
          <w:lang w:val="es-CO"/>
        </w:rPr>
        <w:t xml:space="preserve"> Corte </w:t>
      </w:r>
      <w:r w:rsidRPr="00695ECF">
        <w:rPr>
          <w:rFonts w:cs="Verdana"/>
          <w:bCs/>
          <w:lang w:val="es-CO"/>
        </w:rPr>
        <w:t xml:space="preserve">IDH. </w:t>
      </w:r>
      <w:r w:rsidRPr="00695ECF">
        <w:rPr>
          <w:bCs/>
          <w:lang w:val="es-MX"/>
        </w:rPr>
        <w:t>Caso de las Niñas Yean y Bosico</w:t>
      </w:r>
      <w:r>
        <w:rPr>
          <w:bCs/>
          <w:lang w:val="es-MX"/>
        </w:rPr>
        <w:t xml:space="preserve"> Vs. República Dominicana. Sentencia de 8 de septiembre de 2005. Serie C No. 130</w:t>
      </w:r>
      <w:r w:rsidRPr="00695ECF">
        <w:rPr>
          <w:bCs/>
          <w:lang w:val="es-MX"/>
        </w:rPr>
        <w:t>,</w:t>
      </w:r>
      <w:r w:rsidRPr="00357B56">
        <w:rPr>
          <w:bCs/>
          <w:lang w:val="es-MX"/>
        </w:rPr>
        <w:t xml:space="preserve"> </w:t>
      </w:r>
      <w:r>
        <w:rPr>
          <w:lang w:val="es-MX"/>
        </w:rPr>
        <w:t>párr. 137-</w:t>
      </w:r>
      <w:r>
        <w:rPr>
          <w:lang w:val="es-CO"/>
        </w:rPr>
        <w:t>139</w:t>
      </w:r>
      <w:r w:rsidRPr="0049030E">
        <w:rPr>
          <w:lang w:val="es-CO"/>
        </w:rPr>
        <w:t>.</w:t>
      </w:r>
    </w:p>
  </w:footnote>
  <w:footnote w:id="153">
    <w:p w14:paraId="56F534D4" w14:textId="77777777" w:rsidR="009624E3" w:rsidRPr="00114DD4" w:rsidRDefault="009624E3">
      <w:pPr>
        <w:pStyle w:val="FootnoteText"/>
        <w:rPr>
          <w:lang w:val="es-ES"/>
        </w:rPr>
      </w:pPr>
      <w:r>
        <w:rPr>
          <w:rStyle w:val="FootnoteReference"/>
        </w:rPr>
        <w:footnoteRef/>
      </w:r>
      <w:r w:rsidRPr="008840F5">
        <w:rPr>
          <w:lang w:val="es-ES"/>
        </w:rPr>
        <w:t xml:space="preserve"> Corte IDH. Caso Gelman Vs. </w:t>
      </w:r>
      <w:r>
        <w:rPr>
          <w:lang w:val="es-ES"/>
        </w:rPr>
        <w:t>Uruguay. Fondo y Reparaciones. Sentencia de 24 de febrero de 2011. Serie C No. 221, p</w:t>
      </w:r>
      <w:r w:rsidRPr="00953885">
        <w:rPr>
          <w:lang w:val="es-ES"/>
        </w:rPr>
        <w:t>árr.</w:t>
      </w:r>
      <w:r>
        <w:rPr>
          <w:lang w:val="es-ES"/>
        </w:rPr>
        <w:t xml:space="preserve"> 128.</w:t>
      </w:r>
    </w:p>
  </w:footnote>
  <w:footnote w:id="154">
    <w:p w14:paraId="17F8809C" w14:textId="77777777" w:rsidR="009624E3" w:rsidRPr="00663FDD" w:rsidRDefault="009624E3" w:rsidP="00D47D84">
      <w:pPr>
        <w:pStyle w:val="FootnoteText"/>
        <w:mirrorIndents/>
        <w:rPr>
          <w:lang w:val="es-US"/>
        </w:rPr>
      </w:pPr>
      <w:r w:rsidRPr="00663FDD">
        <w:rPr>
          <w:rStyle w:val="FootnoteReference"/>
        </w:rPr>
        <w:footnoteRef/>
      </w:r>
      <w:r w:rsidRPr="00663FDD">
        <w:rPr>
          <w:lang w:val="es-US"/>
        </w:rPr>
        <w:t xml:space="preserve"> </w:t>
      </w:r>
      <w:r w:rsidRPr="00663FDD">
        <w:rPr>
          <w:lang w:val="es-ES_tradnl"/>
        </w:rPr>
        <w:t>Artículo 8 de la Convención Americana: “</w:t>
      </w:r>
      <w:r w:rsidRPr="00663FDD">
        <w:rPr>
          <w:rFonts w:eastAsia="Times New Roman" w:cs="Tahoma"/>
          <w:lang w:val="es-ES"/>
        </w:rPr>
        <w:t xml:space="preserve">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 </w:t>
      </w:r>
      <w:r w:rsidRPr="00663FDD">
        <w:rPr>
          <w:rFonts w:cs="Tahoma"/>
          <w:lang w:val="es-ES_tradnl" w:eastAsia="es-ES_tradnl"/>
        </w:rPr>
        <w:t> 2. Toda persona inculpada de delito tiene derecho a que se presuma su inocencia mientras no se establezca legalmente su culpabilidad. […]</w:t>
      </w:r>
      <w:r w:rsidRPr="00663FDD">
        <w:rPr>
          <w:rFonts w:eastAsia="Times New Roman" w:cs="Tahoma"/>
          <w:lang w:val="es-ES"/>
        </w:rPr>
        <w:t xml:space="preserve">”. </w:t>
      </w:r>
    </w:p>
  </w:footnote>
  <w:footnote w:id="155">
    <w:p w14:paraId="336AA11C" w14:textId="77777777" w:rsidR="009624E3" w:rsidRPr="00663FDD" w:rsidRDefault="009624E3" w:rsidP="00D47D84">
      <w:pPr>
        <w:pStyle w:val="FootnoteText"/>
        <w:mirrorIndents/>
        <w:rPr>
          <w:lang w:val="es-US"/>
        </w:rPr>
      </w:pPr>
      <w:r w:rsidRPr="00663FDD">
        <w:rPr>
          <w:rStyle w:val="FootnoteReference"/>
        </w:rPr>
        <w:footnoteRef/>
      </w:r>
      <w:r w:rsidRPr="00663FDD">
        <w:rPr>
          <w:lang w:val="es-US"/>
        </w:rPr>
        <w:t xml:space="preserve"> </w:t>
      </w:r>
      <w:r w:rsidRPr="00663FDD">
        <w:rPr>
          <w:lang w:val="es-ES_tradnl"/>
        </w:rPr>
        <w:t>Artículo 25</w:t>
      </w:r>
      <w:r>
        <w:rPr>
          <w:lang w:val="es-ES_tradnl"/>
        </w:rPr>
        <w:t xml:space="preserve">.1 de la Convención Americana: </w:t>
      </w:r>
      <w:r w:rsidRPr="00663FDD">
        <w:rPr>
          <w:lang w:val="es-ES_tradnl"/>
        </w:rPr>
        <w:t>T</w:t>
      </w:r>
      <w:r w:rsidRPr="00663FDD">
        <w:rPr>
          <w:rFonts w:eastAsia="Times New Roman" w:cs="Tahoma"/>
          <w:lang w:val="es-ES"/>
        </w:rPr>
        <w:t xml:space="preserve">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 </w:t>
      </w:r>
    </w:p>
  </w:footnote>
  <w:footnote w:id="156">
    <w:p w14:paraId="1CB3911B" w14:textId="77777777" w:rsidR="009624E3" w:rsidRPr="005132B5" w:rsidRDefault="009624E3">
      <w:pPr>
        <w:pStyle w:val="FootnoteText"/>
        <w:rPr>
          <w:lang w:val="es-ES"/>
        </w:rPr>
      </w:pPr>
      <w:r>
        <w:rPr>
          <w:rStyle w:val="FootnoteReference"/>
        </w:rPr>
        <w:footnoteRef/>
      </w:r>
      <w:r w:rsidRPr="005132B5">
        <w:rPr>
          <w:lang w:val="es-ES"/>
        </w:rPr>
        <w:t xml:space="preserve"> </w:t>
      </w:r>
      <w:r>
        <w:rPr>
          <w:lang w:val="es-ES"/>
        </w:rPr>
        <w:t>Artículo 2 de la Convención Americana: Si en el ejercicio de los derechos y libertades mencionados en el artículo 1 no estuviere ya garantizado por disposiciones legislativas o de otro carácter, los Estados partes se comprometen a adoptar, con arreglo a sus procedimientos constitucionales y a las disposiciones de esta Convención, las medidas legislativas o de otro carácter que fueren necesarias para hacer efectivos tales derechos y libertades.</w:t>
      </w:r>
    </w:p>
  </w:footnote>
  <w:footnote w:id="157">
    <w:p w14:paraId="2FD27BCC" w14:textId="77777777" w:rsidR="009624E3" w:rsidRDefault="009624E3" w:rsidP="00CF18EF">
      <w:pPr>
        <w:pStyle w:val="FootnoteText"/>
        <w:mirrorIndents/>
        <w:rPr>
          <w:lang w:val="es-US"/>
        </w:rPr>
      </w:pPr>
      <w:r w:rsidRPr="00663FDD">
        <w:rPr>
          <w:rStyle w:val="FootnoteReference"/>
        </w:rPr>
        <w:footnoteRef/>
      </w:r>
      <w:r w:rsidRPr="00663FDD">
        <w:rPr>
          <w:lang w:val="es-US"/>
        </w:rPr>
        <w:t xml:space="preserve"> Artículo 1 de la CIPST: Los Estados partes se obligan a prevenir y sancionar la tortura en los términos de la presente Convención. </w:t>
      </w:r>
    </w:p>
    <w:p w14:paraId="38E4036C" w14:textId="77777777" w:rsidR="009624E3" w:rsidRDefault="009624E3" w:rsidP="00CF18EF">
      <w:pPr>
        <w:pStyle w:val="FootnoteText"/>
        <w:mirrorIndents/>
        <w:rPr>
          <w:lang w:val="es-US"/>
        </w:rPr>
      </w:pPr>
      <w:r w:rsidRPr="00663FDD">
        <w:rPr>
          <w:lang w:val="es-US"/>
        </w:rPr>
        <w:t>Artículo 6 de la CIPST: De conformidad con lo dispuesto en el artículo 1, los Estados partes tomarán medidas efectivas para prevenir y sancionar la tortura en el ámbito de su jurisdicción.//Los Estados partes se asegurarán de que todos los actos de tortura y los intentos de cometer tales actos constituyan delitos conforme a su derecho penal, estableciendo para castigarlos sanciones severas que tengan en cuenta su gravedad.// Igualmente, los Estados partes tomarán medidas efectivas para prevenir y sancionar, además, otros tratos o penas crueles, inhumanos o degradantes en el ámbito de su jurisdicción.</w:t>
      </w:r>
    </w:p>
    <w:p w14:paraId="1E64168F" w14:textId="77777777" w:rsidR="009624E3" w:rsidRPr="00663FDD" w:rsidRDefault="009624E3" w:rsidP="00CF18EF">
      <w:pPr>
        <w:pStyle w:val="FootnoteText"/>
        <w:mirrorIndents/>
        <w:rPr>
          <w:lang w:val="es-US"/>
        </w:rPr>
      </w:pPr>
      <w:r w:rsidRPr="00663FDD">
        <w:rPr>
          <w:lang w:val="es-US"/>
        </w:rPr>
        <w:t>Artículos 8 de la CIPST: Los Estados partes garantizarán a toda persona que denuncie haber sido sometida a tortura en el ámbito de su jurisdicción el derecho a que el caso sea examinado imparcialmente.// Asimismo, cuando exista denuncia o razón fundada para creer que se ha cometido un acto de tortura en el ámbito de su jurisdicción, los Estados partes garantizarán que sus respectivas autoridades procederán de oficio y de inmediato a realizar una investigación sobre el caso y a iniciar, cuando corresponda, el respectivo proceso penal.//Una vez agotado el ordenamiento jurídico interno del respectivo Estado y los recursos que éste prevé, el caso podrá ser sometido a instancias internacionales cuya competencia haya sido aceptada por ese Estado.</w:t>
      </w:r>
    </w:p>
  </w:footnote>
  <w:footnote w:id="158">
    <w:p w14:paraId="7121F9F4" w14:textId="527454F6" w:rsidR="009624E3" w:rsidRDefault="009624E3">
      <w:pPr>
        <w:pStyle w:val="FootnoteText"/>
        <w:rPr>
          <w:rFonts w:ascii="Cambria" w:eastAsia="Times New Roman" w:hAnsi="Cambria"/>
          <w:lang w:val="es-ES"/>
        </w:rPr>
      </w:pPr>
      <w:r>
        <w:rPr>
          <w:rStyle w:val="FootnoteReference"/>
        </w:rPr>
        <w:footnoteRef/>
      </w:r>
      <w:r w:rsidRPr="00F977A9">
        <w:rPr>
          <w:lang w:val="es-ES"/>
        </w:rPr>
        <w:t xml:space="preserve"> </w:t>
      </w:r>
      <w:r>
        <w:rPr>
          <w:lang w:val="es-ES"/>
        </w:rPr>
        <w:t xml:space="preserve">Artículo I inciso </w:t>
      </w:r>
      <w:r w:rsidRPr="0087668C">
        <w:rPr>
          <w:rFonts w:ascii="Cambria" w:eastAsia="Times New Roman" w:hAnsi="Cambria"/>
          <w:lang w:val="es-ES"/>
        </w:rPr>
        <w:t>b)</w:t>
      </w:r>
      <w:r>
        <w:rPr>
          <w:rFonts w:ascii="Cambria" w:eastAsia="Times New Roman" w:hAnsi="Cambria"/>
          <w:lang w:val="es-ES"/>
        </w:rPr>
        <w:t xml:space="preserve"> de la CIDFP:</w:t>
      </w:r>
      <w:r w:rsidRPr="0087668C">
        <w:rPr>
          <w:rFonts w:ascii="Cambria" w:eastAsia="Times New Roman" w:hAnsi="Cambria"/>
          <w:lang w:val="es-ES"/>
        </w:rPr>
        <w:t xml:space="preserve"> Sancionar en el ámbito de su jurisdicción a los autores, cómplices y encubridores del delito de desaparición forzada de personas, así como la tentativa de comisión del mismo.</w:t>
      </w:r>
    </w:p>
    <w:p w14:paraId="53EC4F96" w14:textId="25935E04" w:rsidR="009624E3" w:rsidRPr="00F977A9" w:rsidRDefault="009624E3">
      <w:pPr>
        <w:pStyle w:val="FootnoteText"/>
        <w:rPr>
          <w:lang w:val="es-ES"/>
        </w:rPr>
      </w:pPr>
      <w:r>
        <w:rPr>
          <w:rFonts w:ascii="Cambria" w:eastAsia="Times New Roman" w:hAnsi="Cambria"/>
          <w:lang w:val="es-ES"/>
        </w:rPr>
        <w:t>Artículo III de la CIDFP, primer párrafo: Los Estados partes se comprometen a adoptar, con arreglo a sus procedimientos constitucionales, las medidas legislativas que fueren necesarias para tipificar como delito la desaparición forzada de personas, y a imponerle una pena apropiada que tenga en cuenta su extrema gravedad. Dicho delito será considerado como continuado o permanente mientras no se establezca el destino o paradero de la víctima.</w:t>
      </w:r>
    </w:p>
  </w:footnote>
  <w:footnote w:id="159">
    <w:p w14:paraId="00C23B01" w14:textId="77777777" w:rsidR="009624E3" w:rsidRPr="00663FDD" w:rsidRDefault="009624E3" w:rsidP="00060421">
      <w:pPr>
        <w:pStyle w:val="FootnoteText"/>
        <w:mirrorIndents/>
        <w:rPr>
          <w:lang w:val="es-MX"/>
        </w:rPr>
      </w:pPr>
      <w:r w:rsidRPr="00663FDD">
        <w:rPr>
          <w:rStyle w:val="FootnoteReference"/>
        </w:rPr>
        <w:footnoteRef/>
      </w:r>
      <w:r w:rsidRPr="00663FDD">
        <w:rPr>
          <w:lang w:val="es-MX"/>
        </w:rPr>
        <w:t xml:space="preserve"> Corte IDH. </w:t>
      </w:r>
      <w:r w:rsidRPr="00D47D84">
        <w:rPr>
          <w:lang w:val="es-MX"/>
        </w:rPr>
        <w:t xml:space="preserve">Caso </w:t>
      </w:r>
      <w:r w:rsidRPr="00D47D84">
        <w:rPr>
          <w:rStyle w:val="Strong"/>
          <w:b w:val="0"/>
          <w:lang w:val="es-MX"/>
        </w:rPr>
        <w:t xml:space="preserve">Gutiérrez y Familia Vs. Argentina. Fondo, Reparaciones y Costas. Sentencia de 25 de noviembre de 2013. Serie C No. 271, </w:t>
      </w:r>
      <w:r w:rsidRPr="00D47D84">
        <w:rPr>
          <w:lang w:val="es-MX"/>
        </w:rPr>
        <w:t>párr. 97</w:t>
      </w:r>
      <w:r w:rsidRPr="00663FDD">
        <w:rPr>
          <w:lang w:val="es-MX"/>
        </w:rPr>
        <w:t xml:space="preserve">. </w:t>
      </w:r>
    </w:p>
  </w:footnote>
  <w:footnote w:id="160">
    <w:p w14:paraId="365E3AAE" w14:textId="77777777" w:rsidR="009624E3" w:rsidRPr="00BF622F" w:rsidRDefault="009624E3" w:rsidP="00AE5E6A">
      <w:pPr>
        <w:pStyle w:val="FootnoteText"/>
        <w:rPr>
          <w:lang w:val="es-ES"/>
        </w:rPr>
      </w:pPr>
      <w:r w:rsidRPr="00BF622F">
        <w:rPr>
          <w:rStyle w:val="FootnoteReference"/>
        </w:rPr>
        <w:footnoteRef/>
      </w:r>
      <w:r w:rsidRPr="004D2EFD">
        <w:rPr>
          <w:b/>
          <w:bCs/>
          <w:lang w:val="es-MX"/>
        </w:rPr>
        <w:t xml:space="preserve"> </w:t>
      </w:r>
      <w:r w:rsidRPr="004D2EFD">
        <w:rPr>
          <w:bCs/>
          <w:lang w:val="es-MX"/>
        </w:rPr>
        <w:t xml:space="preserve">Corte IDH. </w:t>
      </w:r>
      <w:hyperlink r:id="rId27" w:history="1">
        <w:r w:rsidRPr="00BF622F">
          <w:rPr>
            <w:rStyle w:val="FootnoteTextChar"/>
            <w:lang w:val="es-ES"/>
          </w:rPr>
          <w:t>Caso de las Masacres de Ituango Vs. Colombia. Sentencia de 1 de julio de 2006</w:t>
        </w:r>
        <w:r>
          <w:rPr>
            <w:rStyle w:val="FootnoteTextChar"/>
            <w:lang w:val="es-ES"/>
          </w:rPr>
          <w:t>.</w:t>
        </w:r>
        <w:r w:rsidRPr="00BF622F">
          <w:rPr>
            <w:rStyle w:val="FootnoteTextChar"/>
            <w:lang w:val="es-ES"/>
          </w:rPr>
          <w:t xml:space="preserve"> Serie C No. 148</w:t>
        </w:r>
      </w:hyperlink>
      <w:r w:rsidRPr="00BF622F">
        <w:rPr>
          <w:rStyle w:val="FootnoteTextChar"/>
          <w:lang w:val="es-ES"/>
        </w:rPr>
        <w:t>, párr. 289.</w:t>
      </w:r>
    </w:p>
  </w:footnote>
  <w:footnote w:id="161">
    <w:p w14:paraId="57FDEA38" w14:textId="77777777" w:rsidR="009624E3" w:rsidRPr="00BE790F" w:rsidRDefault="009624E3" w:rsidP="00AE5E6A">
      <w:pPr>
        <w:pStyle w:val="FootnoteText"/>
        <w:rPr>
          <w:lang w:val="es-ES"/>
        </w:rPr>
      </w:pPr>
      <w:r w:rsidRPr="00BF622F">
        <w:rPr>
          <w:rStyle w:val="FootnoteReference"/>
        </w:rPr>
        <w:footnoteRef/>
      </w:r>
      <w:r w:rsidRPr="00BF622F">
        <w:rPr>
          <w:lang w:val="es-ES"/>
        </w:rPr>
        <w:t xml:space="preserve"> </w:t>
      </w:r>
      <w:r w:rsidRPr="00BF622F">
        <w:rPr>
          <w:noProof/>
          <w:lang w:val="es-ES"/>
        </w:rPr>
        <w:t xml:space="preserve">Corte IDH. Caso Valle Jaramillo y otros Vs. Colombia. Fondo, Reparaciones y Costas. Sentencia de 27 de noviembre de 2008. </w:t>
      </w:r>
      <w:r w:rsidRPr="00BE790F">
        <w:rPr>
          <w:noProof/>
          <w:lang w:val="es-ES"/>
        </w:rPr>
        <w:t>Serie C No. 192, párr. 155.</w:t>
      </w:r>
    </w:p>
  </w:footnote>
  <w:footnote w:id="162">
    <w:p w14:paraId="430F56D0" w14:textId="77777777" w:rsidR="009624E3" w:rsidRPr="009B781F" w:rsidRDefault="009624E3">
      <w:pPr>
        <w:pStyle w:val="FootnoteText"/>
        <w:rPr>
          <w:lang w:val="es-ES"/>
        </w:rPr>
      </w:pPr>
      <w:r>
        <w:rPr>
          <w:rStyle w:val="FootnoteReference"/>
        </w:rPr>
        <w:footnoteRef/>
      </w:r>
      <w:r w:rsidRPr="009B781F">
        <w:rPr>
          <w:lang w:val="es-ES"/>
        </w:rPr>
        <w:t xml:space="preserve"> </w:t>
      </w:r>
      <w:r w:rsidRPr="00D47D84">
        <w:rPr>
          <w:lang w:val="es-MX"/>
        </w:rPr>
        <w:t xml:space="preserve">Caso </w:t>
      </w:r>
      <w:r>
        <w:rPr>
          <w:lang w:val="es-MX"/>
        </w:rPr>
        <w:t>Masacres de El Mozote y lugares aledaños</w:t>
      </w:r>
      <w:r w:rsidRPr="00663FDD">
        <w:rPr>
          <w:lang w:val="es-MX"/>
        </w:rPr>
        <w:t xml:space="preserve"> Vs. </w:t>
      </w:r>
      <w:r>
        <w:rPr>
          <w:lang w:val="es-MX"/>
        </w:rPr>
        <w:t xml:space="preserve">El Salvador. </w:t>
      </w:r>
      <w:r w:rsidRPr="00663FDD">
        <w:rPr>
          <w:lang w:val="es-MX"/>
        </w:rPr>
        <w:t xml:space="preserve">Fondo, Reparaciones y Costas. Sentencia de </w:t>
      </w:r>
      <w:r>
        <w:rPr>
          <w:lang w:val="es-MX"/>
        </w:rPr>
        <w:t>25</w:t>
      </w:r>
      <w:r w:rsidRPr="00663FDD">
        <w:rPr>
          <w:lang w:val="es-MX"/>
        </w:rPr>
        <w:t xml:space="preserve"> de </w:t>
      </w:r>
      <w:r>
        <w:rPr>
          <w:lang w:val="es-MX"/>
        </w:rPr>
        <w:t>octubre d</w:t>
      </w:r>
      <w:r w:rsidRPr="00663FDD">
        <w:rPr>
          <w:lang w:val="es-MX"/>
        </w:rPr>
        <w:t>e 201</w:t>
      </w:r>
      <w:r>
        <w:rPr>
          <w:lang w:val="es-MX"/>
        </w:rPr>
        <w:t>2</w:t>
      </w:r>
      <w:r w:rsidRPr="00663FDD">
        <w:rPr>
          <w:lang w:val="es-MX"/>
        </w:rPr>
        <w:t>. Serie C No. 2</w:t>
      </w:r>
      <w:r>
        <w:rPr>
          <w:lang w:val="es-MX"/>
        </w:rPr>
        <w:t>52</w:t>
      </w:r>
      <w:r w:rsidRPr="00663FDD">
        <w:rPr>
          <w:lang w:val="es-MX"/>
        </w:rPr>
        <w:t>, párr. 2</w:t>
      </w:r>
      <w:r>
        <w:rPr>
          <w:lang w:val="es-MX"/>
        </w:rPr>
        <w:t>44</w:t>
      </w:r>
      <w:r w:rsidRPr="00663FDD">
        <w:rPr>
          <w:lang w:val="es-MX"/>
        </w:rPr>
        <w:t>.</w:t>
      </w:r>
    </w:p>
  </w:footnote>
  <w:footnote w:id="163">
    <w:p w14:paraId="3E8235B1" w14:textId="77777777" w:rsidR="009624E3" w:rsidRPr="00663FDD" w:rsidRDefault="009624E3" w:rsidP="00D47D84">
      <w:pPr>
        <w:tabs>
          <w:tab w:val="left" w:pos="720"/>
          <w:tab w:val="left" w:pos="1080"/>
        </w:tabs>
        <w:autoSpaceDE w:val="0"/>
        <w:autoSpaceDN w:val="0"/>
        <w:adjustRightInd w:val="0"/>
        <w:mirrorIndents/>
        <w:jc w:val="both"/>
        <w:rPr>
          <w:rFonts w:asciiTheme="majorHAnsi" w:hAnsiTheme="majorHAnsi"/>
          <w:sz w:val="16"/>
          <w:szCs w:val="16"/>
          <w:lang w:val="es-VE"/>
        </w:rPr>
      </w:pPr>
      <w:r w:rsidRPr="00663FDD">
        <w:rPr>
          <w:rStyle w:val="FootnoteReference"/>
          <w:rFonts w:asciiTheme="majorHAnsi" w:hAnsiTheme="majorHAnsi"/>
          <w:sz w:val="16"/>
          <w:szCs w:val="16"/>
        </w:rPr>
        <w:footnoteRef/>
      </w:r>
      <w:r w:rsidRPr="00663FDD">
        <w:rPr>
          <w:rFonts w:asciiTheme="majorHAnsi" w:hAnsiTheme="majorHAnsi"/>
          <w:sz w:val="16"/>
          <w:szCs w:val="16"/>
          <w:lang w:val="es-CO"/>
        </w:rPr>
        <w:t xml:space="preserve"> </w:t>
      </w:r>
      <w:r>
        <w:rPr>
          <w:rFonts w:asciiTheme="majorHAnsi" w:hAnsiTheme="majorHAnsi"/>
          <w:sz w:val="16"/>
          <w:szCs w:val="16"/>
          <w:lang w:val="es-VE"/>
        </w:rPr>
        <w:t>Corte IDH.</w:t>
      </w:r>
      <w:r w:rsidRPr="00663FDD">
        <w:rPr>
          <w:rFonts w:asciiTheme="majorHAnsi" w:hAnsiTheme="majorHAnsi"/>
          <w:sz w:val="16"/>
          <w:szCs w:val="16"/>
          <w:lang w:val="es-VE"/>
        </w:rPr>
        <w:t xml:space="preserve"> </w:t>
      </w:r>
      <w:r w:rsidRPr="00663FDD">
        <w:rPr>
          <w:rFonts w:asciiTheme="majorHAnsi" w:hAnsiTheme="majorHAnsi"/>
          <w:bCs/>
          <w:sz w:val="16"/>
          <w:szCs w:val="16"/>
          <w:lang w:val="es-VE"/>
        </w:rPr>
        <w:t xml:space="preserve">Caso Ibsen Cárdenas e Ibsen Peña Vs. Bolivia. </w:t>
      </w:r>
      <w:r w:rsidRPr="00663FDD">
        <w:rPr>
          <w:rFonts w:asciiTheme="majorHAnsi" w:hAnsiTheme="majorHAnsi"/>
          <w:sz w:val="16"/>
          <w:szCs w:val="16"/>
          <w:lang w:val="es-VE"/>
        </w:rPr>
        <w:t xml:space="preserve">Fondo, Reparaciones y Costas. Sentencia de 1 de septiembre de 2010. Serie C No. 217, párr. 167.  </w:t>
      </w:r>
    </w:p>
  </w:footnote>
  <w:footnote w:id="164">
    <w:p w14:paraId="24528FC2" w14:textId="77777777" w:rsidR="009624E3" w:rsidRPr="006208ED" w:rsidRDefault="009624E3">
      <w:pPr>
        <w:pStyle w:val="FootnoteText"/>
        <w:rPr>
          <w:lang w:val="es-ES"/>
        </w:rPr>
      </w:pPr>
      <w:r>
        <w:rPr>
          <w:rStyle w:val="FootnoteReference"/>
        </w:rPr>
        <w:footnoteRef/>
      </w:r>
      <w:r w:rsidRPr="006208ED">
        <w:rPr>
          <w:lang w:val="es-VE"/>
        </w:rPr>
        <w:t xml:space="preserve"> Corte IDH. </w:t>
      </w:r>
      <w:r>
        <w:rPr>
          <w:lang w:val="es-VE"/>
        </w:rPr>
        <w:t>Caso Rodríguez Vera y otros (Desaparecidos el Palacio de Justicia) Vs. Colombia. Excepciones Preliminares, Fondo, Reparaciones y Costas. Sentencia de 14 de noviembre de 2014. Serie C No. 287, p</w:t>
      </w:r>
      <w:r w:rsidRPr="006208ED">
        <w:rPr>
          <w:lang w:val="es-VE"/>
        </w:rPr>
        <w:t>árr. 480.</w:t>
      </w:r>
    </w:p>
  </w:footnote>
  <w:footnote w:id="165">
    <w:p w14:paraId="0E61D1C2" w14:textId="77777777" w:rsidR="009624E3" w:rsidRPr="00DF38CB" w:rsidRDefault="009624E3">
      <w:pPr>
        <w:pStyle w:val="FootnoteText"/>
        <w:rPr>
          <w:lang w:val="es-ES"/>
        </w:rPr>
      </w:pPr>
      <w:r>
        <w:rPr>
          <w:rStyle w:val="FootnoteReference"/>
        </w:rPr>
        <w:footnoteRef/>
      </w:r>
      <w:r w:rsidRPr="004D2EFD">
        <w:rPr>
          <w:lang w:val="es-ES"/>
        </w:rPr>
        <w:t xml:space="preserve"> Corte IDH. Caso Gelman Vs. </w:t>
      </w:r>
      <w:r>
        <w:rPr>
          <w:lang w:val="es-ES"/>
        </w:rPr>
        <w:t>Uruguay. Fondo y Reparaciones. Sentencia de 24 de febrero de 2011. Serie C No. 221, p</w:t>
      </w:r>
      <w:r w:rsidRPr="00953885">
        <w:rPr>
          <w:lang w:val="es-ES"/>
        </w:rPr>
        <w:t>árr.</w:t>
      </w:r>
      <w:r>
        <w:rPr>
          <w:lang w:val="es-ES"/>
        </w:rPr>
        <w:t xml:space="preserve"> 236.</w:t>
      </w:r>
    </w:p>
  </w:footnote>
  <w:footnote w:id="166">
    <w:p w14:paraId="59B8AF81" w14:textId="77777777" w:rsidR="009624E3" w:rsidRPr="00663FDD" w:rsidRDefault="009624E3" w:rsidP="00D47D84">
      <w:pPr>
        <w:pStyle w:val="FootnoteText"/>
        <w:mirrorIndents/>
        <w:rPr>
          <w:lang w:val="es-ES_tradnl"/>
        </w:rPr>
      </w:pPr>
      <w:r w:rsidRPr="00663FDD">
        <w:rPr>
          <w:rStyle w:val="FootnoteReference"/>
        </w:rPr>
        <w:footnoteRef/>
      </w:r>
      <w:r w:rsidRPr="00663FDD">
        <w:rPr>
          <w:lang w:val="es-CO"/>
        </w:rPr>
        <w:t xml:space="preserve"> </w:t>
      </w:r>
      <w:r>
        <w:rPr>
          <w:spacing w:val="-4"/>
          <w:lang w:val="es-CO"/>
        </w:rPr>
        <w:t>CIDH. Informe de F</w:t>
      </w:r>
      <w:r w:rsidRPr="00663FDD">
        <w:rPr>
          <w:spacing w:val="-4"/>
          <w:lang w:val="es-CO"/>
        </w:rPr>
        <w:t>ondo</w:t>
      </w:r>
      <w:r>
        <w:rPr>
          <w:spacing w:val="-4"/>
          <w:lang w:val="es-CO"/>
        </w:rPr>
        <w:t xml:space="preserve"> No.</w:t>
      </w:r>
      <w:r w:rsidRPr="00663FDD">
        <w:rPr>
          <w:spacing w:val="-4"/>
          <w:lang w:val="es-CO"/>
        </w:rPr>
        <w:t xml:space="preserve"> 74/15. Mariana Selvas Gomez y otras</w:t>
      </w:r>
      <w:r>
        <w:rPr>
          <w:spacing w:val="-4"/>
          <w:lang w:val="es-CO"/>
        </w:rPr>
        <w:t>.</w:t>
      </w:r>
      <w:r w:rsidRPr="00663FDD">
        <w:rPr>
          <w:spacing w:val="-4"/>
          <w:lang w:val="es-CO"/>
        </w:rPr>
        <w:t xml:space="preserve"> México. 28 de octubre de 2015</w:t>
      </w:r>
      <w:r>
        <w:rPr>
          <w:spacing w:val="-4"/>
          <w:lang w:val="es-CO"/>
        </w:rPr>
        <w:t>, p</w:t>
      </w:r>
      <w:r w:rsidRPr="00663FDD">
        <w:rPr>
          <w:spacing w:val="-4"/>
          <w:lang w:val="es-CO"/>
        </w:rPr>
        <w:t xml:space="preserve">árr. 378; </w:t>
      </w:r>
      <w:r w:rsidRPr="00663FDD">
        <w:rPr>
          <w:rFonts w:cs="Verdana"/>
          <w:bCs/>
          <w:lang w:val="es-CO"/>
        </w:rPr>
        <w:t xml:space="preserve">Corte IDH. Caso J. Vs. Perú. Excepción Preliminar, Fondo, Reparaciones y Costas. Sentencia de 27 de noviembre de 2013. Serie C No. 275, </w:t>
      </w:r>
      <w:r>
        <w:rPr>
          <w:rFonts w:cs="Verdana"/>
          <w:bCs/>
          <w:lang w:val="es-CO"/>
        </w:rPr>
        <w:t>p</w:t>
      </w:r>
      <w:r w:rsidRPr="00663FDD">
        <w:rPr>
          <w:rFonts w:cs="Verdana"/>
          <w:bCs/>
          <w:lang w:val="es-CO"/>
        </w:rPr>
        <w:t xml:space="preserve">árr. </w:t>
      </w:r>
      <w:r w:rsidRPr="00663FDD">
        <w:rPr>
          <w:lang w:val="es-ES_tradnl"/>
        </w:rPr>
        <w:t xml:space="preserve">341. </w:t>
      </w:r>
    </w:p>
  </w:footnote>
  <w:footnote w:id="167">
    <w:p w14:paraId="1D31D244" w14:textId="77777777" w:rsidR="009624E3" w:rsidRPr="00663FDD" w:rsidRDefault="009624E3" w:rsidP="00D47D84">
      <w:pPr>
        <w:pStyle w:val="FootnoteText"/>
        <w:mirrorIndents/>
        <w:rPr>
          <w:lang w:val="es-ES"/>
        </w:rPr>
      </w:pPr>
      <w:r w:rsidRPr="00663FDD">
        <w:rPr>
          <w:rStyle w:val="FootnoteReference"/>
        </w:rPr>
        <w:footnoteRef/>
      </w:r>
      <w:r w:rsidRPr="00663FDD">
        <w:rPr>
          <w:lang w:val="es-CO"/>
        </w:rPr>
        <w:t xml:space="preserve"> Corte IDH. </w:t>
      </w:r>
      <w:r w:rsidRPr="00663FDD">
        <w:rPr>
          <w:spacing w:val="-4"/>
          <w:lang w:val="es-MX"/>
        </w:rPr>
        <w:t>Caso Osorio Rivera y Familiares Vs. Perú. Excepciones Preliminares, Fondo, Reparaciones y Costas. Sentencia de 26 de noviembre de 2013. Serie C No. 274</w:t>
      </w:r>
      <w:r w:rsidRPr="00663FDD">
        <w:rPr>
          <w:spacing w:val="-4"/>
          <w:lang w:val="es-CO"/>
        </w:rPr>
        <w:t xml:space="preserve">, párr. 178. </w:t>
      </w:r>
    </w:p>
  </w:footnote>
  <w:footnote w:id="168">
    <w:p w14:paraId="1B5C2B7C" w14:textId="77777777" w:rsidR="009624E3" w:rsidRPr="00856EC6" w:rsidRDefault="009624E3" w:rsidP="00D47D84">
      <w:pPr>
        <w:pStyle w:val="FootnoteText"/>
        <w:mirrorIndents/>
        <w:rPr>
          <w:lang w:val="es-PE"/>
        </w:rPr>
      </w:pPr>
      <w:r w:rsidRPr="00663FDD">
        <w:rPr>
          <w:rStyle w:val="FootnoteReference"/>
        </w:rPr>
        <w:footnoteRef/>
      </w:r>
      <w:r>
        <w:rPr>
          <w:lang w:val="es-CO"/>
        </w:rPr>
        <w:t xml:space="preserve"> Corte IDH. Caso Bayarri V</w:t>
      </w:r>
      <w:r w:rsidRPr="00663FDD">
        <w:rPr>
          <w:lang w:val="es-CO"/>
        </w:rPr>
        <w:t>s. Argentina</w:t>
      </w:r>
      <w:r>
        <w:rPr>
          <w:lang w:val="es-CO"/>
        </w:rPr>
        <w:t>. Excepción Preliminar, Fondo, Reparaciones y Costas. Sentencia de 30 de octubre de 2008. Serie C No. 187, párr. 92.</w:t>
      </w:r>
    </w:p>
  </w:footnote>
  <w:footnote w:id="169">
    <w:p w14:paraId="39FCF10A" w14:textId="77777777" w:rsidR="009624E3" w:rsidRPr="00663FDD" w:rsidRDefault="009624E3" w:rsidP="00D47D84">
      <w:pPr>
        <w:pStyle w:val="FootnoteText"/>
        <w:mirrorIndents/>
        <w:rPr>
          <w:lang w:val="es-US"/>
        </w:rPr>
      </w:pPr>
      <w:r w:rsidRPr="00663FDD">
        <w:rPr>
          <w:rStyle w:val="FootnoteReference"/>
        </w:rPr>
        <w:footnoteRef/>
      </w:r>
      <w:r w:rsidRPr="00856EC6">
        <w:rPr>
          <w:lang w:val="es-PE"/>
        </w:rPr>
        <w:t xml:space="preserve"> CIDH. Informe No. 25/09</w:t>
      </w:r>
      <w:r>
        <w:rPr>
          <w:lang w:val="es-PE"/>
        </w:rPr>
        <w:t>.</w:t>
      </w:r>
      <w:r w:rsidRPr="00856EC6">
        <w:rPr>
          <w:lang w:val="es-PE"/>
        </w:rPr>
        <w:t xml:space="preserve"> Fondo</w:t>
      </w:r>
      <w:r>
        <w:rPr>
          <w:lang w:val="es-PE"/>
        </w:rPr>
        <w:t>.</w:t>
      </w:r>
      <w:r w:rsidRPr="00856EC6">
        <w:rPr>
          <w:lang w:val="es-PE"/>
        </w:rPr>
        <w:t xml:space="preserve"> </w:t>
      </w:r>
      <w:r w:rsidRPr="001E75A4">
        <w:rPr>
          <w:lang w:val="es-CO"/>
        </w:rPr>
        <w:t xml:space="preserve">Sebastião Camargo Filho. Brasil, 19 de marzo de 2009, párr. </w:t>
      </w:r>
      <w:r w:rsidRPr="00663FDD">
        <w:rPr>
          <w:lang w:val="es-ES_tradnl"/>
        </w:rPr>
        <w:t xml:space="preserve">109; </w:t>
      </w:r>
      <w:r>
        <w:rPr>
          <w:lang w:val="es-US"/>
        </w:rPr>
        <w:t>Corte IDH, Caso J. V</w:t>
      </w:r>
      <w:r w:rsidRPr="00663FDD">
        <w:rPr>
          <w:lang w:val="es-US"/>
        </w:rPr>
        <w:t xml:space="preserve">s. Perú. Excepción preliminar, Fondo, Reparaciones y Costas. Sentencia de 27 de noviembre de 2013. Serie C No. 275, párr. </w:t>
      </w:r>
      <w:r w:rsidRPr="00663FDD">
        <w:rPr>
          <w:spacing w:val="-4"/>
          <w:lang w:val="es-CR"/>
        </w:rPr>
        <w:t>344.</w:t>
      </w:r>
    </w:p>
  </w:footnote>
  <w:footnote w:id="170">
    <w:p w14:paraId="37B7E0EE" w14:textId="77777777" w:rsidR="009624E3" w:rsidRPr="00663FDD" w:rsidRDefault="009624E3" w:rsidP="00D47D84">
      <w:pPr>
        <w:pStyle w:val="FootnoteText"/>
        <w:mirrorIndents/>
        <w:rPr>
          <w:lang w:val="es-CO"/>
        </w:rPr>
      </w:pPr>
      <w:r w:rsidRPr="00663FDD">
        <w:rPr>
          <w:rStyle w:val="FootnoteReference"/>
        </w:rPr>
        <w:footnoteRef/>
      </w:r>
      <w:r w:rsidRPr="00663FDD">
        <w:rPr>
          <w:lang w:val="es-CO"/>
        </w:rPr>
        <w:t xml:space="preserve"> </w:t>
      </w:r>
      <w:r w:rsidRPr="006208ED">
        <w:rPr>
          <w:lang w:val="es-VE"/>
        </w:rPr>
        <w:t xml:space="preserve">Corte IDH. </w:t>
      </w:r>
      <w:r>
        <w:rPr>
          <w:lang w:val="es-VE"/>
        </w:rPr>
        <w:t>Caso Rodríguez Vera y otros (Desaparecidos el Palacio de Justicia) Vs. Colombia. Excepciones Preliminares, Fondo, Reparaciones y Costas. Sentencia de 14 de noviembre de 2014. Serie C No. 287, p</w:t>
      </w:r>
      <w:r w:rsidRPr="006208ED">
        <w:rPr>
          <w:lang w:val="es-VE"/>
        </w:rPr>
        <w:t>árr.</w:t>
      </w:r>
      <w:r w:rsidRPr="00663FDD">
        <w:rPr>
          <w:lang w:val="es-CO"/>
        </w:rPr>
        <w:t xml:space="preserve"> 500.</w:t>
      </w:r>
    </w:p>
  </w:footnote>
  <w:footnote w:id="171">
    <w:p w14:paraId="243CCB33" w14:textId="77777777" w:rsidR="009624E3" w:rsidRPr="00663FDD" w:rsidRDefault="009624E3" w:rsidP="00D47D84">
      <w:pPr>
        <w:pStyle w:val="FootnoteText"/>
        <w:mirrorIndents/>
        <w:rPr>
          <w:lang w:val="es-CO"/>
        </w:rPr>
      </w:pPr>
      <w:r w:rsidRPr="00663FDD">
        <w:rPr>
          <w:rStyle w:val="FootnoteReference"/>
        </w:rPr>
        <w:footnoteRef/>
      </w:r>
      <w:r w:rsidRPr="00663FDD">
        <w:rPr>
          <w:lang w:val="es-US"/>
        </w:rPr>
        <w:t xml:space="preserve"> </w:t>
      </w:r>
      <w:r w:rsidRPr="00663FDD">
        <w:rPr>
          <w:rFonts w:cs="Arial"/>
          <w:lang w:val="es-ES"/>
        </w:rPr>
        <w:t xml:space="preserve">Corte IDH, </w:t>
      </w:r>
      <w:r w:rsidRPr="00663FDD">
        <w:rPr>
          <w:rFonts w:cs="Arial"/>
          <w:iCs/>
          <w:lang w:val="es-ES"/>
        </w:rPr>
        <w:t>Caso Carpio Nicolle y otros vs. Guatemala</w:t>
      </w:r>
      <w:r w:rsidRPr="00663FDD">
        <w:rPr>
          <w:rFonts w:cs="Arial"/>
          <w:lang w:val="es-ES"/>
        </w:rPr>
        <w:t xml:space="preserve">. Fondo, Reparaciones y Costas. Sentencia de 22 de noviembre de 2004. </w:t>
      </w:r>
      <w:r w:rsidRPr="00663FDD">
        <w:rPr>
          <w:rFonts w:cs="Arial"/>
          <w:lang w:val="es-CO"/>
        </w:rPr>
        <w:t xml:space="preserve">Serie C No. 117, párr. 134. </w:t>
      </w:r>
    </w:p>
  </w:footnote>
  <w:footnote w:id="172">
    <w:p w14:paraId="4B4C3AF8" w14:textId="77777777" w:rsidR="009624E3" w:rsidRPr="00984226" w:rsidRDefault="009624E3">
      <w:pPr>
        <w:pStyle w:val="FootnoteText"/>
        <w:rPr>
          <w:lang w:val="es-ES"/>
        </w:rPr>
      </w:pPr>
      <w:r>
        <w:rPr>
          <w:rStyle w:val="FootnoteReference"/>
        </w:rPr>
        <w:footnoteRef/>
      </w:r>
      <w:r w:rsidRPr="00984226">
        <w:rPr>
          <w:lang w:val="es-ES"/>
        </w:rPr>
        <w:t xml:space="preserve"> </w:t>
      </w:r>
      <w:r w:rsidRPr="00BE59EF">
        <w:rPr>
          <w:lang w:val="es-ES"/>
        </w:rPr>
        <w:t xml:space="preserve">CIDH. </w:t>
      </w:r>
      <w:r>
        <w:rPr>
          <w:lang w:val="es-ES"/>
        </w:rPr>
        <w:t>Informe No 28/92. Casos 10.147, 10.181, 10.240, 10.262, 10.309 y 10.311. Argentina. 2 de octubre de 1992, párr. 50.</w:t>
      </w:r>
    </w:p>
  </w:footnote>
  <w:footnote w:id="173">
    <w:p w14:paraId="467F14F5" w14:textId="77777777" w:rsidR="009624E3" w:rsidRPr="0056327A" w:rsidRDefault="009624E3" w:rsidP="009229D3">
      <w:pPr>
        <w:pStyle w:val="FootnoteText"/>
        <w:rPr>
          <w:lang w:val="es-CO"/>
        </w:rPr>
      </w:pPr>
      <w:r w:rsidRPr="00BE7DBB">
        <w:rPr>
          <w:rStyle w:val="FootnoteReference"/>
        </w:rPr>
        <w:footnoteRef/>
      </w:r>
      <w:r w:rsidRPr="00984226">
        <w:rPr>
          <w:lang w:val="es-ES"/>
        </w:rPr>
        <w:t xml:space="preserve"> Corte IDH. </w:t>
      </w:r>
      <w:r w:rsidRPr="009229D3">
        <w:rPr>
          <w:lang w:val="es-ES"/>
        </w:rPr>
        <w:t>Caso Barrios Altos Vs. Perú.</w:t>
      </w:r>
      <w:r w:rsidRPr="009229D3">
        <w:rPr>
          <w:lang w:val="es-ES"/>
        </w:rPr>
        <w:tab/>
      </w:r>
      <w:r w:rsidRPr="0056327A">
        <w:rPr>
          <w:lang w:val="es-CO"/>
        </w:rPr>
        <w:t>Sentencia de 14 de marzo de 2001. Serie C No. 75</w:t>
      </w:r>
      <w:r>
        <w:rPr>
          <w:lang w:val="es-CO"/>
        </w:rPr>
        <w:t>, p</w:t>
      </w:r>
      <w:r w:rsidRPr="0056327A">
        <w:rPr>
          <w:lang w:val="es-CO"/>
        </w:rPr>
        <w:t>árr. 41.</w:t>
      </w:r>
    </w:p>
    <w:p w14:paraId="1453E52E" w14:textId="77777777" w:rsidR="009624E3" w:rsidRPr="0056327A" w:rsidRDefault="009624E3" w:rsidP="009229D3">
      <w:pPr>
        <w:pStyle w:val="FootnoteText"/>
        <w:rPr>
          <w:lang w:val="es-CO"/>
        </w:rPr>
      </w:pPr>
    </w:p>
  </w:footnote>
  <w:footnote w:id="174">
    <w:p w14:paraId="718BD7F2" w14:textId="77777777" w:rsidR="009624E3" w:rsidRPr="00147099" w:rsidRDefault="009624E3">
      <w:pPr>
        <w:pStyle w:val="FootnoteText"/>
        <w:rPr>
          <w:lang w:val="es-ES"/>
        </w:rPr>
      </w:pPr>
      <w:r>
        <w:rPr>
          <w:rStyle w:val="FootnoteReference"/>
        </w:rPr>
        <w:footnoteRef/>
      </w:r>
      <w:r w:rsidRPr="00147099">
        <w:rPr>
          <w:lang w:val="es-ES"/>
        </w:rPr>
        <w:t xml:space="preserve"> Corte IDH. Caso Mohamed Vs. </w:t>
      </w:r>
      <w:r>
        <w:rPr>
          <w:lang w:val="es-ES"/>
        </w:rPr>
        <w:t>Argentina. Excepción Preliminar, Fondo, Reparaciones y Costas. Sentencia de 23 de noviembre de 2012. Serie C No. 255, párr. 107.</w:t>
      </w:r>
    </w:p>
  </w:footnote>
  <w:footnote w:id="175">
    <w:p w14:paraId="5F62415A" w14:textId="77777777" w:rsidR="009624E3" w:rsidRPr="001151D4" w:rsidRDefault="009624E3" w:rsidP="00972424">
      <w:pPr>
        <w:pStyle w:val="FootnoteText"/>
        <w:rPr>
          <w:lang w:val="es-ES"/>
        </w:rPr>
      </w:pPr>
      <w:r>
        <w:rPr>
          <w:rStyle w:val="FootnoteReference"/>
        </w:rPr>
        <w:footnoteRef/>
      </w:r>
      <w:r w:rsidRPr="001151D4">
        <w:rPr>
          <w:lang w:val="es-ES"/>
        </w:rPr>
        <w:t xml:space="preserve"> </w:t>
      </w:r>
      <w:r>
        <w:rPr>
          <w:lang w:val="es-ES"/>
        </w:rPr>
        <w:t>CIDH. Informe No. 52/16. Caso 12.521. Fondo. María Laura Órdenes Guerra y otros. Chile. 30 de noviembre de 2016, párr. 109.</w:t>
      </w:r>
    </w:p>
  </w:footnote>
  <w:footnote w:id="176">
    <w:p w14:paraId="57720478" w14:textId="77777777" w:rsidR="009624E3" w:rsidRPr="00686F6A" w:rsidRDefault="009624E3" w:rsidP="00972424">
      <w:pPr>
        <w:pStyle w:val="FootnoteText"/>
        <w:rPr>
          <w:lang w:val="es-ES"/>
        </w:rPr>
      </w:pPr>
      <w:r>
        <w:rPr>
          <w:rStyle w:val="FootnoteReference"/>
        </w:rPr>
        <w:footnoteRef/>
      </w:r>
      <w:r w:rsidRPr="00686F6A">
        <w:rPr>
          <w:lang w:val="es-ES"/>
        </w:rPr>
        <w:t xml:space="preserve"> </w:t>
      </w:r>
      <w:r>
        <w:rPr>
          <w:lang w:val="es-ES"/>
        </w:rPr>
        <w:t>CIDH. Informe No. 52/16. Caso 12.521. Fondo. María Laura Órdenes Guerra y otros. Chile. 30 de noviembre de 2016, párrs. 130 y 131.</w:t>
      </w:r>
    </w:p>
  </w:footnote>
  <w:footnote w:id="177">
    <w:p w14:paraId="4C224337" w14:textId="77777777" w:rsidR="009624E3" w:rsidRPr="00E205A4" w:rsidRDefault="009624E3" w:rsidP="00972424">
      <w:pPr>
        <w:pStyle w:val="FootnoteText"/>
        <w:rPr>
          <w:lang w:val="es-ES"/>
        </w:rPr>
      </w:pPr>
      <w:r>
        <w:rPr>
          <w:rStyle w:val="FootnoteReference"/>
        </w:rPr>
        <w:footnoteRef/>
      </w:r>
      <w:r w:rsidRPr="00E205A4">
        <w:rPr>
          <w:lang w:val="es-ES"/>
        </w:rPr>
        <w:t xml:space="preserve"> </w:t>
      </w:r>
      <w:r>
        <w:rPr>
          <w:lang w:val="es-ES"/>
        </w:rPr>
        <w:t>CIDH. Informe No. 52/16. Caso 12.521. Fondo. María Laura Órdenes Guerra y otros. Chile. 30 de noviembre de 2016, párr. 132.</w:t>
      </w:r>
    </w:p>
  </w:footnote>
  <w:footnote w:id="178">
    <w:p w14:paraId="597963BB" w14:textId="77777777" w:rsidR="009624E3" w:rsidRPr="00BE2745" w:rsidRDefault="009624E3" w:rsidP="00972424">
      <w:pPr>
        <w:pStyle w:val="FootnoteText"/>
        <w:rPr>
          <w:lang w:val="es-ES"/>
        </w:rPr>
      </w:pPr>
      <w:r>
        <w:rPr>
          <w:rStyle w:val="FootnoteReference"/>
        </w:rPr>
        <w:footnoteRef/>
      </w:r>
      <w:r w:rsidRPr="00BE2745">
        <w:rPr>
          <w:lang w:val="es-ES"/>
        </w:rPr>
        <w:t xml:space="preserve"> </w:t>
      </w:r>
      <w:r>
        <w:rPr>
          <w:lang w:val="es-ES"/>
        </w:rPr>
        <w:t>Corte IDH. Caso Órdenes Guerra y otros Vs. Chile. Fondo, Reparaciones y Costas. Sentencia de 29 de noviembre de 2018. Serie C No. 372, párr. 89.</w:t>
      </w:r>
    </w:p>
  </w:footnote>
  <w:footnote w:id="179">
    <w:p w14:paraId="20BAE92D" w14:textId="77777777" w:rsidR="009624E3" w:rsidRPr="00C36A83" w:rsidRDefault="009624E3" w:rsidP="007B034C">
      <w:pPr>
        <w:pStyle w:val="FootnoteText"/>
        <w:rPr>
          <w:lang w:val="es-ES"/>
        </w:rPr>
      </w:pPr>
      <w:r>
        <w:rPr>
          <w:rStyle w:val="FootnoteReference"/>
        </w:rPr>
        <w:footnoteRef/>
      </w:r>
      <w:r w:rsidRPr="009A78B4">
        <w:rPr>
          <w:lang w:val="es-ES"/>
        </w:rPr>
        <w:t xml:space="preserve"> CIDH. Verdad, justicia y reparación: Cuarto informe sobre la situaci</w:t>
      </w:r>
      <w:r>
        <w:rPr>
          <w:lang w:val="es-ES"/>
        </w:rPr>
        <w:t>ón de derechos humanos en Colombia. OEA/Ser.L/V.II. Doc. 49/13. 31 diciembre 2013, párr. 467.</w:t>
      </w:r>
    </w:p>
  </w:footnote>
  <w:footnote w:id="180">
    <w:p w14:paraId="3D9015C6" w14:textId="77777777" w:rsidR="009624E3" w:rsidRPr="009A78B4" w:rsidRDefault="009624E3" w:rsidP="007B034C">
      <w:pPr>
        <w:pStyle w:val="FootnoteText"/>
        <w:rPr>
          <w:lang w:val="es-ES"/>
        </w:rPr>
      </w:pPr>
      <w:r>
        <w:rPr>
          <w:rStyle w:val="FootnoteReference"/>
        </w:rPr>
        <w:footnoteRef/>
      </w:r>
      <w:r w:rsidRPr="009A78B4">
        <w:rPr>
          <w:lang w:val="es-ES"/>
        </w:rPr>
        <w:t xml:space="preserve"> CIDH. Verdad, justicia y reparación: Cuarto informe sobre la situaci</w:t>
      </w:r>
      <w:r>
        <w:rPr>
          <w:lang w:val="es-ES"/>
        </w:rPr>
        <w:t>ón de derechos humanos en Colombia. OEA/Ser.L/V.II. Doc. 49/13. 31 diciembre 2013, párr. 467.</w:t>
      </w:r>
    </w:p>
  </w:footnote>
  <w:footnote w:id="181">
    <w:p w14:paraId="5BA03022" w14:textId="77777777" w:rsidR="009624E3" w:rsidRPr="00BD4EA7" w:rsidRDefault="009624E3" w:rsidP="007B034C">
      <w:pPr>
        <w:pStyle w:val="FootnoteText"/>
        <w:rPr>
          <w:lang w:val="es-ES"/>
        </w:rPr>
      </w:pPr>
      <w:r>
        <w:rPr>
          <w:rStyle w:val="FootnoteReference"/>
        </w:rPr>
        <w:footnoteRef/>
      </w:r>
      <w:r w:rsidRPr="008E39CC">
        <w:rPr>
          <w:lang w:val="es-ES"/>
        </w:rPr>
        <w:t xml:space="preserve"> </w:t>
      </w:r>
      <w:r>
        <w:rPr>
          <w:lang w:val="es-ES"/>
        </w:rPr>
        <w:t xml:space="preserve">Corte IDH. Caso Órdenes Guerra y otros Vs. Chile. Fondo, Reparaciones y Costas. </w:t>
      </w:r>
      <w:r w:rsidRPr="009A78B4">
        <w:rPr>
          <w:lang w:val="es-ES"/>
        </w:rPr>
        <w:t xml:space="preserve">Sentencia de 29 de noviembre de 2018. </w:t>
      </w:r>
      <w:r w:rsidRPr="00BD4EA7">
        <w:rPr>
          <w:lang w:val="es-ES"/>
        </w:rPr>
        <w:t>Serie C No. 372, párr. 98.</w:t>
      </w:r>
    </w:p>
  </w:footnote>
  <w:footnote w:id="182">
    <w:p w14:paraId="2B637513" w14:textId="77777777" w:rsidR="009624E3" w:rsidRPr="00BD4EA7" w:rsidRDefault="009624E3" w:rsidP="007B034C">
      <w:pPr>
        <w:pStyle w:val="FootnoteText"/>
        <w:rPr>
          <w:lang w:val="pt-BR"/>
        </w:rPr>
      </w:pPr>
      <w:r>
        <w:rPr>
          <w:rStyle w:val="FootnoteReference"/>
        </w:rPr>
        <w:footnoteRef/>
      </w:r>
      <w:r w:rsidRPr="00393AD2">
        <w:rPr>
          <w:lang w:val="es-ES"/>
        </w:rPr>
        <w:t xml:space="preserve"> </w:t>
      </w:r>
      <w:r w:rsidRPr="009A78B4">
        <w:rPr>
          <w:lang w:val="es-ES"/>
        </w:rPr>
        <w:t>CIDH. Verdad, justicia y reparación: Cuarto informe sobre la situaci</w:t>
      </w:r>
      <w:r>
        <w:rPr>
          <w:lang w:val="es-ES"/>
        </w:rPr>
        <w:t xml:space="preserve">ón de derechos humanos en Colombia. </w:t>
      </w:r>
      <w:r w:rsidRPr="00BD4EA7">
        <w:rPr>
          <w:lang w:val="pt-BR"/>
        </w:rPr>
        <w:t>OEA/Ser.L/V.II. Doc. 49/13. 31 diciembre 2013, párr. 468.</w:t>
      </w:r>
    </w:p>
  </w:footnote>
  <w:footnote w:id="183">
    <w:p w14:paraId="218F22E2" w14:textId="77777777" w:rsidR="009624E3" w:rsidRPr="007301BA" w:rsidRDefault="009624E3" w:rsidP="007B034C">
      <w:pPr>
        <w:pStyle w:val="FootnoteText"/>
        <w:rPr>
          <w:lang w:val="es-ES"/>
        </w:rPr>
      </w:pPr>
      <w:r w:rsidRPr="001A5F69">
        <w:rPr>
          <w:rStyle w:val="FootnoteReference"/>
        </w:rPr>
        <w:footnoteRef/>
      </w:r>
      <w:r>
        <w:rPr>
          <w:lang w:val="pt-BR"/>
        </w:rPr>
        <w:t xml:space="preserve"> Corte </w:t>
      </w:r>
      <w:r w:rsidRPr="00BF1B41">
        <w:rPr>
          <w:lang w:val="pt-BR"/>
        </w:rPr>
        <w:t xml:space="preserve">IDH. Caso Gomes Lund y otros ("Guerrilha do Araguaia") Vs. </w:t>
      </w:r>
      <w:r w:rsidRPr="00BF1B41">
        <w:rPr>
          <w:lang w:val="es-ES"/>
        </w:rPr>
        <w:t>Brasil. Excepciones</w:t>
      </w:r>
      <w:r>
        <w:rPr>
          <w:lang w:val="es-ES"/>
        </w:rPr>
        <w:t xml:space="preserve"> Preliminares, Fondo, Reparaciones y Costas. Sentencia de 24 de noviembre de 2010. Serie C No. 219</w:t>
      </w:r>
      <w:r w:rsidRPr="007301BA">
        <w:rPr>
          <w:lang w:val="es-ES"/>
        </w:rPr>
        <w:t>, párr. 303.</w:t>
      </w:r>
      <w:r w:rsidRPr="007301BA">
        <w:rPr>
          <w:i/>
          <w:lang w:val="es-ES"/>
        </w:rPr>
        <w:t xml:space="preserve"> </w:t>
      </w:r>
      <w:r w:rsidRPr="007301BA">
        <w:rPr>
          <w:lang w:val="es-ES"/>
        </w:rPr>
        <w:t xml:space="preserve"> </w:t>
      </w:r>
    </w:p>
  </w:footnote>
  <w:footnote w:id="184">
    <w:p w14:paraId="0B3A0ECC" w14:textId="77777777" w:rsidR="009624E3" w:rsidRPr="008E39CC" w:rsidRDefault="009624E3" w:rsidP="007B034C">
      <w:pPr>
        <w:pStyle w:val="FootnoteText"/>
        <w:rPr>
          <w:lang w:val="es-ES"/>
        </w:rPr>
      </w:pPr>
      <w:r w:rsidRPr="008E39CC">
        <w:rPr>
          <w:rStyle w:val="FootnoteReference"/>
          <w:color w:val="auto"/>
        </w:rPr>
        <w:footnoteRef/>
      </w:r>
      <w:r w:rsidRPr="008E39CC">
        <w:rPr>
          <w:color w:val="auto"/>
          <w:lang w:val="es-CO"/>
        </w:rPr>
        <w:t xml:space="preserve"> </w:t>
      </w:r>
      <w:r w:rsidRPr="00AD6147">
        <w:rPr>
          <w:lang w:val="es-ES"/>
        </w:rPr>
        <w:t xml:space="preserve">Corte IDH. </w:t>
      </w:r>
      <w:r w:rsidRPr="008E39CC">
        <w:rPr>
          <w:lang w:val="es-ES"/>
        </w:rPr>
        <w:t>Caso García Lucero y otras Vs. Chile. Excepción Preliminar, Fondo y Reparaciones. Sentencia de 28 de agosto de 2013. Serie C No. 267, párrs. 190 y</w:t>
      </w:r>
      <w:r w:rsidRPr="00AD6147">
        <w:rPr>
          <w:lang w:val="es-ES"/>
        </w:rPr>
        <w:t xml:space="preserve"> </w:t>
      </w:r>
      <w:r w:rsidRPr="008E39CC">
        <w:rPr>
          <w:lang w:val="es-ES"/>
        </w:rPr>
        <w:t>192.</w:t>
      </w:r>
      <w:r w:rsidRPr="008E39CC">
        <w:rPr>
          <w:b/>
          <w:bCs/>
          <w:lang w:val="es-ES"/>
        </w:rPr>
        <w:t xml:space="preserve"> </w:t>
      </w:r>
    </w:p>
  </w:footnote>
  <w:footnote w:id="185">
    <w:p w14:paraId="4D5661A7" w14:textId="77777777" w:rsidR="009624E3" w:rsidRPr="006E778F" w:rsidRDefault="009624E3" w:rsidP="007B034C">
      <w:pPr>
        <w:pStyle w:val="FootnoteText"/>
        <w:rPr>
          <w:lang w:val="es-ES"/>
        </w:rPr>
      </w:pPr>
      <w:r>
        <w:rPr>
          <w:rStyle w:val="FootnoteReference"/>
        </w:rPr>
        <w:footnoteRef/>
      </w:r>
      <w:r w:rsidRPr="006E778F">
        <w:rPr>
          <w:lang w:val="es-ES"/>
        </w:rPr>
        <w:t xml:space="preserve"> </w:t>
      </w:r>
      <w:r w:rsidRPr="007301BA">
        <w:rPr>
          <w:lang w:val="es-ES"/>
        </w:rPr>
        <w:t xml:space="preserve">Corte IDH. </w:t>
      </w:r>
      <w:r>
        <w:rPr>
          <w:lang w:val="es-ES"/>
        </w:rPr>
        <w:t>Caso Órdenes Guerra y otros Vs. Chile. Fondo, Reparaciones y Costas. Sentencia de 29 de noviembre de 2018. Serie C No. 372, párr. 100.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9ED10" w14:textId="77777777" w:rsidR="009624E3" w:rsidRDefault="009624E3" w:rsidP="001D402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D586E4E" w14:textId="77777777" w:rsidR="009624E3" w:rsidRDefault="009624E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BFD66" w14:textId="77777777" w:rsidR="009624E3" w:rsidRDefault="009624E3" w:rsidP="00A50FCF">
    <w:pPr>
      <w:pStyle w:val="Header"/>
      <w:tabs>
        <w:tab w:val="clear" w:pos="4320"/>
        <w:tab w:val="clear" w:pos="8640"/>
      </w:tabs>
      <w:jc w:val="center"/>
      <w:rPr>
        <w:sz w:val="22"/>
        <w:szCs w:val="22"/>
      </w:rPr>
    </w:pPr>
    <w:r>
      <w:rPr>
        <w:noProof/>
        <w:sz w:val="22"/>
        <w:szCs w:val="22"/>
      </w:rPr>
      <w:drawing>
        <wp:inline distT="0" distB="0" distL="0" distR="0" wp14:anchorId="545727B2" wp14:editId="2E9AC4C3">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CF4F976" w14:textId="77777777" w:rsidR="009624E3" w:rsidRPr="00EC7D62" w:rsidRDefault="009624E3" w:rsidP="00A50FCF">
    <w:pPr>
      <w:pStyle w:val="Header"/>
      <w:tabs>
        <w:tab w:val="clear" w:pos="4320"/>
        <w:tab w:val="clear" w:pos="8640"/>
      </w:tabs>
      <w:jc w:val="center"/>
      <w:rPr>
        <w:sz w:val="22"/>
        <w:szCs w:val="22"/>
      </w:rPr>
    </w:pPr>
    <w:r>
      <w:rPr>
        <w:sz w:val="22"/>
        <w:szCs w:val="22"/>
      </w:rPr>
      <w:pict w14:anchorId="64992E16">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3ACDA" w14:textId="77777777" w:rsidR="009624E3" w:rsidRDefault="009624E3" w:rsidP="00E8367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F4ACBFC" w14:textId="77777777" w:rsidR="009624E3" w:rsidRDefault="009624E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1DC5A45"/>
    <w:multiLevelType w:val="hybridMultilevel"/>
    <w:tmpl w:val="A87416FC"/>
    <w:lvl w:ilvl="0" w:tplc="88F80848">
      <w:start w:val="187"/>
      <w:numFmt w:val="decimal"/>
      <w:lvlText w:val="%1."/>
      <w:lvlJc w:val="left"/>
      <w:pPr>
        <w:ind w:left="360" w:hanging="360"/>
      </w:pPr>
      <w:rPr>
        <w:rFonts w:ascii="Cambria" w:hAnsi="Cambria"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4E36E65"/>
    <w:multiLevelType w:val="hybridMultilevel"/>
    <w:tmpl w:val="E9E0CEDE"/>
    <w:lvl w:ilvl="0" w:tplc="9E78DD8E">
      <w:start w:val="153"/>
      <w:numFmt w:val="decimal"/>
      <w:lvlText w:val="%1."/>
      <w:lvlJc w:val="left"/>
      <w:pPr>
        <w:ind w:left="360" w:hanging="360"/>
      </w:pPr>
      <w:rPr>
        <w:rFonts w:ascii="Cambria" w:hAnsi="Cambria"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850942"/>
    <w:multiLevelType w:val="hybridMultilevel"/>
    <w:tmpl w:val="DA4C17B8"/>
    <w:lvl w:ilvl="0" w:tplc="F96EA7A6">
      <w:start w:val="1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1BA1DF4"/>
    <w:multiLevelType w:val="hybridMultilevel"/>
    <w:tmpl w:val="4EF6A0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F4C2503"/>
    <w:multiLevelType w:val="hybridMultilevel"/>
    <w:tmpl w:val="5C3A7CE0"/>
    <w:lvl w:ilvl="0" w:tplc="C022907C">
      <w:start w:val="190"/>
      <w:numFmt w:val="decimal"/>
      <w:lvlText w:val="%1."/>
      <w:lvlJc w:val="left"/>
      <w:pPr>
        <w:ind w:left="360" w:hanging="360"/>
      </w:pPr>
      <w:rPr>
        <w:rFonts w:ascii="Cambria" w:hAnsi="Cambria"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1F4238F"/>
    <w:multiLevelType w:val="hybridMultilevel"/>
    <w:tmpl w:val="2032AA64"/>
    <w:lvl w:ilvl="0" w:tplc="2D2AEACA">
      <w:start w:val="1"/>
      <w:numFmt w:val="decimal"/>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510F31"/>
    <w:multiLevelType w:val="hybridMultilevel"/>
    <w:tmpl w:val="20D87FFA"/>
    <w:lvl w:ilvl="0" w:tplc="39E21066">
      <w:start w:val="160"/>
      <w:numFmt w:val="decimal"/>
      <w:lvlText w:val="%1."/>
      <w:lvlJc w:val="left"/>
      <w:pPr>
        <w:ind w:left="360" w:hanging="360"/>
      </w:pPr>
      <w:rPr>
        <w:rFonts w:ascii="Cambria" w:hAnsi="Cambria"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72A0BA1"/>
    <w:multiLevelType w:val="hybridMultilevel"/>
    <w:tmpl w:val="B7FCCB68"/>
    <w:lvl w:ilvl="0" w:tplc="FDEAA10A">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3"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4" w15:restartNumberingAfterBreak="0">
    <w:nsid w:val="401A6212"/>
    <w:multiLevelType w:val="hybridMultilevel"/>
    <w:tmpl w:val="0E28989A"/>
    <w:lvl w:ilvl="0" w:tplc="9A5C2456">
      <w:start w:val="204"/>
      <w:numFmt w:val="decimal"/>
      <w:lvlText w:val="%1."/>
      <w:lvlJc w:val="left"/>
      <w:pPr>
        <w:ind w:left="360" w:hanging="360"/>
      </w:pPr>
      <w:rPr>
        <w:rFonts w:ascii="Cambria" w:hAnsi="Cambria"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F0A6640"/>
    <w:multiLevelType w:val="hybridMultilevel"/>
    <w:tmpl w:val="E7E4DC20"/>
    <w:lvl w:ilvl="0" w:tplc="E0FA688E">
      <w:start w:val="136"/>
      <w:numFmt w:val="decimal"/>
      <w:lvlText w:val="%1."/>
      <w:lvlJc w:val="left"/>
      <w:pPr>
        <w:ind w:left="360" w:hanging="360"/>
      </w:pPr>
      <w:rPr>
        <w:rFonts w:ascii="Cambria" w:hAnsi="Cambria"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FB05AA3"/>
    <w:multiLevelType w:val="hybridMultilevel"/>
    <w:tmpl w:val="D36A4416"/>
    <w:lvl w:ilvl="0" w:tplc="8A5C8292">
      <w:start w:val="138"/>
      <w:numFmt w:val="decimal"/>
      <w:lvlText w:val="%1."/>
      <w:lvlJc w:val="left"/>
      <w:pPr>
        <w:ind w:left="360" w:hanging="360"/>
      </w:pPr>
      <w:rPr>
        <w:rFonts w:ascii="Cambria" w:hAnsi="Cambria"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45A36DD"/>
    <w:multiLevelType w:val="hybridMultilevel"/>
    <w:tmpl w:val="FA6827F0"/>
    <w:lvl w:ilvl="0" w:tplc="0304EB5C">
      <w:start w:val="149"/>
      <w:numFmt w:val="decimal"/>
      <w:lvlText w:val="%1."/>
      <w:lvlJc w:val="left"/>
      <w:pPr>
        <w:ind w:left="360" w:hanging="360"/>
      </w:pPr>
      <w:rPr>
        <w:rFonts w:ascii="Cambria" w:hAnsi="Cambria"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5D7D4B9D"/>
    <w:multiLevelType w:val="hybridMultilevel"/>
    <w:tmpl w:val="A6B2678E"/>
    <w:lvl w:ilvl="0" w:tplc="9E0CAF0C">
      <w:start w:val="1"/>
      <w:numFmt w:val="decimal"/>
      <w:lvlText w:val="%1."/>
      <w:lvlJc w:val="left"/>
      <w:pPr>
        <w:ind w:left="360" w:hanging="360"/>
      </w:pPr>
      <w:rPr>
        <w:rFonts w:ascii="Cambria" w:hAnsi="Cambria"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F4B0A7F"/>
    <w:multiLevelType w:val="hybridMultilevel"/>
    <w:tmpl w:val="D682DE76"/>
    <w:lvl w:ilvl="0" w:tplc="1B0635D6">
      <w:start w:val="144"/>
      <w:numFmt w:val="decimal"/>
      <w:lvlText w:val="%1."/>
      <w:lvlJc w:val="left"/>
      <w:pPr>
        <w:ind w:left="360" w:hanging="360"/>
      </w:pPr>
      <w:rPr>
        <w:rFonts w:ascii="Cambria" w:hAnsi="Cambria"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7" w15:restartNumberingAfterBreak="0">
    <w:nsid w:val="66BE5E6A"/>
    <w:multiLevelType w:val="hybridMultilevel"/>
    <w:tmpl w:val="C9D20C7E"/>
    <w:lvl w:ilvl="0" w:tplc="B47EC36A">
      <w:start w:val="1"/>
      <w:numFmt w:val="decimal"/>
      <w:lvlText w:val="%1."/>
      <w:lvlJc w:val="left"/>
      <w:pPr>
        <w:tabs>
          <w:tab w:val="num" w:pos="1440"/>
        </w:tabs>
        <w:ind w:left="720" w:firstLine="72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3BE03F1"/>
    <w:multiLevelType w:val="hybridMultilevel"/>
    <w:tmpl w:val="DB607FEE"/>
    <w:lvl w:ilvl="0" w:tplc="199A7FD0">
      <w:start w:val="181"/>
      <w:numFmt w:val="decimal"/>
      <w:lvlText w:val="%1."/>
      <w:lvlJc w:val="left"/>
      <w:pPr>
        <w:ind w:left="360" w:hanging="360"/>
      </w:pPr>
      <w:rPr>
        <w:rFonts w:ascii="Cambria" w:hAnsi="Cambria"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4471F5F"/>
    <w:multiLevelType w:val="hybridMultilevel"/>
    <w:tmpl w:val="DC0A117C"/>
    <w:lvl w:ilvl="0" w:tplc="3F842D76">
      <w:start w:val="1"/>
      <w:numFmt w:val="upperLetter"/>
      <w:pStyle w:val="Heading2"/>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AC3594F"/>
    <w:multiLevelType w:val="hybridMultilevel"/>
    <w:tmpl w:val="CCA678B0"/>
    <w:lvl w:ilvl="0" w:tplc="134CC526">
      <w:start w:val="195"/>
      <w:numFmt w:val="decimal"/>
      <w:lvlText w:val="%1."/>
      <w:lvlJc w:val="left"/>
      <w:pPr>
        <w:ind w:left="720" w:hanging="360"/>
      </w:pPr>
      <w:rPr>
        <w:rFonts w:ascii="Cambria" w:hAnsi="Cambri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9" w15:restartNumberingAfterBreak="0">
    <w:nsid w:val="7CE64D32"/>
    <w:multiLevelType w:val="hybridMultilevel"/>
    <w:tmpl w:val="72D6F5E4"/>
    <w:lvl w:ilvl="0" w:tplc="8612C280">
      <w:start w:val="1"/>
      <w:numFmt w:val="decimal"/>
      <w:pStyle w:val="Estilo2"/>
      <w:lvlText w:val="%1."/>
      <w:lvlJc w:val="left"/>
      <w:pPr>
        <w:tabs>
          <w:tab w:val="num" w:pos="6261"/>
        </w:tabs>
      </w:pPr>
      <w:rPr>
        <w:rFonts w:ascii="Verdana" w:eastAsia="Times New Roman" w:hAnsi="Verdana" w:cs="Times New Roman" w:hint="default"/>
        <w:b w:val="0"/>
        <w:i w:val="0"/>
        <w:strike w:val="0"/>
        <w:color w:val="auto"/>
        <w:sz w:val="20"/>
        <w:szCs w:val="20"/>
        <w:lang w:val="es-CR"/>
      </w:rPr>
    </w:lvl>
    <w:lvl w:ilvl="1" w:tplc="DEFAA010">
      <w:start w:val="1"/>
      <w:numFmt w:val="lowerLetter"/>
      <w:lvlText w:val="%2)"/>
      <w:lvlJc w:val="left"/>
      <w:pPr>
        <w:tabs>
          <w:tab w:val="num" w:pos="1080"/>
        </w:tabs>
        <w:ind w:left="1080" w:hanging="360"/>
      </w:pPr>
      <w:rPr>
        <w:rFonts w:ascii="Verdana" w:hAnsi="Verdana" w:cs="Times New Roman" w:hint="default"/>
        <w:b/>
        <w:i w:val="0"/>
        <w:caps w:val="0"/>
        <w:strike w:val="0"/>
        <w:dstrike w:val="0"/>
        <w:vanish w:val="0"/>
        <w:color w:val="auto"/>
        <w:sz w:val="20"/>
        <w:vertAlign w:val="baseline"/>
      </w:rPr>
    </w:lvl>
    <w:lvl w:ilvl="2" w:tplc="0409001B">
      <w:start w:val="1"/>
      <w:numFmt w:val="lowerRoman"/>
      <w:lvlText w:val="%3."/>
      <w:lvlJc w:val="right"/>
      <w:pPr>
        <w:tabs>
          <w:tab w:val="num" w:pos="821"/>
        </w:tabs>
        <w:ind w:left="187" w:firstLine="447"/>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1" w15:restartNumberingAfterBreak="0">
    <w:nsid w:val="7ECC36F6"/>
    <w:multiLevelType w:val="hybridMultilevel"/>
    <w:tmpl w:val="3FB08DBE"/>
    <w:lvl w:ilvl="0" w:tplc="7D0A5278">
      <w:start w:val="1"/>
      <w:numFmt w:val="decimal"/>
      <w:pStyle w:val="Style2"/>
      <w:lvlText w:val="%1."/>
      <w:lvlJc w:val="left"/>
      <w:pPr>
        <w:tabs>
          <w:tab w:val="num" w:pos="720"/>
        </w:tabs>
        <w:ind w:left="0" w:firstLine="720"/>
      </w:pPr>
      <w:rPr>
        <w:rFonts w:ascii="Cambria" w:hAnsi="Cambria" w:hint="default"/>
        <w:b w:val="0"/>
        <w:i w:val="0"/>
        <w:color w:val="auto"/>
        <w:sz w:val="20"/>
        <w:szCs w:val="20"/>
      </w:rPr>
    </w:lvl>
    <w:lvl w:ilvl="1" w:tplc="8818AAE4">
      <w:start w:val="4"/>
      <w:numFmt w:val="upperRoman"/>
      <w:lvlText w:val="%2."/>
      <w:lvlJc w:val="left"/>
      <w:pPr>
        <w:tabs>
          <w:tab w:val="num" w:pos="2160"/>
        </w:tabs>
        <w:ind w:left="2160" w:hanging="720"/>
      </w:pPr>
      <w:rPr>
        <w:rFonts w:hint="default"/>
        <w:b/>
      </w:rPr>
    </w:lvl>
    <w:lvl w:ilvl="2" w:tplc="ECA8A366">
      <w:start w:val="1"/>
      <w:numFmt w:val="upperLetter"/>
      <w:lvlText w:val="%3."/>
      <w:lvlJc w:val="left"/>
      <w:pPr>
        <w:tabs>
          <w:tab w:val="num" w:pos="3060"/>
        </w:tabs>
        <w:ind w:left="3060" w:hanging="720"/>
      </w:pPr>
      <w:rPr>
        <w:rFonts w:hint="default"/>
        <w:b/>
      </w:rPr>
    </w:lvl>
    <w:lvl w:ilvl="3" w:tplc="CFE897F8">
      <w:start w:val="1"/>
      <w:numFmt w:val="lowerLetter"/>
      <w:lvlText w:val="%4."/>
      <w:lvlJc w:val="left"/>
      <w:pPr>
        <w:tabs>
          <w:tab w:val="num" w:pos="3240"/>
        </w:tabs>
        <w:ind w:left="3240" w:hanging="360"/>
      </w:pPr>
      <w:rPr>
        <w:rFonts w:hint="default"/>
      </w:rPr>
    </w:lvl>
    <w:lvl w:ilvl="4" w:tplc="1D229B08">
      <w:start w:val="9"/>
      <w:numFmt w:val="bullet"/>
      <w:lvlText w:val="-"/>
      <w:lvlJc w:val="left"/>
      <w:pPr>
        <w:tabs>
          <w:tab w:val="num" w:pos="3960"/>
        </w:tabs>
        <w:ind w:left="3960" w:hanging="360"/>
      </w:pPr>
      <w:rPr>
        <w:rFonts w:ascii="Univers" w:eastAsia="Times New Roman" w:hAnsi="Univer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64"/>
  </w:num>
  <w:num w:numId="4">
    <w:abstractNumId w:val="26"/>
  </w:num>
  <w:num w:numId="5">
    <w:abstractNumId w:val="56"/>
  </w:num>
  <w:num w:numId="6">
    <w:abstractNumId w:val="32"/>
  </w:num>
  <w:num w:numId="7">
    <w:abstractNumId w:val="7"/>
  </w:num>
  <w:num w:numId="8">
    <w:abstractNumId w:val="19"/>
  </w:num>
  <w:num w:numId="9">
    <w:abstractNumId w:val="49"/>
  </w:num>
  <w:num w:numId="10">
    <w:abstractNumId w:val="0"/>
  </w:num>
  <w:num w:numId="11">
    <w:abstractNumId w:val="42"/>
  </w:num>
  <w:num w:numId="12">
    <w:abstractNumId w:val="43"/>
  </w:num>
  <w:num w:numId="13">
    <w:abstractNumId w:val="51"/>
  </w:num>
  <w:num w:numId="14">
    <w:abstractNumId w:val="1"/>
  </w:num>
  <w:num w:numId="15">
    <w:abstractNumId w:val="2"/>
  </w:num>
  <w:num w:numId="16">
    <w:abstractNumId w:val="8"/>
  </w:num>
  <w:num w:numId="17">
    <w:abstractNumId w:val="9"/>
  </w:num>
  <w:num w:numId="18">
    <w:abstractNumId w:val="11"/>
  </w:num>
  <w:num w:numId="19">
    <w:abstractNumId w:val="12"/>
  </w:num>
  <w:num w:numId="20">
    <w:abstractNumId w:val="13"/>
  </w:num>
  <w:num w:numId="21">
    <w:abstractNumId w:val="15"/>
  </w:num>
  <w:num w:numId="22">
    <w:abstractNumId w:val="16"/>
  </w:num>
  <w:num w:numId="23">
    <w:abstractNumId w:val="17"/>
  </w:num>
  <w:num w:numId="24">
    <w:abstractNumId w:val="18"/>
  </w:num>
  <w:num w:numId="25">
    <w:abstractNumId w:val="20"/>
  </w:num>
  <w:num w:numId="26">
    <w:abstractNumId w:val="21"/>
  </w:num>
  <w:num w:numId="27">
    <w:abstractNumId w:val="27"/>
  </w:num>
  <w:num w:numId="28">
    <w:abstractNumId w:val="28"/>
  </w:num>
  <w:num w:numId="29">
    <w:abstractNumId w:val="29"/>
  </w:num>
  <w:num w:numId="30">
    <w:abstractNumId w:val="31"/>
  </w:num>
  <w:num w:numId="31">
    <w:abstractNumId w:val="33"/>
  </w:num>
  <w:num w:numId="32">
    <w:abstractNumId w:val="35"/>
  </w:num>
  <w:num w:numId="33">
    <w:abstractNumId w:val="36"/>
  </w:num>
  <w:num w:numId="34">
    <w:abstractNumId w:val="37"/>
  </w:num>
  <w:num w:numId="35">
    <w:abstractNumId w:val="38"/>
  </w:num>
  <w:num w:numId="36">
    <w:abstractNumId w:val="39"/>
  </w:num>
  <w:num w:numId="37">
    <w:abstractNumId w:val="40"/>
  </w:num>
  <w:num w:numId="38">
    <w:abstractNumId w:val="41"/>
  </w:num>
  <w:num w:numId="39">
    <w:abstractNumId w:val="46"/>
  </w:num>
  <w:num w:numId="40">
    <w:abstractNumId w:val="47"/>
  </w:num>
  <w:num w:numId="41">
    <w:abstractNumId w:val="55"/>
  </w:num>
  <w:num w:numId="42">
    <w:abstractNumId w:val="58"/>
  </w:num>
  <w:num w:numId="43">
    <w:abstractNumId w:val="59"/>
  </w:num>
  <w:num w:numId="44">
    <w:abstractNumId w:val="62"/>
  </w:num>
  <w:num w:numId="45">
    <w:abstractNumId w:val="63"/>
  </w:num>
  <w:num w:numId="46">
    <w:abstractNumId w:val="65"/>
  </w:num>
  <w:num w:numId="47">
    <w:abstractNumId w:val="67"/>
  </w:num>
  <w:num w:numId="48">
    <w:abstractNumId w:val="68"/>
  </w:num>
  <w:num w:numId="49">
    <w:abstractNumId w:val="70"/>
  </w:num>
  <w:num w:numId="50">
    <w:abstractNumId w:val="72"/>
  </w:num>
  <w:num w:numId="51">
    <w:abstractNumId w:val="23"/>
  </w:num>
  <w:num w:numId="52">
    <w:abstractNumId w:val="48"/>
  </w:num>
  <w:num w:numId="53">
    <w:abstractNumId w:val="52"/>
  </w:num>
  <w:num w:numId="54">
    <w:abstractNumId w:val="30"/>
  </w:num>
  <w:num w:numId="55">
    <w:abstractNumId w:val="53"/>
  </w:num>
  <w:num w:numId="56">
    <w:abstractNumId w:val="14"/>
  </w:num>
  <w:num w:numId="57">
    <w:abstractNumId w:val="69"/>
  </w:num>
  <w:num w:numId="58">
    <w:abstractNumId w:val="71"/>
  </w:num>
  <w:num w:numId="59">
    <w:abstractNumId w:val="57"/>
  </w:num>
  <w:num w:numId="60">
    <w:abstractNumId w:val="66"/>
  </w:num>
  <w:num w:numId="61">
    <w:abstractNumId w:val="61"/>
  </w:num>
  <w:num w:numId="62">
    <w:abstractNumId w:val="24"/>
  </w:num>
  <w:num w:numId="63">
    <w:abstractNumId w:val="61"/>
    <w:lvlOverride w:ilvl="0">
      <w:startOverride w:val="1"/>
    </w:lvlOverride>
  </w:num>
  <w:num w:numId="64">
    <w:abstractNumId w:val="61"/>
    <w:lvlOverride w:ilvl="0">
      <w:startOverride w:val="1"/>
    </w:lvlOverride>
  </w:num>
  <w:num w:numId="65">
    <w:abstractNumId w:val="61"/>
    <w:lvlOverride w:ilvl="0">
      <w:startOverride w:val="1"/>
    </w:lvlOverride>
  </w:num>
  <w:num w:numId="66">
    <w:abstractNumId w:val="24"/>
    <w:lvlOverride w:ilvl="0">
      <w:startOverride w:val="1"/>
    </w:lvlOverride>
  </w:num>
  <w:num w:numId="67">
    <w:abstractNumId w:val="24"/>
    <w:lvlOverride w:ilvl="0">
      <w:startOverride w:val="1"/>
    </w:lvlOverride>
  </w:num>
  <w:num w:numId="68">
    <w:abstractNumId w:val="24"/>
    <w:lvlOverride w:ilvl="0">
      <w:startOverride w:val="1"/>
    </w:lvlOverride>
  </w:num>
  <w:num w:numId="69">
    <w:abstractNumId w:val="24"/>
    <w:lvlOverride w:ilvl="0">
      <w:startOverride w:val="1"/>
    </w:lvlOverride>
  </w:num>
  <w:num w:numId="70">
    <w:abstractNumId w:val="24"/>
    <w:lvlOverride w:ilvl="0">
      <w:startOverride w:val="1"/>
    </w:lvlOverride>
  </w:num>
  <w:num w:numId="71">
    <w:abstractNumId w:val="24"/>
    <w:lvlOverride w:ilvl="0">
      <w:startOverride w:val="1"/>
    </w:lvlOverride>
  </w:num>
  <w:num w:numId="72">
    <w:abstractNumId w:val="24"/>
    <w:lvlOverride w:ilvl="0">
      <w:startOverride w:val="1"/>
    </w:lvlOverride>
  </w:num>
  <w:num w:numId="73">
    <w:abstractNumId w:val="24"/>
    <w:lvlOverride w:ilvl="0">
      <w:startOverride w:val="1"/>
    </w:lvlOverride>
  </w:num>
  <w:num w:numId="74">
    <w:abstractNumId w:val="10"/>
  </w:num>
  <w:num w:numId="75">
    <w:abstractNumId w:val="44"/>
  </w:num>
  <w:num w:numId="76">
    <w:abstractNumId w:val="45"/>
  </w:num>
  <w:num w:numId="77">
    <w:abstractNumId w:val="54"/>
  </w:num>
  <w:num w:numId="78">
    <w:abstractNumId w:val="50"/>
  </w:num>
  <w:num w:numId="79">
    <w:abstractNumId w:val="6"/>
  </w:num>
  <w:num w:numId="80">
    <w:abstractNumId w:val="25"/>
  </w:num>
  <w:num w:numId="81">
    <w:abstractNumId w:val="60"/>
  </w:num>
  <w:num w:numId="82">
    <w:abstractNumId w:val="4"/>
  </w:num>
  <w:num w:numId="83">
    <w:abstractNumId w:val="22"/>
  </w:num>
  <w:num w:numId="84">
    <w:abstractNumId w:val="3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8DE"/>
    <w:rsid w:val="000009FD"/>
    <w:rsid w:val="00000CDA"/>
    <w:rsid w:val="00001FCA"/>
    <w:rsid w:val="000028E6"/>
    <w:rsid w:val="00002A90"/>
    <w:rsid w:val="00002B2E"/>
    <w:rsid w:val="00003419"/>
    <w:rsid w:val="0000485C"/>
    <w:rsid w:val="00005804"/>
    <w:rsid w:val="00006896"/>
    <w:rsid w:val="00006E1F"/>
    <w:rsid w:val="000070D7"/>
    <w:rsid w:val="00007918"/>
    <w:rsid w:val="00010F53"/>
    <w:rsid w:val="000158FD"/>
    <w:rsid w:val="00015A77"/>
    <w:rsid w:val="00015F2A"/>
    <w:rsid w:val="0001747A"/>
    <w:rsid w:val="0001788C"/>
    <w:rsid w:val="00020333"/>
    <w:rsid w:val="00021888"/>
    <w:rsid w:val="0002209D"/>
    <w:rsid w:val="00022A31"/>
    <w:rsid w:val="00024287"/>
    <w:rsid w:val="00024432"/>
    <w:rsid w:val="00024999"/>
    <w:rsid w:val="0002587C"/>
    <w:rsid w:val="0002690E"/>
    <w:rsid w:val="00026DDB"/>
    <w:rsid w:val="00026F8D"/>
    <w:rsid w:val="000276A0"/>
    <w:rsid w:val="00030328"/>
    <w:rsid w:val="00031111"/>
    <w:rsid w:val="00031B88"/>
    <w:rsid w:val="00033B4A"/>
    <w:rsid w:val="0003444F"/>
    <w:rsid w:val="00034CA0"/>
    <w:rsid w:val="0003590C"/>
    <w:rsid w:val="00036342"/>
    <w:rsid w:val="0003669C"/>
    <w:rsid w:val="00036BCF"/>
    <w:rsid w:val="0004095C"/>
    <w:rsid w:val="00040C3A"/>
    <w:rsid w:val="00041575"/>
    <w:rsid w:val="0004245D"/>
    <w:rsid w:val="0004299E"/>
    <w:rsid w:val="00042D2D"/>
    <w:rsid w:val="00042E82"/>
    <w:rsid w:val="0004364E"/>
    <w:rsid w:val="00045114"/>
    <w:rsid w:val="00045D27"/>
    <w:rsid w:val="00046BB6"/>
    <w:rsid w:val="00046E37"/>
    <w:rsid w:val="000476B0"/>
    <w:rsid w:val="000504FD"/>
    <w:rsid w:val="0005095A"/>
    <w:rsid w:val="00050C22"/>
    <w:rsid w:val="0005218B"/>
    <w:rsid w:val="00053B6C"/>
    <w:rsid w:val="00053E25"/>
    <w:rsid w:val="0005495E"/>
    <w:rsid w:val="0005536A"/>
    <w:rsid w:val="000556A1"/>
    <w:rsid w:val="000557CB"/>
    <w:rsid w:val="000571A6"/>
    <w:rsid w:val="0005747D"/>
    <w:rsid w:val="00060421"/>
    <w:rsid w:val="00062203"/>
    <w:rsid w:val="00062302"/>
    <w:rsid w:val="00062964"/>
    <w:rsid w:val="000655CA"/>
    <w:rsid w:val="000664F4"/>
    <w:rsid w:val="00067A5D"/>
    <w:rsid w:val="00067FDA"/>
    <w:rsid w:val="0007034B"/>
    <w:rsid w:val="000711B5"/>
    <w:rsid w:val="0007131A"/>
    <w:rsid w:val="000716C5"/>
    <w:rsid w:val="00072735"/>
    <w:rsid w:val="00072BBF"/>
    <w:rsid w:val="00073544"/>
    <w:rsid w:val="000742F3"/>
    <w:rsid w:val="00074F17"/>
    <w:rsid w:val="00075E23"/>
    <w:rsid w:val="0007650D"/>
    <w:rsid w:val="00080A82"/>
    <w:rsid w:val="00080B1B"/>
    <w:rsid w:val="00081839"/>
    <w:rsid w:val="00082685"/>
    <w:rsid w:val="00083849"/>
    <w:rsid w:val="00083FA8"/>
    <w:rsid w:val="000842E4"/>
    <w:rsid w:val="00084644"/>
    <w:rsid w:val="00084A1C"/>
    <w:rsid w:val="00085DEF"/>
    <w:rsid w:val="00086771"/>
    <w:rsid w:val="00086A10"/>
    <w:rsid w:val="00086F4E"/>
    <w:rsid w:val="000871B5"/>
    <w:rsid w:val="0008768F"/>
    <w:rsid w:val="00087996"/>
    <w:rsid w:val="00090E9A"/>
    <w:rsid w:val="00091A05"/>
    <w:rsid w:val="0009209F"/>
    <w:rsid w:val="000932C4"/>
    <w:rsid w:val="0009344A"/>
    <w:rsid w:val="00094D71"/>
    <w:rsid w:val="000954B3"/>
    <w:rsid w:val="00097006"/>
    <w:rsid w:val="00097215"/>
    <w:rsid w:val="00097398"/>
    <w:rsid w:val="000A04A0"/>
    <w:rsid w:val="000A1422"/>
    <w:rsid w:val="000A2846"/>
    <w:rsid w:val="000A2F8F"/>
    <w:rsid w:val="000A3729"/>
    <w:rsid w:val="000A392E"/>
    <w:rsid w:val="000A489C"/>
    <w:rsid w:val="000A50CC"/>
    <w:rsid w:val="000A5146"/>
    <w:rsid w:val="000A5612"/>
    <w:rsid w:val="000A575F"/>
    <w:rsid w:val="000A576A"/>
    <w:rsid w:val="000A5814"/>
    <w:rsid w:val="000A5E02"/>
    <w:rsid w:val="000A6068"/>
    <w:rsid w:val="000A7144"/>
    <w:rsid w:val="000A77CC"/>
    <w:rsid w:val="000B0EFC"/>
    <w:rsid w:val="000B0F1D"/>
    <w:rsid w:val="000B1270"/>
    <w:rsid w:val="000B16BF"/>
    <w:rsid w:val="000B2B18"/>
    <w:rsid w:val="000B2C9E"/>
    <w:rsid w:val="000B3FC4"/>
    <w:rsid w:val="000B408E"/>
    <w:rsid w:val="000B4EA7"/>
    <w:rsid w:val="000B547A"/>
    <w:rsid w:val="000B734B"/>
    <w:rsid w:val="000C0C83"/>
    <w:rsid w:val="000C1637"/>
    <w:rsid w:val="000C347B"/>
    <w:rsid w:val="000C4891"/>
    <w:rsid w:val="000C5128"/>
    <w:rsid w:val="000C5180"/>
    <w:rsid w:val="000D10DB"/>
    <w:rsid w:val="000D11E7"/>
    <w:rsid w:val="000D20A7"/>
    <w:rsid w:val="000D24BC"/>
    <w:rsid w:val="000D6989"/>
    <w:rsid w:val="000D6E8C"/>
    <w:rsid w:val="000D736C"/>
    <w:rsid w:val="000E006B"/>
    <w:rsid w:val="000E05FD"/>
    <w:rsid w:val="000E38E2"/>
    <w:rsid w:val="000E3AE5"/>
    <w:rsid w:val="000E55B3"/>
    <w:rsid w:val="000E5AFE"/>
    <w:rsid w:val="000E5EB5"/>
    <w:rsid w:val="000E6373"/>
    <w:rsid w:val="000F0A47"/>
    <w:rsid w:val="000F16C8"/>
    <w:rsid w:val="000F2145"/>
    <w:rsid w:val="000F26DB"/>
    <w:rsid w:val="000F35ED"/>
    <w:rsid w:val="000F498D"/>
    <w:rsid w:val="000F55A2"/>
    <w:rsid w:val="000F56FD"/>
    <w:rsid w:val="000F5F5F"/>
    <w:rsid w:val="000F6E68"/>
    <w:rsid w:val="000F7D77"/>
    <w:rsid w:val="001003F4"/>
    <w:rsid w:val="001008C3"/>
    <w:rsid w:val="0010148D"/>
    <w:rsid w:val="001014F6"/>
    <w:rsid w:val="00101B06"/>
    <w:rsid w:val="0010316F"/>
    <w:rsid w:val="00103C41"/>
    <w:rsid w:val="001052B1"/>
    <w:rsid w:val="00105519"/>
    <w:rsid w:val="001055BC"/>
    <w:rsid w:val="00106BD1"/>
    <w:rsid w:val="00106C38"/>
    <w:rsid w:val="00107131"/>
    <w:rsid w:val="0010736F"/>
    <w:rsid w:val="001079B7"/>
    <w:rsid w:val="00110559"/>
    <w:rsid w:val="00111CB5"/>
    <w:rsid w:val="00112F04"/>
    <w:rsid w:val="00113F73"/>
    <w:rsid w:val="00114DD4"/>
    <w:rsid w:val="001151D4"/>
    <w:rsid w:val="00120514"/>
    <w:rsid w:val="00121C9C"/>
    <w:rsid w:val="00121CC2"/>
    <w:rsid w:val="00121F05"/>
    <w:rsid w:val="001220C4"/>
    <w:rsid w:val="001227E9"/>
    <w:rsid w:val="00123C64"/>
    <w:rsid w:val="00127BE8"/>
    <w:rsid w:val="001320A7"/>
    <w:rsid w:val="001320F7"/>
    <w:rsid w:val="0013251C"/>
    <w:rsid w:val="001325C8"/>
    <w:rsid w:val="00133EE5"/>
    <w:rsid w:val="00134221"/>
    <w:rsid w:val="00134FE9"/>
    <w:rsid w:val="00135307"/>
    <w:rsid w:val="00137E5E"/>
    <w:rsid w:val="00140240"/>
    <w:rsid w:val="00140408"/>
    <w:rsid w:val="0014078A"/>
    <w:rsid w:val="001424BE"/>
    <w:rsid w:val="00144819"/>
    <w:rsid w:val="001466C0"/>
    <w:rsid w:val="00147099"/>
    <w:rsid w:val="0015056B"/>
    <w:rsid w:val="001508C2"/>
    <w:rsid w:val="00151045"/>
    <w:rsid w:val="00153A26"/>
    <w:rsid w:val="00154C85"/>
    <w:rsid w:val="0015508D"/>
    <w:rsid w:val="001555EE"/>
    <w:rsid w:val="0015597B"/>
    <w:rsid w:val="001578C1"/>
    <w:rsid w:val="00157EDE"/>
    <w:rsid w:val="00160A38"/>
    <w:rsid w:val="00160FA0"/>
    <w:rsid w:val="00161552"/>
    <w:rsid w:val="001616CE"/>
    <w:rsid w:val="0016400E"/>
    <w:rsid w:val="001648FD"/>
    <w:rsid w:val="00166189"/>
    <w:rsid w:val="00166FDE"/>
    <w:rsid w:val="00167695"/>
    <w:rsid w:val="00167A34"/>
    <w:rsid w:val="0017073E"/>
    <w:rsid w:val="00170962"/>
    <w:rsid w:val="00170A14"/>
    <w:rsid w:val="00170FA2"/>
    <w:rsid w:val="001716C5"/>
    <w:rsid w:val="001718B6"/>
    <w:rsid w:val="00171E0F"/>
    <w:rsid w:val="00172D5E"/>
    <w:rsid w:val="00173DCB"/>
    <w:rsid w:val="001745B0"/>
    <w:rsid w:val="00175D03"/>
    <w:rsid w:val="00177160"/>
    <w:rsid w:val="0018120E"/>
    <w:rsid w:val="0018164E"/>
    <w:rsid w:val="00181B1E"/>
    <w:rsid w:val="00181F34"/>
    <w:rsid w:val="00182BC8"/>
    <w:rsid w:val="001835DD"/>
    <w:rsid w:val="00183CD4"/>
    <w:rsid w:val="00184774"/>
    <w:rsid w:val="00184913"/>
    <w:rsid w:val="0018499D"/>
    <w:rsid w:val="00184CC7"/>
    <w:rsid w:val="00185F74"/>
    <w:rsid w:val="001862F9"/>
    <w:rsid w:val="0018643F"/>
    <w:rsid w:val="00186753"/>
    <w:rsid w:val="00186F1B"/>
    <w:rsid w:val="00187360"/>
    <w:rsid w:val="00191464"/>
    <w:rsid w:val="00193A58"/>
    <w:rsid w:val="00193B61"/>
    <w:rsid w:val="00195AC0"/>
    <w:rsid w:val="00197568"/>
    <w:rsid w:val="001A09E8"/>
    <w:rsid w:val="001A30C9"/>
    <w:rsid w:val="001A4D23"/>
    <w:rsid w:val="001A50E3"/>
    <w:rsid w:val="001A52B6"/>
    <w:rsid w:val="001A7870"/>
    <w:rsid w:val="001B02C4"/>
    <w:rsid w:val="001B233C"/>
    <w:rsid w:val="001B30CD"/>
    <w:rsid w:val="001B4C4C"/>
    <w:rsid w:val="001B6B8D"/>
    <w:rsid w:val="001B6D6C"/>
    <w:rsid w:val="001C103F"/>
    <w:rsid w:val="001C1B41"/>
    <w:rsid w:val="001C256C"/>
    <w:rsid w:val="001C327C"/>
    <w:rsid w:val="001C734F"/>
    <w:rsid w:val="001C7F37"/>
    <w:rsid w:val="001C7FD8"/>
    <w:rsid w:val="001D07F0"/>
    <w:rsid w:val="001D0CB4"/>
    <w:rsid w:val="001D0ED5"/>
    <w:rsid w:val="001D18C7"/>
    <w:rsid w:val="001D23E1"/>
    <w:rsid w:val="001D4025"/>
    <w:rsid w:val="001D42B6"/>
    <w:rsid w:val="001D46F6"/>
    <w:rsid w:val="001D65EF"/>
    <w:rsid w:val="001D78B3"/>
    <w:rsid w:val="001E02B6"/>
    <w:rsid w:val="001E032E"/>
    <w:rsid w:val="001E15B6"/>
    <w:rsid w:val="001E1810"/>
    <w:rsid w:val="001E1D0E"/>
    <w:rsid w:val="001E3923"/>
    <w:rsid w:val="001E5670"/>
    <w:rsid w:val="001E585A"/>
    <w:rsid w:val="001E611C"/>
    <w:rsid w:val="001E61C4"/>
    <w:rsid w:val="001E7511"/>
    <w:rsid w:val="001E75A4"/>
    <w:rsid w:val="001F0175"/>
    <w:rsid w:val="001F05E3"/>
    <w:rsid w:val="001F0AC2"/>
    <w:rsid w:val="001F2225"/>
    <w:rsid w:val="001F28C1"/>
    <w:rsid w:val="001F3D53"/>
    <w:rsid w:val="001F42C1"/>
    <w:rsid w:val="001F5832"/>
    <w:rsid w:val="001F63AC"/>
    <w:rsid w:val="0020046B"/>
    <w:rsid w:val="002027B3"/>
    <w:rsid w:val="002035A5"/>
    <w:rsid w:val="00203BA8"/>
    <w:rsid w:val="00204B61"/>
    <w:rsid w:val="00205004"/>
    <w:rsid w:val="00206328"/>
    <w:rsid w:val="00206387"/>
    <w:rsid w:val="00206C92"/>
    <w:rsid w:val="00210816"/>
    <w:rsid w:val="00210F7C"/>
    <w:rsid w:val="002124E8"/>
    <w:rsid w:val="00212681"/>
    <w:rsid w:val="00213147"/>
    <w:rsid w:val="00214EA2"/>
    <w:rsid w:val="00215995"/>
    <w:rsid w:val="0021624E"/>
    <w:rsid w:val="002169BB"/>
    <w:rsid w:val="00220A87"/>
    <w:rsid w:val="00220CAC"/>
    <w:rsid w:val="00221FBF"/>
    <w:rsid w:val="0022273F"/>
    <w:rsid w:val="002247CD"/>
    <w:rsid w:val="00224E98"/>
    <w:rsid w:val="002250A3"/>
    <w:rsid w:val="00226A28"/>
    <w:rsid w:val="00226E42"/>
    <w:rsid w:val="002278B3"/>
    <w:rsid w:val="00227978"/>
    <w:rsid w:val="00227DDF"/>
    <w:rsid w:val="0023032E"/>
    <w:rsid w:val="0023058F"/>
    <w:rsid w:val="0023174D"/>
    <w:rsid w:val="002336C3"/>
    <w:rsid w:val="00235217"/>
    <w:rsid w:val="00235903"/>
    <w:rsid w:val="00236117"/>
    <w:rsid w:val="0023646C"/>
    <w:rsid w:val="0024363A"/>
    <w:rsid w:val="0024391C"/>
    <w:rsid w:val="002442FB"/>
    <w:rsid w:val="00244565"/>
    <w:rsid w:val="00244CDA"/>
    <w:rsid w:val="00245B77"/>
    <w:rsid w:val="00246844"/>
    <w:rsid w:val="00246D1F"/>
    <w:rsid w:val="0024735C"/>
    <w:rsid w:val="00247403"/>
    <w:rsid w:val="00247542"/>
    <w:rsid w:val="0025031D"/>
    <w:rsid w:val="00250CAF"/>
    <w:rsid w:val="0025474D"/>
    <w:rsid w:val="002556A8"/>
    <w:rsid w:val="00257BAB"/>
    <w:rsid w:val="002603DF"/>
    <w:rsid w:val="0026044D"/>
    <w:rsid w:val="00260B3A"/>
    <w:rsid w:val="00260F02"/>
    <w:rsid w:val="0026390C"/>
    <w:rsid w:val="00263D16"/>
    <w:rsid w:val="00264F58"/>
    <w:rsid w:val="00265369"/>
    <w:rsid w:val="00265AE8"/>
    <w:rsid w:val="00265EDF"/>
    <w:rsid w:val="00265FC6"/>
    <w:rsid w:val="00266786"/>
    <w:rsid w:val="00266B61"/>
    <w:rsid w:val="00266D08"/>
    <w:rsid w:val="0026712A"/>
    <w:rsid w:val="002701B6"/>
    <w:rsid w:val="002704DB"/>
    <w:rsid w:val="00270851"/>
    <w:rsid w:val="002722E1"/>
    <w:rsid w:val="00272565"/>
    <w:rsid w:val="00272D1F"/>
    <w:rsid w:val="00274230"/>
    <w:rsid w:val="00275A72"/>
    <w:rsid w:val="00275F09"/>
    <w:rsid w:val="00276DF8"/>
    <w:rsid w:val="002777C1"/>
    <w:rsid w:val="00277B10"/>
    <w:rsid w:val="00277EF9"/>
    <w:rsid w:val="00280605"/>
    <w:rsid w:val="002822EB"/>
    <w:rsid w:val="002827DD"/>
    <w:rsid w:val="002838CB"/>
    <w:rsid w:val="00287593"/>
    <w:rsid w:val="002877B8"/>
    <w:rsid w:val="00292630"/>
    <w:rsid w:val="00292945"/>
    <w:rsid w:val="00294567"/>
    <w:rsid w:val="00295EAD"/>
    <w:rsid w:val="00296B65"/>
    <w:rsid w:val="002979E5"/>
    <w:rsid w:val="00297DF6"/>
    <w:rsid w:val="002A0AAE"/>
    <w:rsid w:val="002A0FC7"/>
    <w:rsid w:val="002A105D"/>
    <w:rsid w:val="002A1290"/>
    <w:rsid w:val="002A2809"/>
    <w:rsid w:val="002A28F4"/>
    <w:rsid w:val="002A2F96"/>
    <w:rsid w:val="002A3952"/>
    <w:rsid w:val="002A49A3"/>
    <w:rsid w:val="002A5820"/>
    <w:rsid w:val="002A5849"/>
    <w:rsid w:val="002A5EB5"/>
    <w:rsid w:val="002A75D0"/>
    <w:rsid w:val="002B0025"/>
    <w:rsid w:val="002B0DFA"/>
    <w:rsid w:val="002B0F8B"/>
    <w:rsid w:val="002B32A9"/>
    <w:rsid w:val="002B3F25"/>
    <w:rsid w:val="002B5B28"/>
    <w:rsid w:val="002B64EC"/>
    <w:rsid w:val="002B67FF"/>
    <w:rsid w:val="002B6A60"/>
    <w:rsid w:val="002B738B"/>
    <w:rsid w:val="002C2EB7"/>
    <w:rsid w:val="002C45B1"/>
    <w:rsid w:val="002C611C"/>
    <w:rsid w:val="002C65D4"/>
    <w:rsid w:val="002C67D4"/>
    <w:rsid w:val="002C7F5D"/>
    <w:rsid w:val="002D1C1C"/>
    <w:rsid w:val="002D262B"/>
    <w:rsid w:val="002D270B"/>
    <w:rsid w:val="002D2B26"/>
    <w:rsid w:val="002D31CF"/>
    <w:rsid w:val="002D3F87"/>
    <w:rsid w:val="002D4079"/>
    <w:rsid w:val="002D491A"/>
    <w:rsid w:val="002D4D5F"/>
    <w:rsid w:val="002D54E4"/>
    <w:rsid w:val="002D56A0"/>
    <w:rsid w:val="002D5DF5"/>
    <w:rsid w:val="002D71F1"/>
    <w:rsid w:val="002D749E"/>
    <w:rsid w:val="002D7EA2"/>
    <w:rsid w:val="002E0B03"/>
    <w:rsid w:val="002E187C"/>
    <w:rsid w:val="002E1B2C"/>
    <w:rsid w:val="002E30E9"/>
    <w:rsid w:val="002E3A93"/>
    <w:rsid w:val="002E4AEA"/>
    <w:rsid w:val="002E4D48"/>
    <w:rsid w:val="002E4F58"/>
    <w:rsid w:val="002E5C20"/>
    <w:rsid w:val="002E5D95"/>
    <w:rsid w:val="002E6595"/>
    <w:rsid w:val="002E6720"/>
    <w:rsid w:val="002E702A"/>
    <w:rsid w:val="002E722E"/>
    <w:rsid w:val="002E7CA6"/>
    <w:rsid w:val="002F00BE"/>
    <w:rsid w:val="002F077A"/>
    <w:rsid w:val="002F1CF0"/>
    <w:rsid w:val="002F2FBE"/>
    <w:rsid w:val="002F3645"/>
    <w:rsid w:val="002F3D7A"/>
    <w:rsid w:val="002F43B3"/>
    <w:rsid w:val="002F52CD"/>
    <w:rsid w:val="002F5728"/>
    <w:rsid w:val="002F7DF8"/>
    <w:rsid w:val="003012B9"/>
    <w:rsid w:val="003016B7"/>
    <w:rsid w:val="00301E0D"/>
    <w:rsid w:val="003020DA"/>
    <w:rsid w:val="00302733"/>
    <w:rsid w:val="00302B6B"/>
    <w:rsid w:val="00303AFA"/>
    <w:rsid w:val="00303D52"/>
    <w:rsid w:val="00306FE6"/>
    <w:rsid w:val="00307488"/>
    <w:rsid w:val="003077D8"/>
    <w:rsid w:val="00307ABC"/>
    <w:rsid w:val="0031108E"/>
    <w:rsid w:val="0031160D"/>
    <w:rsid w:val="0031179D"/>
    <w:rsid w:val="00311AF6"/>
    <w:rsid w:val="003123C8"/>
    <w:rsid w:val="00313E40"/>
    <w:rsid w:val="00314078"/>
    <w:rsid w:val="0031426D"/>
    <w:rsid w:val="00314A48"/>
    <w:rsid w:val="003150E0"/>
    <w:rsid w:val="0031535D"/>
    <w:rsid w:val="00315408"/>
    <w:rsid w:val="00315BC3"/>
    <w:rsid w:val="00317E7B"/>
    <w:rsid w:val="00321A0A"/>
    <w:rsid w:val="003229F6"/>
    <w:rsid w:val="00322B86"/>
    <w:rsid w:val="003253D0"/>
    <w:rsid w:val="003268E8"/>
    <w:rsid w:val="00327340"/>
    <w:rsid w:val="0032742E"/>
    <w:rsid w:val="00327781"/>
    <w:rsid w:val="0033028D"/>
    <w:rsid w:val="003311F4"/>
    <w:rsid w:val="0033169F"/>
    <w:rsid w:val="00331EB4"/>
    <w:rsid w:val="00332BA4"/>
    <w:rsid w:val="00334925"/>
    <w:rsid w:val="00334A1D"/>
    <w:rsid w:val="0033612E"/>
    <w:rsid w:val="00336E5D"/>
    <w:rsid w:val="00337499"/>
    <w:rsid w:val="00337553"/>
    <w:rsid w:val="00337684"/>
    <w:rsid w:val="0034137A"/>
    <w:rsid w:val="00341CE1"/>
    <w:rsid w:val="003420D6"/>
    <w:rsid w:val="00342370"/>
    <w:rsid w:val="00343433"/>
    <w:rsid w:val="003434E9"/>
    <w:rsid w:val="0034387C"/>
    <w:rsid w:val="00343DBA"/>
    <w:rsid w:val="00345217"/>
    <w:rsid w:val="00345290"/>
    <w:rsid w:val="00346B34"/>
    <w:rsid w:val="00346C95"/>
    <w:rsid w:val="003475B6"/>
    <w:rsid w:val="00347F11"/>
    <w:rsid w:val="00350A32"/>
    <w:rsid w:val="00351D0B"/>
    <w:rsid w:val="00352CA8"/>
    <w:rsid w:val="00353EB3"/>
    <w:rsid w:val="00354346"/>
    <w:rsid w:val="0035491F"/>
    <w:rsid w:val="0035497F"/>
    <w:rsid w:val="0035549E"/>
    <w:rsid w:val="003559DA"/>
    <w:rsid w:val="00355A0D"/>
    <w:rsid w:val="00356185"/>
    <w:rsid w:val="00356972"/>
    <w:rsid w:val="00356BDB"/>
    <w:rsid w:val="003571AD"/>
    <w:rsid w:val="00360380"/>
    <w:rsid w:val="00360C78"/>
    <w:rsid w:val="00360D81"/>
    <w:rsid w:val="0036100B"/>
    <w:rsid w:val="00361193"/>
    <w:rsid w:val="00361415"/>
    <w:rsid w:val="00361F7F"/>
    <w:rsid w:val="00362618"/>
    <w:rsid w:val="00365872"/>
    <w:rsid w:val="00366D36"/>
    <w:rsid w:val="00367214"/>
    <w:rsid w:val="0036765C"/>
    <w:rsid w:val="00367978"/>
    <w:rsid w:val="00367D4F"/>
    <w:rsid w:val="00370A0F"/>
    <w:rsid w:val="00371482"/>
    <w:rsid w:val="00373232"/>
    <w:rsid w:val="00373510"/>
    <w:rsid w:val="003735E3"/>
    <w:rsid w:val="00373FCF"/>
    <w:rsid w:val="0037407D"/>
    <w:rsid w:val="0037519E"/>
    <w:rsid w:val="003753AC"/>
    <w:rsid w:val="0037560C"/>
    <w:rsid w:val="003772D4"/>
    <w:rsid w:val="00380D10"/>
    <w:rsid w:val="00380E1F"/>
    <w:rsid w:val="00381DFC"/>
    <w:rsid w:val="00383711"/>
    <w:rsid w:val="0038428D"/>
    <w:rsid w:val="003842B4"/>
    <w:rsid w:val="0038488B"/>
    <w:rsid w:val="00385B2A"/>
    <w:rsid w:val="00386714"/>
    <w:rsid w:val="00386717"/>
    <w:rsid w:val="00386CF0"/>
    <w:rsid w:val="00387693"/>
    <w:rsid w:val="003876B4"/>
    <w:rsid w:val="00387CDA"/>
    <w:rsid w:val="00387D5E"/>
    <w:rsid w:val="00391170"/>
    <w:rsid w:val="0039135E"/>
    <w:rsid w:val="00392E49"/>
    <w:rsid w:val="003934CC"/>
    <w:rsid w:val="00393F02"/>
    <w:rsid w:val="00394CB8"/>
    <w:rsid w:val="0039582B"/>
    <w:rsid w:val="00396269"/>
    <w:rsid w:val="00396549"/>
    <w:rsid w:val="00396B4A"/>
    <w:rsid w:val="00397B38"/>
    <w:rsid w:val="003A00DB"/>
    <w:rsid w:val="003A044D"/>
    <w:rsid w:val="003A1640"/>
    <w:rsid w:val="003A21C4"/>
    <w:rsid w:val="003A63FD"/>
    <w:rsid w:val="003A6941"/>
    <w:rsid w:val="003B016B"/>
    <w:rsid w:val="003B12DD"/>
    <w:rsid w:val="003B1728"/>
    <w:rsid w:val="003B2512"/>
    <w:rsid w:val="003B333A"/>
    <w:rsid w:val="003B6012"/>
    <w:rsid w:val="003B6502"/>
    <w:rsid w:val="003B7A9F"/>
    <w:rsid w:val="003B7AF9"/>
    <w:rsid w:val="003B7B18"/>
    <w:rsid w:val="003C00B8"/>
    <w:rsid w:val="003C15D3"/>
    <w:rsid w:val="003C25A2"/>
    <w:rsid w:val="003C3C62"/>
    <w:rsid w:val="003C5BB7"/>
    <w:rsid w:val="003C5C97"/>
    <w:rsid w:val="003C64DA"/>
    <w:rsid w:val="003C676B"/>
    <w:rsid w:val="003C6865"/>
    <w:rsid w:val="003C76A5"/>
    <w:rsid w:val="003C7EA9"/>
    <w:rsid w:val="003D178D"/>
    <w:rsid w:val="003D19F0"/>
    <w:rsid w:val="003D1C29"/>
    <w:rsid w:val="003D2F44"/>
    <w:rsid w:val="003D3014"/>
    <w:rsid w:val="003D32B6"/>
    <w:rsid w:val="003D3644"/>
    <w:rsid w:val="003D3716"/>
    <w:rsid w:val="003D3BC2"/>
    <w:rsid w:val="003D4A99"/>
    <w:rsid w:val="003D508B"/>
    <w:rsid w:val="003D662A"/>
    <w:rsid w:val="003D67C7"/>
    <w:rsid w:val="003D7C03"/>
    <w:rsid w:val="003E2BF9"/>
    <w:rsid w:val="003E2C47"/>
    <w:rsid w:val="003E432F"/>
    <w:rsid w:val="003E4DA6"/>
    <w:rsid w:val="003E6CA1"/>
    <w:rsid w:val="003F0395"/>
    <w:rsid w:val="003F0DAF"/>
    <w:rsid w:val="003F1302"/>
    <w:rsid w:val="003F2700"/>
    <w:rsid w:val="003F2986"/>
    <w:rsid w:val="003F5936"/>
    <w:rsid w:val="003F5B8C"/>
    <w:rsid w:val="003F62A1"/>
    <w:rsid w:val="003F649C"/>
    <w:rsid w:val="003F6D75"/>
    <w:rsid w:val="003F7F64"/>
    <w:rsid w:val="00400958"/>
    <w:rsid w:val="0040098B"/>
    <w:rsid w:val="004012B9"/>
    <w:rsid w:val="00401345"/>
    <w:rsid w:val="004030A4"/>
    <w:rsid w:val="004038D0"/>
    <w:rsid w:val="004046B4"/>
    <w:rsid w:val="00407ED4"/>
    <w:rsid w:val="0041140D"/>
    <w:rsid w:val="004119FF"/>
    <w:rsid w:val="00413F2C"/>
    <w:rsid w:val="00415C3D"/>
    <w:rsid w:val="004165C2"/>
    <w:rsid w:val="00416B50"/>
    <w:rsid w:val="00417234"/>
    <w:rsid w:val="00421891"/>
    <w:rsid w:val="00423BBF"/>
    <w:rsid w:val="0042440B"/>
    <w:rsid w:val="004258C9"/>
    <w:rsid w:val="00426114"/>
    <w:rsid w:val="004266CE"/>
    <w:rsid w:val="00430E0F"/>
    <w:rsid w:val="0043126C"/>
    <w:rsid w:val="004318B9"/>
    <w:rsid w:val="00432A12"/>
    <w:rsid w:val="00433185"/>
    <w:rsid w:val="00433A14"/>
    <w:rsid w:val="0043493B"/>
    <w:rsid w:val="00434DA4"/>
    <w:rsid w:val="004350F3"/>
    <w:rsid w:val="00437277"/>
    <w:rsid w:val="00437563"/>
    <w:rsid w:val="00437655"/>
    <w:rsid w:val="0043796D"/>
    <w:rsid w:val="00437F84"/>
    <w:rsid w:val="00440AB1"/>
    <w:rsid w:val="0044130B"/>
    <w:rsid w:val="00441561"/>
    <w:rsid w:val="004418CA"/>
    <w:rsid w:val="00441D6C"/>
    <w:rsid w:val="00441ECB"/>
    <w:rsid w:val="00442244"/>
    <w:rsid w:val="004458D0"/>
    <w:rsid w:val="00446F61"/>
    <w:rsid w:val="00450838"/>
    <w:rsid w:val="00450ECE"/>
    <w:rsid w:val="00451797"/>
    <w:rsid w:val="00451AD9"/>
    <w:rsid w:val="00452CE1"/>
    <w:rsid w:val="00453EAE"/>
    <w:rsid w:val="0045416A"/>
    <w:rsid w:val="00454B83"/>
    <w:rsid w:val="00454FEC"/>
    <w:rsid w:val="004552EA"/>
    <w:rsid w:val="00455377"/>
    <w:rsid w:val="00456BF3"/>
    <w:rsid w:val="00460640"/>
    <w:rsid w:val="00460F19"/>
    <w:rsid w:val="0046191D"/>
    <w:rsid w:val="004619DE"/>
    <w:rsid w:val="00461C68"/>
    <w:rsid w:val="004621A0"/>
    <w:rsid w:val="00462BA4"/>
    <w:rsid w:val="00463114"/>
    <w:rsid w:val="0046343A"/>
    <w:rsid w:val="00463806"/>
    <w:rsid w:val="004639BB"/>
    <w:rsid w:val="00463CED"/>
    <w:rsid w:val="00464E09"/>
    <w:rsid w:val="00467B7E"/>
    <w:rsid w:val="00471815"/>
    <w:rsid w:val="00471AF4"/>
    <w:rsid w:val="00472960"/>
    <w:rsid w:val="004732A7"/>
    <w:rsid w:val="0047374E"/>
    <w:rsid w:val="00474C21"/>
    <w:rsid w:val="00477300"/>
    <w:rsid w:val="00477592"/>
    <w:rsid w:val="004803A6"/>
    <w:rsid w:val="0048066A"/>
    <w:rsid w:val="00480AD0"/>
    <w:rsid w:val="00481075"/>
    <w:rsid w:val="004815CF"/>
    <w:rsid w:val="00481D3E"/>
    <w:rsid w:val="00482199"/>
    <w:rsid w:val="00482571"/>
    <w:rsid w:val="00482794"/>
    <w:rsid w:val="00482949"/>
    <w:rsid w:val="00482EC8"/>
    <w:rsid w:val="004840A6"/>
    <w:rsid w:val="00485CA1"/>
    <w:rsid w:val="0048611A"/>
    <w:rsid w:val="00486A3E"/>
    <w:rsid w:val="00486F1C"/>
    <w:rsid w:val="004871C6"/>
    <w:rsid w:val="004874EA"/>
    <w:rsid w:val="00487570"/>
    <w:rsid w:val="00487D39"/>
    <w:rsid w:val="004902C4"/>
    <w:rsid w:val="004924C4"/>
    <w:rsid w:val="004934FA"/>
    <w:rsid w:val="00493AA3"/>
    <w:rsid w:val="00493D35"/>
    <w:rsid w:val="004940C6"/>
    <w:rsid w:val="0049419D"/>
    <w:rsid w:val="0049466B"/>
    <w:rsid w:val="00495D98"/>
    <w:rsid w:val="004969A9"/>
    <w:rsid w:val="0049717B"/>
    <w:rsid w:val="004A13E2"/>
    <w:rsid w:val="004A1981"/>
    <w:rsid w:val="004A199D"/>
    <w:rsid w:val="004A1FE3"/>
    <w:rsid w:val="004A2877"/>
    <w:rsid w:val="004A3C29"/>
    <w:rsid w:val="004A4166"/>
    <w:rsid w:val="004A5DD7"/>
    <w:rsid w:val="004A6145"/>
    <w:rsid w:val="004B1396"/>
    <w:rsid w:val="004B2166"/>
    <w:rsid w:val="004B2293"/>
    <w:rsid w:val="004B524E"/>
    <w:rsid w:val="004B5B9C"/>
    <w:rsid w:val="004B6D82"/>
    <w:rsid w:val="004C20D2"/>
    <w:rsid w:val="004C2462"/>
    <w:rsid w:val="004C2AEF"/>
    <w:rsid w:val="004C2FF3"/>
    <w:rsid w:val="004C39D4"/>
    <w:rsid w:val="004C3E62"/>
    <w:rsid w:val="004C4B62"/>
    <w:rsid w:val="004C50FC"/>
    <w:rsid w:val="004C54C9"/>
    <w:rsid w:val="004C54CF"/>
    <w:rsid w:val="004C6A8A"/>
    <w:rsid w:val="004C790D"/>
    <w:rsid w:val="004C7A2B"/>
    <w:rsid w:val="004C7BC3"/>
    <w:rsid w:val="004D0C86"/>
    <w:rsid w:val="004D113B"/>
    <w:rsid w:val="004D195F"/>
    <w:rsid w:val="004D2720"/>
    <w:rsid w:val="004D2868"/>
    <w:rsid w:val="004D2EFD"/>
    <w:rsid w:val="004D4B91"/>
    <w:rsid w:val="004D59B1"/>
    <w:rsid w:val="004D6025"/>
    <w:rsid w:val="004D6618"/>
    <w:rsid w:val="004D6BE0"/>
    <w:rsid w:val="004D76D8"/>
    <w:rsid w:val="004D7941"/>
    <w:rsid w:val="004E0789"/>
    <w:rsid w:val="004E17ED"/>
    <w:rsid w:val="004E2649"/>
    <w:rsid w:val="004E48A4"/>
    <w:rsid w:val="004E5107"/>
    <w:rsid w:val="004E65E3"/>
    <w:rsid w:val="004E7D4F"/>
    <w:rsid w:val="004F0100"/>
    <w:rsid w:val="004F0C56"/>
    <w:rsid w:val="004F11AA"/>
    <w:rsid w:val="004F15D9"/>
    <w:rsid w:val="004F1AF9"/>
    <w:rsid w:val="004F2286"/>
    <w:rsid w:val="004F283C"/>
    <w:rsid w:val="004F3B60"/>
    <w:rsid w:val="004F3CAA"/>
    <w:rsid w:val="004F3DA3"/>
    <w:rsid w:val="004F3E20"/>
    <w:rsid w:val="004F47A6"/>
    <w:rsid w:val="004F4C34"/>
    <w:rsid w:val="004F4CFC"/>
    <w:rsid w:val="004F5CD3"/>
    <w:rsid w:val="004F627D"/>
    <w:rsid w:val="004F6D52"/>
    <w:rsid w:val="004F774A"/>
    <w:rsid w:val="00501399"/>
    <w:rsid w:val="00501774"/>
    <w:rsid w:val="00503569"/>
    <w:rsid w:val="00504CFA"/>
    <w:rsid w:val="00505350"/>
    <w:rsid w:val="0050633D"/>
    <w:rsid w:val="00507BC4"/>
    <w:rsid w:val="00510BCE"/>
    <w:rsid w:val="00511998"/>
    <w:rsid w:val="00512485"/>
    <w:rsid w:val="0051252C"/>
    <w:rsid w:val="005128E4"/>
    <w:rsid w:val="00513285"/>
    <w:rsid w:val="005132B5"/>
    <w:rsid w:val="005133DB"/>
    <w:rsid w:val="0051550A"/>
    <w:rsid w:val="00516770"/>
    <w:rsid w:val="00516EDB"/>
    <w:rsid w:val="00517ADB"/>
    <w:rsid w:val="0052119E"/>
    <w:rsid w:val="0052124F"/>
    <w:rsid w:val="00521CFC"/>
    <w:rsid w:val="0052228E"/>
    <w:rsid w:val="0052248C"/>
    <w:rsid w:val="00522595"/>
    <w:rsid w:val="00523A7A"/>
    <w:rsid w:val="00524CE1"/>
    <w:rsid w:val="00524EFB"/>
    <w:rsid w:val="005252CB"/>
    <w:rsid w:val="0052541B"/>
    <w:rsid w:val="00525560"/>
    <w:rsid w:val="00526089"/>
    <w:rsid w:val="00526110"/>
    <w:rsid w:val="0052723A"/>
    <w:rsid w:val="00527433"/>
    <w:rsid w:val="00527582"/>
    <w:rsid w:val="00530CD6"/>
    <w:rsid w:val="00531196"/>
    <w:rsid w:val="00533CE3"/>
    <w:rsid w:val="00534125"/>
    <w:rsid w:val="005350A9"/>
    <w:rsid w:val="005354F3"/>
    <w:rsid w:val="0053641A"/>
    <w:rsid w:val="00536923"/>
    <w:rsid w:val="0054005F"/>
    <w:rsid w:val="00540E62"/>
    <w:rsid w:val="00541D37"/>
    <w:rsid w:val="005420F5"/>
    <w:rsid w:val="005427F1"/>
    <w:rsid w:val="00543007"/>
    <w:rsid w:val="005430CE"/>
    <w:rsid w:val="00543509"/>
    <w:rsid w:val="005449F9"/>
    <w:rsid w:val="00544C49"/>
    <w:rsid w:val="00544E9D"/>
    <w:rsid w:val="00544FFD"/>
    <w:rsid w:val="00545B34"/>
    <w:rsid w:val="00547036"/>
    <w:rsid w:val="005516A1"/>
    <w:rsid w:val="0055361D"/>
    <w:rsid w:val="00554542"/>
    <w:rsid w:val="00554A19"/>
    <w:rsid w:val="00562371"/>
    <w:rsid w:val="005623D8"/>
    <w:rsid w:val="0056327A"/>
    <w:rsid w:val="0056360D"/>
    <w:rsid w:val="00564205"/>
    <w:rsid w:val="005655B8"/>
    <w:rsid w:val="00565744"/>
    <w:rsid w:val="0056606B"/>
    <w:rsid w:val="005664A6"/>
    <w:rsid w:val="005700C6"/>
    <w:rsid w:val="00570259"/>
    <w:rsid w:val="00570422"/>
    <w:rsid w:val="00571439"/>
    <w:rsid w:val="005714D2"/>
    <w:rsid w:val="00573D4D"/>
    <w:rsid w:val="0057402A"/>
    <w:rsid w:val="00574922"/>
    <w:rsid w:val="00575E7D"/>
    <w:rsid w:val="005771D0"/>
    <w:rsid w:val="00577654"/>
    <w:rsid w:val="00580D19"/>
    <w:rsid w:val="00581058"/>
    <w:rsid w:val="005820BF"/>
    <w:rsid w:val="0058293D"/>
    <w:rsid w:val="00582CD7"/>
    <w:rsid w:val="005831FF"/>
    <w:rsid w:val="00584173"/>
    <w:rsid w:val="00584562"/>
    <w:rsid w:val="0058796C"/>
    <w:rsid w:val="00590261"/>
    <w:rsid w:val="00591687"/>
    <w:rsid w:val="005916EF"/>
    <w:rsid w:val="0059191A"/>
    <w:rsid w:val="005921FF"/>
    <w:rsid w:val="0059337F"/>
    <w:rsid w:val="005937F1"/>
    <w:rsid w:val="00595278"/>
    <w:rsid w:val="005952A0"/>
    <w:rsid w:val="00595C1D"/>
    <w:rsid w:val="005960D5"/>
    <w:rsid w:val="005A00B5"/>
    <w:rsid w:val="005A047F"/>
    <w:rsid w:val="005A1C6C"/>
    <w:rsid w:val="005A2429"/>
    <w:rsid w:val="005A323C"/>
    <w:rsid w:val="005A3A2D"/>
    <w:rsid w:val="005A4160"/>
    <w:rsid w:val="005A53CC"/>
    <w:rsid w:val="005A587F"/>
    <w:rsid w:val="005A58D2"/>
    <w:rsid w:val="005A6D0E"/>
    <w:rsid w:val="005A6FF2"/>
    <w:rsid w:val="005B01E9"/>
    <w:rsid w:val="005B0DA3"/>
    <w:rsid w:val="005B181A"/>
    <w:rsid w:val="005B2389"/>
    <w:rsid w:val="005B2D3E"/>
    <w:rsid w:val="005B3331"/>
    <w:rsid w:val="005B52B0"/>
    <w:rsid w:val="005B5AE6"/>
    <w:rsid w:val="005B644A"/>
    <w:rsid w:val="005B6806"/>
    <w:rsid w:val="005C023C"/>
    <w:rsid w:val="005C13FE"/>
    <w:rsid w:val="005C18BA"/>
    <w:rsid w:val="005C1D98"/>
    <w:rsid w:val="005C2B3A"/>
    <w:rsid w:val="005C3AD5"/>
    <w:rsid w:val="005C4225"/>
    <w:rsid w:val="005C4CA5"/>
    <w:rsid w:val="005C6615"/>
    <w:rsid w:val="005C6A4C"/>
    <w:rsid w:val="005C6DBB"/>
    <w:rsid w:val="005C7A19"/>
    <w:rsid w:val="005D00DF"/>
    <w:rsid w:val="005D0BB9"/>
    <w:rsid w:val="005D0DB1"/>
    <w:rsid w:val="005D0F0E"/>
    <w:rsid w:val="005D0FEE"/>
    <w:rsid w:val="005D1C16"/>
    <w:rsid w:val="005D1D70"/>
    <w:rsid w:val="005D2259"/>
    <w:rsid w:val="005D2786"/>
    <w:rsid w:val="005D3257"/>
    <w:rsid w:val="005D36DC"/>
    <w:rsid w:val="005D3C61"/>
    <w:rsid w:val="005D407F"/>
    <w:rsid w:val="005D4464"/>
    <w:rsid w:val="005D454B"/>
    <w:rsid w:val="005D59A1"/>
    <w:rsid w:val="005E1854"/>
    <w:rsid w:val="005E22FA"/>
    <w:rsid w:val="005E3E29"/>
    <w:rsid w:val="005E43CD"/>
    <w:rsid w:val="005E4B8E"/>
    <w:rsid w:val="005E6057"/>
    <w:rsid w:val="005E6AC4"/>
    <w:rsid w:val="005E7482"/>
    <w:rsid w:val="005E787E"/>
    <w:rsid w:val="005F004A"/>
    <w:rsid w:val="005F0A51"/>
    <w:rsid w:val="005F0DAD"/>
    <w:rsid w:val="005F0F33"/>
    <w:rsid w:val="005F309E"/>
    <w:rsid w:val="005F3369"/>
    <w:rsid w:val="005F3D3A"/>
    <w:rsid w:val="005F511B"/>
    <w:rsid w:val="005F5F99"/>
    <w:rsid w:val="005F6FAA"/>
    <w:rsid w:val="005F7201"/>
    <w:rsid w:val="00600DEB"/>
    <w:rsid w:val="00601CA8"/>
    <w:rsid w:val="00602F19"/>
    <w:rsid w:val="006035CF"/>
    <w:rsid w:val="00603CD8"/>
    <w:rsid w:val="00604362"/>
    <w:rsid w:val="00604F20"/>
    <w:rsid w:val="0060695E"/>
    <w:rsid w:val="00606CE9"/>
    <w:rsid w:val="006074ED"/>
    <w:rsid w:val="0060783D"/>
    <w:rsid w:val="00607B21"/>
    <w:rsid w:val="006109C8"/>
    <w:rsid w:val="0061104D"/>
    <w:rsid w:val="006125C3"/>
    <w:rsid w:val="00613A0F"/>
    <w:rsid w:val="00613ABD"/>
    <w:rsid w:val="00614B04"/>
    <w:rsid w:val="00615485"/>
    <w:rsid w:val="006156D2"/>
    <w:rsid w:val="00616701"/>
    <w:rsid w:val="00616F1B"/>
    <w:rsid w:val="00617C3A"/>
    <w:rsid w:val="0062078D"/>
    <w:rsid w:val="00620888"/>
    <w:rsid w:val="006208ED"/>
    <w:rsid w:val="00620A01"/>
    <w:rsid w:val="00622245"/>
    <w:rsid w:val="00622E8B"/>
    <w:rsid w:val="0062361F"/>
    <w:rsid w:val="00624FEA"/>
    <w:rsid w:val="00626378"/>
    <w:rsid w:val="0062658B"/>
    <w:rsid w:val="006273EC"/>
    <w:rsid w:val="00627C9F"/>
    <w:rsid w:val="006311E9"/>
    <w:rsid w:val="006312D6"/>
    <w:rsid w:val="00631EE2"/>
    <w:rsid w:val="00632354"/>
    <w:rsid w:val="00632B43"/>
    <w:rsid w:val="006335D7"/>
    <w:rsid w:val="00636A04"/>
    <w:rsid w:val="006374D6"/>
    <w:rsid w:val="00637DAD"/>
    <w:rsid w:val="006405C6"/>
    <w:rsid w:val="00640EC4"/>
    <w:rsid w:val="00642810"/>
    <w:rsid w:val="00644B25"/>
    <w:rsid w:val="00645038"/>
    <w:rsid w:val="00645348"/>
    <w:rsid w:val="0064591A"/>
    <w:rsid w:val="00645A10"/>
    <w:rsid w:val="00646216"/>
    <w:rsid w:val="0064672F"/>
    <w:rsid w:val="006472D7"/>
    <w:rsid w:val="0065207F"/>
    <w:rsid w:val="006520B7"/>
    <w:rsid w:val="00652333"/>
    <w:rsid w:val="0065336D"/>
    <w:rsid w:val="006536D3"/>
    <w:rsid w:val="0065427A"/>
    <w:rsid w:val="00654DF3"/>
    <w:rsid w:val="006555EE"/>
    <w:rsid w:val="00655B8E"/>
    <w:rsid w:val="00655C22"/>
    <w:rsid w:val="00660952"/>
    <w:rsid w:val="00661109"/>
    <w:rsid w:val="006628E0"/>
    <w:rsid w:val="00662CAF"/>
    <w:rsid w:val="00664745"/>
    <w:rsid w:val="00664F94"/>
    <w:rsid w:val="00666A28"/>
    <w:rsid w:val="00667641"/>
    <w:rsid w:val="00670513"/>
    <w:rsid w:val="00670FF8"/>
    <w:rsid w:val="00671F37"/>
    <w:rsid w:val="00672E2E"/>
    <w:rsid w:val="00673A4C"/>
    <w:rsid w:val="00676E86"/>
    <w:rsid w:val="00677BC2"/>
    <w:rsid w:val="0068009E"/>
    <w:rsid w:val="00680AA7"/>
    <w:rsid w:val="00681286"/>
    <w:rsid w:val="00682A35"/>
    <w:rsid w:val="00682B49"/>
    <w:rsid w:val="006833AD"/>
    <w:rsid w:val="0068347F"/>
    <w:rsid w:val="00684CF4"/>
    <w:rsid w:val="0068596E"/>
    <w:rsid w:val="00685ABD"/>
    <w:rsid w:val="006864A1"/>
    <w:rsid w:val="00686F6A"/>
    <w:rsid w:val="00687666"/>
    <w:rsid w:val="00687AEC"/>
    <w:rsid w:val="00687F1B"/>
    <w:rsid w:val="00690189"/>
    <w:rsid w:val="00690560"/>
    <w:rsid w:val="006914D0"/>
    <w:rsid w:val="00691AE0"/>
    <w:rsid w:val="00691F50"/>
    <w:rsid w:val="00691F58"/>
    <w:rsid w:val="00692219"/>
    <w:rsid w:val="00693E55"/>
    <w:rsid w:val="006953CA"/>
    <w:rsid w:val="006956EC"/>
    <w:rsid w:val="00695ECF"/>
    <w:rsid w:val="00696768"/>
    <w:rsid w:val="00696B1C"/>
    <w:rsid w:val="00696DB1"/>
    <w:rsid w:val="00697371"/>
    <w:rsid w:val="00697EBE"/>
    <w:rsid w:val="006A17D2"/>
    <w:rsid w:val="006A22D0"/>
    <w:rsid w:val="006A2F1B"/>
    <w:rsid w:val="006A3FCC"/>
    <w:rsid w:val="006A428C"/>
    <w:rsid w:val="006A474E"/>
    <w:rsid w:val="006A4B39"/>
    <w:rsid w:val="006A73E6"/>
    <w:rsid w:val="006B1F40"/>
    <w:rsid w:val="006B2897"/>
    <w:rsid w:val="006B2D5C"/>
    <w:rsid w:val="006B4D40"/>
    <w:rsid w:val="006B6148"/>
    <w:rsid w:val="006B6D52"/>
    <w:rsid w:val="006C1094"/>
    <w:rsid w:val="006C1A20"/>
    <w:rsid w:val="006C3D6F"/>
    <w:rsid w:val="006C4283"/>
    <w:rsid w:val="006C4926"/>
    <w:rsid w:val="006C4DD4"/>
    <w:rsid w:val="006C4EB1"/>
    <w:rsid w:val="006C6B70"/>
    <w:rsid w:val="006C6DE7"/>
    <w:rsid w:val="006C6F27"/>
    <w:rsid w:val="006C7B2C"/>
    <w:rsid w:val="006C7E1C"/>
    <w:rsid w:val="006D19EC"/>
    <w:rsid w:val="006D27A8"/>
    <w:rsid w:val="006D2AA5"/>
    <w:rsid w:val="006D329E"/>
    <w:rsid w:val="006D4116"/>
    <w:rsid w:val="006D4D1E"/>
    <w:rsid w:val="006E0166"/>
    <w:rsid w:val="006E1213"/>
    <w:rsid w:val="006E1574"/>
    <w:rsid w:val="006E16C4"/>
    <w:rsid w:val="006E55C6"/>
    <w:rsid w:val="006E56A3"/>
    <w:rsid w:val="006E5B98"/>
    <w:rsid w:val="006E5E9C"/>
    <w:rsid w:val="006E6517"/>
    <w:rsid w:val="006E6F80"/>
    <w:rsid w:val="006E778F"/>
    <w:rsid w:val="006E7B34"/>
    <w:rsid w:val="006F034F"/>
    <w:rsid w:val="006F1F8E"/>
    <w:rsid w:val="006F3891"/>
    <w:rsid w:val="006F3C8B"/>
    <w:rsid w:val="006F3C8E"/>
    <w:rsid w:val="006F3CE1"/>
    <w:rsid w:val="006F449F"/>
    <w:rsid w:val="006F45BC"/>
    <w:rsid w:val="006F5A2B"/>
    <w:rsid w:val="006F7AC1"/>
    <w:rsid w:val="006F7B4A"/>
    <w:rsid w:val="007005C4"/>
    <w:rsid w:val="00702097"/>
    <w:rsid w:val="007030A5"/>
    <w:rsid w:val="00705D52"/>
    <w:rsid w:val="0070697F"/>
    <w:rsid w:val="00706DFA"/>
    <w:rsid w:val="00707170"/>
    <w:rsid w:val="007075E6"/>
    <w:rsid w:val="00710206"/>
    <w:rsid w:val="007108C9"/>
    <w:rsid w:val="007114D1"/>
    <w:rsid w:val="00712003"/>
    <w:rsid w:val="00712280"/>
    <w:rsid w:val="00712978"/>
    <w:rsid w:val="0071573A"/>
    <w:rsid w:val="00717726"/>
    <w:rsid w:val="007179E4"/>
    <w:rsid w:val="0072037F"/>
    <w:rsid w:val="007209AB"/>
    <w:rsid w:val="00721472"/>
    <w:rsid w:val="0072199C"/>
    <w:rsid w:val="007220EA"/>
    <w:rsid w:val="007226AC"/>
    <w:rsid w:val="00722C4B"/>
    <w:rsid w:val="00722C9F"/>
    <w:rsid w:val="00724F1B"/>
    <w:rsid w:val="00725295"/>
    <w:rsid w:val="007253B8"/>
    <w:rsid w:val="0072555D"/>
    <w:rsid w:val="00726098"/>
    <w:rsid w:val="00727D60"/>
    <w:rsid w:val="007301BA"/>
    <w:rsid w:val="007301EA"/>
    <w:rsid w:val="007303D3"/>
    <w:rsid w:val="00731645"/>
    <w:rsid w:val="00732F0D"/>
    <w:rsid w:val="00733403"/>
    <w:rsid w:val="00733A61"/>
    <w:rsid w:val="007359B6"/>
    <w:rsid w:val="0073631B"/>
    <w:rsid w:val="007369A1"/>
    <w:rsid w:val="0073741F"/>
    <w:rsid w:val="007375CD"/>
    <w:rsid w:val="00737ADD"/>
    <w:rsid w:val="00741B64"/>
    <w:rsid w:val="00741BCE"/>
    <w:rsid w:val="00742866"/>
    <w:rsid w:val="00744CC5"/>
    <w:rsid w:val="0074554B"/>
    <w:rsid w:val="007465E7"/>
    <w:rsid w:val="007478AB"/>
    <w:rsid w:val="00747A5F"/>
    <w:rsid w:val="00750771"/>
    <w:rsid w:val="00750A3C"/>
    <w:rsid w:val="007512BD"/>
    <w:rsid w:val="00751C88"/>
    <w:rsid w:val="007549DC"/>
    <w:rsid w:val="00756176"/>
    <w:rsid w:val="00757003"/>
    <w:rsid w:val="00760F09"/>
    <w:rsid w:val="007612D7"/>
    <w:rsid w:val="00761B86"/>
    <w:rsid w:val="00762CB8"/>
    <w:rsid w:val="00763FEA"/>
    <w:rsid w:val="00764C26"/>
    <w:rsid w:val="00765996"/>
    <w:rsid w:val="0076643F"/>
    <w:rsid w:val="007670F6"/>
    <w:rsid w:val="00767F7F"/>
    <w:rsid w:val="00771362"/>
    <w:rsid w:val="007746C0"/>
    <w:rsid w:val="00775CE3"/>
    <w:rsid w:val="0077774F"/>
    <w:rsid w:val="00777F63"/>
    <w:rsid w:val="007809FE"/>
    <w:rsid w:val="00781635"/>
    <w:rsid w:val="00786195"/>
    <w:rsid w:val="00787A87"/>
    <w:rsid w:val="00787E47"/>
    <w:rsid w:val="0079170C"/>
    <w:rsid w:val="007926E2"/>
    <w:rsid w:val="007934DD"/>
    <w:rsid w:val="00793A70"/>
    <w:rsid w:val="00794001"/>
    <w:rsid w:val="0079435D"/>
    <w:rsid w:val="00794E6A"/>
    <w:rsid w:val="007952A0"/>
    <w:rsid w:val="00795BD1"/>
    <w:rsid w:val="00795F8C"/>
    <w:rsid w:val="00796B52"/>
    <w:rsid w:val="007A02CF"/>
    <w:rsid w:val="007A08CE"/>
    <w:rsid w:val="007A20A6"/>
    <w:rsid w:val="007A2691"/>
    <w:rsid w:val="007A3421"/>
    <w:rsid w:val="007A481D"/>
    <w:rsid w:val="007A4D4D"/>
    <w:rsid w:val="007A5626"/>
    <w:rsid w:val="007A5817"/>
    <w:rsid w:val="007A58B8"/>
    <w:rsid w:val="007A6F8D"/>
    <w:rsid w:val="007A761F"/>
    <w:rsid w:val="007A77CB"/>
    <w:rsid w:val="007A7DEB"/>
    <w:rsid w:val="007B034C"/>
    <w:rsid w:val="007B052E"/>
    <w:rsid w:val="007B145D"/>
    <w:rsid w:val="007B19F5"/>
    <w:rsid w:val="007B470F"/>
    <w:rsid w:val="007B60E9"/>
    <w:rsid w:val="007B6446"/>
    <w:rsid w:val="007B644A"/>
    <w:rsid w:val="007B6990"/>
    <w:rsid w:val="007B6CC3"/>
    <w:rsid w:val="007B6EA0"/>
    <w:rsid w:val="007B7844"/>
    <w:rsid w:val="007C0C69"/>
    <w:rsid w:val="007C2177"/>
    <w:rsid w:val="007C3334"/>
    <w:rsid w:val="007C3DC5"/>
    <w:rsid w:val="007C4345"/>
    <w:rsid w:val="007C4EDE"/>
    <w:rsid w:val="007C63A4"/>
    <w:rsid w:val="007C756A"/>
    <w:rsid w:val="007D0F3F"/>
    <w:rsid w:val="007D14BC"/>
    <w:rsid w:val="007D1E11"/>
    <w:rsid w:val="007D2AB5"/>
    <w:rsid w:val="007D2B98"/>
    <w:rsid w:val="007D39F4"/>
    <w:rsid w:val="007D4829"/>
    <w:rsid w:val="007D4A0A"/>
    <w:rsid w:val="007D580F"/>
    <w:rsid w:val="007D5837"/>
    <w:rsid w:val="007D5CD3"/>
    <w:rsid w:val="007D653C"/>
    <w:rsid w:val="007D6557"/>
    <w:rsid w:val="007D790C"/>
    <w:rsid w:val="007E12C3"/>
    <w:rsid w:val="007E1421"/>
    <w:rsid w:val="007E1A9C"/>
    <w:rsid w:val="007E21BC"/>
    <w:rsid w:val="007E3014"/>
    <w:rsid w:val="007E3125"/>
    <w:rsid w:val="007E3A17"/>
    <w:rsid w:val="007E43D6"/>
    <w:rsid w:val="007E5D79"/>
    <w:rsid w:val="007E7044"/>
    <w:rsid w:val="007E711F"/>
    <w:rsid w:val="007E73E1"/>
    <w:rsid w:val="007F0C66"/>
    <w:rsid w:val="007F1E54"/>
    <w:rsid w:val="007F2431"/>
    <w:rsid w:val="007F3842"/>
    <w:rsid w:val="007F4F70"/>
    <w:rsid w:val="007F6C93"/>
    <w:rsid w:val="007F7E9A"/>
    <w:rsid w:val="00800F2B"/>
    <w:rsid w:val="0080205D"/>
    <w:rsid w:val="008029A1"/>
    <w:rsid w:val="00802CB3"/>
    <w:rsid w:val="00803F1C"/>
    <w:rsid w:val="0080600E"/>
    <w:rsid w:val="00806D8C"/>
    <w:rsid w:val="008070DE"/>
    <w:rsid w:val="00810176"/>
    <w:rsid w:val="008111F8"/>
    <w:rsid w:val="00813D2B"/>
    <w:rsid w:val="00813F49"/>
    <w:rsid w:val="00814172"/>
    <w:rsid w:val="00814B60"/>
    <w:rsid w:val="00815021"/>
    <w:rsid w:val="008174D8"/>
    <w:rsid w:val="00817612"/>
    <w:rsid w:val="008178A7"/>
    <w:rsid w:val="00817BE9"/>
    <w:rsid w:val="008217E6"/>
    <w:rsid w:val="0082186F"/>
    <w:rsid w:val="00822A42"/>
    <w:rsid w:val="00824630"/>
    <w:rsid w:val="0082465B"/>
    <w:rsid w:val="008248BB"/>
    <w:rsid w:val="00825722"/>
    <w:rsid w:val="008266A7"/>
    <w:rsid w:val="008269D3"/>
    <w:rsid w:val="00830284"/>
    <w:rsid w:val="008309F6"/>
    <w:rsid w:val="00831718"/>
    <w:rsid w:val="008318CD"/>
    <w:rsid w:val="00831F13"/>
    <w:rsid w:val="00832753"/>
    <w:rsid w:val="00832EC2"/>
    <w:rsid w:val="0083300A"/>
    <w:rsid w:val="0083300E"/>
    <w:rsid w:val="008338A4"/>
    <w:rsid w:val="008357C8"/>
    <w:rsid w:val="00837410"/>
    <w:rsid w:val="00837C45"/>
    <w:rsid w:val="0084090C"/>
    <w:rsid w:val="00841BAF"/>
    <w:rsid w:val="00844730"/>
    <w:rsid w:val="00844B2D"/>
    <w:rsid w:val="00844F0C"/>
    <w:rsid w:val="0084514B"/>
    <w:rsid w:val="008457C2"/>
    <w:rsid w:val="00845B6F"/>
    <w:rsid w:val="0084626A"/>
    <w:rsid w:val="0085107C"/>
    <w:rsid w:val="00852041"/>
    <w:rsid w:val="00852E8B"/>
    <w:rsid w:val="00852F15"/>
    <w:rsid w:val="00854092"/>
    <w:rsid w:val="00855C03"/>
    <w:rsid w:val="00856260"/>
    <w:rsid w:val="00857A82"/>
    <w:rsid w:val="00857FEB"/>
    <w:rsid w:val="00860029"/>
    <w:rsid w:val="00863D17"/>
    <w:rsid w:val="00864D07"/>
    <w:rsid w:val="00865821"/>
    <w:rsid w:val="00867513"/>
    <w:rsid w:val="008677C5"/>
    <w:rsid w:val="00870233"/>
    <w:rsid w:val="0087035D"/>
    <w:rsid w:val="008704CB"/>
    <w:rsid w:val="008705D5"/>
    <w:rsid w:val="008706FE"/>
    <w:rsid w:val="00870C7F"/>
    <w:rsid w:val="00872936"/>
    <w:rsid w:val="00872D7F"/>
    <w:rsid w:val="00873836"/>
    <w:rsid w:val="00873B6F"/>
    <w:rsid w:val="00875AE3"/>
    <w:rsid w:val="0087728A"/>
    <w:rsid w:val="00880144"/>
    <w:rsid w:val="008817D0"/>
    <w:rsid w:val="008819E3"/>
    <w:rsid w:val="00881C31"/>
    <w:rsid w:val="008831EB"/>
    <w:rsid w:val="00883C76"/>
    <w:rsid w:val="008840F5"/>
    <w:rsid w:val="00885211"/>
    <w:rsid w:val="00885737"/>
    <w:rsid w:val="00885B37"/>
    <w:rsid w:val="00886783"/>
    <w:rsid w:val="00887044"/>
    <w:rsid w:val="00890650"/>
    <w:rsid w:val="0089120B"/>
    <w:rsid w:val="00891D34"/>
    <w:rsid w:val="00893145"/>
    <w:rsid w:val="00894115"/>
    <w:rsid w:val="0089432A"/>
    <w:rsid w:val="0089445F"/>
    <w:rsid w:val="0089475B"/>
    <w:rsid w:val="00894B6E"/>
    <w:rsid w:val="008959E3"/>
    <w:rsid w:val="00895ED9"/>
    <w:rsid w:val="0089763C"/>
    <w:rsid w:val="00897E12"/>
    <w:rsid w:val="008A078F"/>
    <w:rsid w:val="008A0858"/>
    <w:rsid w:val="008A1AAF"/>
    <w:rsid w:val="008A51A3"/>
    <w:rsid w:val="008A5A4E"/>
    <w:rsid w:val="008A5AA6"/>
    <w:rsid w:val="008A6C26"/>
    <w:rsid w:val="008A7258"/>
    <w:rsid w:val="008A7E0F"/>
    <w:rsid w:val="008B12F5"/>
    <w:rsid w:val="008B2E18"/>
    <w:rsid w:val="008B3F9F"/>
    <w:rsid w:val="008B4299"/>
    <w:rsid w:val="008B5945"/>
    <w:rsid w:val="008B5CC8"/>
    <w:rsid w:val="008B6C33"/>
    <w:rsid w:val="008B7008"/>
    <w:rsid w:val="008B70F7"/>
    <w:rsid w:val="008B719F"/>
    <w:rsid w:val="008C0108"/>
    <w:rsid w:val="008C079C"/>
    <w:rsid w:val="008C0E7F"/>
    <w:rsid w:val="008C1A74"/>
    <w:rsid w:val="008C2D41"/>
    <w:rsid w:val="008C3098"/>
    <w:rsid w:val="008C30C3"/>
    <w:rsid w:val="008C319E"/>
    <w:rsid w:val="008C489E"/>
    <w:rsid w:val="008C4DA2"/>
    <w:rsid w:val="008C5834"/>
    <w:rsid w:val="008C6064"/>
    <w:rsid w:val="008C6875"/>
    <w:rsid w:val="008C6924"/>
    <w:rsid w:val="008C75CA"/>
    <w:rsid w:val="008D070B"/>
    <w:rsid w:val="008D0E42"/>
    <w:rsid w:val="008D1DBB"/>
    <w:rsid w:val="008D29F0"/>
    <w:rsid w:val="008D3311"/>
    <w:rsid w:val="008D4986"/>
    <w:rsid w:val="008D6D16"/>
    <w:rsid w:val="008D6D3C"/>
    <w:rsid w:val="008D768D"/>
    <w:rsid w:val="008E00A8"/>
    <w:rsid w:val="008E14BC"/>
    <w:rsid w:val="008E3759"/>
    <w:rsid w:val="008E37CB"/>
    <w:rsid w:val="008E39CC"/>
    <w:rsid w:val="008E401D"/>
    <w:rsid w:val="008E6CAF"/>
    <w:rsid w:val="008E7891"/>
    <w:rsid w:val="008E7C1B"/>
    <w:rsid w:val="008F0F2E"/>
    <w:rsid w:val="008F1768"/>
    <w:rsid w:val="008F1835"/>
    <w:rsid w:val="008F1912"/>
    <w:rsid w:val="008F1B28"/>
    <w:rsid w:val="008F2A24"/>
    <w:rsid w:val="008F2CB5"/>
    <w:rsid w:val="008F4E46"/>
    <w:rsid w:val="008F604B"/>
    <w:rsid w:val="0090049F"/>
    <w:rsid w:val="009008C9"/>
    <w:rsid w:val="009014A4"/>
    <w:rsid w:val="00901CD7"/>
    <w:rsid w:val="00902022"/>
    <w:rsid w:val="0090270B"/>
    <w:rsid w:val="0090340A"/>
    <w:rsid w:val="00904015"/>
    <w:rsid w:val="009041DC"/>
    <w:rsid w:val="00905618"/>
    <w:rsid w:val="0090600A"/>
    <w:rsid w:val="009065DD"/>
    <w:rsid w:val="009066ED"/>
    <w:rsid w:val="009068B2"/>
    <w:rsid w:val="009074AB"/>
    <w:rsid w:val="00907883"/>
    <w:rsid w:val="00910791"/>
    <w:rsid w:val="00910B93"/>
    <w:rsid w:val="009136FA"/>
    <w:rsid w:val="00915476"/>
    <w:rsid w:val="0091569E"/>
    <w:rsid w:val="009165E4"/>
    <w:rsid w:val="00916C2A"/>
    <w:rsid w:val="00916E07"/>
    <w:rsid w:val="00917B5A"/>
    <w:rsid w:val="00920A58"/>
    <w:rsid w:val="00920A8C"/>
    <w:rsid w:val="0092111F"/>
    <w:rsid w:val="00922552"/>
    <w:rsid w:val="009227E8"/>
    <w:rsid w:val="009229D3"/>
    <w:rsid w:val="00922DCD"/>
    <w:rsid w:val="00923461"/>
    <w:rsid w:val="009249CE"/>
    <w:rsid w:val="00924EF6"/>
    <w:rsid w:val="00925E0B"/>
    <w:rsid w:val="00926A86"/>
    <w:rsid w:val="0092720A"/>
    <w:rsid w:val="00930C28"/>
    <w:rsid w:val="00930D5D"/>
    <w:rsid w:val="009326A4"/>
    <w:rsid w:val="009326DF"/>
    <w:rsid w:val="009349D6"/>
    <w:rsid w:val="00934A2C"/>
    <w:rsid w:val="00934CDA"/>
    <w:rsid w:val="0093691E"/>
    <w:rsid w:val="00937B96"/>
    <w:rsid w:val="009410A7"/>
    <w:rsid w:val="00941697"/>
    <w:rsid w:val="00941C6B"/>
    <w:rsid w:val="00941D82"/>
    <w:rsid w:val="00942081"/>
    <w:rsid w:val="00942CF6"/>
    <w:rsid w:val="0094316A"/>
    <w:rsid w:val="009444B5"/>
    <w:rsid w:val="0094465F"/>
    <w:rsid w:val="00944FD2"/>
    <w:rsid w:val="009462D4"/>
    <w:rsid w:val="00946F67"/>
    <w:rsid w:val="00951CBC"/>
    <w:rsid w:val="00953396"/>
    <w:rsid w:val="00953403"/>
    <w:rsid w:val="00953885"/>
    <w:rsid w:val="00954B82"/>
    <w:rsid w:val="00954C8D"/>
    <w:rsid w:val="0095596F"/>
    <w:rsid w:val="00955C3C"/>
    <w:rsid w:val="00956683"/>
    <w:rsid w:val="00957489"/>
    <w:rsid w:val="009606FD"/>
    <w:rsid w:val="009609E8"/>
    <w:rsid w:val="00960EB4"/>
    <w:rsid w:val="009620A5"/>
    <w:rsid w:val="009621ED"/>
    <w:rsid w:val="009624E3"/>
    <w:rsid w:val="00964FBE"/>
    <w:rsid w:val="00965276"/>
    <w:rsid w:val="0096706E"/>
    <w:rsid w:val="00967FA7"/>
    <w:rsid w:val="00972343"/>
    <w:rsid w:val="0097237E"/>
    <w:rsid w:val="00972424"/>
    <w:rsid w:val="009726EC"/>
    <w:rsid w:val="00972E51"/>
    <w:rsid w:val="009748AA"/>
    <w:rsid w:val="00974959"/>
    <w:rsid w:val="00974C7E"/>
    <w:rsid w:val="00975749"/>
    <w:rsid w:val="00975C4E"/>
    <w:rsid w:val="009769C9"/>
    <w:rsid w:val="009773EA"/>
    <w:rsid w:val="00980339"/>
    <w:rsid w:val="0098035E"/>
    <w:rsid w:val="0098137A"/>
    <w:rsid w:val="009818B7"/>
    <w:rsid w:val="00981E03"/>
    <w:rsid w:val="00981FBA"/>
    <w:rsid w:val="00981FE7"/>
    <w:rsid w:val="0098377C"/>
    <w:rsid w:val="00984226"/>
    <w:rsid w:val="00984352"/>
    <w:rsid w:val="00986327"/>
    <w:rsid w:val="0098691C"/>
    <w:rsid w:val="00986A4B"/>
    <w:rsid w:val="0099038C"/>
    <w:rsid w:val="00991361"/>
    <w:rsid w:val="0099141E"/>
    <w:rsid w:val="00992881"/>
    <w:rsid w:val="009929A6"/>
    <w:rsid w:val="00992A46"/>
    <w:rsid w:val="0099389B"/>
    <w:rsid w:val="0099671F"/>
    <w:rsid w:val="00996B09"/>
    <w:rsid w:val="00996C35"/>
    <w:rsid w:val="009971A0"/>
    <w:rsid w:val="00997BC5"/>
    <w:rsid w:val="009A092C"/>
    <w:rsid w:val="009A0BE3"/>
    <w:rsid w:val="009A11DF"/>
    <w:rsid w:val="009A2094"/>
    <w:rsid w:val="009A405E"/>
    <w:rsid w:val="009A438A"/>
    <w:rsid w:val="009A4879"/>
    <w:rsid w:val="009A4F41"/>
    <w:rsid w:val="009A693B"/>
    <w:rsid w:val="009A771B"/>
    <w:rsid w:val="009A7D96"/>
    <w:rsid w:val="009B01F2"/>
    <w:rsid w:val="009B0C57"/>
    <w:rsid w:val="009B381B"/>
    <w:rsid w:val="009B5AE7"/>
    <w:rsid w:val="009B5E9D"/>
    <w:rsid w:val="009B6051"/>
    <w:rsid w:val="009B76A1"/>
    <w:rsid w:val="009B781F"/>
    <w:rsid w:val="009C047A"/>
    <w:rsid w:val="009C339C"/>
    <w:rsid w:val="009C3539"/>
    <w:rsid w:val="009C38E8"/>
    <w:rsid w:val="009C3ED4"/>
    <w:rsid w:val="009C40B1"/>
    <w:rsid w:val="009C4EAA"/>
    <w:rsid w:val="009C55B9"/>
    <w:rsid w:val="009C67FE"/>
    <w:rsid w:val="009C6D0E"/>
    <w:rsid w:val="009C7432"/>
    <w:rsid w:val="009C74B3"/>
    <w:rsid w:val="009C7698"/>
    <w:rsid w:val="009C7DC6"/>
    <w:rsid w:val="009D165F"/>
    <w:rsid w:val="009D1753"/>
    <w:rsid w:val="009D1F5E"/>
    <w:rsid w:val="009D2124"/>
    <w:rsid w:val="009D329C"/>
    <w:rsid w:val="009D4C57"/>
    <w:rsid w:val="009D61ED"/>
    <w:rsid w:val="009D6E44"/>
    <w:rsid w:val="009D7611"/>
    <w:rsid w:val="009E0318"/>
    <w:rsid w:val="009E0B61"/>
    <w:rsid w:val="009E1393"/>
    <w:rsid w:val="009E44CB"/>
    <w:rsid w:val="009E519A"/>
    <w:rsid w:val="009E53DE"/>
    <w:rsid w:val="009E74D4"/>
    <w:rsid w:val="009E78C7"/>
    <w:rsid w:val="009F0C1C"/>
    <w:rsid w:val="009F0D4B"/>
    <w:rsid w:val="009F148B"/>
    <w:rsid w:val="009F1B29"/>
    <w:rsid w:val="009F2E21"/>
    <w:rsid w:val="009F46D9"/>
    <w:rsid w:val="009F69B8"/>
    <w:rsid w:val="009F7334"/>
    <w:rsid w:val="00A00030"/>
    <w:rsid w:val="00A0166A"/>
    <w:rsid w:val="00A02455"/>
    <w:rsid w:val="00A02AA9"/>
    <w:rsid w:val="00A038A2"/>
    <w:rsid w:val="00A03A30"/>
    <w:rsid w:val="00A03AC4"/>
    <w:rsid w:val="00A03C59"/>
    <w:rsid w:val="00A05664"/>
    <w:rsid w:val="00A07ACC"/>
    <w:rsid w:val="00A1096B"/>
    <w:rsid w:val="00A1106D"/>
    <w:rsid w:val="00A1124F"/>
    <w:rsid w:val="00A11518"/>
    <w:rsid w:val="00A11B19"/>
    <w:rsid w:val="00A11CA9"/>
    <w:rsid w:val="00A1243B"/>
    <w:rsid w:val="00A14189"/>
    <w:rsid w:val="00A14C20"/>
    <w:rsid w:val="00A14DB7"/>
    <w:rsid w:val="00A151A0"/>
    <w:rsid w:val="00A164E5"/>
    <w:rsid w:val="00A16F02"/>
    <w:rsid w:val="00A17C72"/>
    <w:rsid w:val="00A17D90"/>
    <w:rsid w:val="00A21519"/>
    <w:rsid w:val="00A21DFA"/>
    <w:rsid w:val="00A220B6"/>
    <w:rsid w:val="00A2286D"/>
    <w:rsid w:val="00A2598E"/>
    <w:rsid w:val="00A2656B"/>
    <w:rsid w:val="00A2751B"/>
    <w:rsid w:val="00A27A7C"/>
    <w:rsid w:val="00A314D1"/>
    <w:rsid w:val="00A328B3"/>
    <w:rsid w:val="00A329E4"/>
    <w:rsid w:val="00A32EA9"/>
    <w:rsid w:val="00A33B1E"/>
    <w:rsid w:val="00A33FD2"/>
    <w:rsid w:val="00A344DE"/>
    <w:rsid w:val="00A346D4"/>
    <w:rsid w:val="00A3536D"/>
    <w:rsid w:val="00A35F0B"/>
    <w:rsid w:val="00A366D8"/>
    <w:rsid w:val="00A37CA7"/>
    <w:rsid w:val="00A37E1A"/>
    <w:rsid w:val="00A40292"/>
    <w:rsid w:val="00A443CB"/>
    <w:rsid w:val="00A4686B"/>
    <w:rsid w:val="00A468EC"/>
    <w:rsid w:val="00A4705A"/>
    <w:rsid w:val="00A475B6"/>
    <w:rsid w:val="00A50CAE"/>
    <w:rsid w:val="00A50FCF"/>
    <w:rsid w:val="00A51466"/>
    <w:rsid w:val="00A5173E"/>
    <w:rsid w:val="00A522B8"/>
    <w:rsid w:val="00A528D1"/>
    <w:rsid w:val="00A542E7"/>
    <w:rsid w:val="00A54D60"/>
    <w:rsid w:val="00A55963"/>
    <w:rsid w:val="00A55A3B"/>
    <w:rsid w:val="00A56218"/>
    <w:rsid w:val="00A57715"/>
    <w:rsid w:val="00A60D00"/>
    <w:rsid w:val="00A610CD"/>
    <w:rsid w:val="00A62210"/>
    <w:rsid w:val="00A62685"/>
    <w:rsid w:val="00A62FA4"/>
    <w:rsid w:val="00A6444F"/>
    <w:rsid w:val="00A67AD3"/>
    <w:rsid w:val="00A70262"/>
    <w:rsid w:val="00A712B4"/>
    <w:rsid w:val="00A71DE0"/>
    <w:rsid w:val="00A723D5"/>
    <w:rsid w:val="00A738D4"/>
    <w:rsid w:val="00A74FBF"/>
    <w:rsid w:val="00A75185"/>
    <w:rsid w:val="00A755F3"/>
    <w:rsid w:val="00A75E63"/>
    <w:rsid w:val="00A7681E"/>
    <w:rsid w:val="00A814FA"/>
    <w:rsid w:val="00A81A5D"/>
    <w:rsid w:val="00A8234C"/>
    <w:rsid w:val="00A857DA"/>
    <w:rsid w:val="00A8695D"/>
    <w:rsid w:val="00A87C92"/>
    <w:rsid w:val="00A9004A"/>
    <w:rsid w:val="00A90ACF"/>
    <w:rsid w:val="00A918B4"/>
    <w:rsid w:val="00A91C76"/>
    <w:rsid w:val="00A9235D"/>
    <w:rsid w:val="00A92DA5"/>
    <w:rsid w:val="00A92EE1"/>
    <w:rsid w:val="00A93EDD"/>
    <w:rsid w:val="00A95172"/>
    <w:rsid w:val="00A956B9"/>
    <w:rsid w:val="00A961F7"/>
    <w:rsid w:val="00AA09A2"/>
    <w:rsid w:val="00AA0A28"/>
    <w:rsid w:val="00AA1C66"/>
    <w:rsid w:val="00AA1EB3"/>
    <w:rsid w:val="00AA300A"/>
    <w:rsid w:val="00AA3F67"/>
    <w:rsid w:val="00AA47BF"/>
    <w:rsid w:val="00AA4C3B"/>
    <w:rsid w:val="00AA523F"/>
    <w:rsid w:val="00AA5554"/>
    <w:rsid w:val="00AA5C34"/>
    <w:rsid w:val="00AA6899"/>
    <w:rsid w:val="00AA7996"/>
    <w:rsid w:val="00AB363F"/>
    <w:rsid w:val="00AB3B82"/>
    <w:rsid w:val="00AB3C88"/>
    <w:rsid w:val="00AB4B5A"/>
    <w:rsid w:val="00AB61DD"/>
    <w:rsid w:val="00AB672B"/>
    <w:rsid w:val="00AB6747"/>
    <w:rsid w:val="00AB715B"/>
    <w:rsid w:val="00AB7F80"/>
    <w:rsid w:val="00AC0BB1"/>
    <w:rsid w:val="00AC19CB"/>
    <w:rsid w:val="00AC1ACC"/>
    <w:rsid w:val="00AC1F86"/>
    <w:rsid w:val="00AC2DA0"/>
    <w:rsid w:val="00AC55D4"/>
    <w:rsid w:val="00AD107E"/>
    <w:rsid w:val="00AD15C2"/>
    <w:rsid w:val="00AD15E8"/>
    <w:rsid w:val="00AD1A28"/>
    <w:rsid w:val="00AD1B54"/>
    <w:rsid w:val="00AD1B65"/>
    <w:rsid w:val="00AD25C2"/>
    <w:rsid w:val="00AD3CE0"/>
    <w:rsid w:val="00AD46C8"/>
    <w:rsid w:val="00AD5D5D"/>
    <w:rsid w:val="00AD5EB6"/>
    <w:rsid w:val="00AD6147"/>
    <w:rsid w:val="00AD6DCD"/>
    <w:rsid w:val="00AE1607"/>
    <w:rsid w:val="00AE1D72"/>
    <w:rsid w:val="00AE36D4"/>
    <w:rsid w:val="00AE3EEE"/>
    <w:rsid w:val="00AE4985"/>
    <w:rsid w:val="00AE5324"/>
    <w:rsid w:val="00AE5488"/>
    <w:rsid w:val="00AE5E50"/>
    <w:rsid w:val="00AE5E6A"/>
    <w:rsid w:val="00AE6503"/>
    <w:rsid w:val="00AE6F91"/>
    <w:rsid w:val="00AF019E"/>
    <w:rsid w:val="00AF2BF0"/>
    <w:rsid w:val="00AF2FE5"/>
    <w:rsid w:val="00AF4489"/>
    <w:rsid w:val="00AF4E7D"/>
    <w:rsid w:val="00AF5186"/>
    <w:rsid w:val="00AF5571"/>
    <w:rsid w:val="00AF58DC"/>
    <w:rsid w:val="00AF5DD1"/>
    <w:rsid w:val="00AF7988"/>
    <w:rsid w:val="00B00334"/>
    <w:rsid w:val="00B00F0D"/>
    <w:rsid w:val="00B0141B"/>
    <w:rsid w:val="00B01ABA"/>
    <w:rsid w:val="00B01F01"/>
    <w:rsid w:val="00B023BD"/>
    <w:rsid w:val="00B02A29"/>
    <w:rsid w:val="00B06ABD"/>
    <w:rsid w:val="00B07184"/>
    <w:rsid w:val="00B07341"/>
    <w:rsid w:val="00B10B7C"/>
    <w:rsid w:val="00B10D67"/>
    <w:rsid w:val="00B12165"/>
    <w:rsid w:val="00B13A26"/>
    <w:rsid w:val="00B13D7D"/>
    <w:rsid w:val="00B13E7F"/>
    <w:rsid w:val="00B14871"/>
    <w:rsid w:val="00B15663"/>
    <w:rsid w:val="00B15F86"/>
    <w:rsid w:val="00B16CBB"/>
    <w:rsid w:val="00B16E47"/>
    <w:rsid w:val="00B17012"/>
    <w:rsid w:val="00B171E0"/>
    <w:rsid w:val="00B177B9"/>
    <w:rsid w:val="00B17E66"/>
    <w:rsid w:val="00B2090C"/>
    <w:rsid w:val="00B20F26"/>
    <w:rsid w:val="00B22DAA"/>
    <w:rsid w:val="00B23750"/>
    <w:rsid w:val="00B23B58"/>
    <w:rsid w:val="00B2537A"/>
    <w:rsid w:val="00B25EA1"/>
    <w:rsid w:val="00B266D2"/>
    <w:rsid w:val="00B27106"/>
    <w:rsid w:val="00B30539"/>
    <w:rsid w:val="00B30835"/>
    <w:rsid w:val="00B30C44"/>
    <w:rsid w:val="00B30F91"/>
    <w:rsid w:val="00B31086"/>
    <w:rsid w:val="00B314DB"/>
    <w:rsid w:val="00B315B4"/>
    <w:rsid w:val="00B3382C"/>
    <w:rsid w:val="00B33BD1"/>
    <w:rsid w:val="00B34CE7"/>
    <w:rsid w:val="00B358BC"/>
    <w:rsid w:val="00B361BE"/>
    <w:rsid w:val="00B361F2"/>
    <w:rsid w:val="00B3718B"/>
    <w:rsid w:val="00B4032E"/>
    <w:rsid w:val="00B405AB"/>
    <w:rsid w:val="00B42466"/>
    <w:rsid w:val="00B444CE"/>
    <w:rsid w:val="00B44984"/>
    <w:rsid w:val="00B451A2"/>
    <w:rsid w:val="00B455DE"/>
    <w:rsid w:val="00B46025"/>
    <w:rsid w:val="00B4632A"/>
    <w:rsid w:val="00B46A1D"/>
    <w:rsid w:val="00B47F1B"/>
    <w:rsid w:val="00B509E8"/>
    <w:rsid w:val="00B513B1"/>
    <w:rsid w:val="00B52EEC"/>
    <w:rsid w:val="00B530F1"/>
    <w:rsid w:val="00B54583"/>
    <w:rsid w:val="00B547CB"/>
    <w:rsid w:val="00B54A0C"/>
    <w:rsid w:val="00B570E4"/>
    <w:rsid w:val="00B572D3"/>
    <w:rsid w:val="00B577BE"/>
    <w:rsid w:val="00B6000A"/>
    <w:rsid w:val="00B62411"/>
    <w:rsid w:val="00B632D6"/>
    <w:rsid w:val="00B63D7D"/>
    <w:rsid w:val="00B666A6"/>
    <w:rsid w:val="00B6679A"/>
    <w:rsid w:val="00B67999"/>
    <w:rsid w:val="00B717B5"/>
    <w:rsid w:val="00B7233A"/>
    <w:rsid w:val="00B72AB9"/>
    <w:rsid w:val="00B72B29"/>
    <w:rsid w:val="00B74AF9"/>
    <w:rsid w:val="00B74D3D"/>
    <w:rsid w:val="00B75C9B"/>
    <w:rsid w:val="00B76FA6"/>
    <w:rsid w:val="00B77491"/>
    <w:rsid w:val="00B823CE"/>
    <w:rsid w:val="00B82AB7"/>
    <w:rsid w:val="00B82F8F"/>
    <w:rsid w:val="00B83989"/>
    <w:rsid w:val="00B85BF3"/>
    <w:rsid w:val="00B9042E"/>
    <w:rsid w:val="00B92582"/>
    <w:rsid w:val="00B941C3"/>
    <w:rsid w:val="00B9741D"/>
    <w:rsid w:val="00B97C2B"/>
    <w:rsid w:val="00B97C5C"/>
    <w:rsid w:val="00B97CFC"/>
    <w:rsid w:val="00BA0225"/>
    <w:rsid w:val="00BA10DD"/>
    <w:rsid w:val="00BA1928"/>
    <w:rsid w:val="00BA2451"/>
    <w:rsid w:val="00BA276C"/>
    <w:rsid w:val="00BA461E"/>
    <w:rsid w:val="00BA520E"/>
    <w:rsid w:val="00BA58EC"/>
    <w:rsid w:val="00BA76F2"/>
    <w:rsid w:val="00BB0C3A"/>
    <w:rsid w:val="00BB0CEC"/>
    <w:rsid w:val="00BB10F5"/>
    <w:rsid w:val="00BB1499"/>
    <w:rsid w:val="00BB17FF"/>
    <w:rsid w:val="00BB1D64"/>
    <w:rsid w:val="00BB306F"/>
    <w:rsid w:val="00BB3588"/>
    <w:rsid w:val="00BB3625"/>
    <w:rsid w:val="00BB4B10"/>
    <w:rsid w:val="00BB4B9A"/>
    <w:rsid w:val="00BB4DCC"/>
    <w:rsid w:val="00BB5202"/>
    <w:rsid w:val="00BB6E8A"/>
    <w:rsid w:val="00BB72A2"/>
    <w:rsid w:val="00BB75A3"/>
    <w:rsid w:val="00BC0359"/>
    <w:rsid w:val="00BC08AD"/>
    <w:rsid w:val="00BC1180"/>
    <w:rsid w:val="00BC492B"/>
    <w:rsid w:val="00BC7651"/>
    <w:rsid w:val="00BD08A1"/>
    <w:rsid w:val="00BD1A4A"/>
    <w:rsid w:val="00BD1D99"/>
    <w:rsid w:val="00BD38D0"/>
    <w:rsid w:val="00BD3EB8"/>
    <w:rsid w:val="00BD45F2"/>
    <w:rsid w:val="00BD4B89"/>
    <w:rsid w:val="00BD53A6"/>
    <w:rsid w:val="00BD660B"/>
    <w:rsid w:val="00BD70FA"/>
    <w:rsid w:val="00BD7DCA"/>
    <w:rsid w:val="00BE017C"/>
    <w:rsid w:val="00BE06FA"/>
    <w:rsid w:val="00BE0F30"/>
    <w:rsid w:val="00BE2745"/>
    <w:rsid w:val="00BE4AE6"/>
    <w:rsid w:val="00BE51FE"/>
    <w:rsid w:val="00BE59EF"/>
    <w:rsid w:val="00BE5BBE"/>
    <w:rsid w:val="00BE5FDE"/>
    <w:rsid w:val="00BE5FE4"/>
    <w:rsid w:val="00BE635F"/>
    <w:rsid w:val="00BF02CB"/>
    <w:rsid w:val="00BF11D3"/>
    <w:rsid w:val="00BF13C5"/>
    <w:rsid w:val="00BF1664"/>
    <w:rsid w:val="00BF1B41"/>
    <w:rsid w:val="00BF49F7"/>
    <w:rsid w:val="00BF6907"/>
    <w:rsid w:val="00BF6FD8"/>
    <w:rsid w:val="00C0059A"/>
    <w:rsid w:val="00C00CB4"/>
    <w:rsid w:val="00C0120C"/>
    <w:rsid w:val="00C02B23"/>
    <w:rsid w:val="00C03596"/>
    <w:rsid w:val="00C03680"/>
    <w:rsid w:val="00C03843"/>
    <w:rsid w:val="00C05246"/>
    <w:rsid w:val="00C054DF"/>
    <w:rsid w:val="00C0748E"/>
    <w:rsid w:val="00C07A20"/>
    <w:rsid w:val="00C10623"/>
    <w:rsid w:val="00C127D5"/>
    <w:rsid w:val="00C135B6"/>
    <w:rsid w:val="00C13B45"/>
    <w:rsid w:val="00C13BC3"/>
    <w:rsid w:val="00C13FFD"/>
    <w:rsid w:val="00C142ED"/>
    <w:rsid w:val="00C14AEF"/>
    <w:rsid w:val="00C1548F"/>
    <w:rsid w:val="00C16F10"/>
    <w:rsid w:val="00C17CF4"/>
    <w:rsid w:val="00C17F99"/>
    <w:rsid w:val="00C20614"/>
    <w:rsid w:val="00C2116D"/>
    <w:rsid w:val="00C2169F"/>
    <w:rsid w:val="00C21762"/>
    <w:rsid w:val="00C21B93"/>
    <w:rsid w:val="00C22267"/>
    <w:rsid w:val="00C22F2D"/>
    <w:rsid w:val="00C23131"/>
    <w:rsid w:val="00C23A02"/>
    <w:rsid w:val="00C2408D"/>
    <w:rsid w:val="00C24543"/>
    <w:rsid w:val="00C24C4A"/>
    <w:rsid w:val="00C25090"/>
    <w:rsid w:val="00C256A2"/>
    <w:rsid w:val="00C26242"/>
    <w:rsid w:val="00C26EE9"/>
    <w:rsid w:val="00C27297"/>
    <w:rsid w:val="00C3004A"/>
    <w:rsid w:val="00C30C7A"/>
    <w:rsid w:val="00C3202A"/>
    <w:rsid w:val="00C3204B"/>
    <w:rsid w:val="00C32C59"/>
    <w:rsid w:val="00C343ED"/>
    <w:rsid w:val="00C34BAD"/>
    <w:rsid w:val="00C375BD"/>
    <w:rsid w:val="00C377E4"/>
    <w:rsid w:val="00C37C37"/>
    <w:rsid w:val="00C40789"/>
    <w:rsid w:val="00C410DD"/>
    <w:rsid w:val="00C419CD"/>
    <w:rsid w:val="00C429A0"/>
    <w:rsid w:val="00C42A69"/>
    <w:rsid w:val="00C4346F"/>
    <w:rsid w:val="00C44300"/>
    <w:rsid w:val="00C44FE7"/>
    <w:rsid w:val="00C45C66"/>
    <w:rsid w:val="00C46063"/>
    <w:rsid w:val="00C46865"/>
    <w:rsid w:val="00C46EE5"/>
    <w:rsid w:val="00C50D7E"/>
    <w:rsid w:val="00C51515"/>
    <w:rsid w:val="00C5660B"/>
    <w:rsid w:val="00C56DC9"/>
    <w:rsid w:val="00C605D7"/>
    <w:rsid w:val="00C610B9"/>
    <w:rsid w:val="00C619F8"/>
    <w:rsid w:val="00C61D45"/>
    <w:rsid w:val="00C6243B"/>
    <w:rsid w:val="00C629CB"/>
    <w:rsid w:val="00C62A75"/>
    <w:rsid w:val="00C62F1D"/>
    <w:rsid w:val="00C666F9"/>
    <w:rsid w:val="00C66B72"/>
    <w:rsid w:val="00C6701A"/>
    <w:rsid w:val="00C67E3D"/>
    <w:rsid w:val="00C71614"/>
    <w:rsid w:val="00C71C9E"/>
    <w:rsid w:val="00C724D4"/>
    <w:rsid w:val="00C72CB9"/>
    <w:rsid w:val="00C7325A"/>
    <w:rsid w:val="00C75214"/>
    <w:rsid w:val="00C75282"/>
    <w:rsid w:val="00C75D2F"/>
    <w:rsid w:val="00C76895"/>
    <w:rsid w:val="00C80C95"/>
    <w:rsid w:val="00C810D8"/>
    <w:rsid w:val="00C82169"/>
    <w:rsid w:val="00C8237C"/>
    <w:rsid w:val="00C83691"/>
    <w:rsid w:val="00C857F8"/>
    <w:rsid w:val="00C867F2"/>
    <w:rsid w:val="00C9049B"/>
    <w:rsid w:val="00C9154C"/>
    <w:rsid w:val="00C91F47"/>
    <w:rsid w:val="00C927D2"/>
    <w:rsid w:val="00C92E55"/>
    <w:rsid w:val="00C93151"/>
    <w:rsid w:val="00C943F4"/>
    <w:rsid w:val="00C9567A"/>
    <w:rsid w:val="00C9572B"/>
    <w:rsid w:val="00C95C79"/>
    <w:rsid w:val="00C97129"/>
    <w:rsid w:val="00C9746A"/>
    <w:rsid w:val="00CA01D1"/>
    <w:rsid w:val="00CA34CA"/>
    <w:rsid w:val="00CA3D64"/>
    <w:rsid w:val="00CA4823"/>
    <w:rsid w:val="00CA4EB4"/>
    <w:rsid w:val="00CA57D4"/>
    <w:rsid w:val="00CA6265"/>
    <w:rsid w:val="00CA68A6"/>
    <w:rsid w:val="00CA6C11"/>
    <w:rsid w:val="00CA6CB5"/>
    <w:rsid w:val="00CA7FD6"/>
    <w:rsid w:val="00CA7FEB"/>
    <w:rsid w:val="00CB212D"/>
    <w:rsid w:val="00CB2583"/>
    <w:rsid w:val="00CB2660"/>
    <w:rsid w:val="00CB4DB6"/>
    <w:rsid w:val="00CB5F47"/>
    <w:rsid w:val="00CB6111"/>
    <w:rsid w:val="00CB7298"/>
    <w:rsid w:val="00CB7ECB"/>
    <w:rsid w:val="00CC1374"/>
    <w:rsid w:val="00CC3089"/>
    <w:rsid w:val="00CC3FE6"/>
    <w:rsid w:val="00CC437A"/>
    <w:rsid w:val="00CC54F6"/>
    <w:rsid w:val="00CC58A4"/>
    <w:rsid w:val="00CC5E90"/>
    <w:rsid w:val="00CC63CF"/>
    <w:rsid w:val="00CC73EA"/>
    <w:rsid w:val="00CC757D"/>
    <w:rsid w:val="00CC7991"/>
    <w:rsid w:val="00CD046C"/>
    <w:rsid w:val="00CD0D35"/>
    <w:rsid w:val="00CD0F59"/>
    <w:rsid w:val="00CD1BA9"/>
    <w:rsid w:val="00CD2151"/>
    <w:rsid w:val="00CD2FA5"/>
    <w:rsid w:val="00CD6D5C"/>
    <w:rsid w:val="00CD7EDF"/>
    <w:rsid w:val="00CE0274"/>
    <w:rsid w:val="00CE05CB"/>
    <w:rsid w:val="00CE076C"/>
    <w:rsid w:val="00CE2252"/>
    <w:rsid w:val="00CE28EF"/>
    <w:rsid w:val="00CE33CD"/>
    <w:rsid w:val="00CE5199"/>
    <w:rsid w:val="00CE66D5"/>
    <w:rsid w:val="00CE7583"/>
    <w:rsid w:val="00CF006F"/>
    <w:rsid w:val="00CF01A1"/>
    <w:rsid w:val="00CF18EF"/>
    <w:rsid w:val="00CF1E66"/>
    <w:rsid w:val="00CF1EC2"/>
    <w:rsid w:val="00CF2147"/>
    <w:rsid w:val="00CF28CB"/>
    <w:rsid w:val="00CF637A"/>
    <w:rsid w:val="00CF6DB9"/>
    <w:rsid w:val="00CF6FEE"/>
    <w:rsid w:val="00D01EEB"/>
    <w:rsid w:val="00D01F3F"/>
    <w:rsid w:val="00D01FCA"/>
    <w:rsid w:val="00D024F8"/>
    <w:rsid w:val="00D02E56"/>
    <w:rsid w:val="00D03376"/>
    <w:rsid w:val="00D03561"/>
    <w:rsid w:val="00D0396F"/>
    <w:rsid w:val="00D05513"/>
    <w:rsid w:val="00D059DE"/>
    <w:rsid w:val="00D0628F"/>
    <w:rsid w:val="00D067C4"/>
    <w:rsid w:val="00D06FBA"/>
    <w:rsid w:val="00D07E75"/>
    <w:rsid w:val="00D10656"/>
    <w:rsid w:val="00D1093D"/>
    <w:rsid w:val="00D11127"/>
    <w:rsid w:val="00D12193"/>
    <w:rsid w:val="00D123E0"/>
    <w:rsid w:val="00D12919"/>
    <w:rsid w:val="00D13FCE"/>
    <w:rsid w:val="00D14595"/>
    <w:rsid w:val="00D148C5"/>
    <w:rsid w:val="00D16953"/>
    <w:rsid w:val="00D17633"/>
    <w:rsid w:val="00D177DE"/>
    <w:rsid w:val="00D17883"/>
    <w:rsid w:val="00D17D98"/>
    <w:rsid w:val="00D204FE"/>
    <w:rsid w:val="00D2070C"/>
    <w:rsid w:val="00D209F3"/>
    <w:rsid w:val="00D226F9"/>
    <w:rsid w:val="00D24585"/>
    <w:rsid w:val="00D25A2E"/>
    <w:rsid w:val="00D306D1"/>
    <w:rsid w:val="00D30A18"/>
    <w:rsid w:val="00D324FE"/>
    <w:rsid w:val="00D32A52"/>
    <w:rsid w:val="00D32B5A"/>
    <w:rsid w:val="00D330D4"/>
    <w:rsid w:val="00D33209"/>
    <w:rsid w:val="00D332C9"/>
    <w:rsid w:val="00D338D4"/>
    <w:rsid w:val="00D3399E"/>
    <w:rsid w:val="00D34786"/>
    <w:rsid w:val="00D35693"/>
    <w:rsid w:val="00D37496"/>
    <w:rsid w:val="00D374CE"/>
    <w:rsid w:val="00D37BFC"/>
    <w:rsid w:val="00D41F9B"/>
    <w:rsid w:val="00D437DD"/>
    <w:rsid w:val="00D445C4"/>
    <w:rsid w:val="00D45602"/>
    <w:rsid w:val="00D46254"/>
    <w:rsid w:val="00D46C29"/>
    <w:rsid w:val="00D4775E"/>
    <w:rsid w:val="00D47A8E"/>
    <w:rsid w:val="00D47AA4"/>
    <w:rsid w:val="00D47D84"/>
    <w:rsid w:val="00D506F5"/>
    <w:rsid w:val="00D51019"/>
    <w:rsid w:val="00D518FE"/>
    <w:rsid w:val="00D51E47"/>
    <w:rsid w:val="00D52D14"/>
    <w:rsid w:val="00D5407F"/>
    <w:rsid w:val="00D55B35"/>
    <w:rsid w:val="00D57215"/>
    <w:rsid w:val="00D573F7"/>
    <w:rsid w:val="00D57860"/>
    <w:rsid w:val="00D5791F"/>
    <w:rsid w:val="00D57EE5"/>
    <w:rsid w:val="00D61890"/>
    <w:rsid w:val="00D625CF"/>
    <w:rsid w:val="00D62769"/>
    <w:rsid w:val="00D63269"/>
    <w:rsid w:val="00D6340B"/>
    <w:rsid w:val="00D65B2C"/>
    <w:rsid w:val="00D6628A"/>
    <w:rsid w:val="00D66879"/>
    <w:rsid w:val="00D66BEA"/>
    <w:rsid w:val="00D66DDF"/>
    <w:rsid w:val="00D66E29"/>
    <w:rsid w:val="00D66FBD"/>
    <w:rsid w:val="00D679A4"/>
    <w:rsid w:val="00D67AEE"/>
    <w:rsid w:val="00D67D42"/>
    <w:rsid w:val="00D67DFD"/>
    <w:rsid w:val="00D712D3"/>
    <w:rsid w:val="00D71422"/>
    <w:rsid w:val="00D72AAE"/>
    <w:rsid w:val="00D72DC6"/>
    <w:rsid w:val="00D741B9"/>
    <w:rsid w:val="00D74547"/>
    <w:rsid w:val="00D74AE6"/>
    <w:rsid w:val="00D7558D"/>
    <w:rsid w:val="00D759D5"/>
    <w:rsid w:val="00D8005C"/>
    <w:rsid w:val="00D81998"/>
    <w:rsid w:val="00D81D92"/>
    <w:rsid w:val="00D82547"/>
    <w:rsid w:val="00D83D73"/>
    <w:rsid w:val="00D854BC"/>
    <w:rsid w:val="00D85ADF"/>
    <w:rsid w:val="00D8758C"/>
    <w:rsid w:val="00D87A2B"/>
    <w:rsid w:val="00D92CE7"/>
    <w:rsid w:val="00D9311B"/>
    <w:rsid w:val="00D9482C"/>
    <w:rsid w:val="00D960B4"/>
    <w:rsid w:val="00D96E66"/>
    <w:rsid w:val="00D97A50"/>
    <w:rsid w:val="00D97A53"/>
    <w:rsid w:val="00DA1066"/>
    <w:rsid w:val="00DA221C"/>
    <w:rsid w:val="00DA23DD"/>
    <w:rsid w:val="00DA2669"/>
    <w:rsid w:val="00DA2831"/>
    <w:rsid w:val="00DA2C70"/>
    <w:rsid w:val="00DA7251"/>
    <w:rsid w:val="00DA7B5F"/>
    <w:rsid w:val="00DA7F04"/>
    <w:rsid w:val="00DB13C9"/>
    <w:rsid w:val="00DB1FF1"/>
    <w:rsid w:val="00DB2A83"/>
    <w:rsid w:val="00DB3110"/>
    <w:rsid w:val="00DB34E4"/>
    <w:rsid w:val="00DB37C7"/>
    <w:rsid w:val="00DB3D80"/>
    <w:rsid w:val="00DB4127"/>
    <w:rsid w:val="00DB4E00"/>
    <w:rsid w:val="00DB5B14"/>
    <w:rsid w:val="00DB6F6B"/>
    <w:rsid w:val="00DB730C"/>
    <w:rsid w:val="00DB7835"/>
    <w:rsid w:val="00DB7913"/>
    <w:rsid w:val="00DC11E7"/>
    <w:rsid w:val="00DC42B5"/>
    <w:rsid w:val="00DC5D1E"/>
    <w:rsid w:val="00DC7023"/>
    <w:rsid w:val="00DC71B8"/>
    <w:rsid w:val="00DC7358"/>
    <w:rsid w:val="00DC769A"/>
    <w:rsid w:val="00DD1582"/>
    <w:rsid w:val="00DD2017"/>
    <w:rsid w:val="00DD3D86"/>
    <w:rsid w:val="00DD4903"/>
    <w:rsid w:val="00DD4A67"/>
    <w:rsid w:val="00DD565D"/>
    <w:rsid w:val="00DD5BA9"/>
    <w:rsid w:val="00DD68FF"/>
    <w:rsid w:val="00DE0A23"/>
    <w:rsid w:val="00DE110C"/>
    <w:rsid w:val="00DE15E8"/>
    <w:rsid w:val="00DE357C"/>
    <w:rsid w:val="00DE3897"/>
    <w:rsid w:val="00DE3B21"/>
    <w:rsid w:val="00DE61F4"/>
    <w:rsid w:val="00DE6AC7"/>
    <w:rsid w:val="00DE6DAA"/>
    <w:rsid w:val="00DE7370"/>
    <w:rsid w:val="00DF05BD"/>
    <w:rsid w:val="00DF1EC4"/>
    <w:rsid w:val="00DF267D"/>
    <w:rsid w:val="00DF2D38"/>
    <w:rsid w:val="00DF38CB"/>
    <w:rsid w:val="00DF40E0"/>
    <w:rsid w:val="00DF5138"/>
    <w:rsid w:val="00DF6D1F"/>
    <w:rsid w:val="00E006A4"/>
    <w:rsid w:val="00E00C34"/>
    <w:rsid w:val="00E00F3C"/>
    <w:rsid w:val="00E016EB"/>
    <w:rsid w:val="00E02325"/>
    <w:rsid w:val="00E0340B"/>
    <w:rsid w:val="00E03973"/>
    <w:rsid w:val="00E040E5"/>
    <w:rsid w:val="00E04A90"/>
    <w:rsid w:val="00E06A5B"/>
    <w:rsid w:val="00E06D9C"/>
    <w:rsid w:val="00E07114"/>
    <w:rsid w:val="00E100DD"/>
    <w:rsid w:val="00E102C6"/>
    <w:rsid w:val="00E1155F"/>
    <w:rsid w:val="00E12355"/>
    <w:rsid w:val="00E12C6F"/>
    <w:rsid w:val="00E14095"/>
    <w:rsid w:val="00E14477"/>
    <w:rsid w:val="00E15F93"/>
    <w:rsid w:val="00E16122"/>
    <w:rsid w:val="00E16A53"/>
    <w:rsid w:val="00E16A5D"/>
    <w:rsid w:val="00E16F2C"/>
    <w:rsid w:val="00E17A01"/>
    <w:rsid w:val="00E205A4"/>
    <w:rsid w:val="00E219C7"/>
    <w:rsid w:val="00E22328"/>
    <w:rsid w:val="00E22B76"/>
    <w:rsid w:val="00E22C6D"/>
    <w:rsid w:val="00E23C50"/>
    <w:rsid w:val="00E245B0"/>
    <w:rsid w:val="00E246FB"/>
    <w:rsid w:val="00E24945"/>
    <w:rsid w:val="00E24D72"/>
    <w:rsid w:val="00E256BC"/>
    <w:rsid w:val="00E272A7"/>
    <w:rsid w:val="00E2754C"/>
    <w:rsid w:val="00E27A08"/>
    <w:rsid w:val="00E27ABC"/>
    <w:rsid w:val="00E30371"/>
    <w:rsid w:val="00E30529"/>
    <w:rsid w:val="00E30571"/>
    <w:rsid w:val="00E31D05"/>
    <w:rsid w:val="00E3213E"/>
    <w:rsid w:val="00E33716"/>
    <w:rsid w:val="00E337F1"/>
    <w:rsid w:val="00E33E2C"/>
    <w:rsid w:val="00E36C64"/>
    <w:rsid w:val="00E42191"/>
    <w:rsid w:val="00E42455"/>
    <w:rsid w:val="00E43009"/>
    <w:rsid w:val="00E43157"/>
    <w:rsid w:val="00E44897"/>
    <w:rsid w:val="00E461CE"/>
    <w:rsid w:val="00E46435"/>
    <w:rsid w:val="00E467A4"/>
    <w:rsid w:val="00E46CDE"/>
    <w:rsid w:val="00E4783C"/>
    <w:rsid w:val="00E47A92"/>
    <w:rsid w:val="00E504BE"/>
    <w:rsid w:val="00E525FF"/>
    <w:rsid w:val="00E534AD"/>
    <w:rsid w:val="00E538F1"/>
    <w:rsid w:val="00E53949"/>
    <w:rsid w:val="00E54A14"/>
    <w:rsid w:val="00E57C28"/>
    <w:rsid w:val="00E60317"/>
    <w:rsid w:val="00E60EBA"/>
    <w:rsid w:val="00E62204"/>
    <w:rsid w:val="00E6243F"/>
    <w:rsid w:val="00E628C8"/>
    <w:rsid w:val="00E6324C"/>
    <w:rsid w:val="00E63618"/>
    <w:rsid w:val="00E64C4E"/>
    <w:rsid w:val="00E64F54"/>
    <w:rsid w:val="00E65491"/>
    <w:rsid w:val="00E664A6"/>
    <w:rsid w:val="00E677C9"/>
    <w:rsid w:val="00E71C62"/>
    <w:rsid w:val="00E71FF6"/>
    <w:rsid w:val="00E720CA"/>
    <w:rsid w:val="00E72389"/>
    <w:rsid w:val="00E7273D"/>
    <w:rsid w:val="00E72DE3"/>
    <w:rsid w:val="00E76475"/>
    <w:rsid w:val="00E77131"/>
    <w:rsid w:val="00E80CF2"/>
    <w:rsid w:val="00E810C3"/>
    <w:rsid w:val="00E8311E"/>
    <w:rsid w:val="00E8367C"/>
    <w:rsid w:val="00E83C12"/>
    <w:rsid w:val="00E84EB5"/>
    <w:rsid w:val="00E85662"/>
    <w:rsid w:val="00E86808"/>
    <w:rsid w:val="00E8745C"/>
    <w:rsid w:val="00E8789F"/>
    <w:rsid w:val="00E87DC6"/>
    <w:rsid w:val="00E904A1"/>
    <w:rsid w:val="00E90512"/>
    <w:rsid w:val="00E909AA"/>
    <w:rsid w:val="00E90A67"/>
    <w:rsid w:val="00E926B4"/>
    <w:rsid w:val="00E93714"/>
    <w:rsid w:val="00E95603"/>
    <w:rsid w:val="00E96858"/>
    <w:rsid w:val="00E970C6"/>
    <w:rsid w:val="00E97769"/>
    <w:rsid w:val="00E97B71"/>
    <w:rsid w:val="00E97BC1"/>
    <w:rsid w:val="00E97E2E"/>
    <w:rsid w:val="00EA0095"/>
    <w:rsid w:val="00EA0980"/>
    <w:rsid w:val="00EA1782"/>
    <w:rsid w:val="00EA2101"/>
    <w:rsid w:val="00EA2F61"/>
    <w:rsid w:val="00EA3D34"/>
    <w:rsid w:val="00EA3E35"/>
    <w:rsid w:val="00EA631C"/>
    <w:rsid w:val="00EA7874"/>
    <w:rsid w:val="00EA79F0"/>
    <w:rsid w:val="00EB1851"/>
    <w:rsid w:val="00EB1D19"/>
    <w:rsid w:val="00EB2414"/>
    <w:rsid w:val="00EB28B4"/>
    <w:rsid w:val="00EB337C"/>
    <w:rsid w:val="00EB3C19"/>
    <w:rsid w:val="00EB4211"/>
    <w:rsid w:val="00EB454D"/>
    <w:rsid w:val="00EB45B8"/>
    <w:rsid w:val="00EB4985"/>
    <w:rsid w:val="00EB516C"/>
    <w:rsid w:val="00EB6B12"/>
    <w:rsid w:val="00EC0546"/>
    <w:rsid w:val="00EC10A0"/>
    <w:rsid w:val="00EC2D3D"/>
    <w:rsid w:val="00EC3866"/>
    <w:rsid w:val="00EC448D"/>
    <w:rsid w:val="00EC461B"/>
    <w:rsid w:val="00EC4810"/>
    <w:rsid w:val="00EC4E06"/>
    <w:rsid w:val="00EC7B49"/>
    <w:rsid w:val="00ED1816"/>
    <w:rsid w:val="00ED2412"/>
    <w:rsid w:val="00ED263F"/>
    <w:rsid w:val="00ED3C38"/>
    <w:rsid w:val="00ED4D60"/>
    <w:rsid w:val="00ED6F5D"/>
    <w:rsid w:val="00ED76BE"/>
    <w:rsid w:val="00ED7DCB"/>
    <w:rsid w:val="00EE0873"/>
    <w:rsid w:val="00EE0BFD"/>
    <w:rsid w:val="00EE15F8"/>
    <w:rsid w:val="00EE3847"/>
    <w:rsid w:val="00EE48BA"/>
    <w:rsid w:val="00EE500E"/>
    <w:rsid w:val="00EE6585"/>
    <w:rsid w:val="00EE66C8"/>
    <w:rsid w:val="00EF00F0"/>
    <w:rsid w:val="00EF04C5"/>
    <w:rsid w:val="00EF084E"/>
    <w:rsid w:val="00EF0C9D"/>
    <w:rsid w:val="00EF0D78"/>
    <w:rsid w:val="00EF1D43"/>
    <w:rsid w:val="00EF28FF"/>
    <w:rsid w:val="00EF2C9E"/>
    <w:rsid w:val="00EF3F4F"/>
    <w:rsid w:val="00EF44A5"/>
    <w:rsid w:val="00EF51B6"/>
    <w:rsid w:val="00EF580C"/>
    <w:rsid w:val="00EF5E5A"/>
    <w:rsid w:val="00EF619B"/>
    <w:rsid w:val="00EF6A6A"/>
    <w:rsid w:val="00EF6DC4"/>
    <w:rsid w:val="00EF7A74"/>
    <w:rsid w:val="00F00B55"/>
    <w:rsid w:val="00F0118C"/>
    <w:rsid w:val="00F02AD1"/>
    <w:rsid w:val="00F02D0A"/>
    <w:rsid w:val="00F05827"/>
    <w:rsid w:val="00F063EE"/>
    <w:rsid w:val="00F07C48"/>
    <w:rsid w:val="00F10605"/>
    <w:rsid w:val="00F10E3E"/>
    <w:rsid w:val="00F110A9"/>
    <w:rsid w:val="00F119AF"/>
    <w:rsid w:val="00F13650"/>
    <w:rsid w:val="00F14503"/>
    <w:rsid w:val="00F14727"/>
    <w:rsid w:val="00F15510"/>
    <w:rsid w:val="00F163A8"/>
    <w:rsid w:val="00F167E1"/>
    <w:rsid w:val="00F17B42"/>
    <w:rsid w:val="00F17C54"/>
    <w:rsid w:val="00F203B7"/>
    <w:rsid w:val="00F20569"/>
    <w:rsid w:val="00F208B4"/>
    <w:rsid w:val="00F20929"/>
    <w:rsid w:val="00F20D5D"/>
    <w:rsid w:val="00F23D41"/>
    <w:rsid w:val="00F24850"/>
    <w:rsid w:val="00F24BC3"/>
    <w:rsid w:val="00F2503D"/>
    <w:rsid w:val="00F253CC"/>
    <w:rsid w:val="00F2690C"/>
    <w:rsid w:val="00F30930"/>
    <w:rsid w:val="00F30D34"/>
    <w:rsid w:val="00F314C7"/>
    <w:rsid w:val="00F31DD9"/>
    <w:rsid w:val="00F33D65"/>
    <w:rsid w:val="00F357E2"/>
    <w:rsid w:val="00F35E7E"/>
    <w:rsid w:val="00F36295"/>
    <w:rsid w:val="00F37106"/>
    <w:rsid w:val="00F40182"/>
    <w:rsid w:val="00F40190"/>
    <w:rsid w:val="00F40A81"/>
    <w:rsid w:val="00F40E65"/>
    <w:rsid w:val="00F42410"/>
    <w:rsid w:val="00F424D9"/>
    <w:rsid w:val="00F46349"/>
    <w:rsid w:val="00F46ED1"/>
    <w:rsid w:val="00F46F70"/>
    <w:rsid w:val="00F501BC"/>
    <w:rsid w:val="00F514A6"/>
    <w:rsid w:val="00F519CF"/>
    <w:rsid w:val="00F52143"/>
    <w:rsid w:val="00F52762"/>
    <w:rsid w:val="00F53B3D"/>
    <w:rsid w:val="00F5640F"/>
    <w:rsid w:val="00F56BA5"/>
    <w:rsid w:val="00F576E2"/>
    <w:rsid w:val="00F578EE"/>
    <w:rsid w:val="00F60E22"/>
    <w:rsid w:val="00F611AA"/>
    <w:rsid w:val="00F61AE7"/>
    <w:rsid w:val="00F61DD1"/>
    <w:rsid w:val="00F657BB"/>
    <w:rsid w:val="00F65903"/>
    <w:rsid w:val="00F65B8B"/>
    <w:rsid w:val="00F6700B"/>
    <w:rsid w:val="00F6759B"/>
    <w:rsid w:val="00F679AC"/>
    <w:rsid w:val="00F709DF"/>
    <w:rsid w:val="00F73104"/>
    <w:rsid w:val="00F75357"/>
    <w:rsid w:val="00F76EE4"/>
    <w:rsid w:val="00F778B2"/>
    <w:rsid w:val="00F805FB"/>
    <w:rsid w:val="00F80923"/>
    <w:rsid w:val="00F80DE5"/>
    <w:rsid w:val="00F8136F"/>
    <w:rsid w:val="00F81395"/>
    <w:rsid w:val="00F820E8"/>
    <w:rsid w:val="00F82FBC"/>
    <w:rsid w:val="00F833E2"/>
    <w:rsid w:val="00F8380F"/>
    <w:rsid w:val="00F83BC0"/>
    <w:rsid w:val="00F84886"/>
    <w:rsid w:val="00F84E88"/>
    <w:rsid w:val="00F8670E"/>
    <w:rsid w:val="00F86922"/>
    <w:rsid w:val="00F86FFE"/>
    <w:rsid w:val="00F873C3"/>
    <w:rsid w:val="00F87737"/>
    <w:rsid w:val="00F902EB"/>
    <w:rsid w:val="00F90472"/>
    <w:rsid w:val="00F9082E"/>
    <w:rsid w:val="00F90F0D"/>
    <w:rsid w:val="00F917D1"/>
    <w:rsid w:val="00F92896"/>
    <w:rsid w:val="00F92A83"/>
    <w:rsid w:val="00F92DEC"/>
    <w:rsid w:val="00F944D8"/>
    <w:rsid w:val="00F95F57"/>
    <w:rsid w:val="00F963A6"/>
    <w:rsid w:val="00F9653B"/>
    <w:rsid w:val="00F9670D"/>
    <w:rsid w:val="00F977A9"/>
    <w:rsid w:val="00F97DD5"/>
    <w:rsid w:val="00FA1832"/>
    <w:rsid w:val="00FA29AD"/>
    <w:rsid w:val="00FA428D"/>
    <w:rsid w:val="00FA4693"/>
    <w:rsid w:val="00FA5882"/>
    <w:rsid w:val="00FA5E8A"/>
    <w:rsid w:val="00FA6933"/>
    <w:rsid w:val="00FA6FB3"/>
    <w:rsid w:val="00FA7F3B"/>
    <w:rsid w:val="00FB04B6"/>
    <w:rsid w:val="00FB10E0"/>
    <w:rsid w:val="00FB24EF"/>
    <w:rsid w:val="00FB3746"/>
    <w:rsid w:val="00FB40D9"/>
    <w:rsid w:val="00FB47ED"/>
    <w:rsid w:val="00FB4F53"/>
    <w:rsid w:val="00FB5481"/>
    <w:rsid w:val="00FB62CF"/>
    <w:rsid w:val="00FB66B0"/>
    <w:rsid w:val="00FC05DE"/>
    <w:rsid w:val="00FC0B74"/>
    <w:rsid w:val="00FC0BC3"/>
    <w:rsid w:val="00FC1718"/>
    <w:rsid w:val="00FC2FB8"/>
    <w:rsid w:val="00FC3552"/>
    <w:rsid w:val="00FC3D35"/>
    <w:rsid w:val="00FC4122"/>
    <w:rsid w:val="00FC441C"/>
    <w:rsid w:val="00FC51EF"/>
    <w:rsid w:val="00FC6D5C"/>
    <w:rsid w:val="00FD11A5"/>
    <w:rsid w:val="00FD1714"/>
    <w:rsid w:val="00FD1C94"/>
    <w:rsid w:val="00FD3C3B"/>
    <w:rsid w:val="00FD4F25"/>
    <w:rsid w:val="00FD5A99"/>
    <w:rsid w:val="00FD5E62"/>
    <w:rsid w:val="00FD6387"/>
    <w:rsid w:val="00FD6D56"/>
    <w:rsid w:val="00FD71A4"/>
    <w:rsid w:val="00FE07DD"/>
    <w:rsid w:val="00FE2027"/>
    <w:rsid w:val="00FE2385"/>
    <w:rsid w:val="00FE2893"/>
    <w:rsid w:val="00FE3C48"/>
    <w:rsid w:val="00FE5ED6"/>
    <w:rsid w:val="00FE67CF"/>
    <w:rsid w:val="00FE6B45"/>
    <w:rsid w:val="00FF07D8"/>
    <w:rsid w:val="00FF1020"/>
    <w:rsid w:val="00FF2F0C"/>
    <w:rsid w:val="00FF3BE3"/>
    <w:rsid w:val="00FF529C"/>
    <w:rsid w:val="00FF55F3"/>
    <w:rsid w:val="00FF5851"/>
    <w:rsid w:val="00FF612A"/>
    <w:rsid w:val="00FF6E6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971C4"/>
  <w15:docId w15:val="{B0CF5BD5-9940-4A65-A74E-794FE6DD4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ListParagraph"/>
    <w:next w:val="Normal"/>
    <w:link w:val="Heading1Char"/>
    <w:qFormat/>
    <w:rsid w:val="0007034B"/>
    <w:pPr>
      <w:numPr>
        <w:numId w:val="54"/>
      </w:numPr>
      <w:suppressAutoHyphens/>
      <w:ind w:left="720"/>
      <w:outlineLvl w:val="0"/>
    </w:pPr>
    <w:rPr>
      <w:rFonts w:asciiTheme="majorHAnsi" w:hAnsiTheme="majorHAnsi"/>
      <w:b/>
      <w:sz w:val="20"/>
      <w:szCs w:val="20"/>
      <w:lang w:val="es-ES_tradnl"/>
    </w:rPr>
  </w:style>
  <w:style w:type="paragraph" w:styleId="Heading2">
    <w:name w:val="heading 2"/>
    <w:basedOn w:val="Normal"/>
    <w:next w:val="Normal"/>
    <w:link w:val="Heading2Char"/>
    <w:qFormat/>
    <w:rsid w:val="00F84E88"/>
    <w:pPr>
      <w:keepNext/>
      <w:numPr>
        <w:numId w:val="61"/>
      </w:numPr>
      <w:pBdr>
        <w:top w:val="none" w:sz="0" w:space="0" w:color="auto"/>
        <w:left w:val="none" w:sz="0" w:space="0" w:color="auto"/>
        <w:bottom w:val="none" w:sz="0" w:space="0" w:color="auto"/>
        <w:right w:val="none" w:sz="0" w:space="0" w:color="auto"/>
        <w:between w:val="none" w:sz="0" w:space="0" w:color="auto"/>
        <w:bar w:val="none" w:sz="0" w:color="auto"/>
      </w:pBdr>
      <w:ind w:hanging="720"/>
      <w:outlineLvl w:val="1"/>
    </w:pPr>
    <w:rPr>
      <w:rFonts w:asciiTheme="majorHAnsi" w:eastAsia="Times New Roman" w:hAnsiTheme="majorHAnsi" w:cs="Arial"/>
      <w:b/>
      <w:bCs/>
      <w:iCs/>
      <w:sz w:val="20"/>
      <w:szCs w:val="20"/>
      <w:bdr w:val="none" w:sz="0" w:space="0" w:color="auto"/>
      <w:lang w:val="es-ES_tradnl"/>
    </w:rPr>
  </w:style>
  <w:style w:type="paragraph" w:styleId="Heading3">
    <w:name w:val="heading 3"/>
    <w:basedOn w:val="Normal"/>
    <w:next w:val="Normal"/>
    <w:link w:val="Heading3Char"/>
    <w:qFormat/>
    <w:rsid w:val="0007034B"/>
    <w:pPr>
      <w:keepNext/>
      <w:numPr>
        <w:numId w:val="62"/>
      </w:numPr>
      <w:pBdr>
        <w:top w:val="none" w:sz="0" w:space="0" w:color="auto"/>
        <w:left w:val="none" w:sz="0" w:space="0" w:color="auto"/>
        <w:bottom w:val="none" w:sz="0" w:space="0" w:color="auto"/>
        <w:right w:val="none" w:sz="0" w:space="0" w:color="auto"/>
        <w:between w:val="none" w:sz="0" w:space="0" w:color="auto"/>
        <w:bar w:val="none" w:sz="0" w:color="auto"/>
      </w:pBdr>
      <w:ind w:hanging="720"/>
      <w:jc w:val="both"/>
      <w:outlineLvl w:val="2"/>
    </w:pPr>
    <w:rPr>
      <w:rFonts w:asciiTheme="majorHAnsi" w:eastAsia="Times New Roman" w:hAnsiTheme="majorHAnsi" w:cs="Arial"/>
      <w:b/>
      <w:bCs/>
      <w:sz w:val="20"/>
      <w:szCs w:val="20"/>
      <w:bdr w:val="none" w:sz="0" w:space="0" w:color="auto"/>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sid w:val="00A03A30"/>
    <w:pPr>
      <w:jc w:val="both"/>
    </w:pPr>
    <w:rPr>
      <w:rFonts w:asciiTheme="majorHAnsi" w:eastAsia="Calibri" w:hAnsiTheme="majorHAnsi" w:cs="Calibri"/>
      <w:color w:val="000000"/>
      <w:sz w:val="16"/>
      <w:szCs w:val="16"/>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07034B"/>
    <w:rPr>
      <w:rFonts w:asciiTheme="majorHAnsi" w:eastAsia="Cambria" w:hAnsiTheme="majorHAnsi" w:cs="Cambria"/>
      <w:b/>
      <w:color w:val="000000"/>
      <w:u w:color="000000"/>
      <w:lang w:val="es-ES_tradnl"/>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F004A"/>
    <w:pPr>
      <w:tabs>
        <w:tab w:val="left" w:pos="1440"/>
        <w:tab w:val="right" w:leader="dot" w:pos="9350"/>
      </w:tabs>
      <w:spacing w:after="100"/>
      <w:ind w:left="1440" w:hanging="360"/>
    </w:pPr>
  </w:style>
  <w:style w:type="paragraph" w:styleId="TOC1">
    <w:name w:val="toc 1"/>
    <w:basedOn w:val="Normal"/>
    <w:next w:val="Normal"/>
    <w:autoRedefine/>
    <w:uiPriority w:val="39"/>
    <w:unhideWhenUsed/>
    <w:rsid w:val="00DE3B21"/>
    <w:pPr>
      <w:tabs>
        <w:tab w:val="left" w:pos="1080"/>
        <w:tab w:val="right" w:leader="dot" w:pos="9350"/>
      </w:tabs>
      <w:spacing w:after="100"/>
      <w:ind w:left="720"/>
    </w:pPr>
    <w:rPr>
      <w:rFonts w:asciiTheme="majorHAnsi" w:hAnsiTheme="majorHAnsi"/>
      <w:b/>
      <w:noProof/>
      <w:sz w:val="18"/>
      <w:szCs w:val="18"/>
    </w:rPr>
  </w:style>
  <w:style w:type="paragraph" w:styleId="TOC3">
    <w:name w:val="toc 3"/>
    <w:basedOn w:val="Normal"/>
    <w:next w:val="Normal"/>
    <w:autoRedefine/>
    <w:uiPriority w:val="39"/>
    <w:unhideWhenUsed/>
    <w:rsid w:val="00DE3B21"/>
    <w:pPr>
      <w:tabs>
        <w:tab w:val="left" w:pos="880"/>
        <w:tab w:val="left" w:pos="2160"/>
        <w:tab w:val="right" w:leader="dot" w:pos="9350"/>
      </w:tabs>
      <w:spacing w:after="100"/>
      <w:ind w:left="2160" w:hanging="36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Footnote Reference Cha"/>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A03A30"/>
    <w:rPr>
      <w:rFonts w:asciiTheme="majorHAnsi" w:eastAsia="Calibri" w:hAnsiTheme="majorHAnsi" w:cs="Calibri"/>
      <w:color w:val="000000"/>
      <w:sz w:val="16"/>
      <w:szCs w:val="16"/>
      <w:u w:color="000000"/>
      <w:lang w:val="en-US"/>
    </w:rPr>
  </w:style>
  <w:style w:type="character" w:customStyle="1" w:styleId="Heading2Char">
    <w:name w:val="Heading 2 Char"/>
    <w:basedOn w:val="DefaultParagraphFont"/>
    <w:link w:val="Heading2"/>
    <w:rsid w:val="00F84E88"/>
    <w:rPr>
      <w:rFonts w:asciiTheme="majorHAnsi" w:eastAsia="Times New Roman" w:hAnsiTheme="majorHAnsi" w:cs="Arial"/>
      <w:b/>
      <w:bCs/>
      <w:iCs/>
      <w:bdr w:val="none" w:sz="0" w:space="0" w:color="auto"/>
      <w:lang w:val="es-ES_tradnl" w:eastAsia="en-US"/>
    </w:rPr>
  </w:style>
  <w:style w:type="character" w:customStyle="1" w:styleId="Heading3Char">
    <w:name w:val="Heading 3 Char"/>
    <w:basedOn w:val="DefaultParagraphFont"/>
    <w:link w:val="Heading3"/>
    <w:rsid w:val="0007034B"/>
    <w:rPr>
      <w:rFonts w:asciiTheme="majorHAnsi" w:eastAsia="Times New Roman" w:hAnsiTheme="majorHAnsi" w:cs="Arial"/>
      <w:b/>
      <w:bCs/>
      <w:bdr w:val="none" w:sz="0" w:space="0" w:color="auto"/>
      <w:lang w:val="es-ES_tradnl"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9014A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4D661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locked/>
    <w:rsid w:val="002E4AEA"/>
    <w:rPr>
      <w:rFonts w:ascii="Cambria" w:eastAsia="Cambria" w:hAnsi="Cambria" w:cs="Cambria"/>
      <w:color w:val="000000"/>
      <w:sz w:val="24"/>
      <w:szCs w:val="24"/>
      <w:u w:color="000000"/>
      <w:lang w:val="en-US"/>
    </w:rPr>
  </w:style>
  <w:style w:type="table" w:styleId="TableGrid">
    <w:name w:val="Table Grid"/>
    <w:basedOn w:val="TableNormal"/>
    <w:uiPriority w:val="59"/>
    <w:rsid w:val="007A0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
    <w:name w:val="small"/>
    <w:rsid w:val="00E1155F"/>
    <w:rPr>
      <w:rFonts w:cs="Times New Roman"/>
    </w:rPr>
  </w:style>
  <w:style w:type="character" w:customStyle="1" w:styleId="apple-style-span">
    <w:name w:val="apple-style-span"/>
    <w:basedOn w:val="DefaultParagraphFont"/>
    <w:rsid w:val="00EC4E06"/>
  </w:style>
  <w:style w:type="character" w:customStyle="1" w:styleId="apple-converted-space">
    <w:name w:val="apple-converted-space"/>
    <w:basedOn w:val="DefaultParagraphFont"/>
    <w:rsid w:val="00EC4E06"/>
  </w:style>
  <w:style w:type="paragraph" w:styleId="NormalWeb">
    <w:name w:val="Normal (Web)"/>
    <w:aliases w:val="Normal (Web) Char1,Normal (Web) Char Char,Normal (Web) Char1 Char,Normal (Web) Char Char Char,webb"/>
    <w:basedOn w:val="Normal"/>
    <w:uiPriority w:val="99"/>
    <w:rsid w:val="00EC4E0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firstLine="120"/>
      <w:jc w:val="both"/>
    </w:pPr>
    <w:rPr>
      <w:rFonts w:ascii="Arial" w:eastAsia="Times New Roman" w:hAnsi="Arial" w:cs="Arial"/>
      <w:sz w:val="18"/>
      <w:szCs w:val="18"/>
      <w:bdr w:val="none" w:sz="0" w:space="0" w:color="auto"/>
      <w:lang w:val="es-ES" w:eastAsia="es-ES"/>
    </w:rPr>
  </w:style>
  <w:style w:type="paragraph" w:styleId="NoSpacing">
    <w:name w:val="No Spacing"/>
    <w:uiPriority w:val="1"/>
    <w:qFormat/>
    <w:rsid w:val="00EC4E06"/>
    <w:pPr>
      <w:pBdr>
        <w:top w:val="none" w:sz="0" w:space="0" w:color="auto"/>
        <w:left w:val="none" w:sz="0" w:space="0" w:color="auto"/>
        <w:bottom w:val="none" w:sz="0" w:space="0" w:color="auto"/>
        <w:right w:val="none" w:sz="0" w:space="0" w:color="auto"/>
        <w:between w:val="none" w:sz="0" w:space="0" w:color="auto"/>
        <w:bar w:val="none" w:sz="0" w:color="auto"/>
      </w:pBdr>
    </w:pPr>
    <w:rPr>
      <w:rFonts w:ascii="Verdana" w:eastAsia="Batang" w:hAnsi="Verdana"/>
      <w:sz w:val="24"/>
      <w:szCs w:val="24"/>
      <w:bdr w:val="none" w:sz="0" w:space="0" w:color="auto"/>
      <w:lang w:val="es-ES_tradnl" w:eastAsia="en-US"/>
    </w:rPr>
  </w:style>
  <w:style w:type="paragraph" w:customStyle="1" w:styleId="Estilo2">
    <w:name w:val="Estilo2"/>
    <w:basedOn w:val="Normal"/>
    <w:link w:val="Estilo2Car"/>
    <w:qFormat/>
    <w:rsid w:val="00E16122"/>
    <w:pPr>
      <w:numPr>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120"/>
      <w:ind w:right="-522"/>
      <w:jc w:val="both"/>
    </w:pPr>
    <w:rPr>
      <w:rFonts w:ascii="Verdana" w:eastAsia="Calibri" w:hAnsi="Verdana"/>
      <w:spacing w:val="-2"/>
      <w:sz w:val="20"/>
      <w:szCs w:val="20"/>
      <w:bdr w:val="none" w:sz="0" w:space="0" w:color="auto"/>
      <w:lang w:val="es-CR"/>
    </w:rPr>
  </w:style>
  <w:style w:type="character" w:customStyle="1" w:styleId="Estilo2Car">
    <w:name w:val="Estilo2 Car"/>
    <w:basedOn w:val="DefaultParagraphFont"/>
    <w:link w:val="Estilo2"/>
    <w:rsid w:val="00E16122"/>
    <w:rPr>
      <w:rFonts w:ascii="Verdana" w:eastAsia="Calibri" w:hAnsi="Verdana"/>
      <w:spacing w:val="-2"/>
      <w:bdr w:val="none" w:sz="0" w:space="0" w:color="auto"/>
      <w:lang w:val="es-CR" w:eastAsia="en-US"/>
    </w:rPr>
  </w:style>
  <w:style w:type="character" w:customStyle="1" w:styleId="FootnoteAnchor">
    <w:name w:val="Footnote Anchor"/>
    <w:rsid w:val="00A02AA9"/>
    <w:rPr>
      <w:vertAlign w:val="superscript"/>
    </w:rPr>
  </w:style>
  <w:style w:type="paragraph" w:customStyle="1" w:styleId="1">
    <w:name w:val="1"/>
    <w:basedOn w:val="Normal"/>
    <w:rsid w:val="00E664A6"/>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bdr w:val="none" w:sz="0" w:space="0" w:color="auto"/>
      <w:vertAlign w:val="superscript"/>
    </w:rPr>
  </w:style>
  <w:style w:type="paragraph" w:customStyle="1" w:styleId="Style2">
    <w:name w:val="Style2"/>
    <w:basedOn w:val="Normal"/>
    <w:link w:val="Style2Char"/>
    <w:qFormat/>
    <w:rsid w:val="00B82F8F"/>
    <w:pPr>
      <w:numPr>
        <w:numId w:val="58"/>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mbria" w:hAnsi="Cambria"/>
      <w:sz w:val="20"/>
      <w:szCs w:val="20"/>
      <w:lang w:val="es-ES"/>
    </w:rPr>
  </w:style>
  <w:style w:type="character" w:customStyle="1" w:styleId="Style2Char">
    <w:name w:val="Style2 Char"/>
    <w:link w:val="Style2"/>
    <w:rsid w:val="00B82F8F"/>
    <w:rPr>
      <w:rFonts w:ascii="Cambria" w:hAnsi="Cambria"/>
      <w:lang w:eastAsia="en-US"/>
    </w:rPr>
  </w:style>
  <w:style w:type="character" w:styleId="Strong">
    <w:name w:val="Strong"/>
    <w:aliases w:val="Heading 2.1"/>
    <w:basedOn w:val="DefaultParagraphFont"/>
    <w:uiPriority w:val="22"/>
    <w:qFormat/>
    <w:rsid w:val="001B30CD"/>
    <w:rPr>
      <w:b/>
      <w:bCs/>
    </w:rPr>
  </w:style>
  <w:style w:type="character" w:customStyle="1" w:styleId="hit1">
    <w:name w:val="hit1"/>
    <w:rsid w:val="0068596E"/>
    <w:rPr>
      <w:color w:val="FF0000"/>
    </w:rPr>
  </w:style>
  <w:style w:type="character" w:styleId="Emphasis">
    <w:name w:val="Emphasis"/>
    <w:uiPriority w:val="20"/>
    <w:qFormat/>
    <w:rsid w:val="00D30A18"/>
    <w:rPr>
      <w:i/>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9249CE"/>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heme="minorHAnsi" w:eastAsiaTheme="minorHAnsi" w:hAnsiTheme="minorHAnsi" w:cstheme="minorBidi"/>
      <w:sz w:val="22"/>
      <w:szCs w:val="22"/>
      <w:bdr w:val="none" w:sz="0" w:space="0" w:color="auto"/>
      <w:vertAlign w:val="superscript"/>
      <w:lang w:val="es-CR"/>
    </w:rPr>
  </w:style>
  <w:style w:type="character" w:customStyle="1" w:styleId="ListParagraphChar1">
    <w:name w:val="List Paragraph Char1"/>
    <w:aliases w:val="Footnote Char1,List Paragraph2 Char1,Lista vistosa - Énfasis 11 Char1"/>
    <w:basedOn w:val="DefaultParagraphFont"/>
    <w:rsid w:val="009249CE"/>
  </w:style>
  <w:style w:type="character" w:styleId="CommentReference">
    <w:name w:val="annotation reference"/>
    <w:basedOn w:val="DefaultParagraphFont"/>
    <w:uiPriority w:val="99"/>
    <w:semiHidden/>
    <w:unhideWhenUsed/>
    <w:rsid w:val="00A164E5"/>
    <w:rPr>
      <w:sz w:val="16"/>
      <w:szCs w:val="16"/>
    </w:rPr>
  </w:style>
  <w:style w:type="paragraph" w:styleId="CommentText">
    <w:name w:val="annotation text"/>
    <w:basedOn w:val="Normal"/>
    <w:link w:val="CommentTextChar"/>
    <w:uiPriority w:val="99"/>
    <w:semiHidden/>
    <w:unhideWhenUsed/>
    <w:rsid w:val="00A164E5"/>
    <w:rPr>
      <w:sz w:val="20"/>
      <w:szCs w:val="20"/>
    </w:rPr>
  </w:style>
  <w:style w:type="character" w:customStyle="1" w:styleId="CommentTextChar">
    <w:name w:val="Comment Text Char"/>
    <w:basedOn w:val="DefaultParagraphFont"/>
    <w:link w:val="CommentText"/>
    <w:uiPriority w:val="99"/>
    <w:semiHidden/>
    <w:rsid w:val="00A164E5"/>
    <w:rPr>
      <w:lang w:val="en-US" w:eastAsia="en-US"/>
    </w:rPr>
  </w:style>
  <w:style w:type="paragraph" w:styleId="CommentSubject">
    <w:name w:val="annotation subject"/>
    <w:basedOn w:val="CommentText"/>
    <w:next w:val="CommentText"/>
    <w:link w:val="CommentSubjectChar"/>
    <w:uiPriority w:val="99"/>
    <w:semiHidden/>
    <w:unhideWhenUsed/>
    <w:rsid w:val="00A164E5"/>
    <w:rPr>
      <w:b/>
      <w:bCs/>
    </w:rPr>
  </w:style>
  <w:style w:type="character" w:customStyle="1" w:styleId="CommentSubjectChar">
    <w:name w:val="Comment Subject Char"/>
    <w:basedOn w:val="CommentTextChar"/>
    <w:link w:val="CommentSubject"/>
    <w:uiPriority w:val="99"/>
    <w:semiHidden/>
    <w:rsid w:val="00A164E5"/>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01454">
      <w:bodyDiv w:val="1"/>
      <w:marLeft w:val="0"/>
      <w:marRight w:val="0"/>
      <w:marTop w:val="0"/>
      <w:marBottom w:val="0"/>
      <w:divBdr>
        <w:top w:val="none" w:sz="0" w:space="0" w:color="auto"/>
        <w:left w:val="none" w:sz="0" w:space="0" w:color="auto"/>
        <w:bottom w:val="none" w:sz="0" w:space="0" w:color="auto"/>
        <w:right w:val="none" w:sz="0" w:space="0" w:color="auto"/>
      </w:divBdr>
    </w:div>
    <w:div w:id="63723741">
      <w:bodyDiv w:val="1"/>
      <w:marLeft w:val="0"/>
      <w:marRight w:val="0"/>
      <w:marTop w:val="0"/>
      <w:marBottom w:val="0"/>
      <w:divBdr>
        <w:top w:val="none" w:sz="0" w:space="0" w:color="auto"/>
        <w:left w:val="none" w:sz="0" w:space="0" w:color="auto"/>
        <w:bottom w:val="none" w:sz="0" w:space="0" w:color="auto"/>
        <w:right w:val="none" w:sz="0" w:space="0" w:color="auto"/>
      </w:divBdr>
    </w:div>
    <w:div w:id="815223120">
      <w:bodyDiv w:val="1"/>
      <w:marLeft w:val="0"/>
      <w:marRight w:val="0"/>
      <w:marTop w:val="0"/>
      <w:marBottom w:val="0"/>
      <w:divBdr>
        <w:top w:val="none" w:sz="0" w:space="0" w:color="auto"/>
        <w:left w:val="none" w:sz="0" w:space="0" w:color="auto"/>
        <w:bottom w:val="none" w:sz="0" w:space="0" w:color="auto"/>
        <w:right w:val="none" w:sz="0" w:space="0" w:color="auto"/>
      </w:divBdr>
    </w:div>
    <w:div w:id="1453939512">
      <w:bodyDiv w:val="1"/>
      <w:marLeft w:val="0"/>
      <w:marRight w:val="0"/>
      <w:marTop w:val="0"/>
      <w:marBottom w:val="0"/>
      <w:divBdr>
        <w:top w:val="none" w:sz="0" w:space="0" w:color="auto"/>
        <w:left w:val="none" w:sz="0" w:space="0" w:color="auto"/>
        <w:bottom w:val="none" w:sz="0" w:space="0" w:color="auto"/>
        <w:right w:val="none" w:sz="0" w:space="0" w:color="auto"/>
      </w:divBdr>
    </w:div>
    <w:div w:id="1518732341">
      <w:bodyDiv w:val="1"/>
      <w:marLeft w:val="0"/>
      <w:marRight w:val="0"/>
      <w:marTop w:val="0"/>
      <w:marBottom w:val="0"/>
      <w:divBdr>
        <w:top w:val="none" w:sz="0" w:space="0" w:color="auto"/>
        <w:left w:val="none" w:sz="0" w:space="0" w:color="auto"/>
        <w:bottom w:val="none" w:sz="0" w:space="0" w:color="auto"/>
        <w:right w:val="none" w:sz="0" w:space="0" w:color="auto"/>
      </w:divBdr>
    </w:div>
    <w:div w:id="168493352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73236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sj.csjn.gov.ar/sj/tomosFallos.do?method=siguiente" TargetMode="External"/><Relationship Id="rId13" Type="http://schemas.openxmlformats.org/officeDocument/2006/relationships/hyperlink" Target="https://sj.csjn.gov.ar/sj/tomosFallos.do?method=siguiente" TargetMode="External"/><Relationship Id="rId18" Type="http://schemas.openxmlformats.org/officeDocument/2006/relationships/hyperlink" Target="https://www.mpf.gov.ar/Institucional/UnidadesFE/Simon-CSJN.pdf" TargetMode="External"/><Relationship Id="rId26" Type="http://schemas.openxmlformats.org/officeDocument/2006/relationships/hyperlink" Target="https://www.cij.gov.ar/nota-9856-Difundieron-los-fundamentos-de-la-condena-a-Jorge-Rafael-Videla-a-50-a-os-de-prisi-n-por-el-robo-de-beb-s.html" TargetMode="External"/><Relationship Id="rId3" Type="http://schemas.openxmlformats.org/officeDocument/2006/relationships/hyperlink" Target="https://sites.google.com/view/operationcondorjustice/data?authuser=2" TargetMode="External"/><Relationship Id="rId21" Type="http://schemas.openxmlformats.org/officeDocument/2006/relationships/hyperlink" Target="https://www.cij.gov.ar/nota-33494-Anulan-absoluciones-en-una-causa-por-delitos-de-lesa-humanidad.html" TargetMode="External"/><Relationship Id="rId7" Type="http://schemas.openxmlformats.org/officeDocument/2006/relationships/hyperlink" Target="file:///C:/Users/abanfi/Downloads/GRISONAS%20ANDRIJAUSKAITE,%20Victoria%20Lucia%20accesible.pdf" TargetMode="External"/><Relationship Id="rId12" Type="http://schemas.openxmlformats.org/officeDocument/2006/relationships/hyperlink" Target="https://sj.csjn.gov.ar/sj/tomosFallos.do?method=siguiente" TargetMode="External"/><Relationship Id="rId17" Type="http://schemas.openxmlformats.org/officeDocument/2006/relationships/hyperlink" Target="https://sj.csjn.gov.ar" TargetMode="External"/><Relationship Id="rId25" Type="http://schemas.openxmlformats.org/officeDocument/2006/relationships/hyperlink" Target="https://www.cij.gov.ar/nota-33494-Anulan-absoluciones-en-una-causa-por-delitos-de-lesa-humanidad.html" TargetMode="External"/><Relationship Id="rId2" Type="http://schemas.openxmlformats.org/officeDocument/2006/relationships/hyperlink" Target="https://librosycasas.cultura.gob.ar/wp-content/uploads/2015/11/LC_NuncaMas_Digital1.pdf" TargetMode="External"/><Relationship Id="rId16" Type="http://schemas.openxmlformats.org/officeDocument/2006/relationships/hyperlink" Target="https://sj.csjn.gov.ar" TargetMode="External"/><Relationship Id="rId20" Type="http://schemas.openxmlformats.org/officeDocument/2006/relationships/hyperlink" Target="http://cij.gov.ar/nota-1190-.html" TargetMode="External"/><Relationship Id="rId1" Type="http://schemas.openxmlformats.org/officeDocument/2006/relationships/hyperlink" Target="http://www.desaparecidos.org/arg/conadep/nuncamas/" TargetMode="External"/><Relationship Id="rId6" Type="http://schemas.openxmlformats.org/officeDocument/2006/relationships/hyperlink" Target="https://www.gub.uy/secretaria-derechos-humanos-pasado-reciente/sites/secretaria-derechos-humanos-pasado-reciente/files/documentos/publicaciones/JULI%C3%89N%20C%C3%81CERES%2C%20Mario%20Roger%20ficha%20accesible.pdf" TargetMode="External"/><Relationship Id="rId11" Type="http://schemas.openxmlformats.org/officeDocument/2006/relationships/hyperlink" Target="https://sj.csjn.gov.ar/sj/tomosFallos.do?method=siguiente" TargetMode="External"/><Relationship Id="rId24" Type="http://schemas.openxmlformats.org/officeDocument/2006/relationships/hyperlink" Target="https://www.cij.gov.ar/nota-33494-Anulan-absoluciones-en-una-causa-por-delitos-de-lesa-humanidad.html" TargetMode="External"/><Relationship Id="rId5" Type="http://schemas.openxmlformats.org/officeDocument/2006/relationships/hyperlink" Target="https://www.gub.uy/secretaria-derechos-humanos-pasado-reciente/sites/secretaria-derechos-humanos-pasado-reciente/files/documentos/publicaciones/JULI%C3%89N%20C%C3%81CERES%2C%20Mario%20Roger%20ficha%20accesible.pdf" TargetMode="External"/><Relationship Id="rId15" Type="http://schemas.openxmlformats.org/officeDocument/2006/relationships/hyperlink" Target="https://sj.csjn.gov.ar/sj/tomosFallos.do?method=siguiente" TargetMode="External"/><Relationship Id="rId23" Type="http://schemas.openxmlformats.org/officeDocument/2006/relationships/hyperlink" Target="https://www.cij.gov.ar/nota-33494-Anulan-absoluciones-en-una-causa-por-delitos-de-lesa-humanidad.html" TargetMode="External"/><Relationship Id="rId10" Type="http://schemas.openxmlformats.org/officeDocument/2006/relationships/hyperlink" Target="https://sj.csjn.gov.ar/sj/tomosFallos.do?method=siguiente" TargetMode="External"/><Relationship Id="rId19" Type="http://schemas.openxmlformats.org/officeDocument/2006/relationships/hyperlink" Target="https://www.cij.gov.ar/lesa-humanidad.html" TargetMode="External"/><Relationship Id="rId4" Type="http://schemas.openxmlformats.org/officeDocument/2006/relationships/hyperlink" Target="https://www.fiscales.gob.ar/wp-content/uploads/2015/11/Informe-ProcuLesa-Op-C%C3%B3ndor-Final.pdf" TargetMode="External"/><Relationship Id="rId9" Type="http://schemas.openxmlformats.org/officeDocument/2006/relationships/hyperlink" Target="https://librosycasas.cultura.gob.ar/wp-content/uploads/2015/11/LC_NuncaMas_Digital1.pdf" TargetMode="External"/><Relationship Id="rId14" Type="http://schemas.openxmlformats.org/officeDocument/2006/relationships/hyperlink" Target="https://sj.csjn.gov.ar/sj/tomosFallos.do?method=siguiente" TargetMode="External"/><Relationship Id="rId22" Type="http://schemas.openxmlformats.org/officeDocument/2006/relationships/hyperlink" Target="https://www.cij.gov.ar/nota-33494-Anulan-absoluciones-en-una-causa-por-delitos-de-lesa-humanidad.html" TargetMode="External"/><Relationship Id="rId27" Type="http://schemas.openxmlformats.org/officeDocument/2006/relationships/hyperlink" Target="http://joomla.corteidh.or.cr:8080/joomla/es/jurisprudencia-oc-2/38-jurisprudencia/731-corte-idh-caso-de-las-masacres-de-ituango-vs-colombia-sentencia-de-1-de-julio-de-2006-serie-c-no-14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4CE67-A5DE-4B22-BB5A-59C9B7CEA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54</Pages>
  <Words>30148</Words>
  <Characters>171849</Characters>
  <Application>Microsoft Office Word</Application>
  <DocSecurity>0</DocSecurity>
  <Lines>1432</Lines>
  <Paragraphs>403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CIDH</dc:creator>
  <cp:lastModifiedBy>user</cp:lastModifiedBy>
  <cp:revision>69</cp:revision>
  <cp:lastPrinted>2019-05-23T15:31:00Z</cp:lastPrinted>
  <dcterms:created xsi:type="dcterms:W3CDTF">2019-04-22T14:36:00Z</dcterms:created>
  <dcterms:modified xsi:type="dcterms:W3CDTF">2020-01-17T12:38:00Z</dcterms:modified>
</cp:coreProperties>
</file>