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74FF" w:rsidRPr="00A767EE" w:rsidRDefault="00FD1AD1" w:rsidP="007374FF">
      <w:pPr>
        <w:tabs>
          <w:tab w:val="left" w:pos="567"/>
        </w:tabs>
        <w:jc w:val="both"/>
        <w:rPr>
          <w:rFonts w:ascii="Cambria" w:hAnsi="Cambria" w:cs="Univers"/>
          <w:b/>
          <w:bCs/>
          <w:sz w:val="20"/>
          <w:szCs w:val="20"/>
          <w:lang w:val="es-ES_tradnl"/>
        </w:rPr>
      </w:pPr>
      <w:r>
        <w:rPr>
          <w:noProof/>
          <w:lang w:val="en-US"/>
        </w:rPr>
        <mc:AlternateContent>
          <mc:Choice Requires="wps">
            <w:drawing>
              <wp:anchor distT="0" distB="0" distL="114300" distR="114300" simplePos="0" relativeHeight="251654144" behindDoc="0" locked="0" layoutInCell="1" allowOverlap="1">
                <wp:simplePos x="0" y="0"/>
                <wp:positionH relativeFrom="column">
                  <wp:posOffset>1334770</wp:posOffset>
                </wp:positionH>
                <wp:positionV relativeFrom="paragraph">
                  <wp:posOffset>2437765</wp:posOffset>
                </wp:positionV>
                <wp:extent cx="4441190" cy="2181225"/>
                <wp:effectExtent l="127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1566" w:rsidRPr="00A767EE" w:rsidRDefault="003B1566" w:rsidP="00E13A0C">
                            <w:pPr>
                              <w:spacing w:after="0" w:line="240" w:lineRule="auto"/>
                              <w:rPr>
                                <w:rFonts w:ascii="Cambria" w:hAnsi="Cambria" w:cs="Arial"/>
                                <w:b/>
                                <w:bCs/>
                                <w:color w:val="0D0D0D"/>
                                <w:sz w:val="36"/>
                                <w:lang w:val="es-ES"/>
                              </w:rPr>
                            </w:pPr>
                            <w:r w:rsidRPr="00A767EE">
                              <w:rPr>
                                <w:rFonts w:ascii="Cambria" w:hAnsi="Cambria" w:cs="Arial"/>
                                <w:b/>
                                <w:bCs/>
                                <w:color w:val="0D0D0D"/>
                                <w:sz w:val="36"/>
                                <w:lang w:val="es-ES"/>
                              </w:rPr>
                              <w:t xml:space="preserve">INFORME </w:t>
                            </w:r>
                            <w:r w:rsidRPr="00A767EE">
                              <w:rPr>
                                <w:rFonts w:ascii="Cambria" w:hAnsi="Cambria" w:cs="Arial"/>
                                <w:b/>
                                <w:bCs/>
                                <w:color w:val="0D0D0D"/>
                                <w:sz w:val="36"/>
                                <w:szCs w:val="40"/>
                                <w:lang w:val="es-ES"/>
                              </w:rPr>
                              <w:t>No.</w:t>
                            </w:r>
                            <w:r w:rsidR="00AD5338">
                              <w:rPr>
                                <w:rFonts w:ascii="Cambria" w:hAnsi="Cambria" w:cs="Arial"/>
                                <w:b/>
                                <w:bCs/>
                                <w:color w:val="0D0D0D"/>
                                <w:sz w:val="36"/>
                                <w:lang w:val="es-ES"/>
                              </w:rPr>
                              <w:t xml:space="preserve"> 63</w:t>
                            </w:r>
                            <w:r w:rsidRPr="00A767EE">
                              <w:rPr>
                                <w:rFonts w:ascii="Cambria" w:hAnsi="Cambria" w:cs="Arial"/>
                                <w:b/>
                                <w:bCs/>
                                <w:color w:val="0D0D0D"/>
                                <w:sz w:val="36"/>
                                <w:lang w:val="es-ES"/>
                              </w:rPr>
                              <w:t>/19</w:t>
                            </w:r>
                          </w:p>
                          <w:p w:rsidR="003B1566" w:rsidRPr="00A767EE" w:rsidRDefault="003B1566" w:rsidP="00E13A0C">
                            <w:pPr>
                              <w:spacing w:after="0" w:line="240" w:lineRule="auto"/>
                              <w:rPr>
                                <w:rFonts w:ascii="Cambria" w:hAnsi="Cambria" w:cs="Arial"/>
                                <w:b/>
                                <w:color w:val="0D0D0D"/>
                                <w:sz w:val="36"/>
                                <w:lang w:val="es-ES"/>
                              </w:rPr>
                            </w:pPr>
                            <w:r w:rsidRPr="00A767EE">
                              <w:rPr>
                                <w:rFonts w:ascii="Cambria" w:hAnsi="Cambria" w:cs="Arial"/>
                                <w:b/>
                                <w:color w:val="0D0D0D"/>
                                <w:sz w:val="36"/>
                                <w:lang w:val="es-ES"/>
                              </w:rPr>
                              <w:t xml:space="preserve">CASO </w:t>
                            </w:r>
                            <w:r>
                              <w:rPr>
                                <w:rFonts w:ascii="Cambria" w:hAnsi="Cambria" w:cs="Arial"/>
                                <w:b/>
                                <w:color w:val="0D0D0D"/>
                                <w:sz w:val="36"/>
                                <w:lang w:val="es-ES"/>
                              </w:rPr>
                              <w:t>13.036</w:t>
                            </w:r>
                          </w:p>
                          <w:p w:rsidR="003B1566" w:rsidRPr="00C82286" w:rsidRDefault="003B1566" w:rsidP="00E13A0C">
                            <w:pPr>
                              <w:spacing w:after="0" w:line="240" w:lineRule="auto"/>
                              <w:rPr>
                                <w:rFonts w:ascii="Cambria" w:hAnsi="Cambria" w:cs="Arial"/>
                                <w:color w:val="0D0D0D"/>
                                <w:sz w:val="24"/>
                                <w:szCs w:val="24"/>
                                <w:lang w:val="es-ES_tradnl"/>
                              </w:rPr>
                            </w:pPr>
                            <w:r w:rsidRPr="00C82286">
                              <w:rPr>
                                <w:rFonts w:ascii="Cambria" w:hAnsi="Cambria" w:cs="Arial"/>
                                <w:color w:val="0D0D0D"/>
                                <w:sz w:val="24"/>
                                <w:szCs w:val="24"/>
                                <w:lang w:val="es-ES_tradnl"/>
                              </w:rPr>
                              <w:t xml:space="preserve">INFORME DE FONDO </w:t>
                            </w:r>
                          </w:p>
                          <w:p w:rsidR="003B1566" w:rsidRPr="00A767EE" w:rsidRDefault="003B1566" w:rsidP="00E13A0C">
                            <w:pPr>
                              <w:spacing w:after="0" w:line="240" w:lineRule="auto"/>
                              <w:rPr>
                                <w:rFonts w:ascii="Cambria" w:hAnsi="Cambria" w:cs="Arial"/>
                                <w:color w:val="0D0D0D"/>
                                <w:lang w:val="es-ES_tradnl"/>
                              </w:rPr>
                            </w:pPr>
                            <w:bookmarkStart w:id="1" w:name="_ftnref1"/>
                          </w:p>
                          <w:bookmarkEnd w:id="1"/>
                          <w:p w:rsidR="003B1566" w:rsidRPr="00C82286" w:rsidRDefault="003B1566" w:rsidP="00E13A0C">
                            <w:pPr>
                              <w:spacing w:after="0" w:line="240" w:lineRule="auto"/>
                              <w:rPr>
                                <w:rFonts w:ascii="Cambria" w:hAnsi="Cambria" w:cs="Arial"/>
                                <w:color w:val="0D0D0D"/>
                                <w:sz w:val="24"/>
                                <w:szCs w:val="24"/>
                                <w:lang w:val="es-VE"/>
                              </w:rPr>
                            </w:pPr>
                            <w:r w:rsidRPr="00C82286">
                              <w:rPr>
                                <w:rFonts w:ascii="Cambria" w:hAnsi="Cambria"/>
                                <w:sz w:val="24"/>
                                <w:szCs w:val="24"/>
                                <w:lang w:val="es-ES"/>
                              </w:rPr>
                              <w:t>NORKA MOYA SOLIS</w:t>
                            </w:r>
                          </w:p>
                          <w:p w:rsidR="003B1566" w:rsidRPr="00C82286" w:rsidRDefault="003B1566" w:rsidP="00E13A0C">
                            <w:pPr>
                              <w:spacing w:after="0" w:line="240" w:lineRule="auto"/>
                              <w:rPr>
                                <w:rFonts w:ascii="Cambria" w:hAnsi="Cambria" w:cs="Arial"/>
                                <w:color w:val="0D0D0D"/>
                                <w:sz w:val="24"/>
                                <w:szCs w:val="24"/>
                                <w:lang w:val="es-ES"/>
                              </w:rPr>
                            </w:pPr>
                            <w:r w:rsidRPr="00C82286">
                              <w:rPr>
                                <w:rFonts w:ascii="Cambria" w:hAnsi="Cambria" w:cs="Arial"/>
                                <w:color w:val="0D0D0D"/>
                                <w:sz w:val="24"/>
                                <w:szCs w:val="24"/>
                                <w:lang w:val="es-ES"/>
                              </w:rPr>
                              <w:t>PERÚ</w:t>
                            </w:r>
                          </w:p>
                          <w:p w:rsidR="003B1566" w:rsidRPr="00A767EE" w:rsidRDefault="003B1566" w:rsidP="007374FF">
                            <w:pPr>
                              <w:rPr>
                                <w:rFonts w:ascii="Times New Roman" w:hAnsi="Times New Roman"/>
                                <w:color w:val="0D0D0D"/>
                                <w:szCs w:val="24"/>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1pt;margin-top:191.95pt;width:349.7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5ypwIAAK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" filled="f" stroked="f" strokeweight=".5pt">
                <v:path arrowok="t"/>
                <v:textbox>
                  <w:txbxContent>
                    <w:p w:rsidR="003B1566" w:rsidRPr="00A767EE" w:rsidRDefault="003B1566" w:rsidP="00E13A0C">
                      <w:pPr>
                        <w:spacing w:after="0" w:line="240" w:lineRule="auto"/>
                        <w:rPr>
                          <w:rFonts w:ascii="Cambria" w:hAnsi="Cambria" w:cs="Arial"/>
                          <w:b/>
                          <w:bCs/>
                          <w:color w:val="0D0D0D"/>
                          <w:sz w:val="36"/>
                          <w:lang w:val="es-ES"/>
                        </w:rPr>
                      </w:pPr>
                      <w:r w:rsidRPr="00A767EE">
                        <w:rPr>
                          <w:rFonts w:ascii="Cambria" w:hAnsi="Cambria" w:cs="Arial"/>
                          <w:b/>
                          <w:bCs/>
                          <w:color w:val="0D0D0D"/>
                          <w:sz w:val="36"/>
                          <w:lang w:val="es-ES"/>
                        </w:rPr>
                        <w:t xml:space="preserve">INFORME </w:t>
                      </w:r>
                      <w:r w:rsidRPr="00A767EE">
                        <w:rPr>
                          <w:rFonts w:ascii="Cambria" w:hAnsi="Cambria" w:cs="Arial"/>
                          <w:b/>
                          <w:bCs/>
                          <w:color w:val="0D0D0D"/>
                          <w:sz w:val="36"/>
                          <w:szCs w:val="40"/>
                          <w:lang w:val="es-ES"/>
                        </w:rPr>
                        <w:t>No.</w:t>
                      </w:r>
                      <w:r w:rsidR="00AD5338">
                        <w:rPr>
                          <w:rFonts w:ascii="Cambria" w:hAnsi="Cambria" w:cs="Arial"/>
                          <w:b/>
                          <w:bCs/>
                          <w:color w:val="0D0D0D"/>
                          <w:sz w:val="36"/>
                          <w:lang w:val="es-ES"/>
                        </w:rPr>
                        <w:t xml:space="preserve"> 63</w:t>
                      </w:r>
                      <w:r w:rsidRPr="00A767EE">
                        <w:rPr>
                          <w:rFonts w:ascii="Cambria" w:hAnsi="Cambria" w:cs="Arial"/>
                          <w:b/>
                          <w:bCs/>
                          <w:color w:val="0D0D0D"/>
                          <w:sz w:val="36"/>
                          <w:lang w:val="es-ES"/>
                        </w:rPr>
                        <w:t>/19</w:t>
                      </w:r>
                    </w:p>
                    <w:p w:rsidR="003B1566" w:rsidRPr="00A767EE" w:rsidRDefault="003B1566" w:rsidP="00E13A0C">
                      <w:pPr>
                        <w:spacing w:after="0" w:line="240" w:lineRule="auto"/>
                        <w:rPr>
                          <w:rFonts w:ascii="Cambria" w:hAnsi="Cambria" w:cs="Arial"/>
                          <w:b/>
                          <w:color w:val="0D0D0D"/>
                          <w:sz w:val="36"/>
                          <w:lang w:val="es-ES"/>
                        </w:rPr>
                      </w:pPr>
                      <w:r w:rsidRPr="00A767EE">
                        <w:rPr>
                          <w:rFonts w:ascii="Cambria" w:hAnsi="Cambria" w:cs="Arial"/>
                          <w:b/>
                          <w:color w:val="0D0D0D"/>
                          <w:sz w:val="36"/>
                          <w:lang w:val="es-ES"/>
                        </w:rPr>
                        <w:t xml:space="preserve">CASO </w:t>
                      </w:r>
                      <w:r>
                        <w:rPr>
                          <w:rFonts w:ascii="Cambria" w:hAnsi="Cambria" w:cs="Arial"/>
                          <w:b/>
                          <w:color w:val="0D0D0D"/>
                          <w:sz w:val="36"/>
                          <w:lang w:val="es-ES"/>
                        </w:rPr>
                        <w:t>13.036</w:t>
                      </w:r>
                    </w:p>
                    <w:p w:rsidR="003B1566" w:rsidRPr="00C82286" w:rsidRDefault="003B1566" w:rsidP="00E13A0C">
                      <w:pPr>
                        <w:spacing w:after="0" w:line="240" w:lineRule="auto"/>
                        <w:rPr>
                          <w:rFonts w:ascii="Cambria" w:hAnsi="Cambria" w:cs="Arial"/>
                          <w:color w:val="0D0D0D"/>
                          <w:sz w:val="24"/>
                          <w:szCs w:val="24"/>
                          <w:lang w:val="es-ES_tradnl"/>
                        </w:rPr>
                      </w:pPr>
                      <w:r w:rsidRPr="00C82286">
                        <w:rPr>
                          <w:rFonts w:ascii="Cambria" w:hAnsi="Cambria" w:cs="Arial"/>
                          <w:color w:val="0D0D0D"/>
                          <w:sz w:val="24"/>
                          <w:szCs w:val="24"/>
                          <w:lang w:val="es-ES_tradnl"/>
                        </w:rPr>
                        <w:t xml:space="preserve">INFORME DE FONDO </w:t>
                      </w:r>
                    </w:p>
                    <w:p w:rsidR="003B1566" w:rsidRPr="00A767EE" w:rsidRDefault="003B1566" w:rsidP="00E13A0C">
                      <w:pPr>
                        <w:spacing w:after="0" w:line="240" w:lineRule="auto"/>
                        <w:rPr>
                          <w:rFonts w:ascii="Cambria" w:hAnsi="Cambria" w:cs="Arial"/>
                          <w:color w:val="0D0D0D"/>
                          <w:lang w:val="es-ES_tradnl"/>
                        </w:rPr>
                      </w:pPr>
                      <w:bookmarkStart w:id="1" w:name="_ftnref1"/>
                    </w:p>
                    <w:bookmarkEnd w:id="1"/>
                    <w:p w:rsidR="003B1566" w:rsidRPr="00C82286" w:rsidRDefault="003B1566" w:rsidP="00E13A0C">
                      <w:pPr>
                        <w:spacing w:after="0" w:line="240" w:lineRule="auto"/>
                        <w:rPr>
                          <w:rFonts w:ascii="Cambria" w:hAnsi="Cambria" w:cs="Arial"/>
                          <w:color w:val="0D0D0D"/>
                          <w:sz w:val="24"/>
                          <w:szCs w:val="24"/>
                          <w:lang w:val="es-VE"/>
                        </w:rPr>
                      </w:pPr>
                      <w:r w:rsidRPr="00C82286">
                        <w:rPr>
                          <w:rFonts w:ascii="Cambria" w:hAnsi="Cambria"/>
                          <w:sz w:val="24"/>
                          <w:szCs w:val="24"/>
                          <w:lang w:val="es-ES"/>
                        </w:rPr>
                        <w:t>NORKA MOYA SOLIS</w:t>
                      </w:r>
                    </w:p>
                    <w:p w:rsidR="003B1566" w:rsidRPr="00C82286" w:rsidRDefault="003B1566" w:rsidP="00E13A0C">
                      <w:pPr>
                        <w:spacing w:after="0" w:line="240" w:lineRule="auto"/>
                        <w:rPr>
                          <w:rFonts w:ascii="Cambria" w:hAnsi="Cambria" w:cs="Arial"/>
                          <w:color w:val="0D0D0D"/>
                          <w:sz w:val="24"/>
                          <w:szCs w:val="24"/>
                          <w:lang w:val="es-ES"/>
                        </w:rPr>
                      </w:pPr>
                      <w:r w:rsidRPr="00C82286">
                        <w:rPr>
                          <w:rFonts w:ascii="Cambria" w:hAnsi="Cambria" w:cs="Arial"/>
                          <w:color w:val="0D0D0D"/>
                          <w:sz w:val="24"/>
                          <w:szCs w:val="24"/>
                          <w:lang w:val="es-ES"/>
                        </w:rPr>
                        <w:t>PERÚ</w:t>
                      </w:r>
                    </w:p>
                    <w:p w:rsidR="003B1566" w:rsidRPr="00A767EE" w:rsidRDefault="003B1566" w:rsidP="007374FF">
                      <w:pPr>
                        <w:rPr>
                          <w:rFonts w:ascii="Times New Roman" w:hAnsi="Times New Roman"/>
                          <w:color w:val="0D0D0D"/>
                          <w:szCs w:val="24"/>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p w:rsidR="003B1566" w:rsidRPr="00A767EE" w:rsidRDefault="003B1566" w:rsidP="007374FF">
                      <w:pPr>
                        <w:rPr>
                          <w:color w:val="0D0D0D"/>
                          <w:lang w:val="es-ES_tradnl"/>
                        </w:rPr>
                      </w:pPr>
                    </w:p>
                  </w:txbxContent>
                </v:textbox>
              </v:shape>
            </w:pict>
          </mc:Fallback>
        </mc:AlternateContent>
      </w:r>
      <w:r>
        <w:rPr>
          <w:noProof/>
          <w:lang w:val="en-US"/>
        </w:rPr>
        <mc:AlternateContent>
          <mc:Choice Requires="wps">
            <w:drawing>
              <wp:anchor distT="0" distB="0" distL="114300" distR="114300" simplePos="0" relativeHeight="251655168" behindDoc="0" locked="0" layoutInCell="1" allowOverlap="1">
                <wp:simplePos x="0" y="0"/>
                <wp:positionH relativeFrom="column">
                  <wp:posOffset>1386205</wp:posOffset>
                </wp:positionH>
                <wp:positionV relativeFrom="paragraph">
                  <wp:posOffset>6282690</wp:posOffset>
                </wp:positionV>
                <wp:extent cx="4933950" cy="664845"/>
                <wp:effectExtent l="0" t="0" r="444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1566" w:rsidRPr="00A767EE" w:rsidRDefault="003B1566" w:rsidP="007374FF">
                            <w:pPr>
                              <w:tabs>
                                <w:tab w:val="center" w:pos="5400"/>
                              </w:tabs>
                              <w:suppressAutoHyphens/>
                              <w:spacing w:before="60"/>
                              <w:rPr>
                                <w:rFonts w:ascii="Cambria" w:hAnsi="Cambria" w:cs="Univers"/>
                                <w:color w:val="0D0D0D"/>
                                <w:sz w:val="18"/>
                                <w:szCs w:val="20"/>
                                <w:lang w:val="es-ES_tradnl"/>
                              </w:rPr>
                            </w:pPr>
                            <w:r w:rsidRPr="00A767EE">
                              <w:rPr>
                                <w:rFonts w:ascii="Cambria" w:hAnsi="Cambria"/>
                                <w:color w:val="0D0D0D"/>
                                <w:sz w:val="18"/>
                                <w:szCs w:val="20"/>
                                <w:lang w:val="es-ES"/>
                              </w:rPr>
                              <w:t xml:space="preserve">Aprobado por </w:t>
                            </w:r>
                            <w:r w:rsidR="00AD5338">
                              <w:rPr>
                                <w:rFonts w:ascii="Cambria" w:hAnsi="Cambria"/>
                                <w:color w:val="0D0D0D"/>
                                <w:sz w:val="18"/>
                                <w:szCs w:val="20"/>
                                <w:lang w:val="es-ES"/>
                              </w:rPr>
                              <w:t>la Comisión en su sesión No. 2150 celebrada el 4</w:t>
                            </w:r>
                            <w:r w:rsidRPr="00A767EE">
                              <w:rPr>
                                <w:rFonts w:ascii="Cambria" w:hAnsi="Cambria"/>
                                <w:color w:val="0D0D0D"/>
                                <w:sz w:val="18"/>
                                <w:szCs w:val="20"/>
                                <w:lang w:val="es-ES"/>
                              </w:rPr>
                              <w:t xml:space="preserve"> de </w:t>
                            </w:r>
                            <w:r w:rsidR="00AD5338">
                              <w:rPr>
                                <w:rFonts w:ascii="Cambria" w:hAnsi="Cambria"/>
                                <w:color w:val="0D0D0D"/>
                                <w:sz w:val="18"/>
                                <w:szCs w:val="20"/>
                                <w:lang w:val="es-ES"/>
                              </w:rPr>
                              <w:t>mayo</w:t>
                            </w:r>
                            <w:r w:rsidRPr="00A767EE">
                              <w:rPr>
                                <w:rFonts w:ascii="Cambria" w:hAnsi="Cambria"/>
                                <w:color w:val="0D0D0D"/>
                                <w:sz w:val="18"/>
                                <w:szCs w:val="20"/>
                                <w:lang w:val="es-ES"/>
                              </w:rPr>
                              <w:t xml:space="preserve"> de 2019</w:t>
                            </w:r>
                            <w:r w:rsidRPr="00A767EE">
                              <w:rPr>
                                <w:rFonts w:ascii="Cambria" w:hAnsi="Cambria"/>
                                <w:color w:val="0D0D0D"/>
                                <w:sz w:val="18"/>
                                <w:szCs w:val="20"/>
                                <w:lang w:val="es-ES"/>
                              </w:rPr>
                              <w:br/>
                            </w:r>
                            <w:r w:rsidRPr="00A767EE">
                              <w:rPr>
                                <w:rFonts w:ascii="Cambria" w:hAnsi="Cambria" w:cs="Univers"/>
                                <w:color w:val="0D0D0D"/>
                                <w:sz w:val="18"/>
                                <w:szCs w:val="20"/>
                                <w:lang w:val="es-ES_tradnl"/>
                              </w:rPr>
                              <w:t>17</w:t>
                            </w:r>
                            <w:r w:rsidR="00AD5338">
                              <w:rPr>
                                <w:rFonts w:ascii="Cambria" w:hAnsi="Cambria" w:cs="Univers"/>
                                <w:color w:val="0D0D0D"/>
                                <w:sz w:val="18"/>
                                <w:szCs w:val="20"/>
                                <w:lang w:val="es-ES_tradnl"/>
                              </w:rPr>
                              <w:t>2</w:t>
                            </w:r>
                            <w:r w:rsidRPr="00A767EE">
                              <w:rPr>
                                <w:rFonts w:ascii="Cambria" w:hAnsi="Cambria" w:cs="Univers"/>
                                <w:color w:val="0D0D0D"/>
                                <w:sz w:val="18"/>
                                <w:szCs w:val="20"/>
                                <w:lang w:val="es-ES_tradnl"/>
                              </w:rPr>
                              <w:t xml:space="preserve"> período ordinario de sesiones</w:t>
                            </w:r>
                          </w:p>
                          <w:p w:rsidR="003B1566" w:rsidRPr="00A767EE" w:rsidRDefault="003B1566" w:rsidP="007374FF">
                            <w:pPr>
                              <w:tabs>
                                <w:tab w:val="center" w:pos="5400"/>
                              </w:tabs>
                              <w:suppressAutoHyphens/>
                              <w:spacing w:before="60"/>
                              <w:rPr>
                                <w:rFonts w:ascii="Cambria" w:hAnsi="Cambria" w:cs="Univers"/>
                                <w:color w:val="0D0D0D"/>
                                <w:sz w:val="18"/>
                                <w:szCs w:val="20"/>
                                <w:lang w:val="es-ES_tradnl"/>
                              </w:rPr>
                            </w:pPr>
                          </w:p>
                          <w:p w:rsidR="003B1566" w:rsidRPr="00A767EE" w:rsidRDefault="003B1566" w:rsidP="007374FF">
                            <w:pPr>
                              <w:tabs>
                                <w:tab w:val="center" w:pos="5400"/>
                              </w:tabs>
                              <w:suppressAutoHyphens/>
                              <w:spacing w:before="60"/>
                              <w:rPr>
                                <w:rFonts w:ascii="Cambria" w:hAnsi="Cambria" w:cs="Univers"/>
                                <w:color w:val="0D0D0D"/>
                                <w:sz w:val="18"/>
                                <w:szCs w:val="20"/>
                                <w:lang w:val="es-ES_tradnl"/>
                              </w:rPr>
                            </w:pPr>
                          </w:p>
                          <w:p w:rsidR="003B1566" w:rsidRPr="00A767EE" w:rsidRDefault="003B1566" w:rsidP="007374FF">
                            <w:pPr>
                              <w:tabs>
                                <w:tab w:val="center" w:pos="5400"/>
                              </w:tabs>
                              <w:suppressAutoHyphens/>
                              <w:spacing w:before="60"/>
                              <w:rPr>
                                <w:rFonts w:ascii="Cambria" w:hAnsi="Cambria" w:cs="Univers"/>
                                <w:color w:val="0D0D0D"/>
                                <w:sz w:val="18"/>
                                <w:szCs w:val="2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109.15pt;margin-top:494.7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" filled="f" stroked="f" strokeweight=".5pt">
                <v:path arrowok="t"/>
                <v:textbox>
                  <w:txbxContent>
                    <w:p w:rsidR="003B1566" w:rsidRPr="00A767EE" w:rsidRDefault="003B1566" w:rsidP="007374FF">
                      <w:pPr>
                        <w:tabs>
                          <w:tab w:val="center" w:pos="5400"/>
                        </w:tabs>
                        <w:suppressAutoHyphens/>
                        <w:spacing w:before="60"/>
                        <w:rPr>
                          <w:rFonts w:ascii="Cambria" w:hAnsi="Cambria" w:cs="Univers"/>
                          <w:color w:val="0D0D0D"/>
                          <w:sz w:val="18"/>
                          <w:szCs w:val="20"/>
                          <w:lang w:val="es-ES_tradnl"/>
                        </w:rPr>
                      </w:pPr>
                      <w:r w:rsidRPr="00A767EE">
                        <w:rPr>
                          <w:rFonts w:ascii="Cambria" w:hAnsi="Cambria"/>
                          <w:color w:val="0D0D0D"/>
                          <w:sz w:val="18"/>
                          <w:szCs w:val="20"/>
                          <w:lang w:val="es-ES"/>
                        </w:rPr>
                        <w:t xml:space="preserve">Aprobado por </w:t>
                      </w:r>
                      <w:r w:rsidR="00AD5338">
                        <w:rPr>
                          <w:rFonts w:ascii="Cambria" w:hAnsi="Cambria"/>
                          <w:color w:val="0D0D0D"/>
                          <w:sz w:val="18"/>
                          <w:szCs w:val="20"/>
                          <w:lang w:val="es-ES"/>
                        </w:rPr>
                        <w:t>la Comisión en su sesión No. 2150 celebrada el 4</w:t>
                      </w:r>
                      <w:r w:rsidRPr="00A767EE">
                        <w:rPr>
                          <w:rFonts w:ascii="Cambria" w:hAnsi="Cambria"/>
                          <w:color w:val="0D0D0D"/>
                          <w:sz w:val="18"/>
                          <w:szCs w:val="20"/>
                          <w:lang w:val="es-ES"/>
                        </w:rPr>
                        <w:t xml:space="preserve"> de </w:t>
                      </w:r>
                      <w:r w:rsidR="00AD5338">
                        <w:rPr>
                          <w:rFonts w:ascii="Cambria" w:hAnsi="Cambria"/>
                          <w:color w:val="0D0D0D"/>
                          <w:sz w:val="18"/>
                          <w:szCs w:val="20"/>
                          <w:lang w:val="es-ES"/>
                        </w:rPr>
                        <w:t>mayo</w:t>
                      </w:r>
                      <w:r w:rsidRPr="00A767EE">
                        <w:rPr>
                          <w:rFonts w:ascii="Cambria" w:hAnsi="Cambria"/>
                          <w:color w:val="0D0D0D"/>
                          <w:sz w:val="18"/>
                          <w:szCs w:val="20"/>
                          <w:lang w:val="es-ES"/>
                        </w:rPr>
                        <w:t xml:space="preserve"> de 2019</w:t>
                      </w:r>
                      <w:r w:rsidRPr="00A767EE">
                        <w:rPr>
                          <w:rFonts w:ascii="Cambria" w:hAnsi="Cambria"/>
                          <w:color w:val="0D0D0D"/>
                          <w:sz w:val="18"/>
                          <w:szCs w:val="20"/>
                          <w:lang w:val="es-ES"/>
                        </w:rPr>
                        <w:br/>
                      </w:r>
                      <w:r w:rsidRPr="00A767EE">
                        <w:rPr>
                          <w:rFonts w:ascii="Cambria" w:hAnsi="Cambria" w:cs="Univers"/>
                          <w:color w:val="0D0D0D"/>
                          <w:sz w:val="18"/>
                          <w:szCs w:val="20"/>
                          <w:lang w:val="es-ES_tradnl"/>
                        </w:rPr>
                        <w:t>17</w:t>
                      </w:r>
                      <w:r w:rsidR="00AD5338">
                        <w:rPr>
                          <w:rFonts w:ascii="Cambria" w:hAnsi="Cambria" w:cs="Univers"/>
                          <w:color w:val="0D0D0D"/>
                          <w:sz w:val="18"/>
                          <w:szCs w:val="20"/>
                          <w:lang w:val="es-ES_tradnl"/>
                        </w:rPr>
                        <w:t>2</w:t>
                      </w:r>
                      <w:r w:rsidRPr="00A767EE">
                        <w:rPr>
                          <w:rFonts w:ascii="Cambria" w:hAnsi="Cambria" w:cs="Univers"/>
                          <w:color w:val="0D0D0D"/>
                          <w:sz w:val="18"/>
                          <w:szCs w:val="20"/>
                          <w:lang w:val="es-ES_tradnl"/>
                        </w:rPr>
                        <w:t xml:space="preserve"> período ordinario de sesiones</w:t>
                      </w:r>
                    </w:p>
                    <w:p w:rsidR="003B1566" w:rsidRPr="00A767EE" w:rsidRDefault="003B1566" w:rsidP="007374FF">
                      <w:pPr>
                        <w:tabs>
                          <w:tab w:val="center" w:pos="5400"/>
                        </w:tabs>
                        <w:suppressAutoHyphens/>
                        <w:spacing w:before="60"/>
                        <w:rPr>
                          <w:rFonts w:ascii="Cambria" w:hAnsi="Cambria" w:cs="Univers"/>
                          <w:color w:val="0D0D0D"/>
                          <w:sz w:val="18"/>
                          <w:szCs w:val="20"/>
                          <w:lang w:val="es-ES_tradnl"/>
                        </w:rPr>
                      </w:pPr>
                    </w:p>
                    <w:p w:rsidR="003B1566" w:rsidRPr="00A767EE" w:rsidRDefault="003B1566" w:rsidP="007374FF">
                      <w:pPr>
                        <w:tabs>
                          <w:tab w:val="center" w:pos="5400"/>
                        </w:tabs>
                        <w:suppressAutoHyphens/>
                        <w:spacing w:before="60"/>
                        <w:rPr>
                          <w:rFonts w:ascii="Cambria" w:hAnsi="Cambria" w:cs="Univers"/>
                          <w:color w:val="0D0D0D"/>
                          <w:sz w:val="18"/>
                          <w:szCs w:val="20"/>
                          <w:lang w:val="es-ES_tradnl"/>
                        </w:rPr>
                      </w:pPr>
                    </w:p>
                    <w:p w:rsidR="003B1566" w:rsidRPr="00A767EE" w:rsidRDefault="003B1566" w:rsidP="007374FF">
                      <w:pPr>
                        <w:tabs>
                          <w:tab w:val="center" w:pos="5400"/>
                        </w:tabs>
                        <w:suppressAutoHyphens/>
                        <w:spacing w:before="60"/>
                        <w:rPr>
                          <w:rFonts w:ascii="Cambria" w:hAnsi="Cambria" w:cs="Univers"/>
                          <w:color w:val="0D0D0D"/>
                          <w:sz w:val="18"/>
                          <w:szCs w:val="20"/>
                          <w:lang w:val="es-ES_tradnl"/>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1376045</wp:posOffset>
                </wp:positionH>
                <wp:positionV relativeFrom="paragraph">
                  <wp:posOffset>6830060</wp:posOffset>
                </wp:positionV>
                <wp:extent cx="4943475" cy="657225"/>
                <wp:effectExtent l="4445" t="635"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1566" w:rsidRPr="00A767EE" w:rsidRDefault="003B1566" w:rsidP="00C82286">
                            <w:pPr>
                              <w:spacing w:after="0"/>
                              <w:rPr>
                                <w:rFonts w:ascii="Cambria" w:hAnsi="Cambria"/>
                                <w:color w:val="595959"/>
                                <w:sz w:val="18"/>
                                <w:szCs w:val="18"/>
                                <w:lang w:val="es-ES_tradnl"/>
                              </w:rPr>
                            </w:pPr>
                            <w:r w:rsidRPr="00A767EE">
                              <w:rPr>
                                <w:rFonts w:ascii="Cambria" w:hAnsi="Cambria"/>
                                <w:b/>
                                <w:color w:val="595959"/>
                                <w:sz w:val="18"/>
                                <w:szCs w:val="18"/>
                                <w:lang w:val="pt-BR"/>
                              </w:rPr>
                              <w:t>Citar como:</w:t>
                            </w:r>
                            <w:r w:rsidRPr="00A767EE">
                              <w:rPr>
                                <w:rFonts w:ascii="Cambria" w:hAnsi="Cambria"/>
                                <w:color w:val="595959"/>
                                <w:sz w:val="18"/>
                                <w:szCs w:val="18"/>
                                <w:lang w:val="pt-BR"/>
                              </w:rPr>
                              <w:t xml:space="preserve"> CIDH, Informe No.  </w:t>
                            </w:r>
                            <w:r w:rsidR="00AD5338">
                              <w:rPr>
                                <w:rFonts w:ascii="Cambria" w:hAnsi="Cambria"/>
                                <w:color w:val="595959"/>
                                <w:sz w:val="18"/>
                                <w:szCs w:val="18"/>
                                <w:lang w:val="es-ES"/>
                              </w:rPr>
                              <w:t>63</w:t>
                            </w:r>
                            <w:r w:rsidRPr="00A767EE">
                              <w:rPr>
                                <w:rFonts w:ascii="Cambria" w:hAnsi="Cambria"/>
                                <w:color w:val="595959"/>
                                <w:sz w:val="18"/>
                                <w:szCs w:val="18"/>
                                <w:lang w:val="es-ES"/>
                              </w:rPr>
                              <w:t>/19</w:t>
                            </w:r>
                            <w:r w:rsidRPr="00A767EE">
                              <w:rPr>
                                <w:rFonts w:ascii="Cambria" w:hAnsi="Cambria"/>
                                <w:color w:val="595959"/>
                                <w:sz w:val="18"/>
                                <w:szCs w:val="18"/>
                                <w:lang w:val="es-ES_tradnl"/>
                              </w:rPr>
                              <w:t xml:space="preserve">, </w:t>
                            </w:r>
                            <w:r>
                              <w:rPr>
                                <w:rFonts w:ascii="Cambria" w:hAnsi="Cambria"/>
                                <w:color w:val="595959"/>
                                <w:sz w:val="18"/>
                                <w:szCs w:val="18"/>
                                <w:lang w:val="es-ES_tradnl"/>
                              </w:rPr>
                              <w:t>Caso 13.036. F</w:t>
                            </w:r>
                            <w:r w:rsidR="00AD5338">
                              <w:rPr>
                                <w:rFonts w:ascii="Cambria" w:hAnsi="Cambria"/>
                                <w:color w:val="595959"/>
                                <w:sz w:val="18"/>
                                <w:szCs w:val="18"/>
                                <w:lang w:val="es-ES_tradnl"/>
                              </w:rPr>
                              <w:t xml:space="preserve">ondo. </w:t>
                            </w:r>
                            <w:proofErr w:type="spellStart"/>
                            <w:r w:rsidR="00AD5338">
                              <w:rPr>
                                <w:rFonts w:ascii="Cambria" w:hAnsi="Cambria"/>
                                <w:color w:val="595959"/>
                                <w:sz w:val="18"/>
                                <w:szCs w:val="18"/>
                                <w:lang w:val="es-ES_tradnl"/>
                              </w:rPr>
                              <w:t>Norka</w:t>
                            </w:r>
                            <w:proofErr w:type="spellEnd"/>
                            <w:r w:rsidR="00AD5338">
                              <w:rPr>
                                <w:rFonts w:ascii="Cambria" w:hAnsi="Cambria"/>
                                <w:color w:val="595959"/>
                                <w:sz w:val="18"/>
                                <w:szCs w:val="18"/>
                                <w:lang w:val="es-ES_tradnl"/>
                              </w:rPr>
                              <w:t xml:space="preserve"> Moya Solis. Perú. 4</w:t>
                            </w:r>
                            <w:r>
                              <w:rPr>
                                <w:rFonts w:ascii="Cambria" w:hAnsi="Cambria"/>
                                <w:color w:val="595959"/>
                                <w:sz w:val="18"/>
                                <w:szCs w:val="18"/>
                                <w:lang w:val="es-ES_tradnl"/>
                              </w:rPr>
                              <w:t xml:space="preserve"> de </w:t>
                            </w:r>
                            <w:r w:rsidR="00AD5338">
                              <w:rPr>
                                <w:rFonts w:ascii="Cambria" w:hAnsi="Cambria"/>
                                <w:color w:val="595959"/>
                                <w:sz w:val="18"/>
                                <w:szCs w:val="18"/>
                                <w:lang w:val="es-ES_tradnl"/>
                              </w:rPr>
                              <w:t>mayo</w:t>
                            </w:r>
                            <w:r>
                              <w:rPr>
                                <w:rFonts w:ascii="Cambria" w:hAnsi="Cambria"/>
                                <w:color w:val="595959"/>
                                <w:sz w:val="18"/>
                                <w:szCs w:val="18"/>
                                <w:lang w:val="es-ES_tradnl"/>
                              </w:rPr>
                              <w:t xml:space="preserve"> de 2019.</w:t>
                            </w:r>
                          </w:p>
                          <w:p w:rsidR="003B1566" w:rsidRPr="00A767EE" w:rsidRDefault="003B1566" w:rsidP="00C82286">
                            <w:pPr>
                              <w:spacing w:after="0"/>
                              <w:rPr>
                                <w:rFonts w:ascii="Cambria" w:hAnsi="Cambria"/>
                                <w:color w:val="595959"/>
                                <w:sz w:val="18"/>
                                <w:szCs w:val="18"/>
                                <w:lang w:val="es-V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08.35pt;margin-top:537.8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" filled="f" stroked="f" strokeweight=".5pt">
                <v:path arrowok="t"/>
                <v:textbox>
                  <w:txbxContent>
                    <w:p w:rsidR="003B1566" w:rsidRPr="00A767EE" w:rsidRDefault="003B1566" w:rsidP="00C82286">
                      <w:pPr>
                        <w:spacing w:after="0"/>
                        <w:rPr>
                          <w:rFonts w:ascii="Cambria" w:hAnsi="Cambria"/>
                          <w:color w:val="595959"/>
                          <w:sz w:val="18"/>
                          <w:szCs w:val="18"/>
                          <w:lang w:val="es-ES_tradnl"/>
                        </w:rPr>
                      </w:pPr>
                      <w:r w:rsidRPr="00A767EE">
                        <w:rPr>
                          <w:rFonts w:ascii="Cambria" w:hAnsi="Cambria"/>
                          <w:b/>
                          <w:color w:val="595959"/>
                          <w:sz w:val="18"/>
                          <w:szCs w:val="18"/>
                          <w:lang w:val="pt-BR"/>
                        </w:rPr>
                        <w:t>Citar como:</w:t>
                      </w:r>
                      <w:r w:rsidRPr="00A767EE">
                        <w:rPr>
                          <w:rFonts w:ascii="Cambria" w:hAnsi="Cambria"/>
                          <w:color w:val="595959"/>
                          <w:sz w:val="18"/>
                          <w:szCs w:val="18"/>
                          <w:lang w:val="pt-BR"/>
                        </w:rPr>
                        <w:t xml:space="preserve"> CIDH, Informe No.  </w:t>
                      </w:r>
                      <w:r w:rsidR="00AD5338">
                        <w:rPr>
                          <w:rFonts w:ascii="Cambria" w:hAnsi="Cambria"/>
                          <w:color w:val="595959"/>
                          <w:sz w:val="18"/>
                          <w:szCs w:val="18"/>
                          <w:lang w:val="es-ES"/>
                        </w:rPr>
                        <w:t>63</w:t>
                      </w:r>
                      <w:r w:rsidRPr="00A767EE">
                        <w:rPr>
                          <w:rFonts w:ascii="Cambria" w:hAnsi="Cambria"/>
                          <w:color w:val="595959"/>
                          <w:sz w:val="18"/>
                          <w:szCs w:val="18"/>
                          <w:lang w:val="es-ES"/>
                        </w:rPr>
                        <w:t>/19</w:t>
                      </w:r>
                      <w:r w:rsidRPr="00A767EE">
                        <w:rPr>
                          <w:rFonts w:ascii="Cambria" w:hAnsi="Cambria"/>
                          <w:color w:val="595959"/>
                          <w:sz w:val="18"/>
                          <w:szCs w:val="18"/>
                          <w:lang w:val="es-ES_tradnl"/>
                        </w:rPr>
                        <w:t xml:space="preserve">, </w:t>
                      </w:r>
                      <w:r>
                        <w:rPr>
                          <w:rFonts w:ascii="Cambria" w:hAnsi="Cambria"/>
                          <w:color w:val="595959"/>
                          <w:sz w:val="18"/>
                          <w:szCs w:val="18"/>
                          <w:lang w:val="es-ES_tradnl"/>
                        </w:rPr>
                        <w:t>Caso 13.036. F</w:t>
                      </w:r>
                      <w:r w:rsidR="00AD5338">
                        <w:rPr>
                          <w:rFonts w:ascii="Cambria" w:hAnsi="Cambria"/>
                          <w:color w:val="595959"/>
                          <w:sz w:val="18"/>
                          <w:szCs w:val="18"/>
                          <w:lang w:val="es-ES_tradnl"/>
                        </w:rPr>
                        <w:t xml:space="preserve">ondo. </w:t>
                      </w:r>
                      <w:proofErr w:type="spellStart"/>
                      <w:r w:rsidR="00AD5338">
                        <w:rPr>
                          <w:rFonts w:ascii="Cambria" w:hAnsi="Cambria"/>
                          <w:color w:val="595959"/>
                          <w:sz w:val="18"/>
                          <w:szCs w:val="18"/>
                          <w:lang w:val="es-ES_tradnl"/>
                        </w:rPr>
                        <w:t>Norka</w:t>
                      </w:r>
                      <w:proofErr w:type="spellEnd"/>
                      <w:r w:rsidR="00AD5338">
                        <w:rPr>
                          <w:rFonts w:ascii="Cambria" w:hAnsi="Cambria"/>
                          <w:color w:val="595959"/>
                          <w:sz w:val="18"/>
                          <w:szCs w:val="18"/>
                          <w:lang w:val="es-ES_tradnl"/>
                        </w:rPr>
                        <w:t xml:space="preserve"> Moya </w:t>
                      </w:r>
                      <w:proofErr w:type="spellStart"/>
                      <w:r w:rsidR="00AD5338">
                        <w:rPr>
                          <w:rFonts w:ascii="Cambria" w:hAnsi="Cambria"/>
                          <w:color w:val="595959"/>
                          <w:sz w:val="18"/>
                          <w:szCs w:val="18"/>
                          <w:lang w:val="es-ES_tradnl"/>
                        </w:rPr>
                        <w:t>Solis</w:t>
                      </w:r>
                      <w:proofErr w:type="spellEnd"/>
                      <w:r w:rsidR="00AD5338">
                        <w:rPr>
                          <w:rFonts w:ascii="Cambria" w:hAnsi="Cambria"/>
                          <w:color w:val="595959"/>
                          <w:sz w:val="18"/>
                          <w:szCs w:val="18"/>
                          <w:lang w:val="es-ES_tradnl"/>
                        </w:rPr>
                        <w:t>. Perú. 4</w:t>
                      </w:r>
                      <w:r>
                        <w:rPr>
                          <w:rFonts w:ascii="Cambria" w:hAnsi="Cambria"/>
                          <w:color w:val="595959"/>
                          <w:sz w:val="18"/>
                          <w:szCs w:val="18"/>
                          <w:lang w:val="es-ES_tradnl"/>
                        </w:rPr>
                        <w:t xml:space="preserve"> de </w:t>
                      </w:r>
                      <w:r w:rsidR="00AD5338">
                        <w:rPr>
                          <w:rFonts w:ascii="Cambria" w:hAnsi="Cambria"/>
                          <w:color w:val="595959"/>
                          <w:sz w:val="18"/>
                          <w:szCs w:val="18"/>
                          <w:lang w:val="es-ES_tradnl"/>
                        </w:rPr>
                        <w:t>mayo</w:t>
                      </w:r>
                      <w:r>
                        <w:rPr>
                          <w:rFonts w:ascii="Cambria" w:hAnsi="Cambria"/>
                          <w:color w:val="595959"/>
                          <w:sz w:val="18"/>
                          <w:szCs w:val="18"/>
                          <w:lang w:val="es-ES_tradnl"/>
                        </w:rPr>
                        <w:t xml:space="preserve"> de 2019.</w:t>
                      </w:r>
                    </w:p>
                    <w:p w:rsidR="003B1566" w:rsidRPr="00A767EE" w:rsidRDefault="003B1566" w:rsidP="00C82286">
                      <w:pPr>
                        <w:spacing w:after="0"/>
                        <w:rPr>
                          <w:rFonts w:ascii="Cambria" w:hAnsi="Cambria"/>
                          <w:color w:val="595959"/>
                          <w:sz w:val="18"/>
                          <w:szCs w:val="18"/>
                          <w:lang w:val="es-VE"/>
                        </w:rPr>
                      </w:pP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-394335</wp:posOffset>
                </wp:positionH>
                <wp:positionV relativeFrom="paragraph">
                  <wp:posOffset>-481330</wp:posOffset>
                </wp:positionV>
                <wp:extent cx="1595755" cy="9096375"/>
                <wp:effectExtent l="0" t="4445"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9096375"/>
                        </a:xfrm>
                        <a:prstGeom prst="rect">
                          <a:avLst/>
                        </a:prstGeom>
                        <a:solidFill>
                          <a:srgbClr val="4A7194"/>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11FE59" id="Rectangle 1" o:spid="_x0000_s1026" style="position:absolute;margin-left:-31.05pt;margin-top:-37.9pt;width:125.65pt;height:7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" fillcolor="#4a7194" stroked="f" strokeweight="2pt">
                <v:path arrowok="t"/>
              </v:rect>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2450465</wp:posOffset>
                </wp:positionV>
                <wp:extent cx="1390650" cy="1377315"/>
                <wp:effectExtent l="0" t="2540" r="0" b="12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1566" w:rsidRPr="00AD5338" w:rsidRDefault="003B1566" w:rsidP="007374FF">
                            <w:pPr>
                              <w:jc w:val="right"/>
                              <w:rPr>
                                <w:color w:val="FFFFFF"/>
                                <w:lang w:val="es-VE"/>
                              </w:rPr>
                            </w:pPr>
                            <w:r w:rsidRPr="00AD5338">
                              <w:rPr>
                                <w:color w:val="FFFFFF"/>
                                <w:lang w:val="es-VE"/>
                              </w:rPr>
                              <w:t>OEA/</w:t>
                            </w:r>
                            <w:proofErr w:type="spellStart"/>
                            <w:r w:rsidRPr="00AD5338">
                              <w:rPr>
                                <w:color w:val="FFFFFF"/>
                                <w:lang w:val="es-VE"/>
                              </w:rPr>
                              <w:t>Ser.L</w:t>
                            </w:r>
                            <w:proofErr w:type="spellEnd"/>
                            <w:r w:rsidRPr="00AD5338">
                              <w:rPr>
                                <w:color w:val="FFFFFF"/>
                                <w:lang w:val="es-VE"/>
                              </w:rPr>
                              <w:t>/V/II.17</w:t>
                            </w:r>
                            <w:r w:rsidR="00937EFE" w:rsidRPr="00AD5338">
                              <w:rPr>
                                <w:color w:val="FFFFFF"/>
                                <w:lang w:val="es-VE"/>
                              </w:rPr>
                              <w:t>2</w:t>
                            </w:r>
                          </w:p>
                          <w:p w:rsidR="003B1566" w:rsidRPr="00AD5338" w:rsidRDefault="00AD5338" w:rsidP="007374FF">
                            <w:pPr>
                              <w:jc w:val="right"/>
                              <w:rPr>
                                <w:color w:val="FFFFFF"/>
                                <w:lang w:val="es-VE"/>
                              </w:rPr>
                            </w:pPr>
                            <w:r w:rsidRPr="00AD5338">
                              <w:rPr>
                                <w:color w:val="FFFFFF"/>
                                <w:lang w:val="es-VE"/>
                              </w:rPr>
                              <w:t>Doc. 72</w:t>
                            </w:r>
                          </w:p>
                          <w:p w:rsidR="003B1566" w:rsidRPr="00AD5338" w:rsidRDefault="00AD5338" w:rsidP="007374FF">
                            <w:pPr>
                              <w:jc w:val="right"/>
                              <w:rPr>
                                <w:color w:val="FFFFFF"/>
                                <w:lang w:val="es-VE"/>
                              </w:rPr>
                            </w:pPr>
                            <w:r w:rsidRPr="00AD5338">
                              <w:rPr>
                                <w:color w:val="FFFFFF"/>
                                <w:lang w:val="es-VE"/>
                              </w:rPr>
                              <w:t>4 de mayo</w:t>
                            </w:r>
                            <w:r w:rsidR="003B1566" w:rsidRPr="00AD5338">
                              <w:rPr>
                                <w:color w:val="FFFFFF"/>
                                <w:lang w:val="es-VE"/>
                              </w:rPr>
                              <w:t xml:space="preserve"> 2019</w:t>
                            </w:r>
                          </w:p>
                          <w:p w:rsidR="003B1566" w:rsidRPr="00A767EE" w:rsidRDefault="003B1566" w:rsidP="007374FF">
                            <w:pPr>
                              <w:jc w:val="right"/>
                              <w:rPr>
                                <w:color w:val="FFFFFF"/>
                                <w:lang w:val="es-ES"/>
                              </w:rPr>
                            </w:pPr>
                            <w:r w:rsidRPr="00243D64">
                              <w:rPr>
                                <w:color w:val="FFFFFF"/>
                                <w:lang w:val="es-ES"/>
                              </w:rPr>
                              <w:t>Original: español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7pt;margin-top:19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" filled="f" stroked="f" strokeweight=".5pt">
                <v:path arrowok="t"/>
                <v:textbox>
                  <w:txbxContent>
                    <w:p w:rsidR="003B1566" w:rsidRPr="00AD5338" w:rsidRDefault="003B1566" w:rsidP="007374FF">
                      <w:pPr>
                        <w:jc w:val="right"/>
                        <w:rPr>
                          <w:color w:val="FFFFFF"/>
                          <w:lang w:val="es-VE"/>
                        </w:rPr>
                      </w:pPr>
                      <w:r w:rsidRPr="00AD5338">
                        <w:rPr>
                          <w:color w:val="FFFFFF"/>
                          <w:lang w:val="es-VE"/>
                        </w:rPr>
                        <w:t>OEA/</w:t>
                      </w:r>
                      <w:proofErr w:type="spellStart"/>
                      <w:r w:rsidRPr="00AD5338">
                        <w:rPr>
                          <w:color w:val="FFFFFF"/>
                          <w:lang w:val="es-VE"/>
                        </w:rPr>
                        <w:t>Ser.L</w:t>
                      </w:r>
                      <w:proofErr w:type="spellEnd"/>
                      <w:r w:rsidRPr="00AD5338">
                        <w:rPr>
                          <w:color w:val="FFFFFF"/>
                          <w:lang w:val="es-VE"/>
                        </w:rPr>
                        <w:t>/V/II.17</w:t>
                      </w:r>
                      <w:r w:rsidR="00937EFE" w:rsidRPr="00AD5338">
                        <w:rPr>
                          <w:color w:val="FFFFFF"/>
                          <w:lang w:val="es-VE"/>
                        </w:rPr>
                        <w:t>2</w:t>
                      </w:r>
                    </w:p>
                    <w:p w:rsidR="003B1566" w:rsidRPr="00AD5338" w:rsidRDefault="00AD5338" w:rsidP="007374FF">
                      <w:pPr>
                        <w:jc w:val="right"/>
                        <w:rPr>
                          <w:color w:val="FFFFFF"/>
                          <w:lang w:val="es-VE"/>
                        </w:rPr>
                      </w:pPr>
                      <w:r w:rsidRPr="00AD5338">
                        <w:rPr>
                          <w:color w:val="FFFFFF"/>
                          <w:lang w:val="es-VE"/>
                        </w:rPr>
                        <w:t>Doc. 72</w:t>
                      </w:r>
                    </w:p>
                    <w:p w:rsidR="003B1566" w:rsidRPr="00AD5338" w:rsidRDefault="00AD5338" w:rsidP="007374FF">
                      <w:pPr>
                        <w:jc w:val="right"/>
                        <w:rPr>
                          <w:color w:val="FFFFFF"/>
                          <w:lang w:val="es-VE"/>
                        </w:rPr>
                      </w:pPr>
                      <w:r w:rsidRPr="00AD5338">
                        <w:rPr>
                          <w:color w:val="FFFFFF"/>
                          <w:lang w:val="es-VE"/>
                        </w:rPr>
                        <w:t>4 de mayo</w:t>
                      </w:r>
                      <w:r w:rsidR="003B1566" w:rsidRPr="00AD5338">
                        <w:rPr>
                          <w:color w:val="FFFFFF"/>
                          <w:lang w:val="es-VE"/>
                        </w:rPr>
                        <w:t xml:space="preserve"> 2019</w:t>
                      </w:r>
                    </w:p>
                    <w:p w:rsidR="003B1566" w:rsidRPr="00A767EE" w:rsidRDefault="003B1566" w:rsidP="007374FF">
                      <w:pPr>
                        <w:jc w:val="right"/>
                        <w:rPr>
                          <w:color w:val="FFFFFF"/>
                          <w:lang w:val="es-ES"/>
                        </w:rPr>
                      </w:pPr>
                      <w:r w:rsidRPr="00243D64">
                        <w:rPr>
                          <w:color w:val="FFFFFF"/>
                          <w:lang w:val="es-ES"/>
                        </w:rPr>
                        <w:t>Original: español</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-220980</wp:posOffset>
                </wp:positionH>
                <wp:positionV relativeFrom="paragraph">
                  <wp:posOffset>8077200</wp:posOffset>
                </wp:positionV>
                <wp:extent cx="1181100" cy="332740"/>
                <wp:effectExtent l="0" t="0" r="1905"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1566" w:rsidRPr="00A767EE" w:rsidRDefault="003B1566" w:rsidP="007374FF">
                            <w:pPr>
                              <w:jc w:val="center"/>
                              <w:rPr>
                                <w:b/>
                                <w:color w:val="FFFFFF"/>
                              </w:rPr>
                            </w:pPr>
                            <w:r w:rsidRPr="00A767EE">
                              <w:rPr>
                                <w:b/>
                                <w:color w:val="FFFFFF"/>
                                <w:lang w:val="pt-BR"/>
                              </w:rPr>
                              <w:t>www.cidh.org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7.4pt;margin-top:636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" filled="f" stroked="f" strokeweight=".5pt">
                <v:path arrowok="t"/>
                <v:textbox>
                  <w:txbxContent>
                    <w:p w:rsidR="003B1566" w:rsidRPr="00A767EE" w:rsidRDefault="003B1566" w:rsidP="007374FF">
                      <w:pPr>
                        <w:jc w:val="center"/>
                        <w:rPr>
                          <w:b/>
                          <w:color w:val="FFFFFF"/>
                        </w:rPr>
                      </w:pPr>
                      <w:r w:rsidRPr="00A767EE">
                        <w:rPr>
                          <w:b/>
                          <w:color w:val="FFFFFF"/>
                          <w:lang w:val="pt-BR"/>
                        </w:rPr>
                        <w:t>www.cidh.org</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1699895</wp:posOffset>
                </wp:positionH>
                <wp:positionV relativeFrom="paragraph">
                  <wp:posOffset>8298180</wp:posOffset>
                </wp:positionV>
                <wp:extent cx="4096385" cy="567055"/>
                <wp:effectExtent l="4445" t="1905" r="4445" b="254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B1566" w:rsidRPr="00A767EE" w:rsidRDefault="00FD1AD1" w:rsidP="007374FF">
                            <w:pPr>
                              <w:rPr>
                                <w:color w:val="FFFFFF"/>
                              </w:rPr>
                            </w:pPr>
                            <w:r>
                              <w:rPr>
                                <w:noProof/>
                                <w:sz w:val="20"/>
                                <w:szCs w:val="20"/>
                                <w:lang w:val="en-US"/>
                              </w:rPr>
                              <w:drawing>
                                <wp:inline distT="0" distB="0" distL="0" distR="0">
                                  <wp:extent cx="1344295" cy="389255"/>
                                  <wp:effectExtent l="0" t="0" r="8255" b="0"/>
                                  <wp:docPr id="3" name="Picture 2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ea-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4295" cy="389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33.85pt;margin-top:653.4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" stroked="f" strokeweight=".5pt">
                <v:path arrowok="t"/>
                <v:textbox>
                  <w:txbxContent>
                    <w:p w:rsidR="003B1566" w:rsidRPr="00A767EE" w:rsidRDefault="00FD1AD1" w:rsidP="007374FF">
                      <w:pPr>
                        <w:rPr>
                          <w:color w:val="FFFFFF"/>
                        </w:rPr>
                      </w:pPr>
                      <w:r>
                        <w:rPr>
                          <w:noProof/>
                          <w:sz w:val="20"/>
                          <w:szCs w:val="20"/>
                          <w:lang w:val="en-US"/>
                        </w:rPr>
                        <w:drawing>
                          <wp:inline distT="0" distB="0" distL="0" distR="0">
                            <wp:extent cx="1344295" cy="389255"/>
                            <wp:effectExtent l="0" t="0" r="8255" b="0"/>
                            <wp:docPr id="3" name="Picture 2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4295" cy="389255"/>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-373380</wp:posOffset>
                </wp:positionV>
                <wp:extent cx="5248275" cy="902335"/>
                <wp:effectExtent l="0" t="0" r="3810" b="444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1566" w:rsidRDefault="00FD1AD1" w:rsidP="007374FF">
                            <w:r>
                              <w:rPr>
                                <w:noProof/>
                                <w:sz w:val="20"/>
                                <w:szCs w:val="20"/>
                                <w:lang w:val="en-US"/>
                              </w:rPr>
                              <w:drawing>
                                <wp:inline distT="0" distB="0" distL="0" distR="0">
                                  <wp:extent cx="2661285" cy="504825"/>
                                  <wp:effectExtent l="0" t="0" r="5715" b="9525"/>
                                  <wp:docPr id="2" name="Picture 2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h-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1285" cy="504825"/>
                                          </a:xfrm>
                                          <a:prstGeom prst="rect">
                                            <a:avLst/>
                                          </a:prstGeom>
                                          <a:noFill/>
                                          <a:ln>
                                            <a:noFill/>
                                          </a:ln>
                                        </pic:spPr>
                                      </pic:pic>
                                    </a:graphicData>
                                  </a:graphic>
                                </wp:inline>
                              </w:drawing>
                            </w:r>
                            <w:r w:rsidR="003B1566">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100.95pt;margin-top:-29.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" filled="f" stroked="f" strokeweight=".5pt">
                <v:path arrowok="t"/>
                <v:textbox>
                  <w:txbxContent>
                    <w:p w:rsidR="003B1566" w:rsidRDefault="00FD1AD1" w:rsidP="007374FF">
                      <w:r>
                        <w:rPr>
                          <w:noProof/>
                          <w:sz w:val="20"/>
                          <w:szCs w:val="20"/>
                          <w:lang w:val="en-US"/>
                        </w:rPr>
                        <w:drawing>
                          <wp:inline distT="0" distB="0" distL="0" distR="0">
                            <wp:extent cx="2661285" cy="504825"/>
                            <wp:effectExtent l="0" t="0" r="5715" b="9525"/>
                            <wp:docPr id="2" name="Picture 2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h-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1285" cy="504825"/>
                                    </a:xfrm>
                                    <a:prstGeom prst="rect">
                                      <a:avLst/>
                                    </a:prstGeom>
                                    <a:noFill/>
                                    <a:ln>
                                      <a:noFill/>
                                    </a:ln>
                                  </pic:spPr>
                                </pic:pic>
                              </a:graphicData>
                            </a:graphic>
                          </wp:inline>
                        </w:drawing>
                      </w:r>
                      <w:r w:rsidR="003B1566">
                        <w:tab/>
                        <w:t xml:space="preserve">                              </w:t>
                      </w:r>
                    </w:p>
                  </w:txbxContent>
                </v:textbox>
              </v:shape>
            </w:pict>
          </mc:Fallback>
        </mc:AlternateContent>
      </w:r>
      <w:r w:rsidR="00987A72">
        <w:rPr>
          <w:rFonts w:ascii="Cambria" w:hAnsi="Cambria" w:cs="Univers"/>
          <w:b/>
          <w:bCs/>
          <w:sz w:val="20"/>
          <w:szCs w:val="20"/>
          <w:lang w:val="es-ES_tradnl"/>
        </w:rPr>
        <w:t xml:space="preserve"> </w:t>
      </w:r>
    </w:p>
    <w:p w:rsidR="007374FF" w:rsidRPr="00A767EE" w:rsidRDefault="007374FF" w:rsidP="007374FF">
      <w:pPr>
        <w:tabs>
          <w:tab w:val="left" w:pos="567"/>
          <w:tab w:val="center" w:pos="5400"/>
        </w:tabs>
        <w:suppressAutoHyphens/>
        <w:jc w:val="both"/>
        <w:rPr>
          <w:rFonts w:ascii="Cambria" w:hAnsi="Cambria"/>
          <w:sz w:val="20"/>
          <w:szCs w:val="20"/>
          <w:lang w:val="es-ES_tradnl"/>
        </w:rPr>
      </w:pPr>
    </w:p>
    <w:p w:rsidR="007374FF" w:rsidRPr="00A767EE" w:rsidRDefault="007374FF" w:rsidP="007374FF">
      <w:pPr>
        <w:tabs>
          <w:tab w:val="left" w:pos="567"/>
          <w:tab w:val="center" w:pos="5400"/>
        </w:tabs>
        <w:suppressAutoHyphens/>
        <w:jc w:val="both"/>
        <w:rPr>
          <w:rFonts w:ascii="Cambria" w:hAnsi="Cambria"/>
          <w:sz w:val="20"/>
          <w:szCs w:val="20"/>
          <w:lang w:val="es-ES_tradnl"/>
        </w:rPr>
      </w:pPr>
    </w:p>
    <w:p w:rsidR="007374FF" w:rsidRPr="00A767EE" w:rsidRDefault="007374FF" w:rsidP="007374FF">
      <w:pPr>
        <w:tabs>
          <w:tab w:val="left" w:pos="567"/>
          <w:tab w:val="center" w:pos="5400"/>
        </w:tabs>
        <w:suppressAutoHyphens/>
        <w:rPr>
          <w:rFonts w:ascii="Cambria" w:hAnsi="Cambria"/>
          <w:sz w:val="20"/>
          <w:szCs w:val="20"/>
          <w:lang w:val="es-ES_tradnl"/>
        </w:rPr>
      </w:pPr>
    </w:p>
    <w:p w:rsidR="007374FF" w:rsidRPr="00A767EE" w:rsidRDefault="007374FF" w:rsidP="007374FF">
      <w:pPr>
        <w:tabs>
          <w:tab w:val="left" w:pos="567"/>
          <w:tab w:val="center" w:pos="5400"/>
        </w:tabs>
        <w:suppressAutoHyphens/>
        <w:rPr>
          <w:rFonts w:ascii="Cambria" w:hAnsi="Cambria"/>
          <w:sz w:val="20"/>
          <w:szCs w:val="20"/>
          <w:lang w:val="es-ES_tradnl"/>
        </w:rPr>
      </w:pPr>
    </w:p>
    <w:p w:rsidR="007374FF" w:rsidRPr="00A767EE" w:rsidRDefault="007374FF" w:rsidP="007374FF">
      <w:pPr>
        <w:tabs>
          <w:tab w:val="left" w:pos="567"/>
          <w:tab w:val="center" w:pos="5400"/>
        </w:tabs>
        <w:suppressAutoHyphens/>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cs="Arial"/>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jc w:val="center"/>
        <w:rPr>
          <w:rFonts w:ascii="Cambria" w:hAnsi="Cambria"/>
          <w:sz w:val="20"/>
          <w:szCs w:val="20"/>
          <w:lang w:val="es-ES_tradnl"/>
        </w:rPr>
      </w:pPr>
    </w:p>
    <w:p w:rsidR="007374FF" w:rsidRPr="00A767EE" w:rsidRDefault="007374FF" w:rsidP="007374FF">
      <w:pPr>
        <w:tabs>
          <w:tab w:val="left" w:pos="567"/>
          <w:tab w:val="center" w:pos="5400"/>
        </w:tabs>
        <w:suppressAutoHyphens/>
        <w:rPr>
          <w:rFonts w:ascii="Cambria" w:hAnsi="Cambria"/>
          <w:sz w:val="20"/>
          <w:szCs w:val="20"/>
          <w:lang w:val="es-ES_tradnl"/>
        </w:rPr>
      </w:pPr>
    </w:p>
    <w:p w:rsidR="007374FF" w:rsidRPr="00313D14" w:rsidRDefault="007374FF" w:rsidP="007374FF">
      <w:pPr>
        <w:tabs>
          <w:tab w:val="left" w:pos="567"/>
        </w:tabs>
        <w:rPr>
          <w:rFonts w:ascii="Cambria" w:eastAsia="Times New Roman" w:hAnsi="Cambria"/>
          <w:b/>
          <w:sz w:val="20"/>
          <w:szCs w:val="20"/>
          <w:bdr w:val="none" w:sz="0" w:space="0" w:color="auto" w:frame="1"/>
        </w:rPr>
      </w:pPr>
    </w:p>
    <w:p w:rsidR="007374FF" w:rsidRPr="00313D14" w:rsidRDefault="007374FF" w:rsidP="007374FF">
      <w:pPr>
        <w:tabs>
          <w:tab w:val="center" w:pos="5400"/>
        </w:tabs>
        <w:suppressAutoHyphens/>
        <w:jc w:val="center"/>
        <w:rPr>
          <w:rFonts w:ascii="Cambria" w:hAnsi="Cambria"/>
          <w:sz w:val="20"/>
          <w:szCs w:val="20"/>
          <w:lang w:val="es-ES_tradnl"/>
        </w:rPr>
        <w:sectPr w:rsidR="007374FF" w:rsidRPr="00313D14" w:rsidSect="0096307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26"/>
        </w:sectPr>
      </w:pPr>
    </w:p>
    <w:p w:rsidR="00937EFE" w:rsidRPr="00313D14" w:rsidRDefault="00937EFE" w:rsidP="007374FF">
      <w:pPr>
        <w:rPr>
          <w:rFonts w:ascii="Cambria" w:hAnsi="Cambria"/>
          <w:b/>
          <w:sz w:val="20"/>
          <w:szCs w:val="20"/>
        </w:rPr>
      </w:pPr>
    </w:p>
    <w:p w:rsidR="00E9794A" w:rsidRPr="00E03BC0" w:rsidRDefault="007374FF" w:rsidP="00937EFE">
      <w:pPr>
        <w:pStyle w:val="TOC1"/>
        <w:tabs>
          <w:tab w:val="left" w:pos="720"/>
        </w:tabs>
        <w:rPr>
          <w:rFonts w:ascii="Cambria" w:eastAsia="Times New Roman" w:hAnsi="Cambria"/>
          <w:noProof/>
          <w:sz w:val="20"/>
          <w:szCs w:val="20"/>
        </w:rPr>
      </w:pPr>
      <w:r w:rsidRPr="004713D8">
        <w:rPr>
          <w:rFonts w:ascii="Cambria" w:hAnsi="Cambria"/>
          <w:b/>
          <w:sz w:val="20"/>
          <w:szCs w:val="20"/>
        </w:rPr>
        <w:fldChar w:fldCharType="begin"/>
      </w:r>
      <w:r w:rsidRPr="004713D8">
        <w:rPr>
          <w:rFonts w:ascii="Cambria" w:hAnsi="Cambria"/>
          <w:b/>
          <w:sz w:val="20"/>
          <w:szCs w:val="20"/>
        </w:rPr>
        <w:instrText xml:space="preserve"> TOC \o "1-3" \h \z \u </w:instrText>
      </w:r>
      <w:r w:rsidRPr="004713D8">
        <w:rPr>
          <w:rFonts w:ascii="Cambria" w:hAnsi="Cambria"/>
          <w:b/>
          <w:sz w:val="20"/>
          <w:szCs w:val="20"/>
        </w:rPr>
        <w:fldChar w:fldCharType="separate"/>
      </w:r>
      <w:hyperlink w:anchor="_Toc4595230" w:history="1">
        <w:r w:rsidR="00E9794A" w:rsidRPr="00E03BC0">
          <w:rPr>
            <w:rStyle w:val="Hyperlink"/>
            <w:rFonts w:ascii="Cambria" w:hAnsi="Cambria"/>
            <w:b/>
            <w:noProof/>
            <w:sz w:val="20"/>
            <w:szCs w:val="20"/>
            <w:lang w:val="es-VE"/>
          </w:rPr>
          <w:t>I.</w:t>
        </w:r>
        <w:r w:rsidR="00E9794A" w:rsidRPr="00E03BC0">
          <w:rPr>
            <w:rFonts w:ascii="Cambria" w:eastAsia="Times New Roman" w:hAnsi="Cambria"/>
            <w:b/>
            <w:noProof/>
            <w:sz w:val="20"/>
            <w:szCs w:val="20"/>
          </w:rPr>
          <w:tab/>
        </w:r>
        <w:r w:rsidR="00E9794A" w:rsidRPr="00E03BC0">
          <w:rPr>
            <w:rStyle w:val="Hyperlink"/>
            <w:rFonts w:ascii="Cambria" w:hAnsi="Cambria"/>
            <w:b/>
            <w:noProof/>
            <w:sz w:val="20"/>
            <w:szCs w:val="20"/>
          </w:rPr>
          <w:t>INTRODUCCIÓN</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_Toc4595230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2</w:t>
        </w:r>
        <w:r w:rsidR="00E9794A" w:rsidRPr="00E03BC0">
          <w:rPr>
            <w:rFonts w:ascii="Cambria" w:hAnsi="Cambria"/>
            <w:noProof/>
            <w:webHidden/>
            <w:sz w:val="20"/>
            <w:szCs w:val="20"/>
          </w:rPr>
          <w:fldChar w:fldCharType="end"/>
        </w:r>
      </w:hyperlink>
    </w:p>
    <w:p w:rsidR="00E9794A" w:rsidRPr="00E03BC0" w:rsidRDefault="00D70F2C" w:rsidP="00937EFE">
      <w:pPr>
        <w:pStyle w:val="TOC1"/>
        <w:tabs>
          <w:tab w:val="left" w:pos="720"/>
        </w:tabs>
        <w:rPr>
          <w:rFonts w:ascii="Cambria" w:eastAsia="Times New Roman" w:hAnsi="Cambria"/>
          <w:noProof/>
          <w:sz w:val="20"/>
          <w:szCs w:val="20"/>
        </w:rPr>
      </w:pPr>
      <w:hyperlink w:anchor="_Toc4595231" w:history="1">
        <w:r w:rsidR="00E9794A" w:rsidRPr="00E03BC0">
          <w:rPr>
            <w:rStyle w:val="Hyperlink"/>
            <w:rFonts w:ascii="Cambria" w:hAnsi="Cambria"/>
            <w:b/>
            <w:noProof/>
            <w:sz w:val="20"/>
            <w:szCs w:val="20"/>
            <w:lang w:val="es-VE"/>
          </w:rPr>
          <w:t>II.</w:t>
        </w:r>
        <w:r w:rsidR="00E9794A" w:rsidRPr="00E03BC0">
          <w:rPr>
            <w:rFonts w:ascii="Cambria" w:eastAsia="Times New Roman" w:hAnsi="Cambria"/>
            <w:b/>
            <w:noProof/>
            <w:sz w:val="20"/>
            <w:szCs w:val="20"/>
          </w:rPr>
          <w:tab/>
        </w:r>
        <w:r w:rsidR="00E9794A" w:rsidRPr="00E03BC0">
          <w:rPr>
            <w:rStyle w:val="Hyperlink"/>
            <w:rFonts w:ascii="Cambria" w:hAnsi="Cambria"/>
            <w:b/>
            <w:noProof/>
            <w:sz w:val="20"/>
            <w:szCs w:val="20"/>
          </w:rPr>
          <w:t>POSICIONES DE LAS PARTES</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_Toc4595231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2</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32" w:history="1">
        <w:r w:rsidR="00E9794A" w:rsidRPr="00E03BC0">
          <w:rPr>
            <w:rStyle w:val="Hyperlink"/>
            <w:rFonts w:ascii="Cambria" w:hAnsi="Cambria"/>
            <w:noProof/>
            <w:sz w:val="20"/>
            <w:szCs w:val="20"/>
          </w:rPr>
          <w:t>A.</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rPr>
          <w:t>Parte peticionaria</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_Toc4595232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2</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33" w:history="1">
        <w:r w:rsidR="00E9794A" w:rsidRPr="00E03BC0">
          <w:rPr>
            <w:rStyle w:val="Hyperlink"/>
            <w:rFonts w:ascii="Cambria" w:hAnsi="Cambria"/>
            <w:noProof/>
            <w:sz w:val="20"/>
            <w:szCs w:val="20"/>
          </w:rPr>
          <w:t>B.</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rPr>
          <w:t>Estado</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_Toc4595233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3</w:t>
        </w:r>
        <w:r w:rsidR="00E9794A" w:rsidRPr="00E03BC0">
          <w:rPr>
            <w:rFonts w:ascii="Cambria" w:hAnsi="Cambria"/>
            <w:noProof/>
            <w:webHidden/>
            <w:sz w:val="20"/>
            <w:szCs w:val="20"/>
          </w:rPr>
          <w:fldChar w:fldCharType="end"/>
        </w:r>
      </w:hyperlink>
    </w:p>
    <w:p w:rsidR="00E9794A" w:rsidRPr="00E03BC0" w:rsidRDefault="00D70F2C" w:rsidP="00937EFE">
      <w:pPr>
        <w:pStyle w:val="TOC1"/>
        <w:tabs>
          <w:tab w:val="left" w:pos="720"/>
        </w:tabs>
        <w:rPr>
          <w:rFonts w:ascii="Cambria" w:eastAsia="Times New Roman" w:hAnsi="Cambria"/>
          <w:noProof/>
          <w:sz w:val="20"/>
          <w:szCs w:val="20"/>
        </w:rPr>
      </w:pPr>
      <w:hyperlink w:anchor="_Toc4595234" w:history="1">
        <w:r w:rsidR="00E9794A" w:rsidRPr="00E03BC0">
          <w:rPr>
            <w:rStyle w:val="Hyperlink"/>
            <w:rFonts w:ascii="Cambria" w:hAnsi="Cambria"/>
            <w:b/>
            <w:noProof/>
            <w:sz w:val="20"/>
            <w:szCs w:val="20"/>
            <w:lang w:val="es-VE"/>
          </w:rPr>
          <w:t>III.</w:t>
        </w:r>
        <w:r w:rsidR="00E9794A" w:rsidRPr="00E03BC0">
          <w:rPr>
            <w:rFonts w:ascii="Cambria" w:eastAsia="Times New Roman" w:hAnsi="Cambria"/>
            <w:b/>
            <w:noProof/>
            <w:sz w:val="20"/>
            <w:szCs w:val="20"/>
          </w:rPr>
          <w:tab/>
        </w:r>
        <w:r w:rsidR="00E9794A" w:rsidRPr="00E03BC0">
          <w:rPr>
            <w:rStyle w:val="Hyperlink"/>
            <w:rFonts w:ascii="Cambria" w:hAnsi="Cambria"/>
            <w:b/>
            <w:noProof/>
            <w:sz w:val="20"/>
            <w:szCs w:val="20"/>
          </w:rPr>
          <w:t>DETERMINACIONES DE HECHO</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_Toc4595234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4</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35" w:history="1">
        <w:r w:rsidR="00E9794A" w:rsidRPr="00E03BC0">
          <w:rPr>
            <w:rStyle w:val="Hyperlink"/>
            <w:rFonts w:ascii="Cambria" w:hAnsi="Cambria"/>
            <w:noProof/>
            <w:sz w:val="20"/>
            <w:szCs w:val="20"/>
            <w:lang w:val="es-VE"/>
          </w:rPr>
          <w:t>A.</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rPr>
          <w:t>Sobre Norka Moya Solís</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_Toc4595235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4</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36" w:history="1">
        <w:r w:rsidR="00E9794A" w:rsidRPr="00E03BC0">
          <w:rPr>
            <w:rStyle w:val="Hyperlink"/>
            <w:rFonts w:ascii="Cambria" w:hAnsi="Cambria"/>
            <w:noProof/>
            <w:sz w:val="20"/>
            <w:szCs w:val="20"/>
            <w:lang w:val="es-VE"/>
          </w:rPr>
          <w:t>B.</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rPr>
          <w:t>Marco Normativo relevante</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_Toc4595236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4</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37" w:history="1">
        <w:r w:rsidR="00E9794A" w:rsidRPr="00E03BC0">
          <w:rPr>
            <w:rStyle w:val="Hyperlink"/>
            <w:rFonts w:ascii="Cambria" w:hAnsi="Cambria"/>
            <w:noProof/>
            <w:sz w:val="20"/>
            <w:szCs w:val="20"/>
            <w:lang w:val="es-VE"/>
          </w:rPr>
          <w:t>C.</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rPr>
          <w:t>Proceso de ratificación</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_Toc4595237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5</w:t>
        </w:r>
        <w:r w:rsidR="00E9794A" w:rsidRPr="00E03BC0">
          <w:rPr>
            <w:rFonts w:ascii="Cambria" w:hAnsi="Cambria"/>
            <w:noProof/>
            <w:webHidden/>
            <w:sz w:val="20"/>
            <w:szCs w:val="20"/>
          </w:rPr>
          <w:fldChar w:fldCharType="end"/>
        </w:r>
      </w:hyperlink>
    </w:p>
    <w:p w:rsidR="00E9794A" w:rsidRPr="00E03BC0" w:rsidRDefault="00D70F2C" w:rsidP="00937EFE">
      <w:pPr>
        <w:pStyle w:val="TOC1"/>
        <w:tabs>
          <w:tab w:val="left" w:pos="720"/>
        </w:tabs>
        <w:rPr>
          <w:rFonts w:ascii="Cambria" w:eastAsia="Times New Roman" w:hAnsi="Cambria"/>
          <w:b/>
          <w:noProof/>
          <w:sz w:val="20"/>
          <w:szCs w:val="20"/>
        </w:rPr>
      </w:pPr>
      <w:hyperlink w:anchor="_Toc4595238" w:history="1">
        <w:r w:rsidR="00E9794A" w:rsidRPr="00E03BC0">
          <w:rPr>
            <w:rStyle w:val="Hyperlink"/>
            <w:rFonts w:ascii="Cambria" w:hAnsi="Cambria"/>
            <w:b/>
            <w:noProof/>
            <w:sz w:val="20"/>
            <w:szCs w:val="20"/>
            <w:lang w:val="es-VE"/>
          </w:rPr>
          <w:t>IV.</w:t>
        </w:r>
        <w:r w:rsidR="00E9794A" w:rsidRPr="00E03BC0">
          <w:rPr>
            <w:rFonts w:ascii="Cambria" w:eastAsia="Times New Roman" w:hAnsi="Cambria"/>
            <w:b/>
            <w:noProof/>
            <w:sz w:val="20"/>
            <w:szCs w:val="20"/>
          </w:rPr>
          <w:tab/>
        </w:r>
        <w:r w:rsidR="00E9794A" w:rsidRPr="00E03BC0">
          <w:rPr>
            <w:rStyle w:val="Hyperlink"/>
            <w:rFonts w:ascii="Cambria" w:hAnsi="Cambria"/>
            <w:b/>
            <w:noProof/>
            <w:sz w:val="20"/>
            <w:szCs w:val="20"/>
          </w:rPr>
          <w:t>DETERMINACIONES DE DERECHO</w:t>
        </w:r>
        <w:r w:rsidR="00E9794A" w:rsidRPr="00E03BC0">
          <w:rPr>
            <w:rFonts w:ascii="Cambria" w:hAnsi="Cambria"/>
            <w:b/>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_Toc4595238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11</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39" w:history="1">
        <w:r w:rsidR="00E9794A" w:rsidRPr="00E03BC0">
          <w:rPr>
            <w:rStyle w:val="Hyperlink"/>
            <w:rFonts w:ascii="Cambria" w:hAnsi="Cambria"/>
            <w:noProof/>
            <w:sz w:val="20"/>
            <w:szCs w:val="20"/>
          </w:rPr>
          <w:t>A.</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rPr>
          <w:t>Consideraciones generales sobre las garantías aplicables a los procesos administrativos sancionatorios</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_Toc4595239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11</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40" w:history="1">
        <w:r w:rsidR="00E9794A" w:rsidRPr="00E03BC0">
          <w:rPr>
            <w:rStyle w:val="Hyperlink"/>
            <w:rFonts w:ascii="Cambria" w:hAnsi="Cambria"/>
            <w:noProof/>
            <w:sz w:val="20"/>
            <w:szCs w:val="20"/>
            <w:lang w:val="es-ES" w:eastAsia="es-ES"/>
          </w:rPr>
          <w:t>B.</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rPr>
          <w:t>El derecho a conocer previa y detalladamente la acusación formulada y derecho a tener el tiempo y los medios adecuados para la defensa.</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_Toc4595240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11</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41" w:history="1">
        <w:r w:rsidR="00E9794A" w:rsidRPr="00E03BC0">
          <w:rPr>
            <w:rStyle w:val="Hyperlink"/>
            <w:rFonts w:ascii="Cambria" w:hAnsi="Cambria"/>
            <w:noProof/>
            <w:sz w:val="20"/>
            <w:szCs w:val="20"/>
          </w:rPr>
          <w:t>C.</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lang w:val="es-AR"/>
          </w:rPr>
          <w:t>El derecho a contar con decisiones debidamente motivadas</w:t>
        </w:r>
        <w:r w:rsidR="00E9794A" w:rsidRPr="00E03BC0">
          <w:rPr>
            <w:rStyle w:val="Hyperlink"/>
            <w:rFonts w:ascii="Cambria" w:hAnsi="Cambria"/>
            <w:noProof/>
            <w:sz w:val="20"/>
            <w:szCs w:val="20"/>
          </w:rPr>
          <w:t xml:space="preserve"> y el </w:t>
        </w:r>
        <w:r w:rsidR="00E9794A" w:rsidRPr="00E03BC0">
          <w:rPr>
            <w:rStyle w:val="Hyperlink"/>
            <w:rFonts w:ascii="Cambria" w:hAnsi="Cambria"/>
            <w:noProof/>
            <w:sz w:val="20"/>
            <w:szCs w:val="20"/>
            <w:lang w:val="es-ES"/>
          </w:rPr>
          <w:t>principio de legalidad</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_Toc4595241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13</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42" w:history="1">
        <w:r w:rsidR="00E9794A" w:rsidRPr="00E03BC0">
          <w:rPr>
            <w:rStyle w:val="Hyperlink"/>
            <w:rFonts w:ascii="Cambria" w:hAnsi="Cambria"/>
            <w:noProof/>
            <w:sz w:val="20"/>
            <w:szCs w:val="20"/>
          </w:rPr>
          <w:t>D.</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lang w:val="es-AR"/>
          </w:rPr>
          <w:t>El</w:t>
        </w:r>
        <w:r w:rsidR="00E9794A" w:rsidRPr="00E03BC0">
          <w:rPr>
            <w:rStyle w:val="Hyperlink"/>
            <w:rFonts w:ascii="Cambria" w:hAnsi="Cambria"/>
            <w:noProof/>
            <w:sz w:val="20"/>
            <w:szCs w:val="20"/>
          </w:rPr>
          <w:t xml:space="preserve"> derecho al plazo razonable y a la protección judicial</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_Toc4595242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15</w:t>
        </w:r>
        <w:r w:rsidR="00E9794A" w:rsidRPr="00E03BC0">
          <w:rPr>
            <w:rFonts w:ascii="Cambria" w:hAnsi="Cambria"/>
            <w:noProof/>
            <w:webHidden/>
            <w:sz w:val="20"/>
            <w:szCs w:val="20"/>
          </w:rPr>
          <w:fldChar w:fldCharType="end"/>
        </w:r>
      </w:hyperlink>
    </w:p>
    <w:p w:rsidR="00E9794A" w:rsidRPr="00E03BC0" w:rsidRDefault="00D70F2C" w:rsidP="00937EFE">
      <w:pPr>
        <w:pStyle w:val="TOC2"/>
        <w:tabs>
          <w:tab w:val="left" w:pos="720"/>
        </w:tabs>
        <w:rPr>
          <w:rFonts w:ascii="Cambria" w:eastAsia="Times New Roman" w:hAnsi="Cambria"/>
          <w:noProof/>
          <w:sz w:val="20"/>
          <w:szCs w:val="20"/>
        </w:rPr>
      </w:pPr>
      <w:hyperlink w:anchor="_Toc4595243" w:history="1">
        <w:r w:rsidR="00E9794A" w:rsidRPr="00E03BC0">
          <w:rPr>
            <w:rStyle w:val="Hyperlink"/>
            <w:rFonts w:ascii="Cambria" w:hAnsi="Cambria"/>
            <w:noProof/>
            <w:sz w:val="20"/>
            <w:szCs w:val="20"/>
            <w:lang w:val="es-AR"/>
          </w:rPr>
          <w:t>E.</w:t>
        </w:r>
        <w:r w:rsidR="00E9794A" w:rsidRPr="00E03BC0">
          <w:rPr>
            <w:rFonts w:ascii="Cambria" w:eastAsia="Times New Roman" w:hAnsi="Cambria"/>
            <w:noProof/>
            <w:sz w:val="20"/>
            <w:szCs w:val="20"/>
          </w:rPr>
          <w:tab/>
        </w:r>
        <w:r w:rsidR="00E9794A" w:rsidRPr="00E03BC0">
          <w:rPr>
            <w:rStyle w:val="Hyperlink"/>
            <w:rFonts w:ascii="Cambria" w:hAnsi="Cambria"/>
            <w:noProof/>
            <w:sz w:val="20"/>
            <w:szCs w:val="20"/>
            <w:lang w:val="es-AR"/>
          </w:rPr>
          <w:t>Los derechos políticos</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_Toc4595243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16</w:t>
        </w:r>
        <w:r w:rsidR="00E9794A" w:rsidRPr="00E03BC0">
          <w:rPr>
            <w:rFonts w:ascii="Cambria" w:hAnsi="Cambria"/>
            <w:noProof/>
            <w:webHidden/>
            <w:sz w:val="20"/>
            <w:szCs w:val="20"/>
          </w:rPr>
          <w:fldChar w:fldCharType="end"/>
        </w:r>
      </w:hyperlink>
    </w:p>
    <w:p w:rsidR="00E9794A" w:rsidRPr="00E03BC0" w:rsidRDefault="00D70F2C" w:rsidP="00937EFE">
      <w:pPr>
        <w:pStyle w:val="TOC1"/>
        <w:tabs>
          <w:tab w:val="left" w:pos="720"/>
        </w:tabs>
        <w:rPr>
          <w:rFonts w:ascii="Cambria" w:eastAsia="Times New Roman" w:hAnsi="Cambria"/>
          <w:noProof/>
          <w:sz w:val="20"/>
          <w:szCs w:val="20"/>
        </w:rPr>
      </w:pPr>
      <w:hyperlink w:anchor="_Toc4595244" w:history="1">
        <w:r w:rsidR="00E9794A" w:rsidRPr="00E03BC0">
          <w:rPr>
            <w:rStyle w:val="Hyperlink"/>
            <w:rFonts w:ascii="Cambria" w:hAnsi="Cambria"/>
            <w:b/>
            <w:noProof/>
            <w:sz w:val="20"/>
            <w:szCs w:val="20"/>
            <w:lang w:val="es-VE"/>
          </w:rPr>
          <w:t>V.</w:t>
        </w:r>
        <w:r w:rsidR="00E9794A" w:rsidRPr="00E03BC0">
          <w:rPr>
            <w:rFonts w:ascii="Cambria" w:eastAsia="Times New Roman" w:hAnsi="Cambria"/>
            <w:b/>
            <w:noProof/>
            <w:sz w:val="20"/>
            <w:szCs w:val="20"/>
          </w:rPr>
          <w:tab/>
        </w:r>
        <w:r w:rsidR="00E9794A" w:rsidRPr="00E03BC0">
          <w:rPr>
            <w:rStyle w:val="Hyperlink"/>
            <w:rFonts w:ascii="Cambria" w:hAnsi="Cambria"/>
            <w:b/>
            <w:noProof/>
            <w:sz w:val="20"/>
            <w:szCs w:val="20"/>
          </w:rPr>
          <w:t>CONCLUSIONES Y RECOMENDACIONES</w:t>
        </w:r>
        <w:r w:rsidR="00E9794A" w:rsidRPr="00E03BC0">
          <w:rPr>
            <w:rFonts w:ascii="Cambria" w:hAnsi="Cambria"/>
            <w:noProof/>
            <w:webHidden/>
            <w:sz w:val="20"/>
            <w:szCs w:val="20"/>
          </w:rPr>
          <w:tab/>
        </w:r>
        <w:r w:rsidR="00E9794A" w:rsidRPr="00E03BC0">
          <w:rPr>
            <w:rFonts w:ascii="Cambria" w:hAnsi="Cambria"/>
            <w:noProof/>
            <w:webHidden/>
            <w:sz w:val="20"/>
            <w:szCs w:val="20"/>
          </w:rPr>
          <w:fldChar w:fldCharType="begin"/>
        </w:r>
        <w:r w:rsidR="00E9794A" w:rsidRPr="00E03BC0">
          <w:rPr>
            <w:rFonts w:ascii="Cambria" w:hAnsi="Cambria"/>
            <w:noProof/>
            <w:webHidden/>
            <w:sz w:val="20"/>
            <w:szCs w:val="20"/>
          </w:rPr>
          <w:instrText xml:space="preserve"> PAGEREF _Toc4595244 \h </w:instrText>
        </w:r>
        <w:r w:rsidR="00E9794A" w:rsidRPr="00E03BC0">
          <w:rPr>
            <w:rFonts w:ascii="Cambria" w:hAnsi="Cambria"/>
            <w:noProof/>
            <w:webHidden/>
            <w:sz w:val="20"/>
            <w:szCs w:val="20"/>
          </w:rPr>
        </w:r>
        <w:r w:rsidR="00E9794A" w:rsidRPr="00E03BC0">
          <w:rPr>
            <w:rFonts w:ascii="Cambria" w:hAnsi="Cambria"/>
            <w:noProof/>
            <w:webHidden/>
            <w:sz w:val="20"/>
            <w:szCs w:val="20"/>
          </w:rPr>
          <w:fldChar w:fldCharType="separate"/>
        </w:r>
        <w:r w:rsidR="002C6F32">
          <w:rPr>
            <w:rFonts w:ascii="Cambria" w:hAnsi="Cambria"/>
            <w:noProof/>
            <w:webHidden/>
            <w:sz w:val="20"/>
            <w:szCs w:val="20"/>
          </w:rPr>
          <w:t>16</w:t>
        </w:r>
        <w:r w:rsidR="00E9794A" w:rsidRPr="00E03BC0">
          <w:rPr>
            <w:rFonts w:ascii="Cambria" w:hAnsi="Cambria"/>
            <w:noProof/>
            <w:webHidden/>
            <w:sz w:val="20"/>
            <w:szCs w:val="20"/>
          </w:rPr>
          <w:fldChar w:fldCharType="end"/>
        </w:r>
      </w:hyperlink>
    </w:p>
    <w:p w:rsidR="007374FF" w:rsidRPr="004713D8" w:rsidRDefault="007374FF" w:rsidP="00937EFE">
      <w:pPr>
        <w:tabs>
          <w:tab w:val="left" w:pos="720"/>
        </w:tabs>
        <w:rPr>
          <w:rFonts w:ascii="Cambria" w:hAnsi="Cambria"/>
          <w:b/>
          <w:sz w:val="20"/>
          <w:szCs w:val="20"/>
        </w:rPr>
      </w:pPr>
      <w:r w:rsidRPr="004713D8">
        <w:rPr>
          <w:rFonts w:ascii="Cambria" w:hAnsi="Cambria"/>
          <w:b/>
          <w:bCs/>
          <w:noProof/>
          <w:sz w:val="20"/>
          <w:szCs w:val="20"/>
        </w:rPr>
        <w:fldChar w:fldCharType="end"/>
      </w:r>
    </w:p>
    <w:p w:rsidR="00937EFE" w:rsidRDefault="00937EFE" w:rsidP="00A4464F">
      <w:pPr>
        <w:tabs>
          <w:tab w:val="left" w:pos="567"/>
        </w:tabs>
        <w:spacing w:after="0" w:line="240" w:lineRule="auto"/>
        <w:jc w:val="center"/>
        <w:rPr>
          <w:rFonts w:ascii="Cambria" w:eastAsia="Times New Roman" w:hAnsi="Cambria"/>
          <w:b/>
          <w:sz w:val="18"/>
          <w:szCs w:val="20"/>
          <w:bdr w:val="none" w:sz="0" w:space="0" w:color="auto" w:frame="1"/>
        </w:rPr>
        <w:sectPr w:rsidR="00937EFE" w:rsidSect="00912201">
          <w:headerReference w:type="first" r:id="rId19"/>
          <w:pgSz w:w="12240" w:h="15840"/>
          <w:pgMar w:top="1440" w:right="1530" w:bottom="1440" w:left="1440" w:header="720" w:footer="720" w:gutter="0"/>
          <w:cols w:space="720"/>
          <w:titlePg/>
          <w:docGrid w:linePitch="360"/>
        </w:sectPr>
      </w:pPr>
    </w:p>
    <w:p w:rsidR="000A46BD" w:rsidRPr="007016B5" w:rsidRDefault="000A46BD" w:rsidP="00937EFE">
      <w:pPr>
        <w:spacing w:after="0" w:line="240" w:lineRule="auto"/>
        <w:jc w:val="center"/>
        <w:rPr>
          <w:rFonts w:ascii="Cambria" w:eastAsia="Times New Roman" w:hAnsi="Cambria"/>
          <w:b/>
          <w:sz w:val="18"/>
          <w:szCs w:val="20"/>
          <w:bdr w:val="none" w:sz="0" w:space="0" w:color="auto" w:frame="1"/>
          <w:lang w:val="es-ES_tradnl"/>
        </w:rPr>
      </w:pPr>
      <w:r w:rsidRPr="007016B5">
        <w:rPr>
          <w:rFonts w:ascii="Cambria" w:eastAsia="Times New Roman" w:hAnsi="Cambria"/>
          <w:b/>
          <w:sz w:val="18"/>
          <w:szCs w:val="20"/>
          <w:bdr w:val="none" w:sz="0" w:space="0" w:color="auto" w:frame="1"/>
        </w:rPr>
        <w:lastRenderedPageBreak/>
        <w:t xml:space="preserve">INFORME No. </w:t>
      </w:r>
      <w:r w:rsidR="00AD5338">
        <w:rPr>
          <w:rFonts w:ascii="Cambria" w:eastAsia="Times New Roman" w:hAnsi="Cambria"/>
          <w:b/>
          <w:sz w:val="18"/>
          <w:szCs w:val="20"/>
          <w:bdr w:val="none" w:sz="0" w:space="0" w:color="auto" w:frame="1"/>
          <w:lang w:val="es-ES_tradnl"/>
        </w:rPr>
        <w:t>63</w:t>
      </w:r>
      <w:r w:rsidRPr="007016B5">
        <w:rPr>
          <w:rFonts w:ascii="Cambria" w:eastAsia="Times New Roman" w:hAnsi="Cambria"/>
          <w:b/>
          <w:sz w:val="18"/>
          <w:szCs w:val="20"/>
          <w:bdr w:val="none" w:sz="0" w:space="0" w:color="auto" w:frame="1"/>
          <w:lang w:val="es-ES_tradnl"/>
        </w:rPr>
        <w:t>/19</w:t>
      </w:r>
    </w:p>
    <w:p w:rsidR="000A46BD" w:rsidRPr="007016B5" w:rsidRDefault="000A46BD" w:rsidP="00937EFE">
      <w:pPr>
        <w:spacing w:after="0" w:line="240" w:lineRule="auto"/>
        <w:jc w:val="center"/>
        <w:rPr>
          <w:rFonts w:ascii="Cambria" w:eastAsia="Times New Roman" w:hAnsi="Cambria"/>
          <w:b/>
          <w:sz w:val="18"/>
          <w:szCs w:val="20"/>
          <w:bdr w:val="none" w:sz="0" w:space="0" w:color="auto" w:frame="1"/>
          <w:lang w:val="es-ES_tradnl"/>
        </w:rPr>
      </w:pPr>
      <w:r w:rsidRPr="007016B5">
        <w:rPr>
          <w:rFonts w:ascii="Cambria" w:eastAsia="Times New Roman" w:hAnsi="Cambria"/>
          <w:b/>
          <w:sz w:val="18"/>
          <w:szCs w:val="20"/>
          <w:bdr w:val="none" w:sz="0" w:space="0" w:color="auto" w:frame="1"/>
          <w:lang w:val="es-ES_tradnl"/>
        </w:rPr>
        <w:t>CASO 13.036</w:t>
      </w:r>
    </w:p>
    <w:p w:rsidR="000A46BD" w:rsidRPr="007016B5" w:rsidRDefault="000A46BD" w:rsidP="00937EFE">
      <w:pPr>
        <w:spacing w:after="0" w:line="240" w:lineRule="auto"/>
        <w:jc w:val="center"/>
        <w:rPr>
          <w:rFonts w:ascii="Cambria" w:eastAsia="Times New Roman" w:hAnsi="Cambria"/>
          <w:sz w:val="18"/>
          <w:szCs w:val="20"/>
          <w:bdr w:val="none" w:sz="0" w:space="0" w:color="auto" w:frame="1"/>
          <w:lang w:val="es-ES_tradnl"/>
        </w:rPr>
      </w:pPr>
      <w:r w:rsidRPr="007016B5">
        <w:rPr>
          <w:rFonts w:ascii="Cambria" w:eastAsia="Times New Roman" w:hAnsi="Cambria"/>
          <w:sz w:val="18"/>
          <w:szCs w:val="20"/>
          <w:bdr w:val="none" w:sz="0" w:space="0" w:color="auto" w:frame="1"/>
          <w:lang w:val="es-ES_tradnl"/>
        </w:rPr>
        <w:t>FONDO</w:t>
      </w:r>
    </w:p>
    <w:p w:rsidR="000A46BD" w:rsidRPr="007016B5" w:rsidRDefault="000A46BD" w:rsidP="00937EFE">
      <w:pPr>
        <w:spacing w:after="0" w:line="240" w:lineRule="auto"/>
        <w:jc w:val="center"/>
        <w:rPr>
          <w:rFonts w:ascii="Cambria" w:eastAsia="Times New Roman" w:hAnsi="Cambria"/>
          <w:sz w:val="18"/>
          <w:szCs w:val="20"/>
          <w:bdr w:val="none" w:sz="0" w:space="0" w:color="auto" w:frame="1"/>
          <w:lang w:val="es-ES_tradnl"/>
        </w:rPr>
      </w:pPr>
      <w:r w:rsidRPr="007016B5">
        <w:rPr>
          <w:rFonts w:ascii="Cambria" w:eastAsia="Times New Roman" w:hAnsi="Cambria"/>
          <w:sz w:val="18"/>
          <w:szCs w:val="20"/>
          <w:bdr w:val="none" w:sz="0" w:space="0" w:color="auto" w:frame="1"/>
          <w:lang w:val="es-ES_tradnl"/>
        </w:rPr>
        <w:t>NORKA MOYA SOLIS</w:t>
      </w:r>
    </w:p>
    <w:p w:rsidR="000A46BD" w:rsidRPr="007016B5" w:rsidRDefault="000A46BD" w:rsidP="00937EFE">
      <w:pPr>
        <w:spacing w:after="0" w:line="240" w:lineRule="auto"/>
        <w:jc w:val="center"/>
        <w:rPr>
          <w:rFonts w:ascii="Cambria" w:eastAsia="Times New Roman" w:hAnsi="Cambria"/>
          <w:sz w:val="18"/>
          <w:szCs w:val="20"/>
          <w:bdr w:val="none" w:sz="0" w:space="0" w:color="auto" w:frame="1"/>
          <w:lang w:val="es-ES_tradnl"/>
        </w:rPr>
      </w:pPr>
      <w:r w:rsidRPr="007016B5">
        <w:rPr>
          <w:rFonts w:ascii="Cambria" w:eastAsia="Times New Roman" w:hAnsi="Cambria"/>
          <w:sz w:val="18"/>
          <w:szCs w:val="20"/>
          <w:bdr w:val="none" w:sz="0" w:space="0" w:color="auto" w:frame="1"/>
          <w:lang w:val="es-ES_tradnl"/>
        </w:rPr>
        <w:t>PERÚ</w:t>
      </w:r>
      <w:r w:rsidRPr="007016B5">
        <w:rPr>
          <w:rStyle w:val="FootnoteReference"/>
          <w:rFonts w:ascii="Cambria" w:hAnsi="Cambria"/>
          <w:sz w:val="18"/>
          <w:szCs w:val="20"/>
        </w:rPr>
        <w:footnoteReference w:id="1"/>
      </w:r>
    </w:p>
    <w:p w:rsidR="000A46BD" w:rsidRPr="007016B5" w:rsidRDefault="00AD5338" w:rsidP="00937EFE">
      <w:pPr>
        <w:spacing w:after="0" w:line="240" w:lineRule="auto"/>
        <w:jc w:val="center"/>
        <w:rPr>
          <w:rFonts w:ascii="Cambria" w:eastAsia="Times New Roman" w:hAnsi="Cambria"/>
          <w:sz w:val="18"/>
          <w:szCs w:val="20"/>
          <w:bdr w:val="none" w:sz="0" w:space="0" w:color="auto" w:frame="1"/>
          <w:lang w:val="es-ES_tradnl"/>
        </w:rPr>
      </w:pPr>
      <w:r>
        <w:rPr>
          <w:rFonts w:ascii="Cambria" w:eastAsia="Times New Roman" w:hAnsi="Cambria"/>
          <w:sz w:val="18"/>
          <w:szCs w:val="20"/>
          <w:bdr w:val="none" w:sz="0" w:space="0" w:color="auto" w:frame="1"/>
          <w:lang w:val="es-ES_tradnl"/>
        </w:rPr>
        <w:t>4</w:t>
      </w:r>
      <w:r w:rsidR="000A46BD" w:rsidRPr="007016B5">
        <w:rPr>
          <w:rFonts w:ascii="Cambria" w:eastAsia="Times New Roman" w:hAnsi="Cambria"/>
          <w:sz w:val="18"/>
          <w:szCs w:val="20"/>
          <w:bdr w:val="none" w:sz="0" w:space="0" w:color="auto" w:frame="1"/>
          <w:lang w:val="es-ES_tradnl"/>
        </w:rPr>
        <w:t xml:space="preserve"> DE </w:t>
      </w:r>
      <w:r>
        <w:rPr>
          <w:rFonts w:ascii="Cambria" w:eastAsia="Times New Roman" w:hAnsi="Cambria"/>
          <w:sz w:val="18"/>
          <w:szCs w:val="20"/>
          <w:bdr w:val="none" w:sz="0" w:space="0" w:color="auto" w:frame="1"/>
          <w:lang w:val="es-ES_tradnl"/>
        </w:rPr>
        <w:t>MAYO</w:t>
      </w:r>
      <w:r w:rsidR="000A46BD" w:rsidRPr="007016B5">
        <w:rPr>
          <w:rFonts w:ascii="Cambria" w:eastAsia="Times New Roman" w:hAnsi="Cambria"/>
          <w:sz w:val="18"/>
          <w:szCs w:val="20"/>
          <w:bdr w:val="none" w:sz="0" w:space="0" w:color="auto" w:frame="1"/>
          <w:lang w:val="es-ES_tradnl"/>
        </w:rPr>
        <w:t xml:space="preserve"> DE 2019</w:t>
      </w:r>
    </w:p>
    <w:p w:rsidR="00A7034B" w:rsidRPr="00937EFE" w:rsidRDefault="00A7034B" w:rsidP="00937EFE">
      <w:pPr>
        <w:spacing w:after="0" w:line="240" w:lineRule="auto"/>
        <w:rPr>
          <w:rFonts w:ascii="Cambria" w:eastAsia="Times New Roman" w:hAnsi="Cambria"/>
          <w:sz w:val="20"/>
          <w:szCs w:val="20"/>
          <w:bdr w:val="none" w:sz="0" w:space="0" w:color="auto" w:frame="1"/>
          <w:lang w:val="es-ES_tradnl"/>
        </w:rPr>
      </w:pPr>
    </w:p>
    <w:p w:rsidR="000A46BD" w:rsidRPr="00937EFE" w:rsidRDefault="000A46BD" w:rsidP="000469B3">
      <w:pPr>
        <w:pStyle w:val="Heading1"/>
        <w:numPr>
          <w:ilvl w:val="0"/>
          <w:numId w:val="2"/>
        </w:numPr>
        <w:tabs>
          <w:tab w:val="clear" w:pos="1440"/>
        </w:tabs>
        <w:ind w:left="720"/>
      </w:pPr>
      <w:bookmarkStart w:id="2" w:name="_Toc536549374"/>
      <w:bookmarkStart w:id="3" w:name="_Toc3453769"/>
      <w:bookmarkStart w:id="4" w:name="_Toc4595230"/>
      <w:r w:rsidRPr="00937EFE">
        <w:t>INTRODUCCIÓN</w:t>
      </w:r>
      <w:bookmarkEnd w:id="2"/>
      <w:bookmarkEnd w:id="3"/>
      <w:bookmarkEnd w:id="4"/>
    </w:p>
    <w:p w:rsidR="000A46BD" w:rsidRPr="00937EFE" w:rsidRDefault="000A46BD" w:rsidP="00937EFE">
      <w:pPr>
        <w:spacing w:after="0"/>
        <w:jc w:val="both"/>
        <w:rPr>
          <w:rFonts w:ascii="Cambria" w:hAnsi="Cambria" w:cs="Arial"/>
          <w:sz w:val="20"/>
          <w:szCs w:val="20"/>
          <w:lang w:val="es-ES"/>
        </w:rPr>
      </w:pPr>
    </w:p>
    <w:p w:rsidR="00A4464F" w:rsidRPr="000469B3" w:rsidRDefault="000A46BD" w:rsidP="000469B3">
      <w:pPr>
        <w:numPr>
          <w:ilvl w:val="0"/>
          <w:numId w:val="3"/>
        </w:numPr>
        <w:tabs>
          <w:tab w:val="clear" w:pos="1080"/>
          <w:tab w:val="left" w:pos="720"/>
          <w:tab w:val="left" w:pos="1440"/>
        </w:tabs>
        <w:spacing w:after="0" w:line="240" w:lineRule="auto"/>
        <w:ind w:left="0" w:firstLine="0"/>
        <w:jc w:val="both"/>
        <w:rPr>
          <w:rFonts w:ascii="Cambria" w:eastAsia="Arial Unicode MS" w:hAnsi="Cambria"/>
          <w:color w:val="000000" w:themeColor="text1"/>
          <w:sz w:val="20"/>
          <w:szCs w:val="20"/>
          <w:bdr w:val="nil"/>
          <w:lang w:val="es-VE"/>
        </w:rPr>
      </w:pPr>
      <w:r w:rsidRPr="000469B3">
        <w:rPr>
          <w:rFonts w:ascii="Cambria" w:eastAsia="Arial Unicode MS" w:hAnsi="Cambria"/>
          <w:color w:val="000000" w:themeColor="text1"/>
          <w:sz w:val="20"/>
          <w:szCs w:val="20"/>
          <w:bdr w:val="nil"/>
          <w:lang w:val="es-VE"/>
        </w:rPr>
        <w:t xml:space="preserve">El 21 de marzo del 2000 la Comisión Interamericana de Derechos Humanos (en adelante “la Comisión”, “la Comisión Interamericana” o “la CIDH”) recibió una petición presentada por Norka Moya Solís (en adelante “la parte peticionaria”) en la cual se alega la responsabilidad de la República del </w:t>
      </w:r>
      <w:r w:rsidR="003267F4" w:rsidRPr="000469B3">
        <w:rPr>
          <w:rFonts w:ascii="Cambria" w:eastAsia="Arial Unicode MS" w:hAnsi="Cambria"/>
          <w:color w:val="000000" w:themeColor="text1"/>
          <w:sz w:val="20"/>
          <w:szCs w:val="20"/>
          <w:bdr w:val="nil"/>
          <w:lang w:val="es-VE"/>
        </w:rPr>
        <w:t xml:space="preserve">Perú (en adelante “el Estado”, </w:t>
      </w:r>
      <w:r w:rsidRPr="000469B3">
        <w:rPr>
          <w:rFonts w:ascii="Cambria" w:eastAsia="Arial Unicode MS" w:hAnsi="Cambria"/>
          <w:color w:val="000000" w:themeColor="text1"/>
          <w:sz w:val="20"/>
          <w:szCs w:val="20"/>
          <w:bdr w:val="nil"/>
          <w:lang w:val="es-VE"/>
        </w:rPr>
        <w:t>“el Estado peruano” o “Perú”) por la violación de varios derechos consagrados en la Convención Americana sobre Derechos Humanos (en adelante “la Convención” o “la Convención Americana”) en perjuicio de la señora Moya Solís por la presunta vulnerac</w:t>
      </w:r>
      <w:r w:rsidR="00E66794" w:rsidRPr="000469B3">
        <w:rPr>
          <w:rFonts w:ascii="Cambria" w:eastAsia="Arial Unicode MS" w:hAnsi="Cambria"/>
          <w:color w:val="000000" w:themeColor="text1"/>
          <w:sz w:val="20"/>
          <w:szCs w:val="20"/>
          <w:bdr w:val="nil"/>
          <w:lang w:val="es-VE"/>
        </w:rPr>
        <w:t xml:space="preserve">ión al debido proceso en </w:t>
      </w:r>
      <w:r w:rsidRPr="000469B3">
        <w:rPr>
          <w:rFonts w:ascii="Cambria" w:eastAsia="Arial Unicode MS" w:hAnsi="Cambria"/>
          <w:color w:val="000000" w:themeColor="text1"/>
          <w:sz w:val="20"/>
          <w:szCs w:val="20"/>
          <w:bdr w:val="nil"/>
          <w:lang w:val="es-VE"/>
        </w:rPr>
        <w:t xml:space="preserve"> </w:t>
      </w:r>
      <w:r w:rsidR="00E66794" w:rsidRPr="000469B3">
        <w:rPr>
          <w:rFonts w:ascii="Cambria" w:eastAsia="Arial Unicode MS" w:hAnsi="Cambria"/>
          <w:color w:val="000000" w:themeColor="text1"/>
          <w:sz w:val="20"/>
          <w:szCs w:val="20"/>
          <w:bdr w:val="nil"/>
          <w:lang w:val="es-VE"/>
        </w:rPr>
        <w:t>las decisione</w:t>
      </w:r>
      <w:r w:rsidR="00243D64" w:rsidRPr="000469B3">
        <w:rPr>
          <w:rFonts w:ascii="Cambria" w:eastAsia="Arial Unicode MS" w:hAnsi="Cambria"/>
          <w:color w:val="000000" w:themeColor="text1"/>
          <w:sz w:val="20"/>
          <w:szCs w:val="20"/>
          <w:bdr w:val="nil"/>
          <w:lang w:val="es-VE"/>
        </w:rPr>
        <w:t xml:space="preserve">s que la cesaron en su cargo de Secretaria Judicial del </w:t>
      </w:r>
      <w:r w:rsidR="00C82286" w:rsidRPr="000469B3">
        <w:rPr>
          <w:rFonts w:ascii="Cambria" w:eastAsia="Arial Unicode MS" w:hAnsi="Cambria"/>
          <w:color w:val="000000" w:themeColor="text1"/>
          <w:sz w:val="20"/>
          <w:szCs w:val="20"/>
          <w:bdr w:val="nil"/>
          <w:lang w:val="es-VE"/>
        </w:rPr>
        <w:t xml:space="preserve">Tercer Juzgado del Fuero Privativo del Trabajo y Comunidades Laborales. </w:t>
      </w:r>
    </w:p>
    <w:p w:rsidR="00A4464F" w:rsidRPr="00937EFE" w:rsidRDefault="00A4464F" w:rsidP="00937EFE">
      <w:pPr>
        <w:spacing w:after="0" w:line="240" w:lineRule="auto"/>
        <w:jc w:val="both"/>
        <w:rPr>
          <w:rFonts w:ascii="Cambria" w:hAnsi="Cambria"/>
          <w:sz w:val="20"/>
          <w:szCs w:val="20"/>
          <w:bdr w:val="nil"/>
          <w:lang w:val="es-VE"/>
        </w:rPr>
      </w:pPr>
    </w:p>
    <w:p w:rsidR="000A46BD" w:rsidRPr="00937EFE" w:rsidRDefault="000A46BD" w:rsidP="000469B3">
      <w:pPr>
        <w:numPr>
          <w:ilvl w:val="0"/>
          <w:numId w:val="3"/>
        </w:numPr>
        <w:tabs>
          <w:tab w:val="clear" w:pos="1080"/>
          <w:tab w:val="left" w:pos="720"/>
          <w:tab w:val="left" w:pos="1440"/>
        </w:tabs>
        <w:spacing w:after="0" w:line="240" w:lineRule="auto"/>
        <w:ind w:left="0" w:firstLine="0"/>
        <w:jc w:val="both"/>
        <w:rPr>
          <w:rFonts w:ascii="Cambria" w:hAnsi="Cambria"/>
          <w:sz w:val="20"/>
          <w:szCs w:val="20"/>
          <w:bdr w:val="nil"/>
          <w:lang w:val="es-VE"/>
        </w:rPr>
      </w:pPr>
      <w:r w:rsidRPr="00937EFE">
        <w:rPr>
          <w:rFonts w:ascii="Cambria" w:hAnsi="Cambria"/>
          <w:sz w:val="20"/>
          <w:szCs w:val="20"/>
          <w:lang w:val="es-VE"/>
        </w:rPr>
        <w:t>La Comisión aprobó el In</w:t>
      </w:r>
      <w:r w:rsidR="00511991" w:rsidRPr="00937EFE">
        <w:rPr>
          <w:rFonts w:ascii="Cambria" w:hAnsi="Cambria"/>
          <w:sz w:val="20"/>
          <w:szCs w:val="20"/>
          <w:lang w:val="es-VE"/>
        </w:rPr>
        <w:t xml:space="preserve">forme de Admisibilidad No. 37 </w:t>
      </w:r>
      <w:r w:rsidRPr="00937EFE">
        <w:rPr>
          <w:rFonts w:ascii="Cambria" w:hAnsi="Cambria"/>
          <w:sz w:val="20"/>
          <w:szCs w:val="20"/>
          <w:lang w:val="es-VE"/>
        </w:rPr>
        <w:t>el 12 de agosto de 2016</w:t>
      </w:r>
      <w:r w:rsidRPr="00937EFE">
        <w:rPr>
          <w:rFonts w:ascii="Cambria" w:hAnsi="Cambria"/>
          <w:sz w:val="20"/>
          <w:szCs w:val="20"/>
          <w:vertAlign w:val="superscript"/>
        </w:rPr>
        <w:footnoteReference w:id="2"/>
      </w:r>
      <w:r w:rsidRPr="00937EFE">
        <w:rPr>
          <w:rFonts w:ascii="Cambria" w:hAnsi="Cambria"/>
          <w:sz w:val="20"/>
          <w:szCs w:val="20"/>
          <w:lang w:val="es-VE"/>
        </w:rPr>
        <w:t xml:space="preserve">. El 1 de septiembre de 2016 la Comisión notificó dicho informe a las partes y se puso a su disposición a fin de llegar a una solución amistosa, </w:t>
      </w:r>
      <w:r w:rsidR="00757011" w:rsidRPr="00937EFE">
        <w:rPr>
          <w:rFonts w:ascii="Cambria" w:hAnsi="Cambria"/>
          <w:sz w:val="20"/>
          <w:szCs w:val="20"/>
          <w:lang w:val="es-VE"/>
        </w:rPr>
        <w:t>sin que se dieran las condiciones para solucionar el caso a través de dicho procedimiento</w:t>
      </w:r>
      <w:r w:rsidRPr="00937EFE">
        <w:rPr>
          <w:rFonts w:ascii="Cambria" w:hAnsi="Cambria"/>
          <w:sz w:val="20"/>
          <w:szCs w:val="20"/>
          <w:lang w:val="es-VE"/>
        </w:rPr>
        <w:t>.</w:t>
      </w:r>
      <w:r w:rsidR="00757011" w:rsidRPr="00937EFE">
        <w:rPr>
          <w:rFonts w:ascii="Cambria" w:hAnsi="Cambria"/>
          <w:sz w:val="20"/>
          <w:szCs w:val="20"/>
          <w:lang w:val="es-VE"/>
        </w:rPr>
        <w:t xml:space="preserve"> L</w:t>
      </w:r>
      <w:r w:rsidRPr="00937EFE">
        <w:rPr>
          <w:rFonts w:ascii="Cambria" w:hAnsi="Cambria"/>
          <w:sz w:val="20"/>
          <w:szCs w:val="20"/>
          <w:lang w:val="es-VE"/>
        </w:rPr>
        <w:t xml:space="preserve">as partes contaron con los plazos reglamentarios para presentar sus observaciones adicionales sobre el fondo. Toda la información recibida fue debidamente trasladada entre las partes. </w:t>
      </w:r>
      <w:bookmarkStart w:id="5" w:name="_Toc370840841"/>
      <w:bookmarkStart w:id="6" w:name="_Toc370840745"/>
    </w:p>
    <w:p w:rsidR="00D50A8F" w:rsidRPr="00937EFE" w:rsidRDefault="00D50A8F" w:rsidP="00937EFE">
      <w:pPr>
        <w:spacing w:after="0" w:line="240" w:lineRule="auto"/>
        <w:jc w:val="both"/>
        <w:rPr>
          <w:rFonts w:ascii="Cambria" w:hAnsi="Cambria"/>
          <w:sz w:val="20"/>
          <w:szCs w:val="20"/>
          <w:bdr w:val="nil"/>
          <w:lang w:val="es-VE"/>
        </w:rPr>
      </w:pPr>
    </w:p>
    <w:p w:rsidR="00D50A8F" w:rsidRPr="00937EFE" w:rsidRDefault="000A46BD" w:rsidP="00937EFE">
      <w:pPr>
        <w:pStyle w:val="Heading1"/>
        <w:numPr>
          <w:ilvl w:val="0"/>
          <w:numId w:val="2"/>
        </w:numPr>
        <w:tabs>
          <w:tab w:val="clear" w:pos="1440"/>
        </w:tabs>
        <w:ind w:left="0" w:firstLine="0"/>
      </w:pPr>
      <w:bookmarkStart w:id="7" w:name="_Toc536549375"/>
      <w:bookmarkStart w:id="8" w:name="_Toc444958126"/>
      <w:bookmarkStart w:id="9" w:name="_Toc433115983"/>
      <w:bookmarkStart w:id="10" w:name="_Toc423514407"/>
      <w:bookmarkStart w:id="11" w:name="_Toc3453770"/>
      <w:bookmarkStart w:id="12" w:name="_Toc4595231"/>
      <w:r w:rsidRPr="00937EFE">
        <w:t>POSICIONES DE LAS PARTES</w:t>
      </w:r>
      <w:bookmarkStart w:id="13" w:name="_Toc444958127"/>
      <w:bookmarkStart w:id="14" w:name="_Toc433115984"/>
      <w:bookmarkStart w:id="15" w:name="_Toc423514408"/>
      <w:bookmarkStart w:id="16" w:name="_Toc536549376"/>
      <w:bookmarkEnd w:id="5"/>
      <w:bookmarkEnd w:id="6"/>
      <w:bookmarkEnd w:id="7"/>
      <w:bookmarkEnd w:id="8"/>
      <w:bookmarkEnd w:id="9"/>
      <w:bookmarkEnd w:id="10"/>
      <w:bookmarkEnd w:id="11"/>
      <w:bookmarkEnd w:id="12"/>
    </w:p>
    <w:p w:rsidR="00D50A8F" w:rsidRPr="00937EFE" w:rsidRDefault="00D50A8F" w:rsidP="00937EFE">
      <w:pPr>
        <w:spacing w:after="0" w:line="240" w:lineRule="auto"/>
        <w:rPr>
          <w:rFonts w:ascii="Cambria" w:hAnsi="Cambria"/>
          <w:sz w:val="20"/>
          <w:szCs w:val="20"/>
          <w:lang w:val="es-ES_tradnl"/>
        </w:rPr>
      </w:pPr>
    </w:p>
    <w:p w:rsidR="000A46BD" w:rsidRPr="00937EFE" w:rsidRDefault="000A46BD" w:rsidP="00937EFE">
      <w:pPr>
        <w:pStyle w:val="Heading2"/>
        <w:numPr>
          <w:ilvl w:val="0"/>
          <w:numId w:val="4"/>
        </w:numPr>
        <w:ind w:left="0" w:firstLine="0"/>
      </w:pPr>
      <w:bookmarkStart w:id="17" w:name="_Toc3453771"/>
      <w:bookmarkStart w:id="18" w:name="_Toc4595232"/>
      <w:r w:rsidRPr="00937EFE">
        <w:t>P</w:t>
      </w:r>
      <w:bookmarkEnd w:id="13"/>
      <w:bookmarkEnd w:id="14"/>
      <w:bookmarkEnd w:id="15"/>
      <w:r w:rsidRPr="00937EFE">
        <w:t>arte peticionaria</w:t>
      </w:r>
      <w:bookmarkEnd w:id="16"/>
      <w:bookmarkEnd w:id="17"/>
      <w:bookmarkEnd w:id="18"/>
    </w:p>
    <w:p w:rsidR="000A46BD" w:rsidRPr="00937EFE" w:rsidRDefault="000A46BD" w:rsidP="00937EFE">
      <w:pPr>
        <w:spacing w:after="0" w:line="240" w:lineRule="auto"/>
        <w:ind w:left="720"/>
        <w:jc w:val="both"/>
        <w:rPr>
          <w:rFonts w:ascii="Cambria" w:hAnsi="Cambria"/>
          <w:sz w:val="20"/>
          <w:szCs w:val="20"/>
          <w:lang w:val="es-VE"/>
        </w:rPr>
      </w:pPr>
    </w:p>
    <w:p w:rsidR="00CC19ED" w:rsidRPr="00937EFE" w:rsidRDefault="000A46BD" w:rsidP="000469B3">
      <w:pPr>
        <w:numPr>
          <w:ilvl w:val="0"/>
          <w:numId w:val="3"/>
        </w:numPr>
        <w:tabs>
          <w:tab w:val="clear" w:pos="1080"/>
          <w:tab w:val="left" w:pos="720"/>
          <w:tab w:val="left" w:pos="144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A modo de contexto la par</w:t>
      </w:r>
      <w:r w:rsidR="004A3574" w:rsidRPr="00937EFE">
        <w:rPr>
          <w:rFonts w:ascii="Cambria" w:hAnsi="Cambria"/>
          <w:sz w:val="20"/>
          <w:szCs w:val="20"/>
          <w:lang w:val="es-VE"/>
        </w:rPr>
        <w:t>te peticionaria in</w:t>
      </w:r>
      <w:r w:rsidR="00EB35E5" w:rsidRPr="00937EFE">
        <w:rPr>
          <w:rFonts w:ascii="Cambria" w:hAnsi="Cambria"/>
          <w:sz w:val="20"/>
          <w:szCs w:val="20"/>
          <w:lang w:val="es-VE"/>
        </w:rPr>
        <w:t xml:space="preserve">dicó que a partir del 3 de julio de 1973 fue nombrada auxiliar </w:t>
      </w:r>
      <w:r w:rsidRPr="00937EFE">
        <w:rPr>
          <w:rFonts w:ascii="Cambria" w:hAnsi="Cambria"/>
          <w:sz w:val="20"/>
          <w:szCs w:val="20"/>
          <w:lang w:val="es-VE"/>
        </w:rPr>
        <w:t xml:space="preserve">del Juzgado VII-2 del Fuero Privativo de Trabajo y el 31 de diciembre de 1979 fue nombrada secretaria judicial V-2 en los Juzgados Quinto, Noveno, y Décimo del Fuero de Trabajo. </w:t>
      </w:r>
      <w:r w:rsidR="00EB35E5" w:rsidRPr="00937EFE">
        <w:rPr>
          <w:rFonts w:ascii="Cambria" w:hAnsi="Cambria"/>
          <w:sz w:val="20"/>
          <w:szCs w:val="20"/>
          <w:lang w:val="es-VE"/>
        </w:rPr>
        <w:t xml:space="preserve">Refirió que en el momento de los hechos se desempeñaba como Secretaria Judicial del </w:t>
      </w:r>
      <w:r w:rsidR="00493ADE" w:rsidRPr="00937EFE">
        <w:rPr>
          <w:rFonts w:ascii="Cambria" w:hAnsi="Cambria"/>
          <w:sz w:val="20"/>
          <w:szCs w:val="20"/>
          <w:lang w:val="es-VE"/>
        </w:rPr>
        <w:t>Décimo</w:t>
      </w:r>
      <w:r w:rsidR="00EB35E5" w:rsidRPr="00937EFE">
        <w:rPr>
          <w:rFonts w:ascii="Cambria" w:hAnsi="Cambria"/>
          <w:sz w:val="20"/>
          <w:szCs w:val="20"/>
          <w:lang w:val="es-VE"/>
        </w:rPr>
        <w:t xml:space="preserve"> Juzgado del Fuero Privativo del Trabajo y Comunidades Laborales. </w:t>
      </w:r>
    </w:p>
    <w:p w:rsidR="00CC19ED" w:rsidRPr="00937EFE" w:rsidRDefault="00CC19ED" w:rsidP="00937EFE">
      <w:pPr>
        <w:spacing w:after="0" w:line="240" w:lineRule="auto"/>
        <w:jc w:val="both"/>
        <w:rPr>
          <w:rFonts w:ascii="Cambria" w:hAnsi="Cambria"/>
          <w:sz w:val="20"/>
          <w:szCs w:val="20"/>
          <w:lang w:val="es-VE"/>
        </w:rPr>
      </w:pPr>
    </w:p>
    <w:p w:rsidR="00CC19ED" w:rsidRPr="00937EFE" w:rsidRDefault="004A3574"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I</w:t>
      </w:r>
      <w:r w:rsidR="000A46BD" w:rsidRPr="00937EFE">
        <w:rPr>
          <w:rFonts w:ascii="Cambria" w:hAnsi="Cambria"/>
          <w:sz w:val="20"/>
          <w:szCs w:val="20"/>
          <w:lang w:val="es-VE"/>
        </w:rPr>
        <w:t xml:space="preserve">ndicó que </w:t>
      </w:r>
      <w:r w:rsidR="000A46BD" w:rsidRPr="00937EFE">
        <w:rPr>
          <w:rFonts w:ascii="Cambria" w:hAnsi="Cambria"/>
          <w:sz w:val="20"/>
          <w:szCs w:val="20"/>
          <w:lang w:val="es-ES_tradnl"/>
        </w:rPr>
        <w:t>en diciembre 1981 a través de las leyes N°23344 y N°23369 se regularon los</w:t>
      </w:r>
      <w:r w:rsidRPr="00937EFE">
        <w:rPr>
          <w:rFonts w:ascii="Cambria" w:hAnsi="Cambria"/>
          <w:sz w:val="20"/>
          <w:szCs w:val="20"/>
          <w:lang w:val="es-ES_tradnl"/>
        </w:rPr>
        <w:t xml:space="preserve"> procedimientos de </w:t>
      </w:r>
      <w:r w:rsidR="000A46BD" w:rsidRPr="00937EFE">
        <w:rPr>
          <w:rFonts w:ascii="Cambria" w:hAnsi="Cambria"/>
          <w:sz w:val="20"/>
          <w:szCs w:val="20"/>
          <w:lang w:val="es-ES_tradnl"/>
        </w:rPr>
        <w:t>nombramiento y ratificación de los operadores judiciales, entre ellos los secretarios de juzgado. Para dar cumplimiento a esta legislación se creó, mediante el Decreto Supremo N°003-82 JUS en dici</w:t>
      </w:r>
      <w:r w:rsidR="003267F4" w:rsidRPr="00937EFE">
        <w:rPr>
          <w:rFonts w:ascii="Cambria" w:hAnsi="Cambria"/>
          <w:sz w:val="20"/>
          <w:szCs w:val="20"/>
          <w:lang w:val="es-ES_tradnl"/>
        </w:rPr>
        <w:t>embre de 1982, una Comisión de V</w:t>
      </w:r>
      <w:r w:rsidR="000A46BD" w:rsidRPr="00937EFE">
        <w:rPr>
          <w:rFonts w:ascii="Cambria" w:hAnsi="Cambria"/>
          <w:sz w:val="20"/>
          <w:szCs w:val="20"/>
          <w:lang w:val="es-ES_tradnl"/>
        </w:rPr>
        <w:t xml:space="preserve">ocales para proceder con la ratificación de los secretarios de juzgado. </w:t>
      </w:r>
    </w:p>
    <w:p w:rsidR="00CC19ED" w:rsidRPr="00937EFE" w:rsidRDefault="00CC19ED" w:rsidP="00937EFE">
      <w:pPr>
        <w:spacing w:after="0" w:line="240" w:lineRule="auto"/>
        <w:jc w:val="both"/>
        <w:rPr>
          <w:rFonts w:ascii="Cambria" w:hAnsi="Cambria"/>
          <w:sz w:val="20"/>
          <w:szCs w:val="20"/>
          <w:lang w:val="es-VE"/>
        </w:rPr>
      </w:pPr>
    </w:p>
    <w:p w:rsidR="00CC19ED" w:rsidRPr="00937EFE" w:rsidRDefault="004A3574"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ES_tradnl"/>
        </w:rPr>
        <w:t>Refirió</w:t>
      </w:r>
      <w:r w:rsidR="000A46BD" w:rsidRPr="00937EFE">
        <w:rPr>
          <w:rFonts w:ascii="Cambria" w:hAnsi="Cambria"/>
          <w:sz w:val="20"/>
          <w:szCs w:val="20"/>
          <w:lang w:val="es-ES_tradnl"/>
        </w:rPr>
        <w:t xml:space="preserve"> que el 13 de septiembre de 1982 se le informó verbalmente que después de revisar los expedientes a su cargo y de realizar una evaluación de su trabajo la Comisión de Ratificación había decidido no ratificarla en su cargo de secretaria judicial. </w:t>
      </w:r>
    </w:p>
    <w:p w:rsidR="00CC19ED" w:rsidRPr="00937EFE" w:rsidRDefault="00CC19ED" w:rsidP="00937EFE">
      <w:pPr>
        <w:spacing w:after="0" w:line="240" w:lineRule="auto"/>
        <w:jc w:val="both"/>
        <w:rPr>
          <w:rFonts w:ascii="Cambria" w:hAnsi="Cambria"/>
          <w:sz w:val="20"/>
          <w:szCs w:val="20"/>
          <w:lang w:val="es-VE"/>
        </w:rPr>
      </w:pPr>
    </w:p>
    <w:p w:rsidR="00CC19ED" w:rsidRDefault="000A46BD"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Manifestó </w:t>
      </w:r>
      <w:r w:rsidR="004A3574" w:rsidRPr="00937EFE">
        <w:rPr>
          <w:rFonts w:ascii="Cambria" w:hAnsi="Cambria"/>
          <w:sz w:val="20"/>
          <w:szCs w:val="20"/>
          <w:lang w:val="es-VE"/>
        </w:rPr>
        <w:t xml:space="preserve">que dicha decisión contravino </w:t>
      </w:r>
      <w:r w:rsidR="004A3574" w:rsidRPr="00937EFE">
        <w:rPr>
          <w:rFonts w:ascii="Cambria" w:hAnsi="Cambria"/>
          <w:sz w:val="20"/>
          <w:szCs w:val="20"/>
          <w:lang w:val="es-ES_tradnl"/>
        </w:rPr>
        <w:t>el</w:t>
      </w:r>
      <w:r w:rsidRPr="00937EFE">
        <w:rPr>
          <w:rFonts w:ascii="Cambria" w:hAnsi="Cambria"/>
          <w:sz w:val="20"/>
          <w:szCs w:val="20"/>
          <w:lang w:val="es-ES_tradnl"/>
        </w:rPr>
        <w:t xml:space="preserve"> procedimiento establecido en las leyes N°23344 y N°23369, porque </w:t>
      </w:r>
      <w:r w:rsidRPr="00937EFE">
        <w:rPr>
          <w:rFonts w:ascii="Cambria" w:hAnsi="Cambria"/>
          <w:sz w:val="20"/>
          <w:szCs w:val="20"/>
          <w:lang w:val="es-VE"/>
        </w:rPr>
        <w:t xml:space="preserve">la Comisión de Ratificación, compuesta por 10 magistrados, se encontró en un empate frente a la decisión de ratificarla o no en su cargo y para la parte peticionaria se debió haber tomado la decisión con base en el principio </w:t>
      </w:r>
      <w:r w:rsidRPr="00937EFE">
        <w:rPr>
          <w:rFonts w:ascii="Cambria" w:hAnsi="Cambria"/>
          <w:i/>
          <w:sz w:val="20"/>
          <w:szCs w:val="20"/>
          <w:lang w:val="es-VE"/>
        </w:rPr>
        <w:t>in dubio pro operario</w:t>
      </w:r>
      <w:r w:rsidRPr="00937EFE">
        <w:rPr>
          <w:rFonts w:ascii="Cambria" w:hAnsi="Cambria"/>
          <w:sz w:val="20"/>
          <w:szCs w:val="20"/>
          <w:lang w:val="es-VE"/>
        </w:rPr>
        <w:t xml:space="preserve"> o el Presidente de la Sala debía haber dirimido de acuerdo a la regulación del procedimiento. </w:t>
      </w:r>
    </w:p>
    <w:p w:rsidR="000469B3" w:rsidRPr="00937EFE" w:rsidRDefault="000469B3" w:rsidP="000469B3">
      <w:pPr>
        <w:spacing w:after="0" w:line="240" w:lineRule="auto"/>
        <w:jc w:val="both"/>
        <w:rPr>
          <w:rFonts w:ascii="Cambria" w:hAnsi="Cambria"/>
          <w:sz w:val="20"/>
          <w:szCs w:val="20"/>
          <w:lang w:val="es-VE"/>
        </w:rPr>
      </w:pPr>
    </w:p>
    <w:p w:rsidR="00CC19ED" w:rsidRPr="00937EFE" w:rsidRDefault="004A3574"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Refirió que </w:t>
      </w:r>
      <w:r w:rsidR="009D50E3" w:rsidRPr="00937EFE">
        <w:rPr>
          <w:rFonts w:ascii="Cambria" w:hAnsi="Cambria"/>
          <w:sz w:val="20"/>
          <w:szCs w:val="20"/>
          <w:lang w:val="es-VE"/>
        </w:rPr>
        <w:t>ante dicha decisión</w:t>
      </w:r>
      <w:r w:rsidRPr="00937EFE">
        <w:rPr>
          <w:rFonts w:ascii="Cambria" w:hAnsi="Cambria"/>
          <w:sz w:val="20"/>
          <w:szCs w:val="20"/>
          <w:lang w:val="es-VE"/>
        </w:rPr>
        <w:t xml:space="preserve">, </w:t>
      </w:r>
      <w:r w:rsidR="000A46BD" w:rsidRPr="00937EFE">
        <w:rPr>
          <w:rFonts w:ascii="Cambria" w:hAnsi="Cambria"/>
          <w:sz w:val="20"/>
          <w:szCs w:val="20"/>
          <w:lang w:val="es-VE"/>
        </w:rPr>
        <w:t>procedió a interponer recurso de revisión contra el acuerdo expedido por</w:t>
      </w:r>
      <w:r w:rsidRPr="00937EFE">
        <w:rPr>
          <w:rFonts w:ascii="Cambria" w:hAnsi="Cambria"/>
          <w:sz w:val="20"/>
          <w:szCs w:val="20"/>
          <w:lang w:val="es-VE"/>
        </w:rPr>
        <w:t xml:space="preserve"> la Sala P</w:t>
      </w:r>
      <w:r w:rsidR="000A46BD" w:rsidRPr="00937EFE">
        <w:rPr>
          <w:rFonts w:ascii="Cambria" w:hAnsi="Cambria"/>
          <w:sz w:val="20"/>
          <w:szCs w:val="20"/>
          <w:lang w:val="es-VE"/>
        </w:rPr>
        <w:t>lena del Tribunal de Trabajo y Comunidades Laborales de Lima ante la Corte Suprema de Justicia</w:t>
      </w:r>
      <w:r w:rsidRPr="00937EFE">
        <w:rPr>
          <w:rFonts w:ascii="Cambria" w:hAnsi="Cambria"/>
          <w:sz w:val="20"/>
          <w:szCs w:val="20"/>
          <w:lang w:val="es-VE"/>
        </w:rPr>
        <w:t>, la cual el 12 de octubre de 1983</w:t>
      </w:r>
      <w:r w:rsidR="000A46BD" w:rsidRPr="00937EFE">
        <w:rPr>
          <w:rFonts w:ascii="Cambria" w:hAnsi="Cambria"/>
          <w:sz w:val="20"/>
          <w:szCs w:val="20"/>
          <w:lang w:val="es-VE"/>
        </w:rPr>
        <w:t xml:space="preserve"> </w:t>
      </w:r>
      <w:r w:rsidRPr="00937EFE">
        <w:rPr>
          <w:rFonts w:ascii="Cambria" w:hAnsi="Cambria"/>
          <w:sz w:val="20"/>
          <w:szCs w:val="20"/>
          <w:lang w:val="es-VE"/>
        </w:rPr>
        <w:t>declaró como infundado</w:t>
      </w:r>
      <w:r w:rsidR="00714472" w:rsidRPr="00937EFE">
        <w:rPr>
          <w:rFonts w:ascii="Cambria" w:hAnsi="Cambria"/>
          <w:sz w:val="20"/>
          <w:szCs w:val="20"/>
          <w:lang w:val="es-VE"/>
        </w:rPr>
        <w:t xml:space="preserve"> el recurso de revisión, sin darle la oportunidad de presentar pruebas de descargo.</w:t>
      </w:r>
    </w:p>
    <w:p w:rsidR="00CC19ED" w:rsidRPr="00937EFE" w:rsidRDefault="00CC19ED" w:rsidP="00937EFE">
      <w:pPr>
        <w:spacing w:after="0" w:line="240" w:lineRule="auto"/>
        <w:jc w:val="both"/>
        <w:rPr>
          <w:rFonts w:ascii="Cambria" w:hAnsi="Cambria"/>
          <w:sz w:val="20"/>
          <w:szCs w:val="20"/>
          <w:lang w:val="es-VE"/>
        </w:rPr>
      </w:pPr>
    </w:p>
    <w:p w:rsidR="00CC19ED" w:rsidRPr="00937EFE" w:rsidRDefault="004A3574"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Indicó que interp</w:t>
      </w:r>
      <w:r w:rsidR="00253F87" w:rsidRPr="00937EFE">
        <w:rPr>
          <w:rFonts w:ascii="Cambria" w:hAnsi="Cambria"/>
          <w:sz w:val="20"/>
          <w:szCs w:val="20"/>
          <w:lang w:val="es-VE"/>
        </w:rPr>
        <w:t>uso acción de amparo contra la r</w:t>
      </w:r>
      <w:r w:rsidRPr="00937EFE">
        <w:rPr>
          <w:rFonts w:ascii="Cambria" w:hAnsi="Cambria"/>
          <w:sz w:val="20"/>
          <w:szCs w:val="20"/>
          <w:lang w:val="es-VE"/>
        </w:rPr>
        <w:t xml:space="preserve">esolución de 12 </w:t>
      </w:r>
      <w:r w:rsidR="000A46BD" w:rsidRPr="00937EFE">
        <w:rPr>
          <w:rFonts w:ascii="Cambria" w:hAnsi="Cambria"/>
          <w:sz w:val="20"/>
          <w:szCs w:val="20"/>
          <w:lang w:val="es-VE"/>
        </w:rPr>
        <w:t xml:space="preserve">de octubre de 1983 ante el Décimo Segundo Juzgado Civil de Lima, el cual declaró improcedente esta acción el 14 de junio de 1985. </w:t>
      </w:r>
    </w:p>
    <w:p w:rsidR="00CC19ED" w:rsidRPr="00937EFE" w:rsidRDefault="00CC19ED" w:rsidP="00937EFE">
      <w:pPr>
        <w:pStyle w:val="ListParagraph"/>
        <w:spacing w:after="0" w:line="240" w:lineRule="auto"/>
        <w:ind w:left="0"/>
        <w:rPr>
          <w:rFonts w:ascii="Cambria" w:hAnsi="Cambria"/>
          <w:sz w:val="20"/>
          <w:szCs w:val="20"/>
          <w:lang w:val="es-VE"/>
        </w:rPr>
      </w:pPr>
    </w:p>
    <w:p w:rsidR="00CC19ED" w:rsidRPr="00937EFE" w:rsidRDefault="004A3574"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Argumentó que el 1 de julio de 1985 interpuso un recuso de apelación contra la decisió</w:t>
      </w:r>
      <w:r w:rsidR="004E6005" w:rsidRPr="00937EFE">
        <w:rPr>
          <w:rFonts w:ascii="Cambria" w:hAnsi="Cambria"/>
          <w:sz w:val="20"/>
          <w:szCs w:val="20"/>
          <w:lang w:val="es-VE"/>
        </w:rPr>
        <w:t xml:space="preserve">n de amparo, ante la Tercera Sala Civil, la cual confirmó el fallo el 2 de septiembre de 1985. </w:t>
      </w:r>
      <w:r w:rsidR="003760F3" w:rsidRPr="00937EFE">
        <w:rPr>
          <w:rFonts w:ascii="Cambria" w:hAnsi="Cambria"/>
          <w:sz w:val="20"/>
          <w:szCs w:val="20"/>
          <w:lang w:val="es-VE"/>
        </w:rPr>
        <w:t xml:space="preserve">Refirió que acto seguido, interpuso recurso de nulidad ante la misma Sala, la cual elevó las actuaciones ante la Sala Segunda Civil de la Corte Suprema de Justicia. </w:t>
      </w:r>
    </w:p>
    <w:p w:rsidR="00CC19ED" w:rsidRPr="00937EFE" w:rsidRDefault="00CC19ED" w:rsidP="00937EFE">
      <w:pPr>
        <w:spacing w:after="0" w:line="240" w:lineRule="auto"/>
        <w:jc w:val="both"/>
        <w:rPr>
          <w:rFonts w:ascii="Cambria" w:hAnsi="Cambria"/>
          <w:sz w:val="20"/>
          <w:szCs w:val="20"/>
          <w:lang w:val="es-VE"/>
        </w:rPr>
      </w:pPr>
    </w:p>
    <w:p w:rsidR="00CC19ED" w:rsidRPr="00937EFE" w:rsidRDefault="003760F3"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Expresó que ante dicha instancia, el Fiscal Supremo manifestó que</w:t>
      </w:r>
      <w:r w:rsidR="000A46BD" w:rsidRPr="00937EFE">
        <w:rPr>
          <w:rFonts w:ascii="Cambria" w:hAnsi="Cambria"/>
          <w:sz w:val="20"/>
          <w:szCs w:val="20"/>
          <w:lang w:val="es-VE"/>
        </w:rPr>
        <w:t xml:space="preserve"> las resoluciones </w:t>
      </w:r>
      <w:r w:rsidR="00AB4D73" w:rsidRPr="00937EFE">
        <w:rPr>
          <w:rFonts w:ascii="Cambria" w:hAnsi="Cambria"/>
          <w:sz w:val="20"/>
          <w:szCs w:val="20"/>
          <w:lang w:val="es-VE"/>
        </w:rPr>
        <w:t>de la acción de amparo de 14 de junio de 1985 y</w:t>
      </w:r>
      <w:r w:rsidR="00DF051E" w:rsidRPr="00937EFE">
        <w:rPr>
          <w:rFonts w:ascii="Cambria" w:hAnsi="Cambria"/>
          <w:sz w:val="20"/>
          <w:szCs w:val="20"/>
          <w:lang w:val="es-VE"/>
        </w:rPr>
        <w:t xml:space="preserve"> de la apelación de amparo de</w:t>
      </w:r>
      <w:r w:rsidR="00AB4D73" w:rsidRPr="00937EFE">
        <w:rPr>
          <w:rFonts w:ascii="Cambria" w:hAnsi="Cambria"/>
          <w:sz w:val="20"/>
          <w:szCs w:val="20"/>
          <w:lang w:val="es-VE"/>
        </w:rPr>
        <w:t xml:space="preserve"> 2 de septiembre de 1985 se emitieron sin t</w:t>
      </w:r>
      <w:r w:rsidR="00DF051E" w:rsidRPr="00937EFE">
        <w:rPr>
          <w:rFonts w:ascii="Cambria" w:hAnsi="Cambria"/>
          <w:sz w:val="20"/>
          <w:szCs w:val="20"/>
          <w:lang w:val="es-VE"/>
        </w:rPr>
        <w:t xml:space="preserve">ener en cuenta el expediente del proceso de ratificación de tal manera que no le era posible determinar </w:t>
      </w:r>
      <w:r w:rsidR="000A46BD" w:rsidRPr="00937EFE">
        <w:rPr>
          <w:rFonts w:ascii="Cambria" w:hAnsi="Cambria"/>
          <w:sz w:val="20"/>
          <w:szCs w:val="20"/>
          <w:lang w:val="es-VE"/>
        </w:rPr>
        <w:t>si el Tribunal de Trabajo había incurrido o no en las irregularidades aleg</w:t>
      </w:r>
      <w:r w:rsidR="00732C90" w:rsidRPr="00937EFE">
        <w:rPr>
          <w:rFonts w:ascii="Cambria" w:hAnsi="Cambria"/>
          <w:sz w:val="20"/>
          <w:szCs w:val="20"/>
          <w:lang w:val="es-VE"/>
        </w:rPr>
        <w:t>adas por la parte peticionaria.</w:t>
      </w:r>
      <w:r w:rsidRPr="00937EFE">
        <w:rPr>
          <w:rFonts w:ascii="Cambria" w:hAnsi="Cambria"/>
          <w:sz w:val="20"/>
          <w:szCs w:val="20"/>
          <w:lang w:val="es-VE"/>
        </w:rPr>
        <w:t xml:space="preserve"> </w:t>
      </w:r>
    </w:p>
    <w:p w:rsidR="00CC19ED" w:rsidRPr="00937EFE" w:rsidRDefault="00CC19ED" w:rsidP="00937EFE">
      <w:pPr>
        <w:spacing w:after="0" w:line="240" w:lineRule="auto"/>
        <w:jc w:val="both"/>
        <w:rPr>
          <w:rFonts w:ascii="Cambria" w:hAnsi="Cambria"/>
          <w:sz w:val="20"/>
          <w:szCs w:val="20"/>
          <w:lang w:val="es-VE"/>
        </w:rPr>
      </w:pPr>
    </w:p>
    <w:p w:rsidR="00CC19ED" w:rsidRPr="00937EFE" w:rsidRDefault="003760F3"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Refirió que siguiendo dicho dictamen,</w:t>
      </w:r>
      <w:r w:rsidR="00FD14F4" w:rsidRPr="00937EFE">
        <w:rPr>
          <w:rFonts w:ascii="Cambria" w:hAnsi="Cambria"/>
          <w:sz w:val="20"/>
          <w:szCs w:val="20"/>
          <w:lang w:val="es-VE"/>
        </w:rPr>
        <w:t xml:space="preserve"> el 4 de agosto de 1986 </w:t>
      </w:r>
      <w:r w:rsidRPr="00937EFE">
        <w:rPr>
          <w:rFonts w:ascii="Cambria" w:hAnsi="Cambria"/>
          <w:sz w:val="20"/>
          <w:szCs w:val="20"/>
          <w:lang w:val="es-VE"/>
        </w:rPr>
        <w:t xml:space="preserve">la Corte Suprema de Justicia declaró nula la sentencia de </w:t>
      </w:r>
      <w:r w:rsidR="00FD14F4" w:rsidRPr="00937EFE">
        <w:rPr>
          <w:rFonts w:ascii="Cambria" w:hAnsi="Cambria"/>
          <w:sz w:val="20"/>
          <w:szCs w:val="20"/>
          <w:lang w:val="es-VE"/>
        </w:rPr>
        <w:t>2</w:t>
      </w:r>
      <w:r w:rsidRPr="00937EFE">
        <w:rPr>
          <w:rFonts w:ascii="Cambria" w:hAnsi="Cambria"/>
          <w:sz w:val="20"/>
          <w:szCs w:val="20"/>
          <w:lang w:val="es-VE"/>
        </w:rPr>
        <w:t xml:space="preserve"> de </w:t>
      </w:r>
      <w:r w:rsidR="00FD14F4" w:rsidRPr="00937EFE">
        <w:rPr>
          <w:rFonts w:ascii="Cambria" w:hAnsi="Cambria"/>
          <w:sz w:val="20"/>
          <w:szCs w:val="20"/>
          <w:lang w:val="es-VE"/>
        </w:rPr>
        <w:t>septiembre</w:t>
      </w:r>
      <w:r w:rsidRPr="00937EFE">
        <w:rPr>
          <w:rFonts w:ascii="Cambria" w:hAnsi="Cambria"/>
          <w:sz w:val="20"/>
          <w:szCs w:val="20"/>
          <w:lang w:val="es-VE"/>
        </w:rPr>
        <w:t xml:space="preserve"> de </w:t>
      </w:r>
      <w:r w:rsidR="00FD14F4" w:rsidRPr="00937EFE">
        <w:rPr>
          <w:rFonts w:ascii="Cambria" w:hAnsi="Cambria"/>
          <w:sz w:val="20"/>
          <w:szCs w:val="20"/>
          <w:lang w:val="es-VE"/>
        </w:rPr>
        <w:t>1985</w:t>
      </w:r>
      <w:r w:rsidRPr="00937EFE">
        <w:rPr>
          <w:rFonts w:ascii="Cambria" w:hAnsi="Cambria"/>
          <w:sz w:val="20"/>
          <w:szCs w:val="20"/>
          <w:lang w:val="es-VE"/>
        </w:rPr>
        <w:t xml:space="preserve"> y ordenó al juez de la causa que expidiese un nuevo fallo </w:t>
      </w:r>
      <w:r w:rsidR="00FD14F4" w:rsidRPr="00937EFE">
        <w:rPr>
          <w:rFonts w:ascii="Cambria" w:hAnsi="Cambria"/>
          <w:sz w:val="20"/>
          <w:szCs w:val="20"/>
          <w:lang w:val="es-VE"/>
        </w:rPr>
        <w:t xml:space="preserve">tomando en cuenta el expediente del proceso de ratificación. </w:t>
      </w:r>
      <w:r w:rsidRPr="00937EFE">
        <w:rPr>
          <w:rFonts w:ascii="Cambria" w:hAnsi="Cambria"/>
          <w:sz w:val="20"/>
          <w:szCs w:val="20"/>
          <w:lang w:val="es-VE"/>
        </w:rPr>
        <w:t xml:space="preserve"> </w:t>
      </w:r>
    </w:p>
    <w:p w:rsidR="00CC19ED" w:rsidRPr="00937EFE" w:rsidRDefault="00CC19ED" w:rsidP="00937EFE">
      <w:pPr>
        <w:spacing w:after="0" w:line="240" w:lineRule="auto"/>
        <w:jc w:val="both"/>
        <w:rPr>
          <w:rFonts w:ascii="Cambria" w:hAnsi="Cambria"/>
          <w:sz w:val="20"/>
          <w:szCs w:val="20"/>
          <w:lang w:val="es-VE"/>
        </w:rPr>
      </w:pPr>
    </w:p>
    <w:p w:rsidR="00CC19ED" w:rsidRPr="00937EFE" w:rsidRDefault="00C44DD8"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Indicó que más de 10 años después, </w:t>
      </w:r>
      <w:r w:rsidR="009B4198" w:rsidRPr="00937EFE">
        <w:rPr>
          <w:rFonts w:ascii="Cambria" w:hAnsi="Cambria"/>
          <w:sz w:val="20"/>
          <w:szCs w:val="20"/>
          <w:lang w:val="es-VE"/>
        </w:rPr>
        <w:t xml:space="preserve">el 30 de diciembre de 1996 el Décimo Sexto Juzgado Civil de Lima emitió una nueva decisión de amparo, en la que nuevamente declaró infundada la acción. Refirió que este fallo </w:t>
      </w:r>
      <w:r w:rsidR="00A15943" w:rsidRPr="00937EFE">
        <w:rPr>
          <w:rFonts w:ascii="Cambria" w:hAnsi="Cambria"/>
          <w:sz w:val="20"/>
          <w:szCs w:val="20"/>
          <w:lang w:val="es-VE"/>
        </w:rPr>
        <w:t xml:space="preserve">ignoró </w:t>
      </w:r>
      <w:r w:rsidR="000A46BD" w:rsidRPr="00937EFE">
        <w:rPr>
          <w:rFonts w:ascii="Cambria" w:hAnsi="Cambria"/>
          <w:sz w:val="20"/>
          <w:szCs w:val="20"/>
          <w:lang w:val="es-VE"/>
        </w:rPr>
        <w:t>lo ordenado</w:t>
      </w:r>
      <w:r w:rsidR="00A15943" w:rsidRPr="00937EFE">
        <w:rPr>
          <w:rFonts w:ascii="Cambria" w:hAnsi="Cambria"/>
          <w:sz w:val="20"/>
          <w:szCs w:val="20"/>
          <w:lang w:val="es-VE"/>
        </w:rPr>
        <w:t xml:space="preserve"> por la Corte Suprema por lo que interpuso recurso de apelación el 19 de mayo de</w:t>
      </w:r>
      <w:r w:rsidR="009C600A" w:rsidRPr="00937EFE">
        <w:rPr>
          <w:rFonts w:ascii="Cambria" w:hAnsi="Cambria"/>
          <w:sz w:val="20"/>
          <w:szCs w:val="20"/>
          <w:lang w:val="es-VE"/>
        </w:rPr>
        <w:t xml:space="preserve"> 1997, el cual fue denegado por</w:t>
      </w:r>
      <w:r w:rsidR="00A15943" w:rsidRPr="00937EFE">
        <w:rPr>
          <w:rFonts w:ascii="Cambria" w:hAnsi="Cambria"/>
          <w:sz w:val="20"/>
          <w:szCs w:val="20"/>
          <w:lang w:val="es-VE"/>
        </w:rPr>
        <w:t xml:space="preserve"> la Sala Corporativa Transitoria de Derecho Público el 20 de marzo de 1998.</w:t>
      </w:r>
    </w:p>
    <w:p w:rsidR="00CC19ED" w:rsidRPr="00937EFE" w:rsidRDefault="00CC19ED" w:rsidP="00937EFE">
      <w:pPr>
        <w:spacing w:after="0" w:line="240" w:lineRule="auto"/>
        <w:jc w:val="both"/>
        <w:rPr>
          <w:rFonts w:ascii="Cambria" w:hAnsi="Cambria"/>
          <w:sz w:val="20"/>
          <w:szCs w:val="20"/>
          <w:lang w:val="es-VE"/>
        </w:rPr>
      </w:pPr>
    </w:p>
    <w:p w:rsidR="00CC19ED" w:rsidRPr="00937EFE" w:rsidRDefault="00B31F88"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Expresó que ante dicha decisión, interpuso recurso de nulidad argumentando una serie de errores procesales en que incurrió la Sala</w:t>
      </w:r>
      <w:r w:rsidR="00C44DD8" w:rsidRPr="00937EFE">
        <w:rPr>
          <w:rFonts w:ascii="Cambria" w:hAnsi="Cambria"/>
          <w:sz w:val="20"/>
          <w:szCs w:val="20"/>
          <w:lang w:val="es-VE"/>
        </w:rPr>
        <w:t xml:space="preserve"> Corporativa,</w:t>
      </w:r>
      <w:r w:rsidRPr="00937EFE">
        <w:rPr>
          <w:rFonts w:ascii="Cambria" w:hAnsi="Cambria"/>
          <w:sz w:val="20"/>
          <w:szCs w:val="20"/>
          <w:lang w:val="es-VE"/>
        </w:rPr>
        <w:t xml:space="preserve"> ante la Corte Suprema de Justicia, la cual declaró sin lugar el recurso el 29 de octubre de 1998.</w:t>
      </w:r>
    </w:p>
    <w:p w:rsidR="00CC19ED" w:rsidRPr="00937EFE" w:rsidRDefault="00CC19ED" w:rsidP="00937EFE">
      <w:pPr>
        <w:spacing w:after="0" w:line="240" w:lineRule="auto"/>
        <w:jc w:val="both"/>
        <w:rPr>
          <w:rFonts w:ascii="Cambria" w:hAnsi="Cambria"/>
          <w:sz w:val="20"/>
          <w:szCs w:val="20"/>
          <w:lang w:val="es-VE"/>
        </w:rPr>
      </w:pPr>
    </w:p>
    <w:p w:rsidR="00CC19ED" w:rsidRPr="00937EFE" w:rsidRDefault="00732C90"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Respecto a</w:t>
      </w:r>
      <w:r w:rsidR="00187D7E" w:rsidRPr="00937EFE">
        <w:rPr>
          <w:rFonts w:ascii="Cambria" w:hAnsi="Cambria"/>
          <w:sz w:val="20"/>
          <w:szCs w:val="20"/>
          <w:lang w:val="es-VE"/>
        </w:rPr>
        <w:t>l derecho, argumentó la violación de</w:t>
      </w:r>
      <w:r w:rsidRPr="00937EFE">
        <w:rPr>
          <w:rFonts w:ascii="Cambria" w:hAnsi="Cambria"/>
          <w:sz w:val="20"/>
          <w:szCs w:val="20"/>
          <w:lang w:val="es-VE"/>
        </w:rPr>
        <w:t xml:space="preserve"> los derechos a las </w:t>
      </w:r>
      <w:r w:rsidRPr="00937EFE">
        <w:rPr>
          <w:rFonts w:ascii="Cambria" w:hAnsi="Cambria"/>
          <w:b/>
          <w:sz w:val="20"/>
          <w:szCs w:val="20"/>
          <w:lang w:val="es-VE"/>
        </w:rPr>
        <w:t>garantías judiciales y protección judicial</w:t>
      </w:r>
      <w:r w:rsidR="00187D7E" w:rsidRPr="00937EFE">
        <w:rPr>
          <w:rFonts w:ascii="Cambria" w:hAnsi="Cambria"/>
          <w:sz w:val="20"/>
          <w:szCs w:val="20"/>
          <w:lang w:val="es-VE"/>
        </w:rPr>
        <w:t xml:space="preserve">, </w:t>
      </w:r>
      <w:r w:rsidRPr="00937EFE">
        <w:rPr>
          <w:rFonts w:ascii="Cambria" w:hAnsi="Cambria"/>
          <w:sz w:val="20"/>
          <w:szCs w:val="20"/>
          <w:lang w:val="es-VE"/>
        </w:rPr>
        <w:t>porque</w:t>
      </w:r>
      <w:r w:rsidR="00187D7E" w:rsidRPr="00937EFE">
        <w:rPr>
          <w:rFonts w:ascii="Cambria" w:hAnsi="Cambria"/>
          <w:sz w:val="20"/>
          <w:szCs w:val="20"/>
          <w:lang w:val="es-VE"/>
        </w:rPr>
        <w:t xml:space="preserve"> en el marco del proceso que la cesó en su cargo no tuvo oportunidad de d</w:t>
      </w:r>
      <w:r w:rsidR="00BF0A81" w:rsidRPr="00937EFE">
        <w:rPr>
          <w:rFonts w:ascii="Cambria" w:hAnsi="Cambria"/>
          <w:sz w:val="20"/>
          <w:szCs w:val="20"/>
          <w:lang w:val="es-VE"/>
        </w:rPr>
        <w:t>efenderse y presentar pruebas, y por la demora irrazonable del proceso</w:t>
      </w:r>
      <w:r w:rsidR="00FF02C5" w:rsidRPr="00937EFE">
        <w:rPr>
          <w:rFonts w:ascii="Cambria" w:hAnsi="Cambria"/>
          <w:sz w:val="20"/>
          <w:szCs w:val="20"/>
          <w:lang w:val="es-VE"/>
        </w:rPr>
        <w:t>,</w:t>
      </w:r>
      <w:r w:rsidR="00BF0A81" w:rsidRPr="00937EFE">
        <w:rPr>
          <w:rFonts w:ascii="Cambria" w:hAnsi="Cambria"/>
          <w:sz w:val="20"/>
          <w:szCs w:val="20"/>
          <w:lang w:val="es-VE"/>
        </w:rPr>
        <w:t xml:space="preserve"> el cual duró más de 16 años. </w:t>
      </w:r>
      <w:r w:rsidR="00187D7E" w:rsidRPr="00937EFE">
        <w:rPr>
          <w:rFonts w:ascii="Cambria" w:hAnsi="Cambria"/>
          <w:sz w:val="20"/>
          <w:szCs w:val="20"/>
          <w:lang w:val="es-VE"/>
        </w:rPr>
        <w:t xml:space="preserve"> </w:t>
      </w:r>
    </w:p>
    <w:p w:rsidR="00CC19ED" w:rsidRPr="00937EFE" w:rsidRDefault="00CC19ED" w:rsidP="00937EFE">
      <w:pPr>
        <w:spacing w:after="0" w:line="240" w:lineRule="auto"/>
        <w:jc w:val="both"/>
        <w:rPr>
          <w:rFonts w:ascii="Cambria" w:hAnsi="Cambria"/>
          <w:sz w:val="20"/>
          <w:szCs w:val="20"/>
          <w:lang w:val="es-VE"/>
        </w:rPr>
      </w:pPr>
    </w:p>
    <w:p w:rsidR="000A46BD" w:rsidRPr="00937EFE" w:rsidRDefault="009222FF"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Igualmente, argumentó la violación al </w:t>
      </w:r>
      <w:r w:rsidRPr="00937EFE">
        <w:rPr>
          <w:rFonts w:ascii="Cambria" w:hAnsi="Cambria"/>
          <w:b/>
          <w:sz w:val="20"/>
          <w:szCs w:val="20"/>
          <w:lang w:val="es-VE"/>
        </w:rPr>
        <w:t>derecho al trabajo</w:t>
      </w:r>
      <w:r w:rsidRPr="00937EFE">
        <w:rPr>
          <w:rFonts w:ascii="Cambria" w:hAnsi="Cambria"/>
          <w:sz w:val="20"/>
          <w:szCs w:val="20"/>
          <w:lang w:val="es-VE"/>
        </w:rPr>
        <w:t xml:space="preserve">, porque se le apartó de su posición laboral </w:t>
      </w:r>
      <w:r w:rsidR="000A46BD" w:rsidRPr="00937EFE">
        <w:rPr>
          <w:rFonts w:ascii="Cambria" w:hAnsi="Cambria"/>
          <w:sz w:val="20"/>
          <w:szCs w:val="20"/>
          <w:lang w:val="es-VE"/>
        </w:rPr>
        <w:t>a través de un proceso irregular que no cumplió con los estándares del debido proceso.</w:t>
      </w:r>
    </w:p>
    <w:p w:rsidR="000A46BD" w:rsidRPr="00937EFE" w:rsidRDefault="000A46BD" w:rsidP="00937EFE">
      <w:pPr>
        <w:spacing w:after="0" w:line="240" w:lineRule="auto"/>
        <w:jc w:val="both"/>
        <w:rPr>
          <w:rFonts w:ascii="Cambria" w:hAnsi="Cambria"/>
          <w:sz w:val="20"/>
          <w:szCs w:val="20"/>
          <w:lang w:val="es-VE"/>
        </w:rPr>
      </w:pPr>
    </w:p>
    <w:p w:rsidR="000A46BD" w:rsidRPr="00937EFE" w:rsidRDefault="000A46BD" w:rsidP="00937EFE">
      <w:pPr>
        <w:pStyle w:val="Heading2"/>
        <w:numPr>
          <w:ilvl w:val="0"/>
          <w:numId w:val="4"/>
        </w:numPr>
        <w:ind w:left="0" w:firstLine="0"/>
      </w:pPr>
      <w:bookmarkStart w:id="19" w:name="_Toc3453772"/>
      <w:bookmarkStart w:id="20" w:name="_Toc4595233"/>
      <w:r w:rsidRPr="00937EFE">
        <w:t>Estado</w:t>
      </w:r>
      <w:bookmarkEnd w:id="19"/>
      <w:bookmarkEnd w:id="20"/>
    </w:p>
    <w:p w:rsidR="000A46BD" w:rsidRPr="00937EFE" w:rsidRDefault="000A46BD" w:rsidP="00937EFE">
      <w:pPr>
        <w:spacing w:after="0" w:line="240" w:lineRule="auto"/>
        <w:jc w:val="both"/>
        <w:rPr>
          <w:rFonts w:ascii="Cambria" w:hAnsi="Cambria"/>
          <w:sz w:val="20"/>
          <w:szCs w:val="20"/>
          <w:lang w:val="es-VE"/>
        </w:rPr>
      </w:pPr>
    </w:p>
    <w:p w:rsidR="00CC19ED" w:rsidRPr="00937EFE" w:rsidRDefault="00090E3A"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El Estado no controvirtió los hechos del proceso narrados por la parte peticionaria. Al respecto, indicó que la presunta víctima fue sometida a un proceso de ratificación de acuerdo a lo establecido en la Ley N° 23369, la cual establece que los funcionarios que no fuesen ratificados en este proceso tendrían la posibilidad de interponer recurso de revisión ante la Corte Suprema. Expresó que en el desarrollo de este proceso la señora Moya Solís no fue ratificada, por lo que interpuso recurso de revisión ante la Corte Suprema, el cual declaró infundado el recurso el 12 de octubre de 1983. </w:t>
      </w:r>
    </w:p>
    <w:p w:rsidR="00CC19ED" w:rsidRPr="00937EFE" w:rsidRDefault="00CC19ED" w:rsidP="00937EFE">
      <w:pPr>
        <w:spacing w:after="0" w:line="240" w:lineRule="auto"/>
        <w:jc w:val="both"/>
        <w:rPr>
          <w:rFonts w:ascii="Cambria" w:hAnsi="Cambria"/>
          <w:sz w:val="20"/>
          <w:szCs w:val="20"/>
          <w:lang w:val="es-VE"/>
        </w:rPr>
      </w:pPr>
    </w:p>
    <w:p w:rsidR="00937EFE" w:rsidRPr="000469B3" w:rsidRDefault="00585660"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En cuanto al derecho, el Estado indicó que no se vulneraron las </w:t>
      </w:r>
      <w:r w:rsidRPr="00937EFE">
        <w:rPr>
          <w:rFonts w:ascii="Cambria" w:hAnsi="Cambria"/>
          <w:b/>
          <w:sz w:val="20"/>
          <w:szCs w:val="20"/>
          <w:lang w:val="es-VE"/>
        </w:rPr>
        <w:t>garantías judiciales o la protección judicial.</w:t>
      </w:r>
      <w:r w:rsidR="00FF02C5" w:rsidRPr="00937EFE">
        <w:rPr>
          <w:rFonts w:ascii="Cambria" w:hAnsi="Cambria"/>
          <w:b/>
          <w:sz w:val="20"/>
          <w:szCs w:val="20"/>
          <w:lang w:val="es-VE"/>
        </w:rPr>
        <w:t xml:space="preserve"> </w:t>
      </w:r>
      <w:r w:rsidRPr="00937EFE">
        <w:rPr>
          <w:rFonts w:ascii="Cambria" w:hAnsi="Cambria"/>
          <w:sz w:val="20"/>
          <w:szCs w:val="20"/>
          <w:lang w:val="es-VE"/>
        </w:rPr>
        <w:t>Indicó que en el marco de los procesos que culminaron con el cese de la parte peticionaria de su cargo de Secretaria Judicial se respetaron todas las garantías del debido proceso y fueron conducidos de manera justa, imparcial y</w:t>
      </w:r>
      <w:r w:rsidR="00351675" w:rsidRPr="00937EFE">
        <w:rPr>
          <w:rFonts w:ascii="Cambria" w:hAnsi="Cambria"/>
          <w:sz w:val="20"/>
          <w:szCs w:val="20"/>
          <w:lang w:val="es-VE"/>
        </w:rPr>
        <w:t xml:space="preserve"> rápida. Específicamente, refirió</w:t>
      </w:r>
      <w:r w:rsidRPr="00937EFE">
        <w:rPr>
          <w:rFonts w:ascii="Cambria" w:hAnsi="Cambria"/>
          <w:sz w:val="20"/>
          <w:szCs w:val="20"/>
          <w:lang w:val="es-VE"/>
        </w:rPr>
        <w:t xml:space="preserve"> que la parte peticionaria tuvo oportunidad</w:t>
      </w:r>
      <w:r w:rsidR="009C600A" w:rsidRPr="00937EFE">
        <w:rPr>
          <w:rFonts w:ascii="Cambria" w:hAnsi="Cambria"/>
          <w:sz w:val="20"/>
          <w:szCs w:val="20"/>
          <w:lang w:val="es-VE"/>
        </w:rPr>
        <w:t xml:space="preserve"> de ejercer su defensa técnica,</w:t>
      </w:r>
      <w:r w:rsidRPr="00937EFE">
        <w:rPr>
          <w:rFonts w:ascii="Cambria" w:hAnsi="Cambria"/>
          <w:sz w:val="20"/>
          <w:szCs w:val="20"/>
          <w:lang w:val="es-VE"/>
        </w:rPr>
        <w:t xml:space="preserve"> y de plantear todos los recursos judiciales disponibles en la legislación nacional y </w:t>
      </w:r>
      <w:r w:rsidRPr="00937EFE">
        <w:rPr>
          <w:rFonts w:ascii="Cambria" w:hAnsi="Cambria"/>
          <w:sz w:val="20"/>
          <w:szCs w:val="20"/>
          <w:lang w:val="es-ES_tradnl"/>
        </w:rPr>
        <w:t xml:space="preserve">el hecho de haber recibido resultados desfavorables no implica </w:t>
      </w:r>
      <w:r w:rsidR="003267F4" w:rsidRPr="00937EFE">
        <w:rPr>
          <w:rFonts w:ascii="Cambria" w:hAnsi="Cambria"/>
          <w:sz w:val="20"/>
          <w:szCs w:val="20"/>
          <w:lang w:val="es-ES_tradnl"/>
        </w:rPr>
        <w:t>una violación a los derechos a las</w:t>
      </w:r>
      <w:r w:rsidRPr="00937EFE">
        <w:rPr>
          <w:rFonts w:ascii="Cambria" w:hAnsi="Cambria"/>
          <w:sz w:val="20"/>
          <w:szCs w:val="20"/>
          <w:lang w:val="es-ES_tradnl"/>
        </w:rPr>
        <w:t xml:space="preserve"> garantías judiciales y protección judicial. </w:t>
      </w:r>
    </w:p>
    <w:p w:rsidR="00E607F8" w:rsidRPr="00937EFE" w:rsidRDefault="000A46BD" w:rsidP="000469B3">
      <w:pPr>
        <w:pStyle w:val="Heading1"/>
        <w:numPr>
          <w:ilvl w:val="0"/>
          <w:numId w:val="2"/>
        </w:numPr>
        <w:tabs>
          <w:tab w:val="clear" w:pos="1440"/>
        </w:tabs>
        <w:ind w:left="0" w:firstLine="0"/>
      </w:pPr>
      <w:bookmarkStart w:id="21" w:name="_Toc3453773"/>
      <w:bookmarkStart w:id="22" w:name="_Toc4595234"/>
      <w:r w:rsidRPr="00937EFE">
        <w:t>DETERMINACIONES DE HECHO</w:t>
      </w:r>
      <w:bookmarkEnd w:id="21"/>
      <w:bookmarkEnd w:id="22"/>
    </w:p>
    <w:p w:rsidR="00FF02C5" w:rsidRPr="00937EFE" w:rsidRDefault="00FF02C5" w:rsidP="00937EFE">
      <w:pPr>
        <w:spacing w:after="0"/>
        <w:rPr>
          <w:rFonts w:ascii="Cambria" w:hAnsi="Cambria"/>
          <w:sz w:val="20"/>
          <w:szCs w:val="20"/>
          <w:lang w:val="es-ES_tradnl"/>
        </w:rPr>
      </w:pPr>
    </w:p>
    <w:p w:rsidR="000A46BD" w:rsidRPr="00937EFE" w:rsidRDefault="000A46BD" w:rsidP="007016B5">
      <w:pPr>
        <w:pStyle w:val="Heading2"/>
        <w:numPr>
          <w:ilvl w:val="0"/>
          <w:numId w:val="5"/>
        </w:numPr>
        <w:ind w:left="720" w:hanging="720"/>
      </w:pPr>
      <w:bookmarkStart w:id="23" w:name="_Toc3453774"/>
      <w:bookmarkStart w:id="24" w:name="_Toc4595235"/>
      <w:r w:rsidRPr="00937EFE">
        <w:t xml:space="preserve">Sobre </w:t>
      </w:r>
      <w:proofErr w:type="spellStart"/>
      <w:r w:rsidRPr="00937EFE">
        <w:t>Norka</w:t>
      </w:r>
      <w:proofErr w:type="spellEnd"/>
      <w:r w:rsidRPr="00937EFE">
        <w:t xml:space="preserve"> Moya Solís</w:t>
      </w:r>
      <w:bookmarkEnd w:id="23"/>
      <w:bookmarkEnd w:id="24"/>
    </w:p>
    <w:p w:rsidR="000A46BD" w:rsidRPr="00937EFE" w:rsidRDefault="000A46BD" w:rsidP="00937EFE">
      <w:pPr>
        <w:spacing w:after="0" w:line="240" w:lineRule="auto"/>
        <w:jc w:val="both"/>
        <w:rPr>
          <w:rFonts w:ascii="Cambria" w:hAnsi="Cambria"/>
          <w:sz w:val="20"/>
          <w:szCs w:val="20"/>
          <w:lang w:val="es-VE"/>
        </w:rPr>
      </w:pPr>
    </w:p>
    <w:p w:rsidR="000A46BD" w:rsidRPr="00937EFE" w:rsidRDefault="000A46BD"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La señora Norka Moya Solís tenía 27 años al momento de los hechos, era bachiller en administración de empresas, estudiante de derecho y cie</w:t>
      </w:r>
      <w:r w:rsidR="007B4FB8" w:rsidRPr="00937EFE">
        <w:rPr>
          <w:rFonts w:ascii="Cambria" w:hAnsi="Cambria"/>
          <w:sz w:val="20"/>
          <w:szCs w:val="20"/>
          <w:lang w:val="es-VE"/>
        </w:rPr>
        <w:t>ncias políticas y ejercía como Secretaria J</w:t>
      </w:r>
      <w:r w:rsidRPr="00937EFE">
        <w:rPr>
          <w:rFonts w:ascii="Cambria" w:hAnsi="Cambria"/>
          <w:sz w:val="20"/>
          <w:szCs w:val="20"/>
          <w:lang w:val="es-VE"/>
        </w:rPr>
        <w:t>udicial desde 1973</w:t>
      </w:r>
      <w:r w:rsidRPr="00937EFE">
        <w:rPr>
          <w:rStyle w:val="FootnoteReference"/>
          <w:rFonts w:ascii="Cambria" w:hAnsi="Cambria"/>
          <w:sz w:val="20"/>
          <w:szCs w:val="20"/>
          <w:lang w:val="es-VE"/>
        </w:rPr>
        <w:footnoteReference w:id="3"/>
      </w:r>
      <w:r w:rsidR="001F4390" w:rsidRPr="00937EFE">
        <w:rPr>
          <w:rFonts w:ascii="Cambria" w:hAnsi="Cambria"/>
          <w:sz w:val="20"/>
          <w:szCs w:val="20"/>
          <w:lang w:val="es-VE"/>
        </w:rPr>
        <w:t>, al momento de los hechos se desempeñaba</w:t>
      </w:r>
      <w:r w:rsidR="009C600A" w:rsidRPr="00937EFE">
        <w:rPr>
          <w:rFonts w:ascii="Cambria" w:hAnsi="Cambria"/>
          <w:sz w:val="20"/>
          <w:szCs w:val="20"/>
          <w:lang w:val="es-VE"/>
        </w:rPr>
        <w:t xml:space="preserve"> como</w:t>
      </w:r>
      <w:r w:rsidR="001F4390" w:rsidRPr="00937EFE">
        <w:rPr>
          <w:rFonts w:ascii="Cambria" w:hAnsi="Cambria"/>
          <w:sz w:val="20"/>
          <w:szCs w:val="20"/>
          <w:lang w:val="es-VE"/>
        </w:rPr>
        <w:t xml:space="preserve"> </w:t>
      </w:r>
      <w:r w:rsidR="009C600A" w:rsidRPr="00937EFE">
        <w:rPr>
          <w:rFonts w:ascii="Cambria" w:hAnsi="Cambria"/>
          <w:sz w:val="20"/>
          <w:szCs w:val="20"/>
          <w:lang w:val="es-VE"/>
        </w:rPr>
        <w:t xml:space="preserve">Secretaria Judicial del </w:t>
      </w:r>
      <w:r w:rsidR="00C92488" w:rsidRPr="00937EFE">
        <w:rPr>
          <w:rFonts w:ascii="Cambria" w:hAnsi="Cambria"/>
          <w:sz w:val="20"/>
          <w:szCs w:val="20"/>
          <w:lang w:val="es-VE"/>
        </w:rPr>
        <w:t xml:space="preserve">Décimo </w:t>
      </w:r>
      <w:r w:rsidR="009C600A" w:rsidRPr="00937EFE">
        <w:rPr>
          <w:rFonts w:ascii="Cambria" w:hAnsi="Cambria"/>
          <w:sz w:val="20"/>
          <w:szCs w:val="20"/>
          <w:lang w:val="es-VE"/>
        </w:rPr>
        <w:t>Juzgado del Fuero Privativo del Trabajo y Comunidades Laborales</w:t>
      </w:r>
      <w:r w:rsidR="001F4390" w:rsidRPr="00937EFE">
        <w:rPr>
          <w:rStyle w:val="FootnoteReference"/>
          <w:rFonts w:ascii="Cambria" w:hAnsi="Cambria"/>
          <w:sz w:val="20"/>
          <w:szCs w:val="20"/>
          <w:lang w:val="es-VE"/>
        </w:rPr>
        <w:footnoteReference w:id="4"/>
      </w:r>
      <w:r w:rsidR="001F4390" w:rsidRPr="00937EFE">
        <w:rPr>
          <w:rFonts w:ascii="Cambria" w:hAnsi="Cambria"/>
          <w:sz w:val="20"/>
          <w:szCs w:val="20"/>
          <w:lang w:val="es-VE"/>
        </w:rPr>
        <w:t xml:space="preserve">. </w:t>
      </w:r>
    </w:p>
    <w:p w:rsidR="000A46BD" w:rsidRPr="00937EFE" w:rsidRDefault="000A46BD" w:rsidP="00937EFE">
      <w:pPr>
        <w:spacing w:after="0" w:line="240" w:lineRule="auto"/>
        <w:ind w:left="720"/>
        <w:jc w:val="both"/>
        <w:rPr>
          <w:rFonts w:ascii="Cambria" w:hAnsi="Cambria"/>
          <w:sz w:val="20"/>
          <w:szCs w:val="20"/>
          <w:lang w:val="es-VE"/>
        </w:rPr>
      </w:pPr>
    </w:p>
    <w:p w:rsidR="000A46BD" w:rsidRPr="00937EFE" w:rsidRDefault="000A46BD" w:rsidP="007016B5">
      <w:pPr>
        <w:pStyle w:val="Heading2"/>
        <w:numPr>
          <w:ilvl w:val="0"/>
          <w:numId w:val="5"/>
        </w:numPr>
        <w:ind w:left="720" w:hanging="720"/>
      </w:pPr>
      <w:bookmarkStart w:id="25" w:name="_Toc3453775"/>
      <w:bookmarkStart w:id="26" w:name="_Toc4595236"/>
      <w:r w:rsidRPr="00937EFE">
        <w:t xml:space="preserve">Marco Normativo </w:t>
      </w:r>
      <w:bookmarkEnd w:id="25"/>
      <w:r w:rsidR="007B4FB8" w:rsidRPr="00937EFE">
        <w:t>relevante</w:t>
      </w:r>
      <w:bookmarkEnd w:id="26"/>
    </w:p>
    <w:p w:rsidR="000A46BD" w:rsidRPr="00937EFE" w:rsidRDefault="000A46BD" w:rsidP="00937EFE">
      <w:pPr>
        <w:spacing w:after="0" w:line="240" w:lineRule="auto"/>
        <w:ind w:left="720"/>
        <w:jc w:val="both"/>
        <w:rPr>
          <w:rFonts w:ascii="Cambria" w:hAnsi="Cambria"/>
          <w:sz w:val="20"/>
          <w:szCs w:val="20"/>
          <w:lang w:val="es-VE"/>
        </w:rPr>
      </w:pPr>
    </w:p>
    <w:p w:rsidR="00BA26D7" w:rsidRPr="00937EFE" w:rsidRDefault="00BA26D7"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La Ley N°23344 de 19 de diciembre de 1981 establecía en lo pertinente que:</w:t>
      </w:r>
    </w:p>
    <w:p w:rsidR="000A46BD" w:rsidRPr="00937EFE" w:rsidRDefault="000A46BD" w:rsidP="00937EFE">
      <w:pPr>
        <w:spacing w:after="0" w:line="240" w:lineRule="auto"/>
        <w:ind w:left="720"/>
        <w:jc w:val="both"/>
        <w:rPr>
          <w:rFonts w:ascii="Cambria" w:hAnsi="Cambria"/>
          <w:sz w:val="20"/>
          <w:szCs w:val="20"/>
          <w:lang w:val="es-VE"/>
        </w:rPr>
      </w:pPr>
    </w:p>
    <w:p w:rsidR="000A46BD" w:rsidRPr="00937EFE" w:rsidRDefault="000A46BD"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 xml:space="preserve">Artículo 5. Los secretarios de Juzgados serán ratificados cada tres años por la Corte Superior del Distrito Judicial correspondiente. Debiendo hacerse la primera ratificación dentro de los sesenta días siguientes a la </w:t>
      </w:r>
      <w:r w:rsidR="00BA26D7" w:rsidRPr="00937EFE">
        <w:rPr>
          <w:rFonts w:ascii="Cambria" w:hAnsi="Cambria"/>
          <w:sz w:val="20"/>
          <w:szCs w:val="20"/>
          <w:lang w:val="es-VE"/>
        </w:rPr>
        <w:t>vigencia de la presente ley</w:t>
      </w:r>
      <w:r w:rsidR="001F4390" w:rsidRPr="00937EFE">
        <w:rPr>
          <w:rStyle w:val="FootnoteReference"/>
          <w:rFonts w:ascii="Cambria" w:hAnsi="Cambria"/>
          <w:sz w:val="20"/>
          <w:szCs w:val="20"/>
          <w:lang w:val="es-VE"/>
        </w:rPr>
        <w:footnoteReference w:id="5"/>
      </w:r>
      <w:r w:rsidRPr="00937EFE">
        <w:rPr>
          <w:rFonts w:ascii="Cambria" w:hAnsi="Cambria"/>
          <w:sz w:val="20"/>
          <w:szCs w:val="20"/>
          <w:lang w:val="es-VE"/>
        </w:rPr>
        <w:t xml:space="preserve">.  </w:t>
      </w:r>
    </w:p>
    <w:p w:rsidR="000A46BD" w:rsidRPr="00937EFE" w:rsidRDefault="000A46BD" w:rsidP="00937EFE">
      <w:pPr>
        <w:spacing w:after="0" w:line="240" w:lineRule="auto"/>
        <w:ind w:left="720"/>
        <w:jc w:val="both"/>
        <w:rPr>
          <w:rFonts w:ascii="Cambria" w:hAnsi="Cambria"/>
          <w:sz w:val="20"/>
          <w:szCs w:val="20"/>
          <w:lang w:val="es-VE"/>
        </w:rPr>
      </w:pPr>
    </w:p>
    <w:p w:rsidR="000A46BD" w:rsidRPr="00937EFE" w:rsidRDefault="00FF566A"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Asimismo, la Ley N°23369 expedida el 31 de diciembre de 1981 estableció que:</w:t>
      </w:r>
      <w:r w:rsidR="000A46BD" w:rsidRPr="00937EFE">
        <w:rPr>
          <w:rFonts w:ascii="Cambria" w:hAnsi="Cambria"/>
          <w:sz w:val="20"/>
          <w:szCs w:val="20"/>
          <w:lang w:val="es-VE"/>
        </w:rPr>
        <w:t xml:space="preserve"> </w:t>
      </w:r>
    </w:p>
    <w:p w:rsidR="00A168F4" w:rsidRPr="00937EFE" w:rsidRDefault="00A168F4" w:rsidP="00937EFE">
      <w:pPr>
        <w:spacing w:after="0" w:line="240" w:lineRule="auto"/>
        <w:ind w:right="720"/>
        <w:jc w:val="both"/>
        <w:rPr>
          <w:rFonts w:ascii="Cambria" w:hAnsi="Cambria"/>
          <w:sz w:val="20"/>
          <w:szCs w:val="20"/>
          <w:lang w:val="es-VE"/>
        </w:rPr>
      </w:pPr>
    </w:p>
    <w:p w:rsidR="00A168F4" w:rsidRPr="00937EFE" w:rsidRDefault="00A168F4" w:rsidP="007016B5">
      <w:pPr>
        <w:spacing w:after="0" w:line="240" w:lineRule="auto"/>
        <w:ind w:left="720" w:right="720"/>
        <w:jc w:val="both"/>
        <w:rPr>
          <w:rFonts w:ascii="Cambria" w:eastAsia="Arial Unicode MS" w:hAnsi="Cambria"/>
          <w:sz w:val="20"/>
          <w:szCs w:val="20"/>
          <w:bdr w:val="nil"/>
          <w:lang w:val="es-VE"/>
        </w:rPr>
      </w:pPr>
      <w:r w:rsidRPr="00937EFE">
        <w:rPr>
          <w:rFonts w:ascii="Cambria" w:eastAsia="Arial Unicode MS" w:hAnsi="Cambria"/>
          <w:sz w:val="20"/>
          <w:szCs w:val="20"/>
          <w:bdr w:val="nil"/>
          <w:lang w:val="es-VE"/>
        </w:rPr>
        <w:t xml:space="preserve">Artículo 1. Concluida ratificación de todos los Magistrados de la República, las Cortes Superiores de Justicia procederán a ratificar a los Secretarios y Relatores de Corte, en el término de sesenta días de concluida la ratificación de los Magistrados. Asimismo, el Tribunal Agrario y el Tribunal Privativo de Trabajo procederán a ratificar a sus Secretarios y Relatores, y a los Secretarios de sus respectivos Juzgados, dentro del término señalado. </w:t>
      </w:r>
    </w:p>
    <w:p w:rsidR="00A168F4" w:rsidRPr="00937EFE" w:rsidRDefault="00A168F4" w:rsidP="00937EFE">
      <w:pPr>
        <w:spacing w:after="0" w:line="240" w:lineRule="auto"/>
        <w:ind w:right="563"/>
        <w:jc w:val="both"/>
        <w:rPr>
          <w:rFonts w:ascii="Cambria" w:eastAsia="Arial Unicode MS" w:hAnsi="Cambria"/>
          <w:sz w:val="20"/>
          <w:szCs w:val="20"/>
          <w:bdr w:val="nil"/>
          <w:lang w:val="es-VE"/>
        </w:rPr>
      </w:pPr>
    </w:p>
    <w:p w:rsidR="000A46BD" w:rsidRPr="00937EFE" w:rsidRDefault="000A46BD" w:rsidP="007016B5">
      <w:pPr>
        <w:spacing w:after="0" w:line="240" w:lineRule="auto"/>
        <w:ind w:left="720" w:right="720"/>
        <w:jc w:val="both"/>
        <w:rPr>
          <w:rFonts w:ascii="Cambria" w:eastAsia="Arial Unicode MS" w:hAnsi="Cambria"/>
          <w:sz w:val="20"/>
          <w:szCs w:val="20"/>
          <w:bdr w:val="nil"/>
          <w:lang w:val="es-VE"/>
        </w:rPr>
      </w:pPr>
      <w:r w:rsidRPr="00937EFE">
        <w:rPr>
          <w:rFonts w:ascii="Cambria" w:eastAsia="Arial Unicode MS" w:hAnsi="Cambria"/>
          <w:sz w:val="20"/>
          <w:szCs w:val="20"/>
          <w:bdr w:val="nil"/>
          <w:lang w:val="es-VE"/>
        </w:rPr>
        <w:t>Artículo 2. Los funcionarios que no fueran ratificados según el artículo precedente, podrán i</w:t>
      </w:r>
      <w:r w:rsidR="00796805" w:rsidRPr="00937EFE">
        <w:rPr>
          <w:rFonts w:ascii="Cambria" w:eastAsia="Arial Unicode MS" w:hAnsi="Cambria"/>
          <w:sz w:val="20"/>
          <w:szCs w:val="20"/>
          <w:bdr w:val="nil"/>
          <w:lang w:val="es-VE"/>
        </w:rPr>
        <w:t>nte</w:t>
      </w:r>
      <w:r w:rsidRPr="00937EFE">
        <w:rPr>
          <w:rFonts w:ascii="Cambria" w:eastAsia="Arial Unicode MS" w:hAnsi="Cambria"/>
          <w:sz w:val="20"/>
          <w:szCs w:val="20"/>
          <w:bdr w:val="nil"/>
          <w:lang w:val="es-VE"/>
        </w:rPr>
        <w:t>r</w:t>
      </w:r>
      <w:r w:rsidR="00796805" w:rsidRPr="00937EFE">
        <w:rPr>
          <w:rFonts w:ascii="Cambria" w:eastAsia="Arial Unicode MS" w:hAnsi="Cambria"/>
          <w:sz w:val="20"/>
          <w:szCs w:val="20"/>
          <w:bdr w:val="nil"/>
          <w:lang w:val="es-VE"/>
        </w:rPr>
        <w:t>p</w:t>
      </w:r>
      <w:r w:rsidRPr="00937EFE">
        <w:rPr>
          <w:rFonts w:ascii="Cambria" w:eastAsia="Arial Unicode MS" w:hAnsi="Cambria"/>
          <w:sz w:val="20"/>
          <w:szCs w:val="20"/>
          <w:bdr w:val="nil"/>
          <w:lang w:val="es-VE"/>
        </w:rPr>
        <w:t>oner el recurso de revisión ante la Corte Suprema, dentro del décimo día de conocida la resolución, cuyo fallo tendrá carác</w:t>
      </w:r>
      <w:r w:rsidR="00FF566A" w:rsidRPr="00937EFE">
        <w:rPr>
          <w:rFonts w:ascii="Cambria" w:eastAsia="Arial Unicode MS" w:hAnsi="Cambria"/>
          <w:sz w:val="20"/>
          <w:szCs w:val="20"/>
          <w:bdr w:val="nil"/>
          <w:lang w:val="es-VE"/>
        </w:rPr>
        <w:t>ter de resolutorio y definitivo</w:t>
      </w:r>
      <w:r w:rsidR="001F4390" w:rsidRPr="00937EFE">
        <w:rPr>
          <w:rFonts w:ascii="Cambria" w:eastAsia="Arial Unicode MS" w:hAnsi="Cambria"/>
          <w:sz w:val="20"/>
          <w:szCs w:val="20"/>
          <w:bdr w:val="nil"/>
          <w:vertAlign w:val="superscript"/>
        </w:rPr>
        <w:footnoteReference w:id="6"/>
      </w:r>
      <w:r w:rsidR="00FF566A" w:rsidRPr="00937EFE">
        <w:rPr>
          <w:rFonts w:ascii="Cambria" w:eastAsia="Arial Unicode MS" w:hAnsi="Cambria"/>
          <w:sz w:val="20"/>
          <w:szCs w:val="20"/>
          <w:bdr w:val="nil"/>
          <w:lang w:val="es-VE"/>
        </w:rPr>
        <w:t>.</w:t>
      </w:r>
    </w:p>
    <w:p w:rsidR="00806847" w:rsidRPr="00937EFE" w:rsidRDefault="00806847" w:rsidP="00937EFE">
      <w:pPr>
        <w:spacing w:after="0" w:line="240" w:lineRule="auto"/>
        <w:ind w:left="720" w:right="720"/>
        <w:jc w:val="both"/>
        <w:rPr>
          <w:rFonts w:ascii="Cambria" w:hAnsi="Cambria"/>
          <w:sz w:val="20"/>
          <w:szCs w:val="20"/>
          <w:lang w:val="es-VE"/>
        </w:rPr>
      </w:pPr>
    </w:p>
    <w:p w:rsidR="000A46BD" w:rsidRPr="00937EFE" w:rsidRDefault="00837072"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El Decreto Supremo N°003-82-JUS de 13 de enero de 1982 estableció el </w:t>
      </w:r>
      <w:r w:rsidR="000A46BD" w:rsidRPr="00937EFE">
        <w:rPr>
          <w:rFonts w:ascii="Cambria" w:hAnsi="Cambria"/>
          <w:sz w:val="20"/>
          <w:szCs w:val="20"/>
          <w:lang w:val="es-VE"/>
        </w:rPr>
        <w:t>procedimiento para llevar a cabo el p</w:t>
      </w:r>
      <w:r w:rsidR="009C600A" w:rsidRPr="00937EFE">
        <w:rPr>
          <w:rFonts w:ascii="Cambria" w:hAnsi="Cambria"/>
          <w:sz w:val="20"/>
          <w:szCs w:val="20"/>
          <w:lang w:val="es-VE"/>
        </w:rPr>
        <w:t>roceso de ratificación de los Secretarios J</w:t>
      </w:r>
      <w:r w:rsidR="000A46BD" w:rsidRPr="00937EFE">
        <w:rPr>
          <w:rFonts w:ascii="Cambria" w:hAnsi="Cambria"/>
          <w:sz w:val="20"/>
          <w:szCs w:val="20"/>
          <w:lang w:val="es-VE"/>
        </w:rPr>
        <w:t>udiciales de la siguiente manera:</w:t>
      </w:r>
    </w:p>
    <w:p w:rsidR="000A46BD" w:rsidRPr="00937EFE" w:rsidRDefault="000A46BD" w:rsidP="00937EFE">
      <w:pPr>
        <w:spacing w:after="0" w:line="240" w:lineRule="auto"/>
        <w:ind w:left="720"/>
        <w:jc w:val="both"/>
        <w:rPr>
          <w:rFonts w:ascii="Cambria" w:hAnsi="Cambria"/>
          <w:sz w:val="20"/>
          <w:szCs w:val="20"/>
          <w:lang w:val="es-VE"/>
        </w:rPr>
      </w:pPr>
    </w:p>
    <w:p w:rsidR="000A46BD" w:rsidRPr="00937EFE" w:rsidRDefault="000A46BD"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Artículo 1. Dentro de los cinco días siguientes a la publicación del presente Reglamento, el Presidente</w:t>
      </w:r>
      <w:r w:rsidR="00837072" w:rsidRPr="00937EFE">
        <w:rPr>
          <w:rFonts w:ascii="Cambria" w:hAnsi="Cambria"/>
          <w:sz w:val="20"/>
          <w:szCs w:val="20"/>
          <w:lang w:val="es-VE"/>
        </w:rPr>
        <w:t xml:space="preserve"> de la respectiva Corte Superior</w:t>
      </w:r>
      <w:r w:rsidRPr="00937EFE">
        <w:rPr>
          <w:rFonts w:ascii="Cambria" w:hAnsi="Cambria"/>
          <w:sz w:val="20"/>
          <w:szCs w:val="20"/>
          <w:lang w:val="es-VE"/>
        </w:rPr>
        <w:t xml:space="preserve"> – o quien lo estuviese reemplazando en el cargo – desi</w:t>
      </w:r>
      <w:r w:rsidR="00837072" w:rsidRPr="00937EFE">
        <w:rPr>
          <w:rFonts w:ascii="Cambria" w:hAnsi="Cambria"/>
          <w:sz w:val="20"/>
          <w:szCs w:val="20"/>
          <w:lang w:val="es-VE"/>
        </w:rPr>
        <w:t>gnará una Comisión i</w:t>
      </w:r>
      <w:r w:rsidRPr="00937EFE">
        <w:rPr>
          <w:rFonts w:ascii="Cambria" w:hAnsi="Cambria"/>
          <w:sz w:val="20"/>
          <w:szCs w:val="20"/>
          <w:lang w:val="es-VE"/>
        </w:rPr>
        <w:t>n</w:t>
      </w:r>
      <w:r w:rsidR="00837072" w:rsidRPr="00937EFE">
        <w:rPr>
          <w:rFonts w:ascii="Cambria" w:hAnsi="Cambria"/>
          <w:sz w:val="20"/>
          <w:szCs w:val="20"/>
          <w:lang w:val="es-VE"/>
        </w:rPr>
        <w:t>t</w:t>
      </w:r>
      <w:r w:rsidRPr="00937EFE">
        <w:rPr>
          <w:rFonts w:ascii="Cambria" w:hAnsi="Cambria"/>
          <w:sz w:val="20"/>
          <w:szCs w:val="20"/>
          <w:lang w:val="es-VE"/>
        </w:rPr>
        <w:t>egrada por no más de siete de los vocales mas a</w:t>
      </w:r>
      <w:r w:rsidR="00837072" w:rsidRPr="00937EFE">
        <w:rPr>
          <w:rFonts w:ascii="Cambria" w:hAnsi="Cambria"/>
          <w:sz w:val="20"/>
          <w:szCs w:val="20"/>
          <w:lang w:val="es-VE"/>
        </w:rPr>
        <w:t>ntiguos, en el caso de Lima […]</w:t>
      </w:r>
    </w:p>
    <w:p w:rsidR="000A46BD" w:rsidRPr="00937EFE" w:rsidRDefault="000A46BD" w:rsidP="007016B5">
      <w:pPr>
        <w:spacing w:after="0" w:line="240" w:lineRule="auto"/>
        <w:ind w:left="720" w:right="720"/>
        <w:jc w:val="both"/>
        <w:rPr>
          <w:rFonts w:ascii="Cambria" w:hAnsi="Cambria"/>
          <w:sz w:val="20"/>
          <w:szCs w:val="20"/>
          <w:lang w:val="es-VE"/>
        </w:rPr>
      </w:pPr>
    </w:p>
    <w:p w:rsidR="000A46BD" w:rsidRPr="00937EFE" w:rsidRDefault="000A46BD"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Artículo 2. Los miembros de la referida Co</w:t>
      </w:r>
      <w:r w:rsidR="00837072" w:rsidRPr="00937EFE">
        <w:rPr>
          <w:rFonts w:ascii="Cambria" w:hAnsi="Cambria"/>
          <w:sz w:val="20"/>
          <w:szCs w:val="20"/>
          <w:lang w:val="es-VE"/>
        </w:rPr>
        <w:t>misión se distribuirán la labor</w:t>
      </w:r>
      <w:r w:rsidRPr="00937EFE">
        <w:rPr>
          <w:rFonts w:ascii="Cambria" w:hAnsi="Cambria"/>
          <w:sz w:val="20"/>
          <w:szCs w:val="20"/>
          <w:lang w:val="es-VE"/>
        </w:rPr>
        <w:t xml:space="preserve"> de manera que se constituyan en las oficinas de los Secretarios de los Juzgados de Primera Instancia en lo Civil, en lo</w:t>
      </w:r>
      <w:r w:rsidR="00837072" w:rsidRPr="00937EFE">
        <w:rPr>
          <w:rFonts w:ascii="Cambria" w:hAnsi="Cambria"/>
          <w:sz w:val="20"/>
          <w:szCs w:val="20"/>
          <w:lang w:val="es-VE"/>
        </w:rPr>
        <w:t xml:space="preserve"> </w:t>
      </w:r>
      <w:r w:rsidRPr="00937EFE">
        <w:rPr>
          <w:rFonts w:ascii="Cambria" w:hAnsi="Cambria"/>
          <w:sz w:val="20"/>
          <w:szCs w:val="20"/>
          <w:lang w:val="es-VE"/>
        </w:rPr>
        <w:t>Penal,</w:t>
      </w:r>
      <w:r w:rsidR="001F4390" w:rsidRPr="00937EFE">
        <w:rPr>
          <w:rFonts w:ascii="Cambria" w:hAnsi="Cambria"/>
          <w:sz w:val="20"/>
          <w:szCs w:val="20"/>
          <w:lang w:val="es-VE"/>
        </w:rPr>
        <w:t xml:space="preserve"> de Menores, Coactivos y de Paz</w:t>
      </w:r>
      <w:r w:rsidRPr="00937EFE">
        <w:rPr>
          <w:rFonts w:ascii="Cambria" w:hAnsi="Cambria"/>
          <w:sz w:val="20"/>
          <w:szCs w:val="20"/>
          <w:lang w:val="es-VE"/>
        </w:rPr>
        <w:t>. Letrados del distrito judicial respectivo. Al con</w:t>
      </w:r>
      <w:r w:rsidR="00706230" w:rsidRPr="00937EFE">
        <w:rPr>
          <w:rFonts w:ascii="Cambria" w:hAnsi="Cambria"/>
          <w:sz w:val="20"/>
          <w:szCs w:val="20"/>
          <w:lang w:val="es-VE"/>
        </w:rPr>
        <w:t>stituirse, el Vocal Comisionado</w:t>
      </w:r>
      <w:r w:rsidRPr="00937EFE">
        <w:rPr>
          <w:rFonts w:ascii="Cambria" w:hAnsi="Cambria"/>
          <w:sz w:val="20"/>
          <w:szCs w:val="20"/>
          <w:lang w:val="es-VE"/>
        </w:rPr>
        <w:t xml:space="preserve"> procederá a: </w:t>
      </w:r>
    </w:p>
    <w:p w:rsidR="00423706" w:rsidRPr="00937EFE" w:rsidRDefault="00423706" w:rsidP="007016B5">
      <w:pPr>
        <w:spacing w:after="0" w:line="240" w:lineRule="auto"/>
        <w:ind w:left="720" w:right="720"/>
        <w:jc w:val="both"/>
        <w:rPr>
          <w:rFonts w:ascii="Cambria" w:hAnsi="Cambria"/>
          <w:sz w:val="20"/>
          <w:szCs w:val="20"/>
          <w:lang w:val="es-VE"/>
        </w:rPr>
      </w:pPr>
    </w:p>
    <w:p w:rsidR="000A46BD" w:rsidRPr="00937EFE" w:rsidRDefault="000A46BD" w:rsidP="007016B5">
      <w:pPr>
        <w:numPr>
          <w:ilvl w:val="1"/>
          <w:numId w:val="2"/>
        </w:numPr>
        <w:tabs>
          <w:tab w:val="clear" w:pos="1800"/>
        </w:tabs>
        <w:spacing w:after="0" w:line="240" w:lineRule="auto"/>
        <w:ind w:left="720" w:right="720" w:firstLine="0"/>
        <w:jc w:val="both"/>
        <w:rPr>
          <w:rFonts w:ascii="Cambria" w:hAnsi="Cambria"/>
          <w:sz w:val="20"/>
          <w:szCs w:val="20"/>
          <w:lang w:val="es-VE"/>
        </w:rPr>
      </w:pPr>
      <w:r w:rsidRPr="00937EFE">
        <w:rPr>
          <w:rFonts w:ascii="Cambria" w:hAnsi="Cambria"/>
          <w:sz w:val="20"/>
          <w:szCs w:val="20"/>
          <w:lang w:val="es-VE"/>
        </w:rPr>
        <w:t>Revisar los expedientes en trámite para el efecto de que</w:t>
      </w:r>
      <w:r w:rsidR="00796805" w:rsidRPr="00937EFE">
        <w:rPr>
          <w:rFonts w:ascii="Cambria" w:hAnsi="Cambria"/>
          <w:sz w:val="20"/>
          <w:szCs w:val="20"/>
          <w:lang w:val="es-VE"/>
        </w:rPr>
        <w:t xml:space="preserve"> al emitir el informe correspond</w:t>
      </w:r>
      <w:r w:rsidRPr="00937EFE">
        <w:rPr>
          <w:rFonts w:ascii="Cambria" w:hAnsi="Cambria"/>
          <w:sz w:val="20"/>
          <w:szCs w:val="20"/>
          <w:lang w:val="es-VE"/>
        </w:rPr>
        <w:t>ient</w:t>
      </w:r>
      <w:r w:rsidR="00484949" w:rsidRPr="00937EFE">
        <w:rPr>
          <w:rFonts w:ascii="Cambria" w:hAnsi="Cambria"/>
          <w:sz w:val="20"/>
          <w:szCs w:val="20"/>
          <w:lang w:val="es-VE"/>
        </w:rPr>
        <w:t>e, dé la más clara idea de la a</w:t>
      </w:r>
      <w:r w:rsidRPr="00937EFE">
        <w:rPr>
          <w:rFonts w:ascii="Cambria" w:hAnsi="Cambria"/>
          <w:sz w:val="20"/>
          <w:szCs w:val="20"/>
          <w:lang w:val="es-VE"/>
        </w:rPr>
        <w:t>c</w:t>
      </w:r>
      <w:r w:rsidR="00484949" w:rsidRPr="00937EFE">
        <w:rPr>
          <w:rFonts w:ascii="Cambria" w:hAnsi="Cambria"/>
          <w:sz w:val="20"/>
          <w:szCs w:val="20"/>
          <w:lang w:val="es-VE"/>
        </w:rPr>
        <w:t>tu</w:t>
      </w:r>
      <w:r w:rsidRPr="00937EFE">
        <w:rPr>
          <w:rFonts w:ascii="Cambria" w:hAnsi="Cambria"/>
          <w:sz w:val="20"/>
          <w:szCs w:val="20"/>
          <w:lang w:val="es-VE"/>
        </w:rPr>
        <w:t>ación del Secretario que tiene a su ca</w:t>
      </w:r>
      <w:r w:rsidR="004352BA" w:rsidRPr="00937EFE">
        <w:rPr>
          <w:rFonts w:ascii="Cambria" w:hAnsi="Cambria"/>
          <w:sz w:val="20"/>
          <w:szCs w:val="20"/>
          <w:lang w:val="es-VE"/>
        </w:rPr>
        <w:t>r</w:t>
      </w:r>
      <w:r w:rsidRPr="00937EFE">
        <w:rPr>
          <w:rFonts w:ascii="Cambria" w:hAnsi="Cambria"/>
          <w:sz w:val="20"/>
          <w:szCs w:val="20"/>
          <w:lang w:val="es-VE"/>
        </w:rPr>
        <w:t>go;</w:t>
      </w:r>
    </w:p>
    <w:p w:rsidR="000A46BD" w:rsidRPr="00937EFE" w:rsidRDefault="000A46BD" w:rsidP="007016B5">
      <w:pPr>
        <w:numPr>
          <w:ilvl w:val="1"/>
          <w:numId w:val="2"/>
        </w:numPr>
        <w:tabs>
          <w:tab w:val="clear" w:pos="1800"/>
        </w:tabs>
        <w:spacing w:after="0" w:line="240" w:lineRule="auto"/>
        <w:ind w:left="720" w:right="720" w:firstLine="0"/>
        <w:jc w:val="both"/>
        <w:rPr>
          <w:rFonts w:ascii="Cambria" w:hAnsi="Cambria"/>
          <w:sz w:val="20"/>
          <w:szCs w:val="20"/>
          <w:lang w:val="es-VE"/>
        </w:rPr>
      </w:pPr>
      <w:r w:rsidRPr="00937EFE">
        <w:rPr>
          <w:rFonts w:ascii="Cambria" w:hAnsi="Cambria"/>
          <w:sz w:val="20"/>
          <w:szCs w:val="20"/>
          <w:lang w:val="es-VE"/>
        </w:rPr>
        <w:t>Precisar los c</w:t>
      </w:r>
      <w:r w:rsidR="00484949" w:rsidRPr="00937EFE">
        <w:rPr>
          <w:rFonts w:ascii="Cambria" w:hAnsi="Cambria"/>
          <w:sz w:val="20"/>
          <w:szCs w:val="20"/>
          <w:lang w:val="es-VE"/>
        </w:rPr>
        <w:t>asos de incumplimiento de las obligaciones legal</w:t>
      </w:r>
      <w:r w:rsidRPr="00937EFE">
        <w:rPr>
          <w:rFonts w:ascii="Cambria" w:hAnsi="Cambria"/>
          <w:sz w:val="20"/>
          <w:szCs w:val="20"/>
          <w:lang w:val="es-VE"/>
        </w:rPr>
        <w:t>es en que hubiese incurri</w:t>
      </w:r>
      <w:r w:rsidR="00484949" w:rsidRPr="00937EFE">
        <w:rPr>
          <w:rFonts w:ascii="Cambria" w:hAnsi="Cambria"/>
          <w:sz w:val="20"/>
          <w:szCs w:val="20"/>
          <w:lang w:val="es-VE"/>
        </w:rPr>
        <w:t>do el Secretar</w:t>
      </w:r>
      <w:r w:rsidRPr="00937EFE">
        <w:rPr>
          <w:rFonts w:ascii="Cambria" w:hAnsi="Cambria"/>
          <w:sz w:val="20"/>
          <w:szCs w:val="20"/>
          <w:lang w:val="es-VE"/>
        </w:rPr>
        <w:t>i</w:t>
      </w:r>
      <w:r w:rsidR="00484949" w:rsidRPr="00937EFE">
        <w:rPr>
          <w:rFonts w:ascii="Cambria" w:hAnsi="Cambria"/>
          <w:sz w:val="20"/>
          <w:szCs w:val="20"/>
          <w:lang w:val="es-VE"/>
        </w:rPr>
        <w:t>o</w:t>
      </w:r>
      <w:r w:rsidRPr="00937EFE">
        <w:rPr>
          <w:rFonts w:ascii="Cambria" w:hAnsi="Cambria"/>
          <w:sz w:val="20"/>
          <w:szCs w:val="20"/>
          <w:lang w:val="es-VE"/>
        </w:rPr>
        <w:t>, exte</w:t>
      </w:r>
      <w:r w:rsidR="00796805" w:rsidRPr="00937EFE">
        <w:rPr>
          <w:rFonts w:ascii="Cambria" w:hAnsi="Cambria"/>
          <w:sz w:val="20"/>
          <w:szCs w:val="20"/>
          <w:lang w:val="es-VE"/>
        </w:rPr>
        <w:t>ndiendo el acta correspondiente, y;</w:t>
      </w:r>
    </w:p>
    <w:p w:rsidR="000A46BD" w:rsidRPr="00937EFE" w:rsidRDefault="000A46BD" w:rsidP="007016B5">
      <w:pPr>
        <w:numPr>
          <w:ilvl w:val="1"/>
          <w:numId w:val="2"/>
        </w:numPr>
        <w:tabs>
          <w:tab w:val="clear" w:pos="1800"/>
        </w:tabs>
        <w:spacing w:after="0" w:line="240" w:lineRule="auto"/>
        <w:ind w:left="720" w:right="720" w:firstLine="0"/>
        <w:jc w:val="both"/>
        <w:rPr>
          <w:rFonts w:ascii="Cambria" w:hAnsi="Cambria"/>
          <w:sz w:val="20"/>
          <w:szCs w:val="20"/>
          <w:lang w:val="es-VE"/>
        </w:rPr>
      </w:pPr>
      <w:r w:rsidRPr="00937EFE">
        <w:rPr>
          <w:rFonts w:ascii="Cambria" w:hAnsi="Cambria"/>
          <w:sz w:val="20"/>
          <w:szCs w:val="20"/>
          <w:lang w:val="es-VE"/>
        </w:rPr>
        <w:t>Obtener informe escrito del Secretario sobre los casos señalados en el inciso precedente y recibirle las pruebas de de</w:t>
      </w:r>
      <w:r w:rsidR="00484949" w:rsidRPr="00937EFE">
        <w:rPr>
          <w:rFonts w:ascii="Cambria" w:hAnsi="Cambria"/>
          <w:sz w:val="20"/>
          <w:szCs w:val="20"/>
          <w:lang w:val="es-VE"/>
        </w:rPr>
        <w:t>scargo a las que hubiere lugar.</w:t>
      </w:r>
    </w:p>
    <w:p w:rsidR="000A46BD" w:rsidRPr="00937EFE" w:rsidRDefault="000A46BD" w:rsidP="007016B5">
      <w:pPr>
        <w:spacing w:after="0" w:line="240" w:lineRule="auto"/>
        <w:ind w:left="720" w:right="720"/>
        <w:jc w:val="both"/>
        <w:rPr>
          <w:rFonts w:ascii="Cambria" w:hAnsi="Cambria"/>
          <w:sz w:val="20"/>
          <w:szCs w:val="20"/>
          <w:lang w:val="es-VE"/>
        </w:rPr>
      </w:pPr>
    </w:p>
    <w:p w:rsidR="000A46BD" w:rsidRPr="00937EFE" w:rsidRDefault="000A46BD"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Artículo 3. El Vocal a que se refiere el artículo pre</w:t>
      </w:r>
      <w:r w:rsidR="00484949" w:rsidRPr="00937EFE">
        <w:rPr>
          <w:rFonts w:ascii="Cambria" w:hAnsi="Cambria"/>
          <w:sz w:val="20"/>
          <w:szCs w:val="20"/>
          <w:lang w:val="es-VE"/>
        </w:rPr>
        <w:t>ce</w:t>
      </w:r>
      <w:r w:rsidRPr="00937EFE">
        <w:rPr>
          <w:rFonts w:ascii="Cambria" w:hAnsi="Cambria"/>
          <w:sz w:val="20"/>
          <w:szCs w:val="20"/>
          <w:lang w:val="es-VE"/>
        </w:rPr>
        <w:t>dente obtendrá de los jueces correspondientes informes escritos sobre la actuación y la conducta de cada uno de los Secretarios adscritos a su Juzgado.</w:t>
      </w:r>
    </w:p>
    <w:p w:rsidR="000A46BD" w:rsidRPr="00937EFE" w:rsidRDefault="000A46BD" w:rsidP="007016B5">
      <w:pPr>
        <w:spacing w:after="0" w:line="240" w:lineRule="auto"/>
        <w:ind w:left="720" w:right="720"/>
        <w:jc w:val="both"/>
        <w:rPr>
          <w:rFonts w:ascii="Cambria" w:hAnsi="Cambria"/>
          <w:sz w:val="20"/>
          <w:szCs w:val="20"/>
          <w:lang w:val="es-VE"/>
        </w:rPr>
      </w:pPr>
    </w:p>
    <w:p w:rsidR="000A46BD" w:rsidRPr="00937EFE" w:rsidRDefault="000A46BD"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Podrán asimis</w:t>
      </w:r>
      <w:r w:rsidR="00484949" w:rsidRPr="00937EFE">
        <w:rPr>
          <w:rFonts w:ascii="Cambria" w:hAnsi="Cambria"/>
          <w:sz w:val="20"/>
          <w:szCs w:val="20"/>
          <w:lang w:val="es-VE"/>
        </w:rPr>
        <w:t>mo, solicitar informes sobre dichos aspectos al Colegio de Abogados del Distrito Jud</w:t>
      </w:r>
      <w:r w:rsidR="00412FB1" w:rsidRPr="00937EFE">
        <w:rPr>
          <w:rFonts w:ascii="Cambria" w:hAnsi="Cambria"/>
          <w:sz w:val="20"/>
          <w:szCs w:val="20"/>
          <w:lang w:val="es-VE"/>
        </w:rPr>
        <w:t>icial, o</w:t>
      </w:r>
      <w:r w:rsidRPr="00937EFE">
        <w:rPr>
          <w:rFonts w:ascii="Cambria" w:hAnsi="Cambria"/>
          <w:sz w:val="20"/>
          <w:szCs w:val="20"/>
          <w:lang w:val="es-VE"/>
        </w:rPr>
        <w:t>, en su caso a la Asociación de Abogados de la provincia y a las inst</w:t>
      </w:r>
      <w:r w:rsidR="00484949" w:rsidRPr="00937EFE">
        <w:rPr>
          <w:rFonts w:ascii="Cambria" w:hAnsi="Cambria"/>
          <w:sz w:val="20"/>
          <w:szCs w:val="20"/>
          <w:lang w:val="es-VE"/>
        </w:rPr>
        <w:t>itu</w:t>
      </w:r>
      <w:r w:rsidRPr="00937EFE">
        <w:rPr>
          <w:rFonts w:ascii="Cambria" w:hAnsi="Cambria"/>
          <w:sz w:val="20"/>
          <w:szCs w:val="20"/>
          <w:lang w:val="es-VE"/>
        </w:rPr>
        <w:t>ciones y p</w:t>
      </w:r>
      <w:r w:rsidR="00484949" w:rsidRPr="00937EFE">
        <w:rPr>
          <w:rFonts w:ascii="Cambria" w:hAnsi="Cambria"/>
          <w:sz w:val="20"/>
          <w:szCs w:val="20"/>
          <w:lang w:val="es-VE"/>
        </w:rPr>
        <w:t>ersonas que creyere c</w:t>
      </w:r>
      <w:r w:rsidR="001F4390" w:rsidRPr="00937EFE">
        <w:rPr>
          <w:rFonts w:ascii="Cambria" w:hAnsi="Cambria"/>
          <w:sz w:val="20"/>
          <w:szCs w:val="20"/>
          <w:lang w:val="es-VE"/>
        </w:rPr>
        <w:t>onve</w:t>
      </w:r>
      <w:r w:rsidR="00484949" w:rsidRPr="00937EFE">
        <w:rPr>
          <w:rFonts w:ascii="Cambria" w:hAnsi="Cambria"/>
          <w:sz w:val="20"/>
          <w:szCs w:val="20"/>
          <w:lang w:val="es-VE"/>
        </w:rPr>
        <w:t>niente</w:t>
      </w:r>
      <w:r w:rsidR="001F4390" w:rsidRPr="00937EFE">
        <w:rPr>
          <w:rStyle w:val="FootnoteReference"/>
          <w:rFonts w:ascii="Cambria" w:hAnsi="Cambria"/>
          <w:sz w:val="20"/>
          <w:szCs w:val="20"/>
          <w:lang w:val="es-VE"/>
        </w:rPr>
        <w:footnoteReference w:id="7"/>
      </w:r>
      <w:r w:rsidR="00601750" w:rsidRPr="00937EFE">
        <w:rPr>
          <w:rFonts w:ascii="Cambria" w:hAnsi="Cambria"/>
          <w:sz w:val="20"/>
          <w:szCs w:val="20"/>
          <w:lang w:val="es-VE"/>
        </w:rPr>
        <w:t xml:space="preserve">  (…).</w:t>
      </w:r>
    </w:p>
    <w:p w:rsidR="00601750" w:rsidRPr="00937EFE" w:rsidRDefault="00601750" w:rsidP="007016B5">
      <w:pPr>
        <w:spacing w:after="0" w:line="240" w:lineRule="auto"/>
        <w:ind w:left="720" w:right="720"/>
        <w:jc w:val="both"/>
        <w:rPr>
          <w:rFonts w:ascii="Cambria" w:hAnsi="Cambria"/>
          <w:sz w:val="20"/>
          <w:szCs w:val="20"/>
          <w:lang w:val="es-VE"/>
        </w:rPr>
      </w:pPr>
    </w:p>
    <w:p w:rsidR="00601750" w:rsidRPr="00937EFE" w:rsidRDefault="00601750"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Artículo 4. Con el acta y los informes a que se refieren los artículos anteriores, el Vocal Comisionado formará un expediente por cada Secretario de Juzgado. Terminada que sea la visita de la provincia, el Vocal Comisionado emitirá su informe escrito al Presidente de la Comisión de qué forma parte</w:t>
      </w:r>
      <w:r w:rsidR="00B53DF4" w:rsidRPr="00937EFE">
        <w:rPr>
          <w:rFonts w:ascii="Cambria" w:hAnsi="Cambria"/>
          <w:sz w:val="20"/>
          <w:szCs w:val="20"/>
          <w:lang w:val="es-VE"/>
        </w:rPr>
        <w:t xml:space="preserve">. Reunida la Comisión (…) elevará al Presidente de la Corte Superior dentro de los treinta días siguientes a la designación de la Comisión. </w:t>
      </w:r>
    </w:p>
    <w:p w:rsidR="00B53DF4" w:rsidRPr="00937EFE" w:rsidRDefault="00B53DF4" w:rsidP="007016B5">
      <w:pPr>
        <w:spacing w:after="0" w:line="240" w:lineRule="auto"/>
        <w:ind w:left="720" w:right="720"/>
        <w:jc w:val="both"/>
        <w:rPr>
          <w:rFonts w:ascii="Cambria" w:hAnsi="Cambria"/>
          <w:sz w:val="20"/>
          <w:szCs w:val="20"/>
          <w:lang w:val="es-VE"/>
        </w:rPr>
      </w:pPr>
    </w:p>
    <w:p w:rsidR="00B53DF4" w:rsidRPr="00937EFE" w:rsidRDefault="00B53DF4"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Artículo 5. Recibido que sea el primer informe provincial de la Comisión, el Presidente de la Corte Superior citará a la Sala Plena para que, en sesión permanente y a</w:t>
      </w:r>
      <w:r w:rsidR="004352BA" w:rsidRPr="00937EFE">
        <w:rPr>
          <w:rFonts w:ascii="Cambria" w:hAnsi="Cambria"/>
          <w:sz w:val="20"/>
          <w:szCs w:val="20"/>
          <w:lang w:val="es-VE"/>
        </w:rPr>
        <w:t xml:space="preserve"> medida que se vayan recibiendo </w:t>
      </w:r>
      <w:r w:rsidRPr="00937EFE">
        <w:rPr>
          <w:rFonts w:ascii="Cambria" w:hAnsi="Cambria"/>
          <w:sz w:val="20"/>
          <w:szCs w:val="20"/>
          <w:lang w:val="es-VE"/>
        </w:rPr>
        <w:t xml:space="preserve">los demás informes provinciales, se pronuncie sobre la ratificación o no ratificación de los Secretarios del Distrito Judicial. </w:t>
      </w:r>
    </w:p>
    <w:p w:rsidR="000A46BD" w:rsidRPr="00937EFE" w:rsidRDefault="000A46BD" w:rsidP="00937EFE">
      <w:pPr>
        <w:spacing w:after="0" w:line="240" w:lineRule="auto"/>
        <w:jc w:val="both"/>
        <w:rPr>
          <w:rFonts w:ascii="Cambria" w:hAnsi="Cambria"/>
          <w:sz w:val="20"/>
          <w:szCs w:val="20"/>
          <w:lang w:val="es-VE"/>
        </w:rPr>
      </w:pPr>
    </w:p>
    <w:p w:rsidR="000A46BD" w:rsidRPr="00937EFE" w:rsidRDefault="000A46BD" w:rsidP="000469B3">
      <w:pPr>
        <w:pStyle w:val="Heading2"/>
        <w:numPr>
          <w:ilvl w:val="0"/>
          <w:numId w:val="5"/>
        </w:numPr>
        <w:ind w:left="720" w:hanging="720"/>
      </w:pPr>
      <w:bookmarkStart w:id="27" w:name="_Toc4595237"/>
      <w:bookmarkStart w:id="28" w:name="_Toc3453776"/>
      <w:r w:rsidRPr="00937EFE">
        <w:t>Proceso de ratificación</w:t>
      </w:r>
      <w:bookmarkEnd w:id="27"/>
      <w:r w:rsidRPr="00937EFE">
        <w:t xml:space="preserve"> </w:t>
      </w:r>
      <w:bookmarkEnd w:id="28"/>
    </w:p>
    <w:p w:rsidR="00F31C58" w:rsidRPr="00937EFE" w:rsidRDefault="00F31C58" w:rsidP="00937EFE">
      <w:pPr>
        <w:spacing w:after="0" w:line="240" w:lineRule="auto"/>
        <w:ind w:left="1440"/>
        <w:jc w:val="both"/>
        <w:rPr>
          <w:rFonts w:ascii="Cambria" w:hAnsi="Cambria"/>
          <w:b/>
          <w:sz w:val="20"/>
          <w:szCs w:val="20"/>
          <w:lang w:val="es-VE"/>
        </w:rPr>
      </w:pPr>
    </w:p>
    <w:p w:rsidR="00374359" w:rsidRPr="00937EFE" w:rsidRDefault="00F31C58" w:rsidP="003203FD">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Según informó la parte peticionaria </w:t>
      </w:r>
      <w:r w:rsidR="00132B9C" w:rsidRPr="00937EFE">
        <w:rPr>
          <w:rFonts w:ascii="Cambria" w:hAnsi="Cambria"/>
          <w:sz w:val="20"/>
          <w:szCs w:val="20"/>
          <w:lang w:val="es-VE"/>
        </w:rPr>
        <w:t>e</w:t>
      </w:r>
      <w:r w:rsidR="00A7244C" w:rsidRPr="00937EFE">
        <w:rPr>
          <w:rFonts w:ascii="Cambria" w:hAnsi="Cambria"/>
          <w:sz w:val="20"/>
          <w:szCs w:val="20"/>
          <w:lang w:val="es-VE"/>
        </w:rPr>
        <w:t>n 1982</w:t>
      </w:r>
      <w:r w:rsidR="00132B9C" w:rsidRPr="00937EFE">
        <w:rPr>
          <w:rFonts w:ascii="Cambria" w:hAnsi="Cambria"/>
          <w:sz w:val="20"/>
          <w:szCs w:val="20"/>
          <w:lang w:val="es-VE"/>
        </w:rPr>
        <w:t xml:space="preserve"> </w:t>
      </w:r>
      <w:r w:rsidR="005D214F" w:rsidRPr="00937EFE">
        <w:rPr>
          <w:rFonts w:ascii="Cambria" w:hAnsi="Cambria"/>
          <w:sz w:val="20"/>
          <w:szCs w:val="20"/>
          <w:lang w:val="es-VE"/>
        </w:rPr>
        <w:t xml:space="preserve">se </w:t>
      </w:r>
      <w:r w:rsidR="00132B9C" w:rsidRPr="00937EFE">
        <w:rPr>
          <w:rFonts w:ascii="Cambria" w:hAnsi="Cambria"/>
          <w:sz w:val="20"/>
          <w:szCs w:val="20"/>
          <w:lang w:val="es-VE"/>
        </w:rPr>
        <w:t xml:space="preserve">inició </w:t>
      </w:r>
      <w:r w:rsidR="00CE6AEC" w:rsidRPr="00937EFE">
        <w:rPr>
          <w:rFonts w:ascii="Cambria" w:hAnsi="Cambria"/>
          <w:sz w:val="20"/>
          <w:szCs w:val="20"/>
          <w:lang w:val="es-VE"/>
        </w:rPr>
        <w:t>su</w:t>
      </w:r>
      <w:r w:rsidR="00132B9C" w:rsidRPr="00937EFE">
        <w:rPr>
          <w:rFonts w:ascii="Cambria" w:hAnsi="Cambria"/>
          <w:sz w:val="20"/>
          <w:szCs w:val="20"/>
          <w:lang w:val="es-VE"/>
        </w:rPr>
        <w:t xml:space="preserve"> proceso de ratificación que culminó con su destitución. </w:t>
      </w:r>
      <w:r w:rsidR="00DE00B2" w:rsidRPr="00937EFE">
        <w:rPr>
          <w:rFonts w:ascii="Cambria" w:hAnsi="Cambria"/>
          <w:sz w:val="20"/>
          <w:szCs w:val="20"/>
          <w:lang w:val="es-VE"/>
        </w:rPr>
        <w:t>De acuerdo con información</w:t>
      </w:r>
      <w:r w:rsidR="00A13B77" w:rsidRPr="00937EFE">
        <w:rPr>
          <w:rFonts w:ascii="Cambria" w:hAnsi="Cambria"/>
          <w:sz w:val="20"/>
          <w:szCs w:val="20"/>
          <w:lang w:val="es-VE"/>
        </w:rPr>
        <w:t xml:space="preserve"> disponible</w:t>
      </w:r>
      <w:r w:rsidR="005D214F" w:rsidRPr="00937EFE">
        <w:rPr>
          <w:rFonts w:ascii="Cambria" w:hAnsi="Cambria"/>
          <w:sz w:val="20"/>
          <w:szCs w:val="20"/>
          <w:lang w:val="es-VE"/>
        </w:rPr>
        <w:t>,</w:t>
      </w:r>
      <w:r w:rsidR="00A13B77" w:rsidRPr="00937EFE">
        <w:rPr>
          <w:rFonts w:ascii="Cambria" w:hAnsi="Cambria"/>
          <w:sz w:val="20"/>
          <w:szCs w:val="20"/>
          <w:lang w:val="es-VE"/>
        </w:rPr>
        <w:t xml:space="preserve"> e</w:t>
      </w:r>
      <w:r w:rsidR="000A46BD" w:rsidRPr="00937EFE">
        <w:rPr>
          <w:rFonts w:ascii="Cambria" w:hAnsi="Cambria"/>
          <w:sz w:val="20"/>
          <w:szCs w:val="20"/>
          <w:lang w:val="es-VE"/>
        </w:rPr>
        <w:t xml:space="preserve">l 13 de septiembre de 1982 se expidió por parte del Fuero de Trabajo y Comunidades Laborales un </w:t>
      </w:r>
      <w:r w:rsidR="00F30181" w:rsidRPr="00937EFE">
        <w:rPr>
          <w:rFonts w:ascii="Cambria" w:hAnsi="Cambria"/>
          <w:sz w:val="20"/>
          <w:szCs w:val="20"/>
          <w:lang w:val="es-VE"/>
        </w:rPr>
        <w:t>acta de no ratificación respecto</w:t>
      </w:r>
      <w:r w:rsidR="000A46BD" w:rsidRPr="00937EFE">
        <w:rPr>
          <w:rFonts w:ascii="Cambria" w:hAnsi="Cambria"/>
          <w:sz w:val="20"/>
          <w:szCs w:val="20"/>
          <w:lang w:val="es-VE"/>
        </w:rPr>
        <w:t xml:space="preserve"> a la señora Norka Moya Solís en su puesto de trabajo de secretaria judicial</w:t>
      </w:r>
      <w:r w:rsidR="001A667F" w:rsidRPr="00937EFE">
        <w:rPr>
          <w:rFonts w:ascii="Cambria" w:hAnsi="Cambria"/>
          <w:sz w:val="20"/>
          <w:szCs w:val="20"/>
          <w:lang w:val="es-VE"/>
        </w:rPr>
        <w:t xml:space="preserve">. </w:t>
      </w:r>
      <w:r w:rsidR="000B6577" w:rsidRPr="00937EFE">
        <w:rPr>
          <w:rFonts w:ascii="Cambria" w:hAnsi="Cambria"/>
          <w:sz w:val="20"/>
          <w:szCs w:val="20"/>
          <w:lang w:val="es-VE"/>
        </w:rPr>
        <w:t>El acta indica</w:t>
      </w:r>
      <w:r w:rsidR="001A667F" w:rsidRPr="00937EFE">
        <w:rPr>
          <w:rFonts w:ascii="Cambria" w:hAnsi="Cambria"/>
          <w:sz w:val="20"/>
          <w:szCs w:val="20"/>
          <w:lang w:val="es-VE"/>
        </w:rPr>
        <w:t xml:space="preserve"> lo siguiente: </w:t>
      </w:r>
    </w:p>
    <w:p w:rsidR="000B6577" w:rsidRPr="00937EFE" w:rsidRDefault="000B6577" w:rsidP="007016B5">
      <w:pPr>
        <w:spacing w:after="0" w:line="240" w:lineRule="auto"/>
        <w:ind w:left="720" w:right="720"/>
        <w:jc w:val="both"/>
        <w:rPr>
          <w:rFonts w:ascii="Cambria" w:hAnsi="Cambria"/>
          <w:sz w:val="20"/>
          <w:szCs w:val="20"/>
          <w:lang w:val="es-VE"/>
        </w:rPr>
      </w:pPr>
    </w:p>
    <w:p w:rsidR="000B6577" w:rsidRPr="00937EFE" w:rsidRDefault="000B6577"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CERTIFICA:</w:t>
      </w:r>
    </w:p>
    <w:p w:rsidR="000B6577" w:rsidRPr="00937EFE" w:rsidRDefault="000B6577" w:rsidP="007016B5">
      <w:pPr>
        <w:spacing w:after="0" w:line="240" w:lineRule="auto"/>
        <w:ind w:left="720" w:right="720"/>
        <w:jc w:val="both"/>
        <w:rPr>
          <w:rFonts w:ascii="Cambria" w:hAnsi="Cambria"/>
          <w:sz w:val="20"/>
          <w:szCs w:val="20"/>
          <w:lang w:val="es-VE"/>
        </w:rPr>
      </w:pPr>
    </w:p>
    <w:p w:rsidR="000B6577" w:rsidRPr="00937EFE" w:rsidRDefault="000B6577"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Que en el L</w:t>
      </w:r>
      <w:r w:rsidR="005D214F" w:rsidRPr="00937EFE">
        <w:rPr>
          <w:rFonts w:ascii="Cambria" w:hAnsi="Cambria"/>
          <w:sz w:val="20"/>
          <w:szCs w:val="20"/>
          <w:lang w:val="es-VE"/>
        </w:rPr>
        <w:t xml:space="preserve">ibro de Acuerdos de Sala Plena N° </w:t>
      </w:r>
      <w:r w:rsidRPr="00937EFE">
        <w:rPr>
          <w:rFonts w:ascii="Cambria" w:hAnsi="Cambria"/>
          <w:sz w:val="20"/>
          <w:szCs w:val="20"/>
          <w:lang w:val="es-VE"/>
        </w:rPr>
        <w:t xml:space="preserve">2 del Fuero de Trabajo y Comunidades Laborales, obra, de fojas </w:t>
      </w:r>
      <w:r w:rsidRPr="00937EFE">
        <w:rPr>
          <w:rFonts w:ascii="Cambria" w:hAnsi="Cambria"/>
          <w:sz w:val="20"/>
          <w:szCs w:val="20"/>
          <w:lang w:val="es-ES_tradnl"/>
        </w:rPr>
        <w:t>[…] a fojas 18, el Acta de Sala Plena de f</w:t>
      </w:r>
      <w:r w:rsidR="00210782" w:rsidRPr="00937EFE">
        <w:rPr>
          <w:rFonts w:ascii="Cambria" w:hAnsi="Cambria"/>
          <w:sz w:val="20"/>
          <w:szCs w:val="20"/>
          <w:lang w:val="es-ES_tradnl"/>
        </w:rPr>
        <w:t>e</w:t>
      </w:r>
      <w:r w:rsidRPr="00937EFE">
        <w:rPr>
          <w:rFonts w:ascii="Cambria" w:hAnsi="Cambria"/>
          <w:sz w:val="20"/>
          <w:szCs w:val="20"/>
          <w:lang w:val="es-ES_tradnl"/>
        </w:rPr>
        <w:t>cha diez de septiembre de 1982, cuyo tenor literal […] es el siguiente:</w:t>
      </w:r>
    </w:p>
    <w:p w:rsidR="000B6577" w:rsidRPr="00937EFE" w:rsidRDefault="000B6577" w:rsidP="007016B5">
      <w:pPr>
        <w:spacing w:after="0" w:line="240" w:lineRule="auto"/>
        <w:ind w:left="720" w:right="720"/>
        <w:jc w:val="both"/>
        <w:rPr>
          <w:rFonts w:ascii="Cambria" w:hAnsi="Cambria"/>
          <w:sz w:val="20"/>
          <w:szCs w:val="20"/>
          <w:lang w:val="es-VE"/>
        </w:rPr>
      </w:pPr>
    </w:p>
    <w:p w:rsidR="001A667F" w:rsidRPr="00937EFE" w:rsidRDefault="0073760A"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ES_tradnl"/>
        </w:rPr>
        <w:t xml:space="preserve">[…] </w:t>
      </w:r>
      <w:r w:rsidR="001A667F" w:rsidRPr="00937EFE">
        <w:rPr>
          <w:rFonts w:ascii="Cambria" w:hAnsi="Cambria"/>
          <w:sz w:val="20"/>
          <w:szCs w:val="20"/>
          <w:lang w:val="es-ES_tradnl"/>
        </w:rPr>
        <w:t>se reunieron en […] Sala Plena, bajo la Presidencia del doctor Pedro Pablo Gutierrez Ferreyra, los señora Vocales del Tribunal de Trabajo y Comunidades Laborales, doctores Luis Felipe Barrientos, Sara Collazos de Manchego, Juan Parra Solís, Gonzalo Iturry Iturry, Victoria […]</w:t>
      </w:r>
      <w:r w:rsidR="001A667F" w:rsidRPr="00937EFE">
        <w:rPr>
          <w:rFonts w:ascii="Cambria" w:hAnsi="Cambria"/>
          <w:sz w:val="20"/>
          <w:szCs w:val="20"/>
          <w:lang w:val="es-VE"/>
        </w:rPr>
        <w:t xml:space="preserve"> </w:t>
      </w:r>
      <w:r w:rsidR="001A667F" w:rsidRPr="00937EFE">
        <w:rPr>
          <w:rFonts w:ascii="Cambria" w:hAnsi="Cambria"/>
          <w:sz w:val="20"/>
          <w:szCs w:val="20"/>
          <w:lang w:val="es-ES_tradnl"/>
        </w:rPr>
        <w:t xml:space="preserve"> de Fuertes, Felipe […], Eduardo Gutierrez Ballón, Jaime Beltrán Quirosa y Edmundo Villecorte Ramirez; actuando en esta oportunidad como secretario el último de los Vocales mencionados por ser el menos antiguo. Abrió la reunión el Presidente manifestando que […] la Sala Plena era dar cumplimiento a la Ley N°23369, sobre la </w:t>
      </w:r>
      <w:r w:rsidR="000B6577" w:rsidRPr="00937EFE">
        <w:rPr>
          <w:rFonts w:ascii="Cambria" w:hAnsi="Cambria"/>
          <w:sz w:val="20"/>
          <w:szCs w:val="20"/>
          <w:lang w:val="es-ES_tradnl"/>
        </w:rPr>
        <w:t xml:space="preserve">ratificación de los </w:t>
      </w:r>
      <w:r w:rsidR="005D214F" w:rsidRPr="00937EFE">
        <w:rPr>
          <w:rFonts w:ascii="Cambria" w:hAnsi="Cambria"/>
          <w:sz w:val="20"/>
          <w:szCs w:val="20"/>
          <w:lang w:val="es-ES_tradnl"/>
        </w:rPr>
        <w:t>[…] y secretarios  del Tribunal</w:t>
      </w:r>
      <w:r w:rsidR="000B6577" w:rsidRPr="00937EFE">
        <w:rPr>
          <w:rFonts w:ascii="Cambria" w:hAnsi="Cambria"/>
          <w:sz w:val="20"/>
          <w:szCs w:val="20"/>
          <w:lang w:val="es-ES_tradnl"/>
        </w:rPr>
        <w:t xml:space="preserve"> de Trabajo y Comunidades Laborales de toda la […] pública, (PARTE PERTINENTE) Sra. NORKA MOYA DE ROCHA, tiene informe favorable en parte; se informó a la Sala que la referida secretaria tiene deudas económicas que alcanzan </w:t>
      </w:r>
      <w:r w:rsidR="005D214F" w:rsidRPr="00937EFE">
        <w:rPr>
          <w:rFonts w:ascii="Cambria" w:hAnsi="Cambria"/>
          <w:sz w:val="20"/>
          <w:szCs w:val="20"/>
          <w:lang w:val="es-ES_tradnl"/>
        </w:rPr>
        <w:t>la suma de […] aproximadamente,</w:t>
      </w:r>
      <w:r w:rsidR="000B6577" w:rsidRPr="00937EFE">
        <w:rPr>
          <w:rFonts w:ascii="Cambria" w:hAnsi="Cambria"/>
          <w:sz w:val="20"/>
          <w:szCs w:val="20"/>
          <w:lang w:val="es-ES_tradnl"/>
        </w:rPr>
        <w:t xml:space="preserve"> y prueba de ellos sería la […] planteada por ante la Comisión de Ratificaciones por trabajadora del Fuero. Asimismo, se informó que la señora Moya, tenía negocio propio, el mis</w:t>
      </w:r>
      <w:r w:rsidR="004352BA" w:rsidRPr="00937EFE">
        <w:rPr>
          <w:rFonts w:ascii="Cambria" w:hAnsi="Cambria"/>
          <w:sz w:val="20"/>
          <w:szCs w:val="20"/>
          <w:lang w:val="es-ES_tradnl"/>
        </w:rPr>
        <w:t>m</w:t>
      </w:r>
      <w:r w:rsidR="000B6577" w:rsidRPr="00937EFE">
        <w:rPr>
          <w:rFonts w:ascii="Cambria" w:hAnsi="Cambria"/>
          <w:sz w:val="20"/>
          <w:szCs w:val="20"/>
          <w:lang w:val="es-ES_tradnl"/>
        </w:rPr>
        <w:t xml:space="preserve">o que le </w:t>
      </w:r>
      <w:r w:rsidR="005D214F" w:rsidRPr="00937EFE">
        <w:rPr>
          <w:rFonts w:ascii="Cambria" w:hAnsi="Cambria"/>
          <w:sz w:val="20"/>
          <w:szCs w:val="20"/>
          <w:lang w:val="es-ES_tradnl"/>
        </w:rPr>
        <w:t xml:space="preserve">absorbía [sic] tiempo. </w:t>
      </w:r>
      <w:r w:rsidR="00210782" w:rsidRPr="00937EFE">
        <w:rPr>
          <w:rFonts w:ascii="Cambria" w:hAnsi="Cambria"/>
          <w:sz w:val="20"/>
          <w:szCs w:val="20"/>
          <w:lang w:val="es-ES_tradnl"/>
        </w:rPr>
        <w:t>A continuación se procedió a la votación</w:t>
      </w:r>
      <w:r w:rsidR="00210782" w:rsidRPr="00937EFE">
        <w:rPr>
          <w:rFonts w:ascii="Cambria" w:hAnsi="Cambria"/>
          <w:sz w:val="20"/>
          <w:szCs w:val="20"/>
          <w:lang w:val="es-VE"/>
        </w:rPr>
        <w:t>: obteniendo 5 balotas blancas contra 5 negras (NO RATIFICADA)</w:t>
      </w:r>
      <w:r w:rsidR="00210782" w:rsidRPr="00937EFE">
        <w:rPr>
          <w:rStyle w:val="FootnoteReference"/>
          <w:rFonts w:ascii="Cambria" w:hAnsi="Cambria"/>
          <w:sz w:val="20"/>
          <w:szCs w:val="20"/>
          <w:lang w:val="es-VE"/>
        </w:rPr>
        <w:footnoteReference w:id="8"/>
      </w:r>
      <w:r w:rsidR="00210782" w:rsidRPr="00937EFE">
        <w:rPr>
          <w:rFonts w:ascii="Cambria" w:hAnsi="Cambria"/>
          <w:sz w:val="20"/>
          <w:szCs w:val="20"/>
          <w:lang w:val="es-VE"/>
        </w:rPr>
        <w:t>.</w:t>
      </w:r>
    </w:p>
    <w:p w:rsidR="00A7244C" w:rsidRPr="00937EFE" w:rsidRDefault="000B6577" w:rsidP="00937EFE">
      <w:pPr>
        <w:spacing w:after="0" w:line="240" w:lineRule="auto"/>
        <w:ind w:right="720"/>
        <w:jc w:val="both"/>
        <w:rPr>
          <w:rFonts w:ascii="Cambria" w:hAnsi="Cambria"/>
          <w:sz w:val="20"/>
          <w:szCs w:val="20"/>
          <w:lang w:val="es-VE"/>
        </w:rPr>
      </w:pPr>
      <w:r w:rsidRPr="00937EFE">
        <w:rPr>
          <w:rFonts w:ascii="Cambria" w:hAnsi="Cambria"/>
          <w:sz w:val="20"/>
          <w:szCs w:val="20"/>
          <w:lang w:val="es-VE"/>
        </w:rPr>
        <w:t xml:space="preserve"> </w:t>
      </w:r>
    </w:p>
    <w:p w:rsidR="00021888" w:rsidRPr="00937EFE" w:rsidRDefault="00A13B77"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La parte peticionaria argumentó</w:t>
      </w:r>
      <w:r w:rsidR="00021888" w:rsidRPr="00937EFE">
        <w:rPr>
          <w:rFonts w:ascii="Cambria" w:hAnsi="Cambria"/>
          <w:sz w:val="20"/>
          <w:szCs w:val="20"/>
          <w:lang w:val="es-VE"/>
        </w:rPr>
        <w:t xml:space="preserve"> que dicha decisión no le fue notificada. El Estado no controvirtió tal afirmación. </w:t>
      </w:r>
    </w:p>
    <w:p w:rsidR="006B2276" w:rsidRPr="00937EFE" w:rsidRDefault="006B2276" w:rsidP="00937EFE">
      <w:pPr>
        <w:spacing w:after="0" w:line="240" w:lineRule="auto"/>
        <w:ind w:right="720"/>
        <w:jc w:val="both"/>
        <w:rPr>
          <w:rFonts w:ascii="Cambria" w:hAnsi="Cambria"/>
          <w:sz w:val="20"/>
          <w:szCs w:val="20"/>
          <w:lang w:val="es-VE"/>
        </w:rPr>
      </w:pPr>
    </w:p>
    <w:p w:rsidR="006B2276" w:rsidRPr="00937EFE" w:rsidRDefault="006B2276" w:rsidP="00937EFE">
      <w:pPr>
        <w:spacing w:after="0" w:line="240" w:lineRule="auto"/>
        <w:ind w:right="720"/>
        <w:jc w:val="both"/>
        <w:rPr>
          <w:rFonts w:ascii="Cambria" w:hAnsi="Cambria"/>
          <w:sz w:val="20"/>
          <w:szCs w:val="20"/>
          <w:lang w:val="es-VE"/>
        </w:rPr>
      </w:pPr>
    </w:p>
    <w:p w:rsidR="00374359" w:rsidRPr="00937EFE" w:rsidRDefault="00374359" w:rsidP="007016B5">
      <w:pPr>
        <w:numPr>
          <w:ilvl w:val="0"/>
          <w:numId w:val="27"/>
        </w:numPr>
        <w:spacing w:after="0" w:line="240" w:lineRule="auto"/>
        <w:ind w:left="720" w:hanging="720"/>
        <w:jc w:val="both"/>
        <w:rPr>
          <w:rFonts w:ascii="Cambria" w:hAnsi="Cambria"/>
          <w:b/>
          <w:sz w:val="20"/>
          <w:szCs w:val="20"/>
          <w:lang w:val="es-VE"/>
        </w:rPr>
      </w:pPr>
      <w:r w:rsidRPr="00937EFE">
        <w:rPr>
          <w:rFonts w:ascii="Cambria" w:hAnsi="Cambria"/>
          <w:b/>
          <w:sz w:val="20"/>
          <w:szCs w:val="20"/>
          <w:lang w:val="es-VE"/>
        </w:rPr>
        <w:t>Recurso de revisión</w:t>
      </w:r>
    </w:p>
    <w:p w:rsidR="00374359" w:rsidRPr="00937EFE" w:rsidRDefault="00374359" w:rsidP="00937EFE">
      <w:pPr>
        <w:spacing w:after="0" w:line="240" w:lineRule="auto"/>
        <w:jc w:val="both"/>
        <w:rPr>
          <w:rFonts w:ascii="Cambria" w:hAnsi="Cambria"/>
          <w:sz w:val="20"/>
          <w:szCs w:val="20"/>
          <w:lang w:val="es-VE"/>
        </w:rPr>
      </w:pPr>
    </w:p>
    <w:p w:rsidR="006B2276" w:rsidRPr="00937EFE" w:rsidRDefault="000A46BD"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El 21 de septiembre de 1982 la parte peticionaria </w:t>
      </w:r>
      <w:r w:rsidR="00D92508" w:rsidRPr="00937EFE">
        <w:rPr>
          <w:rFonts w:ascii="Cambria" w:hAnsi="Cambria"/>
          <w:sz w:val="20"/>
          <w:szCs w:val="20"/>
          <w:lang w:val="es-VE"/>
        </w:rPr>
        <w:t xml:space="preserve">interpuso recurso de </w:t>
      </w:r>
      <w:r w:rsidRPr="00937EFE">
        <w:rPr>
          <w:rFonts w:ascii="Cambria" w:hAnsi="Cambria"/>
          <w:sz w:val="20"/>
          <w:szCs w:val="20"/>
          <w:lang w:val="es-VE"/>
        </w:rPr>
        <w:t xml:space="preserve">revisión ante la Corte Suprema de Justicia </w:t>
      </w:r>
      <w:r w:rsidR="00D92508" w:rsidRPr="00937EFE">
        <w:rPr>
          <w:rFonts w:ascii="Cambria" w:hAnsi="Cambria"/>
          <w:sz w:val="20"/>
          <w:szCs w:val="20"/>
          <w:lang w:val="es-VE"/>
        </w:rPr>
        <w:t>argumentando</w:t>
      </w:r>
      <w:r w:rsidRPr="00937EFE">
        <w:rPr>
          <w:rFonts w:ascii="Cambria" w:hAnsi="Cambria"/>
          <w:sz w:val="20"/>
          <w:szCs w:val="20"/>
          <w:lang w:val="es-VE"/>
        </w:rPr>
        <w:t xml:space="preserve"> </w:t>
      </w:r>
      <w:r w:rsidR="00D92508" w:rsidRPr="00937EFE">
        <w:rPr>
          <w:rFonts w:ascii="Cambria" w:hAnsi="Cambria"/>
          <w:sz w:val="20"/>
          <w:szCs w:val="20"/>
          <w:lang w:val="es-VE"/>
        </w:rPr>
        <w:t xml:space="preserve">que </w:t>
      </w:r>
      <w:r w:rsidRPr="00937EFE">
        <w:rPr>
          <w:rFonts w:ascii="Cambria" w:hAnsi="Cambria"/>
          <w:sz w:val="20"/>
          <w:szCs w:val="20"/>
          <w:lang w:val="es-VE"/>
        </w:rPr>
        <w:t xml:space="preserve">la prestación de sus servicios había sido </w:t>
      </w:r>
      <w:r w:rsidR="004A2443" w:rsidRPr="00937EFE">
        <w:rPr>
          <w:rFonts w:ascii="Cambria" w:hAnsi="Cambria"/>
          <w:sz w:val="20"/>
          <w:szCs w:val="20"/>
          <w:lang w:val="es-VE"/>
        </w:rPr>
        <w:t>“</w:t>
      </w:r>
      <w:r w:rsidRPr="00937EFE">
        <w:rPr>
          <w:rFonts w:ascii="Cambria" w:hAnsi="Cambria"/>
          <w:sz w:val="20"/>
          <w:szCs w:val="20"/>
          <w:lang w:val="es-VE"/>
        </w:rPr>
        <w:t>excelente</w:t>
      </w:r>
      <w:r w:rsidR="004A2443" w:rsidRPr="00937EFE">
        <w:rPr>
          <w:rFonts w:ascii="Cambria" w:hAnsi="Cambria"/>
          <w:sz w:val="20"/>
          <w:szCs w:val="20"/>
          <w:lang w:val="es-VE"/>
        </w:rPr>
        <w:t>”</w:t>
      </w:r>
      <w:r w:rsidRPr="00937EFE">
        <w:rPr>
          <w:rFonts w:ascii="Cambria" w:hAnsi="Cambria"/>
          <w:sz w:val="20"/>
          <w:szCs w:val="20"/>
          <w:lang w:val="es-VE"/>
        </w:rPr>
        <w:t xml:space="preserve">, que </w:t>
      </w:r>
      <w:r w:rsidR="00D92508" w:rsidRPr="00937EFE">
        <w:rPr>
          <w:rFonts w:ascii="Cambria" w:hAnsi="Cambria"/>
          <w:sz w:val="20"/>
          <w:szCs w:val="20"/>
          <w:lang w:val="es-VE"/>
        </w:rPr>
        <w:t xml:space="preserve">en </w:t>
      </w:r>
      <w:r w:rsidRPr="00937EFE">
        <w:rPr>
          <w:rFonts w:ascii="Cambria" w:hAnsi="Cambria"/>
          <w:sz w:val="20"/>
          <w:szCs w:val="20"/>
          <w:lang w:val="es-VE"/>
        </w:rPr>
        <w:t>el proceso de ratificación</w:t>
      </w:r>
      <w:r w:rsidR="00D92508" w:rsidRPr="00937EFE">
        <w:rPr>
          <w:rFonts w:ascii="Cambria" w:hAnsi="Cambria"/>
          <w:sz w:val="20"/>
          <w:szCs w:val="20"/>
          <w:lang w:val="es-VE"/>
        </w:rPr>
        <w:t xml:space="preserve"> no tuvo la oportunidad de presentar pruebas y que pese a </w:t>
      </w:r>
      <w:r w:rsidRPr="00937EFE">
        <w:rPr>
          <w:rFonts w:ascii="Cambria" w:hAnsi="Cambria"/>
          <w:sz w:val="20"/>
          <w:szCs w:val="20"/>
          <w:lang w:val="es-VE"/>
        </w:rPr>
        <w:t xml:space="preserve">haber solicitado una copia del acta de la reunión donde se </w:t>
      </w:r>
      <w:r w:rsidR="00013E9D" w:rsidRPr="00937EFE">
        <w:rPr>
          <w:rFonts w:ascii="Cambria" w:hAnsi="Cambria"/>
          <w:sz w:val="20"/>
          <w:szCs w:val="20"/>
          <w:lang w:val="es-VE"/>
        </w:rPr>
        <w:t>evaluó su desempeño como secretaria judicial</w:t>
      </w:r>
      <w:r w:rsidR="00210782" w:rsidRPr="00937EFE">
        <w:rPr>
          <w:rFonts w:ascii="Cambria" w:hAnsi="Cambria"/>
          <w:sz w:val="20"/>
          <w:szCs w:val="20"/>
          <w:lang w:val="es-VE"/>
        </w:rPr>
        <w:t>, esta nunca le fue entregada</w:t>
      </w:r>
      <w:r w:rsidR="00417355" w:rsidRPr="00937EFE">
        <w:rPr>
          <w:rStyle w:val="FootnoteReference"/>
          <w:rFonts w:ascii="Cambria" w:hAnsi="Cambria"/>
          <w:sz w:val="20"/>
          <w:szCs w:val="20"/>
          <w:lang w:val="es-VE"/>
        </w:rPr>
        <w:footnoteReference w:id="9"/>
      </w:r>
      <w:r w:rsidR="00D92508" w:rsidRPr="00937EFE">
        <w:rPr>
          <w:rFonts w:ascii="Cambria" w:hAnsi="Cambria"/>
          <w:sz w:val="20"/>
          <w:szCs w:val="20"/>
          <w:lang w:val="es-VE"/>
        </w:rPr>
        <w:t xml:space="preserve">. </w:t>
      </w:r>
    </w:p>
    <w:p w:rsidR="006B2276" w:rsidRPr="00937EFE" w:rsidRDefault="006B2276" w:rsidP="00937EFE">
      <w:pPr>
        <w:spacing w:after="0" w:line="240" w:lineRule="auto"/>
        <w:jc w:val="both"/>
        <w:rPr>
          <w:rFonts w:ascii="Cambria" w:hAnsi="Cambria"/>
          <w:sz w:val="20"/>
          <w:szCs w:val="20"/>
          <w:lang w:val="es-VE"/>
        </w:rPr>
      </w:pPr>
    </w:p>
    <w:p w:rsidR="00210782" w:rsidRPr="00937EFE" w:rsidRDefault="00210782"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El 12 de octubre de 1983</w:t>
      </w:r>
      <w:r w:rsidR="000A46BD" w:rsidRPr="00937EFE">
        <w:rPr>
          <w:rFonts w:ascii="Cambria" w:hAnsi="Cambria"/>
          <w:sz w:val="20"/>
          <w:szCs w:val="20"/>
          <w:lang w:val="es-VE"/>
        </w:rPr>
        <w:t xml:space="preserve"> la Sala Plena Laboral de la Corte S</w:t>
      </w:r>
      <w:r w:rsidR="00113DD5" w:rsidRPr="00937EFE">
        <w:rPr>
          <w:rFonts w:ascii="Cambria" w:hAnsi="Cambria"/>
          <w:sz w:val="20"/>
          <w:szCs w:val="20"/>
          <w:lang w:val="es-VE"/>
        </w:rPr>
        <w:t>uprema de Justicia declaró</w:t>
      </w:r>
      <w:r w:rsidR="000A46BD" w:rsidRPr="00937EFE">
        <w:rPr>
          <w:rFonts w:ascii="Cambria" w:hAnsi="Cambria"/>
          <w:sz w:val="20"/>
          <w:szCs w:val="20"/>
          <w:lang w:val="es-VE"/>
        </w:rPr>
        <w:t xml:space="preserve"> como infundado el recurso de Revisión interpuesto por la señora Moya Solís. </w:t>
      </w:r>
      <w:r w:rsidRPr="00937EFE">
        <w:rPr>
          <w:rFonts w:ascii="Cambria" w:hAnsi="Cambria"/>
          <w:sz w:val="20"/>
          <w:szCs w:val="20"/>
          <w:lang w:val="es-VE"/>
        </w:rPr>
        <w:t xml:space="preserve"> En dicha decisión indicó lo siguiente: </w:t>
      </w:r>
    </w:p>
    <w:p w:rsidR="00965684" w:rsidRPr="00937EFE" w:rsidRDefault="00965684" w:rsidP="00937EFE">
      <w:pPr>
        <w:spacing w:after="0" w:line="240" w:lineRule="auto"/>
        <w:ind w:left="720"/>
        <w:jc w:val="both"/>
        <w:rPr>
          <w:rFonts w:ascii="Cambria" w:hAnsi="Cambria"/>
          <w:sz w:val="20"/>
          <w:szCs w:val="20"/>
          <w:lang w:val="es-VE"/>
        </w:rPr>
      </w:pPr>
    </w:p>
    <w:p w:rsidR="000A46BD" w:rsidRPr="00937EFE" w:rsidRDefault="00965684" w:rsidP="00937EFE">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Vis</w:t>
      </w:r>
      <w:r w:rsidR="00F776C2" w:rsidRPr="00937EFE">
        <w:rPr>
          <w:rFonts w:ascii="Cambria" w:hAnsi="Cambria"/>
          <w:sz w:val="20"/>
          <w:szCs w:val="20"/>
          <w:lang w:val="es-VE"/>
        </w:rPr>
        <w:t xml:space="preserve">to el recurso de revisión interpuesto por doña Norka Moya Solís de Rocha contra el acuerdo de Sala Plena del Tribunal de Trabajo y comunidades Laborales, que resuelve no ratificarla en el cargo de Secretaria </w:t>
      </w:r>
      <w:r w:rsidR="00C92488" w:rsidRPr="00937EFE">
        <w:rPr>
          <w:rFonts w:ascii="Cambria" w:hAnsi="Cambria"/>
          <w:sz w:val="20"/>
          <w:szCs w:val="20"/>
          <w:lang w:val="es-VE"/>
        </w:rPr>
        <w:t>del Décimo Juzgado Privativo de</w:t>
      </w:r>
      <w:r w:rsidR="00F776C2" w:rsidRPr="00937EFE">
        <w:rPr>
          <w:rFonts w:ascii="Cambria" w:hAnsi="Cambria"/>
          <w:sz w:val="20"/>
          <w:szCs w:val="20"/>
          <w:lang w:val="es-VE"/>
        </w:rPr>
        <w:t xml:space="preserve"> Trabajo y Comunidades Laborales de Lima; CONSIDERANDO: que, de los actuados que se tienen a la vista, que originaron la no ratificación de la recurrente, se desprende que</w:t>
      </w:r>
      <w:r w:rsidRPr="00937EFE">
        <w:rPr>
          <w:rFonts w:ascii="Cambria" w:hAnsi="Cambria"/>
          <w:sz w:val="20"/>
          <w:szCs w:val="20"/>
          <w:lang w:val="es-VE"/>
        </w:rPr>
        <w:t xml:space="preserve"> </w:t>
      </w:r>
      <w:r w:rsidR="00F776C2" w:rsidRPr="00937EFE">
        <w:rPr>
          <w:rFonts w:ascii="Cambria" w:hAnsi="Cambria"/>
          <w:sz w:val="20"/>
          <w:szCs w:val="20"/>
          <w:lang w:val="es-VE"/>
        </w:rPr>
        <w:t xml:space="preserve">la Comisión de Ratificaciones comprobó serias deficiencias en el desempeño de sus funciones, constatándose </w:t>
      </w:r>
      <w:r w:rsidR="00427380" w:rsidRPr="00937EFE">
        <w:rPr>
          <w:rFonts w:ascii="Cambria" w:hAnsi="Cambria"/>
          <w:sz w:val="20"/>
          <w:szCs w:val="20"/>
          <w:lang w:val="es-VE"/>
        </w:rPr>
        <w:t>que en un acta no llevaba  la fi</w:t>
      </w:r>
      <w:r w:rsidR="00F776C2" w:rsidRPr="00937EFE">
        <w:rPr>
          <w:rFonts w:ascii="Cambria" w:hAnsi="Cambria"/>
          <w:sz w:val="20"/>
          <w:szCs w:val="20"/>
          <w:lang w:val="es-VE"/>
        </w:rPr>
        <w:t>rma de</w:t>
      </w:r>
      <w:r w:rsidR="004A2443" w:rsidRPr="00937EFE">
        <w:rPr>
          <w:rFonts w:ascii="Cambria" w:hAnsi="Cambria"/>
          <w:sz w:val="20"/>
          <w:szCs w:val="20"/>
          <w:lang w:val="es-VE"/>
        </w:rPr>
        <w:t>l juez, pero sí de la secretaria</w:t>
      </w:r>
      <w:r w:rsidR="00F776C2" w:rsidRPr="00937EFE">
        <w:rPr>
          <w:rFonts w:ascii="Cambria" w:hAnsi="Cambria"/>
          <w:sz w:val="20"/>
          <w:szCs w:val="20"/>
          <w:lang w:val="es-VE"/>
        </w:rPr>
        <w:t xml:space="preserve">; haber autorizado una constancia de notificación cuando del expediente no aparece fecha de </w:t>
      </w:r>
      <w:r w:rsidRPr="00937EFE">
        <w:rPr>
          <w:rFonts w:ascii="Cambria" w:hAnsi="Cambria"/>
          <w:sz w:val="20"/>
          <w:szCs w:val="20"/>
          <w:lang w:val="es-VE"/>
        </w:rPr>
        <w:t>notificación</w:t>
      </w:r>
      <w:r w:rsidR="00F776C2" w:rsidRPr="00937EFE">
        <w:rPr>
          <w:rFonts w:ascii="Cambria" w:hAnsi="Cambria"/>
          <w:sz w:val="20"/>
          <w:szCs w:val="20"/>
          <w:lang w:val="es-VE"/>
        </w:rPr>
        <w:t xml:space="preserve">; no haber cumplido con pasar los oficios que estaban ordenados en autos; haber omitido anotar las fechas en que se realizan las consignaciones; así como de las entregas y no anotar el </w:t>
      </w:r>
      <w:r w:rsidRPr="00937EFE">
        <w:rPr>
          <w:rFonts w:ascii="Cambria" w:hAnsi="Cambria"/>
          <w:sz w:val="20"/>
          <w:szCs w:val="20"/>
          <w:lang w:val="es-VE"/>
        </w:rPr>
        <w:t>número</w:t>
      </w:r>
      <w:r w:rsidR="00F776C2" w:rsidRPr="00937EFE">
        <w:rPr>
          <w:rFonts w:ascii="Cambria" w:hAnsi="Cambria"/>
          <w:sz w:val="20"/>
          <w:szCs w:val="20"/>
          <w:lang w:val="es-VE"/>
        </w:rPr>
        <w:t xml:space="preserve"> del certificado ni la cantidad; por lo tanto la recurrente no ha cumplido a cabalidad el desempeño de sus funciones; asimismo, la recurrente no cumple con abonar las deudas contraídas, situación que daña la imagen del Tribunal; de conformidad con los informado por el señor Ugarte del Pino, y estando a lo acordado </w:t>
      </w:r>
      <w:r w:rsidR="004A2443" w:rsidRPr="00937EFE">
        <w:rPr>
          <w:rFonts w:ascii="Cambria" w:hAnsi="Cambria"/>
          <w:sz w:val="20"/>
          <w:szCs w:val="20"/>
          <w:lang w:val="es-VE"/>
        </w:rPr>
        <w:t>e</w:t>
      </w:r>
      <w:r w:rsidR="00F776C2" w:rsidRPr="00937EFE">
        <w:rPr>
          <w:rFonts w:ascii="Cambria" w:hAnsi="Cambria"/>
          <w:sz w:val="20"/>
          <w:szCs w:val="20"/>
          <w:lang w:val="es-VE"/>
        </w:rPr>
        <w:t>n sesión de Sala Plena de la fecha, SE RESUELVE: Declarar infundado el recurso de revisión interpuesto por la seño</w:t>
      </w:r>
      <w:r w:rsidR="004A2443" w:rsidRPr="00937EFE">
        <w:rPr>
          <w:rFonts w:ascii="Cambria" w:hAnsi="Cambria"/>
          <w:sz w:val="20"/>
          <w:szCs w:val="20"/>
          <w:lang w:val="es-VE"/>
        </w:rPr>
        <w:t>ra Norka Moya Solís de la ROCHA</w:t>
      </w:r>
      <w:r w:rsidR="000A46BD" w:rsidRPr="00937EFE">
        <w:rPr>
          <w:rStyle w:val="FootnoteReference"/>
          <w:rFonts w:ascii="Cambria" w:hAnsi="Cambria"/>
          <w:sz w:val="20"/>
          <w:szCs w:val="20"/>
          <w:lang w:val="es-VE"/>
        </w:rPr>
        <w:footnoteReference w:id="10"/>
      </w:r>
      <w:r w:rsidR="00E607F8" w:rsidRPr="00937EFE">
        <w:rPr>
          <w:rFonts w:ascii="Cambria" w:hAnsi="Cambria"/>
          <w:sz w:val="20"/>
          <w:szCs w:val="20"/>
          <w:lang w:val="es-VE"/>
        </w:rPr>
        <w:t xml:space="preserve"> .</w:t>
      </w:r>
    </w:p>
    <w:p w:rsidR="00E607F8" w:rsidRPr="00937EFE" w:rsidRDefault="00E607F8" w:rsidP="00937EFE">
      <w:pPr>
        <w:spacing w:after="0" w:line="240" w:lineRule="auto"/>
        <w:ind w:left="1440"/>
        <w:jc w:val="both"/>
        <w:rPr>
          <w:rFonts w:ascii="Cambria" w:hAnsi="Cambria"/>
          <w:sz w:val="20"/>
          <w:szCs w:val="20"/>
          <w:lang w:val="es-VE"/>
        </w:rPr>
      </w:pPr>
    </w:p>
    <w:p w:rsidR="000A46BD" w:rsidRPr="00937EFE" w:rsidRDefault="000A46BD" w:rsidP="003203FD">
      <w:pPr>
        <w:numPr>
          <w:ilvl w:val="0"/>
          <w:numId w:val="27"/>
        </w:numPr>
        <w:spacing w:after="0" w:line="240" w:lineRule="auto"/>
        <w:ind w:left="720" w:hanging="720"/>
        <w:jc w:val="both"/>
        <w:rPr>
          <w:rFonts w:ascii="Cambria" w:hAnsi="Cambria"/>
          <w:b/>
          <w:sz w:val="20"/>
          <w:szCs w:val="20"/>
        </w:rPr>
      </w:pPr>
      <w:bookmarkStart w:id="29" w:name="_Toc3453777"/>
      <w:r w:rsidRPr="00937EFE">
        <w:rPr>
          <w:rFonts w:ascii="Cambria" w:hAnsi="Cambria"/>
          <w:b/>
          <w:sz w:val="20"/>
          <w:szCs w:val="20"/>
        </w:rPr>
        <w:t>Recurso de Amparo</w:t>
      </w:r>
      <w:bookmarkEnd w:id="29"/>
    </w:p>
    <w:p w:rsidR="000A46BD" w:rsidRPr="00937EFE" w:rsidRDefault="000A46BD" w:rsidP="00937EFE">
      <w:pPr>
        <w:spacing w:after="0" w:line="240" w:lineRule="auto"/>
        <w:jc w:val="both"/>
        <w:rPr>
          <w:rFonts w:ascii="Cambria" w:hAnsi="Cambria"/>
          <w:sz w:val="20"/>
          <w:szCs w:val="20"/>
          <w:lang w:val="es-VE"/>
        </w:rPr>
      </w:pPr>
    </w:p>
    <w:p w:rsidR="006B2276" w:rsidRPr="00937EFE" w:rsidRDefault="00113DD5"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El 17 de febrero de 1984</w:t>
      </w:r>
      <w:r w:rsidR="000A46BD" w:rsidRPr="00937EFE">
        <w:rPr>
          <w:rFonts w:ascii="Cambria" w:hAnsi="Cambria"/>
          <w:sz w:val="20"/>
          <w:szCs w:val="20"/>
          <w:lang w:val="es-VE"/>
        </w:rPr>
        <w:t xml:space="preserve"> la parte peticionaria interpuso recurso de ampar</w:t>
      </w:r>
      <w:r w:rsidR="00965684" w:rsidRPr="00937EFE">
        <w:rPr>
          <w:rFonts w:ascii="Cambria" w:hAnsi="Cambria"/>
          <w:sz w:val="20"/>
          <w:szCs w:val="20"/>
          <w:lang w:val="es-VE"/>
        </w:rPr>
        <w:t xml:space="preserve">o contra la Resolución Suprema </w:t>
      </w:r>
      <w:r w:rsidR="000A46BD" w:rsidRPr="00937EFE">
        <w:rPr>
          <w:rFonts w:ascii="Cambria" w:hAnsi="Cambria"/>
          <w:sz w:val="20"/>
          <w:szCs w:val="20"/>
          <w:lang w:val="es-VE"/>
        </w:rPr>
        <w:t>del 12 de octubre de 1982 ante el Décimo Sexto Juzgado Civil de Lima, afirmando que esta se había basado en un i</w:t>
      </w:r>
      <w:r w:rsidR="00417355" w:rsidRPr="00937EFE">
        <w:rPr>
          <w:rFonts w:ascii="Cambria" w:hAnsi="Cambria"/>
          <w:sz w:val="20"/>
          <w:szCs w:val="20"/>
          <w:lang w:val="es-VE"/>
        </w:rPr>
        <w:t>nforme negativo de sus funciones</w:t>
      </w:r>
      <w:r w:rsidR="000A46BD" w:rsidRPr="00937EFE">
        <w:rPr>
          <w:rFonts w:ascii="Cambria" w:hAnsi="Cambria"/>
          <w:sz w:val="20"/>
          <w:szCs w:val="20"/>
          <w:lang w:val="es-VE"/>
        </w:rPr>
        <w:t>, del cual no había sido notificada durante el procedimiento. Afirmó que solo tuvo conocimiento de este documento hasta el 14 de diciembre de 1983</w:t>
      </w:r>
      <w:r w:rsidR="00965684" w:rsidRPr="00937EFE">
        <w:rPr>
          <w:rFonts w:ascii="Cambria" w:hAnsi="Cambria"/>
          <w:sz w:val="20"/>
          <w:szCs w:val="20"/>
          <w:lang w:val="es-VE"/>
        </w:rPr>
        <w:t>, fecha en que se le notificó la decisión referente al recurso de revisión</w:t>
      </w:r>
      <w:r w:rsidR="000A46BD" w:rsidRPr="00937EFE">
        <w:rPr>
          <w:rFonts w:ascii="Cambria" w:hAnsi="Cambria"/>
          <w:sz w:val="20"/>
          <w:szCs w:val="20"/>
          <w:lang w:val="es-VE"/>
        </w:rPr>
        <w:t>, y por lo tanto no tuvo la oportunidad de presentar prueba en contrario, ni de estudiar el resto de los</w:t>
      </w:r>
      <w:r w:rsidR="00951360" w:rsidRPr="00937EFE">
        <w:rPr>
          <w:rFonts w:ascii="Cambria" w:hAnsi="Cambria"/>
          <w:sz w:val="20"/>
          <w:szCs w:val="20"/>
          <w:lang w:val="es-VE"/>
        </w:rPr>
        <w:t xml:space="preserve"> expedientes del procedimiento,</w:t>
      </w:r>
      <w:r w:rsidR="000A46BD" w:rsidRPr="00937EFE">
        <w:rPr>
          <w:rFonts w:ascii="Cambria" w:hAnsi="Cambria"/>
          <w:sz w:val="20"/>
          <w:szCs w:val="20"/>
          <w:lang w:val="es-VE"/>
        </w:rPr>
        <w:t xml:space="preserve"> y </w:t>
      </w:r>
      <w:r w:rsidR="00090FC3" w:rsidRPr="00937EFE">
        <w:rPr>
          <w:rFonts w:ascii="Cambria" w:hAnsi="Cambria"/>
          <w:sz w:val="20"/>
          <w:szCs w:val="20"/>
          <w:lang w:val="es-VE"/>
        </w:rPr>
        <w:t xml:space="preserve">en consecuencia </w:t>
      </w:r>
      <w:r w:rsidR="000A46BD" w:rsidRPr="00937EFE">
        <w:rPr>
          <w:rFonts w:ascii="Cambria" w:hAnsi="Cambria"/>
          <w:sz w:val="20"/>
          <w:szCs w:val="20"/>
          <w:lang w:val="es-VE"/>
        </w:rPr>
        <w:t>sus derechos constitucionales se vieron vulnerados durante el proceso jud</w:t>
      </w:r>
      <w:r w:rsidRPr="00937EFE">
        <w:rPr>
          <w:rFonts w:ascii="Cambria" w:hAnsi="Cambria"/>
          <w:sz w:val="20"/>
          <w:szCs w:val="20"/>
          <w:lang w:val="es-VE"/>
        </w:rPr>
        <w:t>icial</w:t>
      </w:r>
      <w:r w:rsidR="000A46BD" w:rsidRPr="00937EFE">
        <w:rPr>
          <w:rStyle w:val="FootnoteReference"/>
          <w:rFonts w:ascii="Cambria" w:hAnsi="Cambria"/>
          <w:sz w:val="20"/>
          <w:szCs w:val="20"/>
          <w:lang w:val="es-VE"/>
        </w:rPr>
        <w:footnoteReference w:id="11"/>
      </w:r>
      <w:r w:rsidR="000A46BD" w:rsidRPr="00937EFE">
        <w:rPr>
          <w:rFonts w:ascii="Cambria" w:hAnsi="Cambria"/>
          <w:sz w:val="20"/>
          <w:szCs w:val="20"/>
          <w:lang w:val="es-VE"/>
        </w:rPr>
        <w:t xml:space="preserve">. </w:t>
      </w:r>
    </w:p>
    <w:p w:rsidR="006B2276" w:rsidRPr="00937EFE" w:rsidRDefault="006B2276" w:rsidP="00937EFE">
      <w:pPr>
        <w:spacing w:after="0" w:line="240" w:lineRule="auto"/>
        <w:jc w:val="both"/>
        <w:rPr>
          <w:rFonts w:ascii="Cambria" w:hAnsi="Cambria"/>
          <w:sz w:val="20"/>
          <w:szCs w:val="20"/>
          <w:lang w:val="es-VE"/>
        </w:rPr>
      </w:pPr>
    </w:p>
    <w:p w:rsidR="006B2276" w:rsidRPr="00937EFE" w:rsidRDefault="00951360"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El 14 </w:t>
      </w:r>
      <w:r w:rsidR="00D0013C" w:rsidRPr="00937EFE">
        <w:rPr>
          <w:rFonts w:ascii="Cambria" w:hAnsi="Cambria"/>
          <w:sz w:val="20"/>
          <w:szCs w:val="20"/>
          <w:lang w:val="es-VE"/>
        </w:rPr>
        <w:t>de junio de 1985</w:t>
      </w:r>
      <w:r w:rsidRPr="00937EFE">
        <w:rPr>
          <w:rFonts w:ascii="Cambria" w:hAnsi="Cambria"/>
          <w:sz w:val="20"/>
          <w:szCs w:val="20"/>
          <w:lang w:val="es-VE"/>
        </w:rPr>
        <w:t xml:space="preserve"> el Décimo Sexto Juzgado Civil de Lima declaró improcedente el recurso de amparo solicitado por la parte peticionaria</w:t>
      </w:r>
      <w:r w:rsidR="00417355" w:rsidRPr="00937EFE">
        <w:rPr>
          <w:rFonts w:ascii="Cambria" w:hAnsi="Cambria"/>
          <w:sz w:val="20"/>
          <w:szCs w:val="20"/>
          <w:lang w:val="es-VE"/>
        </w:rPr>
        <w:t xml:space="preserve"> argumentando que no se adecuaba a la </w:t>
      </w:r>
      <w:r w:rsidRPr="00937EFE">
        <w:rPr>
          <w:rFonts w:ascii="Cambria" w:hAnsi="Cambria"/>
          <w:sz w:val="20"/>
          <w:szCs w:val="20"/>
          <w:lang w:val="es-VE"/>
        </w:rPr>
        <w:t>Ley N°23</w:t>
      </w:r>
      <w:r w:rsidR="00417355" w:rsidRPr="00937EFE">
        <w:rPr>
          <w:rFonts w:ascii="Cambria" w:hAnsi="Cambria"/>
          <w:sz w:val="20"/>
          <w:szCs w:val="20"/>
          <w:lang w:val="es-VE"/>
        </w:rPr>
        <w:t>506  de Habeas Corpus y Amparo: que establece que no proceden las acciones de garantía cuando ha cesado la violación o la amenaza de violación, o esta se ha convertido en irreparable</w:t>
      </w:r>
      <w:r w:rsidR="00712CAD" w:rsidRPr="00937EFE">
        <w:rPr>
          <w:rStyle w:val="FootnoteReference"/>
          <w:rFonts w:ascii="Cambria" w:hAnsi="Cambria"/>
          <w:sz w:val="20"/>
          <w:szCs w:val="20"/>
          <w:lang w:val="es-VE"/>
        </w:rPr>
        <w:footnoteReference w:id="12"/>
      </w:r>
      <w:r w:rsidR="00417355" w:rsidRPr="00937EFE">
        <w:rPr>
          <w:rFonts w:ascii="Cambria" w:hAnsi="Cambria"/>
          <w:sz w:val="20"/>
          <w:szCs w:val="20"/>
          <w:lang w:val="es-VE"/>
        </w:rPr>
        <w:t>.</w:t>
      </w:r>
    </w:p>
    <w:p w:rsidR="00D50A8F" w:rsidRPr="00937EFE" w:rsidRDefault="00D50A8F" w:rsidP="00937EFE">
      <w:pPr>
        <w:spacing w:after="0" w:line="240" w:lineRule="auto"/>
        <w:jc w:val="both"/>
        <w:rPr>
          <w:rFonts w:ascii="Cambria" w:hAnsi="Cambria"/>
          <w:sz w:val="20"/>
          <w:szCs w:val="20"/>
          <w:lang w:val="es-VE"/>
        </w:rPr>
      </w:pPr>
    </w:p>
    <w:p w:rsidR="00417355" w:rsidRPr="00937EFE" w:rsidRDefault="00417355"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rPr>
        <w:t>Dicho Juzgado indicó que:</w:t>
      </w:r>
    </w:p>
    <w:p w:rsidR="006B2276" w:rsidRPr="00937EFE" w:rsidRDefault="006B2276" w:rsidP="00937EFE">
      <w:pPr>
        <w:spacing w:after="0" w:line="240" w:lineRule="auto"/>
        <w:ind w:right="720"/>
        <w:jc w:val="both"/>
        <w:rPr>
          <w:rFonts w:ascii="Cambria" w:hAnsi="Cambria"/>
          <w:sz w:val="20"/>
          <w:szCs w:val="20"/>
          <w:lang w:val="es-VE"/>
        </w:rPr>
      </w:pPr>
    </w:p>
    <w:p w:rsidR="005D0148" w:rsidRPr="00937EFE" w:rsidRDefault="00712CAD"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No obstante que la no ratificación de la accionante está sustentada en las motivaciones que han sido materia de revisión por la Sala Plena de la Corte Suprema de la República, la misma que, consecuentemente, no puede configurar ni constituye violación o amenaza de violación de un derecho constitucional o fundamenta</w:t>
      </w:r>
      <w:r w:rsidR="00D0013C" w:rsidRPr="00937EFE">
        <w:rPr>
          <w:rFonts w:ascii="Cambria" w:hAnsi="Cambria"/>
          <w:sz w:val="20"/>
          <w:szCs w:val="20"/>
          <w:lang w:val="es-VE"/>
        </w:rPr>
        <w:t>l consagrado en la constitución</w:t>
      </w:r>
      <w:r w:rsidR="00951360" w:rsidRPr="00937EFE">
        <w:rPr>
          <w:rStyle w:val="FootnoteReference"/>
          <w:rFonts w:ascii="Cambria" w:hAnsi="Cambria"/>
          <w:sz w:val="20"/>
          <w:szCs w:val="20"/>
          <w:lang w:val="es-VE"/>
        </w:rPr>
        <w:footnoteReference w:id="13"/>
      </w:r>
      <w:r w:rsidR="00D50A8F" w:rsidRPr="00937EFE">
        <w:rPr>
          <w:rFonts w:ascii="Cambria" w:hAnsi="Cambria"/>
          <w:sz w:val="20"/>
          <w:szCs w:val="20"/>
          <w:lang w:val="es-VE"/>
        </w:rPr>
        <w:t>.</w:t>
      </w:r>
    </w:p>
    <w:p w:rsidR="009C4697" w:rsidRPr="00937EFE" w:rsidRDefault="009C4697" w:rsidP="00937EFE">
      <w:pPr>
        <w:spacing w:after="0" w:line="240" w:lineRule="auto"/>
        <w:ind w:left="567" w:right="720"/>
        <w:jc w:val="both"/>
        <w:rPr>
          <w:rFonts w:ascii="Cambria" w:hAnsi="Cambria"/>
          <w:sz w:val="20"/>
          <w:szCs w:val="20"/>
          <w:lang w:val="es-VE"/>
        </w:rPr>
      </w:pPr>
    </w:p>
    <w:p w:rsidR="000A46BD" w:rsidRPr="00937EFE" w:rsidRDefault="000A46BD" w:rsidP="000469B3">
      <w:pPr>
        <w:numPr>
          <w:ilvl w:val="0"/>
          <w:numId w:val="27"/>
        </w:numPr>
        <w:spacing w:after="0" w:line="240" w:lineRule="auto"/>
        <w:ind w:left="720" w:hanging="720"/>
        <w:jc w:val="both"/>
        <w:rPr>
          <w:rFonts w:ascii="Cambria" w:hAnsi="Cambria"/>
          <w:b/>
          <w:sz w:val="20"/>
          <w:szCs w:val="20"/>
        </w:rPr>
      </w:pPr>
      <w:bookmarkStart w:id="30" w:name="_Toc3453778"/>
      <w:r w:rsidRPr="00937EFE">
        <w:rPr>
          <w:rFonts w:ascii="Cambria" w:hAnsi="Cambria"/>
          <w:b/>
          <w:sz w:val="20"/>
          <w:szCs w:val="20"/>
        </w:rPr>
        <w:t>Recurso de Apelación</w:t>
      </w:r>
      <w:bookmarkEnd w:id="30"/>
    </w:p>
    <w:p w:rsidR="005D0148" w:rsidRPr="00937EFE" w:rsidRDefault="005D0148" w:rsidP="00937EFE">
      <w:pPr>
        <w:spacing w:after="0" w:line="240" w:lineRule="auto"/>
        <w:ind w:left="1440"/>
        <w:jc w:val="both"/>
        <w:rPr>
          <w:rFonts w:ascii="Cambria" w:hAnsi="Cambria"/>
          <w:b/>
          <w:sz w:val="20"/>
          <w:szCs w:val="20"/>
        </w:rPr>
      </w:pPr>
    </w:p>
    <w:p w:rsidR="006B2276" w:rsidRPr="00937EFE" w:rsidRDefault="00B63BD6"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El 1 de julio de 1985</w:t>
      </w:r>
      <w:r w:rsidR="000A46BD" w:rsidRPr="00937EFE">
        <w:rPr>
          <w:rFonts w:ascii="Cambria" w:hAnsi="Cambria"/>
          <w:sz w:val="20"/>
          <w:szCs w:val="20"/>
          <w:lang w:val="es-VE"/>
        </w:rPr>
        <w:t xml:space="preserve"> la parte peticionaria apeló la sentencia emitida por el Décimo Sexto Juzgado Civil de Lima, solicitando que el superior de tal despacho se pronunciara sobre el fondo del asunto y no se enfocara en las formalidades del caso</w:t>
      </w:r>
      <w:r w:rsidR="000A46BD" w:rsidRPr="00937EFE">
        <w:rPr>
          <w:rStyle w:val="FootnoteReference"/>
          <w:rFonts w:ascii="Cambria" w:hAnsi="Cambria"/>
          <w:sz w:val="20"/>
          <w:szCs w:val="20"/>
          <w:lang w:val="es-VE"/>
        </w:rPr>
        <w:footnoteReference w:id="14"/>
      </w:r>
      <w:r w:rsidR="000A46BD" w:rsidRPr="00937EFE">
        <w:rPr>
          <w:rFonts w:ascii="Cambria" w:hAnsi="Cambria"/>
          <w:sz w:val="20"/>
          <w:szCs w:val="20"/>
          <w:lang w:val="es-VE"/>
        </w:rPr>
        <w:t>.</w:t>
      </w:r>
    </w:p>
    <w:p w:rsidR="006B2276" w:rsidRPr="00937EFE" w:rsidRDefault="006B2276" w:rsidP="00937EFE">
      <w:pPr>
        <w:spacing w:after="0" w:line="240" w:lineRule="auto"/>
        <w:jc w:val="both"/>
        <w:rPr>
          <w:rFonts w:ascii="Cambria" w:hAnsi="Cambria"/>
          <w:sz w:val="20"/>
          <w:szCs w:val="20"/>
          <w:lang w:val="es-VE"/>
        </w:rPr>
      </w:pPr>
    </w:p>
    <w:p w:rsidR="006B2276" w:rsidRPr="00937EFE" w:rsidRDefault="00CA6924"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El 2</w:t>
      </w:r>
      <w:r w:rsidR="000A46BD" w:rsidRPr="00937EFE">
        <w:rPr>
          <w:rFonts w:ascii="Cambria" w:hAnsi="Cambria"/>
          <w:sz w:val="20"/>
          <w:szCs w:val="20"/>
          <w:lang w:val="es-VE"/>
        </w:rPr>
        <w:t xml:space="preserve"> de septiembre de 1985 la Tercera Sala Civil de la Corte Suprema de Justicia confirmó la decisión del 14 de junio de 1985</w:t>
      </w:r>
      <w:r w:rsidR="00E34D0D" w:rsidRPr="00937EFE">
        <w:rPr>
          <w:rFonts w:ascii="Cambria" w:hAnsi="Cambria"/>
          <w:sz w:val="20"/>
          <w:szCs w:val="20"/>
          <w:lang w:val="es-VE"/>
        </w:rPr>
        <w:t>, indicando que:</w:t>
      </w:r>
    </w:p>
    <w:p w:rsidR="006B2276" w:rsidRPr="00937EFE" w:rsidRDefault="006B2276" w:rsidP="00937EFE">
      <w:pPr>
        <w:spacing w:after="0" w:line="240" w:lineRule="auto"/>
        <w:jc w:val="both"/>
        <w:rPr>
          <w:rFonts w:ascii="Cambria" w:hAnsi="Cambria"/>
          <w:sz w:val="20"/>
          <w:szCs w:val="20"/>
          <w:lang w:val="es-VE"/>
        </w:rPr>
      </w:pPr>
    </w:p>
    <w:p w:rsidR="000A46BD" w:rsidRPr="00937EFE" w:rsidRDefault="00E34D0D"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Interviniendo como Vocal ponente el señor Urrutia Carrillo; de conformidad con lo opinado por el señor Fiscal a fojas veintinueve; por sus fundamentos: CONFIRMARON: la sentencia apelada de fojas veinticuatro, su fecha catorce de junio último que declara Improcedente la acción de amparo interpuesta a f</w:t>
      </w:r>
      <w:r w:rsidR="009C4697" w:rsidRPr="00937EFE">
        <w:rPr>
          <w:rFonts w:ascii="Cambria" w:hAnsi="Cambria"/>
          <w:sz w:val="20"/>
          <w:szCs w:val="20"/>
          <w:lang w:val="es-VE"/>
        </w:rPr>
        <w:t>o</w:t>
      </w:r>
      <w:r w:rsidRPr="00937EFE">
        <w:rPr>
          <w:rFonts w:ascii="Cambria" w:hAnsi="Cambria"/>
          <w:sz w:val="20"/>
          <w:szCs w:val="20"/>
          <w:lang w:val="es-VE"/>
        </w:rPr>
        <w:t>jas cuatro y cinco por</w:t>
      </w:r>
      <w:r w:rsidR="00365C2F" w:rsidRPr="00937EFE">
        <w:rPr>
          <w:rFonts w:ascii="Cambria" w:hAnsi="Cambria"/>
          <w:sz w:val="20"/>
          <w:szCs w:val="20"/>
          <w:lang w:val="es-VE"/>
        </w:rPr>
        <w:t xml:space="preserve"> doña Norka Moya Solís de Rocha</w:t>
      </w:r>
      <w:r w:rsidR="000A46BD" w:rsidRPr="00937EFE">
        <w:rPr>
          <w:rStyle w:val="FootnoteReference"/>
          <w:rFonts w:ascii="Cambria" w:hAnsi="Cambria"/>
          <w:sz w:val="20"/>
          <w:szCs w:val="20"/>
          <w:lang w:val="es-VE"/>
        </w:rPr>
        <w:footnoteReference w:id="15"/>
      </w:r>
      <w:r w:rsidR="000A46BD" w:rsidRPr="00937EFE">
        <w:rPr>
          <w:rFonts w:ascii="Cambria" w:hAnsi="Cambria"/>
          <w:sz w:val="20"/>
          <w:szCs w:val="20"/>
          <w:lang w:val="es-VE"/>
        </w:rPr>
        <w:t xml:space="preserve">. </w:t>
      </w:r>
    </w:p>
    <w:p w:rsidR="00D53C1E" w:rsidRPr="00937EFE" w:rsidRDefault="00D53C1E" w:rsidP="00937EFE">
      <w:pPr>
        <w:spacing w:after="0" w:line="240" w:lineRule="auto"/>
        <w:ind w:right="720"/>
        <w:jc w:val="both"/>
        <w:rPr>
          <w:rFonts w:ascii="Cambria" w:hAnsi="Cambria"/>
          <w:sz w:val="20"/>
          <w:szCs w:val="20"/>
          <w:lang w:val="es-VE"/>
        </w:rPr>
      </w:pPr>
    </w:p>
    <w:p w:rsidR="00CA6924" w:rsidRPr="00937EFE" w:rsidRDefault="00CA6924" w:rsidP="000469B3">
      <w:pPr>
        <w:numPr>
          <w:ilvl w:val="0"/>
          <w:numId w:val="27"/>
        </w:numPr>
        <w:spacing w:after="0" w:line="240" w:lineRule="auto"/>
        <w:ind w:left="720" w:hanging="720"/>
        <w:jc w:val="both"/>
        <w:rPr>
          <w:rFonts w:ascii="Cambria" w:hAnsi="Cambria"/>
          <w:b/>
          <w:sz w:val="20"/>
          <w:szCs w:val="20"/>
        </w:rPr>
      </w:pPr>
      <w:r w:rsidRPr="00937EFE">
        <w:rPr>
          <w:rFonts w:ascii="Cambria" w:hAnsi="Cambria"/>
          <w:b/>
          <w:sz w:val="20"/>
          <w:szCs w:val="20"/>
        </w:rPr>
        <w:t>Recurso de nulidad</w:t>
      </w:r>
    </w:p>
    <w:p w:rsidR="00CA6924" w:rsidRPr="00937EFE" w:rsidRDefault="00CA6924" w:rsidP="00937EFE">
      <w:pPr>
        <w:spacing w:after="0" w:line="240" w:lineRule="auto"/>
        <w:jc w:val="both"/>
        <w:rPr>
          <w:rFonts w:ascii="Cambria" w:hAnsi="Cambria"/>
          <w:sz w:val="20"/>
          <w:szCs w:val="20"/>
          <w:lang w:val="es-VE"/>
        </w:rPr>
      </w:pPr>
    </w:p>
    <w:p w:rsidR="006B2276" w:rsidRPr="00937EFE" w:rsidRDefault="00CA45A7"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El 17</w:t>
      </w:r>
      <w:r w:rsidR="00BC6AC6" w:rsidRPr="00937EFE">
        <w:rPr>
          <w:rFonts w:ascii="Cambria" w:hAnsi="Cambria"/>
          <w:sz w:val="20"/>
          <w:szCs w:val="20"/>
          <w:lang w:val="es-VE"/>
        </w:rPr>
        <w:t xml:space="preserve"> de septiembre de 1985 la parte peticionaria interpuso recurso de nulidad ante la Tercera Sala Civil de Lima alegando que “se pretende declarar inamovible una Resolución Administrativa como si tuviera carácter de cosa juzgada”</w:t>
      </w:r>
      <w:r w:rsidR="00BC6AC6" w:rsidRPr="00937EFE">
        <w:rPr>
          <w:rStyle w:val="FootnoteReference"/>
          <w:rFonts w:ascii="Cambria" w:hAnsi="Cambria"/>
          <w:sz w:val="20"/>
          <w:szCs w:val="20"/>
          <w:lang w:val="es-VE"/>
        </w:rPr>
        <w:footnoteReference w:id="16"/>
      </w:r>
      <w:r w:rsidR="00BC6AC6" w:rsidRPr="00937EFE">
        <w:rPr>
          <w:rFonts w:ascii="Cambria" w:hAnsi="Cambria"/>
          <w:sz w:val="20"/>
          <w:szCs w:val="20"/>
          <w:lang w:val="es-VE"/>
        </w:rPr>
        <w:t xml:space="preserve">. </w:t>
      </w:r>
    </w:p>
    <w:p w:rsidR="006B2276" w:rsidRPr="00937EFE" w:rsidRDefault="006B2276" w:rsidP="00937EFE">
      <w:pPr>
        <w:spacing w:after="0" w:line="240" w:lineRule="auto"/>
        <w:jc w:val="both"/>
        <w:rPr>
          <w:rFonts w:ascii="Cambria" w:hAnsi="Cambria"/>
          <w:sz w:val="20"/>
          <w:szCs w:val="20"/>
          <w:lang w:val="es-VE"/>
        </w:rPr>
      </w:pPr>
    </w:p>
    <w:p w:rsidR="005153B2" w:rsidRPr="00937EFE" w:rsidRDefault="005153B2"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El 17 de e</w:t>
      </w:r>
      <w:r w:rsidR="000A46BD" w:rsidRPr="00937EFE">
        <w:rPr>
          <w:rFonts w:ascii="Cambria" w:hAnsi="Cambria"/>
          <w:sz w:val="20"/>
          <w:szCs w:val="20"/>
          <w:lang w:val="es-VE"/>
        </w:rPr>
        <w:t>nero d</w:t>
      </w:r>
      <w:r w:rsidR="00300EA9" w:rsidRPr="00937EFE">
        <w:rPr>
          <w:rFonts w:ascii="Cambria" w:hAnsi="Cambria"/>
          <w:sz w:val="20"/>
          <w:szCs w:val="20"/>
          <w:lang w:val="es-VE"/>
        </w:rPr>
        <w:t>e 1986</w:t>
      </w:r>
      <w:r w:rsidR="000A46BD" w:rsidRPr="00937EFE">
        <w:rPr>
          <w:rFonts w:ascii="Cambria" w:hAnsi="Cambria"/>
          <w:sz w:val="20"/>
          <w:szCs w:val="20"/>
          <w:lang w:val="es-VE"/>
        </w:rPr>
        <w:t xml:space="preserve"> el Ministerio Público</w:t>
      </w:r>
      <w:r w:rsidRPr="00937EFE">
        <w:rPr>
          <w:rFonts w:ascii="Cambria" w:hAnsi="Cambria"/>
          <w:sz w:val="20"/>
          <w:szCs w:val="20"/>
          <w:lang w:val="es-VE"/>
        </w:rPr>
        <w:t xml:space="preserve"> </w:t>
      </w:r>
      <w:r w:rsidR="000A46BD" w:rsidRPr="00937EFE">
        <w:rPr>
          <w:rFonts w:ascii="Cambria" w:hAnsi="Cambria"/>
          <w:sz w:val="20"/>
          <w:szCs w:val="20"/>
          <w:lang w:val="es-VE"/>
        </w:rPr>
        <w:t xml:space="preserve">se pronunció frente a la decisión de la Corte Suprema, indicando que: </w:t>
      </w:r>
    </w:p>
    <w:p w:rsidR="005153B2" w:rsidRPr="00937EFE" w:rsidRDefault="005153B2" w:rsidP="00937EFE">
      <w:pPr>
        <w:spacing w:after="0" w:line="240" w:lineRule="auto"/>
        <w:jc w:val="both"/>
        <w:rPr>
          <w:rFonts w:ascii="Cambria" w:hAnsi="Cambria"/>
          <w:sz w:val="20"/>
          <w:szCs w:val="20"/>
          <w:lang w:val="es-VE"/>
        </w:rPr>
      </w:pPr>
    </w:p>
    <w:p w:rsidR="000A46BD" w:rsidRPr="00937EFE" w:rsidRDefault="005153B2"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Tanto el fallo de p</w:t>
      </w:r>
      <w:r w:rsidR="000A46BD" w:rsidRPr="00937EFE">
        <w:rPr>
          <w:rFonts w:ascii="Cambria" w:hAnsi="Cambria"/>
          <w:sz w:val="20"/>
          <w:szCs w:val="20"/>
          <w:lang w:val="es-VE"/>
        </w:rPr>
        <w:t>rimera Instancia como el de la segunda, se ha expedido sin tenerse a la vista el expediente de ratificaciones en el c</w:t>
      </w:r>
      <w:r w:rsidRPr="00937EFE">
        <w:rPr>
          <w:rFonts w:ascii="Cambria" w:hAnsi="Cambria"/>
          <w:sz w:val="20"/>
          <w:szCs w:val="20"/>
          <w:lang w:val="es-VE"/>
        </w:rPr>
        <w:t>u</w:t>
      </w:r>
      <w:r w:rsidR="000A46BD" w:rsidRPr="00937EFE">
        <w:rPr>
          <w:rFonts w:ascii="Cambria" w:hAnsi="Cambria"/>
          <w:sz w:val="20"/>
          <w:szCs w:val="20"/>
          <w:lang w:val="es-VE"/>
        </w:rPr>
        <w:t>al se procedió a la separación de la accionante Norka Moya Solís de Rocha.  Sin tenerse a la vi</w:t>
      </w:r>
      <w:r w:rsidR="005D214F" w:rsidRPr="00937EFE">
        <w:rPr>
          <w:rFonts w:ascii="Cambria" w:hAnsi="Cambria"/>
          <w:sz w:val="20"/>
          <w:szCs w:val="20"/>
          <w:lang w:val="es-ES_tradnl"/>
        </w:rPr>
        <w:t>s</w:t>
      </w:r>
      <w:r w:rsidR="000A46BD" w:rsidRPr="00937EFE">
        <w:rPr>
          <w:rFonts w:ascii="Cambria" w:hAnsi="Cambria"/>
          <w:sz w:val="20"/>
          <w:szCs w:val="20"/>
          <w:lang w:val="es-VE"/>
        </w:rPr>
        <w:t>ta ese proceso no podrá saberse si el Tribunal del Trabajo incurrió o no en las irregularidades en que sustenta la acción de amparo. Así lo entendió el juez para remitir el oficio cuya copia corre a fojas 9 y la Sala Civil al expedir la resolución de fojas 14. Sin ese expediente no podía expedirse de ninguna manera un fallo máxime si se tiene en cuenta que la copia de fojas 3 es ilegible y no permite formarse una idea de los fundamentos que sustentan esa resolución</w:t>
      </w:r>
      <w:r w:rsidR="000A46BD" w:rsidRPr="00937EFE">
        <w:rPr>
          <w:rStyle w:val="FootnoteReference"/>
          <w:rFonts w:ascii="Cambria" w:hAnsi="Cambria"/>
          <w:sz w:val="20"/>
          <w:szCs w:val="20"/>
          <w:lang w:val="es-VE"/>
        </w:rPr>
        <w:footnoteReference w:id="17"/>
      </w:r>
      <w:r w:rsidR="000A46BD" w:rsidRPr="00937EFE">
        <w:rPr>
          <w:rFonts w:ascii="Cambria" w:hAnsi="Cambria"/>
          <w:sz w:val="20"/>
          <w:szCs w:val="20"/>
          <w:lang w:val="es-VE"/>
        </w:rPr>
        <w:t>.</w:t>
      </w:r>
    </w:p>
    <w:p w:rsidR="000A46BD" w:rsidRPr="00937EFE" w:rsidRDefault="000A46BD" w:rsidP="00937EFE">
      <w:pPr>
        <w:spacing w:after="0" w:line="240" w:lineRule="auto"/>
        <w:ind w:left="720"/>
        <w:jc w:val="both"/>
        <w:rPr>
          <w:rFonts w:ascii="Cambria" w:hAnsi="Cambria"/>
          <w:sz w:val="20"/>
          <w:szCs w:val="20"/>
          <w:lang w:val="es-VE"/>
        </w:rPr>
      </w:pPr>
    </w:p>
    <w:p w:rsidR="000469B3" w:rsidRDefault="005153B2" w:rsidP="000469B3">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El Ministerio Público indicó que tomando en cuenta lo anterior,</w:t>
      </w:r>
      <w:r w:rsidR="000A46BD" w:rsidRPr="00937EFE">
        <w:rPr>
          <w:rFonts w:ascii="Cambria" w:hAnsi="Cambria"/>
          <w:sz w:val="20"/>
          <w:szCs w:val="20"/>
          <w:lang w:val="es-VE"/>
        </w:rPr>
        <w:t xml:space="preserve"> consideraba procedente declarar nula la resolución del 2 de septiembre de 1985, e insubsistente la del 14 de junio de 1985, y que en consecuencia el juzgado expidiese un nuevo fallo teniendo a la vista el expediente</w:t>
      </w:r>
      <w:r w:rsidR="000A46BD" w:rsidRPr="00937EFE">
        <w:rPr>
          <w:rStyle w:val="FootnoteReference"/>
          <w:rFonts w:ascii="Cambria" w:hAnsi="Cambria"/>
          <w:sz w:val="20"/>
          <w:szCs w:val="20"/>
          <w:lang w:val="es-VE"/>
        </w:rPr>
        <w:footnoteReference w:id="18"/>
      </w:r>
      <w:r w:rsidR="000A46BD" w:rsidRPr="00937EFE">
        <w:rPr>
          <w:rFonts w:ascii="Cambria" w:hAnsi="Cambria"/>
          <w:sz w:val="20"/>
          <w:szCs w:val="20"/>
          <w:lang w:val="es-VE"/>
        </w:rPr>
        <w:t xml:space="preserve">. </w:t>
      </w:r>
    </w:p>
    <w:p w:rsidR="000469B3" w:rsidRDefault="000469B3" w:rsidP="000469B3">
      <w:pPr>
        <w:spacing w:after="0" w:line="240" w:lineRule="auto"/>
        <w:jc w:val="both"/>
        <w:rPr>
          <w:rFonts w:ascii="Cambria" w:hAnsi="Cambria"/>
          <w:sz w:val="20"/>
          <w:szCs w:val="20"/>
          <w:lang w:val="es-VE"/>
        </w:rPr>
      </w:pPr>
    </w:p>
    <w:p w:rsidR="003E3156" w:rsidRPr="000469B3" w:rsidRDefault="005153B2" w:rsidP="000469B3">
      <w:pPr>
        <w:numPr>
          <w:ilvl w:val="0"/>
          <w:numId w:val="3"/>
        </w:numPr>
        <w:tabs>
          <w:tab w:val="clear" w:pos="1080"/>
        </w:tabs>
        <w:spacing w:after="0" w:line="240" w:lineRule="auto"/>
        <w:ind w:left="0" w:firstLine="0"/>
        <w:jc w:val="both"/>
        <w:rPr>
          <w:rFonts w:ascii="Cambria" w:hAnsi="Cambria"/>
          <w:sz w:val="20"/>
          <w:szCs w:val="20"/>
          <w:lang w:val="es-VE"/>
        </w:rPr>
      </w:pPr>
      <w:r w:rsidRPr="000469B3">
        <w:rPr>
          <w:rFonts w:ascii="Cambria" w:hAnsi="Cambria"/>
          <w:sz w:val="20"/>
          <w:szCs w:val="20"/>
          <w:lang w:val="es-VE"/>
        </w:rPr>
        <w:t>E</w:t>
      </w:r>
      <w:r w:rsidR="000A46BD" w:rsidRPr="000469B3">
        <w:rPr>
          <w:rFonts w:ascii="Cambria" w:hAnsi="Cambria"/>
          <w:sz w:val="20"/>
          <w:szCs w:val="20"/>
          <w:lang w:val="es-VE"/>
        </w:rPr>
        <w:t>l 4 de agosto de 1986 la Corte Suprema de Justicia declaró nula la resolución del 2 de septiembre de 1985 expedida por la Sala Laboral de la Corte Suprema de Justicia e insubsistente la sentencia de primera instancia del 14 de junio de 1985</w:t>
      </w:r>
      <w:r w:rsidR="000A46BD" w:rsidRPr="00937EFE">
        <w:rPr>
          <w:rStyle w:val="FootnoteReference"/>
          <w:rFonts w:ascii="Cambria" w:hAnsi="Cambria"/>
          <w:sz w:val="20"/>
          <w:szCs w:val="20"/>
          <w:lang w:val="es-VE"/>
        </w:rPr>
        <w:footnoteReference w:id="19"/>
      </w:r>
      <w:r w:rsidR="00300EA9" w:rsidRPr="000469B3">
        <w:rPr>
          <w:rFonts w:ascii="Cambria" w:hAnsi="Cambria"/>
          <w:sz w:val="20"/>
          <w:szCs w:val="20"/>
          <w:lang w:val="es-VE"/>
        </w:rPr>
        <w:t xml:space="preserve">. En dicha decisión </w:t>
      </w:r>
      <w:r w:rsidR="009C4697" w:rsidRPr="000469B3">
        <w:rPr>
          <w:rFonts w:ascii="Cambria" w:hAnsi="Cambria"/>
          <w:sz w:val="20"/>
          <w:szCs w:val="20"/>
          <w:lang w:val="es-VE"/>
        </w:rPr>
        <w:t>motiv</w:t>
      </w:r>
      <w:r w:rsidR="009C4697" w:rsidRPr="000469B3">
        <w:rPr>
          <w:rFonts w:ascii="Cambria" w:hAnsi="Cambria"/>
          <w:sz w:val="20"/>
          <w:szCs w:val="20"/>
        </w:rPr>
        <w:t xml:space="preserve">ó </w:t>
      </w:r>
      <w:r w:rsidR="00300EA9" w:rsidRPr="000469B3">
        <w:rPr>
          <w:rFonts w:ascii="Cambria" w:hAnsi="Cambria"/>
          <w:sz w:val="20"/>
          <w:szCs w:val="20"/>
          <w:lang w:val="es-VE"/>
        </w:rPr>
        <w:t xml:space="preserve">que: </w:t>
      </w:r>
    </w:p>
    <w:p w:rsidR="003E3156" w:rsidRPr="00937EFE" w:rsidRDefault="003E3156" w:rsidP="00937EFE">
      <w:pPr>
        <w:spacing w:after="0" w:line="240" w:lineRule="auto"/>
        <w:jc w:val="both"/>
        <w:rPr>
          <w:rFonts w:ascii="Cambria" w:hAnsi="Cambria"/>
          <w:sz w:val="20"/>
          <w:szCs w:val="20"/>
          <w:lang w:val="es-VE"/>
        </w:rPr>
      </w:pPr>
    </w:p>
    <w:p w:rsidR="00BC6AC6" w:rsidRPr="00937EFE" w:rsidRDefault="00BC6AC6" w:rsidP="007016B5">
      <w:pPr>
        <w:spacing w:after="0" w:line="240" w:lineRule="auto"/>
        <w:ind w:left="720" w:right="720"/>
        <w:jc w:val="both"/>
        <w:rPr>
          <w:rFonts w:ascii="Cambria" w:hAnsi="Cambria"/>
          <w:sz w:val="20"/>
          <w:szCs w:val="20"/>
          <w:lang w:val="es-VE"/>
        </w:rPr>
      </w:pPr>
      <w:r w:rsidRPr="00937EFE">
        <w:rPr>
          <w:rFonts w:ascii="Cambria" w:hAnsi="Cambria"/>
          <w:sz w:val="20"/>
          <w:szCs w:val="20"/>
          <w:lang w:val="es-VE"/>
        </w:rPr>
        <w:t xml:space="preserve">De conformidad con el dictamen del señor Fiscal; declararon: NULA la sentencia de vista fojas treinta, su fecha de </w:t>
      </w:r>
      <w:r w:rsidRPr="00937EFE">
        <w:rPr>
          <w:rFonts w:ascii="Cambria" w:hAnsi="Cambria"/>
          <w:sz w:val="20"/>
          <w:szCs w:val="20"/>
          <w:lang w:val="es-ES_tradnl"/>
        </w:rPr>
        <w:t>[…] de septiembre de mil novecientos ochentaicinco, INSUBSISTENTE la apelada de fojas veinticuatro, fechada el catorce de junio del mismo año; MANDARON: que el juez de la causa expida nuevo fallo teniendo a la vista el expediente de r</w:t>
      </w:r>
      <w:r w:rsidR="00383EF5" w:rsidRPr="00937EFE">
        <w:rPr>
          <w:rFonts w:ascii="Cambria" w:hAnsi="Cambria"/>
          <w:sz w:val="20"/>
          <w:szCs w:val="20"/>
          <w:lang w:val="es-ES_tradnl"/>
        </w:rPr>
        <w:t>a</w:t>
      </w:r>
      <w:r w:rsidRPr="00937EFE">
        <w:rPr>
          <w:rFonts w:ascii="Cambria" w:hAnsi="Cambria"/>
          <w:sz w:val="20"/>
          <w:szCs w:val="20"/>
          <w:lang w:val="es-ES_tradnl"/>
        </w:rPr>
        <w:t>tificaciones;</w:t>
      </w:r>
      <w:r w:rsidR="00383EF5" w:rsidRPr="00937EFE">
        <w:rPr>
          <w:rFonts w:ascii="Cambria" w:hAnsi="Cambria"/>
          <w:sz w:val="20"/>
          <w:szCs w:val="20"/>
          <w:lang w:val="es-ES_tradnl"/>
        </w:rPr>
        <w:t xml:space="preserve"> en es seguidos por doñ</w:t>
      </w:r>
      <w:r w:rsidRPr="00937EFE">
        <w:rPr>
          <w:rFonts w:ascii="Cambria" w:hAnsi="Cambria"/>
          <w:sz w:val="20"/>
          <w:szCs w:val="20"/>
          <w:lang w:val="es-ES_tradnl"/>
        </w:rPr>
        <w:t>a Norka Moya Solís de Rocha contra el acuer</w:t>
      </w:r>
      <w:r w:rsidR="00383EF5" w:rsidRPr="00937EFE">
        <w:rPr>
          <w:rFonts w:ascii="Cambria" w:hAnsi="Cambria"/>
          <w:sz w:val="20"/>
          <w:szCs w:val="20"/>
          <w:lang w:val="es-ES_tradnl"/>
        </w:rPr>
        <w:t>d</w:t>
      </w:r>
      <w:r w:rsidRPr="00937EFE">
        <w:rPr>
          <w:rFonts w:ascii="Cambria" w:hAnsi="Cambria"/>
          <w:sz w:val="20"/>
          <w:szCs w:val="20"/>
          <w:lang w:val="es-ES_tradnl"/>
        </w:rPr>
        <w:t xml:space="preserve">o de Sala </w:t>
      </w:r>
      <w:r w:rsidR="00383EF5" w:rsidRPr="00937EFE">
        <w:rPr>
          <w:rFonts w:ascii="Cambria" w:hAnsi="Cambria"/>
          <w:sz w:val="20"/>
          <w:szCs w:val="20"/>
          <w:lang w:val="es-ES_tradnl"/>
        </w:rPr>
        <w:t>Plena del Tribunal de Trabajo y Comunidades Laborales; sobre acci</w:t>
      </w:r>
      <w:r w:rsidR="00CA6924" w:rsidRPr="00937EFE">
        <w:rPr>
          <w:rFonts w:ascii="Cambria" w:hAnsi="Cambria"/>
          <w:sz w:val="20"/>
          <w:szCs w:val="20"/>
          <w:lang w:val="es-ES_tradnl"/>
        </w:rPr>
        <w:t>ón de amparo; y las devolvieron</w:t>
      </w:r>
      <w:r w:rsidR="00383EF5" w:rsidRPr="00937EFE">
        <w:rPr>
          <w:rStyle w:val="FootnoteReference"/>
          <w:rFonts w:ascii="Cambria" w:hAnsi="Cambria"/>
          <w:sz w:val="20"/>
          <w:szCs w:val="20"/>
          <w:lang w:val="es-ES_tradnl"/>
        </w:rPr>
        <w:footnoteReference w:id="20"/>
      </w:r>
      <w:r w:rsidR="00CA6924" w:rsidRPr="00937EFE">
        <w:rPr>
          <w:rFonts w:ascii="Cambria" w:hAnsi="Cambria"/>
          <w:sz w:val="20"/>
          <w:szCs w:val="20"/>
          <w:lang w:val="es-ES_tradnl"/>
        </w:rPr>
        <w:t>.</w:t>
      </w:r>
    </w:p>
    <w:p w:rsidR="006E5C1D" w:rsidRPr="00937EFE" w:rsidRDefault="00B411A3" w:rsidP="00937EFE">
      <w:pPr>
        <w:spacing w:after="0" w:line="240" w:lineRule="auto"/>
        <w:ind w:left="720"/>
        <w:jc w:val="both"/>
        <w:rPr>
          <w:rFonts w:ascii="Cambria" w:hAnsi="Cambria"/>
          <w:sz w:val="20"/>
          <w:szCs w:val="20"/>
          <w:lang w:val="es-VE"/>
        </w:rPr>
      </w:pPr>
      <w:bookmarkStart w:id="31" w:name="_Toc3453779"/>
      <w:r w:rsidRPr="00937EFE">
        <w:rPr>
          <w:rFonts w:ascii="Cambria" w:hAnsi="Cambria"/>
          <w:sz w:val="20"/>
          <w:szCs w:val="20"/>
          <w:lang w:val="es-VE"/>
        </w:rPr>
        <w:t xml:space="preserve"> </w:t>
      </w:r>
    </w:p>
    <w:p w:rsidR="00D95A61" w:rsidRPr="00937EFE" w:rsidRDefault="000A46BD" w:rsidP="000469B3">
      <w:pPr>
        <w:numPr>
          <w:ilvl w:val="0"/>
          <w:numId w:val="27"/>
        </w:numPr>
        <w:spacing w:after="0" w:line="240" w:lineRule="auto"/>
        <w:ind w:left="720" w:hanging="720"/>
        <w:jc w:val="both"/>
        <w:rPr>
          <w:rFonts w:ascii="Cambria" w:hAnsi="Cambria"/>
          <w:b/>
          <w:sz w:val="20"/>
          <w:szCs w:val="20"/>
        </w:rPr>
      </w:pPr>
      <w:r w:rsidRPr="00937EFE">
        <w:rPr>
          <w:rFonts w:ascii="Cambria" w:hAnsi="Cambria"/>
          <w:b/>
          <w:sz w:val="20"/>
          <w:szCs w:val="20"/>
        </w:rPr>
        <w:t>Segundo fallo ante la acción de Amparo</w:t>
      </w:r>
      <w:bookmarkEnd w:id="31"/>
      <w:r w:rsidRPr="00937EFE">
        <w:rPr>
          <w:rFonts w:ascii="Cambria" w:hAnsi="Cambria"/>
          <w:b/>
          <w:sz w:val="20"/>
          <w:szCs w:val="20"/>
        </w:rPr>
        <w:t xml:space="preserve"> </w:t>
      </w:r>
    </w:p>
    <w:p w:rsidR="00B411A3" w:rsidRPr="00937EFE" w:rsidRDefault="00B411A3" w:rsidP="00937EFE">
      <w:pPr>
        <w:spacing w:after="0" w:line="240" w:lineRule="auto"/>
        <w:jc w:val="both"/>
        <w:rPr>
          <w:rFonts w:ascii="Cambria" w:hAnsi="Cambria"/>
          <w:sz w:val="20"/>
          <w:szCs w:val="20"/>
        </w:rPr>
      </w:pPr>
    </w:p>
    <w:p w:rsidR="006B2276" w:rsidRPr="00937EFE" w:rsidRDefault="00B411A3"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La Comisión toma nota que con posterioridad a dicha decisión la presunta víctima envió diversos escritos al Décimo Sexto Juzgado de lo Civil en Lima manifestándole que solicitara el expediente de ratificaciones al Tribunal del Trabajo y solicitando que se expidiera una decisión sobre su caso</w:t>
      </w:r>
      <w:r w:rsidRPr="00937EFE">
        <w:rPr>
          <w:rStyle w:val="FootnoteReference"/>
          <w:rFonts w:ascii="Cambria" w:hAnsi="Cambria"/>
          <w:sz w:val="20"/>
          <w:szCs w:val="20"/>
          <w:lang w:val="es-VE"/>
        </w:rPr>
        <w:footnoteReference w:id="21"/>
      </w:r>
      <w:r w:rsidRPr="00937EFE">
        <w:rPr>
          <w:rFonts w:ascii="Cambria" w:hAnsi="Cambria"/>
          <w:sz w:val="20"/>
          <w:szCs w:val="20"/>
          <w:lang w:val="es-VE"/>
        </w:rPr>
        <w:t>. Según información disponible, en noviembre de 1986, septiembre de 1987 y enero de 1990 el Décimo Sexto Juzgado de lo Civil de Lima solicitó el expediente de ratificaciones de la presunta víctima a distintos tribunales</w:t>
      </w:r>
      <w:r w:rsidRPr="00937EFE">
        <w:rPr>
          <w:rStyle w:val="FootnoteReference"/>
          <w:rFonts w:ascii="Cambria" w:hAnsi="Cambria"/>
          <w:sz w:val="20"/>
          <w:szCs w:val="20"/>
          <w:lang w:val="es-VE"/>
        </w:rPr>
        <w:footnoteReference w:id="22"/>
      </w:r>
      <w:r w:rsidRPr="00937EFE">
        <w:rPr>
          <w:rFonts w:ascii="Cambria" w:hAnsi="Cambria"/>
          <w:sz w:val="20"/>
          <w:szCs w:val="20"/>
          <w:lang w:val="es-VE"/>
        </w:rPr>
        <w:t xml:space="preserve">.   La Comisión no cuenta con respuesta respecto a dichas solicitudes. </w:t>
      </w:r>
    </w:p>
    <w:p w:rsidR="006B2276" w:rsidRPr="00937EFE" w:rsidRDefault="006B2276" w:rsidP="00937EFE">
      <w:pPr>
        <w:spacing w:after="0" w:line="240" w:lineRule="auto"/>
        <w:jc w:val="both"/>
        <w:rPr>
          <w:rFonts w:ascii="Cambria" w:hAnsi="Cambria"/>
          <w:sz w:val="20"/>
          <w:szCs w:val="20"/>
          <w:lang w:val="es-VE"/>
        </w:rPr>
      </w:pPr>
    </w:p>
    <w:p w:rsidR="00B411A3" w:rsidRPr="00937EFE" w:rsidRDefault="00B411A3"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En junio de 1995 el Trigésimo Tercer Juzgado de lo Civil en Lima realizó la misma solicitud</w:t>
      </w:r>
      <w:r w:rsidRPr="00937EFE">
        <w:rPr>
          <w:rStyle w:val="FootnoteReference"/>
          <w:rFonts w:ascii="Cambria" w:hAnsi="Cambria"/>
          <w:sz w:val="20"/>
          <w:szCs w:val="20"/>
          <w:lang w:val="es-VE"/>
        </w:rPr>
        <w:footnoteReference w:id="23"/>
      </w:r>
      <w:r w:rsidRPr="00937EFE">
        <w:rPr>
          <w:rFonts w:ascii="Cambria" w:hAnsi="Cambria"/>
          <w:sz w:val="20"/>
          <w:szCs w:val="20"/>
          <w:lang w:val="es-VE"/>
        </w:rPr>
        <w:t>. El 4 de marzo de 1996 el Delegado Administrativo de las Salas y Juzgados contestó a la solicitud efectuada por el Trigésimo Tercer Juzgado de lo Civil en Lima, indicando que:</w:t>
      </w:r>
    </w:p>
    <w:p w:rsidR="00B411A3" w:rsidRPr="00937EFE" w:rsidRDefault="00B411A3" w:rsidP="00937EFE">
      <w:pPr>
        <w:spacing w:after="0" w:line="240" w:lineRule="auto"/>
        <w:jc w:val="both"/>
        <w:rPr>
          <w:rFonts w:ascii="Cambria" w:hAnsi="Cambria"/>
          <w:sz w:val="20"/>
          <w:szCs w:val="20"/>
          <w:lang w:val="es-VE"/>
        </w:rPr>
      </w:pPr>
    </w:p>
    <w:p w:rsidR="00B411A3" w:rsidRPr="00937EFE" w:rsidRDefault="00B411A3" w:rsidP="00243943">
      <w:pPr>
        <w:spacing w:after="0" w:line="240" w:lineRule="auto"/>
        <w:ind w:left="720" w:right="720"/>
        <w:jc w:val="both"/>
        <w:rPr>
          <w:rFonts w:ascii="Cambria" w:hAnsi="Cambria"/>
          <w:sz w:val="20"/>
          <w:szCs w:val="20"/>
          <w:lang w:val="es-ES_tradnl"/>
        </w:rPr>
      </w:pPr>
      <w:r w:rsidRPr="00937EFE">
        <w:rPr>
          <w:rFonts w:ascii="Cambria" w:hAnsi="Cambria"/>
          <w:sz w:val="20"/>
          <w:szCs w:val="20"/>
          <w:lang w:val="es-VE"/>
        </w:rPr>
        <w:t xml:space="preserve">Habiéndose efectuado la búsqueda en los archivos que obran en esta oficina Administrativa en la que obra archivos de la Ex Secretaria General del Tribunal de Trabajo y Comunidades Laborales, no se encuentra expediente alguno sobre lo precitado </w:t>
      </w:r>
      <w:r w:rsidRPr="00937EFE">
        <w:rPr>
          <w:rFonts w:ascii="Cambria" w:hAnsi="Cambria"/>
          <w:sz w:val="20"/>
          <w:szCs w:val="20"/>
          <w:lang w:val="es-ES_tradnl"/>
        </w:rPr>
        <w:t>[…] y certificación expedida por la Secretaria General de fecha 10-09-92 que se adjunta en fotocopias</w:t>
      </w:r>
      <w:r w:rsidRPr="00937EFE">
        <w:rPr>
          <w:rStyle w:val="FootnoteReference"/>
          <w:rFonts w:ascii="Cambria" w:hAnsi="Cambria"/>
          <w:sz w:val="20"/>
          <w:szCs w:val="20"/>
          <w:lang w:val="es-ES_tradnl"/>
        </w:rPr>
        <w:footnoteReference w:id="24"/>
      </w:r>
      <w:r w:rsidRPr="00937EFE">
        <w:rPr>
          <w:rFonts w:ascii="Cambria" w:hAnsi="Cambria"/>
          <w:sz w:val="20"/>
          <w:szCs w:val="20"/>
          <w:lang w:val="es-ES_tradnl"/>
        </w:rPr>
        <w:t>.</w:t>
      </w:r>
    </w:p>
    <w:p w:rsidR="00B411A3" w:rsidRPr="00937EFE" w:rsidRDefault="00B411A3" w:rsidP="00937EFE">
      <w:pPr>
        <w:spacing w:after="0" w:line="240" w:lineRule="auto"/>
        <w:ind w:left="720"/>
        <w:jc w:val="both"/>
        <w:rPr>
          <w:rFonts w:ascii="Cambria" w:hAnsi="Cambria"/>
          <w:sz w:val="20"/>
          <w:szCs w:val="20"/>
          <w:lang w:val="es-VE"/>
        </w:rPr>
      </w:pPr>
    </w:p>
    <w:p w:rsidR="00383EF5" w:rsidRPr="00937EFE" w:rsidRDefault="00383EF5"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El 30 de diciembre de 1996 el Décimo Sexto Juzgado Civil de Lima expidió un nuevo fallo frente a la acción de amparo interpuesta en 1983 por la presunta víctima. En este fallo el Juzgado estableció lo siguiente: </w:t>
      </w:r>
    </w:p>
    <w:p w:rsidR="00383EF5" w:rsidRPr="00937EFE" w:rsidRDefault="00383EF5" w:rsidP="00937EFE">
      <w:pPr>
        <w:spacing w:after="0" w:line="240" w:lineRule="auto"/>
        <w:ind w:left="720"/>
        <w:jc w:val="both"/>
        <w:rPr>
          <w:rFonts w:ascii="Cambria" w:hAnsi="Cambria"/>
          <w:sz w:val="20"/>
          <w:szCs w:val="20"/>
          <w:lang w:val="es-VE"/>
        </w:rPr>
      </w:pPr>
    </w:p>
    <w:p w:rsidR="000A46BD" w:rsidRPr="00937EFE" w:rsidRDefault="00DA31B3" w:rsidP="00243943">
      <w:pPr>
        <w:spacing w:after="0" w:line="240" w:lineRule="auto"/>
        <w:ind w:left="720" w:right="720"/>
        <w:jc w:val="both"/>
        <w:rPr>
          <w:rFonts w:ascii="Cambria" w:hAnsi="Cambria"/>
          <w:sz w:val="20"/>
          <w:szCs w:val="20"/>
          <w:lang w:val="es-VE"/>
        </w:rPr>
      </w:pPr>
      <w:r w:rsidRPr="00937EFE">
        <w:rPr>
          <w:rFonts w:ascii="Cambria" w:hAnsi="Cambria"/>
          <w:sz w:val="20"/>
          <w:szCs w:val="20"/>
          <w:u w:val="single"/>
          <w:lang w:val="es-VE"/>
        </w:rPr>
        <w:t>Primero:</w:t>
      </w:r>
      <w:r w:rsidRPr="00937EFE">
        <w:rPr>
          <w:rFonts w:ascii="Cambria" w:hAnsi="Cambria"/>
          <w:sz w:val="20"/>
          <w:szCs w:val="20"/>
          <w:lang w:val="es-VE"/>
        </w:rPr>
        <w:t xml:space="preserve"> Que, la acción de amparo por tratarse de un mecanismo de efectiva tutela para el particular, cuando es evidente y cierto la amenaza o violación de un derecho constitucional; en cuyo caso, tiene por objeto reponer las cosas al estado anterior del acto cuestionado, tal como lo señalan los artículos primero y segundo de la Ley 23506; </w:t>
      </w:r>
      <w:r w:rsidRPr="00937EFE">
        <w:rPr>
          <w:rFonts w:ascii="Cambria" w:hAnsi="Cambria"/>
          <w:sz w:val="20"/>
          <w:szCs w:val="20"/>
          <w:u w:val="single"/>
          <w:lang w:val="es-VE"/>
        </w:rPr>
        <w:t>Segundo</w:t>
      </w:r>
      <w:r w:rsidRPr="00937EFE">
        <w:rPr>
          <w:rFonts w:ascii="Cambria" w:hAnsi="Cambria"/>
          <w:sz w:val="20"/>
          <w:szCs w:val="20"/>
          <w:lang w:val="es-VE"/>
        </w:rPr>
        <w:t>: Que, conforme se advierte del tenor del petitorio, la demandante acude por la vía del amparo cuestionando la Resolución Suprema de fecha doce de octubre de mil novecientos ochentaitrés, por la cual se declara infundado su recurso de revisión interpuesto contra su no ratificación como Secretaria Judicial adscrita al Décimo Juzgado de Trabajo y Comunidades Laborales de Lima; en razón que, según refiere con ella se ha trasgredido</w:t>
      </w:r>
      <w:r w:rsidR="00874B74" w:rsidRPr="00937EFE">
        <w:rPr>
          <w:rFonts w:ascii="Cambria" w:hAnsi="Cambria"/>
          <w:sz w:val="20"/>
          <w:szCs w:val="20"/>
          <w:lang w:val="es-VE"/>
        </w:rPr>
        <w:t xml:space="preserve"> (sic)</w:t>
      </w:r>
      <w:r w:rsidRPr="00937EFE">
        <w:rPr>
          <w:rFonts w:ascii="Cambria" w:hAnsi="Cambria"/>
          <w:sz w:val="20"/>
          <w:szCs w:val="20"/>
          <w:lang w:val="es-VE"/>
        </w:rPr>
        <w:t xml:space="preserve"> sus derechos fundamentales, indicados en su escrito de demanda; </w:t>
      </w:r>
      <w:r w:rsidRPr="00937EFE">
        <w:rPr>
          <w:rFonts w:ascii="Cambria" w:hAnsi="Cambria"/>
          <w:sz w:val="20"/>
          <w:szCs w:val="20"/>
          <w:u w:val="single"/>
          <w:lang w:val="es-VE"/>
        </w:rPr>
        <w:t>Tercero:</w:t>
      </w:r>
      <w:r w:rsidRPr="00937EFE">
        <w:rPr>
          <w:rFonts w:ascii="Cambria" w:hAnsi="Cambria"/>
          <w:sz w:val="20"/>
          <w:szCs w:val="20"/>
          <w:lang w:val="es-VE"/>
        </w:rPr>
        <w:t xml:space="preserve"> Que, conforme se de</w:t>
      </w:r>
      <w:r w:rsidR="00D56F60" w:rsidRPr="00937EFE">
        <w:rPr>
          <w:rFonts w:ascii="Cambria" w:hAnsi="Cambria"/>
          <w:sz w:val="20"/>
          <w:szCs w:val="20"/>
          <w:lang w:val="es-VE"/>
        </w:rPr>
        <w:t>s</w:t>
      </w:r>
      <w:r w:rsidRPr="00937EFE">
        <w:rPr>
          <w:rFonts w:ascii="Cambria" w:hAnsi="Cambria"/>
          <w:sz w:val="20"/>
          <w:szCs w:val="20"/>
          <w:lang w:val="es-VE"/>
        </w:rPr>
        <w:t>prende del considerando precedente, así como de los hechos expuestos en la demanda, la actora cuestiona la Resolución que se indica, más n</w:t>
      </w:r>
      <w:r w:rsidR="00874B74" w:rsidRPr="00937EFE">
        <w:rPr>
          <w:rFonts w:ascii="Cambria" w:hAnsi="Cambria"/>
          <w:sz w:val="20"/>
          <w:szCs w:val="20"/>
          <w:lang w:val="es-VE"/>
        </w:rPr>
        <w:t>o,</w:t>
      </w:r>
      <w:r w:rsidRPr="00937EFE">
        <w:rPr>
          <w:rFonts w:ascii="Cambria" w:hAnsi="Cambria"/>
          <w:sz w:val="20"/>
          <w:szCs w:val="20"/>
          <w:lang w:val="es-VE"/>
        </w:rPr>
        <w:t xml:space="preserve"> el acuer</w:t>
      </w:r>
      <w:r w:rsidR="00874B74" w:rsidRPr="00937EFE">
        <w:rPr>
          <w:rFonts w:ascii="Cambria" w:hAnsi="Cambria"/>
          <w:sz w:val="20"/>
          <w:szCs w:val="20"/>
          <w:lang w:val="es-VE"/>
        </w:rPr>
        <w:t xml:space="preserve">do de Sesión de Sala Plena del </w:t>
      </w:r>
      <w:r w:rsidRPr="00937EFE">
        <w:rPr>
          <w:rFonts w:ascii="Cambria" w:hAnsi="Cambria"/>
          <w:sz w:val="20"/>
          <w:szCs w:val="20"/>
          <w:lang w:val="es-VE"/>
        </w:rPr>
        <w:t>Tribunal de Trabajo realizada el diez de septiembre de mil novecientos ochentaidós, por la cual se acordó  no ratificarla en el cargo</w:t>
      </w:r>
      <w:r w:rsidR="00280BD3" w:rsidRPr="00937EFE">
        <w:rPr>
          <w:rFonts w:ascii="Cambria" w:hAnsi="Cambria"/>
          <w:sz w:val="20"/>
          <w:szCs w:val="20"/>
          <w:lang w:val="es-VE"/>
        </w:rPr>
        <w:t xml:space="preserve"> de secretaria judicial aludida; en tal caso la cuestión litigiosa deberá centrarse respecto de la Resolución primeramente indicada, debiéndose verificar, si con su expedición se ha infringido derecho constitucional alguno de la actora; </w:t>
      </w:r>
      <w:r w:rsidR="00280BD3" w:rsidRPr="00937EFE">
        <w:rPr>
          <w:rFonts w:ascii="Cambria" w:hAnsi="Cambria"/>
          <w:sz w:val="20"/>
          <w:szCs w:val="20"/>
          <w:u w:val="single"/>
          <w:lang w:val="es-VE"/>
        </w:rPr>
        <w:t>Cuarto:</w:t>
      </w:r>
      <w:r w:rsidR="00280BD3" w:rsidRPr="00937EFE">
        <w:rPr>
          <w:rFonts w:ascii="Cambria" w:hAnsi="Cambria"/>
          <w:sz w:val="20"/>
          <w:szCs w:val="20"/>
          <w:lang w:val="es-VE"/>
        </w:rPr>
        <w:t xml:space="preserve"> Que, conforme se puede apreciar del expediente admi</w:t>
      </w:r>
      <w:r w:rsidR="00874B74" w:rsidRPr="00937EFE">
        <w:rPr>
          <w:rFonts w:ascii="Cambria" w:hAnsi="Cambria"/>
          <w:sz w:val="20"/>
          <w:szCs w:val="20"/>
          <w:lang w:val="es-VE"/>
        </w:rPr>
        <w:t>nistrativo que se tiene a la vist</w:t>
      </w:r>
      <w:r w:rsidR="00280BD3" w:rsidRPr="00937EFE">
        <w:rPr>
          <w:rFonts w:ascii="Cambria" w:hAnsi="Cambria"/>
          <w:sz w:val="20"/>
          <w:szCs w:val="20"/>
          <w:lang w:val="es-VE"/>
        </w:rPr>
        <w:t>a, la accionante en el desarroll</w:t>
      </w:r>
      <w:r w:rsidR="00874B74" w:rsidRPr="00937EFE">
        <w:rPr>
          <w:rFonts w:ascii="Cambria" w:hAnsi="Cambria"/>
          <w:sz w:val="20"/>
          <w:szCs w:val="20"/>
          <w:lang w:val="es-VE"/>
        </w:rPr>
        <w:t>o del trámite del recurso de rev</w:t>
      </w:r>
      <w:r w:rsidR="00280BD3" w:rsidRPr="00937EFE">
        <w:rPr>
          <w:rFonts w:ascii="Cambria" w:hAnsi="Cambria"/>
          <w:sz w:val="20"/>
          <w:szCs w:val="20"/>
          <w:lang w:val="es-VE"/>
        </w:rPr>
        <w:t xml:space="preserve">isión interpuesto ante el Supremo Tribunal, ha ejercido plenamente su derecho de defensa, tal es así que, incluso ha presentado instrumentos diversos escritos haciendo uso de tal derecho, así se puede advertir de fojas catorce, diecisiete, diecinueve, veinticinco, treintaiuno, treintidós y demás que aparecen en el citado expediente, los mismo que fueron presentados antes de expedirse la resolución que es cuestionada por este en el presente proceso; </w:t>
      </w:r>
      <w:r w:rsidR="003E7D8C" w:rsidRPr="00937EFE">
        <w:rPr>
          <w:rFonts w:ascii="Cambria" w:hAnsi="Cambria"/>
          <w:sz w:val="20"/>
          <w:szCs w:val="20"/>
          <w:u w:val="single"/>
          <w:lang w:val="es-VE"/>
        </w:rPr>
        <w:t>Quinto:</w:t>
      </w:r>
      <w:r w:rsidR="003E7D8C" w:rsidRPr="00937EFE">
        <w:rPr>
          <w:rFonts w:ascii="Cambria" w:hAnsi="Cambria"/>
          <w:sz w:val="20"/>
          <w:szCs w:val="20"/>
          <w:lang w:val="es-VE"/>
        </w:rPr>
        <w:t xml:space="preserve"> Que, </w:t>
      </w:r>
      <w:r w:rsidR="002911FE" w:rsidRPr="00937EFE">
        <w:rPr>
          <w:rFonts w:ascii="Cambria" w:hAnsi="Cambria"/>
          <w:sz w:val="20"/>
          <w:szCs w:val="20"/>
          <w:lang w:val="es-VE"/>
        </w:rPr>
        <w:t>de lo</w:t>
      </w:r>
      <w:r w:rsidR="00280BD3" w:rsidRPr="00937EFE">
        <w:rPr>
          <w:rFonts w:ascii="Cambria" w:hAnsi="Cambria"/>
          <w:sz w:val="20"/>
          <w:szCs w:val="20"/>
          <w:lang w:val="es-VE"/>
        </w:rPr>
        <w:t xml:space="preserve"> señalado</w:t>
      </w:r>
      <w:r w:rsidR="003E7D8C" w:rsidRPr="00937EFE">
        <w:rPr>
          <w:rFonts w:ascii="Cambria" w:hAnsi="Cambria"/>
          <w:sz w:val="20"/>
          <w:szCs w:val="20"/>
          <w:lang w:val="es-VE"/>
        </w:rPr>
        <w:t xml:space="preserve"> en los considerando</w:t>
      </w:r>
      <w:r w:rsidR="00280BD3" w:rsidRPr="00937EFE">
        <w:rPr>
          <w:rFonts w:ascii="Cambria" w:hAnsi="Cambria"/>
          <w:sz w:val="20"/>
          <w:szCs w:val="20"/>
          <w:lang w:val="es-VE"/>
        </w:rPr>
        <w:t xml:space="preserve">s que preceden es de </w:t>
      </w:r>
      <w:r w:rsidR="003E7D8C" w:rsidRPr="00937EFE">
        <w:rPr>
          <w:rFonts w:ascii="Cambria" w:hAnsi="Cambria"/>
          <w:sz w:val="20"/>
          <w:szCs w:val="20"/>
          <w:lang w:val="es-VE"/>
        </w:rPr>
        <w:t>concluirse</w:t>
      </w:r>
      <w:r w:rsidR="00280BD3" w:rsidRPr="00937EFE">
        <w:rPr>
          <w:rFonts w:ascii="Cambria" w:hAnsi="Cambria"/>
          <w:sz w:val="20"/>
          <w:szCs w:val="20"/>
          <w:lang w:val="es-VE"/>
        </w:rPr>
        <w:t xml:space="preserve"> que, al expedirse por el Supremo Tribunal la Resolución</w:t>
      </w:r>
      <w:r w:rsidR="003E7D8C" w:rsidRPr="00937EFE">
        <w:rPr>
          <w:rFonts w:ascii="Cambria" w:hAnsi="Cambria"/>
          <w:sz w:val="20"/>
          <w:szCs w:val="20"/>
          <w:lang w:val="es-VE"/>
        </w:rPr>
        <w:t xml:space="preserve"> </w:t>
      </w:r>
      <w:r w:rsidR="00280BD3" w:rsidRPr="00937EFE">
        <w:rPr>
          <w:rFonts w:ascii="Cambria" w:hAnsi="Cambria"/>
          <w:sz w:val="20"/>
          <w:szCs w:val="20"/>
          <w:lang w:val="es-VE"/>
        </w:rPr>
        <w:t>de fecha doce de octubre de mil novecientos ochentitrés, no se ha vulnerado o vi</w:t>
      </w:r>
      <w:r w:rsidR="003E7D8C" w:rsidRPr="00937EFE">
        <w:rPr>
          <w:rFonts w:ascii="Cambria" w:hAnsi="Cambria"/>
          <w:sz w:val="20"/>
          <w:szCs w:val="20"/>
          <w:lang w:val="es-VE"/>
        </w:rPr>
        <w:t>o</w:t>
      </w:r>
      <w:r w:rsidR="00280BD3" w:rsidRPr="00937EFE">
        <w:rPr>
          <w:rFonts w:ascii="Cambria" w:hAnsi="Cambria"/>
          <w:sz w:val="20"/>
          <w:szCs w:val="20"/>
          <w:lang w:val="es-VE"/>
        </w:rPr>
        <w:t>lentado d</w:t>
      </w:r>
      <w:r w:rsidR="003E7D8C" w:rsidRPr="00937EFE">
        <w:rPr>
          <w:rFonts w:ascii="Cambria" w:hAnsi="Cambria"/>
          <w:sz w:val="20"/>
          <w:szCs w:val="20"/>
          <w:lang w:val="es-VE"/>
        </w:rPr>
        <w:t>erecho</w:t>
      </w:r>
      <w:r w:rsidR="00280BD3" w:rsidRPr="00937EFE">
        <w:rPr>
          <w:rFonts w:ascii="Cambria" w:hAnsi="Cambria"/>
          <w:sz w:val="20"/>
          <w:szCs w:val="20"/>
          <w:lang w:val="es-VE"/>
        </w:rPr>
        <w:t xml:space="preserve"> constitucional alguno de la accionante, pues la misma ha sido expeditada en el ejercicio de la función</w:t>
      </w:r>
      <w:r w:rsidR="003E7D8C" w:rsidRPr="00937EFE">
        <w:rPr>
          <w:rFonts w:ascii="Cambria" w:hAnsi="Cambria"/>
          <w:sz w:val="20"/>
          <w:szCs w:val="20"/>
          <w:lang w:val="es-VE"/>
        </w:rPr>
        <w:t>; no siendo de aplicación por tanto al presente caso, las disposiciones contenidas en los artículos primero y segundo de la Ley 23506; deviniendo por ende desestimable la acción incoada; por lo expuesto; FALLO:  declarando INFUNDADA la demanda de acción de amparo interpuesta por doña Norka Moya Solís de Rocha contra el poder judicial</w:t>
      </w:r>
      <w:r w:rsidR="00280BD3" w:rsidRPr="00937EFE">
        <w:rPr>
          <w:rFonts w:ascii="Cambria" w:hAnsi="Cambria"/>
          <w:sz w:val="20"/>
          <w:szCs w:val="20"/>
          <w:lang w:val="es-VE"/>
        </w:rPr>
        <w:t xml:space="preserve"> </w:t>
      </w:r>
      <w:r w:rsidR="000A46BD" w:rsidRPr="00937EFE">
        <w:rPr>
          <w:rStyle w:val="FootnoteReference"/>
          <w:rFonts w:ascii="Cambria" w:hAnsi="Cambria"/>
          <w:sz w:val="20"/>
          <w:szCs w:val="20"/>
          <w:lang w:val="es-VE"/>
        </w:rPr>
        <w:footnoteReference w:id="25"/>
      </w:r>
      <w:r w:rsidR="0073044A" w:rsidRPr="00937EFE">
        <w:rPr>
          <w:rFonts w:ascii="Cambria" w:hAnsi="Cambria"/>
          <w:sz w:val="20"/>
          <w:szCs w:val="20"/>
          <w:lang w:val="es-VE"/>
        </w:rPr>
        <w:t>.</w:t>
      </w:r>
    </w:p>
    <w:p w:rsidR="000A46BD" w:rsidRPr="00937EFE" w:rsidRDefault="000A46BD" w:rsidP="00937EFE">
      <w:pPr>
        <w:spacing w:after="0" w:line="240" w:lineRule="auto"/>
        <w:jc w:val="both"/>
        <w:rPr>
          <w:rFonts w:ascii="Cambria" w:hAnsi="Cambria"/>
          <w:sz w:val="20"/>
          <w:szCs w:val="20"/>
          <w:lang w:val="es-VE"/>
        </w:rPr>
      </w:pPr>
    </w:p>
    <w:p w:rsidR="000A46BD" w:rsidRPr="00937EFE" w:rsidRDefault="000A46BD" w:rsidP="000469B3">
      <w:pPr>
        <w:numPr>
          <w:ilvl w:val="0"/>
          <w:numId w:val="27"/>
        </w:numPr>
        <w:spacing w:after="0" w:line="240" w:lineRule="auto"/>
        <w:ind w:left="720" w:hanging="720"/>
        <w:jc w:val="both"/>
        <w:rPr>
          <w:rFonts w:ascii="Cambria" w:hAnsi="Cambria"/>
          <w:b/>
          <w:sz w:val="20"/>
          <w:szCs w:val="20"/>
        </w:rPr>
      </w:pPr>
      <w:bookmarkStart w:id="32" w:name="_Toc3453780"/>
      <w:r w:rsidRPr="00937EFE">
        <w:rPr>
          <w:rFonts w:ascii="Cambria" w:hAnsi="Cambria"/>
          <w:b/>
          <w:sz w:val="20"/>
          <w:szCs w:val="20"/>
        </w:rPr>
        <w:t>Recurso de Apelación</w:t>
      </w:r>
      <w:bookmarkEnd w:id="32"/>
      <w:r w:rsidRPr="00937EFE">
        <w:rPr>
          <w:rFonts w:ascii="Cambria" w:hAnsi="Cambria"/>
          <w:b/>
          <w:sz w:val="20"/>
          <w:szCs w:val="20"/>
        </w:rPr>
        <w:t xml:space="preserve"> </w:t>
      </w:r>
    </w:p>
    <w:p w:rsidR="006B2276" w:rsidRPr="00937EFE" w:rsidRDefault="006B2276" w:rsidP="00937EFE">
      <w:pPr>
        <w:spacing w:after="0" w:line="240" w:lineRule="auto"/>
        <w:jc w:val="both"/>
        <w:rPr>
          <w:rFonts w:ascii="Cambria" w:hAnsi="Cambria"/>
          <w:sz w:val="20"/>
          <w:szCs w:val="20"/>
          <w:lang w:val="es-VE"/>
        </w:rPr>
      </w:pPr>
    </w:p>
    <w:p w:rsidR="000469B3" w:rsidRDefault="003E7D8C" w:rsidP="000469B3">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El 19 de mayo de 1997 la presunta víctima</w:t>
      </w:r>
      <w:r w:rsidR="00172650" w:rsidRPr="00937EFE">
        <w:rPr>
          <w:rFonts w:ascii="Cambria" w:hAnsi="Cambria"/>
          <w:sz w:val="20"/>
          <w:szCs w:val="20"/>
          <w:lang w:val="es-VE"/>
        </w:rPr>
        <w:t xml:space="preserve"> apeló el fallo de 30 de diciembre de 1996 ante el Décimo Sexto Juzgado Civil de Lima, argumentando que </w:t>
      </w:r>
      <w:r w:rsidRPr="00937EFE">
        <w:rPr>
          <w:rFonts w:ascii="Cambria" w:hAnsi="Cambria"/>
          <w:sz w:val="20"/>
          <w:szCs w:val="20"/>
          <w:lang w:val="es-VE"/>
        </w:rPr>
        <w:t xml:space="preserve">no había tenido conocimiento del Acuerdo de la Comisión de Vocales donde se decidió su no ratificación y que el expediente de ratificaciones </w:t>
      </w:r>
      <w:r w:rsidR="00F30181" w:rsidRPr="00937EFE">
        <w:rPr>
          <w:rFonts w:ascii="Cambria" w:hAnsi="Cambria"/>
          <w:sz w:val="20"/>
          <w:szCs w:val="20"/>
          <w:lang w:val="es-VE"/>
        </w:rPr>
        <w:t xml:space="preserve">de este proceso </w:t>
      </w:r>
      <w:r w:rsidRPr="00937EFE">
        <w:rPr>
          <w:rFonts w:ascii="Cambria" w:hAnsi="Cambria"/>
          <w:sz w:val="20"/>
          <w:szCs w:val="20"/>
          <w:lang w:val="es-VE"/>
        </w:rPr>
        <w:t>no había sido tenido en cuenta para tomar esta decisi</w:t>
      </w:r>
      <w:r w:rsidR="00F30181" w:rsidRPr="00937EFE">
        <w:rPr>
          <w:rFonts w:ascii="Cambria" w:hAnsi="Cambria"/>
          <w:sz w:val="20"/>
          <w:szCs w:val="20"/>
          <w:lang w:val="es-VE"/>
        </w:rPr>
        <w:t xml:space="preserve">ón, debido a que </w:t>
      </w:r>
      <w:r w:rsidRPr="00937EFE">
        <w:rPr>
          <w:rFonts w:ascii="Cambria" w:hAnsi="Cambria"/>
          <w:sz w:val="20"/>
          <w:szCs w:val="20"/>
          <w:lang w:val="es-VE"/>
        </w:rPr>
        <w:t>el documento</w:t>
      </w:r>
      <w:r w:rsidR="00E81C8F" w:rsidRPr="00937EFE">
        <w:rPr>
          <w:rFonts w:ascii="Cambria" w:hAnsi="Cambria"/>
          <w:sz w:val="20"/>
          <w:szCs w:val="20"/>
          <w:lang w:val="es-VE"/>
        </w:rPr>
        <w:t xml:space="preserve"> </w:t>
      </w:r>
      <w:r w:rsidRPr="00937EFE">
        <w:rPr>
          <w:rFonts w:ascii="Cambria" w:hAnsi="Cambria"/>
          <w:sz w:val="20"/>
          <w:szCs w:val="20"/>
          <w:lang w:val="es-VE"/>
        </w:rPr>
        <w:t xml:space="preserve">que se encontraba en el proceso </w:t>
      </w:r>
      <w:r w:rsidR="00F30181" w:rsidRPr="00937EFE">
        <w:rPr>
          <w:rFonts w:ascii="Cambria" w:hAnsi="Cambria"/>
          <w:sz w:val="20"/>
          <w:szCs w:val="20"/>
          <w:lang w:val="es-VE"/>
        </w:rPr>
        <w:t xml:space="preserve">ante el Décimo Sexto Juzgado </w:t>
      </w:r>
      <w:r w:rsidRPr="00937EFE">
        <w:rPr>
          <w:rFonts w:ascii="Cambria" w:hAnsi="Cambria"/>
          <w:sz w:val="20"/>
          <w:szCs w:val="20"/>
          <w:lang w:val="es-VE"/>
        </w:rPr>
        <w:t>era  una copia del Acta de Ratificación enviada por el Secret</w:t>
      </w:r>
      <w:r w:rsidR="008E407E" w:rsidRPr="00937EFE">
        <w:rPr>
          <w:rFonts w:ascii="Cambria" w:hAnsi="Cambria"/>
          <w:sz w:val="20"/>
          <w:szCs w:val="20"/>
          <w:lang w:val="es-VE"/>
        </w:rPr>
        <w:t xml:space="preserve">ario Administrativo al Juzgado </w:t>
      </w:r>
      <w:r w:rsidRPr="00937EFE">
        <w:rPr>
          <w:rFonts w:ascii="Cambria" w:hAnsi="Cambria"/>
          <w:sz w:val="20"/>
          <w:szCs w:val="20"/>
          <w:lang w:val="es-VE"/>
        </w:rPr>
        <w:t xml:space="preserve">por no haber encontrado </w:t>
      </w:r>
      <w:r w:rsidR="008E407E" w:rsidRPr="00937EFE">
        <w:rPr>
          <w:rFonts w:ascii="Cambria" w:hAnsi="Cambria"/>
          <w:sz w:val="20"/>
          <w:szCs w:val="20"/>
          <w:lang w:val="es-VE"/>
        </w:rPr>
        <w:t>el expediente de ratificaciones</w:t>
      </w:r>
      <w:r w:rsidRPr="00937EFE">
        <w:rPr>
          <w:rStyle w:val="FootnoteReference"/>
          <w:rFonts w:ascii="Cambria" w:hAnsi="Cambria"/>
          <w:sz w:val="20"/>
          <w:szCs w:val="20"/>
          <w:lang w:val="es-VE"/>
        </w:rPr>
        <w:footnoteReference w:id="26"/>
      </w:r>
      <w:r w:rsidR="008E407E" w:rsidRPr="00937EFE">
        <w:rPr>
          <w:rFonts w:ascii="Cambria" w:hAnsi="Cambria"/>
          <w:sz w:val="20"/>
          <w:szCs w:val="20"/>
          <w:lang w:val="es-VE"/>
        </w:rPr>
        <w:t xml:space="preserve">. </w:t>
      </w:r>
      <w:r w:rsidRPr="00937EFE">
        <w:rPr>
          <w:rFonts w:ascii="Cambria" w:hAnsi="Cambria"/>
          <w:sz w:val="20"/>
          <w:szCs w:val="20"/>
          <w:lang w:val="es-VE"/>
        </w:rPr>
        <w:t>Señaló además que solo recientemente había tenido conocimiento de esta acta, debido a que antes no se le habían informado los fundamentos de la no ratificación, en consecuencia solicitó la revocación de tal resolución</w:t>
      </w:r>
      <w:r w:rsidRPr="00937EFE">
        <w:rPr>
          <w:rStyle w:val="FootnoteReference"/>
          <w:rFonts w:ascii="Cambria" w:hAnsi="Cambria"/>
          <w:sz w:val="20"/>
          <w:szCs w:val="20"/>
          <w:lang w:val="es-VE"/>
        </w:rPr>
        <w:footnoteReference w:id="27"/>
      </w:r>
      <w:r w:rsidRPr="00937EFE">
        <w:rPr>
          <w:rFonts w:ascii="Cambria" w:hAnsi="Cambria"/>
          <w:sz w:val="20"/>
          <w:szCs w:val="20"/>
          <w:lang w:val="es-VE"/>
        </w:rPr>
        <w:t xml:space="preserve">. </w:t>
      </w:r>
    </w:p>
    <w:p w:rsidR="000469B3" w:rsidRDefault="000469B3" w:rsidP="000469B3">
      <w:pPr>
        <w:spacing w:after="0" w:line="240" w:lineRule="auto"/>
        <w:jc w:val="both"/>
        <w:rPr>
          <w:rFonts w:ascii="Cambria" w:hAnsi="Cambria"/>
          <w:sz w:val="20"/>
          <w:szCs w:val="20"/>
          <w:lang w:val="es-VE"/>
        </w:rPr>
      </w:pPr>
    </w:p>
    <w:p w:rsidR="00F30181" w:rsidRPr="000469B3" w:rsidRDefault="000A46BD" w:rsidP="000469B3">
      <w:pPr>
        <w:numPr>
          <w:ilvl w:val="0"/>
          <w:numId w:val="3"/>
        </w:numPr>
        <w:tabs>
          <w:tab w:val="clear" w:pos="1080"/>
        </w:tabs>
        <w:spacing w:after="0" w:line="240" w:lineRule="auto"/>
        <w:ind w:left="0" w:firstLine="0"/>
        <w:jc w:val="both"/>
        <w:rPr>
          <w:rFonts w:ascii="Cambria" w:hAnsi="Cambria"/>
          <w:sz w:val="20"/>
          <w:szCs w:val="20"/>
          <w:lang w:val="es-VE"/>
        </w:rPr>
      </w:pPr>
      <w:r w:rsidRPr="000469B3">
        <w:rPr>
          <w:rFonts w:ascii="Cambria" w:hAnsi="Cambria"/>
          <w:sz w:val="20"/>
          <w:szCs w:val="20"/>
          <w:lang w:val="es-VE"/>
        </w:rPr>
        <w:t>El 20 de marzo de 1998 la Sala Corporativa Transitoria especializada de Derecho Público confirmó la sentencia apelada</w:t>
      </w:r>
      <w:r w:rsidR="00F30181" w:rsidRPr="000469B3">
        <w:rPr>
          <w:rFonts w:ascii="Cambria" w:hAnsi="Cambria"/>
          <w:sz w:val="20"/>
          <w:szCs w:val="20"/>
          <w:lang w:val="es-VE"/>
        </w:rPr>
        <w:t xml:space="preserve">, manifestando que: </w:t>
      </w:r>
    </w:p>
    <w:p w:rsidR="00736EB0" w:rsidRPr="00937EFE" w:rsidRDefault="00736EB0" w:rsidP="00937EFE">
      <w:pPr>
        <w:spacing w:after="0" w:line="240" w:lineRule="auto"/>
        <w:ind w:left="567" w:right="630"/>
        <w:jc w:val="both"/>
        <w:rPr>
          <w:rFonts w:ascii="Cambria" w:hAnsi="Cambria"/>
          <w:sz w:val="20"/>
          <w:szCs w:val="20"/>
          <w:lang w:val="es-VE"/>
        </w:rPr>
      </w:pPr>
    </w:p>
    <w:p w:rsidR="000A46BD" w:rsidRPr="00937EFE" w:rsidRDefault="00F30181" w:rsidP="007016B5">
      <w:pPr>
        <w:spacing w:after="0" w:line="240" w:lineRule="auto"/>
        <w:ind w:left="720" w:right="720"/>
        <w:jc w:val="both"/>
        <w:rPr>
          <w:rFonts w:ascii="Cambria" w:hAnsi="Cambria"/>
          <w:sz w:val="20"/>
          <w:szCs w:val="20"/>
          <w:lang w:val="es-VE"/>
        </w:rPr>
      </w:pPr>
      <w:r w:rsidRPr="00937EFE">
        <w:rPr>
          <w:rFonts w:ascii="Cambria" w:hAnsi="Cambria"/>
          <w:sz w:val="20"/>
          <w:szCs w:val="20"/>
          <w:u w:val="single"/>
          <w:lang w:val="es-VE"/>
        </w:rPr>
        <w:t>PRIMERO:</w:t>
      </w:r>
      <w:r w:rsidRPr="00937EFE">
        <w:rPr>
          <w:rFonts w:ascii="Cambria" w:hAnsi="Cambria"/>
          <w:sz w:val="20"/>
          <w:szCs w:val="20"/>
          <w:lang w:val="es-VE"/>
        </w:rPr>
        <w:t xml:space="preserve"> Que, las acciones de Amparo proceden cuando el hecho violatorio atenta un derecho constituciona</w:t>
      </w:r>
      <w:r w:rsidR="00736EB0" w:rsidRPr="00937EFE">
        <w:rPr>
          <w:rFonts w:ascii="Cambria" w:hAnsi="Cambria"/>
          <w:sz w:val="20"/>
          <w:szCs w:val="20"/>
          <w:lang w:val="es-VE"/>
        </w:rPr>
        <w:t>l</w:t>
      </w:r>
      <w:r w:rsidRPr="00937EFE">
        <w:rPr>
          <w:rFonts w:ascii="Cambria" w:hAnsi="Cambria"/>
          <w:sz w:val="20"/>
          <w:szCs w:val="20"/>
          <w:lang w:val="es-VE"/>
        </w:rPr>
        <w:t>, cierto e inminente, que sea posible de reponer al estado anterior a la amenaza de la violación</w:t>
      </w:r>
      <w:r w:rsidR="00736EB0" w:rsidRPr="00937EFE">
        <w:rPr>
          <w:rFonts w:ascii="Cambria" w:hAnsi="Cambria"/>
          <w:sz w:val="20"/>
          <w:szCs w:val="20"/>
          <w:lang w:val="es-VE"/>
        </w:rPr>
        <w:t xml:space="preserve">; </w:t>
      </w:r>
      <w:r w:rsidR="00736EB0" w:rsidRPr="00937EFE">
        <w:rPr>
          <w:rFonts w:ascii="Cambria" w:hAnsi="Cambria"/>
          <w:sz w:val="20"/>
          <w:szCs w:val="20"/>
          <w:u w:val="single"/>
          <w:lang w:val="es-VE"/>
        </w:rPr>
        <w:t>SEGUNDO:</w:t>
      </w:r>
      <w:r w:rsidR="00736EB0" w:rsidRPr="00937EFE">
        <w:rPr>
          <w:rFonts w:ascii="Cambria" w:hAnsi="Cambria"/>
          <w:sz w:val="20"/>
          <w:szCs w:val="20"/>
          <w:lang w:val="es-VE"/>
        </w:rPr>
        <w:t xml:space="preserve"> Que, en el caso sub –judice la demandante alega hechos que requieren de probanza, situación que no puede darse en un proceso constitucional, en donde no hay etapa probatoria por el carácter residual y urgentísimo de las acciones de garantía; por estos fundamentos; CONFIRMARON: la sentencia apelada de fojas ciento ocho a ciento diez, su fecha treinta de diciembre de mil novecientos noventiséis </w:t>
      </w:r>
      <w:r w:rsidR="008E06BF" w:rsidRPr="00937EFE">
        <w:rPr>
          <w:rFonts w:ascii="Cambria" w:hAnsi="Cambria"/>
          <w:sz w:val="20"/>
          <w:szCs w:val="20"/>
          <w:lang w:val="es-VE"/>
        </w:rPr>
        <w:t xml:space="preserve">que falla declarando INFUNDADA </w:t>
      </w:r>
      <w:r w:rsidR="00736EB0" w:rsidRPr="00937EFE">
        <w:rPr>
          <w:rFonts w:ascii="Cambria" w:hAnsi="Cambria"/>
          <w:sz w:val="20"/>
          <w:szCs w:val="20"/>
          <w:lang w:val="es-VE"/>
        </w:rPr>
        <w:t>la demanda de amparo constitucional interpuesta a fojas cuatro y siguientes por Norka Moya Solís de</w:t>
      </w:r>
      <w:r w:rsidR="00172650" w:rsidRPr="00937EFE">
        <w:rPr>
          <w:rFonts w:ascii="Cambria" w:hAnsi="Cambria"/>
          <w:sz w:val="20"/>
          <w:szCs w:val="20"/>
          <w:lang w:val="es-VE"/>
        </w:rPr>
        <w:t xml:space="preserve"> Rocha contra el Poder Judicial</w:t>
      </w:r>
      <w:r w:rsidR="000A46BD" w:rsidRPr="00937EFE">
        <w:rPr>
          <w:rStyle w:val="FootnoteReference"/>
          <w:rFonts w:ascii="Cambria" w:hAnsi="Cambria"/>
          <w:sz w:val="20"/>
          <w:szCs w:val="20"/>
          <w:lang w:val="es-VE"/>
        </w:rPr>
        <w:footnoteReference w:id="28"/>
      </w:r>
      <w:r w:rsidR="000A46BD" w:rsidRPr="00937EFE">
        <w:rPr>
          <w:rFonts w:ascii="Cambria" w:hAnsi="Cambria"/>
          <w:sz w:val="20"/>
          <w:szCs w:val="20"/>
          <w:lang w:val="es-VE"/>
        </w:rPr>
        <w:t xml:space="preserve">. </w:t>
      </w:r>
    </w:p>
    <w:p w:rsidR="000A46BD" w:rsidRPr="00937EFE" w:rsidRDefault="000A46BD" w:rsidP="00937EFE">
      <w:pPr>
        <w:spacing w:after="0" w:line="240" w:lineRule="auto"/>
        <w:jc w:val="both"/>
        <w:rPr>
          <w:rFonts w:ascii="Cambria" w:hAnsi="Cambria"/>
          <w:b/>
          <w:sz w:val="20"/>
          <w:szCs w:val="20"/>
          <w:lang w:val="es-VE"/>
        </w:rPr>
      </w:pPr>
    </w:p>
    <w:p w:rsidR="000A46BD" w:rsidRPr="00937EFE" w:rsidRDefault="000A46BD" w:rsidP="000469B3">
      <w:pPr>
        <w:numPr>
          <w:ilvl w:val="0"/>
          <w:numId w:val="27"/>
        </w:numPr>
        <w:spacing w:after="0" w:line="240" w:lineRule="auto"/>
        <w:ind w:left="720" w:hanging="720"/>
        <w:jc w:val="both"/>
        <w:rPr>
          <w:rFonts w:ascii="Cambria" w:hAnsi="Cambria"/>
          <w:b/>
          <w:sz w:val="20"/>
          <w:szCs w:val="20"/>
        </w:rPr>
      </w:pPr>
      <w:bookmarkStart w:id="33" w:name="_Toc3453781"/>
      <w:r w:rsidRPr="00937EFE">
        <w:rPr>
          <w:rFonts w:ascii="Cambria" w:hAnsi="Cambria"/>
          <w:b/>
          <w:sz w:val="20"/>
          <w:szCs w:val="20"/>
        </w:rPr>
        <w:t>Recurso de Nulidad</w:t>
      </w:r>
      <w:bookmarkEnd w:id="33"/>
    </w:p>
    <w:p w:rsidR="000A46BD" w:rsidRPr="00937EFE" w:rsidRDefault="000A46BD" w:rsidP="00937EFE">
      <w:pPr>
        <w:spacing w:after="0" w:line="240" w:lineRule="auto"/>
        <w:jc w:val="both"/>
        <w:rPr>
          <w:rFonts w:ascii="Cambria" w:hAnsi="Cambria"/>
          <w:sz w:val="20"/>
          <w:szCs w:val="20"/>
          <w:lang w:val="es-VE"/>
        </w:rPr>
      </w:pPr>
    </w:p>
    <w:p w:rsidR="006B2276" w:rsidRPr="00937EFE" w:rsidRDefault="000A46BD"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El 8 de abril de 1998 la presunta víctima interpuso recurso de nulidad contra el pronunciamiento del 20 de marzo de 1998. En este recurso</w:t>
      </w:r>
      <w:r w:rsidR="00536649" w:rsidRPr="00937EFE">
        <w:rPr>
          <w:rFonts w:ascii="Cambria" w:hAnsi="Cambria"/>
          <w:sz w:val="20"/>
          <w:szCs w:val="20"/>
          <w:lang w:val="es-VE"/>
        </w:rPr>
        <w:t xml:space="preserve"> señaló que</w:t>
      </w:r>
      <w:r w:rsidR="004E2CA9" w:rsidRPr="00937EFE">
        <w:rPr>
          <w:rFonts w:ascii="Cambria" w:hAnsi="Cambria"/>
          <w:sz w:val="20"/>
          <w:szCs w:val="20"/>
          <w:lang w:val="es-VE"/>
        </w:rPr>
        <w:t>:</w:t>
      </w:r>
      <w:r w:rsidR="00302311" w:rsidRPr="00937EFE">
        <w:rPr>
          <w:rFonts w:ascii="Cambria" w:hAnsi="Cambria"/>
          <w:sz w:val="20"/>
          <w:szCs w:val="20"/>
          <w:lang w:val="es-VE"/>
        </w:rPr>
        <w:t xml:space="preserve"> primero</w:t>
      </w:r>
      <w:r w:rsidR="004E2CA9" w:rsidRPr="00937EFE">
        <w:rPr>
          <w:rFonts w:ascii="Cambria" w:hAnsi="Cambria"/>
          <w:sz w:val="20"/>
          <w:szCs w:val="20"/>
          <w:lang w:val="es-VE"/>
        </w:rPr>
        <w:t>,</w:t>
      </w:r>
      <w:r w:rsidR="00302311" w:rsidRPr="00937EFE">
        <w:rPr>
          <w:rFonts w:ascii="Cambria" w:hAnsi="Cambria"/>
          <w:sz w:val="20"/>
          <w:szCs w:val="20"/>
          <w:lang w:val="es-VE"/>
        </w:rPr>
        <w:t xml:space="preserve"> el D</w:t>
      </w:r>
      <w:r w:rsidR="004E2CA9" w:rsidRPr="00937EFE">
        <w:rPr>
          <w:rFonts w:ascii="Cambria" w:hAnsi="Cambria"/>
          <w:sz w:val="20"/>
          <w:szCs w:val="20"/>
          <w:lang w:val="es-VE"/>
        </w:rPr>
        <w:t xml:space="preserve">écimo Sexto Juzgado de lo Civil no había tenido en cuenta el expediente de ratificación del procedimiento de la presunta víctima para tomar la  decisión sobre la acción de amparo posterior a la orden de la Corte Suprema de justicia. Segundo, que la Sala Corporativa Transitoria Especializada de Derecho Público, al resolver la apelación realizada frente al segundo pronunciamiento del Décimo Sexto Juzgado, había señalado </w:t>
      </w:r>
      <w:r w:rsidRPr="00937EFE">
        <w:rPr>
          <w:rFonts w:ascii="Cambria" w:hAnsi="Cambria"/>
          <w:sz w:val="20"/>
          <w:szCs w:val="20"/>
          <w:lang w:val="es-VE"/>
        </w:rPr>
        <w:t>que la parte peticiona</w:t>
      </w:r>
      <w:r w:rsidR="004E2CA9" w:rsidRPr="00937EFE">
        <w:rPr>
          <w:rFonts w:ascii="Cambria" w:hAnsi="Cambria"/>
          <w:sz w:val="20"/>
          <w:szCs w:val="20"/>
          <w:lang w:val="es-VE"/>
        </w:rPr>
        <w:t>ria debía haber cuestionado el A</w:t>
      </w:r>
      <w:r w:rsidRPr="00937EFE">
        <w:rPr>
          <w:rFonts w:ascii="Cambria" w:hAnsi="Cambria"/>
          <w:sz w:val="20"/>
          <w:szCs w:val="20"/>
          <w:lang w:val="es-VE"/>
        </w:rPr>
        <w:t>cuerdo</w:t>
      </w:r>
      <w:r w:rsidR="004E2CA9" w:rsidRPr="00937EFE">
        <w:rPr>
          <w:rFonts w:ascii="Cambria" w:hAnsi="Cambria"/>
          <w:sz w:val="20"/>
          <w:szCs w:val="20"/>
          <w:lang w:val="es-VE"/>
        </w:rPr>
        <w:t xml:space="preserve"> de no ratificación</w:t>
      </w:r>
      <w:r w:rsidRPr="00937EFE">
        <w:rPr>
          <w:rFonts w:ascii="Cambria" w:hAnsi="Cambria"/>
          <w:sz w:val="20"/>
          <w:szCs w:val="20"/>
          <w:lang w:val="es-VE"/>
        </w:rPr>
        <w:t xml:space="preserve"> de la Comisión de Vocales del 10 de septiembr</w:t>
      </w:r>
      <w:r w:rsidR="004E2CA9" w:rsidRPr="00937EFE">
        <w:rPr>
          <w:rFonts w:ascii="Cambria" w:hAnsi="Cambria"/>
          <w:sz w:val="20"/>
          <w:szCs w:val="20"/>
          <w:lang w:val="es-VE"/>
        </w:rPr>
        <w:t>e de 1982, a pesar de que este A</w:t>
      </w:r>
      <w:r w:rsidRPr="00937EFE">
        <w:rPr>
          <w:rFonts w:ascii="Cambria" w:hAnsi="Cambria"/>
          <w:sz w:val="20"/>
          <w:szCs w:val="20"/>
          <w:lang w:val="es-VE"/>
        </w:rPr>
        <w:t>cuerdo y la resolución de</w:t>
      </w:r>
      <w:r w:rsidR="004E2CA9" w:rsidRPr="00937EFE">
        <w:rPr>
          <w:rFonts w:ascii="Cambria" w:hAnsi="Cambria"/>
          <w:sz w:val="20"/>
          <w:szCs w:val="20"/>
          <w:lang w:val="es-VE"/>
        </w:rPr>
        <w:t xml:space="preserve"> no ratificación</w:t>
      </w:r>
      <w:r w:rsidRPr="00937EFE">
        <w:rPr>
          <w:rFonts w:ascii="Cambria" w:hAnsi="Cambria"/>
          <w:sz w:val="20"/>
          <w:szCs w:val="20"/>
          <w:lang w:val="es-VE"/>
        </w:rPr>
        <w:t>, solo le fueron informados verbalmente y nunca le fueron notificados. Por último, expresó que el Décimo Sexto Juzgado había indicado que no podía proceder el recurso debido a que era necesario una etapa probatoria que no se encontraba en la acción de amparo, a pesar de que la peticionaria no hubiese solicitado prueba alguna. Por lo tanto, la presunta víctima afirmó que esta sentencia incumplía con el mandato expresado por la Corte Suprema</w:t>
      </w:r>
      <w:r w:rsidRPr="00937EFE">
        <w:rPr>
          <w:rStyle w:val="FootnoteReference"/>
          <w:rFonts w:ascii="Cambria" w:hAnsi="Cambria"/>
          <w:sz w:val="20"/>
          <w:szCs w:val="20"/>
          <w:lang w:val="es-VE"/>
        </w:rPr>
        <w:footnoteReference w:id="29"/>
      </w:r>
      <w:r w:rsidRPr="00937EFE">
        <w:rPr>
          <w:rFonts w:ascii="Cambria" w:hAnsi="Cambria"/>
          <w:sz w:val="20"/>
          <w:szCs w:val="20"/>
          <w:lang w:val="es-VE"/>
        </w:rPr>
        <w:t>.</w:t>
      </w:r>
    </w:p>
    <w:p w:rsidR="006B2276" w:rsidRPr="00937EFE" w:rsidRDefault="006B2276" w:rsidP="00937EFE">
      <w:pPr>
        <w:spacing w:after="0" w:line="240" w:lineRule="auto"/>
        <w:jc w:val="both"/>
        <w:rPr>
          <w:rFonts w:ascii="Cambria" w:hAnsi="Cambria"/>
          <w:sz w:val="20"/>
          <w:szCs w:val="20"/>
          <w:lang w:val="es-VE"/>
        </w:rPr>
      </w:pPr>
    </w:p>
    <w:p w:rsidR="004E2CA9" w:rsidRPr="00937EFE" w:rsidRDefault="004E2CA9" w:rsidP="00937EFE">
      <w:pPr>
        <w:numPr>
          <w:ilvl w:val="0"/>
          <w:numId w:val="3"/>
        </w:numPr>
        <w:tabs>
          <w:tab w:val="clear" w:pos="1080"/>
        </w:tabs>
        <w:spacing w:after="0" w:line="240" w:lineRule="auto"/>
        <w:ind w:left="0" w:firstLine="0"/>
        <w:jc w:val="both"/>
        <w:rPr>
          <w:rFonts w:ascii="Cambria" w:hAnsi="Cambria"/>
          <w:sz w:val="20"/>
          <w:szCs w:val="20"/>
          <w:lang w:val="es-VE"/>
        </w:rPr>
      </w:pPr>
      <w:r w:rsidRPr="00937EFE">
        <w:rPr>
          <w:rFonts w:ascii="Cambria" w:hAnsi="Cambria"/>
          <w:sz w:val="20"/>
          <w:szCs w:val="20"/>
          <w:lang w:val="es-VE"/>
        </w:rPr>
        <w:t xml:space="preserve">El 29 de octubre de 1998 la Sala de Derecho Constitucional y Social de la Corte Suprema de Justicia declaró como infundada la acción interpuesta por la parte peticionaria debido a que: </w:t>
      </w:r>
    </w:p>
    <w:p w:rsidR="008E06BF" w:rsidRPr="00937EFE" w:rsidRDefault="008E06BF" w:rsidP="00937EFE">
      <w:pPr>
        <w:spacing w:after="0" w:line="240" w:lineRule="auto"/>
        <w:jc w:val="both"/>
        <w:rPr>
          <w:rFonts w:ascii="Cambria" w:hAnsi="Cambria"/>
          <w:sz w:val="20"/>
          <w:szCs w:val="20"/>
          <w:lang w:val="es-VE"/>
        </w:rPr>
      </w:pPr>
    </w:p>
    <w:p w:rsidR="00FA158E" w:rsidRPr="00937EFE" w:rsidRDefault="00FA158E" w:rsidP="007016B5">
      <w:pPr>
        <w:spacing w:after="0" w:line="240" w:lineRule="auto"/>
        <w:ind w:left="720" w:right="720"/>
        <w:jc w:val="both"/>
        <w:rPr>
          <w:rFonts w:ascii="Cambria" w:hAnsi="Cambria"/>
          <w:sz w:val="20"/>
          <w:szCs w:val="20"/>
          <w:lang w:val="es-VE"/>
        </w:rPr>
      </w:pPr>
      <w:r w:rsidRPr="00937EFE">
        <w:rPr>
          <w:rFonts w:ascii="Cambria" w:hAnsi="Cambria"/>
          <w:sz w:val="20"/>
          <w:szCs w:val="20"/>
          <w:u w:val="single"/>
          <w:lang w:val="es-VE"/>
        </w:rPr>
        <w:t>Primero:</w:t>
      </w:r>
      <w:r w:rsidRPr="00937EFE">
        <w:rPr>
          <w:rFonts w:ascii="Cambria" w:hAnsi="Cambria"/>
          <w:sz w:val="20"/>
          <w:szCs w:val="20"/>
          <w:lang w:val="es-VE"/>
        </w:rPr>
        <w:t xml:space="preserve"> que, es objeto de la presente acción la nulidad de la Resolución Administrativa expedida por la Corte Suprema de Justicia, con fecha de doce de octubre de mil novecientos ochentitrés, por la cual se declara infundado el recurso de revisión derivado del proceso administrativo en el que no se le ratifica a la demandante en el cargo de secretaria del juzgado laboral; </w:t>
      </w:r>
      <w:r w:rsidR="00042E0D" w:rsidRPr="00937EFE">
        <w:rPr>
          <w:rFonts w:ascii="Cambria" w:hAnsi="Cambria"/>
          <w:sz w:val="20"/>
          <w:szCs w:val="20"/>
          <w:u w:val="single"/>
          <w:lang w:val="es-VE"/>
        </w:rPr>
        <w:t>S</w:t>
      </w:r>
      <w:r w:rsidRPr="00937EFE">
        <w:rPr>
          <w:rFonts w:ascii="Cambria" w:hAnsi="Cambria"/>
          <w:sz w:val="20"/>
          <w:szCs w:val="20"/>
          <w:u w:val="single"/>
          <w:lang w:val="es-VE"/>
        </w:rPr>
        <w:t>egundo</w:t>
      </w:r>
      <w:r w:rsidR="00042E0D" w:rsidRPr="00937EFE">
        <w:rPr>
          <w:rFonts w:ascii="Cambria" w:hAnsi="Cambria"/>
          <w:sz w:val="20"/>
          <w:szCs w:val="20"/>
          <w:lang w:val="es-VE"/>
        </w:rPr>
        <w:t>:</w:t>
      </w:r>
      <w:r w:rsidRPr="00937EFE">
        <w:rPr>
          <w:rFonts w:ascii="Cambria" w:hAnsi="Cambria"/>
          <w:sz w:val="20"/>
          <w:szCs w:val="20"/>
          <w:lang w:val="es-VE"/>
        </w:rPr>
        <w:t xml:space="preserve"> que, conform</w:t>
      </w:r>
      <w:r w:rsidR="00476F85" w:rsidRPr="00937EFE">
        <w:rPr>
          <w:rFonts w:ascii="Cambria" w:hAnsi="Cambria"/>
          <w:sz w:val="20"/>
          <w:szCs w:val="20"/>
          <w:lang w:val="es-VE"/>
        </w:rPr>
        <w:t>e</w:t>
      </w:r>
      <w:r w:rsidRPr="00937EFE">
        <w:rPr>
          <w:rFonts w:ascii="Cambria" w:hAnsi="Cambria"/>
          <w:sz w:val="20"/>
          <w:szCs w:val="20"/>
          <w:lang w:val="es-VE"/>
        </w:rPr>
        <w:t xml:space="preserve"> se de</w:t>
      </w:r>
      <w:r w:rsidR="008E06BF" w:rsidRPr="00937EFE">
        <w:rPr>
          <w:rFonts w:ascii="Cambria" w:hAnsi="Cambria"/>
          <w:sz w:val="20"/>
          <w:szCs w:val="20"/>
          <w:lang w:val="es-VE"/>
        </w:rPr>
        <w:t>s</w:t>
      </w:r>
      <w:r w:rsidRPr="00937EFE">
        <w:rPr>
          <w:rFonts w:ascii="Cambria" w:hAnsi="Cambria"/>
          <w:sz w:val="20"/>
          <w:szCs w:val="20"/>
          <w:lang w:val="es-VE"/>
        </w:rPr>
        <w:t>prende de fojas veintinueve a treinta del expediente administrativo, la accionante no ha sido ratificada en su cargo, por no haber cumplido a cabalidad con el desempeño de sus funciones, incurriendo en irregularidad en la tramitación</w:t>
      </w:r>
      <w:r w:rsidR="008E06BF" w:rsidRPr="00937EFE">
        <w:rPr>
          <w:rFonts w:ascii="Cambria" w:hAnsi="Cambria"/>
          <w:sz w:val="20"/>
          <w:szCs w:val="20"/>
          <w:lang w:val="es-VE"/>
        </w:rPr>
        <w:t xml:space="preserve"> de los expediente</w:t>
      </w:r>
      <w:r w:rsidR="00476F85" w:rsidRPr="00937EFE">
        <w:rPr>
          <w:rFonts w:ascii="Cambria" w:hAnsi="Cambria"/>
          <w:sz w:val="20"/>
          <w:szCs w:val="20"/>
          <w:lang w:val="es-VE"/>
        </w:rPr>
        <w:t>s</w:t>
      </w:r>
      <w:r w:rsidR="008E06BF" w:rsidRPr="00937EFE">
        <w:rPr>
          <w:rFonts w:ascii="Cambria" w:hAnsi="Cambria"/>
          <w:sz w:val="20"/>
          <w:szCs w:val="20"/>
          <w:lang w:val="es-VE"/>
        </w:rPr>
        <w:t>, entre otros</w:t>
      </w:r>
      <w:r w:rsidRPr="00937EFE">
        <w:rPr>
          <w:rFonts w:ascii="Cambria" w:hAnsi="Cambria"/>
          <w:sz w:val="20"/>
          <w:szCs w:val="20"/>
          <w:lang w:val="es-VE"/>
        </w:rPr>
        <w:t xml:space="preserve">, que a criterio de la Comisión Evaluadora ameritaba su separación del cargo; </w:t>
      </w:r>
      <w:r w:rsidRPr="00937EFE">
        <w:rPr>
          <w:rFonts w:ascii="Cambria" w:hAnsi="Cambria"/>
          <w:sz w:val="20"/>
          <w:szCs w:val="20"/>
          <w:u w:val="single"/>
          <w:lang w:val="es-VE"/>
        </w:rPr>
        <w:t>Tercero:</w:t>
      </w:r>
      <w:r w:rsidRPr="00937EFE">
        <w:rPr>
          <w:rFonts w:ascii="Cambria" w:hAnsi="Cambria"/>
          <w:sz w:val="20"/>
          <w:szCs w:val="20"/>
          <w:lang w:val="es-VE"/>
        </w:rPr>
        <w:t xml:space="preserve"> que, de dichos actuado</w:t>
      </w:r>
      <w:r w:rsidR="008E06BF" w:rsidRPr="00937EFE">
        <w:rPr>
          <w:rFonts w:ascii="Cambria" w:hAnsi="Cambria"/>
          <w:sz w:val="20"/>
          <w:szCs w:val="20"/>
          <w:lang w:val="es-VE"/>
        </w:rPr>
        <w:t>s</w:t>
      </w:r>
      <w:r w:rsidRPr="00937EFE">
        <w:rPr>
          <w:rFonts w:ascii="Cambria" w:hAnsi="Cambria"/>
          <w:sz w:val="20"/>
          <w:szCs w:val="20"/>
          <w:lang w:val="es-VE"/>
        </w:rPr>
        <w:t xml:space="preserve"> se advierte que la actora h</w:t>
      </w:r>
      <w:r w:rsidR="00613D5A" w:rsidRPr="00937EFE">
        <w:rPr>
          <w:rFonts w:ascii="Cambria" w:hAnsi="Cambria"/>
          <w:sz w:val="20"/>
          <w:szCs w:val="20"/>
          <w:lang w:val="es-VE"/>
        </w:rPr>
        <w:t>a</w:t>
      </w:r>
      <w:r w:rsidRPr="00937EFE">
        <w:rPr>
          <w:rFonts w:ascii="Cambria" w:hAnsi="Cambria"/>
          <w:sz w:val="20"/>
          <w:szCs w:val="20"/>
          <w:lang w:val="es-VE"/>
        </w:rPr>
        <w:t xml:space="preserve"> hecho uso de todos los medios de defensa e impugnatorios que le franquea a la ley; </w:t>
      </w:r>
      <w:r w:rsidRPr="00937EFE">
        <w:rPr>
          <w:rFonts w:ascii="Cambria" w:hAnsi="Cambria"/>
          <w:sz w:val="20"/>
          <w:szCs w:val="20"/>
          <w:u w:val="single"/>
          <w:lang w:val="es-VE"/>
        </w:rPr>
        <w:t>Cuarto</w:t>
      </w:r>
      <w:r w:rsidR="00042E0D" w:rsidRPr="00937EFE">
        <w:rPr>
          <w:rFonts w:ascii="Cambria" w:hAnsi="Cambria"/>
          <w:sz w:val="20"/>
          <w:szCs w:val="20"/>
          <w:lang w:val="es-VE"/>
        </w:rPr>
        <w:t>:</w:t>
      </w:r>
      <w:r w:rsidRPr="00937EFE">
        <w:rPr>
          <w:rFonts w:ascii="Cambria" w:hAnsi="Cambria"/>
          <w:sz w:val="20"/>
          <w:szCs w:val="20"/>
          <w:lang w:val="es-VE"/>
        </w:rPr>
        <w:t xml:space="preserve"> que, la pretensión de la actora de enervar las conclusiones y consecuencias de la Resolución materia de amparo, debe ser discutida </w:t>
      </w:r>
      <w:r w:rsidR="005D214F" w:rsidRPr="00937EFE">
        <w:rPr>
          <w:rFonts w:ascii="Cambria" w:hAnsi="Cambria"/>
          <w:sz w:val="20"/>
          <w:szCs w:val="20"/>
          <w:lang w:val="es-VE"/>
        </w:rPr>
        <w:t>e</w:t>
      </w:r>
      <w:r w:rsidRPr="00937EFE">
        <w:rPr>
          <w:rFonts w:ascii="Cambria" w:hAnsi="Cambria"/>
          <w:sz w:val="20"/>
          <w:szCs w:val="20"/>
          <w:lang w:val="es-VE"/>
        </w:rPr>
        <w:t xml:space="preserve">n una vía más idónea donde se actúen y meritúen </w:t>
      </w:r>
      <w:r w:rsidRPr="00937EFE">
        <w:rPr>
          <w:rFonts w:ascii="Cambria" w:hAnsi="Cambria"/>
          <w:sz w:val="20"/>
          <w:szCs w:val="20"/>
          <w:lang w:val="es-ES_tradnl"/>
        </w:rPr>
        <w:t>[…]</w:t>
      </w:r>
      <w:r w:rsidRPr="00937EFE">
        <w:rPr>
          <w:rFonts w:ascii="Cambria" w:hAnsi="Cambria"/>
          <w:sz w:val="20"/>
          <w:szCs w:val="20"/>
          <w:lang w:val="es-VE"/>
        </w:rPr>
        <w:t xml:space="preserve"> los medios probatorios que sean necesarios por las que , declararon NO HABER NULIDAD</w:t>
      </w:r>
      <w:r w:rsidR="004E2CA9" w:rsidRPr="00937EFE">
        <w:rPr>
          <w:rStyle w:val="FootnoteReference"/>
          <w:rFonts w:ascii="Cambria" w:hAnsi="Cambria"/>
          <w:sz w:val="20"/>
          <w:szCs w:val="20"/>
          <w:lang w:val="es-VE"/>
        </w:rPr>
        <w:footnoteReference w:id="30"/>
      </w:r>
      <w:r w:rsidR="004E2CA9" w:rsidRPr="00937EFE">
        <w:rPr>
          <w:rFonts w:ascii="Cambria" w:hAnsi="Cambria"/>
          <w:sz w:val="20"/>
          <w:szCs w:val="20"/>
          <w:lang w:val="es-VE"/>
        </w:rPr>
        <w:t xml:space="preserve">. </w:t>
      </w:r>
    </w:p>
    <w:p w:rsidR="00FA158E" w:rsidRPr="00937EFE" w:rsidRDefault="00FA158E" w:rsidP="00937EFE">
      <w:pPr>
        <w:spacing w:after="0" w:line="240" w:lineRule="auto"/>
        <w:jc w:val="both"/>
        <w:rPr>
          <w:rFonts w:ascii="Cambria" w:hAnsi="Cambria"/>
          <w:sz w:val="20"/>
          <w:szCs w:val="20"/>
          <w:lang w:val="es-VE"/>
        </w:rPr>
      </w:pPr>
    </w:p>
    <w:p w:rsidR="008E06BF" w:rsidRPr="00937EFE" w:rsidRDefault="008E06BF" w:rsidP="00937EFE">
      <w:pPr>
        <w:numPr>
          <w:ilvl w:val="0"/>
          <w:numId w:val="3"/>
        </w:numPr>
        <w:tabs>
          <w:tab w:val="clear" w:pos="1080"/>
        </w:tabs>
        <w:spacing w:after="0" w:line="240" w:lineRule="auto"/>
        <w:ind w:left="0" w:firstLine="0"/>
        <w:jc w:val="both"/>
        <w:rPr>
          <w:rFonts w:ascii="Cambria" w:hAnsi="Cambria"/>
          <w:sz w:val="20"/>
          <w:szCs w:val="20"/>
        </w:rPr>
      </w:pPr>
      <w:r w:rsidRPr="00937EFE">
        <w:rPr>
          <w:rFonts w:ascii="Cambria" w:hAnsi="Cambria"/>
          <w:sz w:val="20"/>
          <w:szCs w:val="20"/>
          <w:lang w:val="es-VE"/>
        </w:rPr>
        <w:t>La Comisión toma nota que un magistrado emitió un voto disidente en tal decisión, indicando que se debió tomar una decisión de nuevo con base en el expediente de ratificaciones, para efectos de determinar si se cometió una violación al debido proceso durante el proceso de ratificación de la señora Moya Solís</w:t>
      </w:r>
      <w:r w:rsidR="004E2CA9" w:rsidRPr="00937EFE">
        <w:rPr>
          <w:rStyle w:val="FootnoteReference"/>
          <w:rFonts w:ascii="Cambria" w:hAnsi="Cambria"/>
          <w:sz w:val="20"/>
          <w:szCs w:val="20"/>
          <w:lang w:val="es-VE"/>
        </w:rPr>
        <w:footnoteReference w:id="31"/>
      </w:r>
      <w:r w:rsidR="00FA158E" w:rsidRPr="00937EFE">
        <w:rPr>
          <w:rFonts w:ascii="Cambria" w:hAnsi="Cambria"/>
          <w:sz w:val="20"/>
          <w:szCs w:val="20"/>
          <w:lang w:val="es-VE"/>
        </w:rPr>
        <w:t>.</w:t>
      </w:r>
    </w:p>
    <w:p w:rsidR="00615A60" w:rsidRPr="00937EFE" w:rsidRDefault="00FA158E" w:rsidP="00937EFE">
      <w:pPr>
        <w:spacing w:after="0" w:line="240" w:lineRule="auto"/>
        <w:jc w:val="both"/>
        <w:rPr>
          <w:rFonts w:ascii="Cambria" w:hAnsi="Cambria"/>
          <w:sz w:val="20"/>
          <w:szCs w:val="20"/>
        </w:rPr>
      </w:pPr>
      <w:r w:rsidRPr="00937EFE">
        <w:rPr>
          <w:rFonts w:ascii="Cambria" w:hAnsi="Cambria"/>
          <w:sz w:val="20"/>
          <w:szCs w:val="20"/>
          <w:lang w:val="es-VE"/>
        </w:rPr>
        <w:t xml:space="preserve"> </w:t>
      </w:r>
    </w:p>
    <w:p w:rsidR="00243943" w:rsidRDefault="00243943">
      <w:pPr>
        <w:spacing w:after="0" w:line="240" w:lineRule="auto"/>
        <w:rPr>
          <w:rFonts w:ascii="Cambria" w:eastAsia="Times New Roman" w:hAnsi="Cambria"/>
          <w:b/>
          <w:sz w:val="20"/>
          <w:szCs w:val="20"/>
          <w:lang w:val="es-ES_tradnl"/>
        </w:rPr>
      </w:pPr>
      <w:bookmarkStart w:id="34" w:name="_Toc4595238"/>
      <w:r>
        <w:br w:type="page"/>
      </w:r>
    </w:p>
    <w:p w:rsidR="000C5859" w:rsidRPr="00937EFE" w:rsidRDefault="00FA158E" w:rsidP="00243943">
      <w:pPr>
        <w:pStyle w:val="Heading1"/>
        <w:numPr>
          <w:ilvl w:val="0"/>
          <w:numId w:val="2"/>
        </w:numPr>
        <w:tabs>
          <w:tab w:val="clear" w:pos="1440"/>
        </w:tabs>
        <w:ind w:left="720"/>
      </w:pPr>
      <w:r w:rsidRPr="00937EFE">
        <w:t>DETERMINACIONES DE DERECHO</w:t>
      </w:r>
      <w:bookmarkStart w:id="35" w:name="_Toc3453783"/>
      <w:bookmarkEnd w:id="34"/>
    </w:p>
    <w:p w:rsidR="00884726" w:rsidRPr="00937EFE" w:rsidRDefault="00884726" w:rsidP="00937EFE">
      <w:pPr>
        <w:spacing w:after="0"/>
        <w:rPr>
          <w:rFonts w:ascii="Cambria" w:hAnsi="Cambria"/>
          <w:sz w:val="20"/>
          <w:szCs w:val="20"/>
          <w:lang w:val="es-ES_tradnl"/>
        </w:rPr>
      </w:pPr>
    </w:p>
    <w:p w:rsidR="00FA158E" w:rsidRPr="00937EFE" w:rsidRDefault="00FA158E" w:rsidP="00243943">
      <w:pPr>
        <w:pStyle w:val="Heading2"/>
        <w:numPr>
          <w:ilvl w:val="0"/>
          <w:numId w:val="30"/>
        </w:numPr>
        <w:ind w:left="720" w:hanging="720"/>
      </w:pPr>
      <w:bookmarkStart w:id="36" w:name="_Toc4595239"/>
      <w:r w:rsidRPr="00937EFE">
        <w:t>Consideraciones generales sobre las garantías aplicables a los procesos administrativos sancionatorios</w:t>
      </w:r>
      <w:bookmarkEnd w:id="35"/>
      <w:bookmarkEnd w:id="36"/>
    </w:p>
    <w:p w:rsidR="00FA158E" w:rsidRPr="00937EFE" w:rsidRDefault="00FA158E" w:rsidP="00937EFE">
      <w:pPr>
        <w:spacing w:after="0" w:line="240" w:lineRule="auto"/>
        <w:ind w:left="720"/>
        <w:jc w:val="both"/>
        <w:rPr>
          <w:rFonts w:ascii="Cambria" w:hAnsi="Cambria"/>
          <w:sz w:val="20"/>
          <w:szCs w:val="20"/>
          <w:lang w:val="es-VE"/>
        </w:rPr>
      </w:pPr>
    </w:p>
    <w:p w:rsidR="00C412B9" w:rsidRDefault="00D53C1E" w:rsidP="00C412B9">
      <w:pPr>
        <w:numPr>
          <w:ilvl w:val="0"/>
          <w:numId w:val="3"/>
        </w:numPr>
        <w:tabs>
          <w:tab w:val="clear" w:pos="1080"/>
        </w:tabs>
        <w:spacing w:after="0" w:line="240" w:lineRule="auto"/>
        <w:ind w:left="0" w:firstLine="0"/>
        <w:jc w:val="both"/>
        <w:rPr>
          <w:rFonts w:ascii="Cambria" w:eastAsia="Cambria" w:hAnsi="Cambria" w:cs="Cambria"/>
          <w:b/>
          <w:sz w:val="20"/>
          <w:szCs w:val="20"/>
          <w:u w:color="000000"/>
          <w:lang w:val="es-ES_tradnl" w:eastAsia="es-ES"/>
        </w:rPr>
      </w:pPr>
      <w:r w:rsidRPr="00937EFE">
        <w:rPr>
          <w:rFonts w:ascii="Cambria" w:hAnsi="Cambria"/>
          <w:sz w:val="20"/>
          <w:szCs w:val="20"/>
        </w:rPr>
        <w:t>La Comisión recuerda que ambos órganos del sistema interamericano han indicado que las garantías establecidas en el artículo 8 de la Convención Americana, no se limitan a procesos penales</w:t>
      </w:r>
      <w:r w:rsidRPr="00937EFE">
        <w:rPr>
          <w:rFonts w:ascii="Cambria" w:hAnsi="Cambria"/>
          <w:sz w:val="20"/>
          <w:szCs w:val="20"/>
          <w:lang w:val="es-ES" w:eastAsia="es-ES"/>
        </w:rPr>
        <w:t>, sino que aplican a procesos de otra naturaleza</w:t>
      </w:r>
      <w:r w:rsidRPr="00937EFE">
        <w:rPr>
          <w:rFonts w:ascii="Cambria" w:hAnsi="Cambria"/>
          <w:sz w:val="20"/>
          <w:szCs w:val="20"/>
          <w:vertAlign w:val="superscript"/>
          <w:lang w:eastAsia="es-ES"/>
        </w:rPr>
        <w:footnoteReference w:id="32"/>
      </w:r>
      <w:r w:rsidRPr="00937EFE">
        <w:rPr>
          <w:rFonts w:ascii="Cambria" w:hAnsi="Cambria"/>
          <w:sz w:val="20"/>
          <w:szCs w:val="20"/>
          <w:lang w:val="es-ES" w:eastAsia="es-ES"/>
        </w:rPr>
        <w:t>. Específicamente, cuando se trata de procesos sancionatorios, ambos órganos han indicado que aplican, análogamente, las garantías establecidas en el artículo 8.2 de la Convención Americana</w:t>
      </w:r>
      <w:r w:rsidRPr="00937EFE">
        <w:rPr>
          <w:rFonts w:ascii="Cambria" w:hAnsi="Cambria"/>
          <w:sz w:val="20"/>
          <w:szCs w:val="20"/>
          <w:vertAlign w:val="superscript"/>
          <w:lang w:eastAsia="es-ES"/>
        </w:rPr>
        <w:footnoteReference w:id="33"/>
      </w:r>
      <w:r w:rsidRPr="00937EFE">
        <w:rPr>
          <w:rFonts w:ascii="Cambria" w:hAnsi="Cambria"/>
          <w:sz w:val="20"/>
          <w:szCs w:val="20"/>
          <w:lang w:val="es-ES" w:eastAsia="es-ES"/>
        </w:rPr>
        <w:t>.</w:t>
      </w:r>
      <w:r w:rsidRPr="00937EFE">
        <w:rPr>
          <w:rFonts w:ascii="Cambria" w:eastAsia="Cambria" w:hAnsi="Cambria" w:cs="Cambria"/>
          <w:b/>
          <w:sz w:val="20"/>
          <w:szCs w:val="20"/>
          <w:u w:color="000000"/>
          <w:lang w:val="es-ES_tradnl" w:eastAsia="es-ES"/>
        </w:rPr>
        <w:t xml:space="preserve"> </w:t>
      </w:r>
      <w:r w:rsidRPr="00937EFE">
        <w:rPr>
          <w:rFonts w:ascii="Cambria" w:eastAsia="Cambria" w:hAnsi="Cambria" w:cs="Cambria"/>
          <w:sz w:val="20"/>
          <w:szCs w:val="20"/>
          <w:u w:color="000000"/>
          <w:lang w:val="es-ES_tradnl" w:eastAsia="es-ES"/>
        </w:rPr>
        <w:t xml:space="preserve">Igualmente, el principio de legalidad es aplicable a los procesos disciplinarios que son </w:t>
      </w:r>
      <w:r w:rsidRPr="00937EFE">
        <w:rPr>
          <w:rFonts w:ascii="Cambria" w:hAnsi="Cambria" w:cs="Verdana"/>
          <w:sz w:val="20"/>
          <w:szCs w:val="20"/>
          <w:lang w:val="es-UY"/>
        </w:rPr>
        <w:t>“una expresión del poder punitivo del Estado” puesto que implican un menoscabo o alteración de los derechos de las personas como consecuencia de una conducta ilícita</w:t>
      </w:r>
      <w:r w:rsidRPr="00937EFE">
        <w:rPr>
          <w:rFonts w:ascii="Cambria" w:hAnsi="Cambria" w:cs="Verdana"/>
          <w:sz w:val="20"/>
          <w:szCs w:val="20"/>
          <w:vertAlign w:val="superscript"/>
          <w:lang w:val="es-UY"/>
        </w:rPr>
        <w:footnoteReference w:id="34"/>
      </w:r>
      <w:r w:rsidRPr="00937EFE">
        <w:rPr>
          <w:rFonts w:ascii="Cambria" w:hAnsi="Cambria" w:cs="Verdana"/>
          <w:sz w:val="20"/>
          <w:szCs w:val="20"/>
          <w:lang w:val="es-UY"/>
        </w:rPr>
        <w:t xml:space="preserve">. </w:t>
      </w:r>
    </w:p>
    <w:p w:rsidR="00C412B9" w:rsidRDefault="00C412B9" w:rsidP="00C412B9">
      <w:pPr>
        <w:spacing w:after="0" w:line="240" w:lineRule="auto"/>
        <w:jc w:val="both"/>
        <w:rPr>
          <w:rFonts w:ascii="Cambria" w:eastAsia="Cambria" w:hAnsi="Cambria" w:cs="Cambria"/>
          <w:b/>
          <w:sz w:val="20"/>
          <w:szCs w:val="20"/>
          <w:u w:color="000000"/>
          <w:lang w:val="es-ES_tradnl" w:eastAsia="es-ES"/>
        </w:rPr>
      </w:pPr>
    </w:p>
    <w:p w:rsidR="00C412B9" w:rsidRDefault="00796805" w:rsidP="00C412B9">
      <w:pPr>
        <w:numPr>
          <w:ilvl w:val="0"/>
          <w:numId w:val="3"/>
        </w:numPr>
        <w:tabs>
          <w:tab w:val="clear" w:pos="1080"/>
        </w:tabs>
        <w:spacing w:after="0" w:line="240" w:lineRule="auto"/>
        <w:ind w:left="0" w:firstLine="0"/>
        <w:jc w:val="both"/>
        <w:rPr>
          <w:rFonts w:ascii="Cambria" w:eastAsia="Cambria" w:hAnsi="Cambria" w:cs="Cambria"/>
          <w:b/>
          <w:sz w:val="20"/>
          <w:szCs w:val="20"/>
          <w:u w:color="000000"/>
          <w:lang w:val="es-ES_tradnl" w:eastAsia="es-ES"/>
        </w:rPr>
      </w:pPr>
      <w:r w:rsidRPr="00C412B9">
        <w:rPr>
          <w:rFonts w:ascii="Cambria" w:hAnsi="Cambria"/>
          <w:sz w:val="20"/>
          <w:szCs w:val="20"/>
          <w:lang w:val="es-ES" w:eastAsia="es-ES"/>
        </w:rPr>
        <w:t xml:space="preserve">Conforme a lo anterior, para la determinación de cuáles son las garantías que el Estado tenía la obligación de otorgar en el caso concreto, resulta necesario hacer referencia al carácter del proceso en cuestión. </w:t>
      </w:r>
    </w:p>
    <w:p w:rsidR="00C412B9" w:rsidRDefault="00C412B9" w:rsidP="00C412B9">
      <w:pPr>
        <w:pStyle w:val="ListParagraph"/>
        <w:rPr>
          <w:rFonts w:ascii="Cambria" w:hAnsi="Cambria"/>
          <w:sz w:val="20"/>
          <w:szCs w:val="20"/>
          <w:lang w:val="es-VE"/>
        </w:rPr>
      </w:pPr>
    </w:p>
    <w:p w:rsidR="006D1C53" w:rsidRPr="00C412B9" w:rsidRDefault="00FA158E" w:rsidP="00C412B9">
      <w:pPr>
        <w:numPr>
          <w:ilvl w:val="0"/>
          <w:numId w:val="3"/>
        </w:numPr>
        <w:tabs>
          <w:tab w:val="clear" w:pos="1080"/>
        </w:tabs>
        <w:spacing w:after="0" w:line="240" w:lineRule="auto"/>
        <w:ind w:left="0" w:firstLine="0"/>
        <w:jc w:val="both"/>
        <w:rPr>
          <w:rFonts w:ascii="Cambria" w:eastAsia="Cambria" w:hAnsi="Cambria" w:cs="Cambria"/>
          <w:b/>
          <w:sz w:val="20"/>
          <w:szCs w:val="20"/>
          <w:u w:color="000000"/>
          <w:lang w:val="es-ES_tradnl" w:eastAsia="es-ES"/>
        </w:rPr>
      </w:pPr>
      <w:r w:rsidRPr="00C412B9">
        <w:rPr>
          <w:rFonts w:ascii="Cambria" w:hAnsi="Cambria"/>
          <w:sz w:val="20"/>
          <w:szCs w:val="20"/>
          <w:lang w:val="es-VE"/>
        </w:rPr>
        <w:t xml:space="preserve">En el presente caso </w:t>
      </w:r>
      <w:r w:rsidR="00796805" w:rsidRPr="00C412B9">
        <w:rPr>
          <w:rFonts w:ascii="Cambria" w:hAnsi="Cambria"/>
          <w:sz w:val="20"/>
          <w:szCs w:val="20"/>
          <w:lang w:val="es-VE"/>
        </w:rPr>
        <w:t>la presunta víctima fue separada de su ca</w:t>
      </w:r>
      <w:r w:rsidR="00F84FDE" w:rsidRPr="00C412B9">
        <w:rPr>
          <w:rFonts w:ascii="Cambria" w:hAnsi="Cambria"/>
          <w:sz w:val="20"/>
          <w:szCs w:val="20"/>
          <w:lang w:val="es-VE"/>
        </w:rPr>
        <w:t>rgo de Secretaría Judicial del Décimo</w:t>
      </w:r>
      <w:r w:rsidR="00796805" w:rsidRPr="00C412B9">
        <w:rPr>
          <w:rFonts w:ascii="Cambria" w:hAnsi="Cambria"/>
          <w:sz w:val="20"/>
          <w:szCs w:val="20"/>
          <w:lang w:val="es-VE"/>
        </w:rPr>
        <w:t xml:space="preserve"> Juzgado del Fuero Privativo del Trabajo y Comunidades Laborales como consecuencia del proceso de ratificación consagrado en la legislación interna del Perú que establecía </w:t>
      </w:r>
      <w:r w:rsidR="001C5917" w:rsidRPr="00C412B9">
        <w:rPr>
          <w:rFonts w:ascii="Cambria" w:hAnsi="Cambria"/>
          <w:sz w:val="20"/>
          <w:szCs w:val="20"/>
          <w:lang w:val="es-VE"/>
        </w:rPr>
        <w:t xml:space="preserve">dicho mecanismo frente a </w:t>
      </w:r>
      <w:r w:rsidR="00796805" w:rsidRPr="00C412B9">
        <w:rPr>
          <w:rFonts w:ascii="Cambria" w:hAnsi="Cambria"/>
          <w:sz w:val="20"/>
          <w:szCs w:val="20"/>
          <w:lang w:val="es-VE"/>
        </w:rPr>
        <w:t xml:space="preserve">secretarios de juzgados cada tres años.  Atendiendo </w:t>
      </w:r>
      <w:r w:rsidR="005037AA" w:rsidRPr="00C412B9">
        <w:rPr>
          <w:rFonts w:ascii="Cambria" w:hAnsi="Cambria"/>
          <w:sz w:val="20"/>
          <w:szCs w:val="20"/>
          <w:lang w:val="es-VE"/>
        </w:rPr>
        <w:t>a la naturaleza y efectos del procedimiento, y tomando en cuenta que el control disciplinario tiene esencialmente como objeto valorar la conducta, idoneidad y desempeño de un servidor público, la Comisión estima que se trató de un procedimiento de carácter sancionatorio y</w:t>
      </w:r>
      <w:r w:rsidR="00B30651" w:rsidRPr="00C412B9">
        <w:rPr>
          <w:rFonts w:ascii="Cambria" w:hAnsi="Cambria"/>
          <w:sz w:val="20"/>
          <w:szCs w:val="20"/>
          <w:lang w:val="es-VE"/>
        </w:rPr>
        <w:t>,</w:t>
      </w:r>
      <w:r w:rsidR="005037AA" w:rsidRPr="00C412B9">
        <w:rPr>
          <w:rFonts w:ascii="Cambria" w:hAnsi="Cambria"/>
          <w:sz w:val="20"/>
          <w:szCs w:val="20"/>
          <w:lang w:val="es-VE"/>
        </w:rPr>
        <w:t xml:space="preserve"> por lo tanto, las garant</w:t>
      </w:r>
      <w:r w:rsidR="00FE2CF4" w:rsidRPr="00C412B9">
        <w:rPr>
          <w:rFonts w:ascii="Cambria" w:hAnsi="Cambria"/>
          <w:sz w:val="20"/>
          <w:szCs w:val="20"/>
          <w:lang w:val="es-VE"/>
        </w:rPr>
        <w:t xml:space="preserve">ías aplicables </w:t>
      </w:r>
      <w:r w:rsidR="005037AA" w:rsidRPr="00C412B9">
        <w:rPr>
          <w:rFonts w:ascii="Cambria" w:hAnsi="Cambria"/>
          <w:sz w:val="20"/>
          <w:szCs w:val="20"/>
          <w:lang w:val="es-ES" w:eastAsia="es-ES"/>
        </w:rPr>
        <w:t xml:space="preserve">incluyen de manera análoga y </w:t>
      </w:r>
      <w:r w:rsidR="005037AA" w:rsidRPr="00C412B9">
        <w:rPr>
          <w:rFonts w:ascii="Cambria" w:hAnsi="Cambria"/>
          <w:i/>
          <w:sz w:val="20"/>
          <w:szCs w:val="20"/>
          <w:lang w:val="es-ES" w:eastAsia="es-ES"/>
        </w:rPr>
        <w:t xml:space="preserve">mutatis mutandis </w:t>
      </w:r>
      <w:r w:rsidR="005037AA" w:rsidRPr="00C412B9">
        <w:rPr>
          <w:rFonts w:ascii="Cambria" w:hAnsi="Cambria"/>
          <w:sz w:val="20"/>
          <w:szCs w:val="20"/>
          <w:lang w:val="es-ES" w:eastAsia="es-ES"/>
        </w:rPr>
        <w:t xml:space="preserve">las relativas a un proceso penal. En particular, resultan relevantes para el análisis de este caso las garantías establecidas en los artículos 8.1, 8.2 </w:t>
      </w:r>
      <w:r w:rsidR="009935B8" w:rsidRPr="00C412B9">
        <w:rPr>
          <w:rFonts w:ascii="Cambria" w:hAnsi="Cambria"/>
          <w:sz w:val="20"/>
          <w:szCs w:val="20"/>
          <w:lang w:val="es-ES" w:eastAsia="es-ES"/>
        </w:rPr>
        <w:t>y 9 de la Convención Americana.</w:t>
      </w:r>
    </w:p>
    <w:p w:rsidR="00A0023C" w:rsidRPr="00937EFE" w:rsidRDefault="00A0023C" w:rsidP="00937EFE">
      <w:pPr>
        <w:spacing w:after="0" w:line="240" w:lineRule="auto"/>
        <w:jc w:val="both"/>
        <w:rPr>
          <w:rFonts w:ascii="Cambria" w:hAnsi="Cambria"/>
          <w:sz w:val="20"/>
          <w:szCs w:val="20"/>
          <w:lang w:val="es-VE"/>
        </w:rPr>
      </w:pPr>
    </w:p>
    <w:p w:rsidR="00FA158E" w:rsidRPr="00937EFE" w:rsidRDefault="0099531B" w:rsidP="00243943">
      <w:pPr>
        <w:pStyle w:val="Heading2"/>
        <w:numPr>
          <w:ilvl w:val="0"/>
          <w:numId w:val="30"/>
        </w:numPr>
        <w:ind w:left="720" w:hanging="720"/>
        <w:rPr>
          <w:lang w:val="es-ES" w:eastAsia="es-ES"/>
        </w:rPr>
      </w:pPr>
      <w:bookmarkStart w:id="37" w:name="_Toc527450133"/>
      <w:bookmarkStart w:id="38" w:name="_Toc3453784"/>
      <w:bookmarkStart w:id="39" w:name="_Toc4595240"/>
      <w:r w:rsidRPr="00937EFE">
        <w:t>El d</w:t>
      </w:r>
      <w:r w:rsidR="00FA158E" w:rsidRPr="00937EFE">
        <w:t>erecho a conocer previa y detalladamente la acusación formulada</w:t>
      </w:r>
      <w:r w:rsidR="006D1C53" w:rsidRPr="00937EFE">
        <w:rPr>
          <w:rStyle w:val="FootnoteReference"/>
          <w:rFonts w:ascii="Cambria" w:hAnsi="Cambria"/>
          <w:sz w:val="20"/>
        </w:rPr>
        <w:footnoteReference w:id="35"/>
      </w:r>
      <w:r w:rsidR="00FA158E" w:rsidRPr="00937EFE">
        <w:t xml:space="preserve"> y derecho a tener el tiempo y los medios adecuados para la defensa</w:t>
      </w:r>
      <w:r w:rsidR="00FA158E" w:rsidRPr="00937EFE">
        <w:rPr>
          <w:rStyle w:val="FootnoteReference"/>
          <w:rFonts w:ascii="Cambria" w:hAnsi="Cambria"/>
          <w:sz w:val="20"/>
        </w:rPr>
        <w:footnoteReference w:id="36"/>
      </w:r>
      <w:bookmarkEnd w:id="37"/>
      <w:bookmarkEnd w:id="38"/>
      <w:r w:rsidR="00FA158E" w:rsidRPr="00937EFE">
        <w:t>.</w:t>
      </w:r>
      <w:bookmarkEnd w:id="39"/>
      <w:r w:rsidR="00FA158E" w:rsidRPr="00937EFE">
        <w:t xml:space="preserve"> </w:t>
      </w:r>
    </w:p>
    <w:p w:rsidR="00633E9F" w:rsidRPr="00937EFE" w:rsidRDefault="00633E9F" w:rsidP="00937EFE">
      <w:pPr>
        <w:spacing w:after="0" w:line="240" w:lineRule="auto"/>
        <w:jc w:val="both"/>
        <w:rPr>
          <w:rFonts w:ascii="Cambria" w:hAnsi="Cambria"/>
          <w:sz w:val="20"/>
          <w:szCs w:val="20"/>
          <w:lang w:val="es-ES" w:eastAsia="es-ES"/>
        </w:rPr>
      </w:pPr>
    </w:p>
    <w:p w:rsidR="006B2276" w:rsidRPr="00937EFE" w:rsidRDefault="00633E9F"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VE"/>
        </w:rPr>
        <w:t>En</w:t>
      </w:r>
      <w:r w:rsidRPr="00937EFE">
        <w:rPr>
          <w:rFonts w:ascii="Cambria" w:hAnsi="Cambria"/>
          <w:sz w:val="20"/>
          <w:szCs w:val="20"/>
          <w:lang w:val="es-ES" w:eastAsia="es-ES"/>
        </w:rPr>
        <w:t xml:space="preserve"> relación con la garantía de conocer previa y detalladamente la acusación, la Comisión recuerda que el artículo 8.2 b) de la Convención Americana “ordena a las autoridades judiciales competentes a notificar al inculpado la acusación formulada en su contra, sus razones y los delitos o faltas por los cuales se le atribuye responsabilidad”</w:t>
      </w:r>
      <w:r w:rsidRPr="00937EFE">
        <w:rPr>
          <w:rStyle w:val="FootnoteReference"/>
          <w:rFonts w:ascii="Cambria" w:hAnsi="Cambria"/>
          <w:sz w:val="20"/>
          <w:szCs w:val="20"/>
          <w:lang w:val="es-ES" w:eastAsia="es-ES"/>
        </w:rPr>
        <w:footnoteReference w:id="37"/>
      </w:r>
      <w:r w:rsidRPr="00937EFE">
        <w:rPr>
          <w:rFonts w:ascii="Cambria" w:hAnsi="Cambria"/>
          <w:sz w:val="20"/>
          <w:szCs w:val="20"/>
          <w:lang w:val="es-ES" w:eastAsia="es-ES"/>
        </w:rPr>
        <w:t>.</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633E9F"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 w:eastAsia="es-ES"/>
        </w:rPr>
        <w:t xml:space="preserve">Al respecto, en el caso </w:t>
      </w:r>
      <w:r w:rsidRPr="00937EFE">
        <w:rPr>
          <w:rFonts w:ascii="Cambria" w:hAnsi="Cambria"/>
          <w:i/>
          <w:sz w:val="20"/>
          <w:szCs w:val="20"/>
          <w:lang w:val="es-ES" w:eastAsia="es-ES"/>
        </w:rPr>
        <w:t>Barreto Leiva</w:t>
      </w:r>
      <w:r w:rsidR="000F4E38" w:rsidRPr="00937EFE">
        <w:rPr>
          <w:rFonts w:ascii="Cambria" w:hAnsi="Cambria"/>
          <w:sz w:val="20"/>
          <w:szCs w:val="20"/>
          <w:lang w:val="es-ES" w:eastAsia="es-ES"/>
        </w:rPr>
        <w:t xml:space="preserve"> </w:t>
      </w:r>
      <w:r w:rsidR="000F4E38" w:rsidRPr="00937EFE">
        <w:rPr>
          <w:rFonts w:ascii="Cambria" w:hAnsi="Cambria"/>
          <w:i/>
          <w:sz w:val="20"/>
          <w:szCs w:val="20"/>
          <w:lang w:val="es-ES" w:eastAsia="es-ES"/>
        </w:rPr>
        <w:t>vs. Venezuela</w:t>
      </w:r>
      <w:r w:rsidRPr="00937EFE">
        <w:rPr>
          <w:rFonts w:ascii="Cambria" w:hAnsi="Cambria"/>
          <w:sz w:val="20"/>
          <w:szCs w:val="20"/>
          <w:lang w:val="es-ES" w:eastAsia="es-ES"/>
        </w:rPr>
        <w:t>, la Corte Interamericana indicó que “para satisfacer el artículo 8.2 b) de la Convención, el Estado debe informar al interesado no solamente de la causa de la acusación, esto es, las acciones u omisiones que se le imputan, sino también las razones que llevan al Estado a formular la acusación, los fundamentos probatorios de ésta y la caracterización legal que se da a esos hechos. Toda esta información debe ser expresa clara, integral y suficientemente detallada para permitir al acusado que ejerza plenamente su derecho a la defensa y muestre a</w:t>
      </w:r>
      <w:r w:rsidR="00B61B36" w:rsidRPr="00937EFE">
        <w:rPr>
          <w:rFonts w:ascii="Cambria" w:hAnsi="Cambria"/>
          <w:sz w:val="20"/>
          <w:szCs w:val="20"/>
          <w:lang w:val="es-ES" w:eastAsia="es-ES"/>
        </w:rPr>
        <w:t xml:space="preserve"> la autoridad sancionadora</w:t>
      </w:r>
      <w:r w:rsidRPr="00937EFE">
        <w:rPr>
          <w:rFonts w:ascii="Cambria" w:hAnsi="Cambria"/>
          <w:sz w:val="20"/>
          <w:szCs w:val="20"/>
          <w:lang w:val="es-ES" w:eastAsia="es-ES"/>
        </w:rPr>
        <w:t xml:space="preserve"> su versión de los hechos. La Corte ha considerado que la puntual observancia del artículo 8.2 b) es esencial para el ejercicio efectivo del derecho a la defensa”</w:t>
      </w:r>
      <w:r w:rsidRPr="00937EFE">
        <w:rPr>
          <w:rStyle w:val="FootnoteReference"/>
          <w:rFonts w:ascii="Cambria" w:hAnsi="Cambria"/>
          <w:sz w:val="20"/>
          <w:szCs w:val="20"/>
          <w:lang w:val="es-ES"/>
        </w:rPr>
        <w:t xml:space="preserve"> </w:t>
      </w:r>
      <w:r w:rsidRPr="00937EFE">
        <w:rPr>
          <w:rStyle w:val="FootnoteReference"/>
          <w:rFonts w:ascii="Cambria" w:hAnsi="Cambria"/>
          <w:sz w:val="20"/>
          <w:szCs w:val="20"/>
          <w:lang w:val="es-ES"/>
        </w:rPr>
        <w:footnoteReference w:id="38"/>
      </w:r>
      <w:r w:rsidRPr="00937EFE">
        <w:rPr>
          <w:rFonts w:ascii="Cambria" w:hAnsi="Cambria"/>
          <w:sz w:val="20"/>
          <w:szCs w:val="20"/>
          <w:lang w:val="es-ES" w:eastAsia="es-ES"/>
        </w:rPr>
        <w:t xml:space="preserve">. </w:t>
      </w:r>
      <w:r w:rsidRPr="00937EFE">
        <w:rPr>
          <w:rFonts w:ascii="Cambria" w:hAnsi="Cambria"/>
          <w:sz w:val="20"/>
          <w:szCs w:val="20"/>
          <w:lang w:val="es-ES_tradnl"/>
        </w:rPr>
        <w:t xml:space="preserve">En el </w:t>
      </w:r>
      <w:r w:rsidR="0095684E" w:rsidRPr="00937EFE">
        <w:rPr>
          <w:rFonts w:ascii="Cambria" w:hAnsi="Cambria"/>
          <w:sz w:val="20"/>
          <w:szCs w:val="20"/>
          <w:lang w:val="es-ES_tradnl"/>
        </w:rPr>
        <w:t xml:space="preserve">mismo </w:t>
      </w:r>
      <w:r w:rsidRPr="00937EFE">
        <w:rPr>
          <w:rFonts w:ascii="Cambria" w:hAnsi="Cambria"/>
          <w:sz w:val="20"/>
          <w:szCs w:val="20"/>
          <w:lang w:val="es-ES_tradnl"/>
        </w:rPr>
        <w:t>caso la Corte Interamericana indicó que “el investigado, antes de declarar, tiene que conocer de manera oficial cuales son los hechos que se le imputan, no sólo deducirlos de la información pública o de las preguntas que se le formulan. De esta forma su respuesta podrá ser efectiva y sin el margen de error que las conjeturas producen”</w:t>
      </w:r>
      <w:r w:rsidRPr="00937EFE">
        <w:rPr>
          <w:rStyle w:val="FootnoteReference"/>
          <w:rFonts w:ascii="Cambria" w:hAnsi="Cambria"/>
          <w:sz w:val="20"/>
          <w:szCs w:val="20"/>
          <w:lang w:val="es-ES"/>
        </w:rPr>
        <w:footnoteReference w:id="39"/>
      </w:r>
      <w:r w:rsidRPr="00937EFE">
        <w:rPr>
          <w:rFonts w:ascii="Cambria" w:hAnsi="Cambria"/>
          <w:sz w:val="20"/>
          <w:szCs w:val="20"/>
          <w:lang w:val="es-ES_tradnl"/>
        </w:rPr>
        <w:t xml:space="preserve">. Asimismo, este derecho </w:t>
      </w:r>
      <w:r w:rsidRPr="00937EFE">
        <w:rPr>
          <w:rFonts w:ascii="Cambria" w:hAnsi="Cambria"/>
          <w:sz w:val="20"/>
          <w:szCs w:val="20"/>
          <w:lang w:val="es-ES" w:eastAsia="es-ES"/>
        </w:rPr>
        <w:t>rige incluso antes de que se formule una “acusación” en sentido estricto. Para que el mencionado artículo satisfaga los fines que le son inherentes, es necesario que la notificación ocurra previamente a que el inculpado rinda su primera declaración ante cualquier autoridad pública</w:t>
      </w:r>
      <w:r w:rsidRPr="00937EFE">
        <w:rPr>
          <w:rStyle w:val="FootnoteReference"/>
          <w:rFonts w:ascii="Cambria" w:hAnsi="Cambria"/>
          <w:sz w:val="20"/>
          <w:szCs w:val="20"/>
          <w:lang w:val="es-ES" w:eastAsia="es-ES"/>
        </w:rPr>
        <w:footnoteReference w:id="40"/>
      </w:r>
      <w:r w:rsidRPr="00937EFE">
        <w:rPr>
          <w:rFonts w:ascii="Cambria" w:hAnsi="Cambria"/>
          <w:sz w:val="20"/>
          <w:szCs w:val="20"/>
          <w:lang w:val="es-ES" w:eastAsia="es-ES"/>
        </w:rPr>
        <w:t>.</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FA158E"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 w:eastAsia="es-ES"/>
        </w:rPr>
        <w:t>Por su parte, la garantía de contar con los medios adecuados para la defensa contenida en el artículo 8.2 c) de la Convención Americana implica el acceso del inculpado al conocimiento del expediente, y a las actuaciones relacionadas con los cargos y la detención</w:t>
      </w:r>
      <w:r w:rsidRPr="00937EFE">
        <w:rPr>
          <w:rFonts w:ascii="Cambria" w:hAnsi="Cambria"/>
          <w:sz w:val="20"/>
          <w:szCs w:val="20"/>
          <w:vertAlign w:val="superscript"/>
          <w:lang w:val="es-ES" w:eastAsia="es-ES"/>
        </w:rPr>
        <w:footnoteReference w:id="41"/>
      </w:r>
      <w:r w:rsidRPr="00937EFE">
        <w:rPr>
          <w:rFonts w:ascii="Cambria" w:hAnsi="Cambria"/>
          <w:sz w:val="20"/>
          <w:szCs w:val="20"/>
          <w:lang w:val="es-ES" w:eastAsia="es-ES"/>
        </w:rPr>
        <w:t>, así como respetar el principio del contradictorio, que garantiza la intervención de aquel en el análisis de la prueba</w:t>
      </w:r>
      <w:r w:rsidRPr="00937EFE">
        <w:rPr>
          <w:rFonts w:ascii="Cambria" w:hAnsi="Cambria"/>
          <w:sz w:val="20"/>
          <w:szCs w:val="20"/>
          <w:vertAlign w:val="superscript"/>
          <w:lang w:val="es-ES" w:eastAsia="es-ES"/>
        </w:rPr>
        <w:footnoteReference w:id="42"/>
      </w:r>
      <w:r w:rsidRPr="00937EFE">
        <w:rPr>
          <w:rFonts w:ascii="Cambria" w:hAnsi="Cambria"/>
          <w:sz w:val="20"/>
          <w:szCs w:val="20"/>
          <w:lang w:val="es-ES" w:eastAsia="es-ES"/>
        </w:rPr>
        <w:t xml:space="preserve">. En similar sentido, la Comisión ha indicado que conforme al artículo 8.2 c) de la Convención, </w:t>
      </w:r>
      <w:r w:rsidRPr="00937EFE">
        <w:rPr>
          <w:rFonts w:ascii="Cambria" w:hAnsi="Cambria"/>
          <w:sz w:val="20"/>
          <w:szCs w:val="20"/>
          <w:lang w:val="es-ES"/>
        </w:rPr>
        <w:t>el Estado debe asegurar que las personas puedan “preparar su defensa, formular alegatos y promover las pruebas pertinentes”</w:t>
      </w:r>
      <w:r w:rsidRPr="00937EFE">
        <w:rPr>
          <w:rStyle w:val="FootnoteReference"/>
          <w:rFonts w:ascii="Cambria" w:hAnsi="Cambria"/>
          <w:sz w:val="20"/>
          <w:szCs w:val="20"/>
          <w:lang w:val="es-ES"/>
        </w:rPr>
        <w:footnoteReference w:id="43"/>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633E9F"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VE"/>
        </w:rPr>
        <w:t>L</w:t>
      </w:r>
      <w:r w:rsidRPr="00937EFE" w:rsidDel="00044636">
        <w:rPr>
          <w:rFonts w:ascii="Cambria" w:hAnsi="Cambria"/>
          <w:sz w:val="20"/>
          <w:szCs w:val="20"/>
          <w:lang w:val="es-VE"/>
        </w:rPr>
        <w:t>a Comisión</w:t>
      </w:r>
      <w:r w:rsidRPr="00937EFE">
        <w:rPr>
          <w:rFonts w:ascii="Cambria" w:hAnsi="Cambria"/>
          <w:sz w:val="20"/>
          <w:szCs w:val="20"/>
          <w:lang w:val="es-VE"/>
        </w:rPr>
        <w:t xml:space="preserve"> también</w:t>
      </w:r>
      <w:r w:rsidRPr="00937EFE" w:rsidDel="00044636">
        <w:rPr>
          <w:rFonts w:ascii="Cambria" w:hAnsi="Cambria"/>
          <w:sz w:val="20"/>
          <w:szCs w:val="20"/>
          <w:lang w:val="es-VE"/>
        </w:rPr>
        <w:t xml:space="preserve"> recuerda que</w:t>
      </w:r>
      <w:r w:rsidRPr="00937EFE">
        <w:rPr>
          <w:rFonts w:ascii="Cambria" w:hAnsi="Cambria"/>
          <w:sz w:val="20"/>
          <w:szCs w:val="20"/>
          <w:lang w:val="es-VE"/>
        </w:rPr>
        <w:t xml:space="preserve"> el derecho a la defensa </w:t>
      </w:r>
      <w:r w:rsidRPr="00937EFE" w:rsidDel="00044636">
        <w:rPr>
          <w:rFonts w:ascii="Cambria" w:hAnsi="Cambria"/>
          <w:sz w:val="20"/>
          <w:szCs w:val="20"/>
          <w:lang w:val="es-VE"/>
        </w:rPr>
        <w:t xml:space="preserve">implica que </w:t>
      </w:r>
      <w:r w:rsidRPr="00937EFE">
        <w:rPr>
          <w:rFonts w:ascii="Cambria" w:hAnsi="Cambria"/>
          <w:sz w:val="20"/>
          <w:szCs w:val="20"/>
          <w:lang w:val="es-ES"/>
        </w:rPr>
        <w:t xml:space="preserve">la persona sometida a un proceso, incluyendo uno de carácter administrativo, pueda defender sus intereses o derechos en forma efectiva y en “condiciones de igualdad procesal (…) </w:t>
      </w:r>
      <w:r w:rsidRPr="00937EFE">
        <w:rPr>
          <w:rFonts w:ascii="Cambria" w:hAnsi="Cambria"/>
          <w:sz w:val="20"/>
          <w:szCs w:val="20"/>
          <w:lang w:val="es-ES_tradnl"/>
        </w:rPr>
        <w:t>siendo plenamente informado de las acusaciones que se formulan en su contra</w:t>
      </w:r>
      <w:r w:rsidRPr="00937EFE">
        <w:rPr>
          <w:rStyle w:val="FootnoteReference"/>
          <w:rFonts w:ascii="Cambria" w:hAnsi="Cambria"/>
          <w:sz w:val="20"/>
          <w:szCs w:val="20"/>
        </w:rPr>
        <w:footnoteReference w:id="44"/>
      </w:r>
      <w:r w:rsidRPr="00937EFE">
        <w:rPr>
          <w:rFonts w:ascii="Cambria" w:hAnsi="Cambria"/>
          <w:sz w:val="20"/>
          <w:szCs w:val="20"/>
          <w:lang w:val="es-ES_tradnl"/>
        </w:rPr>
        <w:t xml:space="preserve">”, a fin de que frente al poder punitivo del Estado, la persona procesada pueda formular sus descargos con toda la información necesaria. </w:t>
      </w:r>
      <w:r w:rsidRPr="00937EFE">
        <w:rPr>
          <w:rFonts w:ascii="Cambria" w:hAnsi="Cambria"/>
          <w:sz w:val="20"/>
          <w:szCs w:val="20"/>
          <w:lang w:val="es-ES" w:eastAsia="es-ES"/>
        </w:rPr>
        <w:t>El derecho de defensa debe necesariamente poder ejercerse desde que se señala a una persona como posible autor o partícipe de un hecho punible y sólo culmina cuando finaliza el proceso, incluyendo, en su caso, la etapa de ejecución de la pena</w:t>
      </w:r>
      <w:r w:rsidR="00EE6B98" w:rsidRPr="00937EFE">
        <w:rPr>
          <w:rStyle w:val="FootnoteReference"/>
          <w:rFonts w:ascii="Cambria" w:hAnsi="Cambria"/>
          <w:sz w:val="20"/>
          <w:szCs w:val="20"/>
          <w:lang w:val="es-ES" w:eastAsia="es-ES"/>
        </w:rPr>
        <w:footnoteReference w:id="45"/>
      </w:r>
      <w:r w:rsidRPr="00937EFE">
        <w:rPr>
          <w:rFonts w:ascii="Cambria" w:hAnsi="Cambria"/>
          <w:sz w:val="20"/>
          <w:szCs w:val="20"/>
          <w:lang w:val="es-ES" w:eastAsia="es-ES"/>
        </w:rPr>
        <w:t xml:space="preserve">. </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633E9F"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
        </w:rPr>
        <w:t>La Comisión recuerda que en el presente caso</w:t>
      </w:r>
      <w:r w:rsidR="00C77DC5" w:rsidRPr="00937EFE">
        <w:rPr>
          <w:rFonts w:ascii="Cambria" w:hAnsi="Cambria"/>
          <w:sz w:val="20"/>
          <w:szCs w:val="20"/>
          <w:lang w:val="es-ES"/>
        </w:rPr>
        <w:t xml:space="preserve"> durante el proceso de ratificación</w:t>
      </w:r>
      <w:r w:rsidR="00887CAC" w:rsidRPr="00937EFE">
        <w:rPr>
          <w:rFonts w:ascii="Cambria" w:hAnsi="Cambria"/>
          <w:sz w:val="20"/>
          <w:szCs w:val="20"/>
          <w:lang w:val="es-ES"/>
        </w:rPr>
        <w:t>,</w:t>
      </w:r>
      <w:r w:rsidR="00C77DC5" w:rsidRPr="00937EFE">
        <w:rPr>
          <w:rFonts w:ascii="Cambria" w:hAnsi="Cambria"/>
          <w:sz w:val="20"/>
          <w:szCs w:val="20"/>
          <w:lang w:val="es-ES"/>
        </w:rPr>
        <w:t xml:space="preserve"> la presunta víctima </w:t>
      </w:r>
      <w:r w:rsidR="00E70123" w:rsidRPr="00937EFE">
        <w:rPr>
          <w:rFonts w:ascii="Cambria" w:hAnsi="Cambria"/>
          <w:sz w:val="20"/>
          <w:szCs w:val="20"/>
          <w:lang w:val="es-ES"/>
        </w:rPr>
        <w:t xml:space="preserve">no fue notificada de los cargos o acusación en su contra, ni se le informó de denuncias o quejas que le permitieran presentar pruebas o descargos respecto de las mismas. </w:t>
      </w:r>
      <w:r w:rsidR="00DD0A6F" w:rsidRPr="00937EFE">
        <w:rPr>
          <w:rFonts w:ascii="Cambria" w:hAnsi="Cambria"/>
          <w:sz w:val="20"/>
          <w:szCs w:val="20"/>
          <w:lang w:val="es-ES"/>
        </w:rPr>
        <w:t>La CIDH recuerda que el marco normativo vigente no preveía la formulación de cargos o de una acusación que permitiera a la persona conocer los motivos que podrían fundamentar la decisión</w:t>
      </w:r>
      <w:r w:rsidR="00AC69EE" w:rsidRPr="00937EFE">
        <w:rPr>
          <w:rFonts w:ascii="Cambria" w:hAnsi="Cambria"/>
          <w:sz w:val="20"/>
          <w:szCs w:val="20"/>
          <w:lang w:val="es-ES"/>
        </w:rPr>
        <w:t xml:space="preserve"> de no ratificarla, lo cual imposibilitaba que pudiera defenderse o presentar medios probatorios pues no tenía conocimiento de los cargos por los que estaba siendo evaluada. Según consta en el expediente, en el marco del procedimiento se presentó un informe negativo respecto del desempeño de la presunta víctima, sin embargo</w:t>
      </w:r>
      <w:r w:rsidR="00A5074E" w:rsidRPr="00937EFE">
        <w:rPr>
          <w:rFonts w:ascii="Cambria" w:hAnsi="Cambria"/>
          <w:sz w:val="20"/>
          <w:szCs w:val="20"/>
          <w:lang w:val="es-ES"/>
        </w:rPr>
        <w:t>,</w:t>
      </w:r>
      <w:r w:rsidR="00AC69EE" w:rsidRPr="00937EFE">
        <w:rPr>
          <w:rFonts w:ascii="Cambria" w:hAnsi="Cambria"/>
          <w:sz w:val="20"/>
          <w:szCs w:val="20"/>
          <w:lang w:val="es-ES"/>
        </w:rPr>
        <w:t xml:space="preserve"> el mismo no le fue notificado, de tal forma que pudiera presentar </w:t>
      </w:r>
      <w:r w:rsidR="00A5074E" w:rsidRPr="00937EFE">
        <w:rPr>
          <w:rFonts w:ascii="Cambria" w:hAnsi="Cambria"/>
          <w:sz w:val="20"/>
          <w:szCs w:val="20"/>
          <w:lang w:val="es-ES"/>
        </w:rPr>
        <w:t xml:space="preserve">argumentos y </w:t>
      </w:r>
      <w:r w:rsidR="00AC69EE" w:rsidRPr="00937EFE">
        <w:rPr>
          <w:rFonts w:ascii="Cambria" w:hAnsi="Cambria"/>
          <w:sz w:val="20"/>
          <w:szCs w:val="20"/>
          <w:lang w:val="es-ES"/>
        </w:rPr>
        <w:t xml:space="preserve">pruebas de descargo respecto del mismo. </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DD0A6F"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
        </w:rPr>
        <w:t>Por otra parte, en relación con el derecho de defensa, la CIDH recuerda que la presunta víctima argumentó que fue notificada verbalmente de la decisión de no ratificaci</w:t>
      </w:r>
      <w:r w:rsidR="00AC69EE" w:rsidRPr="00937EFE">
        <w:rPr>
          <w:rFonts w:ascii="Cambria" w:hAnsi="Cambria"/>
          <w:sz w:val="20"/>
          <w:szCs w:val="20"/>
          <w:lang w:val="es-ES"/>
        </w:rPr>
        <w:t>ón, afirmación que no fue controvertida por el Estado. La notificación verbal afectó el derecho de defensa en las instancias de apelación porque la presunta víctima no conoci</w:t>
      </w:r>
      <w:r w:rsidR="00F80971" w:rsidRPr="00937EFE">
        <w:rPr>
          <w:rFonts w:ascii="Cambria" w:hAnsi="Cambria"/>
          <w:sz w:val="20"/>
          <w:szCs w:val="20"/>
          <w:lang w:val="es-ES"/>
        </w:rPr>
        <w:t xml:space="preserve">ó las razones que llevaron a la Comisión de Vocales a decidir su no ratificación. </w:t>
      </w:r>
      <w:r w:rsidR="009D0CB2" w:rsidRPr="00937EFE">
        <w:rPr>
          <w:rFonts w:ascii="Cambria" w:hAnsi="Cambria"/>
          <w:sz w:val="20"/>
          <w:szCs w:val="20"/>
          <w:lang w:val="es-ES"/>
        </w:rPr>
        <w:t xml:space="preserve">Adicionalmente, según consta en el expediente, ni en el trámite del recurso de revisión, ni en el del amparo, las autoridades competentes </w:t>
      </w:r>
      <w:r w:rsidR="000C09DE" w:rsidRPr="00937EFE">
        <w:rPr>
          <w:rFonts w:ascii="Cambria" w:hAnsi="Cambria"/>
          <w:sz w:val="20"/>
          <w:szCs w:val="20"/>
          <w:lang w:val="es-ES"/>
        </w:rPr>
        <w:t>permitieron a la presunta víctima acceso al expediente de ratificaciones que podía dar cuenta de</w:t>
      </w:r>
      <w:r w:rsidR="00C60AB0" w:rsidRPr="00937EFE">
        <w:rPr>
          <w:rFonts w:ascii="Cambria" w:hAnsi="Cambria"/>
          <w:sz w:val="20"/>
          <w:szCs w:val="20"/>
          <w:lang w:val="es-ES"/>
        </w:rPr>
        <w:t xml:space="preserve">l detalles de las razones y </w:t>
      </w:r>
      <w:r w:rsidR="00163E7D" w:rsidRPr="00937EFE">
        <w:rPr>
          <w:rFonts w:ascii="Cambria" w:hAnsi="Cambria"/>
          <w:sz w:val="20"/>
          <w:szCs w:val="20"/>
          <w:lang w:val="es-ES"/>
        </w:rPr>
        <w:t xml:space="preserve">las pruebas presentadas en su contra que condujeron a no ratificarla de tal forma que pudiera controvertirlas </w:t>
      </w:r>
      <w:r w:rsidR="00C60AB0" w:rsidRPr="00937EFE">
        <w:rPr>
          <w:rFonts w:ascii="Cambria" w:hAnsi="Cambria"/>
          <w:sz w:val="20"/>
          <w:szCs w:val="20"/>
          <w:lang w:val="es-ES"/>
        </w:rPr>
        <w:t xml:space="preserve">con sus argumentos </w:t>
      </w:r>
      <w:r w:rsidR="00163E7D" w:rsidRPr="00937EFE">
        <w:rPr>
          <w:rFonts w:ascii="Cambria" w:hAnsi="Cambria"/>
          <w:sz w:val="20"/>
          <w:szCs w:val="20"/>
          <w:lang w:val="es-ES"/>
        </w:rPr>
        <w:t xml:space="preserve">o presentar pruebas de descargo. </w:t>
      </w:r>
    </w:p>
    <w:p w:rsidR="00D06B4B" w:rsidRPr="00937EFE" w:rsidRDefault="00D06B4B" w:rsidP="00937EFE">
      <w:pPr>
        <w:spacing w:after="0" w:line="240" w:lineRule="auto"/>
        <w:jc w:val="both"/>
        <w:rPr>
          <w:rFonts w:ascii="Cambria" w:hAnsi="Cambria"/>
          <w:sz w:val="20"/>
          <w:szCs w:val="20"/>
          <w:lang w:val="es-ES" w:eastAsia="es-ES"/>
        </w:rPr>
      </w:pPr>
    </w:p>
    <w:p w:rsidR="00FA158E" w:rsidRPr="00937EFE" w:rsidRDefault="00D70826"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
        </w:rPr>
        <w:t>En virtud de lo anterior, la CIDH concluye que el Estado</w:t>
      </w:r>
      <w:r w:rsidR="00E66256" w:rsidRPr="00937EFE">
        <w:rPr>
          <w:rFonts w:ascii="Cambria" w:hAnsi="Cambria"/>
          <w:sz w:val="20"/>
          <w:szCs w:val="20"/>
          <w:lang w:val="es-ES"/>
        </w:rPr>
        <w:t xml:space="preserve"> peruano</w:t>
      </w:r>
      <w:r w:rsidRPr="00937EFE">
        <w:rPr>
          <w:rFonts w:ascii="Cambria" w:hAnsi="Cambria"/>
          <w:sz w:val="20"/>
          <w:szCs w:val="20"/>
          <w:lang w:val="es-ES"/>
        </w:rPr>
        <w:t xml:space="preserve"> violó los </w:t>
      </w:r>
      <w:r w:rsidR="00F4185C" w:rsidRPr="00937EFE">
        <w:rPr>
          <w:rFonts w:ascii="Cambria" w:hAnsi="Cambria"/>
          <w:sz w:val="20"/>
          <w:szCs w:val="20"/>
          <w:lang w:val="es-ES"/>
        </w:rPr>
        <w:t xml:space="preserve">derechos establecidos en los </w:t>
      </w:r>
      <w:r w:rsidRPr="00937EFE">
        <w:rPr>
          <w:rFonts w:ascii="Cambria" w:hAnsi="Cambria"/>
          <w:sz w:val="20"/>
          <w:szCs w:val="20"/>
          <w:lang w:val="es-ES"/>
        </w:rPr>
        <w:t xml:space="preserve">artículos 8.2 b) y 8.2 c) de la Convención Americana en relación con los artículos 1.1 y 2 del mismo instrumento en perjuicio de </w:t>
      </w:r>
      <w:r w:rsidRPr="00937EFE">
        <w:rPr>
          <w:rFonts w:ascii="Cambria" w:hAnsi="Cambria"/>
          <w:sz w:val="20"/>
          <w:szCs w:val="20"/>
          <w:lang w:val="es-VE"/>
        </w:rPr>
        <w:t xml:space="preserve">Norka Moya Solís. </w:t>
      </w:r>
    </w:p>
    <w:p w:rsidR="00D06B4B" w:rsidRPr="00937EFE" w:rsidRDefault="00D06B4B" w:rsidP="00937EFE">
      <w:pPr>
        <w:spacing w:after="0" w:line="240" w:lineRule="auto"/>
        <w:jc w:val="both"/>
        <w:rPr>
          <w:rFonts w:ascii="Cambria" w:hAnsi="Cambria"/>
          <w:sz w:val="20"/>
          <w:szCs w:val="20"/>
          <w:lang w:val="es-ES"/>
        </w:rPr>
      </w:pPr>
    </w:p>
    <w:p w:rsidR="00FA158E" w:rsidRPr="00937EFE" w:rsidRDefault="00CC080F" w:rsidP="00C412B9">
      <w:pPr>
        <w:pStyle w:val="Heading2"/>
        <w:numPr>
          <w:ilvl w:val="0"/>
          <w:numId w:val="30"/>
        </w:numPr>
        <w:ind w:left="720" w:hanging="720"/>
      </w:pPr>
      <w:bookmarkStart w:id="40" w:name="_Toc4595241"/>
      <w:r w:rsidRPr="00937EFE">
        <w:rPr>
          <w:lang w:val="es-AR"/>
        </w:rPr>
        <w:t>El d</w:t>
      </w:r>
      <w:r w:rsidR="001B69F1" w:rsidRPr="00937EFE">
        <w:rPr>
          <w:lang w:val="es-AR"/>
        </w:rPr>
        <w:t>erecho a contar con decisiones debidamente motivadas</w:t>
      </w:r>
      <w:r w:rsidR="00FA158E" w:rsidRPr="00937EFE">
        <w:rPr>
          <w:rStyle w:val="FootnoteReference"/>
          <w:rFonts w:ascii="Cambria" w:hAnsi="Cambria"/>
          <w:sz w:val="20"/>
        </w:rPr>
        <w:footnoteReference w:id="46"/>
      </w:r>
      <w:r w:rsidR="00FA158E" w:rsidRPr="00937EFE">
        <w:t xml:space="preserve"> y </w:t>
      </w:r>
      <w:bookmarkStart w:id="41" w:name="_Toc505532534"/>
      <w:bookmarkStart w:id="42" w:name="_Toc505936570"/>
      <w:r w:rsidRPr="00937EFE">
        <w:t xml:space="preserve">el </w:t>
      </w:r>
      <w:r w:rsidR="00FA158E" w:rsidRPr="00937EFE">
        <w:rPr>
          <w:lang w:val="es-ES"/>
        </w:rPr>
        <w:t>principio de legalidad</w:t>
      </w:r>
      <w:bookmarkEnd w:id="41"/>
      <w:r w:rsidR="00FA158E" w:rsidRPr="00937EFE">
        <w:rPr>
          <w:rStyle w:val="FootnoteReference"/>
          <w:rFonts w:ascii="Cambria" w:hAnsi="Cambria"/>
          <w:sz w:val="20"/>
          <w:lang w:val="es-ES"/>
        </w:rPr>
        <w:footnoteReference w:id="47"/>
      </w:r>
      <w:bookmarkEnd w:id="40"/>
      <w:bookmarkEnd w:id="42"/>
      <w:r w:rsidR="00FA158E" w:rsidRPr="00937EFE">
        <w:rPr>
          <w:lang w:val="es-ES"/>
        </w:rPr>
        <w:t xml:space="preserve"> </w:t>
      </w:r>
    </w:p>
    <w:p w:rsidR="00FA158E" w:rsidRPr="00937EFE" w:rsidRDefault="00FA158E" w:rsidP="00937EFE">
      <w:pPr>
        <w:spacing w:after="0" w:line="240" w:lineRule="auto"/>
        <w:jc w:val="both"/>
        <w:rPr>
          <w:rFonts w:ascii="Cambria" w:hAnsi="Cambria"/>
          <w:sz w:val="20"/>
          <w:szCs w:val="20"/>
          <w:lang w:val="es-ES" w:eastAsia="es-ES"/>
        </w:rPr>
      </w:pPr>
    </w:p>
    <w:p w:rsidR="006B2276" w:rsidRPr="00937EFE" w:rsidRDefault="001B69F1"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CL"/>
        </w:rPr>
        <w:t>El p</w:t>
      </w:r>
      <w:r w:rsidR="004E5209" w:rsidRPr="00937EFE">
        <w:rPr>
          <w:rFonts w:ascii="Cambria" w:hAnsi="Cambria" w:cs="Verdana"/>
          <w:sz w:val="20"/>
          <w:szCs w:val="20"/>
          <w:lang w:val="es-UY"/>
        </w:rPr>
        <w:t>rincipio</w:t>
      </w:r>
      <w:r w:rsidRPr="00937EFE">
        <w:rPr>
          <w:rFonts w:ascii="Cambria" w:hAnsi="Cambria" w:cs="Verdana"/>
          <w:sz w:val="20"/>
          <w:szCs w:val="20"/>
          <w:lang w:val="es-UY"/>
        </w:rPr>
        <w:t xml:space="preserve"> de legalidad reconocido en el artículo 9 de la Convención </w:t>
      </w:r>
      <w:r w:rsidR="00FA158E" w:rsidRPr="00937EFE">
        <w:rPr>
          <w:rFonts w:ascii="Cambria" w:hAnsi="Cambria" w:cs="Verdana"/>
          <w:sz w:val="20"/>
          <w:szCs w:val="20"/>
          <w:lang w:val="es-UY"/>
        </w:rPr>
        <w:t>preside la actuación de los órganos del Estado cuando deriva del ejercicio de su poder punitivo</w:t>
      </w:r>
      <w:r w:rsidR="00FA158E" w:rsidRPr="00937EFE">
        <w:rPr>
          <w:rFonts w:ascii="Cambria" w:hAnsi="Cambria" w:cs="Verdana"/>
          <w:sz w:val="20"/>
          <w:szCs w:val="20"/>
          <w:vertAlign w:val="superscript"/>
          <w:lang w:val="es-UY"/>
        </w:rPr>
        <w:footnoteReference w:id="48"/>
      </w:r>
      <w:r w:rsidR="00FA158E" w:rsidRPr="00937EFE">
        <w:rPr>
          <w:rFonts w:ascii="Cambria" w:hAnsi="Cambria" w:cs="Verdana"/>
          <w:sz w:val="20"/>
          <w:szCs w:val="20"/>
          <w:lang w:val="es-UY"/>
        </w:rPr>
        <w:t xml:space="preserve">. </w:t>
      </w:r>
      <w:r w:rsidRPr="00937EFE">
        <w:rPr>
          <w:rFonts w:ascii="Cambria" w:hAnsi="Cambria" w:cs="Verdana"/>
          <w:sz w:val="20"/>
          <w:szCs w:val="20"/>
          <w:lang w:val="es-UY"/>
        </w:rPr>
        <w:t>Dicho principio e</w:t>
      </w:r>
      <w:r w:rsidR="00FA158E" w:rsidRPr="00937EFE">
        <w:rPr>
          <w:rFonts w:ascii="Cambria" w:hAnsi="Cambria" w:cs="Verdana"/>
          <w:sz w:val="20"/>
          <w:szCs w:val="20"/>
          <w:lang w:val="es-UY"/>
        </w:rPr>
        <w:t>s aplicable a los procesos disciplinarios en cuanto estos son “una expresión del poder punitivo del Estado” puesto que implican un menoscabo o alteración de los derechos de las personas como consecuencia de una conducta ilícita</w:t>
      </w:r>
      <w:r w:rsidR="00FA158E" w:rsidRPr="00937EFE">
        <w:rPr>
          <w:rFonts w:ascii="Cambria" w:hAnsi="Cambria" w:cs="Verdana"/>
          <w:sz w:val="20"/>
          <w:szCs w:val="20"/>
          <w:vertAlign w:val="superscript"/>
          <w:lang w:val="es-UY"/>
        </w:rPr>
        <w:footnoteReference w:id="49"/>
      </w:r>
      <w:r w:rsidR="00FA158E" w:rsidRPr="00937EFE">
        <w:rPr>
          <w:rFonts w:ascii="Cambria" w:hAnsi="Cambria" w:cs="Verdana"/>
          <w:sz w:val="20"/>
          <w:szCs w:val="20"/>
          <w:lang w:val="es-UY"/>
        </w:rPr>
        <w:t xml:space="preserve">. </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1B69F1"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_tradnl"/>
        </w:rPr>
        <w:t>La Comisión ha indicado que el cumplimiento del principio de legalidad permite a las personas determinar efectivamente su conducta de acuerdo con la ley</w:t>
      </w:r>
      <w:r w:rsidRPr="00937EFE">
        <w:rPr>
          <w:rStyle w:val="FootnoteReference"/>
          <w:rFonts w:ascii="Cambria" w:hAnsi="Cambria"/>
          <w:sz w:val="20"/>
          <w:szCs w:val="20"/>
          <w:lang w:val="es-ES_tradnl"/>
        </w:rPr>
        <w:footnoteReference w:id="50"/>
      </w:r>
      <w:r w:rsidRPr="00937EFE">
        <w:rPr>
          <w:rFonts w:ascii="Cambria" w:hAnsi="Cambria"/>
          <w:sz w:val="20"/>
          <w:szCs w:val="20"/>
          <w:lang w:val="es-ES_tradnl"/>
        </w:rPr>
        <w:t>. Según ha afirmado la CIDH, “el principio de legalidad tiene un desarrollo específico en la tipicidad, la cual garantiza, por un lado, la libertad y seguridad individuales al establecer en forma anticipada, clara e inequívoca cuáles comportamientos son sancionados y, por otro, protege la seguridad jurídica”</w:t>
      </w:r>
      <w:r w:rsidRPr="00937EFE">
        <w:rPr>
          <w:rStyle w:val="FootnoteReference"/>
          <w:rFonts w:ascii="Cambria" w:hAnsi="Cambria"/>
          <w:sz w:val="20"/>
          <w:szCs w:val="20"/>
          <w:lang w:val="es-ES_tradnl"/>
        </w:rPr>
        <w:footnoteReference w:id="51"/>
      </w:r>
      <w:r w:rsidR="006B2276" w:rsidRPr="00937EFE">
        <w:rPr>
          <w:rFonts w:ascii="Cambria" w:hAnsi="Cambria"/>
          <w:sz w:val="20"/>
          <w:szCs w:val="20"/>
          <w:lang w:val="es-ES_tradnl"/>
        </w:rPr>
        <w:t>.</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1B69F1"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cs="Verdana"/>
          <w:sz w:val="20"/>
          <w:szCs w:val="20"/>
          <w:lang w:val="es-UY"/>
        </w:rPr>
        <w:t>L</w:t>
      </w:r>
      <w:r w:rsidRPr="00937EFE">
        <w:rPr>
          <w:rFonts w:ascii="Cambria" w:hAnsi="Cambria"/>
          <w:sz w:val="20"/>
          <w:szCs w:val="20"/>
          <w:lang w:val="es-UY"/>
        </w:rPr>
        <w:t>a precisión de una norma sancionatoria de naturaleza disciplinaria puede ser diferente a la requerida en materia penal, por la naturaleza de los conflictos que cada una está destinada a resolver</w:t>
      </w:r>
      <w:r w:rsidRPr="00937EFE">
        <w:rPr>
          <w:rStyle w:val="FootnoteReference"/>
          <w:rFonts w:ascii="Cambria" w:hAnsi="Cambria"/>
          <w:sz w:val="20"/>
          <w:szCs w:val="20"/>
          <w:lang w:val="es-UY"/>
        </w:rPr>
        <w:footnoteReference w:id="52"/>
      </w:r>
      <w:r w:rsidRPr="00937EFE">
        <w:rPr>
          <w:rFonts w:ascii="Cambria" w:hAnsi="Cambria"/>
          <w:sz w:val="20"/>
          <w:szCs w:val="20"/>
          <w:lang w:val="es-UY"/>
        </w:rPr>
        <w:t>.</w:t>
      </w:r>
      <w:r w:rsidRPr="00937EFE">
        <w:rPr>
          <w:rFonts w:ascii="Cambria" w:hAnsi="Cambria" w:cs="Verdana"/>
          <w:sz w:val="20"/>
          <w:szCs w:val="20"/>
          <w:lang w:val="es-UY"/>
        </w:rPr>
        <w:t xml:space="preserve">  Sin embargo, debe ser previsible “</w:t>
      </w:r>
      <w:r w:rsidRPr="00937EFE">
        <w:rPr>
          <w:rFonts w:ascii="Cambria" w:hAnsi="Cambria"/>
          <w:sz w:val="20"/>
          <w:szCs w:val="20"/>
          <w:lang w:val="es-UY"/>
        </w:rPr>
        <w:t xml:space="preserve">sea porque está expresa y claramente establecida en la ley (….) de forma precisa, taxativa y previa o porque la ley delega su asignación al juzgador o a una norma </w:t>
      </w:r>
      <w:r w:rsidRPr="00937EFE">
        <w:rPr>
          <w:rFonts w:ascii="Cambria" w:hAnsi="Cambria"/>
          <w:i/>
          <w:iCs/>
          <w:sz w:val="20"/>
          <w:szCs w:val="20"/>
          <w:lang w:val="es-UY"/>
        </w:rPr>
        <w:t>infra</w:t>
      </w:r>
      <w:r w:rsidRPr="00937EFE">
        <w:rPr>
          <w:rFonts w:ascii="Cambria" w:hAnsi="Cambria"/>
          <w:sz w:val="20"/>
          <w:szCs w:val="20"/>
          <w:lang w:val="es-UY"/>
        </w:rPr>
        <w:t xml:space="preserve"> legal, bajo criterios objetivos que limiten </w:t>
      </w:r>
      <w:r w:rsidRPr="00937EFE">
        <w:rPr>
          <w:rFonts w:ascii="Cambria" w:hAnsi="Cambria"/>
          <w:sz w:val="20"/>
          <w:szCs w:val="20"/>
          <w:lang w:val="es-ES"/>
        </w:rPr>
        <w:t>el alcance de la discrecionalidad”</w:t>
      </w:r>
      <w:r w:rsidRPr="00937EFE">
        <w:rPr>
          <w:rStyle w:val="FootnoteReference"/>
          <w:rFonts w:ascii="Cambria" w:hAnsi="Cambria"/>
          <w:sz w:val="20"/>
          <w:szCs w:val="20"/>
          <w:lang w:val="es-UY"/>
        </w:rPr>
        <w:footnoteReference w:id="53"/>
      </w:r>
      <w:r w:rsidRPr="00937EFE">
        <w:rPr>
          <w:rFonts w:ascii="Cambria" w:hAnsi="Cambria"/>
          <w:sz w:val="20"/>
          <w:szCs w:val="20"/>
          <w:lang w:val="es-ES"/>
        </w:rPr>
        <w:t>.</w:t>
      </w:r>
      <w:r w:rsidRPr="00937EFE">
        <w:rPr>
          <w:rFonts w:ascii="Cambria" w:hAnsi="Cambria" w:cs="Verdana"/>
          <w:sz w:val="20"/>
          <w:szCs w:val="20"/>
          <w:lang w:val="es-UY"/>
        </w:rPr>
        <w:t xml:space="preserve"> </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813EDE"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cs="Verdana"/>
          <w:sz w:val="20"/>
          <w:szCs w:val="20"/>
          <w:lang w:val="es-UY"/>
        </w:rPr>
        <w:t xml:space="preserve">Por su parte, </w:t>
      </w:r>
      <w:r w:rsidR="009B1DE3" w:rsidRPr="00937EFE">
        <w:rPr>
          <w:rFonts w:ascii="Cambria" w:hAnsi="Cambria" w:cs="Verdana"/>
          <w:sz w:val="20"/>
          <w:szCs w:val="20"/>
          <w:lang w:val="es-UY"/>
        </w:rPr>
        <w:t xml:space="preserve">respecto del </w:t>
      </w:r>
      <w:r w:rsidRPr="00937EFE">
        <w:rPr>
          <w:rFonts w:ascii="Cambria" w:hAnsi="Cambria" w:cs="Verdana"/>
          <w:sz w:val="20"/>
          <w:szCs w:val="20"/>
          <w:lang w:val="es-UY"/>
        </w:rPr>
        <w:t>deber de motivación</w:t>
      </w:r>
      <w:r w:rsidR="009B1DE3" w:rsidRPr="00937EFE">
        <w:rPr>
          <w:rFonts w:ascii="Cambria" w:hAnsi="Cambria" w:cs="Verdana"/>
          <w:sz w:val="20"/>
          <w:szCs w:val="20"/>
          <w:lang w:val="es-UY"/>
        </w:rPr>
        <w:t xml:space="preserve">, </w:t>
      </w:r>
      <w:r w:rsidR="009B1DE3" w:rsidRPr="00937EFE">
        <w:rPr>
          <w:rFonts w:ascii="Cambria" w:hAnsi="Cambria" w:cs="Verdana"/>
          <w:sz w:val="20"/>
          <w:szCs w:val="20"/>
        </w:rPr>
        <w:t>ésta</w:t>
      </w:r>
      <w:r w:rsidRPr="00937EFE">
        <w:rPr>
          <w:rFonts w:ascii="Cambria" w:hAnsi="Cambria" w:cs="Verdana"/>
          <w:sz w:val="20"/>
          <w:szCs w:val="20"/>
          <w:lang w:val="es-UY"/>
        </w:rPr>
        <w:t xml:space="preserve"> se traduce en la “justificación razonada” que permite al juzgador llegar a una conclusión</w:t>
      </w:r>
      <w:r w:rsidRPr="00937EFE">
        <w:rPr>
          <w:rStyle w:val="FootnoteReference"/>
          <w:rFonts w:ascii="Cambria" w:hAnsi="Cambria" w:cs="Verdana"/>
          <w:sz w:val="20"/>
          <w:szCs w:val="20"/>
          <w:lang w:val="es-UY"/>
        </w:rPr>
        <w:footnoteReference w:id="54"/>
      </w:r>
      <w:r w:rsidRPr="00937EFE">
        <w:rPr>
          <w:rFonts w:ascii="Cambria" w:hAnsi="Cambria" w:cs="Verdana"/>
          <w:sz w:val="20"/>
          <w:szCs w:val="20"/>
          <w:lang w:val="es-UY"/>
        </w:rPr>
        <w:t>. Dicha garantía guarda relación intrínseca con el principio de legalidad, pues partiendo de que las causales disciplinarias deben estar establecidas en el marco normativo del Estado conforme a los estándares antes descritos, la argumentación de un fallo debe permitir conocer “cuáles fueron los hechos, motivos y normas en que se basó la autoridad para tomar su decisión”</w:t>
      </w:r>
      <w:r w:rsidRPr="00937EFE">
        <w:rPr>
          <w:rFonts w:ascii="Cambria" w:hAnsi="Cambria"/>
          <w:sz w:val="20"/>
          <w:szCs w:val="20"/>
          <w:vertAlign w:val="superscript"/>
          <w:lang w:val="es-UY"/>
        </w:rPr>
        <w:footnoteReference w:id="55"/>
      </w:r>
      <w:r w:rsidRPr="00937EFE">
        <w:rPr>
          <w:rFonts w:ascii="Cambria" w:hAnsi="Cambria" w:cs="Verdana"/>
          <w:sz w:val="20"/>
          <w:szCs w:val="20"/>
          <w:lang w:val="es-UY"/>
        </w:rPr>
        <w:t xml:space="preserve">. En ese sentido, </w:t>
      </w:r>
      <w:r w:rsidRPr="00937EFE">
        <w:rPr>
          <w:rFonts w:ascii="Cambria" w:hAnsi="Cambria"/>
          <w:sz w:val="20"/>
          <w:szCs w:val="20"/>
          <w:lang w:val="es-ES"/>
        </w:rPr>
        <w:t xml:space="preserve">es la motivación de la decisión sancionatoria la que permite entender la manera en que los hechos que sustentaron el procedimiento, se adecuan o caen dentro del ámbito de las causales invocadas. Sobre este punto, en el caso </w:t>
      </w:r>
      <w:r w:rsidRPr="00937EFE">
        <w:rPr>
          <w:rFonts w:ascii="Cambria" w:hAnsi="Cambria"/>
          <w:i/>
          <w:sz w:val="20"/>
          <w:szCs w:val="20"/>
          <w:lang w:val="es-ES"/>
        </w:rPr>
        <w:t xml:space="preserve">De la Cruz Flores vs. Perú, </w:t>
      </w:r>
      <w:r w:rsidRPr="00937EFE">
        <w:rPr>
          <w:rFonts w:ascii="Cambria" w:hAnsi="Cambria"/>
          <w:sz w:val="20"/>
          <w:szCs w:val="20"/>
          <w:lang w:val="es-ES"/>
        </w:rPr>
        <w:t>la Corte</w:t>
      </w:r>
      <w:r w:rsidRPr="00937EFE">
        <w:rPr>
          <w:rFonts w:ascii="Cambria" w:hAnsi="Cambria"/>
          <w:i/>
          <w:sz w:val="20"/>
          <w:szCs w:val="20"/>
          <w:lang w:val="es-ES"/>
        </w:rPr>
        <w:t xml:space="preserve"> </w:t>
      </w:r>
      <w:r w:rsidRPr="00937EFE">
        <w:rPr>
          <w:rFonts w:ascii="Cambria" w:hAnsi="Cambria"/>
          <w:sz w:val="20"/>
          <w:szCs w:val="20"/>
          <w:lang w:val="es-ES"/>
        </w:rPr>
        <w:t>resaltó la necesidad de que en toda decisión sancionatoria exista un vínculo entre la conducta imputada a la persona y la disposición en la cual se basa la decisión</w:t>
      </w:r>
      <w:r w:rsidRPr="00937EFE">
        <w:rPr>
          <w:rStyle w:val="FootnoteReference"/>
          <w:rFonts w:ascii="Cambria" w:hAnsi="Cambria"/>
          <w:sz w:val="20"/>
          <w:szCs w:val="20"/>
          <w:lang w:val="es-ES"/>
        </w:rPr>
        <w:footnoteReference w:id="56"/>
      </w:r>
      <w:r w:rsidRPr="00937EFE">
        <w:rPr>
          <w:rFonts w:ascii="Cambria" w:hAnsi="Cambria"/>
          <w:sz w:val="20"/>
          <w:szCs w:val="20"/>
          <w:lang w:val="es-ES"/>
        </w:rPr>
        <w:t>.</w:t>
      </w:r>
      <w:r w:rsidR="009E2BEE" w:rsidRPr="00937EFE">
        <w:rPr>
          <w:rFonts w:ascii="Cambria" w:hAnsi="Cambria" w:cs="Verdana"/>
          <w:sz w:val="20"/>
          <w:szCs w:val="20"/>
          <w:lang w:val="es-UY"/>
        </w:rPr>
        <w:t xml:space="preserve">  </w:t>
      </w:r>
      <w:r w:rsidRPr="00937EFE">
        <w:rPr>
          <w:rFonts w:ascii="Cambria" w:hAnsi="Cambria" w:cs="Verdana"/>
          <w:sz w:val="20"/>
          <w:szCs w:val="20"/>
          <w:lang w:val="es-UY"/>
        </w:rPr>
        <w:t xml:space="preserve">Igualmente, en el caso </w:t>
      </w:r>
      <w:r w:rsidRPr="00937EFE">
        <w:rPr>
          <w:rFonts w:ascii="Cambria" w:hAnsi="Cambria" w:cs="Verdana"/>
          <w:i/>
          <w:sz w:val="20"/>
          <w:szCs w:val="20"/>
          <w:lang w:val="es-UY"/>
        </w:rPr>
        <w:t>Lopez Lone vs. Honduras</w:t>
      </w:r>
      <w:r w:rsidRPr="00937EFE">
        <w:rPr>
          <w:rFonts w:ascii="Cambria" w:hAnsi="Cambria" w:cs="Verdana"/>
          <w:sz w:val="20"/>
          <w:szCs w:val="20"/>
          <w:lang w:val="es-UY"/>
        </w:rPr>
        <w:t xml:space="preserve">, la Corte Interamericana indicó que ante el uso de tipos disciplinarios abiertos o indeterminados, </w:t>
      </w:r>
      <w:r w:rsidR="00FA158E" w:rsidRPr="00937EFE">
        <w:rPr>
          <w:rFonts w:ascii="Cambria" w:hAnsi="Cambria" w:cs="Verdana"/>
          <w:sz w:val="20"/>
          <w:szCs w:val="20"/>
          <w:lang w:val="es-UY"/>
        </w:rPr>
        <w:t>la motivación al momento de su aplicación es fundamental, pues corresponde al juzgador disciplinario, interpretar dichas normas respetando el principio de legalidad y observando la mayor rigurosidad para verificar la existencia de la conducta sancionable”</w:t>
      </w:r>
      <w:r w:rsidR="00FA158E" w:rsidRPr="00937EFE">
        <w:rPr>
          <w:rFonts w:ascii="Cambria" w:hAnsi="Cambria" w:cs="Verdana"/>
          <w:sz w:val="20"/>
          <w:szCs w:val="20"/>
          <w:vertAlign w:val="superscript"/>
          <w:lang w:val="es-UY"/>
        </w:rPr>
        <w:footnoteReference w:id="57"/>
      </w:r>
      <w:r w:rsidR="00FA158E" w:rsidRPr="00937EFE">
        <w:rPr>
          <w:rFonts w:ascii="Cambria" w:hAnsi="Cambria" w:cs="Verdana"/>
          <w:sz w:val="20"/>
          <w:szCs w:val="20"/>
          <w:lang w:val="es-UY"/>
        </w:rPr>
        <w:t xml:space="preserve">. </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FA158E"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AR"/>
        </w:rPr>
        <w:t>La Corte Interamericana ha establecido que el deber de motivación es una de las “debidas garantías” incluidas en el artículo 8.1 para salvaguardar el derecho a un debido proceso</w:t>
      </w:r>
      <w:r w:rsidRPr="00937EFE">
        <w:rPr>
          <w:rStyle w:val="FootnoteReference"/>
          <w:rFonts w:ascii="Cambria" w:hAnsi="Cambria"/>
          <w:sz w:val="20"/>
          <w:szCs w:val="20"/>
          <w:lang w:val="es-AR"/>
        </w:rPr>
        <w:footnoteReference w:id="58"/>
      </w:r>
      <w:r w:rsidRPr="00937EFE">
        <w:rPr>
          <w:rFonts w:ascii="Cambria" w:hAnsi="Cambria"/>
          <w:sz w:val="20"/>
          <w:szCs w:val="20"/>
          <w:lang w:val="es-AR"/>
        </w:rPr>
        <w:t xml:space="preserve">. </w:t>
      </w:r>
      <w:r w:rsidRPr="00937EFE">
        <w:rPr>
          <w:rFonts w:ascii="Cambria" w:hAnsi="Cambria"/>
          <w:sz w:val="20"/>
          <w:szCs w:val="20"/>
          <w:lang w:val="es-ES"/>
        </w:rPr>
        <w:t>Tanto la Comisión como la Corte han indicado que el deber de motivación</w:t>
      </w:r>
      <w:r w:rsidRPr="00937EFE">
        <w:rPr>
          <w:rFonts w:ascii="Cambria" w:hAnsi="Cambria"/>
          <w:sz w:val="20"/>
          <w:szCs w:val="20"/>
          <w:lang w:val="es-AR"/>
        </w:rPr>
        <w:t xml:space="preserve"> “es una garantía vinculada con la correcta administración de justicia, que protege el derecho de los ciudadanos a ser juzgados por las razones que el Derecho suministra, y otorga credibilidad a las decisiones jurídicas en el marco de una sociedad democrática”</w:t>
      </w:r>
      <w:r w:rsidRPr="00937EFE">
        <w:rPr>
          <w:rStyle w:val="FootnoteReference"/>
          <w:rFonts w:ascii="Cambria" w:hAnsi="Cambria"/>
          <w:sz w:val="20"/>
          <w:szCs w:val="20"/>
          <w:lang w:val="es-AR"/>
        </w:rPr>
        <w:footnoteReference w:id="59"/>
      </w:r>
      <w:r w:rsidRPr="00937EFE">
        <w:rPr>
          <w:rFonts w:ascii="Cambria" w:hAnsi="Cambria"/>
          <w:sz w:val="20"/>
          <w:szCs w:val="20"/>
          <w:lang w:val="es-AR"/>
        </w:rPr>
        <w:t>.</w:t>
      </w:r>
      <w:r w:rsidRPr="00937EFE">
        <w:rPr>
          <w:rFonts w:ascii="Cambria" w:hAnsi="Cambria"/>
          <w:sz w:val="20"/>
          <w:szCs w:val="20"/>
          <w:lang w:val="es-ES"/>
        </w:rPr>
        <w:t xml:space="preserve"> </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1A4379"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 w:eastAsia="es-ES"/>
        </w:rPr>
        <w:t xml:space="preserve">En el presente caso la Comisión observa que </w:t>
      </w:r>
      <w:r w:rsidR="00FB65DD" w:rsidRPr="00937EFE">
        <w:rPr>
          <w:rFonts w:ascii="Cambria" w:hAnsi="Cambria"/>
          <w:sz w:val="20"/>
          <w:szCs w:val="20"/>
          <w:lang w:val="es-ES" w:eastAsia="es-ES"/>
        </w:rPr>
        <w:t xml:space="preserve">el marco legal del proceso de ratificación no establecía causales debidamente delimitadas que permitieran a la presunta víctima entender las conductas que serían </w:t>
      </w:r>
      <w:r w:rsidR="00706230" w:rsidRPr="00937EFE">
        <w:rPr>
          <w:rFonts w:ascii="Cambria" w:hAnsi="Cambria"/>
          <w:sz w:val="20"/>
          <w:szCs w:val="20"/>
          <w:lang w:val="es-ES" w:eastAsia="es-ES"/>
        </w:rPr>
        <w:t xml:space="preserve">evaluadas por la Comisión de Vocales, encargada del proceso de ratificación.  Las normas pertinentes se limitaban a señalar que un miembro de la Comisión de Vocales revisaría los expedientes a cargo del Secretario examinado para darse una idea de sus actuaciones, precisar los casos de incumplimiento de obligaciones legales en que hubiere incurrido y obtener un informe escrito del Secretario sobre lo anteriormente indicado. </w:t>
      </w:r>
      <w:r w:rsidR="001D4444" w:rsidRPr="00937EFE">
        <w:rPr>
          <w:rFonts w:ascii="Cambria" w:hAnsi="Cambria"/>
          <w:sz w:val="20"/>
          <w:szCs w:val="20"/>
          <w:lang w:val="es-ES" w:eastAsia="es-ES"/>
        </w:rPr>
        <w:t xml:space="preserve"> La legislación no establecía que tipo de supuestos fácticos configuraban “incumplimiento de las obligaciones legales”.</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E126B1"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 w:eastAsia="es-ES"/>
        </w:rPr>
        <w:t>Por otra parte,</w:t>
      </w:r>
      <w:r w:rsidR="0093785B" w:rsidRPr="00937EFE">
        <w:rPr>
          <w:rFonts w:ascii="Cambria" w:hAnsi="Cambria"/>
          <w:sz w:val="20"/>
          <w:szCs w:val="20"/>
          <w:lang w:val="es-ES" w:eastAsia="es-ES"/>
        </w:rPr>
        <w:t xml:space="preserve"> </w:t>
      </w:r>
      <w:r w:rsidR="001D4444" w:rsidRPr="00937EFE">
        <w:rPr>
          <w:rFonts w:ascii="Cambria" w:hAnsi="Cambria"/>
          <w:sz w:val="20"/>
          <w:szCs w:val="20"/>
          <w:lang w:val="es-ES" w:eastAsia="es-ES"/>
        </w:rPr>
        <w:t xml:space="preserve">la CIDH subraya que </w:t>
      </w:r>
      <w:r w:rsidR="002B3EE9" w:rsidRPr="00937EFE">
        <w:rPr>
          <w:rFonts w:ascii="Cambria" w:hAnsi="Cambria"/>
          <w:sz w:val="20"/>
          <w:szCs w:val="20"/>
          <w:lang w:val="es-ES" w:eastAsia="es-ES"/>
        </w:rPr>
        <w:t xml:space="preserve">en la </w:t>
      </w:r>
      <w:r w:rsidR="00245A6D" w:rsidRPr="00937EFE">
        <w:rPr>
          <w:rFonts w:ascii="Cambria" w:hAnsi="Cambria"/>
          <w:sz w:val="20"/>
          <w:szCs w:val="20"/>
          <w:lang w:val="es-ES" w:eastAsia="es-ES"/>
        </w:rPr>
        <w:t xml:space="preserve">decisión de no ratificación </w:t>
      </w:r>
      <w:r w:rsidR="003F5C80" w:rsidRPr="00937EFE">
        <w:rPr>
          <w:rFonts w:ascii="Cambria" w:hAnsi="Cambria"/>
          <w:sz w:val="20"/>
          <w:szCs w:val="20"/>
          <w:lang w:val="es-ES" w:eastAsia="es-ES"/>
        </w:rPr>
        <w:t xml:space="preserve">emitida por la Comisión de Vocales, </w:t>
      </w:r>
      <w:r w:rsidR="00245A6D" w:rsidRPr="00937EFE">
        <w:rPr>
          <w:rFonts w:ascii="Cambria" w:hAnsi="Cambria"/>
          <w:sz w:val="20"/>
          <w:szCs w:val="20"/>
          <w:lang w:val="es-ES" w:eastAsia="es-ES"/>
        </w:rPr>
        <w:t xml:space="preserve">se hizo constar que se llegaba a tal </w:t>
      </w:r>
      <w:r w:rsidRPr="00937EFE">
        <w:rPr>
          <w:rFonts w:ascii="Cambria" w:hAnsi="Cambria"/>
          <w:sz w:val="20"/>
          <w:szCs w:val="20"/>
          <w:lang w:val="es-ES" w:eastAsia="es-ES"/>
        </w:rPr>
        <w:t>conclusión</w:t>
      </w:r>
      <w:r w:rsidR="00245A6D" w:rsidRPr="00937EFE">
        <w:rPr>
          <w:rFonts w:ascii="Cambria" w:hAnsi="Cambria"/>
          <w:sz w:val="20"/>
          <w:szCs w:val="20"/>
          <w:lang w:val="es-ES" w:eastAsia="es-ES"/>
        </w:rPr>
        <w:t xml:space="preserve"> con base en dos elementos: i) que la Secretaria tiene deudas económicas; ii) que tiene negocio propio que “le absor</w:t>
      </w:r>
      <w:r w:rsidR="002305F5" w:rsidRPr="00937EFE">
        <w:rPr>
          <w:rFonts w:ascii="Cambria" w:hAnsi="Cambria"/>
          <w:sz w:val="20"/>
          <w:szCs w:val="20"/>
          <w:lang w:val="es-ES" w:eastAsia="es-ES"/>
        </w:rPr>
        <w:t>b</w:t>
      </w:r>
      <w:r w:rsidR="00245A6D" w:rsidRPr="00937EFE">
        <w:rPr>
          <w:rFonts w:ascii="Cambria" w:hAnsi="Cambria"/>
          <w:sz w:val="20"/>
          <w:szCs w:val="20"/>
          <w:lang w:val="es-ES" w:eastAsia="es-ES"/>
        </w:rPr>
        <w:t>ía tiempo”</w:t>
      </w:r>
      <w:r w:rsidR="00460B21" w:rsidRPr="00937EFE">
        <w:rPr>
          <w:rFonts w:ascii="Cambria" w:hAnsi="Cambria"/>
          <w:sz w:val="20"/>
          <w:szCs w:val="20"/>
          <w:lang w:val="es-ES" w:eastAsia="es-ES"/>
        </w:rPr>
        <w:t xml:space="preserve">. </w:t>
      </w:r>
      <w:r w:rsidR="002305F5" w:rsidRPr="00937EFE">
        <w:rPr>
          <w:rFonts w:ascii="Cambria" w:hAnsi="Cambria"/>
          <w:sz w:val="20"/>
          <w:szCs w:val="20"/>
          <w:lang w:val="es-ES" w:eastAsia="es-ES"/>
        </w:rPr>
        <w:t>La Comisión observa que dicha decisión carece de una motivaci</w:t>
      </w:r>
      <w:r w:rsidR="00D03964" w:rsidRPr="00937EFE">
        <w:rPr>
          <w:rFonts w:ascii="Cambria" w:hAnsi="Cambria"/>
          <w:sz w:val="20"/>
          <w:szCs w:val="20"/>
          <w:lang w:val="es-ES" w:eastAsia="es-ES"/>
        </w:rPr>
        <w:t xml:space="preserve">ón adecuada que justifique las razones por las que dichas cuestiones ameritan </w:t>
      </w:r>
      <w:r w:rsidR="00E86A49" w:rsidRPr="00937EFE">
        <w:rPr>
          <w:rFonts w:ascii="Cambria" w:hAnsi="Cambria"/>
          <w:sz w:val="20"/>
          <w:szCs w:val="20"/>
          <w:lang w:val="es-ES" w:eastAsia="es-ES"/>
        </w:rPr>
        <w:t>no ratificarla en el cargo, lo que en la práctica implicaba un cese en sus funciones</w:t>
      </w:r>
      <w:r w:rsidR="003C3D87" w:rsidRPr="00937EFE">
        <w:rPr>
          <w:rFonts w:ascii="Cambria" w:hAnsi="Cambria"/>
          <w:sz w:val="20"/>
          <w:szCs w:val="20"/>
          <w:lang w:val="es-ES" w:eastAsia="es-ES"/>
        </w:rPr>
        <w:t>. P</w:t>
      </w:r>
      <w:r w:rsidR="00D03964" w:rsidRPr="00937EFE">
        <w:rPr>
          <w:rFonts w:ascii="Cambria" w:hAnsi="Cambria"/>
          <w:sz w:val="20"/>
          <w:szCs w:val="20"/>
          <w:lang w:val="es-ES" w:eastAsia="es-ES"/>
        </w:rPr>
        <w:t xml:space="preserve">or su propia naturaleza se desprende que las mismas no guardan relación con el desempeño de sus funciones, por lo que no existiría una correlación entre la conducta y la sanción impuesta. </w:t>
      </w:r>
      <w:r w:rsidR="00764166" w:rsidRPr="00937EFE">
        <w:rPr>
          <w:rFonts w:ascii="Cambria" w:hAnsi="Cambria"/>
          <w:sz w:val="20"/>
          <w:szCs w:val="20"/>
          <w:lang w:val="es-ES" w:eastAsia="es-ES"/>
        </w:rPr>
        <w:t>Igualmente, la Comisión subraya que en la decisión de no ratificación se hace constar que la presunta víctima “tiene informe favorable en parte”, sin embargo</w:t>
      </w:r>
      <w:r w:rsidRPr="00937EFE">
        <w:rPr>
          <w:rFonts w:ascii="Cambria" w:hAnsi="Cambria"/>
          <w:sz w:val="20"/>
          <w:szCs w:val="20"/>
          <w:lang w:val="es-ES" w:eastAsia="es-ES"/>
        </w:rPr>
        <w:t>,</w:t>
      </w:r>
      <w:r w:rsidR="00764166" w:rsidRPr="00937EFE">
        <w:rPr>
          <w:rFonts w:ascii="Cambria" w:hAnsi="Cambria"/>
          <w:sz w:val="20"/>
          <w:szCs w:val="20"/>
          <w:lang w:val="es-ES" w:eastAsia="es-ES"/>
        </w:rPr>
        <w:t xml:space="preserve"> </w:t>
      </w:r>
      <w:r w:rsidR="003F5C80" w:rsidRPr="00937EFE">
        <w:rPr>
          <w:rFonts w:ascii="Cambria" w:hAnsi="Cambria"/>
          <w:sz w:val="20"/>
          <w:szCs w:val="20"/>
          <w:lang w:val="es-ES" w:eastAsia="es-ES"/>
        </w:rPr>
        <w:t>no se realiza ningún análisis sobre el peso probatorio de dicho documento, o las razones por las que pese a dicho info</w:t>
      </w:r>
      <w:r w:rsidR="00D3035B" w:rsidRPr="00937EFE">
        <w:rPr>
          <w:rFonts w:ascii="Cambria" w:hAnsi="Cambria"/>
          <w:sz w:val="20"/>
          <w:szCs w:val="20"/>
          <w:lang w:val="es-ES" w:eastAsia="es-ES"/>
        </w:rPr>
        <w:t>rme, la presunta víctima no debía</w:t>
      </w:r>
      <w:r w:rsidR="003F5C80" w:rsidRPr="00937EFE">
        <w:rPr>
          <w:rFonts w:ascii="Cambria" w:hAnsi="Cambria"/>
          <w:sz w:val="20"/>
          <w:szCs w:val="20"/>
          <w:lang w:val="es-ES" w:eastAsia="es-ES"/>
        </w:rPr>
        <w:t xml:space="preserve"> ser ratificada.</w:t>
      </w:r>
      <w:r w:rsidR="009D38E0" w:rsidRPr="00937EFE">
        <w:rPr>
          <w:rFonts w:ascii="Cambria" w:hAnsi="Cambria"/>
          <w:sz w:val="20"/>
          <w:szCs w:val="20"/>
          <w:lang w:val="es-ES" w:eastAsia="es-ES"/>
        </w:rPr>
        <w:t xml:space="preserve">  </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9D38E0"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 w:eastAsia="es-ES"/>
        </w:rPr>
        <w:t>Finalmente, sobre dicho informe de no ratificación, la Comisi</w:t>
      </w:r>
      <w:r w:rsidR="00BE00A9" w:rsidRPr="00937EFE">
        <w:rPr>
          <w:rFonts w:ascii="Cambria" w:hAnsi="Cambria"/>
          <w:sz w:val="20"/>
          <w:szCs w:val="20"/>
          <w:lang w:val="es-ES" w:eastAsia="es-ES"/>
        </w:rPr>
        <w:t>ón destaca que</w:t>
      </w:r>
      <w:r w:rsidR="003F5C80" w:rsidRPr="00937EFE">
        <w:rPr>
          <w:rFonts w:ascii="Cambria" w:hAnsi="Cambria"/>
          <w:sz w:val="20"/>
          <w:szCs w:val="20"/>
          <w:lang w:val="es-ES" w:eastAsia="es-ES"/>
        </w:rPr>
        <w:t xml:space="preserve"> </w:t>
      </w:r>
      <w:r w:rsidR="00997AED" w:rsidRPr="00937EFE">
        <w:rPr>
          <w:rFonts w:ascii="Cambria" w:hAnsi="Cambria"/>
          <w:sz w:val="20"/>
          <w:szCs w:val="20"/>
          <w:lang w:val="es-ES" w:eastAsia="es-ES"/>
        </w:rPr>
        <w:t>en el mismo consta que en la votación se obtuvieron 5 votos a favor de la ratificación, y 5 votos en contra de la ratificación. La Comisión</w:t>
      </w:r>
      <w:r w:rsidR="00BE00A9" w:rsidRPr="00937EFE">
        <w:rPr>
          <w:rFonts w:ascii="Cambria" w:hAnsi="Cambria"/>
          <w:sz w:val="20"/>
          <w:szCs w:val="20"/>
          <w:lang w:val="es-ES" w:eastAsia="es-ES"/>
        </w:rPr>
        <w:t xml:space="preserve"> </w:t>
      </w:r>
      <w:r w:rsidR="00D3035B" w:rsidRPr="00937EFE">
        <w:rPr>
          <w:rFonts w:ascii="Cambria" w:hAnsi="Cambria"/>
          <w:sz w:val="20"/>
          <w:szCs w:val="20"/>
          <w:lang w:val="es-ES" w:eastAsia="es-ES"/>
        </w:rPr>
        <w:t xml:space="preserve">no conoce las razones por las que, pese a que la legislación establecía que el Comité de Vocales estaba compuesto por 7 personas, habrían participado 10, sin embargo estima que el empate ameritaba </w:t>
      </w:r>
      <w:r w:rsidR="00981B8A" w:rsidRPr="00937EFE">
        <w:rPr>
          <w:rFonts w:ascii="Cambria" w:hAnsi="Cambria"/>
          <w:sz w:val="20"/>
          <w:szCs w:val="20"/>
          <w:lang w:val="es-ES" w:eastAsia="es-ES"/>
        </w:rPr>
        <w:t>que la Comisión de Vocales pr</w:t>
      </w:r>
      <w:r w:rsidR="00BE00A9" w:rsidRPr="00937EFE">
        <w:rPr>
          <w:rFonts w:ascii="Cambria" w:hAnsi="Cambria"/>
          <w:sz w:val="20"/>
          <w:szCs w:val="20"/>
          <w:lang w:val="es-ES" w:eastAsia="es-ES"/>
        </w:rPr>
        <w:t>oporcionar</w:t>
      </w:r>
      <w:r w:rsidR="00981B8A" w:rsidRPr="00937EFE">
        <w:rPr>
          <w:rFonts w:ascii="Cambria" w:hAnsi="Cambria"/>
          <w:sz w:val="20"/>
          <w:szCs w:val="20"/>
          <w:lang w:val="es-ES" w:eastAsia="es-ES"/>
        </w:rPr>
        <w:t>a</w:t>
      </w:r>
      <w:r w:rsidR="00BE00A9" w:rsidRPr="00937EFE">
        <w:rPr>
          <w:rFonts w:ascii="Cambria" w:hAnsi="Cambria"/>
          <w:sz w:val="20"/>
          <w:szCs w:val="20"/>
          <w:lang w:val="es-ES" w:eastAsia="es-ES"/>
        </w:rPr>
        <w:t xml:space="preserve"> las razones por las que pese a obtener</w:t>
      </w:r>
      <w:r w:rsidR="00D3035B" w:rsidRPr="00937EFE">
        <w:rPr>
          <w:rFonts w:ascii="Cambria" w:hAnsi="Cambria"/>
          <w:sz w:val="20"/>
          <w:szCs w:val="20"/>
          <w:lang w:val="es-ES" w:eastAsia="es-ES"/>
        </w:rPr>
        <w:t>se</w:t>
      </w:r>
      <w:r w:rsidR="00BE00A9" w:rsidRPr="00937EFE">
        <w:rPr>
          <w:rFonts w:ascii="Cambria" w:hAnsi="Cambria"/>
          <w:sz w:val="20"/>
          <w:szCs w:val="20"/>
          <w:lang w:val="es-ES" w:eastAsia="es-ES"/>
        </w:rPr>
        <w:t xml:space="preserve"> igual número de votos</w:t>
      </w:r>
      <w:r w:rsidR="00D3035B" w:rsidRPr="00937EFE">
        <w:rPr>
          <w:rFonts w:ascii="Cambria" w:hAnsi="Cambria"/>
          <w:sz w:val="20"/>
          <w:szCs w:val="20"/>
          <w:lang w:val="es-ES" w:eastAsia="es-ES"/>
        </w:rPr>
        <w:t xml:space="preserve"> por la ratificación y en contra de la ratificación, se determinó no ratificar a la presunta víctima en su cargo.</w:t>
      </w:r>
      <w:r w:rsidR="007451F8" w:rsidRPr="00937EFE">
        <w:rPr>
          <w:rFonts w:ascii="Cambria" w:hAnsi="Cambria"/>
          <w:sz w:val="20"/>
          <w:szCs w:val="20"/>
          <w:lang w:val="es-ES" w:eastAsia="es-ES"/>
        </w:rPr>
        <w:t xml:space="preserve"> </w:t>
      </w:r>
    </w:p>
    <w:p w:rsidR="006B2276" w:rsidRPr="00937EFE" w:rsidRDefault="006B2276" w:rsidP="00937EFE">
      <w:pPr>
        <w:spacing w:after="0" w:line="240" w:lineRule="auto"/>
        <w:jc w:val="both"/>
        <w:rPr>
          <w:rFonts w:ascii="Cambria" w:hAnsi="Cambria"/>
          <w:sz w:val="20"/>
          <w:szCs w:val="20"/>
          <w:lang w:val="es-ES" w:eastAsia="es-ES"/>
        </w:rPr>
      </w:pPr>
    </w:p>
    <w:p w:rsidR="006B2276" w:rsidRPr="00937EFE" w:rsidRDefault="0093785B"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lang w:val="es-ES" w:eastAsia="es-ES"/>
        </w:rPr>
        <w:t>En segundo lugar, l</w:t>
      </w:r>
      <w:r w:rsidR="00D03964" w:rsidRPr="00937EFE">
        <w:rPr>
          <w:rFonts w:ascii="Cambria" w:hAnsi="Cambria"/>
          <w:sz w:val="20"/>
          <w:szCs w:val="20"/>
          <w:lang w:val="es-ES" w:eastAsia="es-ES"/>
        </w:rPr>
        <w:t xml:space="preserve">a Comisión hace notar que la Corte Suprema de Justicia, al resolver el recurso de revisión interpuesto por la parte peticionaria indicó que </w:t>
      </w:r>
      <w:r w:rsidR="009E7A68" w:rsidRPr="00937EFE">
        <w:rPr>
          <w:rFonts w:ascii="Cambria" w:hAnsi="Cambria"/>
          <w:sz w:val="20"/>
          <w:szCs w:val="20"/>
          <w:lang w:val="es-ES" w:eastAsia="es-ES"/>
        </w:rPr>
        <w:t xml:space="preserve">la decisión de no ratificación tomó en cuenta el incumplimiento de las funciones laborales de la presunta víctima que consistió en que “un acta no llevaba la firma del juez”, “haber autorizado una constancia de notificación cuando el expediente no aparece fecha de notificación”, “no haber cumplido con pasar los oficios que estaban ordenados en autos”, “haber omitido anotar las fechas en que se realizan las consignaciones, así como de las entregas y no anotar el número del certificado ni la cantidad”. Igualmente, indicó que “la recurrente no cumple con abonar las deudas contraídas, situación que daña la imagen del tribunal”.  La CIDH subraya que en dicha decisión, el Tribunal </w:t>
      </w:r>
      <w:r w:rsidR="00F33BD5" w:rsidRPr="00937EFE">
        <w:rPr>
          <w:rFonts w:ascii="Cambria" w:hAnsi="Cambria"/>
          <w:sz w:val="20"/>
          <w:szCs w:val="20"/>
          <w:lang w:val="es-ES" w:eastAsia="es-ES"/>
        </w:rPr>
        <w:t xml:space="preserve">tampoco </w:t>
      </w:r>
      <w:r w:rsidRPr="00937EFE">
        <w:rPr>
          <w:rFonts w:ascii="Cambria" w:hAnsi="Cambria"/>
          <w:sz w:val="20"/>
          <w:szCs w:val="20"/>
          <w:lang w:val="es-ES" w:eastAsia="es-ES"/>
        </w:rPr>
        <w:t xml:space="preserve">justificó las razones por las que tales conductas </w:t>
      </w:r>
      <w:r w:rsidR="00F33BD5" w:rsidRPr="00937EFE">
        <w:rPr>
          <w:rFonts w:ascii="Cambria" w:hAnsi="Cambria"/>
          <w:sz w:val="20"/>
          <w:szCs w:val="20"/>
          <w:lang w:val="es-ES" w:eastAsia="es-ES"/>
        </w:rPr>
        <w:t xml:space="preserve">se relacionaban con criterios previamente establecidos para estas definiciones ni </w:t>
      </w:r>
      <w:r w:rsidRPr="00937EFE">
        <w:rPr>
          <w:rFonts w:ascii="Cambria" w:hAnsi="Cambria"/>
          <w:sz w:val="20"/>
          <w:szCs w:val="20"/>
          <w:lang w:val="es-ES" w:eastAsia="es-ES"/>
        </w:rPr>
        <w:t>tenían la suficiente entidad para justificar la no ratificación de la presunta víctima</w:t>
      </w:r>
      <w:r w:rsidR="00F61CF7" w:rsidRPr="00937EFE">
        <w:rPr>
          <w:rFonts w:ascii="Cambria" w:hAnsi="Cambria"/>
          <w:sz w:val="20"/>
          <w:szCs w:val="20"/>
          <w:lang w:val="es-ES" w:eastAsia="es-ES"/>
        </w:rPr>
        <w:t>. T</w:t>
      </w:r>
      <w:r w:rsidRPr="00937EFE">
        <w:rPr>
          <w:rFonts w:ascii="Cambria" w:hAnsi="Cambria"/>
          <w:sz w:val="20"/>
          <w:szCs w:val="20"/>
          <w:lang w:val="es-ES" w:eastAsia="es-ES"/>
        </w:rPr>
        <w:t xml:space="preserve">ampoco refirió las razones por las que tener deudas podían ameritar </w:t>
      </w:r>
      <w:r w:rsidR="001868EA" w:rsidRPr="00937EFE">
        <w:rPr>
          <w:rFonts w:ascii="Cambria" w:hAnsi="Cambria"/>
          <w:sz w:val="20"/>
          <w:szCs w:val="20"/>
          <w:lang w:val="es-ES" w:eastAsia="es-ES"/>
        </w:rPr>
        <w:t xml:space="preserve">una decisión que, en la práctica, implicaba </w:t>
      </w:r>
      <w:r w:rsidRPr="00937EFE">
        <w:rPr>
          <w:rFonts w:ascii="Cambria" w:hAnsi="Cambria"/>
          <w:sz w:val="20"/>
          <w:szCs w:val="20"/>
          <w:lang w:val="es-ES" w:eastAsia="es-ES"/>
        </w:rPr>
        <w:t>su separaci</w:t>
      </w:r>
      <w:r w:rsidR="00764166" w:rsidRPr="00937EFE">
        <w:rPr>
          <w:rFonts w:ascii="Cambria" w:hAnsi="Cambria"/>
          <w:sz w:val="20"/>
          <w:szCs w:val="20"/>
          <w:lang w:val="es-ES" w:eastAsia="es-ES"/>
        </w:rPr>
        <w:t xml:space="preserve">ón del cargo. </w:t>
      </w:r>
    </w:p>
    <w:p w:rsidR="006B2276" w:rsidRPr="00937EFE" w:rsidRDefault="006B2276" w:rsidP="00937EFE">
      <w:pPr>
        <w:spacing w:after="0" w:line="240" w:lineRule="auto"/>
        <w:jc w:val="both"/>
        <w:rPr>
          <w:rFonts w:ascii="Cambria" w:hAnsi="Cambria"/>
          <w:sz w:val="20"/>
          <w:szCs w:val="20"/>
          <w:lang w:val="es-ES" w:eastAsia="es-ES"/>
        </w:rPr>
      </w:pPr>
    </w:p>
    <w:p w:rsidR="00FE680E" w:rsidRPr="00937EFE" w:rsidRDefault="00FE680E" w:rsidP="00937EFE">
      <w:pPr>
        <w:numPr>
          <w:ilvl w:val="0"/>
          <w:numId w:val="3"/>
        </w:numPr>
        <w:tabs>
          <w:tab w:val="clear" w:pos="1080"/>
        </w:tabs>
        <w:spacing w:after="0" w:line="240" w:lineRule="auto"/>
        <w:ind w:left="0" w:firstLine="0"/>
        <w:jc w:val="both"/>
        <w:rPr>
          <w:rFonts w:ascii="Cambria" w:hAnsi="Cambria"/>
          <w:sz w:val="20"/>
          <w:szCs w:val="20"/>
          <w:lang w:val="es-ES" w:eastAsia="es-ES"/>
        </w:rPr>
      </w:pPr>
      <w:r w:rsidRPr="00937EFE">
        <w:rPr>
          <w:rFonts w:ascii="Cambria" w:hAnsi="Cambria"/>
          <w:sz w:val="20"/>
          <w:szCs w:val="20"/>
        </w:rPr>
        <w:t xml:space="preserve">En virtud de todas las consideraciones efectuadas en la presente sección, la CIDH estima que el Estado </w:t>
      </w:r>
      <w:r w:rsidR="00E66256" w:rsidRPr="00937EFE">
        <w:rPr>
          <w:rFonts w:ascii="Cambria" w:hAnsi="Cambria"/>
          <w:sz w:val="20"/>
          <w:szCs w:val="20"/>
        </w:rPr>
        <w:t>peruano</w:t>
      </w:r>
      <w:r w:rsidRPr="00937EFE">
        <w:rPr>
          <w:rFonts w:ascii="Cambria" w:hAnsi="Cambria"/>
          <w:sz w:val="20"/>
          <w:szCs w:val="20"/>
        </w:rPr>
        <w:t xml:space="preserve"> es </w:t>
      </w:r>
      <w:r w:rsidRPr="00937EFE">
        <w:rPr>
          <w:rFonts w:ascii="Cambria" w:hAnsi="Cambria"/>
          <w:sz w:val="20"/>
          <w:szCs w:val="20"/>
          <w:lang w:val="es-CL"/>
        </w:rPr>
        <w:t xml:space="preserve">responsable por la violación de los artículos 8.1 y 9 de la Convención Americana en relación con las obligaciones establecidas en los artículos 1.1 y 2 del mismo instrumento en perjuicio de </w:t>
      </w:r>
      <w:r w:rsidRPr="00937EFE">
        <w:rPr>
          <w:rFonts w:ascii="Cambria" w:hAnsi="Cambria"/>
          <w:sz w:val="20"/>
          <w:szCs w:val="20"/>
          <w:lang w:val="es-VE"/>
        </w:rPr>
        <w:t xml:space="preserve">Norka Moya Solís. </w:t>
      </w:r>
    </w:p>
    <w:p w:rsidR="00FA158E" w:rsidRPr="00937EFE" w:rsidRDefault="00FA158E" w:rsidP="00937EFE">
      <w:pPr>
        <w:spacing w:after="0" w:line="240" w:lineRule="auto"/>
        <w:jc w:val="both"/>
        <w:rPr>
          <w:rFonts w:ascii="Cambria" w:hAnsi="Cambria"/>
          <w:sz w:val="20"/>
          <w:szCs w:val="20"/>
          <w:lang w:val="es-ES" w:eastAsia="es-ES"/>
        </w:rPr>
      </w:pPr>
      <w:bookmarkStart w:id="43" w:name="_Toc527450135"/>
      <w:bookmarkStart w:id="44" w:name="_Toc516656765"/>
    </w:p>
    <w:p w:rsidR="00FA158E" w:rsidRPr="00937EFE" w:rsidRDefault="00FA158E" w:rsidP="00243943">
      <w:pPr>
        <w:pStyle w:val="Heading2"/>
        <w:numPr>
          <w:ilvl w:val="0"/>
          <w:numId w:val="30"/>
        </w:numPr>
        <w:ind w:left="720" w:hanging="720"/>
      </w:pPr>
      <w:bookmarkStart w:id="45" w:name="_Toc3453786"/>
      <w:bookmarkStart w:id="46" w:name="_Toc4595242"/>
      <w:r w:rsidRPr="00937EFE">
        <w:rPr>
          <w:lang w:val="es-AR"/>
        </w:rPr>
        <w:t>El</w:t>
      </w:r>
      <w:r w:rsidRPr="00937EFE">
        <w:t xml:space="preserve"> derecho</w:t>
      </w:r>
      <w:r w:rsidR="00ED2DC0" w:rsidRPr="00937EFE">
        <w:t xml:space="preserve"> al plazo razonable y</w:t>
      </w:r>
      <w:r w:rsidRPr="00937EFE">
        <w:t xml:space="preserve"> a la protección judicial</w:t>
      </w:r>
      <w:r w:rsidRPr="00937EFE">
        <w:rPr>
          <w:vertAlign w:val="superscript"/>
        </w:rPr>
        <w:footnoteReference w:id="60"/>
      </w:r>
      <w:bookmarkEnd w:id="43"/>
      <w:bookmarkEnd w:id="44"/>
      <w:bookmarkEnd w:id="45"/>
      <w:bookmarkEnd w:id="46"/>
    </w:p>
    <w:p w:rsidR="00FA158E" w:rsidRPr="00937EFE" w:rsidRDefault="00FA158E" w:rsidP="00937EFE">
      <w:pPr>
        <w:spacing w:after="0" w:line="240" w:lineRule="auto"/>
        <w:jc w:val="both"/>
        <w:rPr>
          <w:rFonts w:ascii="Cambria" w:hAnsi="Cambria"/>
          <w:sz w:val="20"/>
          <w:szCs w:val="20"/>
          <w:lang w:val="es-ES" w:eastAsia="es-ES"/>
        </w:rPr>
      </w:pPr>
    </w:p>
    <w:p w:rsidR="009C22A3" w:rsidRPr="00937EFE" w:rsidRDefault="008F432D"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rPr>
        <w:t>La</w:t>
      </w:r>
      <w:r w:rsidRPr="00937EFE">
        <w:rPr>
          <w:rFonts w:ascii="Cambria" w:hAnsi="Cambria"/>
          <w:sz w:val="20"/>
          <w:szCs w:val="20"/>
          <w:lang w:val="es-ES" w:eastAsia="es-ES"/>
        </w:rPr>
        <w:t xml:space="preserve"> </w:t>
      </w:r>
      <w:r w:rsidR="00017825" w:rsidRPr="00937EFE">
        <w:rPr>
          <w:rFonts w:ascii="Cambria" w:hAnsi="Cambria"/>
          <w:sz w:val="20"/>
          <w:szCs w:val="20"/>
        </w:rPr>
        <w:t>CIDH recuerda que el Estado está en la obligación general de proveer recursos judiciales efectivos a las personas que aleguen ser víctimas de violaciones de derechos humanos, los cuales deben ser sustanciados de conformidad con las reglas del debido proceso legal. Para que exista u</w:t>
      </w:r>
      <w:r w:rsidR="003E50CE" w:rsidRPr="00937EFE">
        <w:rPr>
          <w:rFonts w:ascii="Cambria" w:hAnsi="Cambria"/>
          <w:sz w:val="20"/>
          <w:szCs w:val="20"/>
        </w:rPr>
        <w:t xml:space="preserve">n recurso efectivo no basta con </w:t>
      </w:r>
      <w:r w:rsidR="00017825" w:rsidRPr="00937EFE">
        <w:rPr>
          <w:rFonts w:ascii="Cambria" w:hAnsi="Cambria"/>
          <w:sz w:val="20"/>
          <w:szCs w:val="20"/>
        </w:rPr>
        <w:t>que esté previsto legalmente sino que deber ser realmente idóneo para establecer si se ha incurrido en una violación a los derechos humanos, y proveer lo necesario para remediarla</w:t>
      </w:r>
      <w:r w:rsidR="00017825" w:rsidRPr="00937EFE">
        <w:rPr>
          <w:rFonts w:ascii="Cambria" w:hAnsi="Cambria"/>
          <w:sz w:val="20"/>
          <w:szCs w:val="20"/>
          <w:vertAlign w:val="superscript"/>
        </w:rPr>
        <w:footnoteReference w:id="61"/>
      </w:r>
      <w:r w:rsidR="00017825" w:rsidRPr="00937EFE">
        <w:rPr>
          <w:rFonts w:ascii="Cambria" w:hAnsi="Cambria"/>
          <w:sz w:val="20"/>
          <w:szCs w:val="20"/>
        </w:rPr>
        <w:t xml:space="preserve">. </w:t>
      </w:r>
    </w:p>
    <w:p w:rsidR="009C22A3" w:rsidRPr="00937EFE" w:rsidRDefault="009C22A3" w:rsidP="00937EFE">
      <w:pPr>
        <w:spacing w:after="0" w:line="240" w:lineRule="auto"/>
        <w:jc w:val="both"/>
        <w:rPr>
          <w:rFonts w:ascii="Cambria" w:hAnsi="Cambria"/>
          <w:sz w:val="20"/>
          <w:szCs w:val="20"/>
          <w:lang w:val="es-AR"/>
        </w:rPr>
      </w:pPr>
    </w:p>
    <w:p w:rsidR="0067357F" w:rsidRPr="00937EFE" w:rsidRDefault="009C22A3"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rPr>
        <w:t xml:space="preserve">La Comisión recuerda que para efectos de determinar la razonabilidad del plazo, la jurisprudencia interamericana ha desarrollado cuatros elementos: </w:t>
      </w:r>
      <w:r w:rsidRPr="00937EFE">
        <w:rPr>
          <w:rFonts w:ascii="Cambria" w:hAnsi="Cambria"/>
          <w:bCs/>
          <w:sz w:val="20"/>
          <w:szCs w:val="20"/>
          <w:lang w:val="es-EC"/>
        </w:rPr>
        <w:t>a) la complejidad del asunto; b) la actividad procesal del interesado;  c) la conducta de las autoridades judiciales; y d) la afectación generada en la situación jurídica de la persona involucrada en el proceso</w:t>
      </w:r>
      <w:r w:rsidRPr="00937EFE">
        <w:rPr>
          <w:rStyle w:val="FootnoteReference"/>
          <w:rFonts w:ascii="Cambria" w:hAnsi="Cambria"/>
          <w:bCs/>
          <w:sz w:val="20"/>
          <w:szCs w:val="20"/>
          <w:lang w:val="es-EC"/>
        </w:rPr>
        <w:footnoteReference w:id="62"/>
      </w:r>
      <w:r w:rsidRPr="00937EFE">
        <w:rPr>
          <w:rFonts w:ascii="Cambria" w:hAnsi="Cambria"/>
          <w:bCs/>
          <w:sz w:val="20"/>
          <w:szCs w:val="20"/>
          <w:lang w:val="es-EC"/>
        </w:rPr>
        <w:t>.</w:t>
      </w:r>
    </w:p>
    <w:p w:rsidR="009C22A3" w:rsidRPr="00937EFE" w:rsidRDefault="009C22A3" w:rsidP="00937EFE">
      <w:pPr>
        <w:spacing w:after="0" w:line="240" w:lineRule="auto"/>
        <w:jc w:val="both"/>
        <w:rPr>
          <w:rFonts w:ascii="Cambria" w:hAnsi="Cambria"/>
          <w:sz w:val="20"/>
          <w:szCs w:val="20"/>
          <w:lang w:val="es-AR"/>
        </w:rPr>
      </w:pPr>
    </w:p>
    <w:p w:rsidR="006B2276" w:rsidRPr="00937EFE" w:rsidRDefault="0099259B"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lang w:val="es-AR"/>
        </w:rPr>
        <w:t>Asimismo, el artículo 25.2.c) de la Convención establece que los Estados se comprometen a “garantizar el cumplimiento, por las autoridades competentes, de toda decisión en que se haya estimado procedente el recurso”.  La Corte Interamericana ha señalado que en los términos del artículo 25 de la Convención, es posible identificar dos responsabilidades concretas del Estado. La primera, consagrar normativamente y asegurar la debida aplicación de recursos efectivos ante las autoridades competentes, que amparen a todas las personas bajo su jurisdicción contra actos que violen sus derechos fundamentales o que conlleven a la determinación de los derechos y obligaciones de éstas. La segunda, garantizar los medios para ejecutar las respectivas decisiones y sentencias definitivas emitidas por</w:t>
      </w:r>
      <w:r w:rsidR="003E50CE" w:rsidRPr="00937EFE">
        <w:rPr>
          <w:rFonts w:ascii="Cambria" w:hAnsi="Cambria"/>
          <w:sz w:val="20"/>
          <w:szCs w:val="20"/>
          <w:lang w:val="es-AR"/>
        </w:rPr>
        <w:t xml:space="preserve"> tales autoridades competentes</w:t>
      </w:r>
      <w:r w:rsidRPr="00937EFE">
        <w:rPr>
          <w:rFonts w:ascii="Cambria" w:hAnsi="Cambria"/>
          <w:sz w:val="20"/>
          <w:szCs w:val="20"/>
          <w:lang w:val="es-AR"/>
        </w:rPr>
        <w:t>, de manera que se protejan efectivamente los derechos declarados o reconocidos. El proceso debe tender a la materialización de la protección del derecho reconocido en el pronunciamiento judicial mediante la aplicación i</w:t>
      </w:r>
      <w:r w:rsidR="00114302" w:rsidRPr="00937EFE">
        <w:rPr>
          <w:rFonts w:ascii="Cambria" w:hAnsi="Cambria"/>
          <w:sz w:val="20"/>
          <w:szCs w:val="20"/>
          <w:lang w:val="es-AR"/>
        </w:rPr>
        <w:t>dónea de dicho pronunciamiento</w:t>
      </w:r>
      <w:r w:rsidRPr="00937EFE">
        <w:rPr>
          <w:rFonts w:ascii="Cambria" w:hAnsi="Cambria"/>
          <w:sz w:val="20"/>
          <w:szCs w:val="20"/>
          <w:lang w:val="es-AR"/>
        </w:rPr>
        <w:t>”. Por tanto, “la efectividad de las sentencias depende de su ejecución. Esto último, debido a que una sentencia con carácter de cosa juzgada otorga certeza sobre el derecho o controversia discutida en el caso concreto y, por ende, tiene como uno de sus efectos la obligatoriedad o necesidad de cumplimiento. Lo contrario supone la negación mi</w:t>
      </w:r>
      <w:r w:rsidR="00E57F23" w:rsidRPr="00937EFE">
        <w:rPr>
          <w:rFonts w:ascii="Cambria" w:hAnsi="Cambria"/>
          <w:sz w:val="20"/>
          <w:szCs w:val="20"/>
          <w:lang w:val="es-AR"/>
        </w:rPr>
        <w:t>sma del derecho involucrado.  Para lograr plenamente la efectividad de la sentencia la ejecución debe ser compl</w:t>
      </w:r>
      <w:r w:rsidR="00F660E4" w:rsidRPr="00937EFE">
        <w:rPr>
          <w:rFonts w:ascii="Cambria" w:hAnsi="Cambria"/>
          <w:sz w:val="20"/>
          <w:szCs w:val="20"/>
          <w:lang w:val="es-AR"/>
        </w:rPr>
        <w:t>eta, perfecta, integral y sin de</w:t>
      </w:r>
      <w:r w:rsidR="00E57F23" w:rsidRPr="00937EFE">
        <w:rPr>
          <w:rFonts w:ascii="Cambria" w:hAnsi="Cambria"/>
          <w:sz w:val="20"/>
          <w:szCs w:val="20"/>
          <w:lang w:val="es-AR"/>
        </w:rPr>
        <w:t>mora</w:t>
      </w:r>
      <w:r w:rsidR="00E57F23" w:rsidRPr="00937EFE">
        <w:rPr>
          <w:rStyle w:val="FootnoteReference"/>
          <w:rFonts w:ascii="Cambria" w:hAnsi="Cambria"/>
          <w:sz w:val="20"/>
          <w:szCs w:val="20"/>
          <w:lang w:val="es-AR"/>
        </w:rPr>
        <w:footnoteReference w:id="63"/>
      </w:r>
      <w:r w:rsidR="00E57F23" w:rsidRPr="00937EFE">
        <w:rPr>
          <w:rFonts w:ascii="Cambria" w:hAnsi="Cambria"/>
          <w:sz w:val="20"/>
          <w:szCs w:val="20"/>
          <w:lang w:val="es-AR"/>
        </w:rPr>
        <w:t xml:space="preserve">. </w:t>
      </w:r>
    </w:p>
    <w:p w:rsidR="006B2276" w:rsidRPr="00937EFE" w:rsidRDefault="006B2276" w:rsidP="00937EFE">
      <w:pPr>
        <w:spacing w:after="0" w:line="240" w:lineRule="auto"/>
        <w:jc w:val="both"/>
        <w:rPr>
          <w:rFonts w:ascii="Cambria" w:hAnsi="Cambria"/>
          <w:sz w:val="20"/>
          <w:szCs w:val="20"/>
          <w:lang w:val="es-AR"/>
        </w:rPr>
      </w:pPr>
    </w:p>
    <w:p w:rsidR="006B2276" w:rsidRPr="00937EFE" w:rsidRDefault="00F660E4"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lang w:val="es-AR"/>
        </w:rPr>
        <w:t>En el presente caso, la Comisión observa que tras la decisión de no ratificación, la presunta víctima</w:t>
      </w:r>
      <w:r w:rsidR="005029B5" w:rsidRPr="00937EFE">
        <w:rPr>
          <w:rFonts w:ascii="Cambria" w:hAnsi="Cambria"/>
          <w:sz w:val="20"/>
          <w:szCs w:val="20"/>
          <w:lang w:val="es-AR"/>
        </w:rPr>
        <w:t xml:space="preserve"> interpuso</w:t>
      </w:r>
      <w:r w:rsidR="00417A59" w:rsidRPr="00937EFE">
        <w:rPr>
          <w:rFonts w:ascii="Cambria" w:hAnsi="Cambria"/>
          <w:sz w:val="20"/>
          <w:szCs w:val="20"/>
          <w:lang w:val="es-AR"/>
        </w:rPr>
        <w:t xml:space="preserve"> </w:t>
      </w:r>
      <w:r w:rsidR="009170EA" w:rsidRPr="00937EFE">
        <w:rPr>
          <w:rFonts w:ascii="Cambria" w:hAnsi="Cambria"/>
          <w:sz w:val="20"/>
          <w:szCs w:val="20"/>
          <w:lang w:val="es-AR"/>
        </w:rPr>
        <w:t>recursos de revisión, amparo, apelación y nulidad</w:t>
      </w:r>
      <w:r w:rsidR="004E6F8D" w:rsidRPr="00937EFE">
        <w:rPr>
          <w:rFonts w:ascii="Cambria" w:hAnsi="Cambria"/>
          <w:sz w:val="20"/>
          <w:szCs w:val="20"/>
          <w:lang w:val="es-AR"/>
        </w:rPr>
        <w:t xml:space="preserve">. </w:t>
      </w:r>
      <w:r w:rsidR="009170EA" w:rsidRPr="00937EFE">
        <w:rPr>
          <w:rFonts w:ascii="Cambria" w:hAnsi="Cambria"/>
          <w:sz w:val="20"/>
          <w:szCs w:val="20"/>
          <w:lang w:val="es-AR"/>
        </w:rPr>
        <w:t xml:space="preserve"> </w:t>
      </w:r>
      <w:r w:rsidR="00E6009D" w:rsidRPr="00937EFE">
        <w:rPr>
          <w:rFonts w:ascii="Cambria" w:hAnsi="Cambria"/>
          <w:sz w:val="20"/>
          <w:szCs w:val="20"/>
          <w:lang w:val="es-AR"/>
        </w:rPr>
        <w:t>S</w:t>
      </w:r>
      <w:r w:rsidR="00417A59" w:rsidRPr="00937EFE">
        <w:rPr>
          <w:rFonts w:ascii="Cambria" w:hAnsi="Cambria"/>
          <w:sz w:val="20"/>
          <w:szCs w:val="20"/>
          <w:lang w:val="es-AR"/>
        </w:rPr>
        <w:t>in embargo todos fueron rechazados sin realizar un análisis sustantivo de las violaciones al debido proceso que la presunta víctima argumentó se produjeron como consecuencia de su no ratificación, especialmente el derech</w:t>
      </w:r>
      <w:r w:rsidR="006B2276" w:rsidRPr="00937EFE">
        <w:rPr>
          <w:rFonts w:ascii="Cambria" w:hAnsi="Cambria"/>
          <w:sz w:val="20"/>
          <w:szCs w:val="20"/>
          <w:lang w:val="es-AR"/>
        </w:rPr>
        <w:t>o de defensa.</w:t>
      </w:r>
    </w:p>
    <w:p w:rsidR="006B2276" w:rsidRPr="00937EFE" w:rsidRDefault="006B2276" w:rsidP="00937EFE">
      <w:pPr>
        <w:spacing w:after="0" w:line="240" w:lineRule="auto"/>
        <w:jc w:val="both"/>
        <w:rPr>
          <w:rFonts w:ascii="Cambria" w:hAnsi="Cambria"/>
          <w:sz w:val="20"/>
          <w:szCs w:val="20"/>
          <w:lang w:val="es-AR"/>
        </w:rPr>
      </w:pPr>
    </w:p>
    <w:p w:rsidR="006B2276" w:rsidRPr="00937EFE" w:rsidRDefault="00417A59"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lang w:val="es-AR"/>
        </w:rPr>
        <w:t xml:space="preserve">En particular, la CIDH subraya que </w:t>
      </w:r>
      <w:r w:rsidR="009170EA" w:rsidRPr="00937EFE">
        <w:rPr>
          <w:rFonts w:ascii="Cambria" w:hAnsi="Cambria"/>
          <w:sz w:val="20"/>
          <w:szCs w:val="20"/>
          <w:lang w:val="es-AR"/>
        </w:rPr>
        <w:t xml:space="preserve">ante la denegatoria del primer recurso de amparo, la presunta víctima presentó un recurso de apelación </w:t>
      </w:r>
      <w:r w:rsidR="0001201B" w:rsidRPr="00937EFE">
        <w:rPr>
          <w:rFonts w:ascii="Cambria" w:hAnsi="Cambria"/>
          <w:sz w:val="20"/>
          <w:szCs w:val="20"/>
          <w:lang w:val="es-AR"/>
        </w:rPr>
        <w:t>y con posterioridad un recurso de nulidad contra la denegatoria del recurso de apelación, argumentando que las decisiones de amparo y apelación se tomaron sin tener en cuenta el expediente de ratificaciones</w:t>
      </w:r>
      <w:r w:rsidR="00114302" w:rsidRPr="00937EFE">
        <w:rPr>
          <w:rFonts w:ascii="Cambria" w:hAnsi="Cambria"/>
          <w:sz w:val="20"/>
          <w:szCs w:val="20"/>
          <w:lang w:val="es-AR"/>
        </w:rPr>
        <w:t xml:space="preserve">, que permitiría conocer si se cometieron violaciones al debido proceso en el marco del proceso que culminó en su no ratificación.  El 4 de agosto de 1986 la Corte Suprema de Justicia declaró nulas las sentencias de </w:t>
      </w:r>
      <w:r w:rsidR="00E137A7" w:rsidRPr="00937EFE">
        <w:rPr>
          <w:rFonts w:ascii="Cambria" w:hAnsi="Cambria"/>
          <w:sz w:val="20"/>
          <w:szCs w:val="20"/>
          <w:lang w:val="es-AR"/>
        </w:rPr>
        <w:t xml:space="preserve">amparo y apelación de amparo y ordenó que el juez de la causa expida un nuevo fallo teniendo a la vista el expediente de ratificaciones. </w:t>
      </w:r>
      <w:r w:rsidR="00114302" w:rsidRPr="00937EFE">
        <w:rPr>
          <w:rFonts w:ascii="Cambria" w:hAnsi="Cambria"/>
          <w:sz w:val="20"/>
          <w:szCs w:val="20"/>
          <w:lang w:val="es-AR"/>
        </w:rPr>
        <w:t xml:space="preserve"> </w:t>
      </w:r>
    </w:p>
    <w:p w:rsidR="00475F6A" w:rsidRPr="00937EFE" w:rsidRDefault="00475F6A" w:rsidP="00937EFE">
      <w:pPr>
        <w:spacing w:after="0" w:line="240" w:lineRule="auto"/>
        <w:jc w:val="both"/>
        <w:rPr>
          <w:rFonts w:ascii="Cambria" w:hAnsi="Cambria"/>
          <w:sz w:val="20"/>
          <w:szCs w:val="20"/>
          <w:lang w:val="es-AR"/>
        </w:rPr>
      </w:pPr>
    </w:p>
    <w:p w:rsidR="006B2276" w:rsidRPr="00937EFE" w:rsidRDefault="00E137A7"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lang w:val="es-AR"/>
        </w:rPr>
        <w:t>La Comisión observa que en el transcurso de más de 10 años, no se emitió dicha decisión, pese a las constantes solicitudes de la presunta víctima, y fue hasta el 30 de diciembre de 1996 que el Décimo Sexto Juzgado Civil de Lima expidió un nuevo fallo denegando la acción de amparo</w:t>
      </w:r>
      <w:r w:rsidR="00683925" w:rsidRPr="00937EFE">
        <w:rPr>
          <w:rFonts w:ascii="Cambria" w:hAnsi="Cambria"/>
          <w:sz w:val="20"/>
          <w:szCs w:val="20"/>
          <w:lang w:val="es-AR"/>
        </w:rPr>
        <w:t>. Igualmente con posterioridad, se denegaron los recursos de apelación y nulidad interpuestos contra es</w:t>
      </w:r>
      <w:r w:rsidR="00AD1BF3" w:rsidRPr="00937EFE">
        <w:rPr>
          <w:rFonts w:ascii="Cambria" w:hAnsi="Cambria"/>
          <w:sz w:val="20"/>
          <w:szCs w:val="20"/>
          <w:lang w:val="es-AR"/>
        </w:rPr>
        <w:t xml:space="preserve">ta segunda decisión de amparo. </w:t>
      </w:r>
      <w:r w:rsidR="00683925" w:rsidRPr="00937EFE">
        <w:rPr>
          <w:rFonts w:ascii="Cambria" w:hAnsi="Cambria"/>
          <w:sz w:val="20"/>
          <w:szCs w:val="20"/>
          <w:lang w:val="es-AR"/>
        </w:rPr>
        <w:t xml:space="preserve">La CIDH considera innecesario analizar los elementos del plazo razonable respecto de la segunda decisión de amparo, y estima que un plazo de más de diez años para emitir una decisión </w:t>
      </w:r>
      <w:r w:rsidR="00E66256" w:rsidRPr="00937EFE">
        <w:rPr>
          <w:rFonts w:ascii="Cambria" w:hAnsi="Cambria"/>
          <w:sz w:val="20"/>
          <w:szCs w:val="20"/>
          <w:lang w:val="es-AR"/>
        </w:rPr>
        <w:t xml:space="preserve">de amparo </w:t>
      </w:r>
      <w:r w:rsidR="00683925" w:rsidRPr="00937EFE">
        <w:rPr>
          <w:rFonts w:ascii="Cambria" w:hAnsi="Cambria"/>
          <w:sz w:val="20"/>
          <w:szCs w:val="20"/>
          <w:lang w:val="es-AR"/>
        </w:rPr>
        <w:t xml:space="preserve">que fuera ordenada por un </w:t>
      </w:r>
      <w:r w:rsidR="00E66256" w:rsidRPr="00937EFE">
        <w:rPr>
          <w:rFonts w:ascii="Cambria" w:hAnsi="Cambria"/>
          <w:sz w:val="20"/>
          <w:szCs w:val="20"/>
          <w:lang w:val="es-AR"/>
        </w:rPr>
        <w:t>órgano judicial competente resulta a todas luces irrazonable, y además configura una violación al derecho de garantizar el cumplimiento de decisiones judiciales de manera efectiva y sin d</w:t>
      </w:r>
      <w:r w:rsidR="006B2276" w:rsidRPr="00937EFE">
        <w:rPr>
          <w:rFonts w:ascii="Cambria" w:hAnsi="Cambria"/>
          <w:sz w:val="20"/>
          <w:szCs w:val="20"/>
          <w:lang w:val="es-AR"/>
        </w:rPr>
        <w:t>emora.</w:t>
      </w:r>
    </w:p>
    <w:p w:rsidR="006B2276" w:rsidRPr="00937EFE" w:rsidRDefault="006B2276" w:rsidP="00937EFE">
      <w:pPr>
        <w:spacing w:after="0" w:line="240" w:lineRule="auto"/>
        <w:jc w:val="both"/>
        <w:rPr>
          <w:rFonts w:ascii="Cambria" w:hAnsi="Cambria"/>
          <w:sz w:val="20"/>
          <w:szCs w:val="20"/>
          <w:lang w:val="es-AR"/>
        </w:rPr>
      </w:pPr>
    </w:p>
    <w:p w:rsidR="00E66256" w:rsidRPr="00937EFE" w:rsidRDefault="00E66256"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lang w:val="es-AR"/>
        </w:rPr>
        <w:t xml:space="preserve">En vista de lo anterior, la CIDH estima que el Estado </w:t>
      </w:r>
      <w:r w:rsidRPr="00937EFE">
        <w:rPr>
          <w:rFonts w:ascii="Cambria" w:hAnsi="Cambria"/>
          <w:sz w:val="20"/>
          <w:szCs w:val="20"/>
        </w:rPr>
        <w:t xml:space="preserve">peruano es </w:t>
      </w:r>
      <w:r w:rsidRPr="00937EFE">
        <w:rPr>
          <w:rFonts w:ascii="Cambria" w:hAnsi="Cambria"/>
          <w:sz w:val="20"/>
          <w:szCs w:val="20"/>
          <w:lang w:val="es-CL"/>
        </w:rPr>
        <w:t>responsable por la violación de los artículos</w:t>
      </w:r>
      <w:r w:rsidR="00382ACD" w:rsidRPr="00937EFE">
        <w:rPr>
          <w:rFonts w:ascii="Cambria" w:hAnsi="Cambria"/>
          <w:sz w:val="20"/>
          <w:szCs w:val="20"/>
          <w:lang w:val="es-CL"/>
        </w:rPr>
        <w:t xml:space="preserve"> 8.1,</w:t>
      </w:r>
      <w:r w:rsidRPr="00937EFE">
        <w:rPr>
          <w:rFonts w:ascii="Cambria" w:hAnsi="Cambria"/>
          <w:sz w:val="20"/>
          <w:szCs w:val="20"/>
          <w:lang w:val="es-CL"/>
        </w:rPr>
        <w:t xml:space="preserve"> 25.1 y 25.2 c</w:t>
      </w:r>
      <w:r w:rsidR="00714742" w:rsidRPr="00937EFE">
        <w:rPr>
          <w:rFonts w:ascii="Cambria" w:hAnsi="Cambria"/>
          <w:sz w:val="20"/>
          <w:szCs w:val="20"/>
          <w:lang w:val="es-CL"/>
        </w:rPr>
        <w:t>)</w:t>
      </w:r>
      <w:r w:rsidRPr="00937EFE">
        <w:rPr>
          <w:rFonts w:ascii="Cambria" w:hAnsi="Cambria"/>
          <w:sz w:val="20"/>
          <w:szCs w:val="20"/>
          <w:lang w:val="es-CL"/>
        </w:rPr>
        <w:t xml:space="preserve"> de la Convención Americana en relación con las obligaciones establecidas en el artículo 1.1 del mismo instrumento en perjuicio de </w:t>
      </w:r>
      <w:r w:rsidRPr="00937EFE">
        <w:rPr>
          <w:rFonts w:ascii="Cambria" w:hAnsi="Cambria"/>
          <w:sz w:val="20"/>
          <w:szCs w:val="20"/>
          <w:lang w:val="es-VE"/>
        </w:rPr>
        <w:t xml:space="preserve">Norka Moya Solís. </w:t>
      </w:r>
    </w:p>
    <w:p w:rsidR="000803FA" w:rsidRPr="00937EFE" w:rsidRDefault="000803FA" w:rsidP="00937EFE">
      <w:pPr>
        <w:spacing w:after="0" w:line="240" w:lineRule="auto"/>
        <w:jc w:val="both"/>
        <w:rPr>
          <w:rFonts w:ascii="Cambria" w:hAnsi="Cambria"/>
          <w:sz w:val="20"/>
          <w:szCs w:val="20"/>
          <w:lang w:val="es-ES_tradnl"/>
        </w:rPr>
      </w:pPr>
    </w:p>
    <w:p w:rsidR="000803FA" w:rsidRPr="00937EFE" w:rsidRDefault="000803FA" w:rsidP="00243943">
      <w:pPr>
        <w:pStyle w:val="Heading2"/>
        <w:numPr>
          <w:ilvl w:val="0"/>
          <w:numId w:val="30"/>
        </w:numPr>
        <w:ind w:left="720" w:hanging="720"/>
        <w:rPr>
          <w:lang w:val="es-AR"/>
        </w:rPr>
      </w:pPr>
      <w:bookmarkStart w:id="47" w:name="_Toc4595243"/>
      <w:r w:rsidRPr="00937EFE">
        <w:rPr>
          <w:lang w:val="es-AR"/>
        </w:rPr>
        <w:t>Los derechos políticos</w:t>
      </w:r>
      <w:bookmarkEnd w:id="47"/>
    </w:p>
    <w:p w:rsidR="000803FA" w:rsidRPr="00937EFE" w:rsidRDefault="000803FA" w:rsidP="00937EFE">
      <w:pPr>
        <w:spacing w:after="0" w:line="240" w:lineRule="auto"/>
        <w:jc w:val="both"/>
        <w:rPr>
          <w:rFonts w:ascii="Cambria" w:hAnsi="Cambria"/>
          <w:sz w:val="20"/>
          <w:szCs w:val="20"/>
          <w:lang w:val="es-ES_tradnl"/>
        </w:rPr>
      </w:pPr>
    </w:p>
    <w:p w:rsidR="00C161F8" w:rsidRPr="00937EFE" w:rsidRDefault="000803FA"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lang w:val="es-AR"/>
        </w:rPr>
        <w:t>El artículo 23.1 c) establece que todos los ciudadanos deben gozar de los siguientes derechos y oportunidades: de tener acceso, en condiciones generales de igualdad, a las funciones públicas de su país.</w:t>
      </w:r>
    </w:p>
    <w:p w:rsidR="00C161F8" w:rsidRPr="00937EFE" w:rsidRDefault="00C161F8" w:rsidP="00937EFE">
      <w:pPr>
        <w:spacing w:after="0" w:line="240" w:lineRule="auto"/>
        <w:jc w:val="both"/>
        <w:rPr>
          <w:rFonts w:ascii="Cambria" w:hAnsi="Cambria"/>
          <w:sz w:val="20"/>
          <w:szCs w:val="20"/>
          <w:lang w:val="es-AR"/>
        </w:rPr>
      </w:pPr>
    </w:p>
    <w:p w:rsidR="002B1EFC" w:rsidRPr="00937EFE" w:rsidRDefault="000803FA"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lang w:val="es-AR"/>
        </w:rPr>
        <w:t xml:space="preserve"> La Corte Interamericana ha interpretado que cuando se afecta en forma arbitraria la permanencia de jueces en su cargo se vulnera tal derecho</w:t>
      </w:r>
      <w:r w:rsidR="00487169" w:rsidRPr="00937EFE">
        <w:rPr>
          <w:rFonts w:ascii="Cambria" w:hAnsi="Cambria"/>
          <w:sz w:val="20"/>
          <w:szCs w:val="20"/>
          <w:lang w:val="es-AR"/>
        </w:rPr>
        <w:t xml:space="preserve"> en consonancia con el derecho a la independencia judicial consagrado en el artículo 8.1 de la Convención Americana</w:t>
      </w:r>
      <w:r w:rsidR="00F64F12" w:rsidRPr="00937EFE">
        <w:rPr>
          <w:rStyle w:val="FootnoteReference"/>
          <w:rFonts w:ascii="Cambria" w:hAnsi="Cambria"/>
          <w:sz w:val="20"/>
          <w:szCs w:val="20"/>
        </w:rPr>
        <w:footnoteReference w:id="64"/>
      </w:r>
      <w:r w:rsidR="00487169" w:rsidRPr="00937EFE">
        <w:rPr>
          <w:rFonts w:ascii="Cambria" w:hAnsi="Cambria"/>
          <w:sz w:val="20"/>
          <w:szCs w:val="20"/>
          <w:lang w:val="es-AR"/>
        </w:rPr>
        <w:t xml:space="preserve">. </w:t>
      </w:r>
      <w:r w:rsidR="00C161F8" w:rsidRPr="00937EFE">
        <w:rPr>
          <w:rFonts w:ascii="Cambria" w:hAnsi="Cambria"/>
          <w:sz w:val="20"/>
          <w:szCs w:val="20"/>
          <w:lang w:val="es-AR"/>
        </w:rPr>
        <w:t xml:space="preserve"> </w:t>
      </w:r>
      <w:r w:rsidR="00370151" w:rsidRPr="00937EFE">
        <w:rPr>
          <w:rFonts w:ascii="Cambria" w:hAnsi="Cambria"/>
          <w:sz w:val="20"/>
          <w:szCs w:val="20"/>
          <w:lang w:val="es-AR"/>
        </w:rPr>
        <w:t xml:space="preserve">Igualmente, la CIDH ha extendido </w:t>
      </w:r>
      <w:r w:rsidR="00487169" w:rsidRPr="00937EFE">
        <w:rPr>
          <w:rFonts w:ascii="Cambria" w:hAnsi="Cambria"/>
          <w:sz w:val="20"/>
          <w:szCs w:val="20"/>
          <w:lang w:val="es-AR"/>
        </w:rPr>
        <w:t xml:space="preserve">la aplicación de dicho derecho a </w:t>
      </w:r>
      <w:r w:rsidR="00370151" w:rsidRPr="00937EFE">
        <w:rPr>
          <w:rFonts w:ascii="Cambria" w:hAnsi="Cambria"/>
          <w:sz w:val="20"/>
          <w:szCs w:val="20"/>
          <w:lang w:val="es-AR"/>
        </w:rPr>
        <w:t>supuestos en los que se afecta la estabilidad laboral de fiscales</w:t>
      </w:r>
      <w:r w:rsidR="00551348" w:rsidRPr="00937EFE">
        <w:rPr>
          <w:rStyle w:val="FootnoteReference"/>
          <w:rFonts w:ascii="Cambria" w:hAnsi="Cambria"/>
          <w:sz w:val="20"/>
          <w:szCs w:val="20"/>
          <w:lang w:val="es-AR"/>
        </w:rPr>
        <w:footnoteReference w:id="65"/>
      </w:r>
      <w:r w:rsidR="00C161F8" w:rsidRPr="00937EFE">
        <w:rPr>
          <w:rFonts w:ascii="Cambria" w:hAnsi="Cambria"/>
          <w:sz w:val="20"/>
          <w:szCs w:val="20"/>
          <w:lang w:val="es-AR"/>
        </w:rPr>
        <w:t>.</w:t>
      </w:r>
      <w:r w:rsidR="002B1EFC" w:rsidRPr="00937EFE">
        <w:rPr>
          <w:rFonts w:ascii="Cambria" w:hAnsi="Cambria"/>
          <w:sz w:val="20"/>
          <w:szCs w:val="20"/>
          <w:lang w:val="es-AR"/>
        </w:rPr>
        <w:t xml:space="preserve"> Siguiendo dichos criterios y el tenor literal del artículo 23.1. c), la CIDH estima que cuando se afecta en forma arbitraria la permanencia de funcionarios públicos en sus cargos, se vulnera tal derecho. </w:t>
      </w:r>
    </w:p>
    <w:p w:rsidR="002B1EFC" w:rsidRPr="00937EFE" w:rsidRDefault="002B1EFC" w:rsidP="00937EFE">
      <w:pPr>
        <w:spacing w:after="0" w:line="240" w:lineRule="auto"/>
        <w:jc w:val="both"/>
        <w:rPr>
          <w:rFonts w:ascii="Cambria" w:hAnsi="Cambria"/>
          <w:sz w:val="20"/>
          <w:szCs w:val="20"/>
          <w:lang w:val="es-AR"/>
        </w:rPr>
      </w:pPr>
    </w:p>
    <w:p w:rsidR="002B1EFC" w:rsidRPr="00937EFE" w:rsidRDefault="000803FA"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rPr>
        <w:t>Tal como se estableció en apartados anteriores, en el presente caso ha queda</w:t>
      </w:r>
      <w:r w:rsidR="002B1EFC" w:rsidRPr="00937EFE">
        <w:rPr>
          <w:rFonts w:ascii="Cambria" w:hAnsi="Cambria"/>
          <w:sz w:val="20"/>
          <w:szCs w:val="20"/>
        </w:rPr>
        <w:t>do establecido que las presunta víctima fue</w:t>
      </w:r>
      <w:r w:rsidRPr="00937EFE">
        <w:rPr>
          <w:rFonts w:ascii="Cambria" w:hAnsi="Cambria"/>
          <w:sz w:val="20"/>
          <w:szCs w:val="20"/>
        </w:rPr>
        <w:t xml:space="preserve"> separada</w:t>
      </w:r>
      <w:r w:rsidR="002B1EFC" w:rsidRPr="00937EFE">
        <w:rPr>
          <w:rFonts w:ascii="Cambria" w:hAnsi="Cambria"/>
          <w:sz w:val="20"/>
          <w:szCs w:val="20"/>
        </w:rPr>
        <w:t xml:space="preserve"> de su cargo</w:t>
      </w:r>
      <w:r w:rsidRPr="00937EFE">
        <w:rPr>
          <w:rFonts w:ascii="Cambria" w:hAnsi="Cambria"/>
          <w:sz w:val="20"/>
          <w:szCs w:val="20"/>
        </w:rPr>
        <w:t xml:space="preserve"> en un proceso arbitrario en el cual se cometieron diversas violaciones tanto al debido proceso como al principio de legalidad en los términos descritos a lo largo de este informe de fondo, por lo que, en observancia del criterio indicado en el párrafo anterior, la Comisión considera que el Estado también violó el artículo 23.1 c) de la Convención Americana en perjuicio de </w:t>
      </w:r>
      <w:r w:rsidR="002B1EFC" w:rsidRPr="00937EFE">
        <w:rPr>
          <w:rFonts w:ascii="Cambria" w:hAnsi="Cambria"/>
          <w:sz w:val="20"/>
          <w:szCs w:val="20"/>
        </w:rPr>
        <w:t>Norka Moya Solís.</w:t>
      </w:r>
    </w:p>
    <w:p w:rsidR="002B1EFC" w:rsidRPr="00937EFE" w:rsidRDefault="002B1EFC" w:rsidP="00937EFE">
      <w:pPr>
        <w:spacing w:after="0" w:line="240" w:lineRule="auto"/>
        <w:jc w:val="both"/>
        <w:rPr>
          <w:rFonts w:ascii="Cambria" w:hAnsi="Cambria"/>
          <w:sz w:val="20"/>
          <w:szCs w:val="20"/>
          <w:lang w:val="es-AR"/>
        </w:rPr>
      </w:pPr>
    </w:p>
    <w:p w:rsidR="00017F87" w:rsidRPr="00937EFE" w:rsidRDefault="000803FA" w:rsidP="00937EFE">
      <w:pPr>
        <w:numPr>
          <w:ilvl w:val="0"/>
          <w:numId w:val="3"/>
        </w:numPr>
        <w:tabs>
          <w:tab w:val="clear" w:pos="1080"/>
        </w:tabs>
        <w:spacing w:after="0" w:line="240" w:lineRule="auto"/>
        <w:ind w:left="0" w:firstLine="0"/>
        <w:jc w:val="both"/>
        <w:rPr>
          <w:rFonts w:ascii="Cambria" w:hAnsi="Cambria"/>
          <w:sz w:val="20"/>
          <w:szCs w:val="20"/>
          <w:lang w:val="es-AR"/>
        </w:rPr>
      </w:pPr>
      <w:r w:rsidRPr="00937EFE">
        <w:rPr>
          <w:rFonts w:ascii="Cambria" w:hAnsi="Cambria"/>
          <w:sz w:val="20"/>
          <w:szCs w:val="20"/>
        </w:rPr>
        <w:t xml:space="preserve">En virtud de lo expuesto, la Comisión considera que el Estado violó el artículo 23.1 c) de la Convención Americana en relación con el artículo 1.1 del mismo instrumento, en perjuicio de </w:t>
      </w:r>
      <w:r w:rsidR="002B1EFC" w:rsidRPr="00937EFE">
        <w:rPr>
          <w:rFonts w:ascii="Cambria" w:hAnsi="Cambria"/>
          <w:sz w:val="20"/>
          <w:szCs w:val="20"/>
          <w:lang w:val="es-VE"/>
        </w:rPr>
        <w:t>Norka Moya Solís</w:t>
      </w:r>
      <w:r w:rsidRPr="00937EFE">
        <w:rPr>
          <w:rFonts w:ascii="Cambria" w:hAnsi="Cambria"/>
          <w:sz w:val="20"/>
          <w:szCs w:val="20"/>
        </w:rPr>
        <w:t xml:space="preserve">. </w:t>
      </w:r>
    </w:p>
    <w:p w:rsidR="00017F87" w:rsidRPr="00937EFE" w:rsidRDefault="00017F87" w:rsidP="00937EFE">
      <w:pPr>
        <w:spacing w:after="0" w:line="240" w:lineRule="auto"/>
        <w:jc w:val="both"/>
        <w:rPr>
          <w:rFonts w:ascii="Cambria" w:hAnsi="Cambria"/>
          <w:sz w:val="20"/>
          <w:szCs w:val="20"/>
          <w:lang w:val="es-AR"/>
        </w:rPr>
      </w:pPr>
    </w:p>
    <w:p w:rsidR="00BD513A" w:rsidRPr="00937EFE" w:rsidRDefault="00FA158E" w:rsidP="00243943">
      <w:pPr>
        <w:pStyle w:val="Heading1"/>
        <w:numPr>
          <w:ilvl w:val="0"/>
          <w:numId w:val="2"/>
        </w:numPr>
        <w:tabs>
          <w:tab w:val="clear" w:pos="1440"/>
        </w:tabs>
        <w:ind w:left="720"/>
      </w:pPr>
      <w:bookmarkStart w:id="48" w:name="_Toc4595244"/>
      <w:r w:rsidRPr="00937EFE">
        <w:t>CONCLUSIONES</w:t>
      </w:r>
      <w:r w:rsidR="005D214F" w:rsidRPr="00937EFE">
        <w:t xml:space="preserve"> Y RECOMENDACIONES</w:t>
      </w:r>
      <w:bookmarkStart w:id="49" w:name="_Toc521483541"/>
      <w:bookmarkStart w:id="50" w:name="_Toc527450128"/>
      <w:bookmarkEnd w:id="48"/>
    </w:p>
    <w:p w:rsidR="00800DD0" w:rsidRPr="00937EFE" w:rsidRDefault="00800DD0" w:rsidP="00937EFE">
      <w:pPr>
        <w:spacing w:after="0" w:line="240" w:lineRule="auto"/>
        <w:contextualSpacing/>
        <w:rPr>
          <w:rFonts w:ascii="Cambria" w:hAnsi="Cambria"/>
          <w:sz w:val="20"/>
          <w:szCs w:val="20"/>
          <w:lang w:val="es-ES_tradnl"/>
        </w:rPr>
      </w:pPr>
    </w:p>
    <w:bookmarkEnd w:id="49"/>
    <w:bookmarkEnd w:id="50"/>
    <w:p w:rsidR="006B2276" w:rsidRPr="00937EFE" w:rsidRDefault="000D6644" w:rsidP="00937EFE">
      <w:pPr>
        <w:numPr>
          <w:ilvl w:val="0"/>
          <w:numId w:val="3"/>
        </w:numPr>
        <w:tabs>
          <w:tab w:val="clear" w:pos="1080"/>
        </w:tabs>
        <w:spacing w:after="0" w:line="240" w:lineRule="auto"/>
        <w:ind w:left="0" w:firstLine="0"/>
        <w:jc w:val="both"/>
        <w:rPr>
          <w:rFonts w:ascii="Cambria" w:hAnsi="Cambria"/>
          <w:sz w:val="20"/>
          <w:szCs w:val="20"/>
        </w:rPr>
      </w:pPr>
      <w:r w:rsidRPr="00937EFE">
        <w:rPr>
          <w:rFonts w:ascii="Cambria" w:hAnsi="Cambria"/>
          <w:sz w:val="20"/>
          <w:szCs w:val="20"/>
        </w:rPr>
        <w:t>La Comisión concluye que el Estado peruano es responsable por la violación de los derechos establecidos en los artículos 8.1, 8.2 b), 8.2 c) (garantías judiciale</w:t>
      </w:r>
      <w:r w:rsidR="002E08C2" w:rsidRPr="00937EFE">
        <w:rPr>
          <w:rFonts w:ascii="Cambria" w:hAnsi="Cambria"/>
          <w:sz w:val="20"/>
          <w:szCs w:val="20"/>
        </w:rPr>
        <w:t xml:space="preserve">s), 9 (principio de legalidad), 23.1 c) (derechos políticos) y </w:t>
      </w:r>
      <w:r w:rsidRPr="00937EFE">
        <w:rPr>
          <w:rFonts w:ascii="Cambria" w:hAnsi="Cambria"/>
          <w:sz w:val="20"/>
          <w:szCs w:val="20"/>
        </w:rPr>
        <w:t xml:space="preserve">25.1 (protección judicial) de la Convención Americana sobre Derechos Humanos, en relación con las obligaciones establecidas en los artículos 1.1 y 2 del mismo instrumento. </w:t>
      </w:r>
    </w:p>
    <w:p w:rsidR="006B2276" w:rsidRPr="00937EFE" w:rsidRDefault="006B2276" w:rsidP="00937EFE">
      <w:pPr>
        <w:spacing w:after="0" w:line="240" w:lineRule="auto"/>
        <w:jc w:val="both"/>
        <w:rPr>
          <w:rFonts w:ascii="Cambria" w:hAnsi="Cambria"/>
          <w:sz w:val="20"/>
          <w:szCs w:val="20"/>
        </w:rPr>
      </w:pPr>
    </w:p>
    <w:p w:rsidR="000D6644" w:rsidRPr="00937EFE" w:rsidRDefault="000D6644" w:rsidP="00937EFE">
      <w:pPr>
        <w:numPr>
          <w:ilvl w:val="0"/>
          <w:numId w:val="3"/>
        </w:numPr>
        <w:tabs>
          <w:tab w:val="clear" w:pos="1080"/>
        </w:tabs>
        <w:spacing w:after="0" w:line="240" w:lineRule="auto"/>
        <w:ind w:left="0" w:firstLine="0"/>
        <w:jc w:val="both"/>
        <w:rPr>
          <w:rFonts w:ascii="Cambria" w:hAnsi="Cambria"/>
          <w:sz w:val="20"/>
          <w:szCs w:val="20"/>
        </w:rPr>
      </w:pPr>
      <w:r w:rsidRPr="00937EFE">
        <w:rPr>
          <w:rFonts w:ascii="Cambria" w:hAnsi="Cambria"/>
          <w:sz w:val="20"/>
          <w:szCs w:val="20"/>
          <w:lang w:val="es-CL"/>
        </w:rPr>
        <w:t xml:space="preserve">Con </w:t>
      </w:r>
      <w:r w:rsidRPr="00937EFE">
        <w:rPr>
          <w:rFonts w:ascii="Cambria" w:eastAsia="Times New Roman" w:hAnsi="Cambria"/>
          <w:sz w:val="20"/>
          <w:szCs w:val="20"/>
          <w:lang w:val="es-CL" w:eastAsia="es-ES"/>
        </w:rPr>
        <w:t>fundamento</w:t>
      </w:r>
      <w:r w:rsidRPr="00937EFE">
        <w:rPr>
          <w:rFonts w:ascii="Cambria" w:hAnsi="Cambria"/>
          <w:sz w:val="20"/>
          <w:szCs w:val="20"/>
          <w:lang w:val="es-CL"/>
        </w:rPr>
        <w:t xml:space="preserve"> en el análisis y las conclusiones del presente informe,</w:t>
      </w:r>
    </w:p>
    <w:p w:rsidR="00714742" w:rsidRPr="00937EFE" w:rsidRDefault="00714742" w:rsidP="00937EFE">
      <w:pPr>
        <w:spacing w:after="0" w:line="240" w:lineRule="auto"/>
        <w:jc w:val="both"/>
        <w:rPr>
          <w:rFonts w:ascii="Cambria" w:hAnsi="Cambria"/>
          <w:sz w:val="20"/>
          <w:szCs w:val="20"/>
        </w:rPr>
      </w:pPr>
    </w:p>
    <w:p w:rsidR="00FA158E" w:rsidRPr="00937EFE" w:rsidRDefault="000D6644" w:rsidP="00243943">
      <w:pPr>
        <w:jc w:val="both"/>
        <w:rPr>
          <w:rFonts w:ascii="Cambria" w:hAnsi="Cambria"/>
          <w:sz w:val="20"/>
          <w:szCs w:val="20"/>
          <w:lang w:val="es-ES"/>
        </w:rPr>
      </w:pPr>
      <w:r w:rsidRPr="00937EFE">
        <w:rPr>
          <w:rFonts w:ascii="Cambria" w:hAnsi="Cambria"/>
          <w:b/>
          <w:bCs/>
          <w:sz w:val="20"/>
          <w:szCs w:val="20"/>
          <w:lang w:val="es-CL"/>
        </w:rPr>
        <w:t>LA COMISIÓN INTERAMERICANA DE DERECHOS H</w:t>
      </w:r>
      <w:r w:rsidR="002E08C2" w:rsidRPr="00937EFE">
        <w:rPr>
          <w:rFonts w:ascii="Cambria" w:hAnsi="Cambria"/>
          <w:b/>
          <w:bCs/>
          <w:sz w:val="20"/>
          <w:szCs w:val="20"/>
          <w:lang w:val="es-CL"/>
        </w:rPr>
        <w:t>UMANOS RECOMIENDA AL ESTADO DE PERÚ</w:t>
      </w:r>
      <w:r w:rsidRPr="00937EFE">
        <w:rPr>
          <w:rFonts w:ascii="Cambria" w:hAnsi="Cambria"/>
          <w:b/>
          <w:bCs/>
          <w:sz w:val="20"/>
          <w:szCs w:val="20"/>
          <w:lang w:val="es-CL"/>
        </w:rPr>
        <w:t>:</w:t>
      </w:r>
    </w:p>
    <w:p w:rsidR="00212A2E" w:rsidRPr="00937EFE" w:rsidRDefault="00212A2E" w:rsidP="00937EFE">
      <w:pPr>
        <w:pStyle w:val="BodyText3"/>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s>
        <w:spacing w:after="0"/>
        <w:ind w:left="0" w:firstLine="0"/>
        <w:jc w:val="both"/>
        <w:rPr>
          <w:sz w:val="20"/>
          <w:szCs w:val="20"/>
          <w:lang w:val="es-VE"/>
        </w:rPr>
      </w:pPr>
      <w:r w:rsidRPr="00937EFE">
        <w:rPr>
          <w:sz w:val="20"/>
          <w:szCs w:val="20"/>
          <w:lang w:val="es-VE"/>
        </w:rPr>
        <w:t xml:space="preserve">Reincorporar a </w:t>
      </w:r>
      <w:r w:rsidR="0021623A" w:rsidRPr="00937EFE">
        <w:rPr>
          <w:sz w:val="20"/>
          <w:szCs w:val="20"/>
          <w:lang w:val="es-VE"/>
        </w:rPr>
        <w:t>Norka Moya Solís</w:t>
      </w:r>
      <w:r w:rsidRPr="00937EFE">
        <w:rPr>
          <w:sz w:val="20"/>
          <w:szCs w:val="20"/>
          <w:lang w:val="es-VE"/>
        </w:rPr>
        <w:t>, en caso de ser este su deseo, en un cargo similar al que desempeñaba en</w:t>
      </w:r>
      <w:r w:rsidR="0054379A" w:rsidRPr="00937EFE">
        <w:rPr>
          <w:sz w:val="20"/>
          <w:szCs w:val="20"/>
          <w:lang w:val="es-VE"/>
        </w:rPr>
        <w:t xml:space="preserve"> el Poder Judicial, </w:t>
      </w:r>
      <w:r w:rsidRPr="00937EFE">
        <w:rPr>
          <w:sz w:val="20"/>
          <w:szCs w:val="20"/>
          <w:lang w:val="es-VE"/>
        </w:rPr>
        <w:t>con la misma remuneración, beneficios sociales y rango equiparable a los que le correspondería el día de hoy si no hubiera sido destituid</w:t>
      </w:r>
      <w:r w:rsidR="00803ACD" w:rsidRPr="00937EFE">
        <w:rPr>
          <w:sz w:val="20"/>
          <w:szCs w:val="20"/>
          <w:lang w:val="es-VE"/>
        </w:rPr>
        <w:t>a</w:t>
      </w:r>
      <w:r w:rsidRPr="00937EFE">
        <w:rPr>
          <w:sz w:val="20"/>
          <w:szCs w:val="20"/>
          <w:lang w:val="es-VE"/>
        </w:rPr>
        <w:t xml:space="preserve">. Si por razones fundadas no es posible la reincorporación, pagar una indemnización alternativa. </w:t>
      </w:r>
    </w:p>
    <w:p w:rsidR="00212A2E" w:rsidRPr="00937EFE" w:rsidRDefault="00212A2E" w:rsidP="00937EFE">
      <w:pPr>
        <w:pStyle w:val="BodyText3"/>
        <w:spacing w:after="0"/>
        <w:jc w:val="both"/>
        <w:rPr>
          <w:sz w:val="20"/>
          <w:szCs w:val="20"/>
          <w:lang w:val="es-VE"/>
        </w:rPr>
      </w:pPr>
    </w:p>
    <w:p w:rsidR="00212A2E" w:rsidRPr="00937EFE" w:rsidRDefault="00212A2E" w:rsidP="00937EFE">
      <w:pPr>
        <w:pStyle w:val="BodyText3"/>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s>
        <w:spacing w:after="0"/>
        <w:ind w:left="0" w:firstLine="0"/>
        <w:jc w:val="both"/>
        <w:rPr>
          <w:sz w:val="20"/>
          <w:szCs w:val="20"/>
          <w:lang w:val="es-VE"/>
        </w:rPr>
      </w:pPr>
      <w:r w:rsidRPr="00937EFE">
        <w:rPr>
          <w:sz w:val="20"/>
          <w:szCs w:val="20"/>
          <w:lang w:val="es-VE"/>
        </w:rPr>
        <w:t xml:space="preserve">Reparar integralmente las violaciones de derechos declaradas en el presente informe incluyendo el aspecto material e inmaterial. </w:t>
      </w:r>
    </w:p>
    <w:p w:rsidR="001D23F2" w:rsidRPr="00937EFE" w:rsidRDefault="001D23F2" w:rsidP="00937EFE">
      <w:pPr>
        <w:pStyle w:val="BodyText3"/>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0"/>
          <w:szCs w:val="20"/>
          <w:lang w:val="es-VE"/>
        </w:rPr>
      </w:pPr>
    </w:p>
    <w:p w:rsidR="0054379A" w:rsidRPr="00937EFE" w:rsidRDefault="008D3986" w:rsidP="00937EFE">
      <w:pPr>
        <w:pStyle w:val="BodyText3"/>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s>
        <w:spacing w:after="0"/>
        <w:ind w:left="0" w:firstLine="0"/>
        <w:jc w:val="both"/>
        <w:rPr>
          <w:sz w:val="20"/>
          <w:szCs w:val="20"/>
          <w:lang w:val="es-VE"/>
        </w:rPr>
      </w:pPr>
      <w:r w:rsidRPr="00937EFE">
        <w:rPr>
          <w:sz w:val="20"/>
          <w:szCs w:val="20"/>
          <w:lang w:val="es-VE"/>
        </w:rPr>
        <w:t>Disponer las medidas de no repetición necesarias para</w:t>
      </w:r>
      <w:r w:rsidR="00212A2E" w:rsidRPr="00937EFE">
        <w:rPr>
          <w:sz w:val="20"/>
          <w:szCs w:val="20"/>
          <w:lang w:val="es-VE"/>
        </w:rPr>
        <w:t xml:space="preserve"> asegurar que los procesos </w:t>
      </w:r>
      <w:r w:rsidR="00DB42AF" w:rsidRPr="00937EFE">
        <w:rPr>
          <w:sz w:val="20"/>
          <w:szCs w:val="20"/>
          <w:lang w:val="es-VE"/>
        </w:rPr>
        <w:t xml:space="preserve">de ratificación de funcionarios del Poder Judicial, en la ley y en la práctica: i) regulen debidamente las faltas cometidas que dan lugar a la no ratificación de un funcionario del Poder Judicial, con base en criterios objetivos y de manera proporcional; ii) permitan que el funcionario sometido al proceso pueda defenderse frente a los cargos puntuales en su contra a la luz de dichos criterios objetivos, así como contar con un recurso efectivo </w:t>
      </w:r>
      <w:r w:rsidR="002C5377" w:rsidRPr="00937EFE">
        <w:rPr>
          <w:sz w:val="20"/>
          <w:szCs w:val="20"/>
          <w:lang w:val="es-VE"/>
        </w:rPr>
        <w:t xml:space="preserve"> para enmendar posibles violaciones al debido proceso. </w:t>
      </w:r>
    </w:p>
    <w:p w:rsidR="002C5377" w:rsidRPr="00937EFE" w:rsidRDefault="002C5377" w:rsidP="00937EFE">
      <w:pPr>
        <w:spacing w:after="0" w:line="240" w:lineRule="auto"/>
        <w:jc w:val="both"/>
        <w:rPr>
          <w:rFonts w:ascii="Cambria" w:hAnsi="Cambria"/>
          <w:sz w:val="20"/>
          <w:szCs w:val="20"/>
          <w:lang w:val="es-VE"/>
        </w:rPr>
      </w:pPr>
    </w:p>
    <w:p w:rsidR="006B2276" w:rsidRPr="00937EFE" w:rsidRDefault="006B2276" w:rsidP="00937EFE">
      <w:pPr>
        <w:spacing w:after="0" w:line="240" w:lineRule="auto"/>
        <w:jc w:val="both"/>
        <w:rPr>
          <w:rFonts w:ascii="Cambria" w:hAnsi="Cambria"/>
          <w:sz w:val="20"/>
          <w:szCs w:val="20"/>
        </w:rPr>
      </w:pPr>
    </w:p>
    <w:sectPr w:rsidR="006B2276" w:rsidRPr="00937EFE" w:rsidSect="00912201">
      <w:headerReference w:type="first" r:id="rId20"/>
      <w:pgSz w:w="12240" w:h="15840"/>
      <w:pgMar w:top="1440" w:right="153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35" w:rsidRDefault="001D6135" w:rsidP="007374FF">
      <w:pPr>
        <w:spacing w:after="0" w:line="240" w:lineRule="auto"/>
      </w:pPr>
      <w:r>
        <w:separator/>
      </w:r>
    </w:p>
  </w:endnote>
  <w:endnote w:type="continuationSeparator" w:id="0">
    <w:p w:rsidR="001D6135" w:rsidRDefault="001D6135" w:rsidP="0073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2C" w:rsidRDefault="00D70F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66" w:rsidRPr="00934A2C" w:rsidRDefault="003B156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70F2C">
      <w:rPr>
        <w:noProof/>
        <w:sz w:val="16"/>
        <w:szCs w:val="22"/>
      </w:rPr>
      <w:t>17</w:t>
    </w:r>
    <w:r w:rsidRPr="00934A2C">
      <w:rPr>
        <w:noProof/>
        <w:sz w:val="16"/>
        <w:szCs w:val="22"/>
      </w:rPr>
      <w:fldChar w:fldCharType="end"/>
    </w:r>
  </w:p>
  <w:p w:rsidR="003B1566" w:rsidRDefault="003B15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66" w:rsidRPr="00934A2C" w:rsidRDefault="003B1566">
    <w:pPr>
      <w:pStyle w:val="Footer"/>
      <w:jc w:val="center"/>
      <w:rPr>
        <w:sz w:val="16"/>
        <w:szCs w:val="22"/>
      </w:rPr>
    </w:pPr>
  </w:p>
  <w:p w:rsidR="003B1566" w:rsidRDefault="003B1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35" w:rsidRDefault="001D6135" w:rsidP="007374FF">
      <w:pPr>
        <w:spacing w:after="0" w:line="240" w:lineRule="auto"/>
      </w:pPr>
      <w:r>
        <w:separator/>
      </w:r>
    </w:p>
  </w:footnote>
  <w:footnote w:type="continuationSeparator" w:id="0">
    <w:p w:rsidR="001D6135" w:rsidRDefault="001D6135" w:rsidP="007374FF">
      <w:pPr>
        <w:spacing w:after="0" w:line="240" w:lineRule="auto"/>
      </w:pPr>
      <w:r>
        <w:continuationSeparator/>
      </w:r>
    </w:p>
  </w:footnote>
  <w:footnote w:id="1">
    <w:p w:rsidR="003B1566" w:rsidRPr="00573462" w:rsidRDefault="003B1566" w:rsidP="0049787C">
      <w:pPr>
        <w:pStyle w:val="FootnoteText"/>
        <w:jc w:val="both"/>
        <w:rPr>
          <w:rFonts w:ascii="Cambria" w:hAnsi="Cambria"/>
          <w:sz w:val="16"/>
          <w:szCs w:val="16"/>
          <w:lang w:val="es-CO" w:eastAsia="es-ES"/>
        </w:rPr>
      </w:pPr>
      <w:r w:rsidRPr="00573462">
        <w:rPr>
          <w:rStyle w:val="FootnoteReference"/>
          <w:rFonts w:ascii="Cambria" w:hAnsi="Cambria"/>
          <w:sz w:val="16"/>
          <w:szCs w:val="16"/>
        </w:rPr>
        <w:footnoteRef/>
      </w:r>
      <w:r w:rsidRPr="00573462">
        <w:rPr>
          <w:rFonts w:ascii="Cambria" w:hAnsi="Cambria"/>
          <w:sz w:val="16"/>
          <w:szCs w:val="16"/>
          <w:lang w:val="es-CO"/>
        </w:rPr>
        <w:t xml:space="preserve"> Conforme a lo dispuesto en el artículo 17.2 del Reglamento de la Comisión, el Comisionado Francisco José Eguiguren Praeli de nacionalidad peruana, no participó en el debate ni en la decisión del presente cas</w:t>
      </w:r>
      <w:r w:rsidRPr="00573462">
        <w:rPr>
          <w:rFonts w:ascii="Cambria" w:hAnsi="Cambria"/>
          <w:color w:val="auto"/>
          <w:sz w:val="16"/>
          <w:szCs w:val="16"/>
          <w:lang w:val="es-CO"/>
        </w:rPr>
        <w:t xml:space="preserve">o. </w:t>
      </w:r>
    </w:p>
  </w:footnote>
  <w:footnote w:id="2">
    <w:p w:rsidR="003B1566" w:rsidRPr="00573462" w:rsidRDefault="003B1566" w:rsidP="0049787C">
      <w:pPr>
        <w:pStyle w:val="FootnoteText"/>
        <w:jc w:val="both"/>
        <w:rPr>
          <w:rFonts w:ascii="Cambria" w:hAnsi="Cambria"/>
          <w:sz w:val="16"/>
          <w:szCs w:val="16"/>
          <w:lang w:val="es-CO"/>
        </w:rPr>
      </w:pPr>
      <w:r w:rsidRPr="00573462">
        <w:rPr>
          <w:rStyle w:val="FootnoteReference"/>
          <w:rFonts w:ascii="Cambria" w:hAnsi="Cambria"/>
          <w:sz w:val="16"/>
          <w:szCs w:val="16"/>
        </w:rPr>
        <w:footnoteRef/>
      </w:r>
      <w:r w:rsidRPr="00573462">
        <w:rPr>
          <w:rFonts w:ascii="Cambria" w:hAnsi="Cambria"/>
          <w:sz w:val="16"/>
          <w:szCs w:val="16"/>
          <w:lang w:val="es-ES"/>
        </w:rPr>
        <w:t xml:space="preserve"> CIDH, Informe No. 37/16, Petición 124.00. Admisibilidad, </w:t>
      </w:r>
      <w:proofErr w:type="spellStart"/>
      <w:r w:rsidRPr="00573462">
        <w:rPr>
          <w:rFonts w:ascii="Cambria" w:hAnsi="Cambria"/>
          <w:sz w:val="16"/>
          <w:szCs w:val="16"/>
          <w:lang w:val="es-ES"/>
        </w:rPr>
        <w:t>Norka</w:t>
      </w:r>
      <w:proofErr w:type="spellEnd"/>
      <w:r w:rsidRPr="00573462">
        <w:rPr>
          <w:rFonts w:ascii="Cambria" w:hAnsi="Cambria"/>
          <w:sz w:val="16"/>
          <w:szCs w:val="16"/>
          <w:lang w:val="es-ES"/>
        </w:rPr>
        <w:t xml:space="preserve"> Moya Solís, Perú, 12 de agosto de 2016, párr. </w:t>
      </w:r>
      <w:r w:rsidRPr="00573462">
        <w:rPr>
          <w:rFonts w:ascii="Cambria" w:hAnsi="Cambria"/>
          <w:sz w:val="16"/>
          <w:szCs w:val="16"/>
          <w:lang w:val="es-CO"/>
        </w:rPr>
        <w:t>27. En dicho informe la CIDH declaró la petición admisible frente a la posible violación de los derechos consagrados en los artículos 8 y 25 de la Convención Americana en conexión con la obligación establecida en el artículo 1.1 del mismo instrumento.</w:t>
      </w:r>
    </w:p>
  </w:footnote>
  <w:footnote w:id="3">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764421">
        <w:rPr>
          <w:rFonts w:ascii="Cambria" w:hAnsi="Cambria"/>
          <w:sz w:val="16"/>
          <w:szCs w:val="16"/>
          <w:lang w:val="es-CO"/>
        </w:rPr>
        <w:t xml:space="preserve"> Anexo 1</w:t>
      </w:r>
      <w:r w:rsidRPr="00573462">
        <w:rPr>
          <w:rFonts w:ascii="Cambria" w:hAnsi="Cambria"/>
          <w:sz w:val="16"/>
          <w:szCs w:val="16"/>
          <w:lang w:val="es-CO"/>
        </w:rPr>
        <w:t>.  Resoluciones de ratificación en el cargo de secretaria judicial de la señora moya Solís, en los años 1973, 1974 y 1979. Anexo 2, 3 y 4 al esc</w:t>
      </w:r>
      <w:r w:rsidR="00EE336F" w:rsidRPr="00573462">
        <w:rPr>
          <w:rFonts w:ascii="Cambria" w:hAnsi="Cambria"/>
          <w:sz w:val="16"/>
          <w:szCs w:val="16"/>
          <w:lang w:val="es-CO"/>
        </w:rPr>
        <w:t>rito de la parte peticionaria del</w:t>
      </w:r>
      <w:r w:rsidRPr="00573462">
        <w:rPr>
          <w:rFonts w:ascii="Cambria" w:hAnsi="Cambria"/>
          <w:sz w:val="16"/>
          <w:szCs w:val="16"/>
          <w:lang w:val="es-CO"/>
        </w:rPr>
        <w:t xml:space="preserve"> 21 de marzo del 2000. </w:t>
      </w:r>
    </w:p>
  </w:footnote>
  <w:footnote w:id="4">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764421">
        <w:rPr>
          <w:rFonts w:ascii="Cambria" w:hAnsi="Cambria"/>
          <w:sz w:val="16"/>
          <w:szCs w:val="16"/>
          <w:lang w:val="es-CO"/>
        </w:rPr>
        <w:t xml:space="preserve"> Anexo 1</w:t>
      </w:r>
      <w:r w:rsidRPr="00573462">
        <w:rPr>
          <w:rFonts w:ascii="Cambria" w:hAnsi="Cambria"/>
          <w:sz w:val="16"/>
          <w:szCs w:val="16"/>
          <w:lang w:val="es-CO"/>
        </w:rPr>
        <w:t>. Resolución de ratificación en el cargo de secretaria judicial de la señora Moya Solís en 1979. Anexo 4 al es</w:t>
      </w:r>
      <w:r w:rsidR="00EE336F" w:rsidRPr="00573462">
        <w:rPr>
          <w:rFonts w:ascii="Cambria" w:hAnsi="Cambria"/>
          <w:sz w:val="16"/>
          <w:szCs w:val="16"/>
          <w:lang w:val="es-CO"/>
        </w:rPr>
        <w:t xml:space="preserve">crito de la parte peticionaria del </w:t>
      </w:r>
      <w:r w:rsidRPr="00573462">
        <w:rPr>
          <w:rFonts w:ascii="Cambria" w:hAnsi="Cambria"/>
          <w:sz w:val="16"/>
          <w:szCs w:val="16"/>
          <w:lang w:val="es-CO"/>
        </w:rPr>
        <w:t>21 de marzo del 2000.</w:t>
      </w:r>
    </w:p>
  </w:footnote>
  <w:footnote w:id="5">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764421">
        <w:rPr>
          <w:rFonts w:ascii="Cambria" w:hAnsi="Cambria"/>
          <w:sz w:val="16"/>
          <w:szCs w:val="16"/>
          <w:lang w:val="es-CO"/>
        </w:rPr>
        <w:t xml:space="preserve"> Anexo 2</w:t>
      </w:r>
      <w:r w:rsidRPr="00573462">
        <w:rPr>
          <w:rFonts w:ascii="Cambria" w:hAnsi="Cambria"/>
          <w:sz w:val="16"/>
          <w:szCs w:val="16"/>
          <w:lang w:val="es-CO"/>
        </w:rPr>
        <w:t>. Copia de la Ley N°23344 de 1981. Anexo 5 al e</w:t>
      </w:r>
      <w:r w:rsidR="00EE336F" w:rsidRPr="00573462">
        <w:rPr>
          <w:rFonts w:ascii="Cambria" w:hAnsi="Cambria"/>
          <w:sz w:val="16"/>
          <w:szCs w:val="16"/>
          <w:lang w:val="es-CO"/>
        </w:rPr>
        <w:t>scrito de la parte peticionaria del</w:t>
      </w:r>
      <w:r w:rsidRPr="00573462">
        <w:rPr>
          <w:rFonts w:ascii="Cambria" w:hAnsi="Cambria"/>
          <w:sz w:val="16"/>
          <w:szCs w:val="16"/>
          <w:lang w:val="es-CO"/>
        </w:rPr>
        <w:t xml:space="preserve"> 21 de marzo del 2000.</w:t>
      </w:r>
    </w:p>
  </w:footnote>
  <w:footnote w:id="6">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764421">
        <w:rPr>
          <w:rFonts w:ascii="Cambria" w:hAnsi="Cambria"/>
          <w:sz w:val="16"/>
          <w:szCs w:val="16"/>
          <w:lang w:val="es-CO"/>
        </w:rPr>
        <w:t xml:space="preserve"> Anexo 3</w:t>
      </w:r>
      <w:r w:rsidRPr="00573462">
        <w:rPr>
          <w:rFonts w:ascii="Cambria" w:hAnsi="Cambria"/>
          <w:sz w:val="16"/>
          <w:szCs w:val="16"/>
          <w:lang w:val="es-CO"/>
        </w:rPr>
        <w:t>. Copia de la Ley N° 23369. Anexo 6 al es</w:t>
      </w:r>
      <w:r w:rsidR="00EE336F" w:rsidRPr="00573462">
        <w:rPr>
          <w:rFonts w:ascii="Cambria" w:hAnsi="Cambria"/>
          <w:sz w:val="16"/>
          <w:szCs w:val="16"/>
          <w:lang w:val="es-CO"/>
        </w:rPr>
        <w:t xml:space="preserve">crito de la parte peticionaria del </w:t>
      </w:r>
      <w:r w:rsidRPr="00573462">
        <w:rPr>
          <w:rFonts w:ascii="Cambria" w:hAnsi="Cambria"/>
          <w:sz w:val="16"/>
          <w:szCs w:val="16"/>
          <w:lang w:val="es-CO"/>
        </w:rPr>
        <w:t>21 de marzo del 2000.</w:t>
      </w:r>
    </w:p>
  </w:footnote>
  <w:footnote w:id="7">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764421">
        <w:rPr>
          <w:rFonts w:ascii="Cambria" w:hAnsi="Cambria"/>
          <w:sz w:val="16"/>
          <w:szCs w:val="16"/>
          <w:lang w:val="es-CO"/>
        </w:rPr>
        <w:t xml:space="preserve"> Anexo 4</w:t>
      </w:r>
      <w:r w:rsidRPr="00573462">
        <w:rPr>
          <w:rFonts w:ascii="Cambria" w:hAnsi="Cambria"/>
          <w:sz w:val="16"/>
          <w:szCs w:val="16"/>
          <w:lang w:val="es-CO"/>
        </w:rPr>
        <w:t>. Copia del Decreto Supremo N°003-82-JUS.  Anexo 7 al es</w:t>
      </w:r>
      <w:r w:rsidR="00EE336F" w:rsidRPr="00573462">
        <w:rPr>
          <w:rFonts w:ascii="Cambria" w:hAnsi="Cambria"/>
          <w:sz w:val="16"/>
          <w:szCs w:val="16"/>
          <w:lang w:val="es-CO"/>
        </w:rPr>
        <w:t xml:space="preserve">crito de la parte peticionaria del </w:t>
      </w:r>
      <w:r w:rsidRPr="00573462">
        <w:rPr>
          <w:rFonts w:ascii="Cambria" w:hAnsi="Cambria"/>
          <w:sz w:val="16"/>
          <w:szCs w:val="16"/>
          <w:lang w:val="es-CO"/>
        </w:rPr>
        <w:t>21 de marzo del 2000.</w:t>
      </w:r>
    </w:p>
  </w:footnote>
  <w:footnote w:id="8">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764421">
        <w:rPr>
          <w:rFonts w:ascii="Cambria" w:hAnsi="Cambria"/>
          <w:sz w:val="16"/>
          <w:szCs w:val="16"/>
          <w:lang w:val="es-CO"/>
        </w:rPr>
        <w:t xml:space="preserve"> Anexo 5</w:t>
      </w:r>
      <w:r w:rsidRPr="00573462">
        <w:rPr>
          <w:rFonts w:ascii="Cambria" w:hAnsi="Cambria"/>
          <w:sz w:val="16"/>
          <w:szCs w:val="16"/>
          <w:lang w:val="es-CO"/>
        </w:rPr>
        <w:t>. Copia del Acta de la Comisión de Vocales donde se tomó la decisión de no ratificación. Anexo 8 al es</w:t>
      </w:r>
      <w:r w:rsidR="00EE336F" w:rsidRPr="00573462">
        <w:rPr>
          <w:rFonts w:ascii="Cambria" w:hAnsi="Cambria"/>
          <w:sz w:val="16"/>
          <w:szCs w:val="16"/>
          <w:lang w:val="es-CO"/>
        </w:rPr>
        <w:t xml:space="preserve">crito de la parte peticionaria del </w:t>
      </w:r>
      <w:r w:rsidRPr="00573462">
        <w:rPr>
          <w:rFonts w:ascii="Cambria" w:hAnsi="Cambria"/>
          <w:sz w:val="16"/>
          <w:szCs w:val="16"/>
          <w:lang w:val="es-CO"/>
        </w:rPr>
        <w:t>21 de marzo del 2000.</w:t>
      </w:r>
    </w:p>
  </w:footnote>
  <w:footnote w:id="9">
    <w:p w:rsidR="003B1566" w:rsidRPr="00573462" w:rsidRDefault="003B1566" w:rsidP="0049787C">
      <w:pPr>
        <w:pStyle w:val="FootnoteText"/>
        <w:rPr>
          <w:rFonts w:ascii="Cambria" w:hAnsi="Cambria"/>
          <w:sz w:val="16"/>
          <w:szCs w:val="16"/>
          <w:lang w:val="es-VE"/>
        </w:rPr>
      </w:pPr>
      <w:r w:rsidRPr="00573462">
        <w:rPr>
          <w:rStyle w:val="FootnoteReference"/>
          <w:rFonts w:ascii="Cambria" w:hAnsi="Cambria"/>
          <w:sz w:val="16"/>
          <w:szCs w:val="16"/>
        </w:rPr>
        <w:footnoteRef/>
      </w:r>
      <w:r w:rsidR="00764421">
        <w:rPr>
          <w:rFonts w:ascii="Cambria" w:hAnsi="Cambria"/>
          <w:sz w:val="16"/>
          <w:szCs w:val="16"/>
          <w:lang w:val="es-CO"/>
        </w:rPr>
        <w:t xml:space="preserve"> Anexo 6</w:t>
      </w:r>
      <w:r w:rsidRPr="00573462">
        <w:rPr>
          <w:rFonts w:ascii="Cambria" w:hAnsi="Cambria"/>
          <w:sz w:val="16"/>
          <w:szCs w:val="16"/>
          <w:lang w:val="es-CO"/>
        </w:rPr>
        <w:t>.  Copia del recurso de revisión del 17 de septiembre de 1982 presentado por la señora Moya Solís. Anexo 9 al es</w:t>
      </w:r>
      <w:r w:rsidR="00EE336F" w:rsidRPr="00573462">
        <w:rPr>
          <w:rFonts w:ascii="Cambria" w:hAnsi="Cambria"/>
          <w:sz w:val="16"/>
          <w:szCs w:val="16"/>
          <w:lang w:val="es-CO"/>
        </w:rPr>
        <w:t xml:space="preserve">crito de la parte peticionaria del </w:t>
      </w:r>
      <w:r w:rsidRPr="00573462">
        <w:rPr>
          <w:rFonts w:ascii="Cambria" w:hAnsi="Cambria"/>
          <w:sz w:val="16"/>
          <w:szCs w:val="16"/>
          <w:lang w:val="es-CO"/>
        </w:rPr>
        <w:t xml:space="preserve">21 de marzo del 2000. </w:t>
      </w:r>
    </w:p>
  </w:footnote>
  <w:footnote w:id="10">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764421">
        <w:rPr>
          <w:rFonts w:ascii="Cambria" w:hAnsi="Cambria"/>
          <w:sz w:val="16"/>
          <w:szCs w:val="16"/>
          <w:lang w:val="es-CO"/>
        </w:rPr>
        <w:t xml:space="preserve"> Anexo 7</w:t>
      </w:r>
      <w:r w:rsidRPr="00573462">
        <w:rPr>
          <w:rFonts w:ascii="Cambria" w:hAnsi="Cambria"/>
          <w:sz w:val="16"/>
          <w:szCs w:val="16"/>
          <w:lang w:val="es-CO"/>
        </w:rPr>
        <w:t>. Copia de la decisión del 12 de octubre de 1983 de la Corte Suprema de Justicia sobre el recurso de revisión.  Anexo 10 al escrito de la parte peticionaria del 21 de marzo del 2000.</w:t>
      </w:r>
    </w:p>
  </w:footnote>
  <w:footnote w:id="11">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1A5C83">
        <w:rPr>
          <w:rFonts w:ascii="Cambria" w:hAnsi="Cambria"/>
          <w:sz w:val="16"/>
          <w:szCs w:val="16"/>
          <w:lang w:val="es-CO"/>
        </w:rPr>
        <w:t xml:space="preserve"> Anexo 8</w:t>
      </w:r>
      <w:r w:rsidRPr="00573462">
        <w:rPr>
          <w:rFonts w:ascii="Cambria" w:hAnsi="Cambria"/>
          <w:sz w:val="16"/>
          <w:szCs w:val="16"/>
          <w:lang w:val="es-CO"/>
        </w:rPr>
        <w:t>.  Copia de la acción de amparo del 17 de febrero de 1984 interpuesta por la señora Moya Solís frente a la decisión tomada respecto del recurso de revisión. Anexo 11 al escrito de la parte peticionaria del 21 de marzo del 2000.</w:t>
      </w:r>
    </w:p>
  </w:footnote>
  <w:footnote w:id="12">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Pr="00573462">
        <w:rPr>
          <w:rFonts w:ascii="Cambria" w:hAnsi="Cambria"/>
          <w:sz w:val="16"/>
          <w:szCs w:val="16"/>
          <w:lang w:val="es-CO"/>
        </w:rPr>
        <w:t xml:space="preserve"> </w:t>
      </w:r>
      <w:r w:rsidR="001275E2" w:rsidRPr="00573462">
        <w:rPr>
          <w:rFonts w:ascii="Cambria" w:hAnsi="Cambria"/>
          <w:sz w:val="16"/>
          <w:szCs w:val="16"/>
          <w:lang w:val="es-VE"/>
        </w:rPr>
        <w:t>Ley N°23506</w:t>
      </w:r>
      <w:r w:rsidRPr="00573462">
        <w:rPr>
          <w:rFonts w:ascii="Cambria" w:hAnsi="Cambria"/>
          <w:sz w:val="16"/>
          <w:szCs w:val="16"/>
          <w:lang w:val="es-VE"/>
        </w:rPr>
        <w:t xml:space="preserve"> de Habeas Corpus y Amparo de la República del Perú. </w:t>
      </w:r>
    </w:p>
  </w:footnote>
  <w:footnote w:id="13">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1A5C83">
        <w:rPr>
          <w:rFonts w:ascii="Cambria" w:hAnsi="Cambria"/>
          <w:sz w:val="16"/>
          <w:szCs w:val="16"/>
          <w:lang w:val="es-CO"/>
        </w:rPr>
        <w:t xml:space="preserve"> Anexo 9</w:t>
      </w:r>
      <w:r w:rsidRPr="00573462">
        <w:rPr>
          <w:rFonts w:ascii="Cambria" w:hAnsi="Cambria"/>
          <w:sz w:val="16"/>
          <w:szCs w:val="16"/>
          <w:lang w:val="es-CO"/>
        </w:rPr>
        <w:t>. Copia de la decisión del 14 de junio de 1985 del Décimo Sexto Juzgado Civil de Lima frente a la acción de amparo interpuesta por la señora Moya Solís. Anexo 12 al escrito de la parte peticionaria del 21 de marzo del 2000.</w:t>
      </w:r>
    </w:p>
  </w:footnote>
  <w:footnote w:id="14">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1A5C83">
        <w:rPr>
          <w:rFonts w:ascii="Cambria" w:hAnsi="Cambria"/>
          <w:sz w:val="16"/>
          <w:szCs w:val="16"/>
          <w:lang w:val="es-CO"/>
        </w:rPr>
        <w:t xml:space="preserve"> Anexo 10</w:t>
      </w:r>
      <w:r w:rsidRPr="00573462">
        <w:rPr>
          <w:rFonts w:ascii="Cambria" w:hAnsi="Cambria"/>
          <w:sz w:val="16"/>
          <w:szCs w:val="16"/>
          <w:lang w:val="es-CO"/>
        </w:rPr>
        <w:t>.  Copia del recurso de apelación del 1 de julio de 1985 interpuesto por la señora Moya Solís frente a la decisión del Décimo sexto Juzgado Civil de Lima respecto a la acción de amparo. Anexo 13 al escrito de la parte peticionaria del 21 de marzo del 2000.</w:t>
      </w:r>
    </w:p>
  </w:footnote>
  <w:footnote w:id="15">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1A5C83">
        <w:rPr>
          <w:rFonts w:ascii="Cambria" w:hAnsi="Cambria"/>
          <w:sz w:val="16"/>
          <w:szCs w:val="16"/>
          <w:lang w:val="es-CO"/>
        </w:rPr>
        <w:t xml:space="preserve"> Anexo 11</w:t>
      </w:r>
      <w:r w:rsidRPr="00573462">
        <w:rPr>
          <w:rFonts w:ascii="Cambria" w:hAnsi="Cambria"/>
          <w:sz w:val="16"/>
          <w:szCs w:val="16"/>
          <w:lang w:val="es-CO"/>
        </w:rPr>
        <w:t>.  Copia de la decisión del 16 de septiembre de 1985 de la Tercera Sala Civil de la Corte Superior de Lima frente al recurso de apelación interpuesto por la señora Moya Solís. Anexo 14 al escrito de la parte peticionaria del 21 de marzo del 2000.</w:t>
      </w:r>
    </w:p>
  </w:footnote>
  <w:footnote w:id="16">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1A5C83">
        <w:rPr>
          <w:rFonts w:ascii="Cambria" w:hAnsi="Cambria"/>
          <w:sz w:val="16"/>
          <w:szCs w:val="16"/>
          <w:lang w:val="es-CO"/>
        </w:rPr>
        <w:t xml:space="preserve"> Anexo 12</w:t>
      </w:r>
      <w:r w:rsidRPr="00573462">
        <w:rPr>
          <w:rFonts w:ascii="Cambria" w:hAnsi="Cambria"/>
          <w:sz w:val="16"/>
          <w:szCs w:val="16"/>
          <w:lang w:val="es-CO"/>
        </w:rPr>
        <w:t>. Copia del recurso de nulidad del 19 de septiembre de 1985 interpuesto por la señora Moya Solís frente a la decisión del recurso de apelación. Anexo 15 al escrito de la parte peticionaria del 21 de marzo del 2000.</w:t>
      </w:r>
    </w:p>
  </w:footnote>
  <w:footnote w:id="17">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1A5C83">
        <w:rPr>
          <w:rFonts w:ascii="Cambria" w:hAnsi="Cambria"/>
          <w:sz w:val="16"/>
          <w:szCs w:val="16"/>
          <w:lang w:val="es-CO"/>
        </w:rPr>
        <w:t xml:space="preserve"> Anexo 13</w:t>
      </w:r>
      <w:r w:rsidRPr="00573462">
        <w:rPr>
          <w:rFonts w:ascii="Cambria" w:hAnsi="Cambria"/>
          <w:sz w:val="16"/>
          <w:szCs w:val="16"/>
          <w:lang w:val="es-CO"/>
        </w:rPr>
        <w:t xml:space="preserve">. Copia del pronunciamiento del Ministerio Público del 17 de enero de 1986 ante la Corte Suprema de </w:t>
      </w:r>
      <w:r w:rsidR="001A5C83" w:rsidRPr="00573462">
        <w:rPr>
          <w:rFonts w:ascii="Cambria" w:hAnsi="Cambria"/>
          <w:sz w:val="16"/>
          <w:szCs w:val="16"/>
          <w:lang w:val="es-CO"/>
        </w:rPr>
        <w:t>Justicia</w:t>
      </w:r>
      <w:r w:rsidRPr="00573462">
        <w:rPr>
          <w:rFonts w:ascii="Cambria" w:hAnsi="Cambria"/>
          <w:sz w:val="16"/>
          <w:szCs w:val="16"/>
          <w:lang w:val="es-CO"/>
        </w:rPr>
        <w:t xml:space="preserve"> frente al caso de la Señora Moya Solís. Anexo 16 al escrito de la parte peti</w:t>
      </w:r>
      <w:r w:rsidR="00EE336F" w:rsidRPr="00573462">
        <w:rPr>
          <w:rFonts w:ascii="Cambria" w:hAnsi="Cambria"/>
          <w:sz w:val="16"/>
          <w:szCs w:val="16"/>
          <w:lang w:val="es-CO"/>
        </w:rPr>
        <w:t>cionaria del 21 de marzo de 2000</w:t>
      </w:r>
      <w:r w:rsidRPr="00573462">
        <w:rPr>
          <w:rFonts w:ascii="Cambria" w:hAnsi="Cambria"/>
          <w:sz w:val="16"/>
          <w:szCs w:val="16"/>
          <w:lang w:val="es-CO"/>
        </w:rPr>
        <w:t xml:space="preserve">. </w:t>
      </w:r>
    </w:p>
  </w:footnote>
  <w:footnote w:id="18">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683CE9">
        <w:rPr>
          <w:rFonts w:ascii="Cambria" w:hAnsi="Cambria"/>
          <w:sz w:val="16"/>
          <w:szCs w:val="16"/>
          <w:lang w:val="es-CO"/>
        </w:rPr>
        <w:t xml:space="preserve"> Anexo 13</w:t>
      </w:r>
      <w:r w:rsidRPr="00573462">
        <w:rPr>
          <w:rFonts w:ascii="Cambria" w:hAnsi="Cambria"/>
          <w:sz w:val="16"/>
          <w:szCs w:val="16"/>
          <w:lang w:val="es-CO"/>
        </w:rPr>
        <w:t>. Copia del pronunciamiento del Ministerio Público del 17 de enero de 1986 ante la Corte Suprema de Justicia frente al caso de la Señora Moya Solís. Anexo 16 al escrito de la parte peti</w:t>
      </w:r>
      <w:r w:rsidR="00EE336F" w:rsidRPr="00573462">
        <w:rPr>
          <w:rFonts w:ascii="Cambria" w:hAnsi="Cambria"/>
          <w:sz w:val="16"/>
          <w:szCs w:val="16"/>
          <w:lang w:val="es-CO"/>
        </w:rPr>
        <w:t>cionaria del 21 de marzo de 2000</w:t>
      </w:r>
      <w:r w:rsidRPr="00573462">
        <w:rPr>
          <w:rFonts w:ascii="Cambria" w:hAnsi="Cambria"/>
          <w:sz w:val="16"/>
          <w:szCs w:val="16"/>
          <w:lang w:val="es-CO"/>
        </w:rPr>
        <w:t>.</w:t>
      </w:r>
    </w:p>
  </w:footnote>
  <w:footnote w:id="19">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683CE9">
        <w:rPr>
          <w:rFonts w:ascii="Cambria" w:hAnsi="Cambria"/>
          <w:sz w:val="16"/>
          <w:szCs w:val="16"/>
          <w:lang w:val="es-CO"/>
        </w:rPr>
        <w:t xml:space="preserve"> Anexo 14</w:t>
      </w:r>
      <w:r w:rsidRPr="00573462">
        <w:rPr>
          <w:rFonts w:ascii="Cambria" w:hAnsi="Cambria"/>
          <w:sz w:val="16"/>
          <w:szCs w:val="16"/>
          <w:lang w:val="es-CO"/>
        </w:rPr>
        <w:t>. Copia de la decisión del 4 de agosto de 1986 de la Corte Suprema de Justicia frente al recurso de nulidad interpuesto por la señora Moya Solís. Anexo 17 al escrito de la parte peti</w:t>
      </w:r>
      <w:r w:rsidR="00EE336F" w:rsidRPr="00573462">
        <w:rPr>
          <w:rFonts w:ascii="Cambria" w:hAnsi="Cambria"/>
          <w:sz w:val="16"/>
          <w:szCs w:val="16"/>
          <w:lang w:val="es-CO"/>
        </w:rPr>
        <w:t>cionaria del 21 de marzo del 2000</w:t>
      </w:r>
      <w:r w:rsidRPr="00573462">
        <w:rPr>
          <w:rFonts w:ascii="Cambria" w:hAnsi="Cambria"/>
          <w:sz w:val="16"/>
          <w:szCs w:val="16"/>
          <w:lang w:val="es-CO"/>
        </w:rPr>
        <w:t>.</w:t>
      </w:r>
    </w:p>
  </w:footnote>
  <w:footnote w:id="20">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683CE9">
        <w:rPr>
          <w:rFonts w:ascii="Cambria" w:hAnsi="Cambria"/>
          <w:sz w:val="16"/>
          <w:szCs w:val="16"/>
          <w:lang w:val="es-CO"/>
        </w:rPr>
        <w:t>Anexo 14</w:t>
      </w:r>
      <w:r w:rsidRPr="00573462">
        <w:rPr>
          <w:rFonts w:ascii="Cambria" w:hAnsi="Cambria"/>
          <w:sz w:val="16"/>
          <w:szCs w:val="16"/>
          <w:lang w:val="es-CO"/>
        </w:rPr>
        <w:t>. Copia de la decisión del 4 de agosto de 1986 de la Corte Suprema de Justicia frente al recurso de nulidad interpuesto por la señora Moya Solís. Anexo 17 al escrito de la parte peti</w:t>
      </w:r>
      <w:r w:rsidR="00EE336F" w:rsidRPr="00573462">
        <w:rPr>
          <w:rFonts w:ascii="Cambria" w:hAnsi="Cambria"/>
          <w:sz w:val="16"/>
          <w:szCs w:val="16"/>
          <w:lang w:val="es-CO"/>
        </w:rPr>
        <w:t>cionaria del 21 de marzo del 2000</w:t>
      </w:r>
      <w:r w:rsidRPr="00573462">
        <w:rPr>
          <w:rFonts w:ascii="Cambria" w:hAnsi="Cambria"/>
          <w:sz w:val="16"/>
          <w:szCs w:val="16"/>
          <w:lang w:val="es-CO"/>
        </w:rPr>
        <w:t xml:space="preserve">. </w:t>
      </w:r>
    </w:p>
  </w:footnote>
  <w:footnote w:id="21">
    <w:p w:rsidR="00B411A3" w:rsidRPr="00573462" w:rsidRDefault="00B411A3" w:rsidP="00B411A3">
      <w:pPr>
        <w:pStyle w:val="FootnoteText"/>
        <w:rPr>
          <w:rFonts w:ascii="Cambria" w:hAnsi="Cambria"/>
          <w:sz w:val="16"/>
          <w:szCs w:val="16"/>
          <w:lang w:val="es-CO"/>
        </w:rPr>
      </w:pPr>
      <w:r w:rsidRPr="00573462">
        <w:rPr>
          <w:rStyle w:val="FootnoteReference"/>
          <w:rFonts w:ascii="Cambria" w:hAnsi="Cambria"/>
          <w:sz w:val="16"/>
          <w:szCs w:val="16"/>
        </w:rPr>
        <w:footnoteRef/>
      </w:r>
      <w:r w:rsidR="00683CE9">
        <w:rPr>
          <w:rFonts w:ascii="Cambria" w:hAnsi="Cambria"/>
          <w:sz w:val="16"/>
          <w:szCs w:val="16"/>
          <w:lang w:val="es-CO"/>
        </w:rPr>
        <w:t xml:space="preserve"> Anexo 15</w:t>
      </w:r>
      <w:r w:rsidRPr="00573462">
        <w:rPr>
          <w:rFonts w:ascii="Cambria" w:hAnsi="Cambria"/>
          <w:sz w:val="16"/>
          <w:szCs w:val="16"/>
          <w:lang w:val="es-CO"/>
        </w:rPr>
        <w:t>.  Comunicados enviados por la señora Moya Solís ante el Juzgado Décimo Sexto de lo Civil en Lima actualizando información frente al caso y solicitándole se pronuncie de nuevo frente a la acción de amparo de acuerdo a lo ordenado por la Corte Suprema de justicia, estos fueron enviados en las siguientes fechas: 27 de febrero de 1986, 13 de marzo de 1987, 1 de abril de 1987, 10 de febrero de 1988, 16 de agosto de 1889, 3 de febrero de 1995, 8 de agosto de 1995, 25 de septiembre de 1995, 7 de febrero de 1996, 2 de agosto de 1996. Anexo 25 al escrito de la parte peticionaria del 21 de marzo del 2000.</w:t>
      </w:r>
    </w:p>
  </w:footnote>
  <w:footnote w:id="22">
    <w:p w:rsidR="00B411A3" w:rsidRPr="00573462" w:rsidRDefault="00B411A3" w:rsidP="00B411A3">
      <w:pPr>
        <w:pStyle w:val="FootnoteText"/>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w:t>
      </w:r>
      <w:r w:rsidR="00683CE9">
        <w:rPr>
          <w:rFonts w:ascii="Cambria" w:hAnsi="Cambria"/>
          <w:sz w:val="16"/>
          <w:szCs w:val="16"/>
          <w:lang w:val="es-CO"/>
        </w:rPr>
        <w:t>Anexo 16</w:t>
      </w:r>
      <w:r w:rsidRPr="00573462">
        <w:rPr>
          <w:rFonts w:ascii="Cambria" w:hAnsi="Cambria"/>
          <w:sz w:val="16"/>
          <w:szCs w:val="16"/>
          <w:lang w:val="es-CO"/>
        </w:rPr>
        <w:t>.</w:t>
      </w:r>
      <w:r w:rsidR="00683CE9">
        <w:rPr>
          <w:rFonts w:ascii="Cambria" w:hAnsi="Cambria"/>
          <w:sz w:val="16"/>
          <w:szCs w:val="16"/>
          <w:lang w:val="es-VE"/>
        </w:rPr>
        <w:t xml:space="preserve"> C</w:t>
      </w:r>
      <w:r w:rsidRPr="00573462">
        <w:rPr>
          <w:rFonts w:ascii="Cambria" w:hAnsi="Cambria"/>
          <w:sz w:val="16"/>
          <w:szCs w:val="16"/>
          <w:lang w:val="es-VE"/>
        </w:rPr>
        <w:t>omunicado de noviembre de 1986 del Décimo Sexto Juzgado de lo Civil en Lima al Presidente de la Corte Suprema de Justicia solicitando el expediente de ratificaciones referente al caso de la parte peticionaria.</w:t>
      </w:r>
      <w:r w:rsidRPr="00573462">
        <w:rPr>
          <w:rFonts w:ascii="Cambria" w:hAnsi="Cambria"/>
          <w:sz w:val="16"/>
          <w:szCs w:val="16"/>
          <w:lang w:val="es-CO"/>
        </w:rPr>
        <w:t xml:space="preserve"> Anexo 25.17 al escrito de la parte peticionaria de</w:t>
      </w:r>
      <w:r w:rsidR="00683CE9">
        <w:rPr>
          <w:rFonts w:ascii="Cambria" w:hAnsi="Cambria"/>
          <w:sz w:val="16"/>
          <w:szCs w:val="16"/>
          <w:lang w:val="es-CO"/>
        </w:rPr>
        <w:t>l 21 de marzo del 2000; Anexo 17</w:t>
      </w:r>
      <w:r w:rsidRPr="00573462">
        <w:rPr>
          <w:rFonts w:ascii="Cambria" w:hAnsi="Cambria"/>
          <w:sz w:val="16"/>
          <w:szCs w:val="16"/>
          <w:lang w:val="es-CO"/>
        </w:rPr>
        <w:t xml:space="preserve">. </w:t>
      </w:r>
      <w:r w:rsidRPr="00573462">
        <w:rPr>
          <w:rFonts w:ascii="Cambria" w:hAnsi="Cambria"/>
          <w:sz w:val="16"/>
          <w:szCs w:val="16"/>
          <w:lang w:val="es-VE"/>
        </w:rPr>
        <w:t xml:space="preserve">Comunicado de marzo de 1987 del Décimo Sexto Juzgado de lo Civil en Lima al Presidente del Tribunal de Trabajo y Comunidades Laborales solicitando el expediente de ratificaciones referente al caso de la parte peticionaria. </w:t>
      </w:r>
      <w:r w:rsidRPr="00573462">
        <w:rPr>
          <w:rFonts w:ascii="Cambria" w:hAnsi="Cambria"/>
          <w:sz w:val="16"/>
          <w:szCs w:val="16"/>
          <w:lang w:val="es-CO"/>
        </w:rPr>
        <w:t>Anexo 25.16 al escrito de la parte peticionaria de</w:t>
      </w:r>
      <w:r w:rsidR="00683CE9">
        <w:rPr>
          <w:rFonts w:ascii="Cambria" w:hAnsi="Cambria"/>
          <w:sz w:val="16"/>
          <w:szCs w:val="16"/>
          <w:lang w:val="es-CO"/>
        </w:rPr>
        <w:t>l 21 de marzo del 2000; Anexo 18</w:t>
      </w:r>
      <w:r w:rsidRPr="00573462">
        <w:rPr>
          <w:rFonts w:ascii="Cambria" w:hAnsi="Cambria"/>
          <w:sz w:val="16"/>
          <w:szCs w:val="16"/>
          <w:lang w:val="es-CO"/>
        </w:rPr>
        <w:t xml:space="preserve">. </w:t>
      </w:r>
      <w:r w:rsidRPr="00573462">
        <w:rPr>
          <w:rFonts w:ascii="Cambria" w:hAnsi="Cambria"/>
          <w:sz w:val="16"/>
          <w:szCs w:val="16"/>
          <w:lang w:val="es-VE"/>
        </w:rPr>
        <w:t xml:space="preserve">Comunicado de septiembre de 1987 del Décimo Sexto Juzgado de lo Civil en Lima al Presidente del Tribunal de Trabajo y Comunidades Laborales solicitando el expediente de ratificaciones referente al caso de la parte peticionaria. Anexo 25.15 </w:t>
      </w:r>
      <w:r w:rsidRPr="00573462">
        <w:rPr>
          <w:rFonts w:ascii="Cambria" w:hAnsi="Cambria"/>
          <w:sz w:val="16"/>
          <w:szCs w:val="16"/>
          <w:lang w:val="es-CO"/>
        </w:rPr>
        <w:t>al escrito de la parte peticionaria del 21 de marzo del 2000.</w:t>
      </w:r>
    </w:p>
  </w:footnote>
  <w:footnote w:id="23">
    <w:p w:rsidR="00B411A3" w:rsidRPr="00573462" w:rsidRDefault="00B411A3" w:rsidP="00B411A3">
      <w:pPr>
        <w:pStyle w:val="FootnoteText"/>
        <w:rPr>
          <w:rFonts w:ascii="Cambria" w:hAnsi="Cambria"/>
          <w:sz w:val="16"/>
          <w:szCs w:val="16"/>
          <w:lang w:val="es-CO"/>
        </w:rPr>
      </w:pPr>
      <w:r w:rsidRPr="00573462">
        <w:rPr>
          <w:rStyle w:val="FootnoteReference"/>
          <w:rFonts w:ascii="Cambria" w:hAnsi="Cambria"/>
          <w:sz w:val="16"/>
          <w:szCs w:val="16"/>
        </w:rPr>
        <w:footnoteRef/>
      </w:r>
      <w:r w:rsidR="00683CE9">
        <w:rPr>
          <w:rFonts w:ascii="Cambria" w:hAnsi="Cambria"/>
          <w:sz w:val="16"/>
          <w:szCs w:val="16"/>
          <w:lang w:val="es-CO"/>
        </w:rPr>
        <w:t xml:space="preserve"> Anexo 19</w:t>
      </w:r>
      <w:r w:rsidRPr="00573462">
        <w:rPr>
          <w:rFonts w:ascii="Cambria" w:hAnsi="Cambria"/>
          <w:sz w:val="16"/>
          <w:szCs w:val="16"/>
          <w:lang w:val="es-CO"/>
        </w:rPr>
        <w:t xml:space="preserve">. </w:t>
      </w:r>
      <w:r w:rsidRPr="00573462">
        <w:rPr>
          <w:rFonts w:ascii="Cambria" w:hAnsi="Cambria"/>
          <w:sz w:val="16"/>
          <w:szCs w:val="16"/>
          <w:lang w:val="es-VE"/>
        </w:rPr>
        <w:t xml:space="preserve">Comunicado de junio de 1995 del Trigésimo Tercer Juzgado de lo Civil en Lima solicitando a la Corte Superior de Lima la remisión del Expediente de Ratificación del proceso de ratificación del 10 de septiembre de 1982. Anexo 25.12 </w:t>
      </w:r>
      <w:r w:rsidRPr="00573462">
        <w:rPr>
          <w:rFonts w:ascii="Cambria" w:hAnsi="Cambria"/>
          <w:sz w:val="16"/>
          <w:szCs w:val="16"/>
          <w:lang w:val="es-CO"/>
        </w:rPr>
        <w:t>al escrito de la parte peticionaria del 21 de marzo del 2000.</w:t>
      </w:r>
    </w:p>
  </w:footnote>
  <w:footnote w:id="24">
    <w:p w:rsidR="00B411A3" w:rsidRPr="00573462" w:rsidRDefault="00B411A3" w:rsidP="00B411A3">
      <w:pPr>
        <w:pStyle w:val="FootnoteText"/>
        <w:rPr>
          <w:rFonts w:ascii="Cambria" w:hAnsi="Cambria"/>
          <w:sz w:val="16"/>
          <w:szCs w:val="16"/>
          <w:lang w:val="es-CO"/>
        </w:rPr>
      </w:pPr>
      <w:r w:rsidRPr="00573462">
        <w:rPr>
          <w:rStyle w:val="FootnoteReference"/>
          <w:rFonts w:ascii="Cambria" w:hAnsi="Cambria"/>
          <w:sz w:val="16"/>
          <w:szCs w:val="16"/>
        </w:rPr>
        <w:footnoteRef/>
      </w:r>
      <w:r w:rsidR="00683CE9">
        <w:rPr>
          <w:rFonts w:ascii="Cambria" w:hAnsi="Cambria"/>
          <w:sz w:val="16"/>
          <w:szCs w:val="16"/>
          <w:lang w:val="es-CO"/>
        </w:rPr>
        <w:t xml:space="preserve"> Anexo 20</w:t>
      </w:r>
      <w:r w:rsidRPr="00573462">
        <w:rPr>
          <w:rFonts w:ascii="Cambria" w:hAnsi="Cambria"/>
          <w:sz w:val="16"/>
          <w:szCs w:val="16"/>
          <w:lang w:val="es-CO"/>
        </w:rPr>
        <w:t xml:space="preserve">. Respuesta del </w:t>
      </w:r>
      <w:r w:rsidRPr="00573462">
        <w:rPr>
          <w:rFonts w:ascii="Cambria" w:hAnsi="Cambria"/>
          <w:sz w:val="16"/>
          <w:szCs w:val="16"/>
          <w:lang w:val="es-VE"/>
        </w:rPr>
        <w:t xml:space="preserve">4 de marzo de 1996 del Delegado Administrativos de las Salas y Juzgados al Presidente de la Corte Superior de Justicia frente a la solicitud del expediente de ratificaciones realizada por el Trigésimo Tercer Juzgado de lo Civil en Lima, señalando que el expediente solicitado no se encuentra. Anexo 25.18 al escrito de la parte peticionaria del 21 de marzo del 2000. </w:t>
      </w:r>
    </w:p>
  </w:footnote>
  <w:footnote w:id="25">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683CE9">
        <w:rPr>
          <w:rFonts w:ascii="Cambria" w:hAnsi="Cambria"/>
          <w:sz w:val="16"/>
          <w:szCs w:val="16"/>
          <w:lang w:val="es-CO"/>
        </w:rPr>
        <w:t xml:space="preserve"> Anexo 21</w:t>
      </w:r>
      <w:r w:rsidRPr="00573462">
        <w:rPr>
          <w:rFonts w:ascii="Cambria" w:hAnsi="Cambria"/>
          <w:sz w:val="16"/>
          <w:szCs w:val="16"/>
          <w:lang w:val="es-CO"/>
        </w:rPr>
        <w:t>. Copia de la decisión del 30 de diciembre de 1996 del  Décimo Sexto Juzgado Civil de Lima frente al recurso de amparo, posterior al fallo de la Corte Suprema de Justicia. Anexo 18 al escrito de la parte peticionaria del 21 de marzo de</w:t>
      </w:r>
      <w:r w:rsidR="00854A79" w:rsidRPr="00573462">
        <w:rPr>
          <w:rFonts w:ascii="Cambria" w:hAnsi="Cambria"/>
          <w:sz w:val="16"/>
          <w:szCs w:val="16"/>
          <w:lang w:val="es-CO"/>
        </w:rPr>
        <w:t>l</w:t>
      </w:r>
      <w:r w:rsidRPr="00573462">
        <w:rPr>
          <w:rFonts w:ascii="Cambria" w:hAnsi="Cambria"/>
          <w:sz w:val="16"/>
          <w:szCs w:val="16"/>
          <w:lang w:val="es-CO"/>
        </w:rPr>
        <w:t xml:space="preserve"> 200</w:t>
      </w:r>
      <w:r w:rsidR="00854A79" w:rsidRPr="00573462">
        <w:rPr>
          <w:rFonts w:ascii="Cambria" w:hAnsi="Cambria"/>
          <w:sz w:val="16"/>
          <w:szCs w:val="16"/>
          <w:lang w:val="es-CO"/>
        </w:rPr>
        <w:t>0</w:t>
      </w:r>
      <w:r w:rsidRPr="00573462">
        <w:rPr>
          <w:rFonts w:ascii="Cambria" w:hAnsi="Cambria"/>
          <w:sz w:val="16"/>
          <w:szCs w:val="16"/>
          <w:lang w:val="es-CO"/>
        </w:rPr>
        <w:t>.</w:t>
      </w:r>
    </w:p>
  </w:footnote>
  <w:footnote w:id="26">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Pr="00573462">
        <w:rPr>
          <w:rFonts w:ascii="Cambria" w:hAnsi="Cambria"/>
          <w:sz w:val="16"/>
          <w:szCs w:val="16"/>
          <w:lang w:val="es-CO"/>
        </w:rPr>
        <w:t xml:space="preserve"> An</w:t>
      </w:r>
      <w:r w:rsidR="00683CE9">
        <w:rPr>
          <w:rFonts w:ascii="Cambria" w:hAnsi="Cambria"/>
          <w:sz w:val="16"/>
          <w:szCs w:val="16"/>
          <w:lang w:val="es-CO"/>
        </w:rPr>
        <w:t>exo 22</w:t>
      </w:r>
      <w:r w:rsidRPr="00573462">
        <w:rPr>
          <w:rFonts w:ascii="Cambria" w:hAnsi="Cambria"/>
          <w:sz w:val="16"/>
          <w:szCs w:val="16"/>
          <w:lang w:val="es-CO"/>
        </w:rPr>
        <w:t xml:space="preserve">. </w:t>
      </w:r>
      <w:r w:rsidR="008E407E" w:rsidRPr="00573462">
        <w:rPr>
          <w:rFonts w:ascii="Cambria" w:hAnsi="Cambria"/>
          <w:sz w:val="16"/>
          <w:szCs w:val="16"/>
          <w:lang w:val="es-CO"/>
        </w:rPr>
        <w:t xml:space="preserve">Copia del recurso de apelación </w:t>
      </w:r>
      <w:r w:rsidRPr="00573462">
        <w:rPr>
          <w:rFonts w:ascii="Cambria" w:hAnsi="Cambria"/>
          <w:sz w:val="16"/>
          <w:szCs w:val="16"/>
          <w:lang w:val="es-CO"/>
        </w:rPr>
        <w:t xml:space="preserve">del 19 de mayo de 1997 frente a la segunda decisión frente </w:t>
      </w:r>
      <w:r w:rsidR="008E407E" w:rsidRPr="00573462">
        <w:rPr>
          <w:rFonts w:ascii="Cambria" w:hAnsi="Cambria"/>
          <w:sz w:val="16"/>
          <w:szCs w:val="16"/>
          <w:lang w:val="es-CO"/>
        </w:rPr>
        <w:t>al recurso de amparo interpuesto</w:t>
      </w:r>
      <w:r w:rsidRPr="00573462">
        <w:rPr>
          <w:rFonts w:ascii="Cambria" w:hAnsi="Cambria"/>
          <w:sz w:val="16"/>
          <w:szCs w:val="16"/>
          <w:lang w:val="es-CO"/>
        </w:rPr>
        <w:t xml:space="preserve"> por la señora Moya Solís. Anexo 19 al escrito de la parte peticionaria del 21 de </w:t>
      </w:r>
      <w:r w:rsidR="008E407E" w:rsidRPr="00573462">
        <w:rPr>
          <w:rFonts w:ascii="Cambria" w:hAnsi="Cambria"/>
          <w:sz w:val="16"/>
          <w:szCs w:val="16"/>
          <w:lang w:val="es-CO"/>
        </w:rPr>
        <w:t>marzo de</w:t>
      </w:r>
      <w:r w:rsidR="00854A79" w:rsidRPr="00573462">
        <w:rPr>
          <w:rFonts w:ascii="Cambria" w:hAnsi="Cambria"/>
          <w:sz w:val="16"/>
          <w:szCs w:val="16"/>
          <w:lang w:val="es-CO"/>
        </w:rPr>
        <w:t>l</w:t>
      </w:r>
      <w:r w:rsidR="008E407E" w:rsidRPr="00573462">
        <w:rPr>
          <w:rFonts w:ascii="Cambria" w:hAnsi="Cambria"/>
          <w:sz w:val="16"/>
          <w:szCs w:val="16"/>
          <w:lang w:val="es-CO"/>
        </w:rPr>
        <w:t xml:space="preserve"> 2000</w:t>
      </w:r>
      <w:r w:rsidR="002B304E">
        <w:rPr>
          <w:rFonts w:ascii="Cambria" w:hAnsi="Cambria"/>
          <w:sz w:val="16"/>
          <w:szCs w:val="16"/>
          <w:lang w:val="es-CO"/>
        </w:rPr>
        <w:t>; Anexo 28</w:t>
      </w:r>
      <w:r w:rsidR="00854A79" w:rsidRPr="00573462">
        <w:rPr>
          <w:rFonts w:ascii="Cambria" w:hAnsi="Cambria"/>
          <w:sz w:val="16"/>
          <w:szCs w:val="16"/>
          <w:lang w:val="es-CO"/>
        </w:rPr>
        <w:t xml:space="preserve">. Respuesta del </w:t>
      </w:r>
      <w:r w:rsidR="00854A79" w:rsidRPr="00573462">
        <w:rPr>
          <w:rFonts w:ascii="Cambria" w:hAnsi="Cambria"/>
          <w:sz w:val="16"/>
          <w:szCs w:val="16"/>
          <w:lang w:val="es-VE"/>
        </w:rPr>
        <w:t>4 de marzo de 1996 del Delegado Administrativos de las Salas y Juzgados al Presidente de la Corte Superior de Justicia frente a la solicitud del expediente de ratificaciones realizada por el Trigésimo Tercer Juzgado de lo Civil en Lima, señalando que el expediente solicitado no se encuentra. Anexo 25.18 al escrito de la parte peticionaria del 21 de marzo del 2000.</w:t>
      </w:r>
    </w:p>
  </w:footnote>
  <w:footnote w:id="27">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683CE9">
        <w:rPr>
          <w:rFonts w:ascii="Cambria" w:hAnsi="Cambria"/>
          <w:sz w:val="16"/>
          <w:szCs w:val="16"/>
          <w:lang w:val="es-CO"/>
        </w:rPr>
        <w:t xml:space="preserve"> Anexo 23</w:t>
      </w:r>
      <w:r w:rsidRPr="00573462">
        <w:rPr>
          <w:rFonts w:ascii="Cambria" w:hAnsi="Cambria"/>
          <w:sz w:val="16"/>
          <w:szCs w:val="16"/>
          <w:lang w:val="es-CO"/>
        </w:rPr>
        <w:t>. Copia de la acción de amparo del 19 de mayo de 1997 frente a la segunda decisión frente al recurso de amparo interpuesta por la señora Moya Solís. Anexo 19 al escrito de la parte peticionaria del 21 de marzo de</w:t>
      </w:r>
      <w:r w:rsidR="00854A79" w:rsidRPr="00573462">
        <w:rPr>
          <w:rFonts w:ascii="Cambria" w:hAnsi="Cambria"/>
          <w:sz w:val="16"/>
          <w:szCs w:val="16"/>
          <w:lang w:val="es-CO"/>
        </w:rPr>
        <w:t>l</w:t>
      </w:r>
      <w:r w:rsidRPr="00573462">
        <w:rPr>
          <w:rFonts w:ascii="Cambria" w:hAnsi="Cambria"/>
          <w:sz w:val="16"/>
          <w:szCs w:val="16"/>
          <w:lang w:val="es-CO"/>
        </w:rPr>
        <w:t xml:space="preserve"> 200</w:t>
      </w:r>
      <w:r w:rsidR="00854A79" w:rsidRPr="00573462">
        <w:rPr>
          <w:rFonts w:ascii="Cambria" w:hAnsi="Cambria"/>
          <w:sz w:val="16"/>
          <w:szCs w:val="16"/>
          <w:lang w:val="es-CO"/>
        </w:rPr>
        <w:t>0</w:t>
      </w:r>
      <w:r w:rsidRPr="00573462">
        <w:rPr>
          <w:rFonts w:ascii="Cambria" w:hAnsi="Cambria"/>
          <w:sz w:val="16"/>
          <w:szCs w:val="16"/>
          <w:lang w:val="es-CO"/>
        </w:rPr>
        <w:t>.</w:t>
      </w:r>
    </w:p>
  </w:footnote>
  <w:footnote w:id="28">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2B304E">
        <w:rPr>
          <w:rFonts w:ascii="Cambria" w:hAnsi="Cambria"/>
          <w:sz w:val="16"/>
          <w:szCs w:val="16"/>
          <w:lang w:val="es-CO"/>
        </w:rPr>
        <w:t xml:space="preserve"> Anexo 24</w:t>
      </w:r>
      <w:r w:rsidRPr="00573462">
        <w:rPr>
          <w:rFonts w:ascii="Cambria" w:hAnsi="Cambria"/>
          <w:sz w:val="16"/>
          <w:szCs w:val="16"/>
          <w:lang w:val="es-CO"/>
        </w:rPr>
        <w:t>. Copia de la decisión de la Sala Corporativa Transitoria Especializada de Derecho Público del 20 de marzo de 1998 frente a la segunda acción de amparo interpuesta por la señora Moya Solís. Anexo 20 al escrito de la parte peti</w:t>
      </w:r>
      <w:r w:rsidR="002A2E72" w:rsidRPr="00573462">
        <w:rPr>
          <w:rFonts w:ascii="Cambria" w:hAnsi="Cambria"/>
          <w:sz w:val="16"/>
          <w:szCs w:val="16"/>
          <w:lang w:val="es-CO"/>
        </w:rPr>
        <w:t>cionaria del 21 de marzo del 2000</w:t>
      </w:r>
      <w:r w:rsidRPr="00573462">
        <w:rPr>
          <w:rFonts w:ascii="Cambria" w:hAnsi="Cambria"/>
          <w:sz w:val="16"/>
          <w:szCs w:val="16"/>
          <w:lang w:val="es-CO"/>
        </w:rPr>
        <w:t>.</w:t>
      </w:r>
    </w:p>
  </w:footnote>
  <w:footnote w:id="29">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2B304E">
        <w:rPr>
          <w:rFonts w:ascii="Cambria" w:hAnsi="Cambria"/>
          <w:sz w:val="16"/>
          <w:szCs w:val="16"/>
          <w:lang w:val="es-CO"/>
        </w:rPr>
        <w:t xml:space="preserve"> Anexo 25</w:t>
      </w:r>
      <w:r w:rsidRPr="00573462">
        <w:rPr>
          <w:rFonts w:ascii="Cambria" w:hAnsi="Cambria"/>
          <w:sz w:val="16"/>
          <w:szCs w:val="16"/>
          <w:lang w:val="es-CO"/>
        </w:rPr>
        <w:t>. Copia del recurso de nulidad del 8 de abril de 1998 frente a la segunda decisión sobre el recurso de amparo, interpuesto por la señora Moya Solís. Anexo 21 al escrito de la parte peti</w:t>
      </w:r>
      <w:r w:rsidR="00854A79" w:rsidRPr="00573462">
        <w:rPr>
          <w:rFonts w:ascii="Cambria" w:hAnsi="Cambria"/>
          <w:sz w:val="16"/>
          <w:szCs w:val="16"/>
          <w:lang w:val="es-CO"/>
        </w:rPr>
        <w:t>cionaria de 21 de marzo del 2000</w:t>
      </w:r>
      <w:r w:rsidRPr="00573462">
        <w:rPr>
          <w:rFonts w:ascii="Cambria" w:hAnsi="Cambria"/>
          <w:sz w:val="16"/>
          <w:szCs w:val="16"/>
          <w:lang w:val="es-CO"/>
        </w:rPr>
        <w:t>.</w:t>
      </w:r>
    </w:p>
  </w:footnote>
  <w:footnote w:id="30">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2B304E">
        <w:rPr>
          <w:rFonts w:ascii="Cambria" w:hAnsi="Cambria"/>
          <w:sz w:val="16"/>
          <w:szCs w:val="16"/>
          <w:lang w:val="es-CO"/>
        </w:rPr>
        <w:t xml:space="preserve"> Anexo 26</w:t>
      </w:r>
      <w:r w:rsidRPr="00573462">
        <w:rPr>
          <w:rFonts w:ascii="Cambria" w:hAnsi="Cambria"/>
          <w:sz w:val="16"/>
          <w:szCs w:val="16"/>
          <w:lang w:val="es-CO"/>
        </w:rPr>
        <w:t xml:space="preserve">. Copia de la decisión del 29 de octubre de 1998 de la Sala de Derecho Constitucional y Social  la Corte Suprema de Justicia frente al recurso de nulidad del 8 de abril de 1998 interpuesto por la señora Moya Solís.  Anexo 23 al escrito de la parte peticionaria del 21 de marzo </w:t>
      </w:r>
      <w:r w:rsidR="00854A79" w:rsidRPr="00573462">
        <w:rPr>
          <w:rFonts w:ascii="Cambria" w:hAnsi="Cambria"/>
          <w:sz w:val="16"/>
          <w:szCs w:val="16"/>
          <w:lang w:val="es-CO"/>
        </w:rPr>
        <w:t>del 2000.</w:t>
      </w:r>
      <w:r w:rsidRPr="00573462">
        <w:rPr>
          <w:rFonts w:ascii="Cambria" w:hAnsi="Cambria"/>
          <w:sz w:val="16"/>
          <w:szCs w:val="16"/>
          <w:lang w:val="es-CO"/>
        </w:rPr>
        <w:t xml:space="preserve"> </w:t>
      </w:r>
    </w:p>
  </w:footnote>
  <w:footnote w:id="31">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002B304E">
        <w:rPr>
          <w:rFonts w:ascii="Cambria" w:hAnsi="Cambria"/>
          <w:sz w:val="16"/>
          <w:szCs w:val="16"/>
          <w:lang w:val="es-CO"/>
        </w:rPr>
        <w:t xml:space="preserve"> Anexo 27</w:t>
      </w:r>
      <w:r w:rsidRPr="00573462">
        <w:rPr>
          <w:rFonts w:ascii="Cambria" w:hAnsi="Cambria"/>
          <w:sz w:val="16"/>
          <w:szCs w:val="16"/>
          <w:lang w:val="es-CO"/>
        </w:rPr>
        <w:t>. Voto razonado del juez Castillo La Rosa Sánchez frente a la decisión de la Sala de Derechos Constitucional y Social de la Corte Suprema de Justicia frente al recurso de nulidad interpuesto por la señora Moya Solís. Anexo 24 al escrito de la parte peticionaria del 21 de marzo de</w:t>
      </w:r>
      <w:r w:rsidR="00854A79" w:rsidRPr="00573462">
        <w:rPr>
          <w:rFonts w:ascii="Cambria" w:hAnsi="Cambria"/>
          <w:sz w:val="16"/>
          <w:szCs w:val="16"/>
          <w:lang w:val="es-CO"/>
        </w:rPr>
        <w:t>l 2000.</w:t>
      </w:r>
    </w:p>
  </w:footnote>
  <w:footnote w:id="32">
    <w:p w:rsidR="003B1566" w:rsidRPr="00573462" w:rsidRDefault="003B1566" w:rsidP="0049787C">
      <w:pPr>
        <w:pStyle w:val="FootnoteText"/>
        <w:jc w:val="both"/>
        <w:rPr>
          <w:rFonts w:ascii="Cambria" w:hAnsi="Cambria"/>
          <w:sz w:val="16"/>
          <w:szCs w:val="16"/>
          <w:lang w:val="es-ES"/>
        </w:rPr>
      </w:pPr>
      <w:r w:rsidRPr="00573462">
        <w:rPr>
          <w:rStyle w:val="FootnoteReference"/>
          <w:rFonts w:ascii="Cambria" w:hAnsi="Cambria"/>
          <w:sz w:val="16"/>
          <w:szCs w:val="16"/>
        </w:rPr>
        <w:footnoteRef/>
      </w:r>
      <w:r w:rsidRPr="00573462">
        <w:rPr>
          <w:rFonts w:ascii="Cambria" w:hAnsi="Cambria"/>
          <w:sz w:val="16"/>
          <w:szCs w:val="16"/>
          <w:lang w:val="es-ES"/>
        </w:rPr>
        <w:t xml:space="preserve"> CIDH, Informe No. 65/11, Caso 12.600, Fondo, Hugo Quintana Coello y otros “Magistrados de la Corte Suprema de Justicia”, Ecuador, 31 de marzo de 2011, párr. 102; Corte IDH. </w:t>
      </w:r>
      <w:hyperlink r:id="rId1" w:history="1">
        <w:r w:rsidRPr="00573462">
          <w:rPr>
            <w:rStyle w:val="Hyperlink"/>
            <w:rFonts w:ascii="Cambria" w:hAnsi="Cambria" w:cs="Arial"/>
            <w:color w:val="auto"/>
            <w:sz w:val="16"/>
            <w:szCs w:val="16"/>
            <w:u w:val="none"/>
            <w:shd w:val="clear" w:color="auto" w:fill="FFFFFF"/>
            <w:lang w:val="es-ES"/>
          </w:rPr>
          <w:t>Caso Baena Ricardo y otros Vs. Panamá. Fondo, Reparaciones y Costas. Sentencia de 2 de febrero de 2001. Serie C No. 72</w:t>
        </w:r>
      </w:hyperlink>
      <w:r w:rsidRPr="00573462">
        <w:rPr>
          <w:rFonts w:ascii="Cambria" w:hAnsi="Cambria"/>
          <w:sz w:val="16"/>
          <w:szCs w:val="16"/>
          <w:lang w:val="es-ES"/>
        </w:rPr>
        <w:t xml:space="preserve">, </w:t>
      </w:r>
      <w:proofErr w:type="spellStart"/>
      <w:r w:rsidRPr="00573462">
        <w:rPr>
          <w:rFonts w:ascii="Cambria" w:hAnsi="Cambria"/>
          <w:sz w:val="16"/>
          <w:szCs w:val="16"/>
          <w:lang w:val="es-ES"/>
        </w:rPr>
        <w:t>párrs</w:t>
      </w:r>
      <w:proofErr w:type="spellEnd"/>
      <w:r w:rsidRPr="00573462">
        <w:rPr>
          <w:rFonts w:ascii="Cambria" w:hAnsi="Cambria"/>
          <w:sz w:val="16"/>
          <w:szCs w:val="16"/>
          <w:lang w:val="es-ES"/>
        </w:rPr>
        <w:t xml:space="preserve">. 126-127; </w:t>
      </w:r>
      <w:hyperlink r:id="rId2" w:history="1">
        <w:r w:rsidRPr="00573462">
          <w:rPr>
            <w:rStyle w:val="Hyperlink"/>
            <w:rFonts w:ascii="Cambria" w:hAnsi="Cambria" w:cs="Arial"/>
            <w:color w:val="auto"/>
            <w:sz w:val="16"/>
            <w:szCs w:val="16"/>
            <w:u w:val="none"/>
            <w:shd w:val="clear" w:color="auto" w:fill="FFFFFF"/>
            <w:lang w:val="es-ES"/>
          </w:rPr>
          <w:t>Caso del Tribunal Constitucional Vs. Perú. Fondo, Reparaciones y Costas. Sentencia de 31 de enero de 2001. Serie C No. 71</w:t>
        </w:r>
      </w:hyperlink>
      <w:r w:rsidRPr="00573462">
        <w:rPr>
          <w:rFonts w:ascii="Cambria" w:hAnsi="Cambria"/>
          <w:sz w:val="16"/>
          <w:szCs w:val="16"/>
          <w:lang w:val="es-ES"/>
        </w:rPr>
        <w:t xml:space="preserve">, </w:t>
      </w:r>
      <w:proofErr w:type="spellStart"/>
      <w:r w:rsidRPr="00573462">
        <w:rPr>
          <w:rFonts w:ascii="Cambria" w:hAnsi="Cambria"/>
          <w:sz w:val="16"/>
          <w:szCs w:val="16"/>
          <w:lang w:val="es-ES"/>
        </w:rPr>
        <w:t>párrs</w:t>
      </w:r>
      <w:proofErr w:type="spellEnd"/>
      <w:r w:rsidRPr="00573462">
        <w:rPr>
          <w:rFonts w:ascii="Cambria" w:hAnsi="Cambria"/>
          <w:sz w:val="16"/>
          <w:szCs w:val="16"/>
          <w:lang w:val="es-ES"/>
        </w:rPr>
        <w:t xml:space="preserve">. 69-70; y </w:t>
      </w:r>
      <w:hyperlink r:id="rId3" w:history="1">
        <w:r w:rsidRPr="00573462">
          <w:rPr>
            <w:rStyle w:val="Hyperlink"/>
            <w:rFonts w:ascii="Cambria" w:hAnsi="Cambria" w:cs="Arial"/>
            <w:color w:val="auto"/>
            <w:sz w:val="16"/>
            <w:szCs w:val="16"/>
            <w:u w:val="none"/>
            <w:shd w:val="clear" w:color="auto" w:fill="FFFFFF"/>
            <w:lang w:val="es-ES"/>
          </w:rPr>
          <w:t>Caso López Mendoza Vs. Venezuela. Fondo Reparaciones y Costas. Sentencia de 1 de septiembre de 2011 Serie C No. 233</w:t>
        </w:r>
      </w:hyperlink>
      <w:r w:rsidRPr="00573462">
        <w:rPr>
          <w:rFonts w:ascii="Cambria" w:hAnsi="Cambria"/>
          <w:sz w:val="16"/>
          <w:szCs w:val="16"/>
          <w:lang w:val="es-ES"/>
        </w:rPr>
        <w:t xml:space="preserve">, párr. 111. </w:t>
      </w:r>
    </w:p>
  </w:footnote>
  <w:footnote w:id="33">
    <w:p w:rsidR="003B1566" w:rsidRPr="00573462" w:rsidRDefault="003B1566" w:rsidP="0049787C">
      <w:pPr>
        <w:pStyle w:val="FootnoteText"/>
        <w:jc w:val="both"/>
        <w:rPr>
          <w:rFonts w:ascii="Cambria" w:hAnsi="Cambria"/>
          <w:sz w:val="16"/>
          <w:szCs w:val="16"/>
          <w:lang w:val="es-ES"/>
        </w:rPr>
      </w:pPr>
      <w:r w:rsidRPr="00573462">
        <w:rPr>
          <w:rStyle w:val="FootnoteReference"/>
          <w:rFonts w:ascii="Cambria" w:hAnsi="Cambria"/>
          <w:sz w:val="16"/>
          <w:szCs w:val="16"/>
        </w:rPr>
        <w:footnoteRef/>
      </w:r>
      <w:r w:rsidRPr="00573462">
        <w:rPr>
          <w:rFonts w:ascii="Cambria" w:hAnsi="Cambria"/>
          <w:sz w:val="16"/>
          <w:szCs w:val="16"/>
          <w:lang w:val="es-ES"/>
        </w:rPr>
        <w:t xml:space="preserve"> CIDH. El Acceso a la Justicia como Garantía de los Derechos Económicos, Sociales y Culturales. Estudio de los Estándares Fijados por el Sistema Interamericano de Derechos Humanos. </w:t>
      </w:r>
      <w:r w:rsidRPr="00573462">
        <w:rPr>
          <w:rFonts w:ascii="Cambria" w:hAnsi="Cambria"/>
          <w:sz w:val="16"/>
          <w:szCs w:val="16"/>
          <w:lang w:val="es-ES_tradnl"/>
        </w:rPr>
        <w:t>OEA/</w:t>
      </w:r>
      <w:proofErr w:type="spellStart"/>
      <w:r w:rsidRPr="00573462">
        <w:rPr>
          <w:rFonts w:ascii="Cambria" w:hAnsi="Cambria"/>
          <w:sz w:val="16"/>
          <w:szCs w:val="16"/>
          <w:lang w:val="es-ES_tradnl"/>
        </w:rPr>
        <w:t>Ser.L</w:t>
      </w:r>
      <w:proofErr w:type="spellEnd"/>
      <w:r w:rsidRPr="00573462">
        <w:rPr>
          <w:rFonts w:ascii="Cambria" w:hAnsi="Cambria"/>
          <w:sz w:val="16"/>
          <w:szCs w:val="16"/>
          <w:lang w:val="es-ES_tradnl"/>
        </w:rPr>
        <w:t xml:space="preserve">/V/II.129. 7 de septiembre de 2007, </w:t>
      </w:r>
      <w:proofErr w:type="spellStart"/>
      <w:r w:rsidRPr="00573462">
        <w:rPr>
          <w:rFonts w:ascii="Cambria" w:hAnsi="Cambria"/>
          <w:sz w:val="16"/>
          <w:szCs w:val="16"/>
          <w:lang w:val="es-ES_tradnl"/>
        </w:rPr>
        <w:t>párrs</w:t>
      </w:r>
      <w:proofErr w:type="spellEnd"/>
      <w:r w:rsidRPr="00573462">
        <w:rPr>
          <w:rFonts w:ascii="Cambria" w:hAnsi="Cambria"/>
          <w:sz w:val="16"/>
          <w:szCs w:val="16"/>
          <w:lang w:val="es-ES_tradnl"/>
        </w:rPr>
        <w:t xml:space="preserve">. 98-123; y Caso No. 12.828, Informe 112/12, Marcel </w:t>
      </w:r>
      <w:proofErr w:type="spellStart"/>
      <w:r w:rsidRPr="00573462">
        <w:rPr>
          <w:rFonts w:ascii="Cambria" w:hAnsi="Cambria"/>
          <w:sz w:val="16"/>
          <w:szCs w:val="16"/>
          <w:lang w:val="es-ES_tradnl"/>
        </w:rPr>
        <w:t>Granier</w:t>
      </w:r>
      <w:proofErr w:type="spellEnd"/>
      <w:r w:rsidRPr="00573462">
        <w:rPr>
          <w:rFonts w:ascii="Cambria" w:hAnsi="Cambria"/>
          <w:sz w:val="16"/>
          <w:szCs w:val="16"/>
          <w:lang w:val="es-ES_tradnl"/>
        </w:rPr>
        <w:t xml:space="preserve"> y otros, Venezuela, Fondo, 9 de noviembre de 2012, párr. 188; </w:t>
      </w:r>
      <w:r w:rsidRPr="00573462">
        <w:rPr>
          <w:rFonts w:ascii="Cambria" w:hAnsi="Cambria"/>
          <w:sz w:val="16"/>
          <w:szCs w:val="16"/>
          <w:lang w:val="es-ES"/>
        </w:rPr>
        <w:t xml:space="preserve">Corte IDH. </w:t>
      </w:r>
      <w:hyperlink r:id="rId4" w:history="1">
        <w:r w:rsidRPr="00573462">
          <w:rPr>
            <w:rStyle w:val="Hyperlink"/>
            <w:rFonts w:ascii="Cambria" w:hAnsi="Cambria" w:cs="Arial"/>
            <w:color w:val="auto"/>
            <w:sz w:val="16"/>
            <w:szCs w:val="16"/>
            <w:u w:val="none"/>
            <w:shd w:val="clear" w:color="auto" w:fill="FFFFFF"/>
            <w:lang w:val="es-ES"/>
          </w:rPr>
          <w:t>Caso Baena Ricardo y otros Vs. Panamá. Fondo, Reparaciones y Costas. Sentencia de 2 de febrero de 2001. Serie C No. 72</w:t>
        </w:r>
      </w:hyperlink>
      <w:r w:rsidRPr="00573462">
        <w:rPr>
          <w:rFonts w:ascii="Cambria" w:hAnsi="Cambria"/>
          <w:sz w:val="16"/>
          <w:szCs w:val="16"/>
          <w:lang w:val="es-ES"/>
        </w:rPr>
        <w:t xml:space="preserve">, </w:t>
      </w:r>
      <w:proofErr w:type="spellStart"/>
      <w:r w:rsidRPr="00573462">
        <w:rPr>
          <w:rFonts w:ascii="Cambria" w:hAnsi="Cambria"/>
          <w:sz w:val="16"/>
          <w:szCs w:val="16"/>
          <w:lang w:val="es-ES"/>
        </w:rPr>
        <w:t>párrs</w:t>
      </w:r>
      <w:proofErr w:type="spellEnd"/>
      <w:r w:rsidRPr="00573462">
        <w:rPr>
          <w:rFonts w:ascii="Cambria" w:hAnsi="Cambria"/>
          <w:sz w:val="16"/>
          <w:szCs w:val="16"/>
          <w:lang w:val="es-ES"/>
        </w:rPr>
        <w:t>. 126-127.</w:t>
      </w:r>
    </w:p>
  </w:footnote>
  <w:footnote w:id="34">
    <w:p w:rsidR="003B1566" w:rsidRPr="00573462" w:rsidRDefault="003B1566" w:rsidP="0049787C">
      <w:pPr>
        <w:pStyle w:val="FootnoteText"/>
        <w:tabs>
          <w:tab w:val="num" w:pos="0"/>
        </w:tabs>
        <w:jc w:val="both"/>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CIDH, Informe No 99/11, Caso 12.597,  Informe de Fondo, Miguel Camba Campos y otros “Vocales del Tribunal Constitucional”, Ecuador, 22 de julio de 2011, párr.94;Corte IDH, Caso López </w:t>
      </w:r>
      <w:proofErr w:type="spellStart"/>
      <w:r w:rsidRPr="00573462">
        <w:rPr>
          <w:rFonts w:ascii="Cambria" w:hAnsi="Cambria"/>
          <w:sz w:val="16"/>
          <w:szCs w:val="16"/>
          <w:lang w:val="es-VE"/>
        </w:rPr>
        <w:t>Lone</w:t>
      </w:r>
      <w:proofErr w:type="spellEnd"/>
      <w:r w:rsidRPr="00573462">
        <w:rPr>
          <w:rFonts w:ascii="Cambria" w:hAnsi="Cambria"/>
          <w:sz w:val="16"/>
          <w:szCs w:val="16"/>
          <w:lang w:val="es-VE"/>
        </w:rPr>
        <w:t xml:space="preserve"> y otros Vs. </w:t>
      </w:r>
      <w:r w:rsidRPr="00573462">
        <w:rPr>
          <w:rFonts w:ascii="Cambria" w:hAnsi="Cambria"/>
          <w:sz w:val="16"/>
          <w:szCs w:val="16"/>
          <w:lang w:val="es-CO"/>
        </w:rPr>
        <w:t xml:space="preserve">Honduras. </w:t>
      </w:r>
      <w:r w:rsidRPr="00573462">
        <w:rPr>
          <w:rFonts w:ascii="Cambria" w:hAnsi="Cambria"/>
          <w:sz w:val="16"/>
          <w:szCs w:val="16"/>
          <w:lang w:val="es-VE"/>
        </w:rPr>
        <w:t xml:space="preserve">Excepción Preliminar, Fondo, Reparaciones y Costas. Sentencia de 05 de octubre de 2015. Serie C No. 302, párr. 257 y Caso Maldonado Ordoñez Vs. </w:t>
      </w:r>
      <w:r w:rsidRPr="00573462">
        <w:rPr>
          <w:rFonts w:ascii="Cambria" w:hAnsi="Cambria"/>
          <w:sz w:val="16"/>
          <w:szCs w:val="16"/>
          <w:lang w:val="es-CO"/>
        </w:rPr>
        <w:t xml:space="preserve">Guatemala. </w:t>
      </w:r>
      <w:r w:rsidRPr="00573462">
        <w:rPr>
          <w:rFonts w:ascii="Cambria" w:hAnsi="Cambria"/>
          <w:sz w:val="16"/>
          <w:szCs w:val="16"/>
          <w:lang w:val="es-VE"/>
        </w:rPr>
        <w:t xml:space="preserve">Excepción Preliminar, Fondo, Reparaciones y Costas. Sentencia de 3 de mayo de 2016. Serie C No. 311, párr. 89. </w:t>
      </w:r>
      <w:r w:rsidRPr="00573462">
        <w:rPr>
          <w:rFonts w:ascii="Cambria" w:hAnsi="Cambria"/>
          <w:sz w:val="16"/>
          <w:szCs w:val="16"/>
          <w:lang w:val="es-US"/>
        </w:rPr>
        <w:t xml:space="preserve">Corte IDH. </w:t>
      </w:r>
      <w:r w:rsidRPr="00573462">
        <w:rPr>
          <w:rFonts w:ascii="Cambria" w:hAnsi="Cambria"/>
          <w:bCs/>
          <w:sz w:val="16"/>
          <w:szCs w:val="16"/>
          <w:lang w:val="es-AR"/>
        </w:rPr>
        <w:t xml:space="preserve">Caso Baena Ricardo y otros Vs. Panamá. </w:t>
      </w:r>
      <w:r w:rsidRPr="00573462">
        <w:rPr>
          <w:rFonts w:ascii="Cambria" w:hAnsi="Cambria"/>
          <w:sz w:val="16"/>
          <w:szCs w:val="16"/>
          <w:lang w:val="es-AR"/>
        </w:rPr>
        <w:t xml:space="preserve">Fondo, Reparaciones y Costas. Sentencia de 2 de febrero de 2001. Serie C No. 72, </w:t>
      </w:r>
      <w:proofErr w:type="spellStart"/>
      <w:r w:rsidRPr="00573462">
        <w:rPr>
          <w:rFonts w:ascii="Cambria" w:hAnsi="Cambria"/>
          <w:sz w:val="16"/>
          <w:szCs w:val="16"/>
          <w:lang w:val="es-AR"/>
        </w:rPr>
        <w:t>párrs</w:t>
      </w:r>
      <w:proofErr w:type="spellEnd"/>
      <w:r w:rsidRPr="00573462">
        <w:rPr>
          <w:rFonts w:ascii="Cambria" w:hAnsi="Cambria"/>
          <w:sz w:val="16"/>
          <w:szCs w:val="16"/>
          <w:lang w:val="es-AR"/>
        </w:rPr>
        <w:t>. 106 y 108.</w:t>
      </w:r>
    </w:p>
  </w:footnote>
  <w:footnote w:id="35">
    <w:p w:rsidR="003B1566" w:rsidRPr="00573462" w:rsidRDefault="003B1566" w:rsidP="0049787C">
      <w:pPr>
        <w:pStyle w:val="FootnoteText"/>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El artículo 8.2 b se refiere a la comunicación previa y detallada al inculpado de la acusación formulada. </w:t>
      </w:r>
    </w:p>
  </w:footnote>
  <w:footnote w:id="36">
    <w:p w:rsidR="003B1566" w:rsidRPr="00573462" w:rsidRDefault="003B1566" w:rsidP="0049787C">
      <w:pPr>
        <w:pStyle w:val="FootnoteText"/>
        <w:contextualSpacing/>
        <w:jc w:val="both"/>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El artículo 8.2 c se refiere a la concesión al inculpado del tiempo y de los medios adecuados para la preparación de su defensa. </w:t>
      </w:r>
    </w:p>
  </w:footnote>
  <w:footnote w:id="37">
    <w:p w:rsidR="003B1566" w:rsidRPr="00573462" w:rsidRDefault="003B1566" w:rsidP="0049787C">
      <w:pPr>
        <w:spacing w:after="0" w:line="240" w:lineRule="auto"/>
        <w:jc w:val="both"/>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Comisión Interamericana de Derechos Humanos, Demanda ante la Corte Interamericana de Derechos Humanos, Oscar Barreto Leiva, Caso 11.663, contra la República Bolivariana de Venezuela, párr. 78; </w:t>
      </w:r>
      <w:r w:rsidRPr="00573462">
        <w:rPr>
          <w:rFonts w:ascii="Cambria" w:hAnsi="Cambria" w:cs="Times"/>
          <w:sz w:val="16"/>
          <w:szCs w:val="16"/>
          <w:lang w:val="it-IT"/>
        </w:rPr>
        <w:t xml:space="preserve">Corte IDH, </w:t>
      </w:r>
      <w:r w:rsidRPr="00573462">
        <w:rPr>
          <w:rFonts w:ascii="Cambria" w:hAnsi="Cambria" w:cs="Times"/>
          <w:iCs/>
          <w:sz w:val="16"/>
          <w:szCs w:val="16"/>
          <w:lang w:val="it-IT"/>
        </w:rPr>
        <w:t>Caso</w:t>
      </w:r>
      <w:r w:rsidRPr="00573462">
        <w:rPr>
          <w:rFonts w:ascii="Cambria" w:hAnsi="Cambria" w:cs="Times"/>
          <w:sz w:val="16"/>
          <w:szCs w:val="16"/>
          <w:lang w:val="it-IT"/>
        </w:rPr>
        <w:t xml:space="preserve"> </w:t>
      </w:r>
      <w:r w:rsidRPr="00573462">
        <w:rPr>
          <w:rFonts w:ascii="Cambria" w:hAnsi="Cambria" w:cs="Times"/>
          <w:iCs/>
          <w:sz w:val="16"/>
          <w:szCs w:val="16"/>
          <w:lang w:val="it-IT"/>
        </w:rPr>
        <w:t>López Álvarez</w:t>
      </w:r>
      <w:r w:rsidRPr="00573462">
        <w:rPr>
          <w:rFonts w:ascii="Cambria" w:hAnsi="Cambria" w:cs="Times"/>
          <w:sz w:val="16"/>
          <w:szCs w:val="16"/>
          <w:lang w:val="it-IT"/>
        </w:rPr>
        <w:t>. Sentencia de 1 de febrero de 2006. Serie C No. 141,</w:t>
      </w:r>
      <w:r w:rsidRPr="00573462">
        <w:rPr>
          <w:rFonts w:ascii="Cambria" w:hAnsi="Cambria"/>
          <w:sz w:val="16"/>
          <w:szCs w:val="16"/>
          <w:lang w:val="it-IT"/>
        </w:rPr>
        <w:t xml:space="preserve"> párr. 149; </w:t>
      </w:r>
      <w:r w:rsidRPr="00573462">
        <w:rPr>
          <w:rFonts w:ascii="Cambria" w:hAnsi="Cambria" w:cs="Times"/>
          <w:sz w:val="16"/>
          <w:szCs w:val="16"/>
          <w:lang w:val="it-IT"/>
        </w:rPr>
        <w:t xml:space="preserve">Corte IDH, </w:t>
      </w:r>
      <w:r w:rsidRPr="00573462">
        <w:rPr>
          <w:rFonts w:ascii="Cambria" w:hAnsi="Cambria" w:cs="Times"/>
          <w:iCs/>
          <w:sz w:val="16"/>
          <w:szCs w:val="16"/>
          <w:lang w:val="it-IT"/>
        </w:rPr>
        <w:t>Caso Palamara Iribarne</w:t>
      </w:r>
      <w:r w:rsidRPr="00573462">
        <w:rPr>
          <w:rFonts w:ascii="Cambria" w:hAnsi="Cambria" w:cs="Times"/>
          <w:sz w:val="16"/>
          <w:szCs w:val="16"/>
          <w:lang w:val="it-IT"/>
        </w:rPr>
        <w:t xml:space="preserve">. Sentencia de 22 de noviembre de 2005. Serie C No. 135, </w:t>
      </w:r>
      <w:r w:rsidRPr="00573462">
        <w:rPr>
          <w:rFonts w:ascii="Cambria" w:hAnsi="Cambria"/>
          <w:sz w:val="16"/>
          <w:szCs w:val="16"/>
          <w:lang w:val="it-IT"/>
        </w:rPr>
        <w:t xml:space="preserve">párr. </w:t>
      </w:r>
      <w:r w:rsidRPr="00573462">
        <w:rPr>
          <w:rFonts w:ascii="Cambria" w:hAnsi="Cambria"/>
          <w:sz w:val="16"/>
          <w:szCs w:val="16"/>
          <w:lang w:val="es-VE"/>
        </w:rPr>
        <w:t xml:space="preserve">225; </w:t>
      </w:r>
      <w:r w:rsidRPr="00573462">
        <w:rPr>
          <w:rFonts w:ascii="Cambria" w:hAnsi="Cambria" w:cs="Times"/>
          <w:sz w:val="16"/>
          <w:szCs w:val="16"/>
          <w:lang w:val="es-VE"/>
        </w:rPr>
        <w:t xml:space="preserve">Corte IDH, </w:t>
      </w:r>
      <w:r w:rsidRPr="00573462">
        <w:rPr>
          <w:rFonts w:ascii="Cambria" w:hAnsi="Cambria" w:cs="Times"/>
          <w:iCs/>
          <w:sz w:val="16"/>
          <w:szCs w:val="16"/>
          <w:lang w:val="es-VE"/>
        </w:rPr>
        <w:t>Caso Acosta Calderón</w:t>
      </w:r>
      <w:r w:rsidRPr="00573462">
        <w:rPr>
          <w:rFonts w:ascii="Cambria" w:hAnsi="Cambria" w:cs="Times"/>
          <w:sz w:val="16"/>
          <w:szCs w:val="16"/>
          <w:lang w:val="es-VE"/>
        </w:rPr>
        <w:t xml:space="preserve">.  Sentencia de 24 de junio de 2005. </w:t>
      </w:r>
      <w:r w:rsidRPr="00573462">
        <w:rPr>
          <w:rFonts w:ascii="Cambria" w:hAnsi="Cambria" w:cs="Times"/>
          <w:sz w:val="16"/>
          <w:szCs w:val="16"/>
          <w:lang w:val="es-ES_tradnl"/>
        </w:rPr>
        <w:t xml:space="preserve">Serie C No. 129, </w:t>
      </w:r>
      <w:r w:rsidRPr="00573462">
        <w:rPr>
          <w:rFonts w:ascii="Cambria" w:hAnsi="Cambria"/>
          <w:sz w:val="16"/>
          <w:szCs w:val="16"/>
          <w:lang w:val="es-ES_tradnl"/>
        </w:rPr>
        <w:t xml:space="preserve">párr. 118; y </w:t>
      </w:r>
      <w:r w:rsidRPr="00573462">
        <w:rPr>
          <w:rFonts w:ascii="Cambria" w:hAnsi="Cambria" w:cs="Times"/>
          <w:sz w:val="16"/>
          <w:szCs w:val="16"/>
          <w:lang w:val="es-VE"/>
        </w:rPr>
        <w:t xml:space="preserve">Corte IDH, </w:t>
      </w:r>
      <w:r w:rsidRPr="00573462">
        <w:rPr>
          <w:rFonts w:ascii="Cambria" w:hAnsi="Cambria" w:cs="Times"/>
          <w:iCs/>
          <w:sz w:val="16"/>
          <w:szCs w:val="16"/>
          <w:lang w:val="es-ES_tradnl"/>
        </w:rPr>
        <w:t>Caso Tibi</w:t>
      </w:r>
      <w:r w:rsidRPr="00573462">
        <w:rPr>
          <w:rFonts w:ascii="Cambria" w:hAnsi="Cambria" w:cs="Times"/>
          <w:sz w:val="16"/>
          <w:szCs w:val="16"/>
          <w:lang w:val="es-ES_tradnl"/>
        </w:rPr>
        <w:t xml:space="preserve">.  Sentencia de 7 de septiembre de 2004.  </w:t>
      </w:r>
      <w:r w:rsidRPr="00573462">
        <w:rPr>
          <w:rFonts w:ascii="Cambria" w:hAnsi="Cambria" w:cs="Times"/>
          <w:sz w:val="16"/>
          <w:szCs w:val="16"/>
          <w:lang w:val="es-VE"/>
        </w:rPr>
        <w:t xml:space="preserve">Serie C No. 114, </w:t>
      </w:r>
      <w:r w:rsidRPr="00573462">
        <w:rPr>
          <w:rFonts w:ascii="Cambria" w:hAnsi="Cambria"/>
          <w:sz w:val="16"/>
          <w:szCs w:val="16"/>
          <w:lang w:val="es-VE"/>
        </w:rPr>
        <w:t>párr. 187.</w:t>
      </w:r>
    </w:p>
  </w:footnote>
  <w:footnote w:id="38">
    <w:p w:rsidR="003B1566" w:rsidRPr="00E03BC0" w:rsidRDefault="003B1566" w:rsidP="0049787C">
      <w:pPr>
        <w:pStyle w:val="FootnoteText"/>
        <w:jc w:val="both"/>
        <w:rPr>
          <w:rFonts w:ascii="Cambria" w:hAnsi="Cambria"/>
          <w:sz w:val="16"/>
          <w:szCs w:val="16"/>
          <w:lang w:val="es-VE"/>
        </w:rPr>
      </w:pPr>
      <w:r w:rsidRPr="00E03BC0">
        <w:rPr>
          <w:rStyle w:val="FootnoteReference"/>
          <w:rFonts w:ascii="Cambria" w:hAnsi="Cambria"/>
          <w:sz w:val="16"/>
          <w:szCs w:val="16"/>
        </w:rPr>
        <w:footnoteRef/>
      </w:r>
      <w:r w:rsidRPr="00E03BC0">
        <w:rPr>
          <w:rFonts w:ascii="Cambria" w:hAnsi="Cambria"/>
          <w:sz w:val="16"/>
          <w:szCs w:val="16"/>
          <w:lang w:val="es-VE"/>
        </w:rPr>
        <w:t xml:space="preserve"> Corte IDH. Caso Barreto Leiva, Fondo, Reparaciones y Costas. Sentencia de 17 de noviembre de 2009. Serie C no. 206, párr. 28.</w:t>
      </w:r>
    </w:p>
  </w:footnote>
  <w:footnote w:id="39">
    <w:p w:rsidR="003B1566" w:rsidRPr="00E03BC0" w:rsidRDefault="003B1566" w:rsidP="0049787C">
      <w:pPr>
        <w:pStyle w:val="FootnoteText"/>
        <w:jc w:val="both"/>
        <w:rPr>
          <w:rFonts w:ascii="Cambria" w:hAnsi="Cambria"/>
          <w:sz w:val="16"/>
          <w:szCs w:val="16"/>
          <w:lang w:val="es-VE"/>
        </w:rPr>
      </w:pPr>
      <w:r w:rsidRPr="00E03BC0">
        <w:rPr>
          <w:rStyle w:val="FootnoteReference"/>
          <w:rFonts w:ascii="Cambria" w:hAnsi="Cambria"/>
          <w:sz w:val="16"/>
          <w:szCs w:val="16"/>
        </w:rPr>
        <w:footnoteRef/>
      </w:r>
      <w:r w:rsidRPr="00E03BC0">
        <w:rPr>
          <w:rFonts w:ascii="Cambria" w:hAnsi="Cambria"/>
          <w:sz w:val="16"/>
          <w:szCs w:val="16"/>
          <w:lang w:val="es-VE"/>
        </w:rPr>
        <w:t xml:space="preserve"> Corte IDH. Caso Barreto Leiva, Fondo, Reparaciones y Costas. Sentencia de 17 de noviembre de 2009. Serie C no. 206, párr. 47.</w:t>
      </w:r>
    </w:p>
  </w:footnote>
  <w:footnote w:id="40">
    <w:p w:rsidR="003B1566" w:rsidRPr="00E03BC0" w:rsidRDefault="003B1566" w:rsidP="0049787C">
      <w:pPr>
        <w:pStyle w:val="FootnoteText"/>
        <w:jc w:val="both"/>
        <w:rPr>
          <w:rFonts w:ascii="Cambria" w:hAnsi="Cambria"/>
          <w:sz w:val="16"/>
          <w:szCs w:val="16"/>
          <w:lang w:val="es-VE"/>
        </w:rPr>
      </w:pPr>
      <w:r w:rsidRPr="00E03BC0">
        <w:rPr>
          <w:rStyle w:val="FootnoteReference"/>
          <w:rFonts w:ascii="Cambria" w:hAnsi="Cambria"/>
          <w:sz w:val="16"/>
          <w:szCs w:val="16"/>
        </w:rPr>
        <w:footnoteRef/>
      </w:r>
      <w:r w:rsidRPr="00E03BC0">
        <w:rPr>
          <w:rFonts w:ascii="Cambria" w:hAnsi="Cambria"/>
          <w:sz w:val="16"/>
          <w:szCs w:val="16"/>
          <w:lang w:val="es-VE"/>
        </w:rPr>
        <w:t>Corte IDH. Caso Barreto Leiva vs. Venezuela. Fondo, Reparaciones y Costas. Sentencia de 17 de noviembre de 2009, Serie C No. 206, Párr.29.</w:t>
      </w:r>
    </w:p>
  </w:footnote>
  <w:footnote w:id="41">
    <w:p w:rsidR="003B1566" w:rsidRPr="00E03BC0" w:rsidRDefault="003B1566" w:rsidP="0049787C">
      <w:pPr>
        <w:pStyle w:val="FootnoteText"/>
        <w:jc w:val="both"/>
        <w:rPr>
          <w:rFonts w:ascii="Cambria" w:hAnsi="Cambria"/>
          <w:sz w:val="16"/>
          <w:szCs w:val="16"/>
          <w:lang w:val="es-CO"/>
        </w:rPr>
      </w:pPr>
      <w:r w:rsidRPr="00E03BC0">
        <w:rPr>
          <w:rStyle w:val="FootnoteReference"/>
          <w:rFonts w:ascii="Cambria" w:hAnsi="Cambria"/>
          <w:sz w:val="16"/>
          <w:szCs w:val="16"/>
        </w:rPr>
        <w:footnoteRef/>
      </w:r>
      <w:r w:rsidRPr="00E03BC0">
        <w:rPr>
          <w:rFonts w:ascii="Cambria" w:hAnsi="Cambria"/>
          <w:sz w:val="16"/>
          <w:szCs w:val="16"/>
          <w:lang w:val="es-CO"/>
        </w:rPr>
        <w:t xml:space="preserve"> Corte IDH. Caso </w:t>
      </w:r>
      <w:proofErr w:type="spellStart"/>
      <w:r w:rsidRPr="00E03BC0">
        <w:rPr>
          <w:rFonts w:ascii="Cambria" w:hAnsi="Cambria"/>
          <w:sz w:val="16"/>
          <w:szCs w:val="16"/>
          <w:lang w:val="es-CO"/>
        </w:rPr>
        <w:t>Bulacio</w:t>
      </w:r>
      <w:proofErr w:type="spellEnd"/>
      <w:r w:rsidRPr="00E03BC0">
        <w:rPr>
          <w:rFonts w:ascii="Cambria" w:hAnsi="Cambria"/>
          <w:sz w:val="16"/>
          <w:szCs w:val="16"/>
          <w:lang w:val="es-CO"/>
        </w:rPr>
        <w:t xml:space="preserve"> vs. Argentina. </w:t>
      </w:r>
      <w:r w:rsidRPr="00E03BC0">
        <w:rPr>
          <w:rFonts w:ascii="Cambria" w:hAnsi="Cambria"/>
          <w:sz w:val="16"/>
          <w:szCs w:val="16"/>
          <w:lang w:val="es-VE"/>
        </w:rPr>
        <w:t xml:space="preserve">Fondo, Reparaciones y Costas. Sentencia de 18 de septiembre de 2003. </w:t>
      </w:r>
      <w:r w:rsidRPr="00E03BC0">
        <w:rPr>
          <w:rFonts w:ascii="Cambria" w:hAnsi="Cambria"/>
          <w:sz w:val="16"/>
          <w:szCs w:val="16"/>
          <w:lang w:val="es-CO"/>
        </w:rPr>
        <w:t>Serie C No. 100, párr.32.</w:t>
      </w:r>
    </w:p>
  </w:footnote>
  <w:footnote w:id="42">
    <w:p w:rsidR="003B1566" w:rsidRPr="00E03BC0" w:rsidRDefault="003B1566" w:rsidP="0049787C">
      <w:pPr>
        <w:pStyle w:val="FootnoteText"/>
        <w:jc w:val="both"/>
        <w:rPr>
          <w:rFonts w:ascii="Cambria" w:hAnsi="Cambria"/>
          <w:sz w:val="16"/>
          <w:szCs w:val="16"/>
          <w:lang w:val="es-VE"/>
        </w:rPr>
      </w:pPr>
      <w:r w:rsidRPr="00E03BC0">
        <w:rPr>
          <w:rStyle w:val="FootnoteReference"/>
          <w:rFonts w:ascii="Cambria" w:hAnsi="Cambria"/>
          <w:sz w:val="16"/>
          <w:szCs w:val="16"/>
        </w:rPr>
        <w:footnoteRef/>
      </w:r>
      <w:r w:rsidRPr="00E03BC0">
        <w:rPr>
          <w:rFonts w:ascii="Cambria" w:hAnsi="Cambria"/>
          <w:sz w:val="16"/>
          <w:szCs w:val="16"/>
          <w:lang w:val="es-CO"/>
        </w:rPr>
        <w:t xml:space="preserve"> Ver Corte IDH. Caso Barreto Leiva vs. Venezuela. </w:t>
      </w:r>
      <w:r w:rsidRPr="00E03BC0">
        <w:rPr>
          <w:rFonts w:ascii="Cambria" w:hAnsi="Cambria"/>
          <w:sz w:val="16"/>
          <w:szCs w:val="16"/>
          <w:lang w:val="es-VE"/>
        </w:rPr>
        <w:t>Fondo, Reparaciones y Costas. Sentencia de 17 de noviembre de 2009, Serie C No. 206, Párr.29; Corte IDH. Caso Suárez Rosero vs. Ecuador. Fondo. Sentencia de 12 de noviembre de 1997. Serie C No. 35, párr.83.</w:t>
      </w:r>
    </w:p>
  </w:footnote>
  <w:footnote w:id="43">
    <w:p w:rsidR="003B1566" w:rsidRPr="00E03BC0" w:rsidRDefault="003B1566" w:rsidP="0049787C">
      <w:pPr>
        <w:pStyle w:val="FootnoteText"/>
        <w:jc w:val="both"/>
        <w:rPr>
          <w:rFonts w:ascii="Cambria" w:hAnsi="Cambria"/>
          <w:color w:val="auto"/>
          <w:sz w:val="16"/>
          <w:szCs w:val="16"/>
          <w:lang w:val="es-US"/>
        </w:rPr>
      </w:pPr>
      <w:r w:rsidRPr="00E03BC0">
        <w:rPr>
          <w:rStyle w:val="FootnoteReference"/>
          <w:rFonts w:ascii="Cambria" w:hAnsi="Cambria"/>
          <w:color w:val="auto"/>
          <w:sz w:val="16"/>
          <w:szCs w:val="16"/>
        </w:rPr>
        <w:footnoteRef/>
      </w:r>
      <w:r w:rsidRPr="00E03BC0">
        <w:rPr>
          <w:rFonts w:ascii="Cambria" w:hAnsi="Cambria"/>
          <w:color w:val="auto"/>
          <w:sz w:val="16"/>
          <w:szCs w:val="16"/>
          <w:lang w:val="es-VE"/>
        </w:rPr>
        <w:t xml:space="preserve"> CIDH. Informe No. 136/11. Caso 12.474. Familia Pacheco Tineo. </w:t>
      </w:r>
      <w:r w:rsidRPr="00E03BC0">
        <w:rPr>
          <w:rFonts w:ascii="Cambria" w:hAnsi="Cambria"/>
          <w:color w:val="auto"/>
          <w:sz w:val="16"/>
          <w:szCs w:val="16"/>
          <w:lang w:val="es-US"/>
        </w:rPr>
        <w:t xml:space="preserve">Bolivia. 31 de octubre de 2011, párr. 118 citando CIDH. Informe No. 49/99. Caso 11.610. Loren </w:t>
      </w:r>
      <w:proofErr w:type="spellStart"/>
      <w:r w:rsidRPr="00E03BC0">
        <w:rPr>
          <w:rFonts w:ascii="Cambria" w:hAnsi="Cambria"/>
          <w:color w:val="auto"/>
          <w:sz w:val="16"/>
          <w:szCs w:val="16"/>
          <w:lang w:val="es-US"/>
        </w:rPr>
        <w:t>Laroye</w:t>
      </w:r>
      <w:proofErr w:type="spellEnd"/>
      <w:r w:rsidRPr="00E03BC0">
        <w:rPr>
          <w:rFonts w:ascii="Cambria" w:hAnsi="Cambria"/>
          <w:color w:val="auto"/>
          <w:sz w:val="16"/>
          <w:szCs w:val="16"/>
          <w:lang w:val="es-US"/>
        </w:rPr>
        <w:t xml:space="preserve"> </w:t>
      </w:r>
      <w:proofErr w:type="spellStart"/>
      <w:r w:rsidRPr="00E03BC0">
        <w:rPr>
          <w:rFonts w:ascii="Cambria" w:hAnsi="Cambria"/>
          <w:color w:val="auto"/>
          <w:sz w:val="16"/>
          <w:szCs w:val="16"/>
          <w:lang w:val="es-US"/>
        </w:rPr>
        <w:t>Riebe</w:t>
      </w:r>
      <w:proofErr w:type="spellEnd"/>
      <w:r w:rsidRPr="00E03BC0">
        <w:rPr>
          <w:rFonts w:ascii="Cambria" w:hAnsi="Cambria"/>
          <w:color w:val="auto"/>
          <w:sz w:val="16"/>
          <w:szCs w:val="16"/>
          <w:lang w:val="es-US"/>
        </w:rPr>
        <w:t xml:space="preserve"> </w:t>
      </w:r>
      <w:proofErr w:type="spellStart"/>
      <w:r w:rsidRPr="00E03BC0">
        <w:rPr>
          <w:rFonts w:ascii="Cambria" w:hAnsi="Cambria"/>
          <w:color w:val="auto"/>
          <w:sz w:val="16"/>
          <w:szCs w:val="16"/>
          <w:lang w:val="es-US"/>
        </w:rPr>
        <w:t>Star</w:t>
      </w:r>
      <w:proofErr w:type="spellEnd"/>
      <w:r w:rsidRPr="00E03BC0">
        <w:rPr>
          <w:rFonts w:ascii="Cambria" w:hAnsi="Cambria"/>
          <w:color w:val="auto"/>
          <w:sz w:val="16"/>
          <w:szCs w:val="16"/>
          <w:lang w:val="es-US"/>
        </w:rPr>
        <w:t xml:space="preserve">, Jorge Barón </w:t>
      </w:r>
      <w:proofErr w:type="spellStart"/>
      <w:r w:rsidRPr="00E03BC0">
        <w:rPr>
          <w:rFonts w:ascii="Cambria" w:hAnsi="Cambria"/>
          <w:color w:val="auto"/>
          <w:sz w:val="16"/>
          <w:szCs w:val="16"/>
          <w:lang w:val="es-US"/>
        </w:rPr>
        <w:t>Guttlein</w:t>
      </w:r>
      <w:proofErr w:type="spellEnd"/>
      <w:r w:rsidRPr="00E03BC0">
        <w:rPr>
          <w:rFonts w:ascii="Cambria" w:hAnsi="Cambria"/>
          <w:color w:val="auto"/>
          <w:sz w:val="16"/>
          <w:szCs w:val="16"/>
          <w:lang w:val="es-US"/>
        </w:rPr>
        <w:t xml:space="preserve"> y Rodolfo Izal </w:t>
      </w:r>
      <w:proofErr w:type="spellStart"/>
      <w:r w:rsidRPr="00E03BC0">
        <w:rPr>
          <w:rFonts w:ascii="Cambria" w:hAnsi="Cambria"/>
          <w:color w:val="auto"/>
          <w:sz w:val="16"/>
          <w:szCs w:val="16"/>
          <w:lang w:val="es-US"/>
        </w:rPr>
        <w:t>Elorz</w:t>
      </w:r>
      <w:proofErr w:type="spellEnd"/>
      <w:r w:rsidRPr="00E03BC0">
        <w:rPr>
          <w:rFonts w:ascii="Cambria" w:hAnsi="Cambria"/>
          <w:color w:val="auto"/>
          <w:sz w:val="16"/>
          <w:szCs w:val="16"/>
          <w:lang w:val="es-US"/>
        </w:rPr>
        <w:t xml:space="preserve">. México. 13 de abril de 1999. Párr. 60; CIDH. Informe No. 84/09. Caso 12.525. Nelson Iván Serrano Sáenz. Publicación. Ecuador. 6 de agosto de 2009. </w:t>
      </w:r>
      <w:proofErr w:type="spellStart"/>
      <w:r w:rsidRPr="00E03BC0">
        <w:rPr>
          <w:rFonts w:ascii="Cambria" w:hAnsi="Cambria"/>
          <w:color w:val="auto"/>
          <w:sz w:val="16"/>
          <w:szCs w:val="16"/>
          <w:lang w:val="es-US"/>
        </w:rPr>
        <w:t>Párrs</w:t>
      </w:r>
      <w:proofErr w:type="spellEnd"/>
      <w:r w:rsidRPr="00E03BC0">
        <w:rPr>
          <w:rFonts w:ascii="Cambria" w:hAnsi="Cambria"/>
          <w:color w:val="auto"/>
          <w:sz w:val="16"/>
          <w:szCs w:val="16"/>
          <w:lang w:val="es-US"/>
        </w:rPr>
        <w:t xml:space="preserve">. 61 y 62. </w:t>
      </w:r>
    </w:p>
  </w:footnote>
  <w:footnote w:id="44">
    <w:p w:rsidR="003B1566" w:rsidRPr="00E03BC0" w:rsidRDefault="003B1566" w:rsidP="0049787C">
      <w:pPr>
        <w:spacing w:after="0" w:line="240" w:lineRule="auto"/>
        <w:jc w:val="both"/>
        <w:rPr>
          <w:rFonts w:ascii="Cambria" w:hAnsi="Cambria"/>
          <w:sz w:val="16"/>
          <w:szCs w:val="16"/>
          <w:lang w:val="es-VE"/>
        </w:rPr>
      </w:pPr>
      <w:r w:rsidRPr="00E03BC0">
        <w:rPr>
          <w:rStyle w:val="FootnoteReference"/>
          <w:rFonts w:ascii="Cambria" w:hAnsi="Cambria"/>
          <w:sz w:val="16"/>
          <w:szCs w:val="16"/>
        </w:rPr>
        <w:footnoteRef/>
      </w:r>
      <w:r w:rsidRPr="00E03BC0">
        <w:rPr>
          <w:rFonts w:ascii="Cambria" w:hAnsi="Cambria"/>
          <w:sz w:val="16"/>
          <w:szCs w:val="16"/>
          <w:lang w:val="es-ES"/>
        </w:rPr>
        <w:t xml:space="preserve"> Corte IDH. Condición Jurídica y Derechos de los Migrantes Indocumentados. Opinión Consultiva OC-18/03 de 17 de septiembre  de 2003. Serie A No. 18. párr. </w:t>
      </w:r>
      <w:r w:rsidRPr="00E03BC0">
        <w:rPr>
          <w:rFonts w:ascii="Cambria" w:hAnsi="Cambria"/>
          <w:sz w:val="16"/>
          <w:szCs w:val="16"/>
          <w:lang w:val="es-VE"/>
        </w:rPr>
        <w:t>117.</w:t>
      </w:r>
    </w:p>
  </w:footnote>
  <w:footnote w:id="45">
    <w:p w:rsidR="00EE6B98" w:rsidRPr="00EE6B98" w:rsidRDefault="00EE6B98">
      <w:pPr>
        <w:pStyle w:val="FootnoteText"/>
        <w:rPr>
          <w:lang w:val="es-VE"/>
        </w:rPr>
      </w:pPr>
      <w:r w:rsidRPr="00E03BC0">
        <w:rPr>
          <w:rStyle w:val="FootnoteReference"/>
          <w:rFonts w:ascii="Cambria" w:hAnsi="Cambria"/>
          <w:sz w:val="16"/>
          <w:szCs w:val="16"/>
        </w:rPr>
        <w:footnoteRef/>
      </w:r>
      <w:r w:rsidRPr="00AD5338">
        <w:rPr>
          <w:rFonts w:ascii="Cambria" w:hAnsi="Cambria"/>
          <w:sz w:val="16"/>
          <w:szCs w:val="16"/>
          <w:lang w:val="es-ES"/>
        </w:rPr>
        <w:t xml:space="preserve"> Corte IDH. Caso Barreto Leiva vs. Venezuela. </w:t>
      </w:r>
      <w:r w:rsidRPr="00E03BC0">
        <w:rPr>
          <w:rFonts w:ascii="Cambria" w:hAnsi="Cambria"/>
          <w:sz w:val="16"/>
          <w:szCs w:val="16"/>
          <w:lang w:val="es-VE"/>
        </w:rPr>
        <w:t>Fondo, Reparaciones y Costas. Sentencia de 17 de noviembre de 2009, Serie C No. 206, Párr.29.</w:t>
      </w:r>
    </w:p>
  </w:footnote>
  <w:footnote w:id="46">
    <w:p w:rsidR="003B1566" w:rsidRPr="00573462" w:rsidRDefault="003B1566" w:rsidP="0049787C">
      <w:pPr>
        <w:pStyle w:val="FootnoteText"/>
        <w:rPr>
          <w:rFonts w:ascii="Cambria" w:hAnsi="Cambria"/>
          <w:sz w:val="16"/>
          <w:szCs w:val="16"/>
          <w:lang w:val="es-CO"/>
        </w:rPr>
      </w:pPr>
      <w:r w:rsidRPr="00573462">
        <w:rPr>
          <w:rStyle w:val="FootnoteReference"/>
          <w:rFonts w:ascii="Cambria" w:hAnsi="Cambria"/>
          <w:sz w:val="16"/>
          <w:szCs w:val="16"/>
        </w:rPr>
        <w:footnoteRef/>
      </w:r>
      <w:r w:rsidRPr="00573462">
        <w:rPr>
          <w:rFonts w:ascii="Cambria" w:hAnsi="Cambria"/>
          <w:sz w:val="16"/>
          <w:szCs w:val="16"/>
          <w:lang w:val="es-CO"/>
        </w:rPr>
        <w:t xml:space="preserve"> </w:t>
      </w:r>
      <w:r w:rsidRPr="00573462">
        <w:rPr>
          <w:rFonts w:ascii="Cambria" w:hAnsi="Cambria"/>
          <w:sz w:val="16"/>
          <w:szCs w:val="16"/>
          <w:lang w:val="es-VE"/>
        </w:rPr>
        <w:t xml:space="preserve">El artículo 8.1 de la Convención Americana establece que </w:t>
      </w:r>
      <w:r w:rsidRPr="00573462">
        <w:rPr>
          <w:rFonts w:ascii="Cambria" w:hAnsi="Cambria" w:cs="Tahoma"/>
          <w:sz w:val="16"/>
          <w:szCs w:val="16"/>
          <w:lang w:val="es-VE"/>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47">
    <w:p w:rsidR="003B1566" w:rsidRPr="00573462" w:rsidRDefault="003B1566" w:rsidP="0049787C">
      <w:pPr>
        <w:pStyle w:val="FootnoteText"/>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El artículo 9 de la Convención Americana establece que </w:t>
      </w:r>
      <w:r w:rsidRPr="00573462">
        <w:rPr>
          <w:rFonts w:ascii="Cambria" w:hAnsi="Cambria" w:cs="Tahoma"/>
          <w:sz w:val="16"/>
          <w:szCs w:val="16"/>
          <w:lang w:val="es-VE"/>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footnote>
  <w:footnote w:id="48">
    <w:p w:rsidR="003B1566" w:rsidRPr="00573462" w:rsidRDefault="003B1566" w:rsidP="0049787C">
      <w:pPr>
        <w:spacing w:after="0" w:line="240" w:lineRule="auto"/>
        <w:jc w:val="both"/>
        <w:rPr>
          <w:rFonts w:ascii="Cambria" w:hAnsi="Cambria"/>
          <w:sz w:val="16"/>
          <w:szCs w:val="16"/>
        </w:rPr>
      </w:pPr>
      <w:r w:rsidRPr="00573462">
        <w:rPr>
          <w:rStyle w:val="FootnoteReference"/>
          <w:rFonts w:ascii="Cambria" w:hAnsi="Cambria"/>
          <w:sz w:val="16"/>
          <w:szCs w:val="16"/>
        </w:rPr>
        <w:footnoteRef/>
      </w:r>
      <w:r w:rsidRPr="00573462">
        <w:rPr>
          <w:rFonts w:ascii="Cambria" w:hAnsi="Cambria"/>
          <w:sz w:val="16"/>
          <w:szCs w:val="16"/>
          <w:lang w:val="es-VE"/>
        </w:rPr>
        <w:t xml:space="preserve"> CIDH, Criminalización de la labor de las defensoras y los defensores de derechos humanos, OEA/</w:t>
      </w:r>
      <w:proofErr w:type="spellStart"/>
      <w:r w:rsidRPr="00573462">
        <w:rPr>
          <w:rFonts w:ascii="Cambria" w:hAnsi="Cambria"/>
          <w:sz w:val="16"/>
          <w:szCs w:val="16"/>
          <w:lang w:val="es-VE"/>
        </w:rPr>
        <w:t>Ser.L</w:t>
      </w:r>
      <w:proofErr w:type="spellEnd"/>
      <w:r w:rsidRPr="00573462">
        <w:rPr>
          <w:rFonts w:ascii="Cambria" w:hAnsi="Cambria"/>
          <w:sz w:val="16"/>
          <w:szCs w:val="16"/>
          <w:lang w:val="es-VE"/>
        </w:rPr>
        <w:t>/V/Doc.49/15, 31 de diciembre de 2015, párr. 253.</w:t>
      </w:r>
    </w:p>
  </w:footnote>
  <w:footnote w:id="49">
    <w:p w:rsidR="003B1566" w:rsidRPr="00573462" w:rsidRDefault="003B1566" w:rsidP="0049787C">
      <w:pPr>
        <w:pStyle w:val="FootnoteText"/>
        <w:tabs>
          <w:tab w:val="num" w:pos="0"/>
        </w:tabs>
        <w:jc w:val="both"/>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Corte IDH, Caso López </w:t>
      </w:r>
      <w:proofErr w:type="spellStart"/>
      <w:r w:rsidRPr="00573462">
        <w:rPr>
          <w:rFonts w:ascii="Cambria" w:hAnsi="Cambria"/>
          <w:sz w:val="16"/>
          <w:szCs w:val="16"/>
          <w:lang w:val="es-VE"/>
        </w:rPr>
        <w:t>Lone</w:t>
      </w:r>
      <w:proofErr w:type="spellEnd"/>
      <w:r w:rsidRPr="00573462">
        <w:rPr>
          <w:rFonts w:ascii="Cambria" w:hAnsi="Cambria"/>
          <w:sz w:val="16"/>
          <w:szCs w:val="16"/>
          <w:lang w:val="es-VE"/>
        </w:rPr>
        <w:t xml:space="preserve"> y otros Vs. </w:t>
      </w:r>
      <w:r w:rsidRPr="00573462">
        <w:rPr>
          <w:rFonts w:ascii="Cambria" w:hAnsi="Cambria"/>
          <w:sz w:val="16"/>
          <w:szCs w:val="16"/>
          <w:lang w:val="es-CO"/>
        </w:rPr>
        <w:t xml:space="preserve">Honduras. </w:t>
      </w:r>
      <w:r w:rsidRPr="00573462">
        <w:rPr>
          <w:rFonts w:ascii="Cambria" w:hAnsi="Cambria"/>
          <w:sz w:val="16"/>
          <w:szCs w:val="16"/>
          <w:lang w:val="es-VE"/>
        </w:rPr>
        <w:t xml:space="preserve">Excepción Preliminar, Fondo, Reparaciones y Costas. Sentencia de 05 de octubre de 2015. Serie C No. 302, párr. 257 y Caso Maldonado Ordoñez Vs. </w:t>
      </w:r>
      <w:r w:rsidRPr="00573462">
        <w:rPr>
          <w:rFonts w:ascii="Cambria" w:hAnsi="Cambria"/>
          <w:sz w:val="16"/>
          <w:szCs w:val="16"/>
          <w:lang w:val="es-CO"/>
        </w:rPr>
        <w:t xml:space="preserve">Guatemala. </w:t>
      </w:r>
      <w:r w:rsidRPr="00573462">
        <w:rPr>
          <w:rFonts w:ascii="Cambria" w:hAnsi="Cambria"/>
          <w:sz w:val="16"/>
          <w:szCs w:val="16"/>
          <w:lang w:val="es-VE"/>
        </w:rPr>
        <w:t xml:space="preserve">Excepción Preliminar, Fondo, Reparaciones y Costas. Sentencia de 3 de mayo de 2016. Serie C No. 311, párr. 89. </w:t>
      </w:r>
      <w:r w:rsidRPr="00573462">
        <w:rPr>
          <w:rFonts w:ascii="Cambria" w:hAnsi="Cambria"/>
          <w:sz w:val="16"/>
          <w:szCs w:val="16"/>
          <w:lang w:val="es-US"/>
        </w:rPr>
        <w:t xml:space="preserve">Corte IDH. </w:t>
      </w:r>
      <w:r w:rsidRPr="00573462">
        <w:rPr>
          <w:rFonts w:ascii="Cambria" w:hAnsi="Cambria"/>
          <w:bCs/>
          <w:sz w:val="16"/>
          <w:szCs w:val="16"/>
          <w:lang w:val="es-AR"/>
        </w:rPr>
        <w:t xml:space="preserve">Caso Baena Ricardo y otros Vs. Panamá. </w:t>
      </w:r>
      <w:r w:rsidRPr="00573462">
        <w:rPr>
          <w:rFonts w:ascii="Cambria" w:hAnsi="Cambria"/>
          <w:sz w:val="16"/>
          <w:szCs w:val="16"/>
          <w:lang w:val="es-AR"/>
        </w:rPr>
        <w:t xml:space="preserve">Fondo, Reparaciones y Costas. Sentencia de 2 de febrero de 2001. Serie C No. 72, </w:t>
      </w:r>
      <w:proofErr w:type="spellStart"/>
      <w:r w:rsidRPr="00573462">
        <w:rPr>
          <w:rFonts w:ascii="Cambria" w:hAnsi="Cambria"/>
          <w:sz w:val="16"/>
          <w:szCs w:val="16"/>
          <w:lang w:val="es-AR"/>
        </w:rPr>
        <w:t>párrs</w:t>
      </w:r>
      <w:proofErr w:type="spellEnd"/>
      <w:r w:rsidRPr="00573462">
        <w:rPr>
          <w:rFonts w:ascii="Cambria" w:hAnsi="Cambria"/>
          <w:sz w:val="16"/>
          <w:szCs w:val="16"/>
          <w:lang w:val="es-AR"/>
        </w:rPr>
        <w:t>. 106 y 108.</w:t>
      </w:r>
    </w:p>
  </w:footnote>
  <w:footnote w:id="50">
    <w:p w:rsidR="003B1566" w:rsidRPr="00573462" w:rsidRDefault="003B1566" w:rsidP="0049787C">
      <w:pPr>
        <w:pStyle w:val="FootnoteText"/>
        <w:jc w:val="both"/>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CIDH, Informe sobre Terrorismo y Derechos Humanos, OEA/SER.L/V/II.116, Doc. 5 </w:t>
      </w:r>
      <w:proofErr w:type="spellStart"/>
      <w:r w:rsidRPr="00573462">
        <w:rPr>
          <w:rFonts w:ascii="Cambria" w:hAnsi="Cambria"/>
          <w:sz w:val="16"/>
          <w:szCs w:val="16"/>
          <w:lang w:val="es-VE"/>
        </w:rPr>
        <w:t>rev.</w:t>
      </w:r>
      <w:proofErr w:type="spellEnd"/>
      <w:r w:rsidRPr="00573462">
        <w:rPr>
          <w:rFonts w:ascii="Cambria" w:hAnsi="Cambria"/>
          <w:sz w:val="16"/>
          <w:szCs w:val="16"/>
          <w:lang w:val="es-VE"/>
        </w:rPr>
        <w:t xml:space="preserve"> 1, </w:t>
      </w:r>
      <w:proofErr w:type="spellStart"/>
      <w:r w:rsidRPr="00573462">
        <w:rPr>
          <w:rFonts w:ascii="Cambria" w:hAnsi="Cambria"/>
          <w:sz w:val="16"/>
          <w:szCs w:val="16"/>
          <w:lang w:val="es-VE"/>
        </w:rPr>
        <w:t>corr</w:t>
      </w:r>
      <w:proofErr w:type="spellEnd"/>
      <w:r w:rsidRPr="00573462">
        <w:rPr>
          <w:rFonts w:ascii="Cambria" w:hAnsi="Cambria"/>
          <w:sz w:val="16"/>
          <w:szCs w:val="16"/>
          <w:lang w:val="es-VE"/>
        </w:rPr>
        <w:t>., 22 de octubre de 2002, párr. 225, y Resumen Ejecutivo, párr. 17.</w:t>
      </w:r>
    </w:p>
  </w:footnote>
  <w:footnote w:id="51">
    <w:p w:rsidR="003B1566" w:rsidRPr="00573462" w:rsidRDefault="003B1566" w:rsidP="0049787C">
      <w:pPr>
        <w:pStyle w:val="FootnoteText"/>
        <w:jc w:val="both"/>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CIDH, Demanda y alegatos ante la Corte Interamericana de Derechos Humanos en el caso De la Cruz Flores v. Perú; referidos en: Corte IDH, Caso De la Cruz Flores v. Perú, sentencia del 18 de noviembre de 2004 (fondo, reparaciones y costas), Serie C. No. 115, párr. 74.</w:t>
      </w:r>
    </w:p>
  </w:footnote>
  <w:footnote w:id="52">
    <w:p w:rsidR="003B1566" w:rsidRPr="00573462" w:rsidRDefault="003B1566" w:rsidP="0049787C">
      <w:pPr>
        <w:pStyle w:val="FootnoteText"/>
        <w:jc w:val="both"/>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Corte IDH, Caso López </w:t>
      </w:r>
      <w:proofErr w:type="spellStart"/>
      <w:r w:rsidRPr="00573462">
        <w:rPr>
          <w:rFonts w:ascii="Cambria" w:hAnsi="Cambria"/>
          <w:sz w:val="16"/>
          <w:szCs w:val="16"/>
          <w:lang w:val="es-VE"/>
        </w:rPr>
        <w:t>Lone</w:t>
      </w:r>
      <w:proofErr w:type="spellEnd"/>
      <w:r w:rsidRPr="00573462">
        <w:rPr>
          <w:rFonts w:ascii="Cambria" w:hAnsi="Cambria"/>
          <w:sz w:val="16"/>
          <w:szCs w:val="16"/>
          <w:lang w:val="es-VE"/>
        </w:rPr>
        <w:t xml:space="preserve"> y otros Vs. </w:t>
      </w:r>
      <w:r w:rsidRPr="00573462">
        <w:rPr>
          <w:rFonts w:ascii="Cambria" w:hAnsi="Cambria"/>
          <w:sz w:val="16"/>
          <w:szCs w:val="16"/>
          <w:lang w:val="es-CO"/>
        </w:rPr>
        <w:t xml:space="preserve">Honduras. </w:t>
      </w:r>
      <w:r w:rsidRPr="00573462">
        <w:rPr>
          <w:rFonts w:ascii="Cambria" w:hAnsi="Cambria"/>
          <w:sz w:val="16"/>
          <w:szCs w:val="16"/>
          <w:lang w:val="es-VE"/>
        </w:rPr>
        <w:t>Excepción Preliminar, Fondo, Reparaciones y Costas. Sentencia de 05 de octubre de 2015. Serie C No. 302, párr. 257.</w:t>
      </w:r>
    </w:p>
  </w:footnote>
  <w:footnote w:id="53">
    <w:p w:rsidR="003B1566" w:rsidRPr="00573462" w:rsidRDefault="003B1566" w:rsidP="0049787C">
      <w:pPr>
        <w:pStyle w:val="FootnoteText"/>
        <w:jc w:val="both"/>
        <w:rPr>
          <w:rFonts w:ascii="Cambria" w:hAnsi="Cambria"/>
          <w:sz w:val="16"/>
          <w:szCs w:val="16"/>
          <w:lang w:val="es-CO"/>
        </w:rPr>
      </w:pPr>
      <w:r w:rsidRPr="00573462">
        <w:rPr>
          <w:rStyle w:val="FootnoteReference"/>
          <w:rFonts w:ascii="Cambria" w:hAnsi="Cambria"/>
          <w:sz w:val="16"/>
          <w:szCs w:val="16"/>
        </w:rPr>
        <w:footnoteRef/>
      </w:r>
      <w:r w:rsidRPr="00573462">
        <w:rPr>
          <w:rFonts w:ascii="Cambria" w:hAnsi="Cambria"/>
          <w:sz w:val="16"/>
          <w:szCs w:val="16"/>
          <w:lang w:val="es-VE"/>
        </w:rPr>
        <w:t xml:space="preserve"> Corte IDH, Caso López </w:t>
      </w:r>
      <w:proofErr w:type="spellStart"/>
      <w:r w:rsidRPr="00573462">
        <w:rPr>
          <w:rFonts w:ascii="Cambria" w:hAnsi="Cambria"/>
          <w:sz w:val="16"/>
          <w:szCs w:val="16"/>
          <w:lang w:val="es-VE"/>
        </w:rPr>
        <w:t>Lone</w:t>
      </w:r>
      <w:proofErr w:type="spellEnd"/>
      <w:r w:rsidRPr="00573462">
        <w:rPr>
          <w:rFonts w:ascii="Cambria" w:hAnsi="Cambria"/>
          <w:sz w:val="16"/>
          <w:szCs w:val="16"/>
          <w:lang w:val="es-VE"/>
        </w:rPr>
        <w:t xml:space="preserve"> y otros Vs. Honduras. Excepción Preliminar, Fondo, Reparaciones y Costas. </w:t>
      </w:r>
      <w:r w:rsidRPr="00573462">
        <w:rPr>
          <w:rFonts w:ascii="Cambria" w:hAnsi="Cambria"/>
          <w:sz w:val="16"/>
          <w:szCs w:val="16"/>
          <w:lang w:val="es-CO"/>
        </w:rPr>
        <w:t>Sentencia de 05 de octubre de 2015. Serie C No. 302, párr. 259.</w:t>
      </w:r>
      <w:r w:rsidRPr="00573462">
        <w:rPr>
          <w:rFonts w:ascii="Cambria" w:hAnsi="Cambria" w:cs="Verdana"/>
          <w:sz w:val="16"/>
          <w:szCs w:val="16"/>
          <w:lang w:val="es-UY"/>
        </w:rPr>
        <w:t xml:space="preserve"> </w:t>
      </w:r>
    </w:p>
  </w:footnote>
  <w:footnote w:id="54">
    <w:p w:rsidR="003B1566" w:rsidRPr="00573462" w:rsidRDefault="003B1566" w:rsidP="0049787C">
      <w:pPr>
        <w:pStyle w:val="FootnoteText"/>
        <w:jc w:val="both"/>
        <w:rPr>
          <w:rFonts w:ascii="Cambria" w:hAnsi="Cambria"/>
          <w:sz w:val="16"/>
          <w:szCs w:val="16"/>
          <w:lang w:val="es-VE"/>
        </w:rPr>
      </w:pPr>
      <w:r w:rsidRPr="00573462">
        <w:rPr>
          <w:rStyle w:val="FootnoteReference"/>
          <w:rFonts w:ascii="Cambria" w:hAnsi="Cambria"/>
          <w:sz w:val="16"/>
          <w:szCs w:val="16"/>
        </w:rPr>
        <w:footnoteRef/>
      </w:r>
      <w:r w:rsidRPr="00AD5338">
        <w:rPr>
          <w:rFonts w:ascii="Cambria" w:hAnsi="Cambria"/>
          <w:sz w:val="16"/>
          <w:szCs w:val="16"/>
          <w:lang w:val="es-VE"/>
        </w:rPr>
        <w:t xml:space="preserve"> </w:t>
      </w:r>
      <w:r w:rsidRPr="00AD5338">
        <w:rPr>
          <w:rFonts w:ascii="Cambria" w:hAnsi="Cambria"/>
          <w:noProof/>
          <w:sz w:val="16"/>
          <w:szCs w:val="16"/>
          <w:lang w:val="es-VE"/>
        </w:rPr>
        <w:t xml:space="preserve">Corte IDH, Caso Maldonado Ordoñez Vs. </w:t>
      </w:r>
      <w:r w:rsidRPr="00573462">
        <w:rPr>
          <w:rFonts w:ascii="Cambria" w:hAnsi="Cambria"/>
          <w:noProof/>
          <w:sz w:val="16"/>
          <w:szCs w:val="16"/>
          <w:lang w:val="es-CO"/>
        </w:rPr>
        <w:t xml:space="preserve">Guatemala. </w:t>
      </w:r>
      <w:r w:rsidRPr="00573462">
        <w:rPr>
          <w:rFonts w:ascii="Cambria" w:hAnsi="Cambria"/>
          <w:noProof/>
          <w:sz w:val="16"/>
          <w:szCs w:val="16"/>
          <w:lang w:val="es-VE"/>
        </w:rPr>
        <w:t>Excepcion Preliminar, Fondo, Reparaciones y Costas. Sentencia de 3 de Mayo de 2016. Serie C No. 311, párr. 87.</w:t>
      </w:r>
    </w:p>
  </w:footnote>
  <w:footnote w:id="55">
    <w:p w:rsidR="003B1566" w:rsidRPr="00573462" w:rsidRDefault="003B1566" w:rsidP="0049787C">
      <w:pPr>
        <w:pStyle w:val="FootnoteText"/>
        <w:jc w:val="both"/>
        <w:rPr>
          <w:rFonts w:ascii="Cambria" w:hAnsi="Cambria"/>
          <w:sz w:val="16"/>
          <w:szCs w:val="16"/>
          <w:lang w:val="es-CO"/>
        </w:rPr>
      </w:pPr>
      <w:r w:rsidRPr="00573462">
        <w:rPr>
          <w:rStyle w:val="FootnoteReference"/>
          <w:rFonts w:ascii="Cambria" w:hAnsi="Cambria"/>
          <w:sz w:val="16"/>
          <w:szCs w:val="16"/>
        </w:rPr>
        <w:footnoteRef/>
      </w:r>
      <w:r w:rsidRPr="00573462">
        <w:rPr>
          <w:rFonts w:ascii="Cambria" w:hAnsi="Cambria"/>
          <w:sz w:val="16"/>
          <w:szCs w:val="16"/>
          <w:lang w:val="es-CR"/>
        </w:rPr>
        <w:t xml:space="preserve"> </w:t>
      </w:r>
      <w:r w:rsidRPr="00573462">
        <w:rPr>
          <w:rFonts w:ascii="Cambria" w:hAnsi="Cambria"/>
          <w:sz w:val="16"/>
          <w:szCs w:val="16"/>
          <w:lang w:val="es-VE"/>
        </w:rPr>
        <w:t xml:space="preserve">CIDH, Informe No. 103/13, Caso 12.816, Informe de Fondo, Adán Guillermo Lopez </w:t>
      </w:r>
      <w:proofErr w:type="spellStart"/>
      <w:r w:rsidRPr="00573462">
        <w:rPr>
          <w:rFonts w:ascii="Cambria" w:hAnsi="Cambria"/>
          <w:sz w:val="16"/>
          <w:szCs w:val="16"/>
          <w:lang w:val="es-VE"/>
        </w:rPr>
        <w:t>Lone</w:t>
      </w:r>
      <w:proofErr w:type="spellEnd"/>
      <w:r w:rsidRPr="00573462">
        <w:rPr>
          <w:rFonts w:ascii="Cambria" w:hAnsi="Cambria"/>
          <w:sz w:val="16"/>
          <w:szCs w:val="16"/>
          <w:lang w:val="es-VE"/>
        </w:rPr>
        <w:t xml:space="preserve"> y otros, Honduras, párr.145.</w:t>
      </w:r>
    </w:p>
  </w:footnote>
  <w:footnote w:id="56">
    <w:p w:rsidR="003B1566" w:rsidRPr="00573462" w:rsidRDefault="003B1566" w:rsidP="0049787C">
      <w:pPr>
        <w:pStyle w:val="FootnoteText"/>
        <w:jc w:val="both"/>
        <w:rPr>
          <w:rFonts w:ascii="Cambria" w:hAnsi="Cambria"/>
          <w:sz w:val="16"/>
          <w:szCs w:val="16"/>
          <w:lang w:val="es-ES"/>
        </w:rPr>
      </w:pPr>
      <w:r w:rsidRPr="00573462">
        <w:rPr>
          <w:rStyle w:val="FootnoteReference"/>
          <w:rFonts w:ascii="Cambria" w:hAnsi="Cambria"/>
          <w:sz w:val="16"/>
          <w:szCs w:val="16"/>
        </w:rPr>
        <w:footnoteRef/>
      </w:r>
      <w:r w:rsidRPr="00573462">
        <w:rPr>
          <w:rFonts w:ascii="Cambria" w:hAnsi="Cambria"/>
          <w:sz w:val="16"/>
          <w:szCs w:val="16"/>
          <w:lang w:val="es-ES"/>
        </w:rPr>
        <w:t xml:space="preserve"> Corte IDH. </w:t>
      </w:r>
      <w:hyperlink r:id="rId5" w:history="1">
        <w:r w:rsidRPr="00573462">
          <w:rPr>
            <w:rStyle w:val="Hyperlink"/>
            <w:rFonts w:ascii="Cambria" w:hAnsi="Cambria" w:cs="Arial"/>
            <w:sz w:val="16"/>
            <w:szCs w:val="16"/>
            <w:u w:val="none"/>
            <w:shd w:val="clear" w:color="auto" w:fill="FFFFFF"/>
            <w:lang w:val="es-ES"/>
          </w:rPr>
          <w:t>Caso De la Cruz Flores Vs. Perú. Fondo, Reparaciones y Costas. Sentencia de 18 de noviembre de 2004. Serie C No. 115</w:t>
        </w:r>
      </w:hyperlink>
      <w:r w:rsidRPr="00573462">
        <w:rPr>
          <w:rFonts w:ascii="Cambria" w:hAnsi="Cambria"/>
          <w:sz w:val="16"/>
          <w:szCs w:val="16"/>
          <w:lang w:val="es-ES"/>
        </w:rPr>
        <w:t>, párr. 84.</w:t>
      </w:r>
    </w:p>
  </w:footnote>
  <w:footnote w:id="57">
    <w:p w:rsidR="003B1566" w:rsidRPr="00573462" w:rsidRDefault="003B1566" w:rsidP="0049787C">
      <w:pPr>
        <w:pStyle w:val="FootnoteText"/>
        <w:tabs>
          <w:tab w:val="num" w:pos="0"/>
        </w:tabs>
        <w:jc w:val="both"/>
        <w:rPr>
          <w:rFonts w:ascii="Cambria" w:hAnsi="Cambria"/>
          <w:sz w:val="16"/>
          <w:szCs w:val="16"/>
          <w:lang w:val="es-VE"/>
        </w:rPr>
      </w:pPr>
      <w:r w:rsidRPr="00573462">
        <w:rPr>
          <w:rFonts w:ascii="Cambria" w:hAnsi="Cambria"/>
          <w:sz w:val="16"/>
          <w:szCs w:val="16"/>
          <w:lang w:val="es-VE"/>
        </w:rPr>
        <w:t xml:space="preserve"> </w:t>
      </w:r>
      <w:r w:rsidRPr="00573462">
        <w:rPr>
          <w:rStyle w:val="FootnoteReference"/>
          <w:rFonts w:ascii="Cambria" w:hAnsi="Cambria"/>
          <w:sz w:val="16"/>
          <w:szCs w:val="16"/>
        </w:rPr>
        <w:footnoteRef/>
      </w:r>
      <w:r w:rsidRPr="00573462">
        <w:rPr>
          <w:rFonts w:ascii="Cambria" w:hAnsi="Cambria"/>
          <w:sz w:val="16"/>
          <w:szCs w:val="16"/>
          <w:lang w:val="es-VE"/>
        </w:rPr>
        <w:t xml:space="preserve"> Corte IDH, Caso López </w:t>
      </w:r>
      <w:proofErr w:type="spellStart"/>
      <w:r w:rsidRPr="00573462">
        <w:rPr>
          <w:rFonts w:ascii="Cambria" w:hAnsi="Cambria"/>
          <w:sz w:val="16"/>
          <w:szCs w:val="16"/>
          <w:lang w:val="es-VE"/>
        </w:rPr>
        <w:t>Lone</w:t>
      </w:r>
      <w:proofErr w:type="spellEnd"/>
      <w:r w:rsidRPr="00573462">
        <w:rPr>
          <w:rFonts w:ascii="Cambria" w:hAnsi="Cambria"/>
          <w:sz w:val="16"/>
          <w:szCs w:val="16"/>
          <w:lang w:val="es-VE"/>
        </w:rPr>
        <w:t xml:space="preserve"> y otros Vs. </w:t>
      </w:r>
      <w:r w:rsidRPr="00573462">
        <w:rPr>
          <w:rFonts w:ascii="Cambria" w:hAnsi="Cambria"/>
          <w:sz w:val="16"/>
          <w:szCs w:val="16"/>
          <w:lang w:val="es-CO"/>
        </w:rPr>
        <w:t xml:space="preserve">Honduras. </w:t>
      </w:r>
      <w:r w:rsidRPr="00573462">
        <w:rPr>
          <w:rFonts w:ascii="Cambria" w:hAnsi="Cambria"/>
          <w:sz w:val="16"/>
          <w:szCs w:val="16"/>
          <w:lang w:val="es-VE"/>
        </w:rPr>
        <w:t>Excepción Preliminar, Fondo, Reparaciones y Costas. Sentencia de 05 de octubre de 2015. Serie C No. 302, párr. 271</w:t>
      </w:r>
      <w:r w:rsidRPr="00573462">
        <w:rPr>
          <w:rFonts w:ascii="Cambria" w:hAnsi="Cambria"/>
          <w:sz w:val="16"/>
          <w:szCs w:val="16"/>
          <w:lang w:val="es-AR"/>
        </w:rPr>
        <w:t xml:space="preserve">. </w:t>
      </w:r>
    </w:p>
  </w:footnote>
  <w:footnote w:id="58">
    <w:p w:rsidR="003B1566" w:rsidRPr="00573462" w:rsidRDefault="003B1566" w:rsidP="0049787C">
      <w:pPr>
        <w:pStyle w:val="BodyTextIndent"/>
        <w:ind w:left="0" w:firstLine="0"/>
        <w:jc w:val="both"/>
        <w:rPr>
          <w:rFonts w:ascii="Cambria" w:hAnsi="Cambria"/>
          <w:sz w:val="16"/>
          <w:szCs w:val="16"/>
          <w:lang w:val="es-ES"/>
        </w:rPr>
      </w:pPr>
      <w:r w:rsidRPr="00573462">
        <w:rPr>
          <w:rStyle w:val="FootnoteReference"/>
          <w:rFonts w:ascii="Cambria" w:hAnsi="Cambria"/>
          <w:sz w:val="16"/>
          <w:szCs w:val="16"/>
        </w:rPr>
        <w:footnoteRef/>
      </w:r>
      <w:r w:rsidRPr="00573462">
        <w:rPr>
          <w:rFonts w:ascii="Cambria" w:hAnsi="Cambria"/>
          <w:sz w:val="16"/>
          <w:szCs w:val="16"/>
        </w:rPr>
        <w:t xml:space="preserve"> </w:t>
      </w:r>
      <w:r w:rsidRPr="00573462">
        <w:rPr>
          <w:rFonts w:ascii="Cambria" w:hAnsi="Cambria" w:cs="Verdana"/>
          <w:bCs/>
          <w:sz w:val="16"/>
          <w:szCs w:val="16"/>
          <w:bdr w:val="none" w:sz="0" w:space="0" w:color="auto" w:frame="1"/>
        </w:rPr>
        <w:t xml:space="preserve">Corte IDH. Caso </w:t>
      </w:r>
      <w:proofErr w:type="spellStart"/>
      <w:r w:rsidRPr="00573462">
        <w:rPr>
          <w:rFonts w:ascii="Cambria" w:hAnsi="Cambria" w:cs="Verdana"/>
          <w:bCs/>
          <w:sz w:val="16"/>
          <w:szCs w:val="16"/>
          <w:bdr w:val="none" w:sz="0" w:space="0" w:color="auto" w:frame="1"/>
        </w:rPr>
        <w:t>Chocrón</w:t>
      </w:r>
      <w:proofErr w:type="spellEnd"/>
      <w:r w:rsidRPr="00573462">
        <w:rPr>
          <w:rFonts w:ascii="Cambria" w:hAnsi="Cambria" w:cs="Verdana"/>
          <w:bCs/>
          <w:sz w:val="16"/>
          <w:szCs w:val="16"/>
          <w:bdr w:val="none" w:sz="0" w:space="0" w:color="auto" w:frame="1"/>
        </w:rPr>
        <w:t xml:space="preserve"> </w:t>
      </w:r>
      <w:proofErr w:type="spellStart"/>
      <w:r w:rsidRPr="00573462">
        <w:rPr>
          <w:rFonts w:ascii="Cambria" w:hAnsi="Cambria" w:cs="Verdana"/>
          <w:bCs/>
          <w:sz w:val="16"/>
          <w:szCs w:val="16"/>
          <w:bdr w:val="none" w:sz="0" w:space="0" w:color="auto" w:frame="1"/>
        </w:rPr>
        <w:t>Chocrón</w:t>
      </w:r>
      <w:proofErr w:type="spellEnd"/>
      <w:r w:rsidRPr="00573462">
        <w:rPr>
          <w:rFonts w:ascii="Cambria" w:hAnsi="Cambria" w:cs="Verdana"/>
          <w:bCs/>
          <w:sz w:val="16"/>
          <w:szCs w:val="16"/>
          <w:bdr w:val="none" w:sz="0" w:space="0" w:color="auto" w:frame="1"/>
        </w:rPr>
        <w:t xml:space="preserve"> Vs. Venezuela. Excepción Preliminar, Fondo, Reparaciones y Costas. Sentencia de 1 de julio de 2011. Serie C No. 227, párr. 118. </w:t>
      </w:r>
    </w:p>
  </w:footnote>
  <w:footnote w:id="59">
    <w:p w:rsidR="003B1566" w:rsidRPr="00573462" w:rsidRDefault="003B1566" w:rsidP="0049787C">
      <w:pPr>
        <w:pStyle w:val="FootnoteText"/>
        <w:jc w:val="both"/>
        <w:rPr>
          <w:rFonts w:ascii="Cambria" w:hAnsi="Cambria"/>
          <w:sz w:val="16"/>
          <w:szCs w:val="16"/>
          <w:lang w:val="es-ES"/>
        </w:rPr>
      </w:pPr>
      <w:r w:rsidRPr="00573462">
        <w:rPr>
          <w:rStyle w:val="FootnoteReference"/>
          <w:rFonts w:ascii="Cambria" w:hAnsi="Cambria"/>
          <w:sz w:val="16"/>
          <w:szCs w:val="16"/>
        </w:rPr>
        <w:footnoteRef/>
      </w:r>
      <w:r w:rsidRPr="00573462">
        <w:rPr>
          <w:rFonts w:ascii="Cambria" w:hAnsi="Cambria"/>
          <w:sz w:val="16"/>
          <w:szCs w:val="16"/>
          <w:lang w:val="es-ES"/>
        </w:rPr>
        <w:t xml:space="preserve"> Corte IDH. </w:t>
      </w:r>
      <w:r w:rsidRPr="00573462">
        <w:rPr>
          <w:rFonts w:ascii="Cambria" w:hAnsi="Cambria"/>
          <w:bCs/>
          <w:sz w:val="16"/>
          <w:szCs w:val="16"/>
          <w:lang w:val="es-ES"/>
        </w:rPr>
        <w:t xml:space="preserve">Caso </w:t>
      </w:r>
      <w:proofErr w:type="spellStart"/>
      <w:r w:rsidRPr="00573462">
        <w:rPr>
          <w:rFonts w:ascii="Cambria" w:hAnsi="Cambria"/>
          <w:bCs/>
          <w:sz w:val="16"/>
          <w:szCs w:val="16"/>
          <w:lang w:val="es-ES"/>
        </w:rPr>
        <w:t>Chocrón</w:t>
      </w:r>
      <w:proofErr w:type="spellEnd"/>
      <w:r w:rsidRPr="00573462">
        <w:rPr>
          <w:rFonts w:ascii="Cambria" w:hAnsi="Cambria"/>
          <w:bCs/>
          <w:sz w:val="16"/>
          <w:szCs w:val="16"/>
          <w:lang w:val="es-ES"/>
        </w:rPr>
        <w:t xml:space="preserve"> </w:t>
      </w:r>
      <w:proofErr w:type="spellStart"/>
      <w:r w:rsidRPr="00573462">
        <w:rPr>
          <w:rFonts w:ascii="Cambria" w:hAnsi="Cambria"/>
          <w:bCs/>
          <w:sz w:val="16"/>
          <w:szCs w:val="16"/>
          <w:lang w:val="es-ES"/>
        </w:rPr>
        <w:t>Chocrón</w:t>
      </w:r>
      <w:proofErr w:type="spellEnd"/>
      <w:r w:rsidRPr="00573462">
        <w:rPr>
          <w:rFonts w:ascii="Cambria" w:hAnsi="Cambria"/>
          <w:bCs/>
          <w:sz w:val="16"/>
          <w:szCs w:val="16"/>
          <w:lang w:val="es-ES"/>
        </w:rPr>
        <w:t xml:space="preserve"> Vs. Venezuela. </w:t>
      </w:r>
      <w:r w:rsidRPr="00573462">
        <w:rPr>
          <w:rFonts w:ascii="Cambria" w:hAnsi="Cambria"/>
          <w:sz w:val="16"/>
          <w:szCs w:val="16"/>
          <w:lang w:val="es-ES"/>
        </w:rPr>
        <w:t>Excepción Preliminar, Fondo, Reparaciones y Costas. Sentencia de 1 de julio de 2011. Serie C No. 227, párr.118.</w:t>
      </w:r>
    </w:p>
  </w:footnote>
  <w:footnote w:id="60">
    <w:p w:rsidR="003B1566" w:rsidRPr="00573462" w:rsidRDefault="003B1566" w:rsidP="009C22A3">
      <w:pPr>
        <w:tabs>
          <w:tab w:val="left" w:pos="720"/>
        </w:tabs>
        <w:spacing w:after="0" w:line="240" w:lineRule="auto"/>
        <w:jc w:val="both"/>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w:t>
      </w:r>
      <w:r w:rsidRPr="00573462">
        <w:rPr>
          <w:rFonts w:ascii="Cambria" w:hAnsi="Cambria"/>
          <w:sz w:val="16"/>
          <w:szCs w:val="16"/>
          <w:lang w:val="es-AR"/>
        </w:rPr>
        <w:t>El artículo 25.1 de la Convención estipula que:</w:t>
      </w:r>
      <w:r w:rsidRPr="00573462">
        <w:rPr>
          <w:rFonts w:ascii="Cambria" w:hAnsi="Cambria"/>
          <w:sz w:val="16"/>
          <w:szCs w:val="16"/>
          <w:lang w:val="es-VE"/>
        </w:rPr>
        <w:t xml:space="preserve"> </w:t>
      </w:r>
      <w:r w:rsidRPr="00573462">
        <w:rPr>
          <w:rFonts w:ascii="Cambria" w:eastAsia="Times New Roman" w:hAnsi="Cambri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1">
    <w:p w:rsidR="003B1566" w:rsidRPr="00573462" w:rsidRDefault="003B1566" w:rsidP="009C22A3">
      <w:pPr>
        <w:tabs>
          <w:tab w:val="left" w:pos="180"/>
          <w:tab w:val="left" w:pos="900"/>
          <w:tab w:val="left" w:pos="1080"/>
        </w:tabs>
        <w:spacing w:after="0" w:line="240" w:lineRule="auto"/>
        <w:jc w:val="both"/>
        <w:rPr>
          <w:rFonts w:ascii="Cambria" w:hAnsi="Cambria"/>
          <w:sz w:val="16"/>
          <w:szCs w:val="16"/>
        </w:rPr>
      </w:pPr>
      <w:r w:rsidRPr="00573462">
        <w:rPr>
          <w:rStyle w:val="FootnoteReference"/>
          <w:rFonts w:ascii="Cambria" w:hAnsi="Cambria"/>
          <w:sz w:val="16"/>
          <w:szCs w:val="16"/>
        </w:rPr>
        <w:footnoteRef/>
      </w:r>
      <w:r w:rsidRPr="00573462">
        <w:rPr>
          <w:rFonts w:ascii="Cambria" w:hAnsi="Cambria"/>
          <w:color w:val="000000"/>
          <w:sz w:val="16"/>
          <w:szCs w:val="16"/>
        </w:rPr>
        <w:t xml:space="preserve">Corte IDH, </w:t>
      </w:r>
      <w:r w:rsidRPr="00573462">
        <w:rPr>
          <w:rFonts w:ascii="Cambria" w:hAnsi="Cambria"/>
          <w:bCs/>
          <w:color w:val="000000"/>
          <w:sz w:val="16"/>
          <w:szCs w:val="16"/>
        </w:rPr>
        <w:t xml:space="preserve">Caso Trabajadores Cesados del Congreso (Aguado Alfaro y otros). </w:t>
      </w:r>
      <w:r w:rsidRPr="00573462">
        <w:rPr>
          <w:rFonts w:ascii="Cambria" w:hAnsi="Cambria"/>
          <w:color w:val="000000"/>
          <w:sz w:val="16"/>
          <w:szCs w:val="16"/>
        </w:rPr>
        <w:t xml:space="preserve">Sentencia sobre Excepciones Preliminares, Fondo, Reparaciones y Costas. Sentencia de 24 de Noviembre de 2006. Serie C No. 158. Párr. 125; Corte IDH, </w:t>
      </w:r>
      <w:r w:rsidRPr="00573462">
        <w:rPr>
          <w:rFonts w:ascii="Cambria" w:hAnsi="Cambria"/>
          <w:bCs/>
          <w:color w:val="000000"/>
          <w:sz w:val="16"/>
          <w:szCs w:val="16"/>
        </w:rPr>
        <w:t xml:space="preserve">Caso Comunidad Indígena </w:t>
      </w:r>
      <w:proofErr w:type="spellStart"/>
      <w:r w:rsidRPr="00573462">
        <w:rPr>
          <w:rFonts w:ascii="Cambria" w:hAnsi="Cambria"/>
          <w:bCs/>
          <w:color w:val="000000"/>
          <w:sz w:val="16"/>
          <w:szCs w:val="16"/>
        </w:rPr>
        <w:t>Yakye</w:t>
      </w:r>
      <w:proofErr w:type="spellEnd"/>
      <w:r w:rsidRPr="00573462">
        <w:rPr>
          <w:rFonts w:ascii="Cambria" w:hAnsi="Cambria"/>
          <w:bCs/>
          <w:color w:val="000000"/>
          <w:sz w:val="16"/>
          <w:szCs w:val="16"/>
        </w:rPr>
        <w:t xml:space="preserve"> Axa. </w:t>
      </w:r>
      <w:r w:rsidRPr="00573462">
        <w:rPr>
          <w:rFonts w:ascii="Cambria" w:hAnsi="Cambria"/>
          <w:color w:val="000000"/>
          <w:sz w:val="16"/>
          <w:szCs w:val="16"/>
        </w:rPr>
        <w:t>Sentencia 17 de junio de 2005. Serie C No. 125</w:t>
      </w:r>
      <w:r w:rsidRPr="00573462">
        <w:rPr>
          <w:rFonts w:ascii="Cambria" w:hAnsi="Cambria"/>
          <w:sz w:val="16"/>
          <w:szCs w:val="16"/>
        </w:rPr>
        <w:t xml:space="preserve">. Párr.  61; </w:t>
      </w:r>
      <w:r w:rsidRPr="00573462">
        <w:rPr>
          <w:rFonts w:ascii="Cambria" w:hAnsi="Cambria"/>
          <w:color w:val="000000"/>
          <w:sz w:val="16"/>
          <w:szCs w:val="16"/>
        </w:rPr>
        <w:t xml:space="preserve">Corte IDH, </w:t>
      </w:r>
      <w:r w:rsidRPr="00573462">
        <w:rPr>
          <w:rFonts w:ascii="Cambria" w:hAnsi="Cambria"/>
          <w:bCs/>
          <w:color w:val="000000"/>
          <w:sz w:val="16"/>
          <w:szCs w:val="16"/>
        </w:rPr>
        <w:t xml:space="preserve">Caso "Cinco Pensionistas". </w:t>
      </w:r>
      <w:r w:rsidRPr="00573462">
        <w:rPr>
          <w:rFonts w:ascii="Cambria" w:hAnsi="Cambria"/>
          <w:color w:val="000000"/>
          <w:sz w:val="16"/>
          <w:szCs w:val="16"/>
        </w:rPr>
        <w:t>Sentencia de 28 de febrero de 2003. Serie C No. 98</w:t>
      </w:r>
      <w:r w:rsidRPr="00573462">
        <w:rPr>
          <w:rFonts w:ascii="Cambria" w:hAnsi="Cambria"/>
          <w:sz w:val="16"/>
          <w:szCs w:val="16"/>
        </w:rPr>
        <w:t>. Párr. 136.</w:t>
      </w:r>
    </w:p>
  </w:footnote>
  <w:footnote w:id="62">
    <w:p w:rsidR="009C22A3" w:rsidRPr="009C22A3" w:rsidRDefault="009C22A3" w:rsidP="009C22A3">
      <w:pPr>
        <w:pStyle w:val="FootnoteText"/>
        <w:jc w:val="both"/>
        <w:rPr>
          <w:rFonts w:ascii="Cambria" w:hAnsi="Cambria"/>
          <w:sz w:val="16"/>
          <w:szCs w:val="16"/>
          <w:lang w:val="es-CO"/>
        </w:rPr>
      </w:pPr>
      <w:r w:rsidRPr="009C22A3">
        <w:rPr>
          <w:rStyle w:val="FootnoteReference"/>
          <w:rFonts w:ascii="Cambria" w:hAnsi="Cambria"/>
          <w:sz w:val="16"/>
          <w:szCs w:val="16"/>
        </w:rPr>
        <w:footnoteRef/>
      </w:r>
      <w:r w:rsidRPr="009C22A3">
        <w:rPr>
          <w:rFonts w:ascii="Cambria" w:hAnsi="Cambria"/>
          <w:sz w:val="16"/>
          <w:szCs w:val="16"/>
          <w:lang w:val="es-CO"/>
        </w:rPr>
        <w:t xml:space="preserve"> CIDH, Informe No. 75/15, Caso 12.923. Fondo. Rocío San Miguel Sosa y otras. Venezuela. 28 de octubre de 2015, párr.200; </w:t>
      </w:r>
      <w:r w:rsidRPr="009C22A3">
        <w:rPr>
          <w:rFonts w:ascii="Cambria" w:hAnsi="Cambria"/>
          <w:sz w:val="16"/>
          <w:szCs w:val="16"/>
          <w:lang w:val="es-VE"/>
        </w:rPr>
        <w:t xml:space="preserve">Corte IDH, Caso </w:t>
      </w:r>
      <w:proofErr w:type="spellStart"/>
      <w:r w:rsidRPr="009C22A3">
        <w:rPr>
          <w:rFonts w:ascii="Cambria" w:hAnsi="Cambria"/>
          <w:sz w:val="16"/>
          <w:szCs w:val="16"/>
          <w:lang w:val="es-VE"/>
        </w:rPr>
        <w:t>Kawas</w:t>
      </w:r>
      <w:proofErr w:type="spellEnd"/>
      <w:r w:rsidRPr="009C22A3">
        <w:rPr>
          <w:rFonts w:ascii="Cambria" w:hAnsi="Cambria"/>
          <w:sz w:val="16"/>
          <w:szCs w:val="16"/>
          <w:lang w:val="es-VE"/>
        </w:rPr>
        <w:t xml:space="preserve"> Fernández vs Honduras, Fondo, Reparaciones y Costas. Sentencia de 3 de abril de 2009, Serie C No. 196, párr.112.</w:t>
      </w:r>
    </w:p>
  </w:footnote>
  <w:footnote w:id="63">
    <w:p w:rsidR="003B1566" w:rsidRPr="00573462" w:rsidRDefault="003B1566" w:rsidP="009C22A3">
      <w:pPr>
        <w:pStyle w:val="FootnoteText"/>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Corte IDH.  Caso </w:t>
      </w:r>
      <w:proofErr w:type="spellStart"/>
      <w:r w:rsidRPr="00573462">
        <w:rPr>
          <w:rFonts w:ascii="Cambria" w:hAnsi="Cambria"/>
          <w:sz w:val="16"/>
          <w:szCs w:val="16"/>
          <w:lang w:val="es-VE"/>
        </w:rPr>
        <w:t>Mejia</w:t>
      </w:r>
      <w:proofErr w:type="spellEnd"/>
      <w:r w:rsidRPr="00573462">
        <w:rPr>
          <w:rFonts w:ascii="Cambria" w:hAnsi="Cambria"/>
          <w:sz w:val="16"/>
          <w:szCs w:val="16"/>
          <w:lang w:val="es-VE"/>
        </w:rPr>
        <w:t xml:space="preserve"> </w:t>
      </w:r>
      <w:proofErr w:type="spellStart"/>
      <w:r w:rsidRPr="00573462">
        <w:rPr>
          <w:rFonts w:ascii="Cambria" w:hAnsi="Cambria"/>
          <w:sz w:val="16"/>
          <w:szCs w:val="16"/>
          <w:lang w:val="es-VE"/>
        </w:rPr>
        <w:t>Idrovo</w:t>
      </w:r>
      <w:proofErr w:type="spellEnd"/>
      <w:r w:rsidRPr="00573462">
        <w:rPr>
          <w:rFonts w:ascii="Cambria" w:hAnsi="Cambria"/>
          <w:sz w:val="16"/>
          <w:szCs w:val="16"/>
          <w:lang w:val="es-VE"/>
        </w:rPr>
        <w:t xml:space="preserve"> vs. Ecuador. Excepciones Preliminares, Fondo, Reparaciones y Costas. Sentencia de 5 de julio de 2011. Serie C no. 228, párr. 104 y 105. </w:t>
      </w:r>
    </w:p>
  </w:footnote>
  <w:footnote w:id="64">
    <w:p w:rsidR="00F64F12" w:rsidRPr="00E03BC0" w:rsidRDefault="00F64F12" w:rsidP="00F64F12">
      <w:pPr>
        <w:pStyle w:val="Default"/>
        <w:contextualSpacing/>
        <w:jc w:val="both"/>
        <w:rPr>
          <w:rFonts w:ascii="Cambria" w:eastAsia="Arial Unicode MS" w:hAnsi="Cambria" w:cs="Cambria"/>
          <w:sz w:val="16"/>
          <w:szCs w:val="16"/>
          <w:bdr w:val="nil"/>
          <w:lang w:val="es-CO" w:eastAsia="es-ES"/>
        </w:rPr>
      </w:pPr>
      <w:r w:rsidRPr="00E03BC0">
        <w:rPr>
          <w:rStyle w:val="FootnoteReference"/>
          <w:rFonts w:ascii="Cambria" w:hAnsi="Cambria"/>
          <w:sz w:val="16"/>
          <w:szCs w:val="16"/>
        </w:rPr>
        <w:footnoteRef/>
      </w:r>
      <w:r w:rsidRPr="00E03BC0">
        <w:rPr>
          <w:rFonts w:ascii="Cambria" w:hAnsi="Cambria"/>
          <w:sz w:val="16"/>
          <w:szCs w:val="16"/>
          <w:lang w:val="es-CO"/>
        </w:rPr>
        <w:t xml:space="preserve"> Corte IDH. Caso López </w:t>
      </w:r>
      <w:proofErr w:type="spellStart"/>
      <w:r w:rsidRPr="00E03BC0">
        <w:rPr>
          <w:rFonts w:ascii="Cambria" w:hAnsi="Cambria"/>
          <w:sz w:val="16"/>
          <w:szCs w:val="16"/>
          <w:lang w:val="es-CO"/>
        </w:rPr>
        <w:t>Lone</w:t>
      </w:r>
      <w:proofErr w:type="spellEnd"/>
      <w:r w:rsidRPr="00E03BC0">
        <w:rPr>
          <w:rFonts w:ascii="Cambria" w:hAnsi="Cambria"/>
          <w:sz w:val="16"/>
          <w:szCs w:val="16"/>
          <w:lang w:val="es-CO"/>
        </w:rPr>
        <w:t xml:space="preserve"> y otros Vs. Honduras. Excepción Preliminar, Fondo, Reparaciones y Costas. Sentencia de 5 de octubre de 2015. Serie C No. 302, párr. 192.</w:t>
      </w:r>
    </w:p>
  </w:footnote>
  <w:footnote w:id="65">
    <w:p w:rsidR="00551348" w:rsidRPr="00551348" w:rsidRDefault="00551348">
      <w:pPr>
        <w:pStyle w:val="FootnoteText"/>
        <w:rPr>
          <w:lang w:val="es-CO"/>
        </w:rPr>
      </w:pPr>
      <w:r w:rsidRPr="00E03BC0">
        <w:rPr>
          <w:rStyle w:val="FootnoteReference"/>
          <w:rFonts w:ascii="Cambria" w:hAnsi="Cambria"/>
          <w:sz w:val="16"/>
          <w:szCs w:val="16"/>
        </w:rPr>
        <w:footnoteRef/>
      </w:r>
      <w:r w:rsidRPr="00E03BC0">
        <w:rPr>
          <w:rFonts w:ascii="Cambria" w:hAnsi="Cambria"/>
          <w:sz w:val="16"/>
          <w:szCs w:val="16"/>
          <w:lang w:val="es-CO"/>
        </w:rPr>
        <w:t xml:space="preserve"> CIDH, Informe No. 159/18. Caso 12.993. Fondo. Jorge Luis Cuya </w:t>
      </w:r>
      <w:proofErr w:type="spellStart"/>
      <w:r w:rsidRPr="00E03BC0">
        <w:rPr>
          <w:rFonts w:ascii="Cambria" w:hAnsi="Cambria"/>
          <w:sz w:val="16"/>
          <w:szCs w:val="16"/>
          <w:lang w:val="es-CO"/>
        </w:rPr>
        <w:t>Lavy</w:t>
      </w:r>
      <w:proofErr w:type="spellEnd"/>
      <w:r w:rsidRPr="00E03BC0">
        <w:rPr>
          <w:rFonts w:ascii="Cambria" w:hAnsi="Cambria"/>
          <w:sz w:val="16"/>
          <w:szCs w:val="16"/>
          <w:lang w:val="es-CO"/>
        </w:rPr>
        <w:t xml:space="preserve"> y otros. Perú. 7 de diciembre de 2018, párr. 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66" w:rsidRDefault="003B1566" w:rsidP="0096307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B1566" w:rsidRDefault="003B1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66" w:rsidRDefault="00FD1AD1" w:rsidP="0096307E">
    <w:pPr>
      <w:pStyle w:val="Header"/>
      <w:tabs>
        <w:tab w:val="clear" w:pos="4320"/>
        <w:tab w:val="clear" w:pos="8640"/>
      </w:tabs>
      <w:jc w:val="center"/>
      <w:rPr>
        <w:sz w:val="22"/>
        <w:szCs w:val="22"/>
      </w:rPr>
    </w:pPr>
    <w:r w:rsidRPr="0079623D">
      <w:rPr>
        <w:noProof/>
        <w:sz w:val="22"/>
        <w:szCs w:val="22"/>
      </w:rPr>
      <w:drawing>
        <wp:inline distT="0" distB="0" distL="0" distR="0">
          <wp:extent cx="1972310" cy="102235"/>
          <wp:effectExtent l="0" t="0" r="8890" b="0"/>
          <wp:docPr id="4"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102235"/>
                  </a:xfrm>
                  <a:prstGeom prst="rect">
                    <a:avLst/>
                  </a:prstGeom>
                  <a:noFill/>
                  <a:ln>
                    <a:noFill/>
                  </a:ln>
                </pic:spPr>
              </pic:pic>
            </a:graphicData>
          </a:graphic>
        </wp:inline>
      </w:drawing>
    </w:r>
  </w:p>
  <w:p w:rsidR="003B1566" w:rsidRPr="00EC7D62" w:rsidRDefault="00D70F2C" w:rsidP="0096307E">
    <w:pPr>
      <w:pStyle w:val="Header"/>
      <w:tabs>
        <w:tab w:val="clear" w:pos="4320"/>
        <w:tab w:val="clear" w:pos="8640"/>
      </w:tabs>
      <w:jc w:val="center"/>
      <w:rPr>
        <w:sz w:val="22"/>
        <w:szCs w:val="22"/>
      </w:rPr>
    </w:pPr>
    <w:r>
      <w:rPr>
        <w:noProof/>
        <w:sz w:val="22"/>
        <w:szCs w:val="22"/>
      </w:rPr>
      <w:pict>
        <v:rect id="_x0000_i1025" style="width:458.85pt;height:.05pt" o:hrpct="99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2C" w:rsidRDefault="00D70F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FE" w:rsidRDefault="00937EFE" w:rsidP="00937EFE">
    <w:pPr>
      <w:pStyle w:val="Header"/>
      <w:tabs>
        <w:tab w:val="clear" w:pos="4320"/>
        <w:tab w:val="clear" w:pos="8640"/>
      </w:tabs>
      <w:jc w:val="center"/>
      <w:rPr>
        <w:sz w:val="22"/>
        <w:szCs w:val="22"/>
      </w:rPr>
    </w:pPr>
    <w:r w:rsidRPr="0079623D">
      <w:rPr>
        <w:noProof/>
        <w:sz w:val="22"/>
        <w:szCs w:val="22"/>
      </w:rPr>
      <w:drawing>
        <wp:inline distT="0" distB="0" distL="0" distR="0" wp14:anchorId="002DFA78" wp14:editId="7EEE9107">
          <wp:extent cx="1972310" cy="102235"/>
          <wp:effectExtent l="0" t="0" r="8890" b="0"/>
          <wp:docPr id="1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102235"/>
                  </a:xfrm>
                  <a:prstGeom prst="rect">
                    <a:avLst/>
                  </a:prstGeom>
                  <a:noFill/>
                  <a:ln>
                    <a:noFill/>
                  </a:ln>
                </pic:spPr>
              </pic:pic>
            </a:graphicData>
          </a:graphic>
        </wp:inline>
      </w:drawing>
    </w:r>
  </w:p>
  <w:p w:rsidR="00937EFE" w:rsidRPr="00EC7D62" w:rsidRDefault="00D70F2C" w:rsidP="00937EFE">
    <w:pPr>
      <w:pStyle w:val="Header"/>
      <w:tabs>
        <w:tab w:val="clear" w:pos="4320"/>
        <w:tab w:val="clear" w:pos="8640"/>
      </w:tabs>
      <w:jc w:val="center"/>
      <w:rPr>
        <w:sz w:val="22"/>
        <w:szCs w:val="22"/>
      </w:rPr>
    </w:pPr>
    <w:r>
      <w:rPr>
        <w:noProof/>
        <w:sz w:val="22"/>
        <w:szCs w:val="22"/>
      </w:rPr>
      <w:pict>
        <v:rect id="_x0000_i1026" style="width:458.85pt;height:.05pt" o:hrpct="990" o:hralign="center" o:hrstd="t" o:hr="t" fillcolor="#a0a0a0"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FE" w:rsidRDefault="00937EFE" w:rsidP="00937EFE">
    <w:pPr>
      <w:pStyle w:val="Header"/>
      <w:tabs>
        <w:tab w:val="clear" w:pos="4320"/>
        <w:tab w:val="clear" w:pos="8640"/>
      </w:tabs>
      <w:jc w:val="center"/>
      <w:rPr>
        <w:sz w:val="22"/>
        <w:szCs w:val="22"/>
      </w:rPr>
    </w:pPr>
    <w:r w:rsidRPr="0079623D">
      <w:rPr>
        <w:noProof/>
        <w:sz w:val="22"/>
        <w:szCs w:val="22"/>
      </w:rPr>
      <w:drawing>
        <wp:inline distT="0" distB="0" distL="0" distR="0" wp14:anchorId="002DFA78" wp14:editId="7EEE9107">
          <wp:extent cx="1972310" cy="102235"/>
          <wp:effectExtent l="0" t="0" r="8890" b="0"/>
          <wp:docPr id="12"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102235"/>
                  </a:xfrm>
                  <a:prstGeom prst="rect">
                    <a:avLst/>
                  </a:prstGeom>
                  <a:noFill/>
                  <a:ln>
                    <a:noFill/>
                  </a:ln>
                </pic:spPr>
              </pic:pic>
            </a:graphicData>
          </a:graphic>
        </wp:inline>
      </w:drawing>
    </w:r>
  </w:p>
  <w:p w:rsidR="00937EFE" w:rsidRPr="00EC7D62" w:rsidRDefault="00D70F2C" w:rsidP="00937EFE">
    <w:pPr>
      <w:pStyle w:val="Header"/>
      <w:tabs>
        <w:tab w:val="clear" w:pos="4320"/>
        <w:tab w:val="clear" w:pos="8640"/>
      </w:tabs>
      <w:jc w:val="center"/>
      <w:rPr>
        <w:sz w:val="22"/>
        <w:szCs w:val="22"/>
      </w:rPr>
    </w:pPr>
    <w:r>
      <w:rPr>
        <w:noProof/>
        <w:sz w:val="22"/>
        <w:szCs w:val="22"/>
      </w:rPr>
      <w:pict>
        <v:rect id="_x0000_i1027" style="width:458.85pt;height:.05pt" o:hrpct="99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F8F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D4BB1"/>
    <w:multiLevelType w:val="multilevel"/>
    <w:tmpl w:val="3C5C251C"/>
    <w:lvl w:ilvl="0">
      <w:start w:val="1"/>
      <w:numFmt w:val="decimal"/>
      <w:lvlText w:val="%1."/>
      <w:lvlJc w:val="left"/>
      <w:pPr>
        <w:ind w:left="1080" w:hanging="360"/>
      </w:pPr>
      <w:rPr>
        <w:rFonts w:hint="default"/>
        <w:lang w:val="es-UY"/>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E1D2261"/>
    <w:multiLevelType w:val="hybridMultilevel"/>
    <w:tmpl w:val="3C72365E"/>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3119AD"/>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124EF5"/>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167D8D"/>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07C50C1"/>
    <w:multiLevelType w:val="hybridMultilevel"/>
    <w:tmpl w:val="B39CF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916C94"/>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C430424"/>
    <w:multiLevelType w:val="hybridMultilevel"/>
    <w:tmpl w:val="28EC4CF0"/>
    <w:lvl w:ilvl="0" w:tplc="16B68AC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DAF2761"/>
    <w:multiLevelType w:val="hybridMultilevel"/>
    <w:tmpl w:val="E47C2F16"/>
    <w:lvl w:ilvl="0" w:tplc="CB3E82CC">
      <w:start w:val="1"/>
      <w:numFmt w:val="upperRoman"/>
      <w:lvlText w:val="%1."/>
      <w:lvlJc w:val="left"/>
      <w:pPr>
        <w:tabs>
          <w:tab w:val="num" w:pos="1440"/>
        </w:tabs>
        <w:ind w:left="1440" w:hanging="720"/>
      </w:pPr>
      <w:rPr>
        <w:rFonts w:cs="Times New Roman"/>
        <w:b/>
      </w:rPr>
    </w:lvl>
    <w:lvl w:ilvl="1" w:tplc="817A8DEA">
      <w:start w:val="5"/>
      <w:numFmt w:val="bullet"/>
      <w:lvlText w:val="-"/>
      <w:lvlJc w:val="left"/>
      <w:pPr>
        <w:ind w:left="1800" w:hanging="360"/>
      </w:pPr>
      <w:rPr>
        <w:rFonts w:ascii="Cambria" w:eastAsia="Arial Unicode MS" w:hAnsi="Cambria" w:cs="Times New Roman" w:hint="default"/>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3DC61D90"/>
    <w:multiLevelType w:val="hybridMultilevel"/>
    <w:tmpl w:val="B37AC88C"/>
    <w:lvl w:ilvl="0" w:tplc="59FA683E">
      <w:start w:val="1"/>
      <w:numFmt w:val="decimal"/>
      <w:lvlText w:val="%1."/>
      <w:lvlJc w:val="left"/>
      <w:pPr>
        <w:tabs>
          <w:tab w:val="num" w:pos="1080"/>
        </w:tabs>
        <w:ind w:left="1080" w:hanging="360"/>
      </w:pPr>
      <w:rPr>
        <w:rFonts w:ascii="Cambria" w:hAnsi="Cambria" w:cs="Times New Roman" w:hint="default"/>
        <w:b w:val="0"/>
        <w:i w:val="0"/>
        <w:sz w:val="20"/>
        <w:szCs w:val="20"/>
        <w:lang w:val="es-VE"/>
      </w:rPr>
    </w:lvl>
    <w:lvl w:ilvl="1" w:tplc="41189D3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1A63FFB"/>
    <w:multiLevelType w:val="hybridMultilevel"/>
    <w:tmpl w:val="22F0B3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151612"/>
    <w:multiLevelType w:val="hybridMultilevel"/>
    <w:tmpl w:val="F46EA048"/>
    <w:lvl w:ilvl="0" w:tplc="A334B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5225E1"/>
    <w:multiLevelType w:val="hybridMultilevel"/>
    <w:tmpl w:val="983A6A8E"/>
    <w:lvl w:ilvl="0" w:tplc="512A358C">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F7B63B5"/>
    <w:multiLevelType w:val="hybridMultilevel"/>
    <w:tmpl w:val="89F4C518"/>
    <w:lvl w:ilvl="0" w:tplc="C43A80A0">
      <w:start w:val="1"/>
      <w:numFmt w:val="upperRoman"/>
      <w:pStyle w:val="Heading1"/>
      <w:lvlText w:val="%1."/>
      <w:lvlJc w:val="left"/>
      <w:pPr>
        <w:tabs>
          <w:tab w:val="num" w:pos="1080"/>
        </w:tabs>
        <w:ind w:left="1080" w:hanging="720"/>
      </w:pPr>
    </w:lvl>
    <w:lvl w:ilvl="1" w:tplc="736A0FE4">
      <w:start w:val="2"/>
      <w:numFmt w:val="upperLetter"/>
      <w:lvlText w:val="%2."/>
      <w:lvlJc w:val="left"/>
      <w:pPr>
        <w:tabs>
          <w:tab w:val="num" w:pos="2520"/>
        </w:tabs>
        <w:ind w:left="2520" w:hanging="144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5F312A7"/>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D722C1E"/>
    <w:multiLevelType w:val="hybridMultilevel"/>
    <w:tmpl w:val="5084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7D4B9D"/>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101BB"/>
    <w:multiLevelType w:val="hybridMultilevel"/>
    <w:tmpl w:val="B2F4B498"/>
    <w:lvl w:ilvl="0" w:tplc="C7360626">
      <w:start w:val="1"/>
      <w:numFmt w:val="upperRoman"/>
      <w:lvlText w:val="%1."/>
      <w:lvlJc w:val="left"/>
      <w:pPr>
        <w:tabs>
          <w:tab w:val="num" w:pos="1440"/>
        </w:tabs>
        <w:ind w:left="1440" w:hanging="720"/>
      </w:pPr>
      <w:rPr>
        <w:rFonts w:cs="Times New Roman"/>
        <w:b/>
        <w:lang w:val="es-VE"/>
      </w:rPr>
    </w:lvl>
    <w:lvl w:ilvl="1" w:tplc="240A0019">
      <w:start w:val="1"/>
      <w:numFmt w:val="lowerLetter"/>
      <w:lvlText w:val="%2."/>
      <w:lvlJc w:val="left"/>
      <w:pPr>
        <w:tabs>
          <w:tab w:val="num" w:pos="1800"/>
        </w:tabs>
        <w:ind w:left="1800" w:hanging="360"/>
      </w:pPr>
      <w:rPr>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68FE237D"/>
    <w:multiLevelType w:val="hybridMultilevel"/>
    <w:tmpl w:val="310CF358"/>
    <w:lvl w:ilvl="0" w:tplc="CB3E82CC">
      <w:start w:val="1"/>
      <w:numFmt w:val="upperRoman"/>
      <w:lvlText w:val="%1."/>
      <w:lvlJc w:val="left"/>
      <w:pPr>
        <w:tabs>
          <w:tab w:val="num" w:pos="1440"/>
        </w:tabs>
        <w:ind w:left="1440" w:hanging="720"/>
      </w:pPr>
      <w:rPr>
        <w:rFonts w:cs="Times New Roman"/>
        <w:b/>
      </w:rPr>
    </w:lvl>
    <w:lvl w:ilvl="1" w:tplc="817A8DEA">
      <w:start w:val="5"/>
      <w:numFmt w:val="bullet"/>
      <w:lvlText w:val="-"/>
      <w:lvlJc w:val="left"/>
      <w:pPr>
        <w:ind w:left="1800" w:hanging="360"/>
      </w:pPr>
      <w:rPr>
        <w:rFonts w:ascii="Cambria" w:eastAsia="Arial Unicode MS" w:hAnsi="Cambria" w:cs="Times New Roman" w:hint="default"/>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6AE51601"/>
    <w:multiLevelType w:val="hybridMultilevel"/>
    <w:tmpl w:val="B39CF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BAE4490"/>
    <w:multiLevelType w:val="hybridMultilevel"/>
    <w:tmpl w:val="8BEEA278"/>
    <w:lvl w:ilvl="0" w:tplc="530076CA">
      <w:start w:val="1"/>
      <w:numFmt w:val="upperLetter"/>
      <w:lvlText w:val="%1."/>
      <w:lvlJc w:val="left"/>
      <w:pPr>
        <w:ind w:left="1080" w:hanging="360"/>
      </w:pPr>
      <w:rPr>
        <w:rFonts w:hint="default"/>
        <w:lang w:val="es-E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6BCF3E89"/>
    <w:multiLevelType w:val="hybridMultilevel"/>
    <w:tmpl w:val="3514B9F2"/>
    <w:lvl w:ilvl="0" w:tplc="1A92C91A">
      <w:start w:val="1"/>
      <w:numFmt w:val="upperLetter"/>
      <w:lvlText w:val="%1."/>
      <w:lvlJc w:val="left"/>
      <w:pPr>
        <w:ind w:left="1080" w:hanging="360"/>
      </w:pPr>
      <w:rPr>
        <w:rFonts w:hint="default"/>
        <w:lang w:val="es-V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15"/>
  </w:num>
  <w:num w:numId="12">
    <w:abstractNumId w:val="7"/>
  </w:num>
  <w:num w:numId="13">
    <w:abstractNumId w:val="3"/>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14"/>
    <w:lvlOverride w:ilvl="0">
      <w:startOverride w:val="1"/>
    </w:lvlOverride>
    <w:lvlOverride w:ilvl="1">
      <w:startOverride w:val="1"/>
    </w:lvlOverride>
  </w:num>
  <w:num w:numId="20">
    <w:abstractNumId w:val="2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0"/>
  </w:num>
  <w:num w:numId="25">
    <w:abstractNumId w:val="0"/>
  </w:num>
  <w:num w:numId="26">
    <w:abstractNumId w:val="11"/>
  </w:num>
  <w:num w:numId="27">
    <w:abstractNumId w:val="21"/>
  </w:num>
  <w:num w:numId="28">
    <w:abstractNumId w:val="2"/>
  </w:num>
  <w:num w:numId="29">
    <w:abstractNumId w:val="6"/>
  </w:num>
  <w:num w:numId="30">
    <w:abstractNumId w:val="12"/>
  </w:num>
  <w:num w:numId="31">
    <w:abstractNumId w:val="18"/>
  </w:num>
  <w:num w:numId="3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6"/>
  <w:hyphenationZone w:val="425"/>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FF"/>
    <w:rsid w:val="00003FA9"/>
    <w:rsid w:val="00005689"/>
    <w:rsid w:val="0001201B"/>
    <w:rsid w:val="00013E9D"/>
    <w:rsid w:val="00014710"/>
    <w:rsid w:val="00014A04"/>
    <w:rsid w:val="000156A0"/>
    <w:rsid w:val="000161D5"/>
    <w:rsid w:val="00017825"/>
    <w:rsid w:val="00017F87"/>
    <w:rsid w:val="000213F4"/>
    <w:rsid w:val="00021888"/>
    <w:rsid w:val="0002468B"/>
    <w:rsid w:val="00033385"/>
    <w:rsid w:val="00042CE0"/>
    <w:rsid w:val="00042E0D"/>
    <w:rsid w:val="00044A86"/>
    <w:rsid w:val="00044B8B"/>
    <w:rsid w:val="000469B3"/>
    <w:rsid w:val="00047B31"/>
    <w:rsid w:val="0005579B"/>
    <w:rsid w:val="00064157"/>
    <w:rsid w:val="00064319"/>
    <w:rsid w:val="00065215"/>
    <w:rsid w:val="000803FA"/>
    <w:rsid w:val="00080931"/>
    <w:rsid w:val="00082354"/>
    <w:rsid w:val="00086BE4"/>
    <w:rsid w:val="00087023"/>
    <w:rsid w:val="00090E3A"/>
    <w:rsid w:val="00090FC3"/>
    <w:rsid w:val="00091AB3"/>
    <w:rsid w:val="000957C4"/>
    <w:rsid w:val="000A0A32"/>
    <w:rsid w:val="000A46BD"/>
    <w:rsid w:val="000A773A"/>
    <w:rsid w:val="000B1E93"/>
    <w:rsid w:val="000B6577"/>
    <w:rsid w:val="000C09DE"/>
    <w:rsid w:val="000C5859"/>
    <w:rsid w:val="000D0BA0"/>
    <w:rsid w:val="000D6644"/>
    <w:rsid w:val="000E0DB2"/>
    <w:rsid w:val="000E7B68"/>
    <w:rsid w:val="000F1B1D"/>
    <w:rsid w:val="000F1C7F"/>
    <w:rsid w:val="000F4E38"/>
    <w:rsid w:val="000F611A"/>
    <w:rsid w:val="00113DD5"/>
    <w:rsid w:val="00114302"/>
    <w:rsid w:val="001218BE"/>
    <w:rsid w:val="001275E2"/>
    <w:rsid w:val="00132B9C"/>
    <w:rsid w:val="0013354F"/>
    <w:rsid w:val="00141FD8"/>
    <w:rsid w:val="00145F5C"/>
    <w:rsid w:val="00155373"/>
    <w:rsid w:val="001612C7"/>
    <w:rsid w:val="00163E7D"/>
    <w:rsid w:val="00167380"/>
    <w:rsid w:val="00172650"/>
    <w:rsid w:val="00173C1D"/>
    <w:rsid w:val="00181244"/>
    <w:rsid w:val="00183077"/>
    <w:rsid w:val="00184F0D"/>
    <w:rsid w:val="001868EA"/>
    <w:rsid w:val="00187D7E"/>
    <w:rsid w:val="001A110B"/>
    <w:rsid w:val="001A4379"/>
    <w:rsid w:val="001A50AE"/>
    <w:rsid w:val="001A5C83"/>
    <w:rsid w:val="001A5D20"/>
    <w:rsid w:val="001A667F"/>
    <w:rsid w:val="001B69F1"/>
    <w:rsid w:val="001C1B1B"/>
    <w:rsid w:val="001C5917"/>
    <w:rsid w:val="001C6BE3"/>
    <w:rsid w:val="001D23F2"/>
    <w:rsid w:val="001D4444"/>
    <w:rsid w:val="001D6135"/>
    <w:rsid w:val="001D677C"/>
    <w:rsid w:val="001D699B"/>
    <w:rsid w:val="001D6D44"/>
    <w:rsid w:val="001F2FA2"/>
    <w:rsid w:val="001F4390"/>
    <w:rsid w:val="00205F09"/>
    <w:rsid w:val="00206534"/>
    <w:rsid w:val="00210782"/>
    <w:rsid w:val="00212A2E"/>
    <w:rsid w:val="0021623A"/>
    <w:rsid w:val="00216E6A"/>
    <w:rsid w:val="00220BE2"/>
    <w:rsid w:val="00222F90"/>
    <w:rsid w:val="00223318"/>
    <w:rsid w:val="002265EB"/>
    <w:rsid w:val="002305F5"/>
    <w:rsid w:val="0023498B"/>
    <w:rsid w:val="00234ED2"/>
    <w:rsid w:val="002363E8"/>
    <w:rsid w:val="00243943"/>
    <w:rsid w:val="00243D64"/>
    <w:rsid w:val="00245A6D"/>
    <w:rsid w:val="00247D27"/>
    <w:rsid w:val="00253F87"/>
    <w:rsid w:val="00265166"/>
    <w:rsid w:val="002770D9"/>
    <w:rsid w:val="00280BD3"/>
    <w:rsid w:val="00284A61"/>
    <w:rsid w:val="002911FE"/>
    <w:rsid w:val="002A2E72"/>
    <w:rsid w:val="002B0F01"/>
    <w:rsid w:val="002B17C5"/>
    <w:rsid w:val="002B1EFC"/>
    <w:rsid w:val="002B304E"/>
    <w:rsid w:val="002B3EE9"/>
    <w:rsid w:val="002C5377"/>
    <w:rsid w:val="002C6BD3"/>
    <w:rsid w:val="002C6F32"/>
    <w:rsid w:val="002E08C2"/>
    <w:rsid w:val="002F281B"/>
    <w:rsid w:val="00300EA9"/>
    <w:rsid w:val="0030105A"/>
    <w:rsid w:val="00302311"/>
    <w:rsid w:val="00307A75"/>
    <w:rsid w:val="00313D14"/>
    <w:rsid w:val="003203FD"/>
    <w:rsid w:val="003267F4"/>
    <w:rsid w:val="0034067D"/>
    <w:rsid w:val="00351675"/>
    <w:rsid w:val="00353094"/>
    <w:rsid w:val="00357644"/>
    <w:rsid w:val="00365C2F"/>
    <w:rsid w:val="00365D0D"/>
    <w:rsid w:val="0036724C"/>
    <w:rsid w:val="00370151"/>
    <w:rsid w:val="0037347D"/>
    <w:rsid w:val="003739FD"/>
    <w:rsid w:val="00374359"/>
    <w:rsid w:val="003760F3"/>
    <w:rsid w:val="00382ACD"/>
    <w:rsid w:val="00383EF5"/>
    <w:rsid w:val="003928F7"/>
    <w:rsid w:val="003A4D11"/>
    <w:rsid w:val="003A5A3D"/>
    <w:rsid w:val="003B1566"/>
    <w:rsid w:val="003C3D87"/>
    <w:rsid w:val="003C58AF"/>
    <w:rsid w:val="003D19F9"/>
    <w:rsid w:val="003E2E86"/>
    <w:rsid w:val="003E3156"/>
    <w:rsid w:val="003E50CE"/>
    <w:rsid w:val="003E5E36"/>
    <w:rsid w:val="003E7D8C"/>
    <w:rsid w:val="003F09B2"/>
    <w:rsid w:val="003F174C"/>
    <w:rsid w:val="003F5C80"/>
    <w:rsid w:val="00412FB1"/>
    <w:rsid w:val="00417355"/>
    <w:rsid w:val="00417A59"/>
    <w:rsid w:val="00423706"/>
    <w:rsid w:val="00424030"/>
    <w:rsid w:val="00427380"/>
    <w:rsid w:val="004352BA"/>
    <w:rsid w:val="0043593A"/>
    <w:rsid w:val="00436CB9"/>
    <w:rsid w:val="00441EE2"/>
    <w:rsid w:val="00442DFC"/>
    <w:rsid w:val="00443DCC"/>
    <w:rsid w:val="00447612"/>
    <w:rsid w:val="0044772B"/>
    <w:rsid w:val="004479EF"/>
    <w:rsid w:val="00454107"/>
    <w:rsid w:val="00457F4F"/>
    <w:rsid w:val="00460B21"/>
    <w:rsid w:val="004639DE"/>
    <w:rsid w:val="00465859"/>
    <w:rsid w:val="004713D8"/>
    <w:rsid w:val="00472B1F"/>
    <w:rsid w:val="00475F6A"/>
    <w:rsid w:val="00476F85"/>
    <w:rsid w:val="00480437"/>
    <w:rsid w:val="0048043A"/>
    <w:rsid w:val="00484949"/>
    <w:rsid w:val="00487169"/>
    <w:rsid w:val="00493ADE"/>
    <w:rsid w:val="0049787C"/>
    <w:rsid w:val="004A2443"/>
    <w:rsid w:val="004A3574"/>
    <w:rsid w:val="004A6064"/>
    <w:rsid w:val="004B1B1E"/>
    <w:rsid w:val="004B28C2"/>
    <w:rsid w:val="004B42A2"/>
    <w:rsid w:val="004C4CBD"/>
    <w:rsid w:val="004D067B"/>
    <w:rsid w:val="004D5ABE"/>
    <w:rsid w:val="004E1A07"/>
    <w:rsid w:val="004E2CA9"/>
    <w:rsid w:val="004E322E"/>
    <w:rsid w:val="004E5209"/>
    <w:rsid w:val="004E6005"/>
    <w:rsid w:val="004E6F8D"/>
    <w:rsid w:val="004F04B8"/>
    <w:rsid w:val="00500762"/>
    <w:rsid w:val="005014F7"/>
    <w:rsid w:val="00502262"/>
    <w:rsid w:val="005029B5"/>
    <w:rsid w:val="005037AA"/>
    <w:rsid w:val="00511991"/>
    <w:rsid w:val="005153B2"/>
    <w:rsid w:val="00516F75"/>
    <w:rsid w:val="005254A2"/>
    <w:rsid w:val="0052556A"/>
    <w:rsid w:val="00536649"/>
    <w:rsid w:val="00541AF3"/>
    <w:rsid w:val="005422F2"/>
    <w:rsid w:val="00542B24"/>
    <w:rsid w:val="0054379A"/>
    <w:rsid w:val="00550C61"/>
    <w:rsid w:val="00551348"/>
    <w:rsid w:val="005601EE"/>
    <w:rsid w:val="00567BDE"/>
    <w:rsid w:val="00573462"/>
    <w:rsid w:val="00581F95"/>
    <w:rsid w:val="00585660"/>
    <w:rsid w:val="005957AE"/>
    <w:rsid w:val="005A0ACA"/>
    <w:rsid w:val="005A431E"/>
    <w:rsid w:val="005A4804"/>
    <w:rsid w:val="005B2055"/>
    <w:rsid w:val="005B3772"/>
    <w:rsid w:val="005B3DA0"/>
    <w:rsid w:val="005C0AA7"/>
    <w:rsid w:val="005C55DA"/>
    <w:rsid w:val="005D0148"/>
    <w:rsid w:val="005D19CD"/>
    <w:rsid w:val="005D214F"/>
    <w:rsid w:val="005E0FFF"/>
    <w:rsid w:val="005E16DE"/>
    <w:rsid w:val="00601750"/>
    <w:rsid w:val="0060260F"/>
    <w:rsid w:val="0060680E"/>
    <w:rsid w:val="00613D5A"/>
    <w:rsid w:val="00615A60"/>
    <w:rsid w:val="006249F3"/>
    <w:rsid w:val="00633E9F"/>
    <w:rsid w:val="006401D4"/>
    <w:rsid w:val="00641A55"/>
    <w:rsid w:val="00642488"/>
    <w:rsid w:val="006529CF"/>
    <w:rsid w:val="0065619F"/>
    <w:rsid w:val="006570C9"/>
    <w:rsid w:val="00673485"/>
    <w:rsid w:val="0067357F"/>
    <w:rsid w:val="00683925"/>
    <w:rsid w:val="00683CE9"/>
    <w:rsid w:val="00697D7B"/>
    <w:rsid w:val="006A6F63"/>
    <w:rsid w:val="006A6FDF"/>
    <w:rsid w:val="006B2276"/>
    <w:rsid w:val="006B3202"/>
    <w:rsid w:val="006B63E0"/>
    <w:rsid w:val="006B74E0"/>
    <w:rsid w:val="006C00C8"/>
    <w:rsid w:val="006D111F"/>
    <w:rsid w:val="006D1C53"/>
    <w:rsid w:val="006E4BF6"/>
    <w:rsid w:val="006E5C1D"/>
    <w:rsid w:val="006E6ED0"/>
    <w:rsid w:val="006F15C1"/>
    <w:rsid w:val="006F67FA"/>
    <w:rsid w:val="007016B5"/>
    <w:rsid w:val="00702699"/>
    <w:rsid w:val="00706230"/>
    <w:rsid w:val="007128FC"/>
    <w:rsid w:val="00712CAD"/>
    <w:rsid w:val="00714472"/>
    <w:rsid w:val="00714742"/>
    <w:rsid w:val="00721FD2"/>
    <w:rsid w:val="0073044A"/>
    <w:rsid w:val="00732C90"/>
    <w:rsid w:val="00736EB0"/>
    <w:rsid w:val="00737337"/>
    <w:rsid w:val="007374FF"/>
    <w:rsid w:val="0073760A"/>
    <w:rsid w:val="00743380"/>
    <w:rsid w:val="00743AE4"/>
    <w:rsid w:val="007451F8"/>
    <w:rsid w:val="00757011"/>
    <w:rsid w:val="00764166"/>
    <w:rsid w:val="00764421"/>
    <w:rsid w:val="00772DD7"/>
    <w:rsid w:val="00777EAC"/>
    <w:rsid w:val="00780B17"/>
    <w:rsid w:val="007826B8"/>
    <w:rsid w:val="00794662"/>
    <w:rsid w:val="00794EF9"/>
    <w:rsid w:val="0079623D"/>
    <w:rsid w:val="00796805"/>
    <w:rsid w:val="007A03BA"/>
    <w:rsid w:val="007A498E"/>
    <w:rsid w:val="007B4FB8"/>
    <w:rsid w:val="007D0F34"/>
    <w:rsid w:val="007D75F6"/>
    <w:rsid w:val="007E238F"/>
    <w:rsid w:val="007F0662"/>
    <w:rsid w:val="00800DD0"/>
    <w:rsid w:val="00803ACD"/>
    <w:rsid w:val="00806847"/>
    <w:rsid w:val="00812C6D"/>
    <w:rsid w:val="00812E07"/>
    <w:rsid w:val="00813EDE"/>
    <w:rsid w:val="00814D11"/>
    <w:rsid w:val="00816051"/>
    <w:rsid w:val="00822D2D"/>
    <w:rsid w:val="00823D34"/>
    <w:rsid w:val="00835991"/>
    <w:rsid w:val="00837072"/>
    <w:rsid w:val="00853247"/>
    <w:rsid w:val="00854A79"/>
    <w:rsid w:val="0085608D"/>
    <w:rsid w:val="0086481C"/>
    <w:rsid w:val="00874B74"/>
    <w:rsid w:val="00884726"/>
    <w:rsid w:val="00887CAC"/>
    <w:rsid w:val="0089053E"/>
    <w:rsid w:val="008A7BA0"/>
    <w:rsid w:val="008B1F4F"/>
    <w:rsid w:val="008B2E5C"/>
    <w:rsid w:val="008B3E1E"/>
    <w:rsid w:val="008B45C5"/>
    <w:rsid w:val="008B56E2"/>
    <w:rsid w:val="008B5FAA"/>
    <w:rsid w:val="008C21F8"/>
    <w:rsid w:val="008D3986"/>
    <w:rsid w:val="008E06BF"/>
    <w:rsid w:val="008E1375"/>
    <w:rsid w:val="008E407E"/>
    <w:rsid w:val="008F432D"/>
    <w:rsid w:val="008F446D"/>
    <w:rsid w:val="00900C2A"/>
    <w:rsid w:val="0090387A"/>
    <w:rsid w:val="00911E82"/>
    <w:rsid w:val="00912201"/>
    <w:rsid w:val="00913F87"/>
    <w:rsid w:val="00916B27"/>
    <w:rsid w:val="009170EA"/>
    <w:rsid w:val="009222FF"/>
    <w:rsid w:val="00931B78"/>
    <w:rsid w:val="0093785B"/>
    <w:rsid w:val="00937EFE"/>
    <w:rsid w:val="00945345"/>
    <w:rsid w:val="009465B9"/>
    <w:rsid w:val="00950876"/>
    <w:rsid w:val="00951360"/>
    <w:rsid w:val="0095684E"/>
    <w:rsid w:val="00956F08"/>
    <w:rsid w:val="0096307E"/>
    <w:rsid w:val="0096546C"/>
    <w:rsid w:val="00965684"/>
    <w:rsid w:val="00967D28"/>
    <w:rsid w:val="00981B8A"/>
    <w:rsid w:val="00981D7A"/>
    <w:rsid w:val="00985FBD"/>
    <w:rsid w:val="00987A72"/>
    <w:rsid w:val="0099259B"/>
    <w:rsid w:val="009935B8"/>
    <w:rsid w:val="009949E2"/>
    <w:rsid w:val="0099531B"/>
    <w:rsid w:val="009953C1"/>
    <w:rsid w:val="009976CC"/>
    <w:rsid w:val="00997AED"/>
    <w:rsid w:val="009B17C8"/>
    <w:rsid w:val="009B1DE3"/>
    <w:rsid w:val="009B4198"/>
    <w:rsid w:val="009C0DAE"/>
    <w:rsid w:val="009C22A3"/>
    <w:rsid w:val="009C37A7"/>
    <w:rsid w:val="009C4697"/>
    <w:rsid w:val="009C600A"/>
    <w:rsid w:val="009D0CB2"/>
    <w:rsid w:val="009D38E0"/>
    <w:rsid w:val="009D50E3"/>
    <w:rsid w:val="009D5EC0"/>
    <w:rsid w:val="009E2BEE"/>
    <w:rsid w:val="009E7A68"/>
    <w:rsid w:val="009F0872"/>
    <w:rsid w:val="009F1FCF"/>
    <w:rsid w:val="00A0023C"/>
    <w:rsid w:val="00A04277"/>
    <w:rsid w:val="00A04318"/>
    <w:rsid w:val="00A102F0"/>
    <w:rsid w:val="00A12B6F"/>
    <w:rsid w:val="00A13B77"/>
    <w:rsid w:val="00A15943"/>
    <w:rsid w:val="00A168F4"/>
    <w:rsid w:val="00A21B29"/>
    <w:rsid w:val="00A4464F"/>
    <w:rsid w:val="00A5074E"/>
    <w:rsid w:val="00A53726"/>
    <w:rsid w:val="00A56D05"/>
    <w:rsid w:val="00A634B6"/>
    <w:rsid w:val="00A64298"/>
    <w:rsid w:val="00A7034B"/>
    <w:rsid w:val="00A7244C"/>
    <w:rsid w:val="00A768BE"/>
    <w:rsid w:val="00A77B83"/>
    <w:rsid w:val="00A87122"/>
    <w:rsid w:val="00A924C0"/>
    <w:rsid w:val="00AA1E0B"/>
    <w:rsid w:val="00AA4271"/>
    <w:rsid w:val="00AB3BE4"/>
    <w:rsid w:val="00AB4D73"/>
    <w:rsid w:val="00AC1125"/>
    <w:rsid w:val="00AC4F5D"/>
    <w:rsid w:val="00AC69EE"/>
    <w:rsid w:val="00AD1927"/>
    <w:rsid w:val="00AD1BF3"/>
    <w:rsid w:val="00AD5338"/>
    <w:rsid w:val="00AE6AE1"/>
    <w:rsid w:val="00AF265D"/>
    <w:rsid w:val="00AF57F8"/>
    <w:rsid w:val="00B042D1"/>
    <w:rsid w:val="00B0437E"/>
    <w:rsid w:val="00B068D1"/>
    <w:rsid w:val="00B30651"/>
    <w:rsid w:val="00B31F88"/>
    <w:rsid w:val="00B32172"/>
    <w:rsid w:val="00B411A3"/>
    <w:rsid w:val="00B41C67"/>
    <w:rsid w:val="00B42B12"/>
    <w:rsid w:val="00B461AB"/>
    <w:rsid w:val="00B50486"/>
    <w:rsid w:val="00B50823"/>
    <w:rsid w:val="00B5309D"/>
    <w:rsid w:val="00B53DF4"/>
    <w:rsid w:val="00B61B36"/>
    <w:rsid w:val="00B63BD6"/>
    <w:rsid w:val="00B73D7D"/>
    <w:rsid w:val="00B84573"/>
    <w:rsid w:val="00BA26D7"/>
    <w:rsid w:val="00BA29BE"/>
    <w:rsid w:val="00BC0018"/>
    <w:rsid w:val="00BC0DCD"/>
    <w:rsid w:val="00BC48F1"/>
    <w:rsid w:val="00BC6AC6"/>
    <w:rsid w:val="00BD2EB3"/>
    <w:rsid w:val="00BD513A"/>
    <w:rsid w:val="00BD56C8"/>
    <w:rsid w:val="00BE00A9"/>
    <w:rsid w:val="00BE38BC"/>
    <w:rsid w:val="00BF0A81"/>
    <w:rsid w:val="00BF2A11"/>
    <w:rsid w:val="00BF537F"/>
    <w:rsid w:val="00BF6AF8"/>
    <w:rsid w:val="00C0274D"/>
    <w:rsid w:val="00C161F8"/>
    <w:rsid w:val="00C24006"/>
    <w:rsid w:val="00C412B9"/>
    <w:rsid w:val="00C42FCD"/>
    <w:rsid w:val="00C43F2D"/>
    <w:rsid w:val="00C446B7"/>
    <w:rsid w:val="00C44DD8"/>
    <w:rsid w:val="00C461B3"/>
    <w:rsid w:val="00C470E4"/>
    <w:rsid w:val="00C54C0C"/>
    <w:rsid w:val="00C60AB0"/>
    <w:rsid w:val="00C62148"/>
    <w:rsid w:val="00C77DC5"/>
    <w:rsid w:val="00C82286"/>
    <w:rsid w:val="00C83DB4"/>
    <w:rsid w:val="00C85A28"/>
    <w:rsid w:val="00C92488"/>
    <w:rsid w:val="00CA45A7"/>
    <w:rsid w:val="00CA609A"/>
    <w:rsid w:val="00CA6924"/>
    <w:rsid w:val="00CB0E80"/>
    <w:rsid w:val="00CC080F"/>
    <w:rsid w:val="00CC19ED"/>
    <w:rsid w:val="00CC1E0A"/>
    <w:rsid w:val="00CC2F02"/>
    <w:rsid w:val="00CD37ED"/>
    <w:rsid w:val="00CD4574"/>
    <w:rsid w:val="00CD534C"/>
    <w:rsid w:val="00CD70E3"/>
    <w:rsid w:val="00CD724C"/>
    <w:rsid w:val="00CE5DF6"/>
    <w:rsid w:val="00CE6281"/>
    <w:rsid w:val="00CE6AEC"/>
    <w:rsid w:val="00CF5DAD"/>
    <w:rsid w:val="00D0013C"/>
    <w:rsid w:val="00D0042D"/>
    <w:rsid w:val="00D03964"/>
    <w:rsid w:val="00D043C9"/>
    <w:rsid w:val="00D06B4B"/>
    <w:rsid w:val="00D15D11"/>
    <w:rsid w:val="00D21993"/>
    <w:rsid w:val="00D2643D"/>
    <w:rsid w:val="00D3035B"/>
    <w:rsid w:val="00D41F72"/>
    <w:rsid w:val="00D4300D"/>
    <w:rsid w:val="00D50A8F"/>
    <w:rsid w:val="00D528C5"/>
    <w:rsid w:val="00D53C1E"/>
    <w:rsid w:val="00D560CC"/>
    <w:rsid w:val="00D56F60"/>
    <w:rsid w:val="00D60154"/>
    <w:rsid w:val="00D6186C"/>
    <w:rsid w:val="00D635C1"/>
    <w:rsid w:val="00D63EF6"/>
    <w:rsid w:val="00D65B90"/>
    <w:rsid w:val="00D70826"/>
    <w:rsid w:val="00D70F2C"/>
    <w:rsid w:val="00D7152E"/>
    <w:rsid w:val="00D71B97"/>
    <w:rsid w:val="00D73C5D"/>
    <w:rsid w:val="00D73FA7"/>
    <w:rsid w:val="00D83D12"/>
    <w:rsid w:val="00D92508"/>
    <w:rsid w:val="00D936DA"/>
    <w:rsid w:val="00D957B8"/>
    <w:rsid w:val="00D95948"/>
    <w:rsid w:val="00D95A61"/>
    <w:rsid w:val="00DA2588"/>
    <w:rsid w:val="00DA31B3"/>
    <w:rsid w:val="00DB2AD0"/>
    <w:rsid w:val="00DB42AF"/>
    <w:rsid w:val="00DC2C3C"/>
    <w:rsid w:val="00DC335F"/>
    <w:rsid w:val="00DD0A6F"/>
    <w:rsid w:val="00DD1F1C"/>
    <w:rsid w:val="00DE00B2"/>
    <w:rsid w:val="00DF051E"/>
    <w:rsid w:val="00DF06A9"/>
    <w:rsid w:val="00DF49CD"/>
    <w:rsid w:val="00E03554"/>
    <w:rsid w:val="00E03B71"/>
    <w:rsid w:val="00E03BC0"/>
    <w:rsid w:val="00E06D7D"/>
    <w:rsid w:val="00E126B1"/>
    <w:rsid w:val="00E137A7"/>
    <w:rsid w:val="00E13A0C"/>
    <w:rsid w:val="00E311AA"/>
    <w:rsid w:val="00E34D0D"/>
    <w:rsid w:val="00E40F45"/>
    <w:rsid w:val="00E420C7"/>
    <w:rsid w:val="00E453C9"/>
    <w:rsid w:val="00E46F03"/>
    <w:rsid w:val="00E53B8F"/>
    <w:rsid w:val="00E5654B"/>
    <w:rsid w:val="00E57F23"/>
    <w:rsid w:val="00E6009D"/>
    <w:rsid w:val="00E607F8"/>
    <w:rsid w:val="00E60D69"/>
    <w:rsid w:val="00E6560C"/>
    <w:rsid w:val="00E66256"/>
    <w:rsid w:val="00E66794"/>
    <w:rsid w:val="00E67FDE"/>
    <w:rsid w:val="00E70123"/>
    <w:rsid w:val="00E71675"/>
    <w:rsid w:val="00E804CE"/>
    <w:rsid w:val="00E81C8F"/>
    <w:rsid w:val="00E84191"/>
    <w:rsid w:val="00E86A49"/>
    <w:rsid w:val="00E9298B"/>
    <w:rsid w:val="00E941BE"/>
    <w:rsid w:val="00E945C5"/>
    <w:rsid w:val="00E95FDC"/>
    <w:rsid w:val="00E9737D"/>
    <w:rsid w:val="00E9794A"/>
    <w:rsid w:val="00E97FFB"/>
    <w:rsid w:val="00EA185C"/>
    <w:rsid w:val="00EB35E5"/>
    <w:rsid w:val="00EB5854"/>
    <w:rsid w:val="00EC640B"/>
    <w:rsid w:val="00ED15ED"/>
    <w:rsid w:val="00ED2DC0"/>
    <w:rsid w:val="00ED6AF1"/>
    <w:rsid w:val="00EE1C60"/>
    <w:rsid w:val="00EE336F"/>
    <w:rsid w:val="00EE646B"/>
    <w:rsid w:val="00EE6B98"/>
    <w:rsid w:val="00F051E8"/>
    <w:rsid w:val="00F0769F"/>
    <w:rsid w:val="00F12144"/>
    <w:rsid w:val="00F22AE2"/>
    <w:rsid w:val="00F240CD"/>
    <w:rsid w:val="00F30181"/>
    <w:rsid w:val="00F31C58"/>
    <w:rsid w:val="00F33BD5"/>
    <w:rsid w:val="00F36831"/>
    <w:rsid w:val="00F37910"/>
    <w:rsid w:val="00F4185C"/>
    <w:rsid w:val="00F4688E"/>
    <w:rsid w:val="00F55C31"/>
    <w:rsid w:val="00F61CF7"/>
    <w:rsid w:val="00F64F12"/>
    <w:rsid w:val="00F660E4"/>
    <w:rsid w:val="00F74021"/>
    <w:rsid w:val="00F74A37"/>
    <w:rsid w:val="00F776C2"/>
    <w:rsid w:val="00F80971"/>
    <w:rsid w:val="00F81445"/>
    <w:rsid w:val="00F81846"/>
    <w:rsid w:val="00F831A0"/>
    <w:rsid w:val="00F84FDE"/>
    <w:rsid w:val="00F86BE0"/>
    <w:rsid w:val="00FA038A"/>
    <w:rsid w:val="00FA13FA"/>
    <w:rsid w:val="00FA158E"/>
    <w:rsid w:val="00FB65DD"/>
    <w:rsid w:val="00FC3B77"/>
    <w:rsid w:val="00FC4C0B"/>
    <w:rsid w:val="00FC6CB2"/>
    <w:rsid w:val="00FC7A7A"/>
    <w:rsid w:val="00FD0288"/>
    <w:rsid w:val="00FD14F4"/>
    <w:rsid w:val="00FD1AD1"/>
    <w:rsid w:val="00FD2AB3"/>
    <w:rsid w:val="00FE00D2"/>
    <w:rsid w:val="00FE2CF4"/>
    <w:rsid w:val="00FE680E"/>
    <w:rsid w:val="00FE7A4A"/>
    <w:rsid w:val="00FF02C5"/>
    <w:rsid w:val="00FF566A"/>
    <w:rsid w:val="00FF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CO"/>
    </w:rPr>
  </w:style>
  <w:style w:type="paragraph" w:styleId="Heading1">
    <w:name w:val="heading 1"/>
    <w:basedOn w:val="Normal"/>
    <w:next w:val="Normal"/>
    <w:link w:val="Heading1Char"/>
    <w:qFormat/>
    <w:rsid w:val="007374FF"/>
    <w:pPr>
      <w:keepNext/>
      <w:numPr>
        <w:numId w:val="1"/>
      </w:numPr>
      <w:spacing w:after="0" w:line="240" w:lineRule="auto"/>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7374FF"/>
    <w:pPr>
      <w:keepNext/>
      <w:spacing w:after="0" w:line="240" w:lineRule="auto"/>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uiPriority w:val="9"/>
    <w:qFormat/>
    <w:rsid w:val="00BF537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74FF"/>
    <w:rPr>
      <w:rFonts w:ascii="Cambria" w:eastAsia="Times New Roman" w:hAnsi="Cambria"/>
      <w:b/>
      <w:lang w:val="es-ES_tradnl"/>
    </w:rPr>
  </w:style>
  <w:style w:type="character" w:customStyle="1" w:styleId="Heading2Char">
    <w:name w:val="Heading 2 Char"/>
    <w:link w:val="Heading2"/>
    <w:rsid w:val="007374FF"/>
    <w:rPr>
      <w:rFonts w:ascii="Cambria" w:eastAsia="Times New Roman" w:hAnsi="Cambria"/>
      <w:b/>
      <w:lang w:val="es-ES_tradnl" w:eastAsia="en-US"/>
    </w:rPr>
  </w:style>
  <w:style w:type="character" w:styleId="Hyperlink">
    <w:name w:val="Hyperlink"/>
    <w:uiPriority w:val="99"/>
    <w:unhideWhenUsed/>
    <w:rsid w:val="007374FF"/>
    <w:rPr>
      <w:u w:val="single"/>
    </w:rPr>
  </w:style>
  <w:style w:type="paragraph" w:styleId="TOC1">
    <w:name w:val="toc 1"/>
    <w:basedOn w:val="Normal"/>
    <w:next w:val="Normal"/>
    <w:autoRedefine/>
    <w:uiPriority w:val="39"/>
    <w:unhideWhenUsed/>
    <w:qFormat/>
    <w:rsid w:val="00243D64"/>
    <w:pPr>
      <w:tabs>
        <w:tab w:val="left" w:pos="1440"/>
        <w:tab w:val="right" w:leader="dot" w:pos="9360"/>
      </w:tabs>
      <w:spacing w:after="100" w:line="240" w:lineRule="auto"/>
    </w:pPr>
    <w:rPr>
      <w:rFonts w:eastAsia="Arial Unicode MS"/>
      <w:szCs w:val="24"/>
      <w:lang w:val="en-US"/>
    </w:rPr>
  </w:style>
  <w:style w:type="paragraph" w:styleId="TOC2">
    <w:name w:val="toc 2"/>
    <w:basedOn w:val="Normal"/>
    <w:next w:val="Normal"/>
    <w:autoRedefine/>
    <w:uiPriority w:val="39"/>
    <w:unhideWhenUsed/>
    <w:qFormat/>
    <w:rsid w:val="00E945C5"/>
    <w:pPr>
      <w:tabs>
        <w:tab w:val="left" w:pos="1440"/>
        <w:tab w:val="right" w:leader="dot" w:pos="9350"/>
      </w:tabs>
      <w:spacing w:after="100" w:line="240" w:lineRule="auto"/>
      <w:ind w:left="1428" w:hanging="720"/>
    </w:pPr>
    <w:rPr>
      <w:rFonts w:ascii="Times New Roman" w:eastAsia="Arial Unicode MS" w:hAnsi="Times New Roman"/>
      <w:sz w:val="24"/>
      <w:szCs w:val="24"/>
      <w:lang w:val="en-US"/>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f Char"/>
    <w:link w:val="FootnoteText"/>
    <w:qFormat/>
    <w:locked/>
    <w:rsid w:val="007374FF"/>
    <w:rPr>
      <w:rFonts w:cs="Calibri"/>
      <w:color w:val="000000"/>
      <w:u w:color="000000"/>
      <w:lang w:val="en-US"/>
    </w:rPr>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
    <w:link w:val="FootnoteTextChar"/>
    <w:unhideWhenUsed/>
    <w:qFormat/>
    <w:rsid w:val="007374FF"/>
    <w:rPr>
      <w:rFonts w:cs="Calibri"/>
      <w:color w:val="000000"/>
      <w:u w:color="000000"/>
      <w:lang w:eastAsia="es-CO"/>
    </w:rPr>
  </w:style>
  <w:style w:type="character" w:customStyle="1" w:styleId="FootnoteTextChar1">
    <w:name w:val="Footnote Text Char1"/>
    <w:uiPriority w:val="99"/>
    <w:semiHidden/>
    <w:rsid w:val="007374FF"/>
    <w:rPr>
      <w:lang w:eastAsia="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nhideWhenUsed/>
    <w:qFormat/>
    <w:rsid w:val="007374FF"/>
    <w:rPr>
      <w:rFonts w:ascii="Verdana" w:hAnsi="Verdana"/>
      <w:sz w:val="22"/>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7374FF"/>
    <w:pPr>
      <w:spacing w:before="200" w:after="160" w:line="240" w:lineRule="exact"/>
    </w:pPr>
    <w:rPr>
      <w:rFonts w:ascii="Verdana" w:hAnsi="Verdana"/>
      <w:szCs w:val="20"/>
      <w:vertAlign w:val="superscript"/>
      <w:lang w:eastAsia="es-CO"/>
    </w:rPr>
  </w:style>
  <w:style w:type="paragraph" w:customStyle="1" w:styleId="ColorfulList-Accent11">
    <w:name w:val="Colorful List - Accent 11"/>
    <w:aliases w:val="Párrafo de lista1,List Paragraph1,List Paragraph11,List Paragraph2"/>
    <w:basedOn w:val="Normal"/>
    <w:link w:val="ColorfulList-Accent1Char"/>
    <w:uiPriority w:val="99"/>
    <w:qFormat/>
    <w:rsid w:val="007374FF"/>
    <w:pPr>
      <w:ind w:left="708"/>
    </w:pPr>
  </w:style>
  <w:style w:type="character" w:styleId="CommentReference">
    <w:name w:val="annotation reference"/>
    <w:uiPriority w:val="99"/>
    <w:semiHidden/>
    <w:unhideWhenUsed/>
    <w:rsid w:val="007374FF"/>
    <w:rPr>
      <w:sz w:val="16"/>
      <w:szCs w:val="16"/>
    </w:rPr>
  </w:style>
  <w:style w:type="paragraph" w:styleId="CommentText">
    <w:name w:val="annotation text"/>
    <w:basedOn w:val="Normal"/>
    <w:link w:val="CommentTextChar"/>
    <w:uiPriority w:val="99"/>
    <w:semiHidden/>
    <w:unhideWhenUsed/>
    <w:rsid w:val="007374FF"/>
    <w:rPr>
      <w:sz w:val="20"/>
      <w:szCs w:val="20"/>
    </w:rPr>
  </w:style>
  <w:style w:type="character" w:customStyle="1" w:styleId="CommentTextChar">
    <w:name w:val="Comment Text Char"/>
    <w:link w:val="CommentText"/>
    <w:uiPriority w:val="99"/>
    <w:semiHidden/>
    <w:rsid w:val="007374FF"/>
    <w:rPr>
      <w:lang w:eastAsia="en-US"/>
    </w:rPr>
  </w:style>
  <w:style w:type="paragraph" w:styleId="Footer">
    <w:name w:val="footer"/>
    <w:link w:val="FooterChar"/>
    <w:uiPriority w:val="99"/>
    <w:rsid w:val="007374FF"/>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7374FF"/>
    <w:rPr>
      <w:rFonts w:ascii="Cambria" w:eastAsia="Cambria" w:hAnsi="Cambria" w:cs="Cambria"/>
      <w:color w:val="000000"/>
      <w:sz w:val="24"/>
      <w:szCs w:val="24"/>
      <w:u w:color="000000"/>
      <w:bdr w:val="nil"/>
      <w:lang w:val="en-US" w:eastAsia="es-ES"/>
    </w:rPr>
  </w:style>
  <w:style w:type="paragraph" w:styleId="Header">
    <w:name w:val="header"/>
    <w:aliases w:val="encabezado"/>
    <w:basedOn w:val="Normal"/>
    <w:link w:val="HeaderChar"/>
    <w:rsid w:val="007374FF"/>
    <w:pPr>
      <w:widowControl w:val="0"/>
      <w:tabs>
        <w:tab w:val="center" w:pos="4320"/>
        <w:tab w:val="right" w:pos="8640"/>
      </w:tabs>
      <w:snapToGrid w:val="0"/>
      <w:spacing w:after="0" w:line="240" w:lineRule="auto"/>
    </w:pPr>
    <w:rPr>
      <w:rFonts w:ascii="Univers" w:eastAsia="Times New Roman" w:hAnsi="Univers" w:cs="Univers"/>
      <w:sz w:val="24"/>
      <w:szCs w:val="24"/>
      <w:lang w:val="en-US"/>
    </w:rPr>
  </w:style>
  <w:style w:type="character" w:customStyle="1" w:styleId="HeaderChar">
    <w:name w:val="Header Char"/>
    <w:aliases w:val="encabezado Char"/>
    <w:link w:val="Header"/>
    <w:rsid w:val="007374FF"/>
    <w:rPr>
      <w:rFonts w:ascii="Univers" w:eastAsia="Times New Roman" w:hAnsi="Univers" w:cs="Univers"/>
      <w:sz w:val="24"/>
      <w:szCs w:val="24"/>
      <w:lang w:val="en-US" w:eastAsia="en-US"/>
    </w:rPr>
  </w:style>
  <w:style w:type="character" w:styleId="PageNumber">
    <w:name w:val="page number"/>
    <w:rsid w:val="007374FF"/>
  </w:style>
  <w:style w:type="paragraph" w:styleId="BalloonText">
    <w:name w:val="Balloon Text"/>
    <w:basedOn w:val="Normal"/>
    <w:link w:val="BalloonTextChar"/>
    <w:uiPriority w:val="99"/>
    <w:semiHidden/>
    <w:unhideWhenUsed/>
    <w:rsid w:val="007374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74F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CD4574"/>
    <w:rPr>
      <w:b/>
      <w:bCs/>
    </w:rPr>
  </w:style>
  <w:style w:type="character" w:customStyle="1" w:styleId="CommentSubjectChar">
    <w:name w:val="Comment Subject Char"/>
    <w:link w:val="CommentSubject"/>
    <w:uiPriority w:val="99"/>
    <w:semiHidden/>
    <w:rsid w:val="00CD4574"/>
    <w:rPr>
      <w:b/>
      <w:bCs/>
      <w:lang w:eastAsia="en-US"/>
    </w:rPr>
  </w:style>
  <w:style w:type="paragraph" w:customStyle="1" w:styleId="1">
    <w:name w:val="1"/>
    <w:basedOn w:val="Normal"/>
    <w:rsid w:val="00E67FDE"/>
    <w:pPr>
      <w:spacing w:after="160" w:line="240" w:lineRule="exact"/>
    </w:pPr>
    <w:rPr>
      <w:sz w:val="20"/>
      <w:szCs w:val="20"/>
      <w:vertAlign w:val="superscript"/>
      <w:lang w:eastAsia="es-CO"/>
    </w:rPr>
  </w:style>
  <w:style w:type="character" w:customStyle="1" w:styleId="ColorfulList-Accent1Char">
    <w:name w:val="Colorful List - Accent 1 Char"/>
    <w:aliases w:val="Párrafo de lista1 Char,List Paragraph1 Char,List Paragraph11 Char,Colorful List - Accent 11 Char,List Paragraph2 Char,List Paragraph Char,Medium Grid 1 - Accent 21 Char,Colorful List - Accent 12 Char"/>
    <w:link w:val="ColorfulList-Accent11"/>
    <w:locked/>
    <w:rsid w:val="001C1B1B"/>
    <w:rPr>
      <w:sz w:val="22"/>
      <w:szCs w:val="22"/>
      <w:lang w:eastAsia="en-US"/>
    </w:rPr>
  </w:style>
  <w:style w:type="character" w:styleId="Strong">
    <w:name w:val="Strong"/>
    <w:uiPriority w:val="22"/>
    <w:qFormat/>
    <w:rsid w:val="00A04277"/>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F1B1D"/>
    <w:pPr>
      <w:spacing w:after="160" w:line="240" w:lineRule="exact"/>
    </w:pPr>
    <w:rPr>
      <w:sz w:val="20"/>
      <w:szCs w:val="20"/>
      <w:vertAlign w:val="superscript"/>
      <w:lang w:eastAsia="es-CO"/>
    </w:rPr>
  </w:style>
  <w:style w:type="paragraph" w:styleId="BodyTextIndent">
    <w:name w:val="Body Text Indent"/>
    <w:link w:val="BodyTextIndentChar"/>
    <w:semiHidden/>
    <w:unhideWhenUsed/>
    <w:rsid w:val="00B32172"/>
    <w:pPr>
      <w:ind w:left="2160" w:hanging="720"/>
    </w:pPr>
    <w:rPr>
      <w:rFonts w:ascii="Times New Roman" w:eastAsia="Times New Roman" w:hAnsi="Times New Roman"/>
      <w:color w:val="000000"/>
      <w:sz w:val="24"/>
      <w:szCs w:val="24"/>
      <w:u w:color="000000"/>
      <w:lang w:val="es-ES_tradnl" w:eastAsia="es-ES"/>
    </w:rPr>
  </w:style>
  <w:style w:type="character" w:customStyle="1" w:styleId="BodyTextIndentChar">
    <w:name w:val="Body Text Indent Char"/>
    <w:link w:val="BodyTextIndent"/>
    <w:semiHidden/>
    <w:rsid w:val="00B32172"/>
    <w:rPr>
      <w:rFonts w:ascii="Times New Roman" w:eastAsia="Times New Roman" w:hAnsi="Times New Roman"/>
      <w:color w:val="000000"/>
      <w:sz w:val="24"/>
      <w:szCs w:val="24"/>
      <w:u w:color="000000"/>
      <w:lang w:val="es-ES_tradnl" w:eastAsia="es-ES"/>
    </w:rPr>
  </w:style>
  <w:style w:type="character" w:customStyle="1" w:styleId="Heading3Char">
    <w:name w:val="Heading 3 Char"/>
    <w:link w:val="Heading3"/>
    <w:uiPriority w:val="9"/>
    <w:rsid w:val="00BF537F"/>
    <w:rPr>
      <w:rFonts w:ascii="Cambria" w:eastAsia="Times New Roman" w:hAnsi="Cambria" w:cs="Times New Roman"/>
      <w:b/>
      <w:bCs/>
      <w:sz w:val="26"/>
      <w:szCs w:val="26"/>
      <w:lang w:eastAsia="en-US"/>
    </w:rPr>
  </w:style>
  <w:style w:type="paragraph" w:styleId="TOC3">
    <w:name w:val="toc 3"/>
    <w:basedOn w:val="Normal"/>
    <w:next w:val="Normal"/>
    <w:autoRedefine/>
    <w:uiPriority w:val="39"/>
    <w:unhideWhenUsed/>
    <w:rsid w:val="00516F75"/>
    <w:pPr>
      <w:ind w:left="440"/>
    </w:pPr>
  </w:style>
  <w:style w:type="paragraph" w:styleId="ListParagraph">
    <w:name w:val="List Paragraph"/>
    <w:aliases w:val="Medium Grid 1 - Accent 21,Colorful List - Accent 12,Lista vistosa - Énfasis 11"/>
    <w:basedOn w:val="Normal"/>
    <w:qFormat/>
    <w:rsid w:val="00210782"/>
    <w:pPr>
      <w:ind w:left="708"/>
    </w:pPr>
  </w:style>
  <w:style w:type="paragraph" w:styleId="BodyText3">
    <w:name w:val="Body Text 3"/>
    <w:basedOn w:val="Normal"/>
    <w:link w:val="BodyText3Char"/>
    <w:uiPriority w:val="99"/>
    <w:unhideWhenUsed/>
    <w:rsid w:val="00212A2E"/>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link w:val="BodyText3"/>
    <w:uiPriority w:val="99"/>
    <w:rsid w:val="00212A2E"/>
    <w:rPr>
      <w:rFonts w:ascii="Cambria" w:eastAsia="Arial Unicode MS" w:hAnsi="Cambria"/>
      <w:sz w:val="16"/>
      <w:szCs w:val="16"/>
      <w:bdr w:val="nil"/>
      <w:lang w:val="es-ES" w:eastAsia="es-ES"/>
    </w:rPr>
  </w:style>
  <w:style w:type="paragraph" w:styleId="EndnoteText">
    <w:name w:val="endnote text"/>
    <w:basedOn w:val="Normal"/>
    <w:link w:val="EndnoteTextChar"/>
    <w:uiPriority w:val="99"/>
    <w:semiHidden/>
    <w:unhideWhenUsed/>
    <w:rsid w:val="00CD70E3"/>
    <w:rPr>
      <w:sz w:val="20"/>
      <w:szCs w:val="20"/>
    </w:rPr>
  </w:style>
  <w:style w:type="character" w:customStyle="1" w:styleId="EndnoteTextChar">
    <w:name w:val="Endnote Text Char"/>
    <w:link w:val="EndnoteText"/>
    <w:uiPriority w:val="99"/>
    <w:semiHidden/>
    <w:rsid w:val="00CD70E3"/>
    <w:rPr>
      <w:lang w:eastAsia="en-US"/>
    </w:rPr>
  </w:style>
  <w:style w:type="character" w:styleId="EndnoteReference">
    <w:name w:val="endnote reference"/>
    <w:uiPriority w:val="99"/>
    <w:semiHidden/>
    <w:unhideWhenUsed/>
    <w:rsid w:val="00CD70E3"/>
    <w:rPr>
      <w:vertAlign w:val="superscript"/>
    </w:rPr>
  </w:style>
  <w:style w:type="paragraph" w:customStyle="1" w:styleId="Default">
    <w:name w:val="Default"/>
    <w:link w:val="DefaultChar"/>
    <w:rsid w:val="000803FA"/>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rsid w:val="000803FA"/>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CO"/>
    </w:rPr>
  </w:style>
  <w:style w:type="paragraph" w:styleId="Heading1">
    <w:name w:val="heading 1"/>
    <w:basedOn w:val="Normal"/>
    <w:next w:val="Normal"/>
    <w:link w:val="Heading1Char"/>
    <w:qFormat/>
    <w:rsid w:val="007374FF"/>
    <w:pPr>
      <w:keepNext/>
      <w:numPr>
        <w:numId w:val="1"/>
      </w:numPr>
      <w:spacing w:after="0" w:line="240" w:lineRule="auto"/>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7374FF"/>
    <w:pPr>
      <w:keepNext/>
      <w:spacing w:after="0" w:line="240" w:lineRule="auto"/>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uiPriority w:val="9"/>
    <w:qFormat/>
    <w:rsid w:val="00BF537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74FF"/>
    <w:rPr>
      <w:rFonts w:ascii="Cambria" w:eastAsia="Times New Roman" w:hAnsi="Cambria"/>
      <w:b/>
      <w:lang w:val="es-ES_tradnl"/>
    </w:rPr>
  </w:style>
  <w:style w:type="character" w:customStyle="1" w:styleId="Heading2Char">
    <w:name w:val="Heading 2 Char"/>
    <w:link w:val="Heading2"/>
    <w:rsid w:val="007374FF"/>
    <w:rPr>
      <w:rFonts w:ascii="Cambria" w:eastAsia="Times New Roman" w:hAnsi="Cambria"/>
      <w:b/>
      <w:lang w:val="es-ES_tradnl" w:eastAsia="en-US"/>
    </w:rPr>
  </w:style>
  <w:style w:type="character" w:styleId="Hyperlink">
    <w:name w:val="Hyperlink"/>
    <w:uiPriority w:val="99"/>
    <w:unhideWhenUsed/>
    <w:rsid w:val="007374FF"/>
    <w:rPr>
      <w:u w:val="single"/>
    </w:rPr>
  </w:style>
  <w:style w:type="paragraph" w:styleId="TOC1">
    <w:name w:val="toc 1"/>
    <w:basedOn w:val="Normal"/>
    <w:next w:val="Normal"/>
    <w:autoRedefine/>
    <w:uiPriority w:val="39"/>
    <w:unhideWhenUsed/>
    <w:qFormat/>
    <w:rsid w:val="00243D64"/>
    <w:pPr>
      <w:tabs>
        <w:tab w:val="left" w:pos="1440"/>
        <w:tab w:val="right" w:leader="dot" w:pos="9360"/>
      </w:tabs>
      <w:spacing w:after="100" w:line="240" w:lineRule="auto"/>
    </w:pPr>
    <w:rPr>
      <w:rFonts w:eastAsia="Arial Unicode MS"/>
      <w:szCs w:val="24"/>
      <w:lang w:val="en-US"/>
    </w:rPr>
  </w:style>
  <w:style w:type="paragraph" w:styleId="TOC2">
    <w:name w:val="toc 2"/>
    <w:basedOn w:val="Normal"/>
    <w:next w:val="Normal"/>
    <w:autoRedefine/>
    <w:uiPriority w:val="39"/>
    <w:unhideWhenUsed/>
    <w:qFormat/>
    <w:rsid w:val="00E945C5"/>
    <w:pPr>
      <w:tabs>
        <w:tab w:val="left" w:pos="1440"/>
        <w:tab w:val="right" w:leader="dot" w:pos="9350"/>
      </w:tabs>
      <w:spacing w:after="100" w:line="240" w:lineRule="auto"/>
      <w:ind w:left="1428" w:hanging="720"/>
    </w:pPr>
    <w:rPr>
      <w:rFonts w:ascii="Times New Roman" w:eastAsia="Arial Unicode MS" w:hAnsi="Times New Roman"/>
      <w:sz w:val="24"/>
      <w:szCs w:val="24"/>
      <w:lang w:val="en-US"/>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f Char"/>
    <w:link w:val="FootnoteText"/>
    <w:qFormat/>
    <w:locked/>
    <w:rsid w:val="007374FF"/>
    <w:rPr>
      <w:rFonts w:cs="Calibri"/>
      <w:color w:val="000000"/>
      <w:u w:color="000000"/>
      <w:lang w:val="en-US"/>
    </w:rPr>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
    <w:link w:val="FootnoteTextChar"/>
    <w:unhideWhenUsed/>
    <w:qFormat/>
    <w:rsid w:val="007374FF"/>
    <w:rPr>
      <w:rFonts w:cs="Calibri"/>
      <w:color w:val="000000"/>
      <w:u w:color="000000"/>
      <w:lang w:eastAsia="es-CO"/>
    </w:rPr>
  </w:style>
  <w:style w:type="character" w:customStyle="1" w:styleId="FootnoteTextChar1">
    <w:name w:val="Footnote Text Char1"/>
    <w:uiPriority w:val="99"/>
    <w:semiHidden/>
    <w:rsid w:val="007374FF"/>
    <w:rPr>
      <w:lang w:eastAsia="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nhideWhenUsed/>
    <w:qFormat/>
    <w:rsid w:val="007374FF"/>
    <w:rPr>
      <w:rFonts w:ascii="Verdana" w:hAnsi="Verdana"/>
      <w:sz w:val="22"/>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7374FF"/>
    <w:pPr>
      <w:spacing w:before="200" w:after="160" w:line="240" w:lineRule="exact"/>
    </w:pPr>
    <w:rPr>
      <w:rFonts w:ascii="Verdana" w:hAnsi="Verdana"/>
      <w:szCs w:val="20"/>
      <w:vertAlign w:val="superscript"/>
      <w:lang w:eastAsia="es-CO"/>
    </w:rPr>
  </w:style>
  <w:style w:type="paragraph" w:customStyle="1" w:styleId="ColorfulList-Accent11">
    <w:name w:val="Colorful List - Accent 11"/>
    <w:aliases w:val="Párrafo de lista1,List Paragraph1,List Paragraph11,List Paragraph2"/>
    <w:basedOn w:val="Normal"/>
    <w:link w:val="ColorfulList-Accent1Char"/>
    <w:uiPriority w:val="99"/>
    <w:qFormat/>
    <w:rsid w:val="007374FF"/>
    <w:pPr>
      <w:ind w:left="708"/>
    </w:pPr>
  </w:style>
  <w:style w:type="character" w:styleId="CommentReference">
    <w:name w:val="annotation reference"/>
    <w:uiPriority w:val="99"/>
    <w:semiHidden/>
    <w:unhideWhenUsed/>
    <w:rsid w:val="007374FF"/>
    <w:rPr>
      <w:sz w:val="16"/>
      <w:szCs w:val="16"/>
    </w:rPr>
  </w:style>
  <w:style w:type="paragraph" w:styleId="CommentText">
    <w:name w:val="annotation text"/>
    <w:basedOn w:val="Normal"/>
    <w:link w:val="CommentTextChar"/>
    <w:uiPriority w:val="99"/>
    <w:semiHidden/>
    <w:unhideWhenUsed/>
    <w:rsid w:val="007374FF"/>
    <w:rPr>
      <w:sz w:val="20"/>
      <w:szCs w:val="20"/>
    </w:rPr>
  </w:style>
  <w:style w:type="character" w:customStyle="1" w:styleId="CommentTextChar">
    <w:name w:val="Comment Text Char"/>
    <w:link w:val="CommentText"/>
    <w:uiPriority w:val="99"/>
    <w:semiHidden/>
    <w:rsid w:val="007374FF"/>
    <w:rPr>
      <w:lang w:eastAsia="en-US"/>
    </w:rPr>
  </w:style>
  <w:style w:type="paragraph" w:styleId="Footer">
    <w:name w:val="footer"/>
    <w:link w:val="FooterChar"/>
    <w:uiPriority w:val="99"/>
    <w:rsid w:val="007374FF"/>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7374FF"/>
    <w:rPr>
      <w:rFonts w:ascii="Cambria" w:eastAsia="Cambria" w:hAnsi="Cambria" w:cs="Cambria"/>
      <w:color w:val="000000"/>
      <w:sz w:val="24"/>
      <w:szCs w:val="24"/>
      <w:u w:color="000000"/>
      <w:bdr w:val="nil"/>
      <w:lang w:val="en-US" w:eastAsia="es-ES"/>
    </w:rPr>
  </w:style>
  <w:style w:type="paragraph" w:styleId="Header">
    <w:name w:val="header"/>
    <w:aliases w:val="encabezado"/>
    <w:basedOn w:val="Normal"/>
    <w:link w:val="HeaderChar"/>
    <w:rsid w:val="007374FF"/>
    <w:pPr>
      <w:widowControl w:val="0"/>
      <w:tabs>
        <w:tab w:val="center" w:pos="4320"/>
        <w:tab w:val="right" w:pos="8640"/>
      </w:tabs>
      <w:snapToGrid w:val="0"/>
      <w:spacing w:after="0" w:line="240" w:lineRule="auto"/>
    </w:pPr>
    <w:rPr>
      <w:rFonts w:ascii="Univers" w:eastAsia="Times New Roman" w:hAnsi="Univers" w:cs="Univers"/>
      <w:sz w:val="24"/>
      <w:szCs w:val="24"/>
      <w:lang w:val="en-US"/>
    </w:rPr>
  </w:style>
  <w:style w:type="character" w:customStyle="1" w:styleId="HeaderChar">
    <w:name w:val="Header Char"/>
    <w:aliases w:val="encabezado Char"/>
    <w:link w:val="Header"/>
    <w:rsid w:val="007374FF"/>
    <w:rPr>
      <w:rFonts w:ascii="Univers" w:eastAsia="Times New Roman" w:hAnsi="Univers" w:cs="Univers"/>
      <w:sz w:val="24"/>
      <w:szCs w:val="24"/>
      <w:lang w:val="en-US" w:eastAsia="en-US"/>
    </w:rPr>
  </w:style>
  <w:style w:type="character" w:styleId="PageNumber">
    <w:name w:val="page number"/>
    <w:rsid w:val="007374FF"/>
  </w:style>
  <w:style w:type="paragraph" w:styleId="BalloonText">
    <w:name w:val="Balloon Text"/>
    <w:basedOn w:val="Normal"/>
    <w:link w:val="BalloonTextChar"/>
    <w:uiPriority w:val="99"/>
    <w:semiHidden/>
    <w:unhideWhenUsed/>
    <w:rsid w:val="007374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74F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CD4574"/>
    <w:rPr>
      <w:b/>
      <w:bCs/>
    </w:rPr>
  </w:style>
  <w:style w:type="character" w:customStyle="1" w:styleId="CommentSubjectChar">
    <w:name w:val="Comment Subject Char"/>
    <w:link w:val="CommentSubject"/>
    <w:uiPriority w:val="99"/>
    <w:semiHidden/>
    <w:rsid w:val="00CD4574"/>
    <w:rPr>
      <w:b/>
      <w:bCs/>
      <w:lang w:eastAsia="en-US"/>
    </w:rPr>
  </w:style>
  <w:style w:type="paragraph" w:customStyle="1" w:styleId="1">
    <w:name w:val="1"/>
    <w:basedOn w:val="Normal"/>
    <w:rsid w:val="00E67FDE"/>
    <w:pPr>
      <w:spacing w:after="160" w:line="240" w:lineRule="exact"/>
    </w:pPr>
    <w:rPr>
      <w:sz w:val="20"/>
      <w:szCs w:val="20"/>
      <w:vertAlign w:val="superscript"/>
      <w:lang w:eastAsia="es-CO"/>
    </w:rPr>
  </w:style>
  <w:style w:type="character" w:customStyle="1" w:styleId="ColorfulList-Accent1Char">
    <w:name w:val="Colorful List - Accent 1 Char"/>
    <w:aliases w:val="Párrafo de lista1 Char,List Paragraph1 Char,List Paragraph11 Char,Colorful List - Accent 11 Char,List Paragraph2 Char,List Paragraph Char,Medium Grid 1 - Accent 21 Char,Colorful List - Accent 12 Char"/>
    <w:link w:val="ColorfulList-Accent11"/>
    <w:locked/>
    <w:rsid w:val="001C1B1B"/>
    <w:rPr>
      <w:sz w:val="22"/>
      <w:szCs w:val="22"/>
      <w:lang w:eastAsia="en-US"/>
    </w:rPr>
  </w:style>
  <w:style w:type="character" w:styleId="Strong">
    <w:name w:val="Strong"/>
    <w:uiPriority w:val="22"/>
    <w:qFormat/>
    <w:rsid w:val="00A04277"/>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F1B1D"/>
    <w:pPr>
      <w:spacing w:after="160" w:line="240" w:lineRule="exact"/>
    </w:pPr>
    <w:rPr>
      <w:sz w:val="20"/>
      <w:szCs w:val="20"/>
      <w:vertAlign w:val="superscript"/>
      <w:lang w:eastAsia="es-CO"/>
    </w:rPr>
  </w:style>
  <w:style w:type="paragraph" w:styleId="BodyTextIndent">
    <w:name w:val="Body Text Indent"/>
    <w:link w:val="BodyTextIndentChar"/>
    <w:semiHidden/>
    <w:unhideWhenUsed/>
    <w:rsid w:val="00B32172"/>
    <w:pPr>
      <w:ind w:left="2160" w:hanging="720"/>
    </w:pPr>
    <w:rPr>
      <w:rFonts w:ascii="Times New Roman" w:eastAsia="Times New Roman" w:hAnsi="Times New Roman"/>
      <w:color w:val="000000"/>
      <w:sz w:val="24"/>
      <w:szCs w:val="24"/>
      <w:u w:color="000000"/>
      <w:lang w:val="es-ES_tradnl" w:eastAsia="es-ES"/>
    </w:rPr>
  </w:style>
  <w:style w:type="character" w:customStyle="1" w:styleId="BodyTextIndentChar">
    <w:name w:val="Body Text Indent Char"/>
    <w:link w:val="BodyTextIndent"/>
    <w:semiHidden/>
    <w:rsid w:val="00B32172"/>
    <w:rPr>
      <w:rFonts w:ascii="Times New Roman" w:eastAsia="Times New Roman" w:hAnsi="Times New Roman"/>
      <w:color w:val="000000"/>
      <w:sz w:val="24"/>
      <w:szCs w:val="24"/>
      <w:u w:color="000000"/>
      <w:lang w:val="es-ES_tradnl" w:eastAsia="es-ES"/>
    </w:rPr>
  </w:style>
  <w:style w:type="character" w:customStyle="1" w:styleId="Heading3Char">
    <w:name w:val="Heading 3 Char"/>
    <w:link w:val="Heading3"/>
    <w:uiPriority w:val="9"/>
    <w:rsid w:val="00BF537F"/>
    <w:rPr>
      <w:rFonts w:ascii="Cambria" w:eastAsia="Times New Roman" w:hAnsi="Cambria" w:cs="Times New Roman"/>
      <w:b/>
      <w:bCs/>
      <w:sz w:val="26"/>
      <w:szCs w:val="26"/>
      <w:lang w:eastAsia="en-US"/>
    </w:rPr>
  </w:style>
  <w:style w:type="paragraph" w:styleId="TOC3">
    <w:name w:val="toc 3"/>
    <w:basedOn w:val="Normal"/>
    <w:next w:val="Normal"/>
    <w:autoRedefine/>
    <w:uiPriority w:val="39"/>
    <w:unhideWhenUsed/>
    <w:rsid w:val="00516F75"/>
    <w:pPr>
      <w:ind w:left="440"/>
    </w:pPr>
  </w:style>
  <w:style w:type="paragraph" w:styleId="ListParagraph">
    <w:name w:val="List Paragraph"/>
    <w:aliases w:val="Medium Grid 1 - Accent 21,Colorful List - Accent 12,Lista vistosa - Énfasis 11"/>
    <w:basedOn w:val="Normal"/>
    <w:qFormat/>
    <w:rsid w:val="00210782"/>
    <w:pPr>
      <w:ind w:left="708"/>
    </w:pPr>
  </w:style>
  <w:style w:type="paragraph" w:styleId="BodyText3">
    <w:name w:val="Body Text 3"/>
    <w:basedOn w:val="Normal"/>
    <w:link w:val="BodyText3Char"/>
    <w:uiPriority w:val="99"/>
    <w:unhideWhenUsed/>
    <w:rsid w:val="00212A2E"/>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link w:val="BodyText3"/>
    <w:uiPriority w:val="99"/>
    <w:rsid w:val="00212A2E"/>
    <w:rPr>
      <w:rFonts w:ascii="Cambria" w:eastAsia="Arial Unicode MS" w:hAnsi="Cambria"/>
      <w:sz w:val="16"/>
      <w:szCs w:val="16"/>
      <w:bdr w:val="nil"/>
      <w:lang w:val="es-ES" w:eastAsia="es-ES"/>
    </w:rPr>
  </w:style>
  <w:style w:type="paragraph" w:styleId="EndnoteText">
    <w:name w:val="endnote text"/>
    <w:basedOn w:val="Normal"/>
    <w:link w:val="EndnoteTextChar"/>
    <w:uiPriority w:val="99"/>
    <w:semiHidden/>
    <w:unhideWhenUsed/>
    <w:rsid w:val="00CD70E3"/>
    <w:rPr>
      <w:sz w:val="20"/>
      <w:szCs w:val="20"/>
    </w:rPr>
  </w:style>
  <w:style w:type="character" w:customStyle="1" w:styleId="EndnoteTextChar">
    <w:name w:val="Endnote Text Char"/>
    <w:link w:val="EndnoteText"/>
    <w:uiPriority w:val="99"/>
    <w:semiHidden/>
    <w:rsid w:val="00CD70E3"/>
    <w:rPr>
      <w:lang w:eastAsia="en-US"/>
    </w:rPr>
  </w:style>
  <w:style w:type="character" w:styleId="EndnoteReference">
    <w:name w:val="endnote reference"/>
    <w:uiPriority w:val="99"/>
    <w:semiHidden/>
    <w:unhideWhenUsed/>
    <w:rsid w:val="00CD70E3"/>
    <w:rPr>
      <w:vertAlign w:val="superscript"/>
    </w:rPr>
  </w:style>
  <w:style w:type="paragraph" w:customStyle="1" w:styleId="Default">
    <w:name w:val="Default"/>
    <w:link w:val="DefaultChar"/>
    <w:rsid w:val="000803FA"/>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rsid w:val="000803FA"/>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898">
      <w:bodyDiv w:val="1"/>
      <w:marLeft w:val="0"/>
      <w:marRight w:val="0"/>
      <w:marTop w:val="0"/>
      <w:marBottom w:val="0"/>
      <w:divBdr>
        <w:top w:val="none" w:sz="0" w:space="0" w:color="auto"/>
        <w:left w:val="none" w:sz="0" w:space="0" w:color="auto"/>
        <w:bottom w:val="none" w:sz="0" w:space="0" w:color="auto"/>
        <w:right w:val="none" w:sz="0" w:space="0" w:color="auto"/>
      </w:divBdr>
    </w:div>
    <w:div w:id="125436286">
      <w:bodyDiv w:val="1"/>
      <w:marLeft w:val="0"/>
      <w:marRight w:val="0"/>
      <w:marTop w:val="0"/>
      <w:marBottom w:val="0"/>
      <w:divBdr>
        <w:top w:val="none" w:sz="0" w:space="0" w:color="auto"/>
        <w:left w:val="none" w:sz="0" w:space="0" w:color="auto"/>
        <w:bottom w:val="none" w:sz="0" w:space="0" w:color="auto"/>
        <w:right w:val="none" w:sz="0" w:space="0" w:color="auto"/>
      </w:divBdr>
    </w:div>
    <w:div w:id="126897181">
      <w:bodyDiv w:val="1"/>
      <w:marLeft w:val="0"/>
      <w:marRight w:val="0"/>
      <w:marTop w:val="0"/>
      <w:marBottom w:val="0"/>
      <w:divBdr>
        <w:top w:val="none" w:sz="0" w:space="0" w:color="auto"/>
        <w:left w:val="none" w:sz="0" w:space="0" w:color="auto"/>
        <w:bottom w:val="none" w:sz="0" w:space="0" w:color="auto"/>
        <w:right w:val="none" w:sz="0" w:space="0" w:color="auto"/>
      </w:divBdr>
    </w:div>
    <w:div w:id="232741717">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9283591">
      <w:bodyDiv w:val="1"/>
      <w:marLeft w:val="0"/>
      <w:marRight w:val="0"/>
      <w:marTop w:val="0"/>
      <w:marBottom w:val="0"/>
      <w:divBdr>
        <w:top w:val="none" w:sz="0" w:space="0" w:color="auto"/>
        <w:left w:val="none" w:sz="0" w:space="0" w:color="auto"/>
        <w:bottom w:val="none" w:sz="0" w:space="0" w:color="auto"/>
        <w:right w:val="none" w:sz="0" w:space="0" w:color="auto"/>
      </w:divBdr>
    </w:div>
    <w:div w:id="411239699">
      <w:bodyDiv w:val="1"/>
      <w:marLeft w:val="0"/>
      <w:marRight w:val="0"/>
      <w:marTop w:val="0"/>
      <w:marBottom w:val="0"/>
      <w:divBdr>
        <w:top w:val="none" w:sz="0" w:space="0" w:color="auto"/>
        <w:left w:val="none" w:sz="0" w:space="0" w:color="auto"/>
        <w:bottom w:val="none" w:sz="0" w:space="0" w:color="auto"/>
        <w:right w:val="none" w:sz="0" w:space="0" w:color="auto"/>
      </w:divBdr>
    </w:div>
    <w:div w:id="472336212">
      <w:bodyDiv w:val="1"/>
      <w:marLeft w:val="0"/>
      <w:marRight w:val="0"/>
      <w:marTop w:val="0"/>
      <w:marBottom w:val="0"/>
      <w:divBdr>
        <w:top w:val="none" w:sz="0" w:space="0" w:color="auto"/>
        <w:left w:val="none" w:sz="0" w:space="0" w:color="auto"/>
        <w:bottom w:val="none" w:sz="0" w:space="0" w:color="auto"/>
        <w:right w:val="none" w:sz="0" w:space="0" w:color="auto"/>
      </w:divBdr>
    </w:div>
    <w:div w:id="495078822">
      <w:bodyDiv w:val="1"/>
      <w:marLeft w:val="0"/>
      <w:marRight w:val="0"/>
      <w:marTop w:val="0"/>
      <w:marBottom w:val="0"/>
      <w:divBdr>
        <w:top w:val="none" w:sz="0" w:space="0" w:color="auto"/>
        <w:left w:val="none" w:sz="0" w:space="0" w:color="auto"/>
        <w:bottom w:val="none" w:sz="0" w:space="0" w:color="auto"/>
        <w:right w:val="none" w:sz="0" w:space="0" w:color="auto"/>
      </w:divBdr>
    </w:div>
    <w:div w:id="527522065">
      <w:bodyDiv w:val="1"/>
      <w:marLeft w:val="0"/>
      <w:marRight w:val="0"/>
      <w:marTop w:val="0"/>
      <w:marBottom w:val="0"/>
      <w:divBdr>
        <w:top w:val="none" w:sz="0" w:space="0" w:color="auto"/>
        <w:left w:val="none" w:sz="0" w:space="0" w:color="auto"/>
        <w:bottom w:val="none" w:sz="0" w:space="0" w:color="auto"/>
        <w:right w:val="none" w:sz="0" w:space="0" w:color="auto"/>
      </w:divBdr>
    </w:div>
    <w:div w:id="594284691">
      <w:bodyDiv w:val="1"/>
      <w:marLeft w:val="0"/>
      <w:marRight w:val="0"/>
      <w:marTop w:val="0"/>
      <w:marBottom w:val="0"/>
      <w:divBdr>
        <w:top w:val="none" w:sz="0" w:space="0" w:color="auto"/>
        <w:left w:val="none" w:sz="0" w:space="0" w:color="auto"/>
        <w:bottom w:val="none" w:sz="0" w:space="0" w:color="auto"/>
        <w:right w:val="none" w:sz="0" w:space="0" w:color="auto"/>
      </w:divBdr>
    </w:div>
    <w:div w:id="653993260">
      <w:bodyDiv w:val="1"/>
      <w:marLeft w:val="0"/>
      <w:marRight w:val="0"/>
      <w:marTop w:val="0"/>
      <w:marBottom w:val="0"/>
      <w:divBdr>
        <w:top w:val="none" w:sz="0" w:space="0" w:color="auto"/>
        <w:left w:val="none" w:sz="0" w:space="0" w:color="auto"/>
        <w:bottom w:val="none" w:sz="0" w:space="0" w:color="auto"/>
        <w:right w:val="none" w:sz="0" w:space="0" w:color="auto"/>
      </w:divBdr>
    </w:div>
    <w:div w:id="835530691">
      <w:bodyDiv w:val="1"/>
      <w:marLeft w:val="0"/>
      <w:marRight w:val="0"/>
      <w:marTop w:val="0"/>
      <w:marBottom w:val="0"/>
      <w:divBdr>
        <w:top w:val="none" w:sz="0" w:space="0" w:color="auto"/>
        <w:left w:val="none" w:sz="0" w:space="0" w:color="auto"/>
        <w:bottom w:val="none" w:sz="0" w:space="0" w:color="auto"/>
        <w:right w:val="none" w:sz="0" w:space="0" w:color="auto"/>
      </w:divBdr>
    </w:div>
    <w:div w:id="908464655">
      <w:bodyDiv w:val="1"/>
      <w:marLeft w:val="0"/>
      <w:marRight w:val="0"/>
      <w:marTop w:val="0"/>
      <w:marBottom w:val="0"/>
      <w:divBdr>
        <w:top w:val="none" w:sz="0" w:space="0" w:color="auto"/>
        <w:left w:val="none" w:sz="0" w:space="0" w:color="auto"/>
        <w:bottom w:val="none" w:sz="0" w:space="0" w:color="auto"/>
        <w:right w:val="none" w:sz="0" w:space="0" w:color="auto"/>
      </w:divBdr>
    </w:div>
    <w:div w:id="1012562550">
      <w:bodyDiv w:val="1"/>
      <w:marLeft w:val="0"/>
      <w:marRight w:val="0"/>
      <w:marTop w:val="0"/>
      <w:marBottom w:val="0"/>
      <w:divBdr>
        <w:top w:val="none" w:sz="0" w:space="0" w:color="auto"/>
        <w:left w:val="none" w:sz="0" w:space="0" w:color="auto"/>
        <w:bottom w:val="none" w:sz="0" w:space="0" w:color="auto"/>
        <w:right w:val="none" w:sz="0" w:space="0" w:color="auto"/>
      </w:divBdr>
    </w:div>
    <w:div w:id="1051536516">
      <w:bodyDiv w:val="1"/>
      <w:marLeft w:val="0"/>
      <w:marRight w:val="0"/>
      <w:marTop w:val="0"/>
      <w:marBottom w:val="0"/>
      <w:divBdr>
        <w:top w:val="none" w:sz="0" w:space="0" w:color="auto"/>
        <w:left w:val="none" w:sz="0" w:space="0" w:color="auto"/>
        <w:bottom w:val="none" w:sz="0" w:space="0" w:color="auto"/>
        <w:right w:val="none" w:sz="0" w:space="0" w:color="auto"/>
      </w:divBdr>
    </w:div>
    <w:div w:id="1065297587">
      <w:bodyDiv w:val="1"/>
      <w:marLeft w:val="0"/>
      <w:marRight w:val="0"/>
      <w:marTop w:val="0"/>
      <w:marBottom w:val="0"/>
      <w:divBdr>
        <w:top w:val="none" w:sz="0" w:space="0" w:color="auto"/>
        <w:left w:val="none" w:sz="0" w:space="0" w:color="auto"/>
        <w:bottom w:val="none" w:sz="0" w:space="0" w:color="auto"/>
        <w:right w:val="none" w:sz="0" w:space="0" w:color="auto"/>
      </w:divBdr>
    </w:div>
    <w:div w:id="1137071700">
      <w:bodyDiv w:val="1"/>
      <w:marLeft w:val="0"/>
      <w:marRight w:val="0"/>
      <w:marTop w:val="0"/>
      <w:marBottom w:val="0"/>
      <w:divBdr>
        <w:top w:val="none" w:sz="0" w:space="0" w:color="auto"/>
        <w:left w:val="none" w:sz="0" w:space="0" w:color="auto"/>
        <w:bottom w:val="none" w:sz="0" w:space="0" w:color="auto"/>
        <w:right w:val="none" w:sz="0" w:space="0" w:color="auto"/>
      </w:divBdr>
    </w:div>
    <w:div w:id="1230310779">
      <w:bodyDiv w:val="1"/>
      <w:marLeft w:val="0"/>
      <w:marRight w:val="0"/>
      <w:marTop w:val="0"/>
      <w:marBottom w:val="0"/>
      <w:divBdr>
        <w:top w:val="none" w:sz="0" w:space="0" w:color="auto"/>
        <w:left w:val="none" w:sz="0" w:space="0" w:color="auto"/>
        <w:bottom w:val="none" w:sz="0" w:space="0" w:color="auto"/>
        <w:right w:val="none" w:sz="0" w:space="0" w:color="auto"/>
      </w:divBdr>
    </w:div>
    <w:div w:id="1275941459">
      <w:bodyDiv w:val="1"/>
      <w:marLeft w:val="0"/>
      <w:marRight w:val="0"/>
      <w:marTop w:val="0"/>
      <w:marBottom w:val="0"/>
      <w:divBdr>
        <w:top w:val="none" w:sz="0" w:space="0" w:color="auto"/>
        <w:left w:val="none" w:sz="0" w:space="0" w:color="auto"/>
        <w:bottom w:val="none" w:sz="0" w:space="0" w:color="auto"/>
        <w:right w:val="none" w:sz="0" w:space="0" w:color="auto"/>
      </w:divBdr>
    </w:div>
    <w:div w:id="1318680647">
      <w:bodyDiv w:val="1"/>
      <w:marLeft w:val="0"/>
      <w:marRight w:val="0"/>
      <w:marTop w:val="0"/>
      <w:marBottom w:val="0"/>
      <w:divBdr>
        <w:top w:val="none" w:sz="0" w:space="0" w:color="auto"/>
        <w:left w:val="none" w:sz="0" w:space="0" w:color="auto"/>
        <w:bottom w:val="none" w:sz="0" w:space="0" w:color="auto"/>
        <w:right w:val="none" w:sz="0" w:space="0" w:color="auto"/>
      </w:divBdr>
    </w:div>
    <w:div w:id="1335689710">
      <w:bodyDiv w:val="1"/>
      <w:marLeft w:val="0"/>
      <w:marRight w:val="0"/>
      <w:marTop w:val="0"/>
      <w:marBottom w:val="0"/>
      <w:divBdr>
        <w:top w:val="none" w:sz="0" w:space="0" w:color="auto"/>
        <w:left w:val="none" w:sz="0" w:space="0" w:color="auto"/>
        <w:bottom w:val="none" w:sz="0" w:space="0" w:color="auto"/>
        <w:right w:val="none" w:sz="0" w:space="0" w:color="auto"/>
      </w:divBdr>
    </w:div>
    <w:div w:id="1419790434">
      <w:bodyDiv w:val="1"/>
      <w:marLeft w:val="0"/>
      <w:marRight w:val="0"/>
      <w:marTop w:val="0"/>
      <w:marBottom w:val="0"/>
      <w:divBdr>
        <w:top w:val="none" w:sz="0" w:space="0" w:color="auto"/>
        <w:left w:val="none" w:sz="0" w:space="0" w:color="auto"/>
        <w:bottom w:val="none" w:sz="0" w:space="0" w:color="auto"/>
        <w:right w:val="none" w:sz="0" w:space="0" w:color="auto"/>
      </w:divBdr>
    </w:div>
    <w:div w:id="1426271666">
      <w:bodyDiv w:val="1"/>
      <w:marLeft w:val="0"/>
      <w:marRight w:val="0"/>
      <w:marTop w:val="0"/>
      <w:marBottom w:val="0"/>
      <w:divBdr>
        <w:top w:val="none" w:sz="0" w:space="0" w:color="auto"/>
        <w:left w:val="none" w:sz="0" w:space="0" w:color="auto"/>
        <w:bottom w:val="none" w:sz="0" w:space="0" w:color="auto"/>
        <w:right w:val="none" w:sz="0" w:space="0" w:color="auto"/>
      </w:divBdr>
    </w:div>
    <w:div w:id="1515878670">
      <w:bodyDiv w:val="1"/>
      <w:marLeft w:val="0"/>
      <w:marRight w:val="0"/>
      <w:marTop w:val="0"/>
      <w:marBottom w:val="0"/>
      <w:divBdr>
        <w:top w:val="none" w:sz="0" w:space="0" w:color="auto"/>
        <w:left w:val="none" w:sz="0" w:space="0" w:color="auto"/>
        <w:bottom w:val="none" w:sz="0" w:space="0" w:color="auto"/>
        <w:right w:val="none" w:sz="0" w:space="0" w:color="auto"/>
      </w:divBdr>
    </w:div>
    <w:div w:id="1838112524">
      <w:bodyDiv w:val="1"/>
      <w:marLeft w:val="0"/>
      <w:marRight w:val="0"/>
      <w:marTop w:val="0"/>
      <w:marBottom w:val="0"/>
      <w:divBdr>
        <w:top w:val="none" w:sz="0" w:space="0" w:color="auto"/>
        <w:left w:val="none" w:sz="0" w:space="0" w:color="auto"/>
        <w:bottom w:val="none" w:sz="0" w:space="0" w:color="auto"/>
        <w:right w:val="none" w:sz="0" w:space="0" w:color="auto"/>
      </w:divBdr>
    </w:div>
    <w:div w:id="1888688046">
      <w:bodyDiv w:val="1"/>
      <w:marLeft w:val="0"/>
      <w:marRight w:val="0"/>
      <w:marTop w:val="0"/>
      <w:marBottom w:val="0"/>
      <w:divBdr>
        <w:top w:val="none" w:sz="0" w:space="0" w:color="auto"/>
        <w:left w:val="none" w:sz="0" w:space="0" w:color="auto"/>
        <w:bottom w:val="none" w:sz="0" w:space="0" w:color="auto"/>
        <w:right w:val="none" w:sz="0" w:space="0" w:color="auto"/>
      </w:divBdr>
    </w:div>
    <w:div w:id="2115511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5" Type="http://schemas.openxmlformats.org/officeDocument/2006/relationships/hyperlink" Target="http://joomla.corteidh.or.cr:8080/joomla/es/casos-contenciosos/38-jurisprudencia/386-corte-idh-caso-de-la-cruz-flores-vs-peru-fondo-reparaciones-y-costas-sentencia-de-18-de-noviembre-de-2004-serie-c-no-115"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82A6-5A1C-4941-B405-1FB29CCE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7800</Words>
  <Characters>44464</Characters>
  <Application>Microsoft Office Word</Application>
  <DocSecurity>0</DocSecurity>
  <Lines>370</Lines>
  <Paragraphs>104</Paragraphs>
  <ScaleCrop>false</ScaleCrop>
  <Company/>
  <LinksUpToDate>false</LinksUpToDate>
  <CharactersWithSpaces>52160</CharactersWithSpaces>
  <SharedDoc>false</SharedDoc>
  <HLinks>
    <vt:vector size="120" baseType="variant">
      <vt:variant>
        <vt:i4>2293775</vt:i4>
      </vt:variant>
      <vt:variant>
        <vt:i4>86</vt:i4>
      </vt:variant>
      <vt:variant>
        <vt:i4>0</vt:i4>
      </vt:variant>
      <vt:variant>
        <vt:i4>5</vt:i4>
      </vt:variant>
      <vt:variant>
        <vt:lpwstr/>
      </vt:variant>
      <vt:variant>
        <vt:lpwstr>_Toc4595244</vt:lpwstr>
      </vt:variant>
      <vt:variant>
        <vt:i4>2293775</vt:i4>
      </vt:variant>
      <vt:variant>
        <vt:i4>80</vt:i4>
      </vt:variant>
      <vt:variant>
        <vt:i4>0</vt:i4>
      </vt:variant>
      <vt:variant>
        <vt:i4>5</vt:i4>
      </vt:variant>
      <vt:variant>
        <vt:lpwstr/>
      </vt:variant>
      <vt:variant>
        <vt:lpwstr>_Toc4595243</vt:lpwstr>
      </vt:variant>
      <vt:variant>
        <vt:i4>2293775</vt:i4>
      </vt:variant>
      <vt:variant>
        <vt:i4>74</vt:i4>
      </vt:variant>
      <vt:variant>
        <vt:i4>0</vt:i4>
      </vt:variant>
      <vt:variant>
        <vt:i4>5</vt:i4>
      </vt:variant>
      <vt:variant>
        <vt:lpwstr/>
      </vt:variant>
      <vt:variant>
        <vt:lpwstr>_Toc4595242</vt:lpwstr>
      </vt:variant>
      <vt:variant>
        <vt:i4>2293775</vt:i4>
      </vt:variant>
      <vt:variant>
        <vt:i4>68</vt:i4>
      </vt:variant>
      <vt:variant>
        <vt:i4>0</vt:i4>
      </vt:variant>
      <vt:variant>
        <vt:i4>5</vt:i4>
      </vt:variant>
      <vt:variant>
        <vt:lpwstr/>
      </vt:variant>
      <vt:variant>
        <vt:lpwstr>_Toc4595241</vt:lpwstr>
      </vt:variant>
      <vt:variant>
        <vt:i4>2293775</vt:i4>
      </vt:variant>
      <vt:variant>
        <vt:i4>62</vt:i4>
      </vt:variant>
      <vt:variant>
        <vt:i4>0</vt:i4>
      </vt:variant>
      <vt:variant>
        <vt:i4>5</vt:i4>
      </vt:variant>
      <vt:variant>
        <vt:lpwstr/>
      </vt:variant>
      <vt:variant>
        <vt:lpwstr>_Toc4595240</vt:lpwstr>
      </vt:variant>
      <vt:variant>
        <vt:i4>2359311</vt:i4>
      </vt:variant>
      <vt:variant>
        <vt:i4>56</vt:i4>
      </vt:variant>
      <vt:variant>
        <vt:i4>0</vt:i4>
      </vt:variant>
      <vt:variant>
        <vt:i4>5</vt:i4>
      </vt:variant>
      <vt:variant>
        <vt:lpwstr/>
      </vt:variant>
      <vt:variant>
        <vt:lpwstr>_Toc4595239</vt:lpwstr>
      </vt:variant>
      <vt:variant>
        <vt:i4>2359311</vt:i4>
      </vt:variant>
      <vt:variant>
        <vt:i4>50</vt:i4>
      </vt:variant>
      <vt:variant>
        <vt:i4>0</vt:i4>
      </vt:variant>
      <vt:variant>
        <vt:i4>5</vt:i4>
      </vt:variant>
      <vt:variant>
        <vt:lpwstr/>
      </vt:variant>
      <vt:variant>
        <vt:lpwstr>_Toc4595238</vt:lpwstr>
      </vt:variant>
      <vt:variant>
        <vt:i4>2359311</vt:i4>
      </vt:variant>
      <vt:variant>
        <vt:i4>44</vt:i4>
      </vt:variant>
      <vt:variant>
        <vt:i4>0</vt:i4>
      </vt:variant>
      <vt:variant>
        <vt:i4>5</vt:i4>
      </vt:variant>
      <vt:variant>
        <vt:lpwstr/>
      </vt:variant>
      <vt:variant>
        <vt:lpwstr>_Toc4595237</vt:lpwstr>
      </vt:variant>
      <vt:variant>
        <vt:i4>2359311</vt:i4>
      </vt:variant>
      <vt:variant>
        <vt:i4>38</vt:i4>
      </vt:variant>
      <vt:variant>
        <vt:i4>0</vt:i4>
      </vt:variant>
      <vt:variant>
        <vt:i4>5</vt:i4>
      </vt:variant>
      <vt:variant>
        <vt:lpwstr/>
      </vt:variant>
      <vt:variant>
        <vt:lpwstr>_Toc4595236</vt:lpwstr>
      </vt:variant>
      <vt:variant>
        <vt:i4>2359311</vt:i4>
      </vt:variant>
      <vt:variant>
        <vt:i4>32</vt:i4>
      </vt:variant>
      <vt:variant>
        <vt:i4>0</vt:i4>
      </vt:variant>
      <vt:variant>
        <vt:i4>5</vt:i4>
      </vt:variant>
      <vt:variant>
        <vt:lpwstr/>
      </vt:variant>
      <vt:variant>
        <vt:lpwstr>_Toc4595235</vt:lpwstr>
      </vt:variant>
      <vt:variant>
        <vt:i4>2359311</vt:i4>
      </vt:variant>
      <vt:variant>
        <vt:i4>26</vt:i4>
      </vt:variant>
      <vt:variant>
        <vt:i4>0</vt:i4>
      </vt:variant>
      <vt:variant>
        <vt:i4>5</vt:i4>
      </vt:variant>
      <vt:variant>
        <vt:lpwstr/>
      </vt:variant>
      <vt:variant>
        <vt:lpwstr>_Toc4595234</vt:lpwstr>
      </vt:variant>
      <vt:variant>
        <vt:i4>2359311</vt:i4>
      </vt:variant>
      <vt:variant>
        <vt:i4>20</vt:i4>
      </vt:variant>
      <vt:variant>
        <vt:i4>0</vt:i4>
      </vt:variant>
      <vt:variant>
        <vt:i4>5</vt:i4>
      </vt:variant>
      <vt:variant>
        <vt:lpwstr/>
      </vt:variant>
      <vt:variant>
        <vt:lpwstr>_Toc4595233</vt:lpwstr>
      </vt:variant>
      <vt:variant>
        <vt:i4>2359311</vt:i4>
      </vt:variant>
      <vt:variant>
        <vt:i4>14</vt:i4>
      </vt:variant>
      <vt:variant>
        <vt:i4>0</vt:i4>
      </vt:variant>
      <vt:variant>
        <vt:i4>5</vt:i4>
      </vt:variant>
      <vt:variant>
        <vt:lpwstr/>
      </vt:variant>
      <vt:variant>
        <vt:lpwstr>_Toc4595232</vt:lpwstr>
      </vt:variant>
      <vt:variant>
        <vt:i4>2359311</vt:i4>
      </vt:variant>
      <vt:variant>
        <vt:i4>8</vt:i4>
      </vt:variant>
      <vt:variant>
        <vt:i4>0</vt:i4>
      </vt:variant>
      <vt:variant>
        <vt:i4>5</vt:i4>
      </vt:variant>
      <vt:variant>
        <vt:lpwstr/>
      </vt:variant>
      <vt:variant>
        <vt:lpwstr>_Toc4595231</vt:lpwstr>
      </vt:variant>
      <vt:variant>
        <vt:i4>2359311</vt:i4>
      </vt:variant>
      <vt:variant>
        <vt:i4>2</vt:i4>
      </vt:variant>
      <vt:variant>
        <vt:i4>0</vt:i4>
      </vt:variant>
      <vt:variant>
        <vt:i4>5</vt:i4>
      </vt:variant>
      <vt:variant>
        <vt:lpwstr/>
      </vt:variant>
      <vt:variant>
        <vt:lpwstr>_Toc4595230</vt:lpwstr>
      </vt:variant>
      <vt:variant>
        <vt:i4>1507401</vt:i4>
      </vt:variant>
      <vt:variant>
        <vt:i4>12</vt:i4>
      </vt:variant>
      <vt:variant>
        <vt:i4>0</vt:i4>
      </vt:variant>
      <vt:variant>
        <vt:i4>5</vt:i4>
      </vt:variant>
      <vt:variant>
        <vt:lpwstr>http://joomla.corteidh.or.cr:8080/joomla/es/casos-contenciosos/38-jurisprudencia/386-corte-idh-caso-de-la-cruz-flores-vs-peru-fondo-reparaciones-y-costas-sentencia-de-18-de-noviembre-de-2004-serie-c-no-115</vt:lpwstr>
      </vt:variant>
      <vt:variant>
        <vt:lpwstr/>
      </vt:variant>
      <vt:variant>
        <vt:i4>6422563</vt:i4>
      </vt:variant>
      <vt:variant>
        <vt:i4>9</vt:i4>
      </vt:variant>
      <vt:variant>
        <vt:i4>0</vt:i4>
      </vt:variant>
      <vt:variant>
        <vt:i4>5</vt:i4>
      </vt:variant>
      <vt:variant>
        <vt:lpwstr>http://joomla.corteidh.or.cr:8080/joomla/es/casos-contenciosos/38-jurisprudencia/476-corte-idh-caso-baena-ricardo-y-otros-vs-panama-fondo-reparaciones-y-costas-sentencia-de-2-de-febrero-de-2001-serie-c-no-72</vt:lpwstr>
      </vt:variant>
      <vt:variant>
        <vt:lpwstr/>
      </vt:variant>
      <vt:variant>
        <vt:i4>3670119</vt:i4>
      </vt:variant>
      <vt:variant>
        <vt:i4>6</vt:i4>
      </vt:variant>
      <vt:variant>
        <vt:i4>0</vt:i4>
      </vt:variant>
      <vt:variant>
        <vt:i4>5</vt:i4>
      </vt:variant>
      <vt:variant>
        <vt:lpwstr>http://joomla.corteidh.or.cr:8080/joomla/es/casos-contenciosos/38-jurisprudencia/1450-corte-idh-caso-lopez-mendoza-vs-venezuela-fondo-reparaciones-y-costas-sentencia-de-1-de-septiembre-de-2011-serie-c-no-233</vt:lpwstr>
      </vt:variant>
      <vt:variant>
        <vt:lpwstr/>
      </vt:variant>
      <vt:variant>
        <vt:i4>8061045</vt:i4>
      </vt:variant>
      <vt:variant>
        <vt:i4>3</vt:i4>
      </vt:variant>
      <vt:variant>
        <vt:i4>0</vt:i4>
      </vt:variant>
      <vt:variant>
        <vt:i4>5</vt:i4>
      </vt:variant>
      <vt:variant>
        <vt:lpwstr>http://joomla.corteidh.or.cr:8080/joomla/es/casos-contenciosos/38-jurisprudencia/475-corte-idh-caso-del-tribunal-constitucional-vs-peru-fondo-reparaciones-y-costas-sentencia-de-31-de-enero-de-2001-serie-c-no-71</vt:lpwstr>
      </vt:variant>
      <vt:variant>
        <vt:lpwstr/>
      </vt:variant>
      <vt:variant>
        <vt:i4>6422563</vt:i4>
      </vt:variant>
      <vt:variant>
        <vt:i4>0</vt:i4>
      </vt:variant>
      <vt:variant>
        <vt:i4>0</vt:i4>
      </vt:variant>
      <vt:variant>
        <vt:i4>5</vt:i4>
      </vt:variant>
      <vt:variant>
        <vt:lpwstr>http://joomla.corteidh.or.cr:8080/joomla/es/casos-contenciosos/38-jurisprudencia/476-corte-idh-caso-baena-ricardo-y-otros-vs-panama-fondo-reparaciones-y-costas-sentencia-de-2-de-febrero-de-2001-serie-c-no-72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2020-10-28T22:47:00Z</dcterms:created>
  <dcterms:modified xsi:type="dcterms:W3CDTF">2020-10-28T22:47:00Z</dcterms:modified>
</cp:coreProperties>
</file>