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8350F" w14:textId="77777777" w:rsidR="00040C3A" w:rsidRPr="00E86A8F" w:rsidRDefault="00D306D1" w:rsidP="00073BB6">
      <w:pPr>
        <w:jc w:val="both"/>
        <w:rPr>
          <w:rFonts w:asciiTheme="majorHAnsi" w:hAnsiTheme="majorHAnsi" w:cs="Univers"/>
          <w:b/>
          <w:bCs/>
          <w:sz w:val="20"/>
          <w:szCs w:val="20"/>
          <w:lang w:val="es-ES_tradnl"/>
        </w:rPr>
      </w:pPr>
      <w:r w:rsidRPr="00E86A8F">
        <w:rPr>
          <w:rFonts w:asciiTheme="majorHAnsi" w:hAnsiTheme="majorHAnsi"/>
          <w:noProof/>
          <w:sz w:val="20"/>
          <w:szCs w:val="20"/>
        </w:rPr>
        <mc:AlternateContent>
          <mc:Choice Requires="wps">
            <w:drawing>
              <wp:anchor distT="0" distB="0" distL="114300" distR="114300" simplePos="0" relativeHeight="251651072" behindDoc="0" locked="0" layoutInCell="1" allowOverlap="1" wp14:anchorId="400A08E0" wp14:editId="5C035FF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D74E2" id="Rectangle 1" o:spid="_x0000_s1026" style="position:absolute;margin-left:-32.75pt;margin-top:-34.6pt;width:121.5pt;height:7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86A8F">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0884E0AC" wp14:editId="6CABCF7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3FC27" w14:textId="77777777" w:rsidR="00945C50" w:rsidRDefault="00945C50" w:rsidP="00AE5488">
                            <w:r>
                              <w:rPr>
                                <w:noProof/>
                              </w:rPr>
                              <w:drawing>
                                <wp:inline distT="0" distB="0" distL="0" distR="0" wp14:anchorId="46BB9605" wp14:editId="2577225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4E0A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CA3FC27" w14:textId="77777777" w:rsidR="00945C50" w:rsidRDefault="00945C50" w:rsidP="00AE5488">
                      <w:r>
                        <w:rPr>
                          <w:noProof/>
                        </w:rPr>
                        <w:drawing>
                          <wp:inline distT="0" distB="0" distL="0" distR="0" wp14:anchorId="46BB9605" wp14:editId="2577225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0B85AE4" w14:textId="77777777" w:rsidR="00040C3A" w:rsidRPr="00E86A8F" w:rsidRDefault="00040C3A" w:rsidP="00073BB6">
      <w:pPr>
        <w:suppressAutoHyphens/>
        <w:jc w:val="both"/>
        <w:rPr>
          <w:rFonts w:asciiTheme="majorHAnsi" w:hAnsiTheme="majorHAnsi"/>
          <w:sz w:val="20"/>
          <w:szCs w:val="20"/>
          <w:lang w:val="es-ES"/>
        </w:rPr>
      </w:pPr>
    </w:p>
    <w:p w14:paraId="0B839986" w14:textId="77777777" w:rsidR="00040C3A" w:rsidRPr="00E86A8F" w:rsidRDefault="00040C3A" w:rsidP="00073BB6">
      <w:pPr>
        <w:suppressAutoHyphens/>
        <w:jc w:val="both"/>
        <w:rPr>
          <w:rFonts w:asciiTheme="majorHAnsi" w:hAnsiTheme="majorHAnsi"/>
          <w:sz w:val="20"/>
          <w:szCs w:val="20"/>
          <w:lang w:val="es-ES"/>
        </w:rPr>
      </w:pPr>
    </w:p>
    <w:p w14:paraId="52A5621A" w14:textId="77777777" w:rsidR="005128E4" w:rsidRPr="00E86A8F" w:rsidRDefault="005128E4" w:rsidP="00073BB6">
      <w:pPr>
        <w:suppressAutoHyphens/>
        <w:rPr>
          <w:rFonts w:asciiTheme="majorHAnsi" w:hAnsiTheme="majorHAnsi"/>
          <w:sz w:val="20"/>
          <w:szCs w:val="20"/>
          <w:lang w:val="es-ES_tradnl"/>
        </w:rPr>
      </w:pPr>
    </w:p>
    <w:p w14:paraId="2DB150AB" w14:textId="77777777" w:rsidR="005128E4" w:rsidRPr="00E86A8F" w:rsidRDefault="005128E4" w:rsidP="00073BB6">
      <w:pPr>
        <w:suppressAutoHyphens/>
        <w:rPr>
          <w:rFonts w:asciiTheme="majorHAnsi" w:hAnsiTheme="majorHAnsi"/>
          <w:sz w:val="20"/>
          <w:szCs w:val="20"/>
          <w:lang w:val="es-ES_tradnl"/>
        </w:rPr>
      </w:pPr>
    </w:p>
    <w:p w14:paraId="06708611" w14:textId="77777777" w:rsidR="005128E4" w:rsidRPr="00E86A8F" w:rsidRDefault="005128E4" w:rsidP="00073BB6">
      <w:pPr>
        <w:suppressAutoHyphens/>
        <w:rPr>
          <w:rFonts w:asciiTheme="majorHAnsi" w:hAnsiTheme="majorHAnsi"/>
          <w:sz w:val="20"/>
          <w:szCs w:val="20"/>
          <w:lang w:val="es-ES_tradnl"/>
        </w:rPr>
      </w:pPr>
    </w:p>
    <w:p w14:paraId="25D3FAC4" w14:textId="77777777" w:rsidR="00040C3A" w:rsidRPr="00E86A8F" w:rsidRDefault="00040C3A" w:rsidP="00073BB6">
      <w:pPr>
        <w:suppressAutoHyphens/>
        <w:jc w:val="center"/>
        <w:rPr>
          <w:rFonts w:asciiTheme="majorHAnsi" w:hAnsiTheme="majorHAnsi"/>
          <w:sz w:val="20"/>
          <w:szCs w:val="20"/>
          <w:lang w:val="es-ES_tradnl"/>
        </w:rPr>
      </w:pPr>
    </w:p>
    <w:p w14:paraId="5047FAB5" w14:textId="77777777" w:rsidR="00040C3A" w:rsidRPr="00E86A8F" w:rsidRDefault="00040C3A" w:rsidP="00073BB6">
      <w:pPr>
        <w:suppressAutoHyphens/>
        <w:jc w:val="center"/>
        <w:rPr>
          <w:rFonts w:asciiTheme="majorHAnsi" w:hAnsiTheme="majorHAnsi"/>
          <w:sz w:val="20"/>
          <w:szCs w:val="20"/>
          <w:lang w:val="es-ES_tradnl"/>
        </w:rPr>
      </w:pPr>
    </w:p>
    <w:p w14:paraId="7469D2DC" w14:textId="77777777" w:rsidR="005B52B0" w:rsidRPr="00E86A8F" w:rsidRDefault="005B52B0" w:rsidP="00073BB6">
      <w:pPr>
        <w:suppressAutoHyphens/>
        <w:jc w:val="center"/>
        <w:rPr>
          <w:rFonts w:asciiTheme="majorHAnsi" w:hAnsiTheme="majorHAnsi"/>
          <w:sz w:val="20"/>
          <w:szCs w:val="20"/>
          <w:lang w:val="es-ES_tradnl"/>
        </w:rPr>
      </w:pPr>
    </w:p>
    <w:p w14:paraId="1ACB2B59" w14:textId="77777777" w:rsidR="005B52B0" w:rsidRPr="00E86A8F" w:rsidRDefault="005B52B0" w:rsidP="00073BB6">
      <w:pPr>
        <w:suppressAutoHyphens/>
        <w:jc w:val="center"/>
        <w:rPr>
          <w:rFonts w:asciiTheme="majorHAnsi" w:hAnsiTheme="majorHAnsi"/>
          <w:sz w:val="20"/>
          <w:szCs w:val="20"/>
          <w:lang w:val="es-ES_tradnl"/>
        </w:rPr>
      </w:pPr>
    </w:p>
    <w:p w14:paraId="7F4ABEAF" w14:textId="77777777" w:rsidR="005B52B0" w:rsidRPr="00E86A8F" w:rsidRDefault="005B52B0" w:rsidP="00073BB6">
      <w:pPr>
        <w:suppressAutoHyphens/>
        <w:jc w:val="center"/>
        <w:rPr>
          <w:rFonts w:asciiTheme="majorHAnsi" w:hAnsiTheme="majorHAnsi"/>
          <w:sz w:val="20"/>
          <w:szCs w:val="20"/>
          <w:lang w:val="es-ES_tradnl"/>
        </w:rPr>
      </w:pPr>
    </w:p>
    <w:p w14:paraId="7182391B" w14:textId="77777777" w:rsidR="00040C3A" w:rsidRPr="00E86A8F" w:rsidRDefault="00040C3A" w:rsidP="00073BB6">
      <w:pPr>
        <w:suppressAutoHyphens/>
        <w:jc w:val="center"/>
        <w:rPr>
          <w:rFonts w:asciiTheme="majorHAnsi" w:hAnsiTheme="majorHAnsi"/>
          <w:sz w:val="20"/>
          <w:szCs w:val="20"/>
          <w:lang w:val="es-ES_tradnl"/>
        </w:rPr>
      </w:pPr>
    </w:p>
    <w:p w14:paraId="2BD5B2A0" w14:textId="77777777" w:rsidR="00040C3A" w:rsidRPr="00E86A8F" w:rsidRDefault="00040C3A" w:rsidP="00073BB6">
      <w:pPr>
        <w:suppressAutoHyphens/>
        <w:jc w:val="center"/>
        <w:rPr>
          <w:rFonts w:asciiTheme="majorHAnsi" w:hAnsiTheme="majorHAnsi"/>
          <w:sz w:val="20"/>
          <w:szCs w:val="20"/>
          <w:lang w:val="es-ES_tradnl"/>
        </w:rPr>
      </w:pPr>
    </w:p>
    <w:p w14:paraId="40327AAB" w14:textId="77777777" w:rsidR="00040C3A" w:rsidRPr="00E86A8F" w:rsidRDefault="003D3BC2" w:rsidP="00073BB6">
      <w:pPr>
        <w:suppressAutoHyphens/>
        <w:jc w:val="center"/>
        <w:rPr>
          <w:rFonts w:asciiTheme="majorHAnsi" w:hAnsiTheme="majorHAnsi"/>
          <w:sz w:val="20"/>
          <w:szCs w:val="20"/>
          <w:lang w:val="es-ES_tradnl"/>
        </w:rPr>
      </w:pPr>
      <w:r w:rsidRPr="00E86A8F">
        <w:rPr>
          <w:rFonts w:asciiTheme="majorHAnsi" w:hAnsiTheme="majorHAnsi"/>
          <w:noProof/>
          <w:sz w:val="20"/>
          <w:szCs w:val="20"/>
        </w:rPr>
        <mc:AlternateContent>
          <mc:Choice Requires="wps">
            <w:drawing>
              <wp:anchor distT="0" distB="0" distL="114300" distR="114300" simplePos="0" relativeHeight="251653120" behindDoc="0" locked="0" layoutInCell="1" allowOverlap="1" wp14:anchorId="16431626" wp14:editId="26B5647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87CEA" w14:textId="0200D52A" w:rsidR="00945C50" w:rsidRPr="00577FC4" w:rsidRDefault="00945C50" w:rsidP="00997BC5">
                            <w:pPr>
                              <w:spacing w:line="276" w:lineRule="auto"/>
                              <w:rPr>
                                <w:rFonts w:asciiTheme="majorHAnsi" w:hAnsiTheme="majorHAnsi" w:cs="Arial"/>
                                <w:b/>
                                <w:bCs/>
                                <w:color w:val="0D0D0D" w:themeColor="text1" w:themeTint="F2"/>
                                <w:sz w:val="36"/>
                                <w:szCs w:val="22"/>
                                <w:lang w:val="es-PE"/>
                              </w:rPr>
                            </w:pPr>
                            <w:r w:rsidRPr="00577FC4">
                              <w:rPr>
                                <w:rFonts w:asciiTheme="majorHAnsi" w:hAnsiTheme="majorHAnsi" w:cs="Arial"/>
                                <w:b/>
                                <w:bCs/>
                                <w:color w:val="0D0D0D" w:themeColor="text1" w:themeTint="F2"/>
                                <w:sz w:val="36"/>
                                <w:szCs w:val="22"/>
                                <w:lang w:val="es-PE"/>
                              </w:rPr>
                              <w:t xml:space="preserve">INFORME </w:t>
                            </w:r>
                            <w:r w:rsidRPr="00577FC4">
                              <w:rPr>
                                <w:rFonts w:asciiTheme="majorHAnsi" w:hAnsiTheme="majorHAnsi" w:cs="Arial"/>
                                <w:b/>
                                <w:bCs/>
                                <w:color w:val="0D0D0D" w:themeColor="text1" w:themeTint="F2"/>
                                <w:sz w:val="36"/>
                                <w:szCs w:val="40"/>
                                <w:lang w:val="es-PE"/>
                              </w:rPr>
                              <w:t>No.</w:t>
                            </w:r>
                            <w:r w:rsidRPr="00577FC4">
                              <w:rPr>
                                <w:rFonts w:asciiTheme="majorHAnsi" w:hAnsiTheme="majorHAnsi" w:cs="Arial"/>
                                <w:b/>
                                <w:bCs/>
                                <w:color w:val="0D0D0D" w:themeColor="text1" w:themeTint="F2"/>
                                <w:sz w:val="36"/>
                                <w:szCs w:val="22"/>
                                <w:lang w:val="es-PE"/>
                              </w:rPr>
                              <w:t xml:space="preserve"> 52/19</w:t>
                            </w:r>
                          </w:p>
                          <w:p w14:paraId="304CF43A" w14:textId="77777777" w:rsidR="00945C50" w:rsidRPr="003F4B6B" w:rsidRDefault="00945C50" w:rsidP="00997BC5">
                            <w:pPr>
                              <w:spacing w:line="276" w:lineRule="auto"/>
                              <w:rPr>
                                <w:rFonts w:asciiTheme="majorHAnsi" w:hAnsiTheme="majorHAnsi" w:cs="Arial"/>
                                <w:b/>
                                <w:color w:val="0D0D0D" w:themeColor="text1" w:themeTint="F2"/>
                                <w:sz w:val="36"/>
                                <w:szCs w:val="22"/>
                                <w:lang w:val="es-PE"/>
                              </w:rPr>
                            </w:pPr>
                            <w:r w:rsidRPr="003F4B6B">
                              <w:rPr>
                                <w:rFonts w:asciiTheme="majorHAnsi" w:hAnsiTheme="majorHAnsi" w:cs="Arial"/>
                                <w:b/>
                                <w:color w:val="0D0D0D" w:themeColor="text1" w:themeTint="F2"/>
                                <w:sz w:val="36"/>
                                <w:szCs w:val="22"/>
                                <w:lang w:val="es-PE"/>
                              </w:rPr>
                              <w:t>CASO 12.624</w:t>
                            </w:r>
                          </w:p>
                          <w:p w14:paraId="13421909" w14:textId="77777777" w:rsidR="00945C50" w:rsidRPr="0010736F" w:rsidRDefault="00945C50"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69C71814" w14:textId="77777777" w:rsidR="00945C50" w:rsidRPr="0010736F" w:rsidRDefault="00945C50" w:rsidP="00997BC5">
                            <w:pPr>
                              <w:spacing w:line="276" w:lineRule="auto"/>
                              <w:rPr>
                                <w:rFonts w:asciiTheme="majorHAnsi" w:hAnsiTheme="majorHAnsi" w:cs="Arial"/>
                                <w:color w:val="0D0D0D" w:themeColor="text1" w:themeTint="F2"/>
                                <w:szCs w:val="22"/>
                                <w:lang w:val="es-ES_tradnl"/>
                              </w:rPr>
                            </w:pPr>
                            <w:bookmarkStart w:id="0" w:name="_ftnref1"/>
                          </w:p>
                          <w:p w14:paraId="15F39EBF" w14:textId="0AE1F027" w:rsidR="00945C50" w:rsidRPr="00485C93" w:rsidRDefault="00945C50" w:rsidP="00997BC5">
                            <w:pPr>
                              <w:spacing w:line="276" w:lineRule="auto"/>
                              <w:rPr>
                                <w:rFonts w:asciiTheme="majorHAnsi" w:hAnsiTheme="majorHAnsi" w:cs="Arial"/>
                                <w:color w:val="0D0D0D" w:themeColor="text1" w:themeTint="F2"/>
                                <w:szCs w:val="22"/>
                                <w:lang w:val="es-ES_tradnl"/>
                              </w:rPr>
                            </w:pPr>
                            <w:r w:rsidRPr="00485C93">
                              <w:rPr>
                                <w:rFonts w:asciiTheme="majorHAnsi" w:hAnsiTheme="majorHAnsi" w:cs="Arial"/>
                                <w:color w:val="0D0D0D" w:themeColor="text1" w:themeTint="F2"/>
                                <w:szCs w:val="22"/>
                                <w:lang w:val="es-ES_tradnl"/>
                              </w:rPr>
                              <w:t xml:space="preserve">CARLOS BARAONA BRAY </w:t>
                            </w:r>
                          </w:p>
                          <w:bookmarkEnd w:id="0"/>
                          <w:p w14:paraId="3E1DB2F2" w14:textId="77777777" w:rsidR="00945C50" w:rsidRPr="0010736F" w:rsidRDefault="00945C50" w:rsidP="00997BC5">
                            <w:pPr>
                              <w:spacing w:line="276" w:lineRule="auto"/>
                              <w:rPr>
                                <w:rFonts w:asciiTheme="majorHAnsi" w:hAnsiTheme="majorHAnsi" w:cs="Arial"/>
                                <w:color w:val="0D0D0D" w:themeColor="text1" w:themeTint="F2"/>
                                <w:szCs w:val="22"/>
                                <w:lang w:val="es-ES"/>
                              </w:rPr>
                            </w:pPr>
                            <w:r w:rsidRPr="00485C93">
                              <w:rPr>
                                <w:rFonts w:asciiTheme="majorHAnsi" w:hAnsiTheme="majorHAnsi" w:cs="Arial"/>
                                <w:color w:val="0D0D0D" w:themeColor="text1" w:themeTint="F2"/>
                                <w:szCs w:val="22"/>
                                <w:lang w:val="es-ES_tradnl"/>
                              </w:rPr>
                              <w:t>CHILE</w:t>
                            </w:r>
                          </w:p>
                          <w:p w14:paraId="1466B22D" w14:textId="77777777" w:rsidR="00945C50" w:rsidRPr="00AE5488" w:rsidRDefault="00945C5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1626" id="Text Box 5" o:spid="_x0000_s1027"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4287CEA" w14:textId="0200D52A" w:rsidR="00945C50" w:rsidRPr="00577FC4" w:rsidRDefault="00945C50" w:rsidP="00997BC5">
                      <w:pPr>
                        <w:spacing w:line="276" w:lineRule="auto"/>
                        <w:rPr>
                          <w:rFonts w:asciiTheme="majorHAnsi" w:hAnsiTheme="majorHAnsi" w:cs="Arial"/>
                          <w:b/>
                          <w:bCs/>
                          <w:color w:val="0D0D0D" w:themeColor="text1" w:themeTint="F2"/>
                          <w:sz w:val="36"/>
                          <w:szCs w:val="22"/>
                          <w:lang w:val="es-PE"/>
                        </w:rPr>
                      </w:pPr>
                      <w:r w:rsidRPr="00577FC4">
                        <w:rPr>
                          <w:rFonts w:asciiTheme="majorHAnsi" w:hAnsiTheme="majorHAnsi" w:cs="Arial"/>
                          <w:b/>
                          <w:bCs/>
                          <w:color w:val="0D0D0D" w:themeColor="text1" w:themeTint="F2"/>
                          <w:sz w:val="36"/>
                          <w:szCs w:val="22"/>
                          <w:lang w:val="es-PE"/>
                        </w:rPr>
                        <w:t xml:space="preserve">INFORME </w:t>
                      </w:r>
                      <w:r w:rsidRPr="00577FC4">
                        <w:rPr>
                          <w:rFonts w:asciiTheme="majorHAnsi" w:hAnsiTheme="majorHAnsi" w:cs="Arial"/>
                          <w:b/>
                          <w:bCs/>
                          <w:color w:val="0D0D0D" w:themeColor="text1" w:themeTint="F2"/>
                          <w:sz w:val="36"/>
                          <w:szCs w:val="40"/>
                          <w:lang w:val="es-PE"/>
                        </w:rPr>
                        <w:t>No.</w:t>
                      </w:r>
                      <w:r w:rsidRPr="00577FC4">
                        <w:rPr>
                          <w:rFonts w:asciiTheme="majorHAnsi" w:hAnsiTheme="majorHAnsi" w:cs="Arial"/>
                          <w:b/>
                          <w:bCs/>
                          <w:color w:val="0D0D0D" w:themeColor="text1" w:themeTint="F2"/>
                          <w:sz w:val="36"/>
                          <w:szCs w:val="22"/>
                          <w:lang w:val="es-PE"/>
                        </w:rPr>
                        <w:t xml:space="preserve"> 52/19</w:t>
                      </w:r>
                    </w:p>
                    <w:p w14:paraId="304CF43A" w14:textId="77777777" w:rsidR="00945C50" w:rsidRPr="003F4B6B" w:rsidRDefault="00945C50" w:rsidP="00997BC5">
                      <w:pPr>
                        <w:spacing w:line="276" w:lineRule="auto"/>
                        <w:rPr>
                          <w:rFonts w:asciiTheme="majorHAnsi" w:hAnsiTheme="majorHAnsi" w:cs="Arial"/>
                          <w:b/>
                          <w:color w:val="0D0D0D" w:themeColor="text1" w:themeTint="F2"/>
                          <w:sz w:val="36"/>
                          <w:szCs w:val="22"/>
                          <w:lang w:val="es-PE"/>
                        </w:rPr>
                      </w:pPr>
                      <w:r w:rsidRPr="003F4B6B">
                        <w:rPr>
                          <w:rFonts w:asciiTheme="majorHAnsi" w:hAnsiTheme="majorHAnsi" w:cs="Arial"/>
                          <w:b/>
                          <w:color w:val="0D0D0D" w:themeColor="text1" w:themeTint="F2"/>
                          <w:sz w:val="36"/>
                          <w:szCs w:val="22"/>
                          <w:lang w:val="es-PE"/>
                        </w:rPr>
                        <w:t>CASO 12.624</w:t>
                      </w:r>
                    </w:p>
                    <w:p w14:paraId="13421909" w14:textId="77777777" w:rsidR="00945C50" w:rsidRPr="0010736F" w:rsidRDefault="00945C50"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69C71814" w14:textId="77777777" w:rsidR="00945C50" w:rsidRPr="0010736F" w:rsidRDefault="00945C50" w:rsidP="00997BC5">
                      <w:pPr>
                        <w:spacing w:line="276" w:lineRule="auto"/>
                        <w:rPr>
                          <w:rFonts w:asciiTheme="majorHAnsi" w:hAnsiTheme="majorHAnsi" w:cs="Arial"/>
                          <w:color w:val="0D0D0D" w:themeColor="text1" w:themeTint="F2"/>
                          <w:szCs w:val="22"/>
                          <w:lang w:val="es-ES_tradnl"/>
                        </w:rPr>
                      </w:pPr>
                      <w:bookmarkStart w:id="1" w:name="_ftnref1"/>
                    </w:p>
                    <w:p w14:paraId="15F39EBF" w14:textId="0AE1F027" w:rsidR="00945C50" w:rsidRPr="00485C93" w:rsidRDefault="00945C50" w:rsidP="00997BC5">
                      <w:pPr>
                        <w:spacing w:line="276" w:lineRule="auto"/>
                        <w:rPr>
                          <w:rFonts w:asciiTheme="majorHAnsi" w:hAnsiTheme="majorHAnsi" w:cs="Arial"/>
                          <w:color w:val="0D0D0D" w:themeColor="text1" w:themeTint="F2"/>
                          <w:szCs w:val="22"/>
                          <w:lang w:val="es-ES_tradnl"/>
                        </w:rPr>
                      </w:pPr>
                      <w:r w:rsidRPr="00485C93">
                        <w:rPr>
                          <w:rFonts w:asciiTheme="majorHAnsi" w:hAnsiTheme="majorHAnsi" w:cs="Arial"/>
                          <w:color w:val="0D0D0D" w:themeColor="text1" w:themeTint="F2"/>
                          <w:szCs w:val="22"/>
                          <w:lang w:val="es-ES_tradnl"/>
                        </w:rPr>
                        <w:t xml:space="preserve">CARLOS BARAONA BRAY </w:t>
                      </w:r>
                    </w:p>
                    <w:bookmarkEnd w:id="1"/>
                    <w:p w14:paraId="3E1DB2F2" w14:textId="77777777" w:rsidR="00945C50" w:rsidRPr="0010736F" w:rsidRDefault="00945C50" w:rsidP="00997BC5">
                      <w:pPr>
                        <w:spacing w:line="276" w:lineRule="auto"/>
                        <w:rPr>
                          <w:rFonts w:asciiTheme="majorHAnsi" w:hAnsiTheme="majorHAnsi" w:cs="Arial"/>
                          <w:color w:val="0D0D0D" w:themeColor="text1" w:themeTint="F2"/>
                          <w:szCs w:val="22"/>
                          <w:lang w:val="es-ES"/>
                        </w:rPr>
                      </w:pPr>
                      <w:r w:rsidRPr="00485C93">
                        <w:rPr>
                          <w:rFonts w:asciiTheme="majorHAnsi" w:hAnsiTheme="majorHAnsi" w:cs="Arial"/>
                          <w:color w:val="0D0D0D" w:themeColor="text1" w:themeTint="F2"/>
                          <w:szCs w:val="22"/>
                          <w:lang w:val="es-ES_tradnl"/>
                        </w:rPr>
                        <w:t>CHILE</w:t>
                      </w:r>
                    </w:p>
                    <w:p w14:paraId="1466B22D" w14:textId="77777777" w:rsidR="00945C50" w:rsidRPr="00AE5488" w:rsidRDefault="00945C50" w:rsidP="007A5817">
                      <w:pPr>
                        <w:rPr>
                          <w:color w:val="0D0D0D" w:themeColor="text1" w:themeTint="F2"/>
                          <w:lang w:val="es-ES_tradnl"/>
                        </w:rPr>
                      </w:pPr>
                    </w:p>
                  </w:txbxContent>
                </v:textbox>
              </v:shape>
            </w:pict>
          </mc:Fallback>
        </mc:AlternateContent>
      </w:r>
      <w:r w:rsidR="004E2649" w:rsidRPr="00E86A8F">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17DC90C3" wp14:editId="03AA46A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8BFE5" w14:textId="74FE5757" w:rsidR="00945C50" w:rsidRPr="00577FC4" w:rsidRDefault="00945C50" w:rsidP="007A5817">
                            <w:pPr>
                              <w:spacing w:line="276" w:lineRule="auto"/>
                              <w:jc w:val="right"/>
                              <w:rPr>
                                <w:rFonts w:asciiTheme="minorHAnsi" w:hAnsiTheme="minorHAnsi"/>
                                <w:color w:val="FFFFFF" w:themeColor="background1"/>
                                <w:sz w:val="22"/>
                                <w:lang w:val="pt-BR"/>
                              </w:rPr>
                            </w:pPr>
                            <w:r w:rsidRPr="00577FC4">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172</w:t>
                            </w:r>
                          </w:p>
                          <w:p w14:paraId="0276AFFA" w14:textId="5C698F74" w:rsidR="00945C50" w:rsidRPr="00577FC4" w:rsidRDefault="00945C50" w:rsidP="007A5817">
                            <w:pPr>
                              <w:spacing w:line="276" w:lineRule="auto"/>
                              <w:jc w:val="right"/>
                              <w:rPr>
                                <w:rFonts w:asciiTheme="minorHAnsi" w:hAnsiTheme="minorHAnsi"/>
                                <w:color w:val="FFFFFF" w:themeColor="background1"/>
                                <w:sz w:val="22"/>
                                <w:lang w:val="pt-BR"/>
                              </w:rPr>
                            </w:pPr>
                            <w:r w:rsidRPr="00577FC4">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61</w:t>
                            </w:r>
                          </w:p>
                          <w:p w14:paraId="1E49BFFF" w14:textId="23F07BFE" w:rsidR="00945C50" w:rsidRPr="00577FC4" w:rsidRDefault="00945C5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w:t>
                            </w:r>
                            <w:r w:rsidRPr="00577FC4">
                              <w:rPr>
                                <w:rFonts w:asciiTheme="minorHAnsi" w:hAnsiTheme="minorHAnsi"/>
                                <w:color w:val="FFFFFF" w:themeColor="background1"/>
                                <w:sz w:val="22"/>
                                <w:lang w:val="es-US"/>
                              </w:rPr>
                              <w:t xml:space="preserve"> de </w:t>
                            </w:r>
                            <w:r>
                              <w:rPr>
                                <w:rFonts w:asciiTheme="minorHAnsi" w:hAnsiTheme="minorHAnsi"/>
                                <w:color w:val="FFFFFF" w:themeColor="background1"/>
                                <w:sz w:val="22"/>
                                <w:lang w:val="es-US"/>
                              </w:rPr>
                              <w:t>mayo</w:t>
                            </w:r>
                            <w:r w:rsidRPr="00577FC4">
                              <w:rPr>
                                <w:rFonts w:asciiTheme="minorHAnsi" w:hAnsiTheme="minorHAnsi"/>
                                <w:color w:val="FFFFFF" w:themeColor="background1"/>
                                <w:sz w:val="22"/>
                                <w:lang w:val="es-US"/>
                              </w:rPr>
                              <w:t xml:space="preserve"> 2019</w:t>
                            </w:r>
                          </w:p>
                          <w:p w14:paraId="0E5759A2" w14:textId="77777777" w:rsidR="00945C50" w:rsidRPr="007C756A" w:rsidRDefault="00945C50" w:rsidP="007A5817">
                            <w:pPr>
                              <w:spacing w:line="276" w:lineRule="auto"/>
                              <w:jc w:val="right"/>
                              <w:rPr>
                                <w:rFonts w:asciiTheme="minorHAnsi" w:hAnsiTheme="minorHAnsi"/>
                                <w:color w:val="FFFFFF" w:themeColor="background1"/>
                                <w:sz w:val="22"/>
                                <w:lang w:val="es-US"/>
                              </w:rPr>
                            </w:pPr>
                            <w:r w:rsidRPr="00577FC4">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90C3"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AC8BFE5" w14:textId="74FE5757" w:rsidR="00945C50" w:rsidRPr="00577FC4" w:rsidRDefault="00945C50" w:rsidP="007A5817">
                      <w:pPr>
                        <w:spacing w:line="276" w:lineRule="auto"/>
                        <w:jc w:val="right"/>
                        <w:rPr>
                          <w:rFonts w:asciiTheme="minorHAnsi" w:hAnsiTheme="minorHAnsi"/>
                          <w:color w:val="FFFFFF" w:themeColor="background1"/>
                          <w:sz w:val="22"/>
                          <w:lang w:val="pt-BR"/>
                        </w:rPr>
                      </w:pPr>
                      <w:r w:rsidRPr="00577FC4">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172</w:t>
                      </w:r>
                    </w:p>
                    <w:p w14:paraId="0276AFFA" w14:textId="5C698F74" w:rsidR="00945C50" w:rsidRPr="00577FC4" w:rsidRDefault="00945C50" w:rsidP="007A5817">
                      <w:pPr>
                        <w:spacing w:line="276" w:lineRule="auto"/>
                        <w:jc w:val="right"/>
                        <w:rPr>
                          <w:rFonts w:asciiTheme="minorHAnsi" w:hAnsiTheme="minorHAnsi"/>
                          <w:color w:val="FFFFFF" w:themeColor="background1"/>
                          <w:sz w:val="22"/>
                          <w:lang w:val="pt-BR"/>
                        </w:rPr>
                      </w:pPr>
                      <w:r w:rsidRPr="00577FC4">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61</w:t>
                      </w:r>
                    </w:p>
                    <w:p w14:paraId="1E49BFFF" w14:textId="23F07BFE" w:rsidR="00945C50" w:rsidRPr="00577FC4" w:rsidRDefault="00945C5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w:t>
                      </w:r>
                      <w:r w:rsidRPr="00577FC4">
                        <w:rPr>
                          <w:rFonts w:asciiTheme="minorHAnsi" w:hAnsiTheme="minorHAnsi"/>
                          <w:color w:val="FFFFFF" w:themeColor="background1"/>
                          <w:sz w:val="22"/>
                          <w:lang w:val="es-US"/>
                        </w:rPr>
                        <w:t xml:space="preserve"> de </w:t>
                      </w:r>
                      <w:r>
                        <w:rPr>
                          <w:rFonts w:asciiTheme="minorHAnsi" w:hAnsiTheme="minorHAnsi"/>
                          <w:color w:val="FFFFFF" w:themeColor="background1"/>
                          <w:sz w:val="22"/>
                          <w:lang w:val="es-US"/>
                        </w:rPr>
                        <w:t>mayo</w:t>
                      </w:r>
                      <w:r w:rsidRPr="00577FC4">
                        <w:rPr>
                          <w:rFonts w:asciiTheme="minorHAnsi" w:hAnsiTheme="minorHAnsi"/>
                          <w:color w:val="FFFFFF" w:themeColor="background1"/>
                          <w:sz w:val="22"/>
                          <w:lang w:val="es-US"/>
                        </w:rPr>
                        <w:t xml:space="preserve"> 2019</w:t>
                      </w:r>
                    </w:p>
                    <w:p w14:paraId="0E5759A2" w14:textId="77777777" w:rsidR="00945C50" w:rsidRPr="007C756A" w:rsidRDefault="00945C50" w:rsidP="007A5817">
                      <w:pPr>
                        <w:spacing w:line="276" w:lineRule="auto"/>
                        <w:jc w:val="right"/>
                        <w:rPr>
                          <w:rFonts w:asciiTheme="minorHAnsi" w:hAnsiTheme="minorHAnsi"/>
                          <w:color w:val="FFFFFF" w:themeColor="background1"/>
                          <w:sz w:val="22"/>
                          <w:lang w:val="es-US"/>
                        </w:rPr>
                      </w:pPr>
                      <w:r w:rsidRPr="00577FC4">
                        <w:rPr>
                          <w:rFonts w:asciiTheme="minorHAnsi" w:hAnsiTheme="minorHAnsi"/>
                          <w:color w:val="FFFFFF" w:themeColor="background1"/>
                          <w:sz w:val="22"/>
                          <w:lang w:val="es-US"/>
                        </w:rPr>
                        <w:t>Original: español</w:t>
                      </w:r>
                    </w:p>
                  </w:txbxContent>
                </v:textbox>
              </v:shape>
            </w:pict>
          </mc:Fallback>
        </mc:AlternateContent>
      </w:r>
    </w:p>
    <w:p w14:paraId="6B98C417" w14:textId="77777777" w:rsidR="00040C3A" w:rsidRPr="00E86A8F" w:rsidRDefault="00040C3A" w:rsidP="00073BB6">
      <w:pPr>
        <w:suppressAutoHyphens/>
        <w:jc w:val="center"/>
        <w:rPr>
          <w:rFonts w:asciiTheme="majorHAnsi" w:hAnsiTheme="majorHAnsi"/>
          <w:sz w:val="20"/>
          <w:szCs w:val="20"/>
          <w:lang w:val="es-ES_tradnl"/>
        </w:rPr>
      </w:pPr>
    </w:p>
    <w:p w14:paraId="5EA79B9E" w14:textId="77777777" w:rsidR="00040C3A" w:rsidRPr="00E86A8F" w:rsidRDefault="00040C3A" w:rsidP="00073BB6">
      <w:pPr>
        <w:suppressAutoHyphens/>
        <w:jc w:val="center"/>
        <w:rPr>
          <w:rFonts w:asciiTheme="majorHAnsi" w:hAnsiTheme="majorHAnsi"/>
          <w:sz w:val="20"/>
          <w:szCs w:val="20"/>
          <w:lang w:val="es-ES_tradnl"/>
        </w:rPr>
      </w:pPr>
    </w:p>
    <w:p w14:paraId="5F09E093" w14:textId="77777777" w:rsidR="00040C3A" w:rsidRPr="00E86A8F" w:rsidRDefault="00040C3A" w:rsidP="00073BB6">
      <w:pPr>
        <w:suppressAutoHyphens/>
        <w:jc w:val="center"/>
        <w:rPr>
          <w:rFonts w:asciiTheme="majorHAnsi" w:hAnsiTheme="majorHAnsi" w:cs="Arial"/>
          <w:sz w:val="20"/>
          <w:szCs w:val="20"/>
          <w:lang w:val="es-ES_tradnl"/>
        </w:rPr>
      </w:pPr>
    </w:p>
    <w:p w14:paraId="18F961FD" w14:textId="77777777" w:rsidR="00040C3A" w:rsidRPr="00E86A8F" w:rsidRDefault="00040C3A" w:rsidP="00073BB6">
      <w:pPr>
        <w:suppressAutoHyphens/>
        <w:jc w:val="center"/>
        <w:rPr>
          <w:rFonts w:asciiTheme="majorHAnsi" w:hAnsiTheme="majorHAnsi"/>
          <w:sz w:val="20"/>
          <w:szCs w:val="20"/>
          <w:lang w:val="es-ES_tradnl"/>
        </w:rPr>
      </w:pPr>
    </w:p>
    <w:p w14:paraId="3230E0AE" w14:textId="77777777" w:rsidR="00040C3A" w:rsidRPr="00E86A8F" w:rsidRDefault="00040C3A" w:rsidP="00073BB6">
      <w:pPr>
        <w:suppressAutoHyphens/>
        <w:jc w:val="center"/>
        <w:rPr>
          <w:rFonts w:asciiTheme="majorHAnsi" w:hAnsiTheme="majorHAnsi"/>
          <w:sz w:val="20"/>
          <w:szCs w:val="20"/>
          <w:lang w:val="es-ES_tradnl"/>
        </w:rPr>
      </w:pPr>
    </w:p>
    <w:p w14:paraId="18284EC7" w14:textId="77777777" w:rsidR="00040C3A" w:rsidRPr="00E86A8F" w:rsidRDefault="00040C3A" w:rsidP="00073BB6">
      <w:pPr>
        <w:suppressAutoHyphens/>
        <w:jc w:val="center"/>
        <w:rPr>
          <w:rFonts w:asciiTheme="majorHAnsi" w:hAnsiTheme="majorHAnsi"/>
          <w:sz w:val="20"/>
          <w:szCs w:val="20"/>
          <w:lang w:val="es-ES_tradnl"/>
        </w:rPr>
      </w:pPr>
    </w:p>
    <w:p w14:paraId="5D62DA6B" w14:textId="77777777" w:rsidR="00040C3A" w:rsidRPr="00E86A8F" w:rsidRDefault="00040C3A" w:rsidP="00073BB6">
      <w:pPr>
        <w:suppressAutoHyphens/>
        <w:jc w:val="center"/>
        <w:rPr>
          <w:rFonts w:asciiTheme="majorHAnsi" w:hAnsiTheme="majorHAnsi"/>
          <w:sz w:val="20"/>
          <w:szCs w:val="20"/>
          <w:lang w:val="es-ES_tradnl"/>
        </w:rPr>
      </w:pPr>
    </w:p>
    <w:p w14:paraId="34622891" w14:textId="77777777" w:rsidR="005128E4" w:rsidRPr="00E86A8F" w:rsidRDefault="005128E4" w:rsidP="00073BB6">
      <w:pPr>
        <w:suppressAutoHyphens/>
        <w:jc w:val="center"/>
        <w:rPr>
          <w:rFonts w:asciiTheme="majorHAnsi" w:hAnsiTheme="majorHAnsi"/>
          <w:sz w:val="20"/>
          <w:szCs w:val="20"/>
          <w:lang w:val="es-ES_tradnl"/>
        </w:rPr>
      </w:pPr>
    </w:p>
    <w:p w14:paraId="34BB1985" w14:textId="77777777" w:rsidR="00040C3A" w:rsidRPr="00E86A8F" w:rsidRDefault="00040C3A" w:rsidP="00073BB6">
      <w:pPr>
        <w:suppressAutoHyphens/>
        <w:jc w:val="center"/>
        <w:rPr>
          <w:rFonts w:asciiTheme="majorHAnsi" w:hAnsiTheme="majorHAnsi"/>
          <w:sz w:val="20"/>
          <w:szCs w:val="20"/>
          <w:lang w:val="es-ES_tradnl"/>
        </w:rPr>
      </w:pPr>
    </w:p>
    <w:p w14:paraId="08CECACD" w14:textId="77777777" w:rsidR="005128E4" w:rsidRPr="00E86A8F" w:rsidRDefault="005128E4" w:rsidP="00073BB6">
      <w:pPr>
        <w:suppressAutoHyphens/>
        <w:jc w:val="center"/>
        <w:rPr>
          <w:rFonts w:asciiTheme="majorHAnsi" w:hAnsiTheme="majorHAnsi"/>
          <w:sz w:val="20"/>
          <w:szCs w:val="20"/>
          <w:lang w:val="es-ES_tradnl"/>
        </w:rPr>
      </w:pPr>
    </w:p>
    <w:p w14:paraId="0046D8E4" w14:textId="77777777" w:rsidR="005128E4" w:rsidRPr="00E86A8F" w:rsidRDefault="005128E4" w:rsidP="00073BB6">
      <w:pPr>
        <w:suppressAutoHyphens/>
        <w:jc w:val="center"/>
        <w:rPr>
          <w:rFonts w:asciiTheme="majorHAnsi" w:hAnsiTheme="majorHAnsi"/>
          <w:sz w:val="20"/>
          <w:szCs w:val="20"/>
          <w:lang w:val="es-ES_tradnl"/>
        </w:rPr>
      </w:pPr>
    </w:p>
    <w:p w14:paraId="38FB6212" w14:textId="77777777" w:rsidR="005128E4" w:rsidRPr="00E86A8F" w:rsidRDefault="005128E4" w:rsidP="00073BB6">
      <w:pPr>
        <w:suppressAutoHyphens/>
        <w:jc w:val="center"/>
        <w:rPr>
          <w:rFonts w:asciiTheme="majorHAnsi" w:hAnsiTheme="majorHAnsi"/>
          <w:sz w:val="20"/>
          <w:szCs w:val="20"/>
          <w:lang w:val="es-ES_tradnl"/>
        </w:rPr>
      </w:pPr>
    </w:p>
    <w:p w14:paraId="1EEE0BB5" w14:textId="77777777" w:rsidR="00040C3A" w:rsidRPr="00E86A8F" w:rsidRDefault="00040C3A" w:rsidP="00073BB6">
      <w:pPr>
        <w:suppressAutoHyphens/>
        <w:jc w:val="center"/>
        <w:rPr>
          <w:rFonts w:asciiTheme="majorHAnsi" w:hAnsiTheme="majorHAnsi"/>
          <w:sz w:val="20"/>
          <w:szCs w:val="20"/>
          <w:lang w:val="es-ES_tradnl"/>
        </w:rPr>
      </w:pPr>
    </w:p>
    <w:p w14:paraId="2D43E556" w14:textId="77777777" w:rsidR="00040C3A" w:rsidRPr="00E86A8F" w:rsidRDefault="00040C3A" w:rsidP="00073BB6">
      <w:pPr>
        <w:suppressAutoHyphens/>
        <w:jc w:val="center"/>
        <w:rPr>
          <w:rFonts w:asciiTheme="majorHAnsi" w:hAnsiTheme="majorHAnsi"/>
          <w:sz w:val="20"/>
          <w:szCs w:val="20"/>
          <w:lang w:val="es-ES_tradnl"/>
        </w:rPr>
      </w:pPr>
    </w:p>
    <w:p w14:paraId="20C1F221" w14:textId="77777777" w:rsidR="00A50FCF" w:rsidRPr="00E86A8F" w:rsidRDefault="00A50FCF" w:rsidP="00073BB6">
      <w:pPr>
        <w:suppressAutoHyphens/>
        <w:jc w:val="center"/>
        <w:rPr>
          <w:rFonts w:asciiTheme="majorHAnsi" w:hAnsiTheme="majorHAnsi"/>
          <w:sz w:val="20"/>
          <w:szCs w:val="20"/>
          <w:lang w:val="es-ES_tradnl"/>
        </w:rPr>
      </w:pPr>
    </w:p>
    <w:p w14:paraId="4B72A651" w14:textId="77777777" w:rsidR="00A50FCF" w:rsidRPr="00E86A8F" w:rsidRDefault="00A50FCF" w:rsidP="00073BB6">
      <w:pPr>
        <w:suppressAutoHyphens/>
        <w:jc w:val="center"/>
        <w:rPr>
          <w:rFonts w:asciiTheme="majorHAnsi" w:hAnsiTheme="majorHAnsi"/>
          <w:sz w:val="20"/>
          <w:szCs w:val="20"/>
          <w:lang w:val="es-ES_tradnl"/>
        </w:rPr>
      </w:pPr>
    </w:p>
    <w:p w14:paraId="08635276" w14:textId="77777777" w:rsidR="00A50FCF" w:rsidRPr="00E86A8F" w:rsidRDefault="00A50FCF" w:rsidP="00073BB6">
      <w:pPr>
        <w:suppressAutoHyphens/>
        <w:jc w:val="center"/>
        <w:rPr>
          <w:rFonts w:asciiTheme="majorHAnsi" w:hAnsiTheme="majorHAnsi"/>
          <w:sz w:val="20"/>
          <w:szCs w:val="20"/>
          <w:lang w:val="es-ES_tradnl"/>
        </w:rPr>
      </w:pPr>
    </w:p>
    <w:p w14:paraId="655F34F5" w14:textId="77777777" w:rsidR="00A50FCF" w:rsidRPr="00E86A8F" w:rsidRDefault="00A50FCF" w:rsidP="00073BB6">
      <w:pPr>
        <w:suppressAutoHyphens/>
        <w:jc w:val="center"/>
        <w:rPr>
          <w:rFonts w:asciiTheme="majorHAnsi" w:hAnsiTheme="majorHAnsi"/>
          <w:sz w:val="20"/>
          <w:szCs w:val="20"/>
          <w:lang w:val="es-ES_tradnl"/>
        </w:rPr>
      </w:pPr>
    </w:p>
    <w:p w14:paraId="107F8EC5" w14:textId="77777777" w:rsidR="00A50FCF" w:rsidRPr="00E86A8F" w:rsidRDefault="00A50FCF" w:rsidP="00073BB6">
      <w:pPr>
        <w:suppressAutoHyphens/>
        <w:jc w:val="center"/>
        <w:rPr>
          <w:rFonts w:asciiTheme="majorHAnsi" w:hAnsiTheme="majorHAnsi"/>
          <w:sz w:val="20"/>
          <w:szCs w:val="20"/>
          <w:lang w:val="es-ES_tradnl"/>
        </w:rPr>
      </w:pPr>
    </w:p>
    <w:p w14:paraId="0894E766" w14:textId="77777777" w:rsidR="00A50FCF" w:rsidRPr="00E86A8F" w:rsidRDefault="00A50FCF" w:rsidP="00073BB6">
      <w:pPr>
        <w:suppressAutoHyphens/>
        <w:jc w:val="center"/>
        <w:rPr>
          <w:rFonts w:asciiTheme="majorHAnsi" w:hAnsiTheme="majorHAnsi"/>
          <w:sz w:val="20"/>
          <w:szCs w:val="20"/>
          <w:lang w:val="es-ES_tradnl"/>
        </w:rPr>
      </w:pPr>
    </w:p>
    <w:p w14:paraId="537DE0A3" w14:textId="77777777" w:rsidR="00A50FCF" w:rsidRPr="00E86A8F" w:rsidRDefault="00A50FCF" w:rsidP="00073BB6">
      <w:pPr>
        <w:suppressAutoHyphens/>
        <w:jc w:val="center"/>
        <w:rPr>
          <w:rFonts w:asciiTheme="majorHAnsi" w:hAnsiTheme="majorHAnsi"/>
          <w:sz w:val="20"/>
          <w:szCs w:val="20"/>
          <w:lang w:val="es-ES_tradnl"/>
        </w:rPr>
      </w:pPr>
    </w:p>
    <w:p w14:paraId="1F1FA9FA" w14:textId="77777777" w:rsidR="00A50FCF" w:rsidRPr="00E86A8F" w:rsidRDefault="00A50FCF" w:rsidP="00073BB6">
      <w:pPr>
        <w:suppressAutoHyphens/>
        <w:jc w:val="center"/>
        <w:rPr>
          <w:rFonts w:asciiTheme="majorHAnsi" w:hAnsiTheme="majorHAnsi"/>
          <w:sz w:val="20"/>
          <w:szCs w:val="20"/>
          <w:lang w:val="es-ES_tradnl"/>
        </w:rPr>
      </w:pPr>
    </w:p>
    <w:p w14:paraId="1CC8B0B7" w14:textId="77777777" w:rsidR="00A50FCF" w:rsidRPr="00E86A8F" w:rsidRDefault="00A50FCF" w:rsidP="00073BB6">
      <w:pPr>
        <w:suppressAutoHyphens/>
        <w:jc w:val="center"/>
        <w:rPr>
          <w:rFonts w:asciiTheme="majorHAnsi" w:hAnsiTheme="majorHAnsi"/>
          <w:sz w:val="20"/>
          <w:szCs w:val="20"/>
          <w:lang w:val="es-ES_tradnl"/>
        </w:rPr>
      </w:pPr>
    </w:p>
    <w:p w14:paraId="5A302E9A" w14:textId="77777777" w:rsidR="00A50FCF" w:rsidRPr="00E86A8F" w:rsidRDefault="00A50FCF" w:rsidP="00073BB6">
      <w:pPr>
        <w:suppressAutoHyphens/>
        <w:jc w:val="center"/>
        <w:rPr>
          <w:rFonts w:asciiTheme="majorHAnsi" w:hAnsiTheme="majorHAnsi"/>
          <w:sz w:val="20"/>
          <w:szCs w:val="20"/>
          <w:lang w:val="es-ES_tradnl"/>
        </w:rPr>
      </w:pPr>
    </w:p>
    <w:p w14:paraId="0578A6C9" w14:textId="77777777" w:rsidR="00A50FCF" w:rsidRPr="00E86A8F" w:rsidRDefault="00A50FCF" w:rsidP="00073BB6">
      <w:pPr>
        <w:suppressAutoHyphens/>
        <w:jc w:val="center"/>
        <w:rPr>
          <w:rFonts w:asciiTheme="majorHAnsi" w:hAnsiTheme="majorHAnsi"/>
          <w:sz w:val="20"/>
          <w:szCs w:val="20"/>
          <w:lang w:val="es-ES_tradnl"/>
        </w:rPr>
      </w:pPr>
    </w:p>
    <w:p w14:paraId="00A32286" w14:textId="77777777" w:rsidR="00A50FCF" w:rsidRPr="00E86A8F" w:rsidRDefault="00A50FCF" w:rsidP="00073BB6">
      <w:pPr>
        <w:suppressAutoHyphens/>
        <w:jc w:val="center"/>
        <w:rPr>
          <w:rFonts w:asciiTheme="majorHAnsi" w:hAnsiTheme="majorHAnsi"/>
          <w:sz w:val="20"/>
          <w:szCs w:val="20"/>
          <w:lang w:val="es-ES_tradnl"/>
        </w:rPr>
      </w:pPr>
    </w:p>
    <w:p w14:paraId="0D701652" w14:textId="77777777" w:rsidR="00A50FCF" w:rsidRPr="00E86A8F" w:rsidRDefault="00A50FCF" w:rsidP="00073BB6">
      <w:pPr>
        <w:suppressAutoHyphens/>
        <w:jc w:val="center"/>
        <w:rPr>
          <w:rFonts w:asciiTheme="majorHAnsi" w:hAnsiTheme="majorHAnsi"/>
          <w:sz w:val="20"/>
          <w:szCs w:val="20"/>
          <w:lang w:val="es-ES_tradnl"/>
        </w:rPr>
      </w:pPr>
    </w:p>
    <w:p w14:paraId="2014FEA4" w14:textId="77777777" w:rsidR="00A50FCF" w:rsidRPr="00E86A8F" w:rsidRDefault="00A50FCF" w:rsidP="00073BB6">
      <w:pPr>
        <w:suppressAutoHyphens/>
        <w:jc w:val="center"/>
        <w:rPr>
          <w:rFonts w:asciiTheme="majorHAnsi" w:hAnsiTheme="majorHAnsi"/>
          <w:sz w:val="20"/>
          <w:szCs w:val="20"/>
          <w:lang w:val="es-ES_tradnl"/>
        </w:rPr>
      </w:pPr>
    </w:p>
    <w:p w14:paraId="6079970E" w14:textId="77777777" w:rsidR="00A50FCF" w:rsidRPr="00E86A8F" w:rsidRDefault="0090270B" w:rsidP="00073BB6">
      <w:pPr>
        <w:suppressAutoHyphens/>
        <w:jc w:val="center"/>
        <w:rPr>
          <w:rFonts w:asciiTheme="majorHAnsi" w:hAnsiTheme="majorHAnsi"/>
          <w:sz w:val="20"/>
          <w:szCs w:val="20"/>
          <w:lang w:val="es-ES_tradnl"/>
        </w:rPr>
      </w:pPr>
      <w:r w:rsidRPr="00E86A8F">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36656F40" wp14:editId="34DFCF18">
                <wp:simplePos x="0" y="0"/>
                <wp:positionH relativeFrom="column">
                  <wp:posOffset>1339850</wp:posOffset>
                </wp:positionH>
                <wp:positionV relativeFrom="paragraph">
                  <wp:posOffset>20320</wp:posOffset>
                </wp:positionV>
                <wp:extent cx="4933950" cy="5651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493395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30DAF" w14:textId="6695D0D4" w:rsidR="00945C50" w:rsidRPr="00890650" w:rsidRDefault="00945C5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2149</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172</w:t>
                            </w:r>
                            <w:r w:rsidR="001744BA">
                              <w:rPr>
                                <w:rFonts w:asciiTheme="majorHAnsi" w:hAnsiTheme="majorHAnsi" w:cs="Univers"/>
                                <w:color w:val="0D0D0D" w:themeColor="text1" w:themeTint="F2"/>
                                <w:sz w:val="18"/>
                                <w:szCs w:val="20"/>
                                <w:lang w:val="es-ES_tradnl"/>
                              </w:rPr>
                              <w:t xml:space="preserve"> P</w:t>
                            </w:r>
                            <w:r w:rsidRPr="00890650">
                              <w:rPr>
                                <w:rFonts w:asciiTheme="majorHAnsi" w:hAnsiTheme="majorHAnsi" w:cs="Univers"/>
                                <w:color w:val="0D0D0D" w:themeColor="text1" w:themeTint="F2"/>
                                <w:sz w:val="18"/>
                                <w:szCs w:val="20"/>
                                <w:lang w:val="es-ES_tradnl"/>
                              </w:rPr>
                              <w:t xml:space="preserve">eríodo </w:t>
                            </w:r>
                            <w:r w:rsidR="001744BA">
                              <w:rPr>
                                <w:rFonts w:asciiTheme="majorHAnsi" w:hAnsiTheme="majorHAnsi" w:cs="Univers"/>
                                <w:color w:val="0D0D0D" w:themeColor="text1" w:themeTint="F2"/>
                                <w:sz w:val="18"/>
                                <w:szCs w:val="20"/>
                                <w:lang w:val="es-ES_tradnl"/>
                              </w:rPr>
                              <w:t>E</w:t>
                            </w:r>
                            <w:r w:rsidRPr="00DD39F7">
                              <w:rPr>
                                <w:rFonts w:asciiTheme="majorHAnsi" w:hAnsiTheme="majorHAnsi" w:cs="Univers"/>
                                <w:color w:val="0D0D0D" w:themeColor="text1" w:themeTint="F2"/>
                                <w:sz w:val="18"/>
                                <w:szCs w:val="20"/>
                                <w:lang w:val="es-ES_tradnl"/>
                              </w:rPr>
                              <w:t>xtraordinario</w:t>
                            </w:r>
                            <w:r w:rsidRPr="00890650">
                              <w:rPr>
                                <w:rFonts w:asciiTheme="majorHAnsi" w:hAnsiTheme="majorHAnsi" w:cs="Univers"/>
                                <w:color w:val="0D0D0D" w:themeColor="text1" w:themeTint="F2"/>
                                <w:sz w:val="18"/>
                                <w:szCs w:val="20"/>
                                <w:lang w:val="es-ES_tradnl"/>
                              </w:rPr>
                              <w:t xml:space="preserve"> de </w:t>
                            </w:r>
                            <w:r w:rsidR="001744BA">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p w14:paraId="2240B377" w14:textId="32A905E4" w:rsidR="00945C50" w:rsidRPr="00890650" w:rsidRDefault="00945C50" w:rsidP="00DD3D86">
                            <w:pPr>
                              <w:tabs>
                                <w:tab w:val="center" w:pos="5400"/>
                              </w:tabs>
                              <w:suppressAutoHyphens/>
                              <w:spacing w:before="60"/>
                              <w:rPr>
                                <w:rFonts w:asciiTheme="majorHAnsi" w:hAnsiTheme="majorHAnsi"/>
                                <w:color w:val="0D0D0D" w:themeColor="text1" w:themeTint="F2"/>
                                <w:sz w:val="18"/>
                                <w:szCs w:val="22"/>
                                <w:lang w:val="es-ES"/>
                              </w:rPr>
                            </w:pPr>
                          </w:p>
                          <w:p w14:paraId="27319B3F" w14:textId="77777777" w:rsidR="00945C50" w:rsidRPr="007A5817" w:rsidRDefault="00945C50" w:rsidP="00247403">
                            <w:pPr>
                              <w:tabs>
                                <w:tab w:val="center" w:pos="5400"/>
                              </w:tabs>
                              <w:suppressAutoHyphens/>
                              <w:spacing w:before="60"/>
                              <w:rPr>
                                <w:rFonts w:asciiTheme="minorHAnsi" w:hAnsiTheme="minorHAnsi" w:cs="Univers"/>
                                <w:color w:val="0D0D0D" w:themeColor="text1" w:themeTint="F2"/>
                                <w:sz w:val="20"/>
                                <w:szCs w:val="20"/>
                                <w:lang w:val="es-ES"/>
                              </w:rPr>
                            </w:pPr>
                          </w:p>
                          <w:p w14:paraId="351D9083" w14:textId="77777777" w:rsidR="00945C50" w:rsidRPr="00167A34" w:rsidRDefault="00945C5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6F40" id="Text Box 7" o:spid="_x0000_s1029" type="#_x0000_t202" style="position:absolute;left:0;text-align:left;margin-left:105.5pt;margin-top:1.6pt;width:388.5pt;height: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" filled="f" stroked="f" strokeweight=".5pt">
                <v:textbox>
                  <w:txbxContent>
                    <w:p w14:paraId="19530DAF" w14:textId="6695D0D4" w:rsidR="00945C50" w:rsidRPr="00890650" w:rsidRDefault="00945C5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2149</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172</w:t>
                      </w:r>
                      <w:r w:rsidR="001744BA">
                        <w:rPr>
                          <w:rFonts w:asciiTheme="majorHAnsi" w:hAnsiTheme="majorHAnsi" w:cs="Univers"/>
                          <w:color w:val="0D0D0D" w:themeColor="text1" w:themeTint="F2"/>
                          <w:sz w:val="18"/>
                          <w:szCs w:val="20"/>
                          <w:lang w:val="es-ES_tradnl"/>
                        </w:rPr>
                        <w:t xml:space="preserve"> P</w:t>
                      </w:r>
                      <w:r w:rsidRPr="00890650">
                        <w:rPr>
                          <w:rFonts w:asciiTheme="majorHAnsi" w:hAnsiTheme="majorHAnsi" w:cs="Univers"/>
                          <w:color w:val="0D0D0D" w:themeColor="text1" w:themeTint="F2"/>
                          <w:sz w:val="18"/>
                          <w:szCs w:val="20"/>
                          <w:lang w:val="es-ES_tradnl"/>
                        </w:rPr>
                        <w:t xml:space="preserve">eríodo </w:t>
                      </w:r>
                      <w:r w:rsidR="001744BA">
                        <w:rPr>
                          <w:rFonts w:asciiTheme="majorHAnsi" w:hAnsiTheme="majorHAnsi" w:cs="Univers"/>
                          <w:color w:val="0D0D0D" w:themeColor="text1" w:themeTint="F2"/>
                          <w:sz w:val="18"/>
                          <w:szCs w:val="20"/>
                          <w:lang w:val="es-ES_tradnl"/>
                        </w:rPr>
                        <w:t>E</w:t>
                      </w:r>
                      <w:r w:rsidRPr="00DD39F7">
                        <w:rPr>
                          <w:rFonts w:asciiTheme="majorHAnsi" w:hAnsiTheme="majorHAnsi" w:cs="Univers"/>
                          <w:color w:val="0D0D0D" w:themeColor="text1" w:themeTint="F2"/>
                          <w:sz w:val="18"/>
                          <w:szCs w:val="20"/>
                          <w:lang w:val="es-ES_tradnl"/>
                        </w:rPr>
                        <w:t>xtraordinario</w:t>
                      </w:r>
                      <w:r w:rsidRPr="00890650">
                        <w:rPr>
                          <w:rFonts w:asciiTheme="majorHAnsi" w:hAnsiTheme="majorHAnsi" w:cs="Univers"/>
                          <w:color w:val="0D0D0D" w:themeColor="text1" w:themeTint="F2"/>
                          <w:sz w:val="18"/>
                          <w:szCs w:val="20"/>
                          <w:lang w:val="es-ES_tradnl"/>
                        </w:rPr>
                        <w:t xml:space="preserve"> de </w:t>
                      </w:r>
                      <w:r w:rsidR="001744BA">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p w14:paraId="2240B377" w14:textId="32A905E4" w:rsidR="00945C50" w:rsidRPr="00890650" w:rsidRDefault="00945C50" w:rsidP="00DD3D86">
                      <w:pPr>
                        <w:tabs>
                          <w:tab w:val="center" w:pos="5400"/>
                        </w:tabs>
                        <w:suppressAutoHyphens/>
                        <w:spacing w:before="60"/>
                        <w:rPr>
                          <w:rFonts w:asciiTheme="majorHAnsi" w:hAnsiTheme="majorHAnsi"/>
                          <w:color w:val="0D0D0D" w:themeColor="text1" w:themeTint="F2"/>
                          <w:sz w:val="18"/>
                          <w:szCs w:val="22"/>
                          <w:lang w:val="es-ES"/>
                        </w:rPr>
                      </w:pPr>
                    </w:p>
                    <w:p w14:paraId="27319B3F" w14:textId="77777777" w:rsidR="00945C50" w:rsidRPr="007A5817" w:rsidRDefault="00945C50" w:rsidP="00247403">
                      <w:pPr>
                        <w:tabs>
                          <w:tab w:val="center" w:pos="5400"/>
                        </w:tabs>
                        <w:suppressAutoHyphens/>
                        <w:spacing w:before="60"/>
                        <w:rPr>
                          <w:rFonts w:asciiTheme="minorHAnsi" w:hAnsiTheme="minorHAnsi" w:cs="Univers"/>
                          <w:color w:val="0D0D0D" w:themeColor="text1" w:themeTint="F2"/>
                          <w:sz w:val="20"/>
                          <w:szCs w:val="20"/>
                          <w:lang w:val="es-ES"/>
                        </w:rPr>
                      </w:pPr>
                    </w:p>
                    <w:p w14:paraId="351D9083" w14:textId="77777777" w:rsidR="00945C50" w:rsidRPr="00167A34" w:rsidRDefault="00945C5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3A4E27E" w14:textId="77777777" w:rsidR="00A50FCF" w:rsidRPr="00E86A8F" w:rsidRDefault="00A50FCF" w:rsidP="00073BB6">
      <w:pPr>
        <w:suppressAutoHyphens/>
        <w:jc w:val="center"/>
        <w:rPr>
          <w:rFonts w:asciiTheme="majorHAnsi" w:hAnsiTheme="majorHAnsi"/>
          <w:sz w:val="20"/>
          <w:szCs w:val="20"/>
          <w:lang w:val="es-ES_tradnl"/>
        </w:rPr>
      </w:pPr>
    </w:p>
    <w:p w14:paraId="5791DB3B" w14:textId="77777777" w:rsidR="00A50FCF" w:rsidRPr="00E86A8F" w:rsidRDefault="00A50FCF" w:rsidP="00073BB6">
      <w:pPr>
        <w:suppressAutoHyphens/>
        <w:jc w:val="center"/>
        <w:rPr>
          <w:rFonts w:asciiTheme="majorHAnsi" w:hAnsiTheme="majorHAnsi"/>
          <w:sz w:val="20"/>
          <w:szCs w:val="20"/>
          <w:lang w:val="es-ES_tradnl"/>
        </w:rPr>
      </w:pPr>
    </w:p>
    <w:p w14:paraId="11945003" w14:textId="32A789E5" w:rsidR="00A50FCF" w:rsidRPr="00E86A8F" w:rsidRDefault="00A65860" w:rsidP="00073BB6">
      <w:pPr>
        <w:suppressAutoHyphens/>
        <w:jc w:val="center"/>
        <w:rPr>
          <w:rFonts w:asciiTheme="majorHAnsi" w:hAnsiTheme="majorHAnsi"/>
          <w:sz w:val="20"/>
          <w:szCs w:val="20"/>
          <w:lang w:val="es-ES_tradnl"/>
        </w:rPr>
      </w:pPr>
      <w:r w:rsidRPr="00E86A8F">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3185ED2A" wp14:editId="213D12CD">
                <wp:simplePos x="0" y="0"/>
                <wp:positionH relativeFrom="column">
                  <wp:posOffset>1333500</wp:posOffset>
                </wp:positionH>
                <wp:positionV relativeFrom="paragraph">
                  <wp:posOffset>139065</wp:posOffset>
                </wp:positionV>
                <wp:extent cx="4943475" cy="822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822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1B15D" w14:textId="3C142284" w:rsidR="00945C50" w:rsidRPr="007C756A" w:rsidRDefault="00945C50"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52</w:t>
                            </w:r>
                            <w:r w:rsidRPr="0022273F">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12.624. Fondo</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Carlos Baraona Bray. Chile. </w:t>
                            </w:r>
                            <w:r>
                              <w:rPr>
                                <w:rFonts w:asciiTheme="majorHAnsi" w:hAnsiTheme="majorHAnsi"/>
                                <w:color w:val="595959" w:themeColor="text1" w:themeTint="A6"/>
                                <w:sz w:val="18"/>
                                <w:szCs w:val="18"/>
                                <w:lang w:val="es-US"/>
                              </w:rPr>
                              <w:t>4 de mayo de 2019.</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ED2A" id="Text Box 10" o:spid="_x0000_s1030" type="#_x0000_t202" style="position:absolute;left:0;text-align:left;margin-left:105pt;margin-top:10.95pt;width:389.25pt;height: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" filled="f" stroked="f" strokeweight=".5pt">
                <v:textbox>
                  <w:txbxContent>
                    <w:p w14:paraId="3C81B15D" w14:textId="3C142284" w:rsidR="00945C50" w:rsidRPr="007C756A" w:rsidRDefault="00945C50"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52</w:t>
                      </w:r>
                      <w:r w:rsidRPr="0022273F">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12.624. Fondo</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Carlos Baraona Bray. Chile. </w:t>
                      </w:r>
                      <w:r>
                        <w:rPr>
                          <w:rFonts w:asciiTheme="majorHAnsi" w:hAnsiTheme="majorHAnsi"/>
                          <w:color w:val="595959" w:themeColor="text1" w:themeTint="A6"/>
                          <w:sz w:val="18"/>
                          <w:szCs w:val="18"/>
                          <w:lang w:val="es-US"/>
                        </w:rPr>
                        <w:t>4 de mayo de 2019.</w:t>
                      </w:r>
                      <w:r w:rsidRPr="007C756A">
                        <w:rPr>
                          <w:rFonts w:asciiTheme="majorHAnsi" w:hAnsiTheme="majorHAnsi"/>
                          <w:color w:val="595959" w:themeColor="text1" w:themeTint="A6"/>
                          <w:sz w:val="18"/>
                          <w:szCs w:val="18"/>
                          <w:lang w:val="es-US"/>
                        </w:rPr>
                        <w:t>.</w:t>
                      </w:r>
                    </w:p>
                  </w:txbxContent>
                </v:textbox>
              </v:shape>
            </w:pict>
          </mc:Fallback>
        </mc:AlternateContent>
      </w:r>
    </w:p>
    <w:p w14:paraId="01CE33F2" w14:textId="77777777" w:rsidR="00A50FCF" w:rsidRPr="00E86A8F" w:rsidRDefault="00A50FCF" w:rsidP="00073BB6">
      <w:pPr>
        <w:suppressAutoHyphens/>
        <w:jc w:val="center"/>
        <w:rPr>
          <w:rFonts w:asciiTheme="majorHAnsi" w:hAnsiTheme="majorHAnsi"/>
          <w:sz w:val="20"/>
          <w:szCs w:val="20"/>
          <w:lang w:val="es-ES_tradnl"/>
        </w:rPr>
      </w:pPr>
    </w:p>
    <w:p w14:paraId="5EAB8EDF" w14:textId="759D67E4" w:rsidR="00A50FCF" w:rsidRPr="00E86A8F" w:rsidRDefault="00A50FCF" w:rsidP="00073BB6">
      <w:pPr>
        <w:suppressAutoHyphens/>
        <w:jc w:val="center"/>
        <w:rPr>
          <w:rFonts w:asciiTheme="majorHAnsi" w:hAnsiTheme="majorHAnsi"/>
          <w:sz w:val="20"/>
          <w:szCs w:val="20"/>
          <w:lang w:val="es-ES_tradnl"/>
        </w:rPr>
      </w:pPr>
    </w:p>
    <w:p w14:paraId="7694F78C" w14:textId="77777777" w:rsidR="00A50FCF" w:rsidRPr="00E86A8F" w:rsidRDefault="00A50FCF" w:rsidP="00073BB6">
      <w:pPr>
        <w:suppressAutoHyphens/>
        <w:jc w:val="center"/>
        <w:rPr>
          <w:rFonts w:asciiTheme="majorHAnsi" w:hAnsiTheme="majorHAnsi"/>
          <w:sz w:val="20"/>
          <w:szCs w:val="20"/>
          <w:lang w:val="es-ES_tradnl"/>
        </w:rPr>
      </w:pPr>
    </w:p>
    <w:p w14:paraId="4BE9B457" w14:textId="77777777" w:rsidR="0090270B" w:rsidRPr="00E86A8F" w:rsidRDefault="00D306D1" w:rsidP="00073BB6">
      <w:pPr>
        <w:suppressAutoHyphens/>
        <w:jc w:val="center"/>
        <w:rPr>
          <w:rFonts w:asciiTheme="majorHAnsi" w:hAnsiTheme="majorHAnsi"/>
          <w:b/>
          <w:sz w:val="20"/>
          <w:szCs w:val="20"/>
          <w:lang w:val="es-ES_tradnl"/>
        </w:rPr>
      </w:pPr>
      <w:r w:rsidRPr="00E86A8F">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5D7518D2" wp14:editId="7046256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12B2A" w14:textId="77777777" w:rsidR="00945C50" w:rsidRPr="00D72DC6" w:rsidRDefault="00945C5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66E6735" wp14:editId="347A4E2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18D2" id="Text Box 9" o:spid="_x0000_s1031" type="#_x0000_t202" style="position:absolute;left:0;text-align:left;margin-left:104.7pt;margin-top:50.3pt;width:322.5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512B2A" w14:textId="77777777" w:rsidR="00945C50" w:rsidRPr="00D72DC6" w:rsidRDefault="00945C5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66E6735" wp14:editId="347A4E2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86A8F">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4E15B696" wp14:editId="320A6E2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7D869" w14:textId="77777777" w:rsidR="00945C50" w:rsidRPr="004B7EB6" w:rsidRDefault="00945C5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B696" id="Text Box 4" o:spid="_x0000_s1032"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B47D869" w14:textId="77777777" w:rsidR="00945C50" w:rsidRPr="004B7EB6" w:rsidRDefault="00945C5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B83875" w14:textId="77777777" w:rsidR="0070697F" w:rsidRPr="00E86A8F" w:rsidRDefault="0070697F" w:rsidP="00073BB6">
      <w:pPr>
        <w:suppressAutoHyphens/>
        <w:jc w:val="center"/>
        <w:rPr>
          <w:rFonts w:asciiTheme="majorHAnsi" w:hAnsiTheme="majorHAnsi"/>
          <w:b/>
          <w:sz w:val="20"/>
          <w:szCs w:val="20"/>
          <w:lang w:val="es-ES_tradnl"/>
        </w:rPr>
        <w:sectPr w:rsidR="0070697F" w:rsidRPr="00E86A8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95ACBF4" w14:textId="53754DF2" w:rsidR="00722C9F" w:rsidRPr="00E86A8F" w:rsidRDefault="007C756A" w:rsidP="00073BB6">
      <w:pPr>
        <w:suppressAutoHyphens/>
        <w:spacing w:line="276" w:lineRule="auto"/>
        <w:jc w:val="center"/>
        <w:rPr>
          <w:rFonts w:asciiTheme="majorHAnsi" w:hAnsiTheme="majorHAnsi"/>
          <w:b/>
          <w:sz w:val="20"/>
          <w:szCs w:val="20"/>
          <w:lang w:val="es-PE"/>
        </w:rPr>
      </w:pPr>
      <w:r w:rsidRPr="00E86A8F">
        <w:rPr>
          <w:rFonts w:asciiTheme="majorHAnsi" w:hAnsiTheme="majorHAnsi"/>
          <w:b/>
          <w:sz w:val="20"/>
          <w:szCs w:val="20"/>
          <w:lang w:val="es-PE"/>
        </w:rPr>
        <w:lastRenderedPageBreak/>
        <w:t xml:space="preserve">INFORME No. </w:t>
      </w:r>
      <w:r w:rsidR="000F77A1" w:rsidRPr="00E86A8F">
        <w:rPr>
          <w:rFonts w:asciiTheme="majorHAnsi" w:hAnsiTheme="majorHAnsi"/>
          <w:b/>
          <w:sz w:val="20"/>
          <w:szCs w:val="20"/>
          <w:lang w:val="es-PE"/>
        </w:rPr>
        <w:t>52</w:t>
      </w:r>
      <w:r w:rsidRPr="00E86A8F">
        <w:rPr>
          <w:rFonts w:asciiTheme="majorHAnsi" w:hAnsiTheme="majorHAnsi"/>
          <w:b/>
          <w:sz w:val="20"/>
          <w:szCs w:val="20"/>
          <w:lang w:val="es-PE"/>
        </w:rPr>
        <w:t>/</w:t>
      </w:r>
      <w:r w:rsidR="002D04A5" w:rsidRPr="00E86A8F">
        <w:rPr>
          <w:rFonts w:asciiTheme="majorHAnsi" w:hAnsiTheme="majorHAnsi"/>
          <w:b/>
          <w:sz w:val="20"/>
          <w:szCs w:val="20"/>
          <w:lang w:val="es-PE"/>
        </w:rPr>
        <w:t>19</w:t>
      </w:r>
    </w:p>
    <w:p w14:paraId="6B4F153F" w14:textId="2782BA7C" w:rsidR="00722C9F" w:rsidRPr="00E86A8F" w:rsidRDefault="00722C9F" w:rsidP="00073BB6">
      <w:pPr>
        <w:suppressAutoHyphens/>
        <w:spacing w:line="276" w:lineRule="auto"/>
        <w:jc w:val="center"/>
        <w:rPr>
          <w:rFonts w:asciiTheme="majorHAnsi" w:hAnsiTheme="majorHAnsi"/>
          <w:b/>
          <w:sz w:val="20"/>
          <w:szCs w:val="20"/>
          <w:lang w:val="es-PE"/>
        </w:rPr>
      </w:pPr>
      <w:r w:rsidRPr="00E86A8F">
        <w:rPr>
          <w:rFonts w:asciiTheme="majorHAnsi" w:hAnsiTheme="majorHAnsi"/>
          <w:b/>
          <w:sz w:val="20"/>
          <w:szCs w:val="20"/>
          <w:lang w:val="es-PE"/>
        </w:rPr>
        <w:t xml:space="preserve">CASO </w:t>
      </w:r>
      <w:r w:rsidR="00863B7A" w:rsidRPr="00E86A8F">
        <w:rPr>
          <w:rFonts w:asciiTheme="majorHAnsi" w:hAnsiTheme="majorHAnsi"/>
          <w:b/>
          <w:sz w:val="20"/>
          <w:szCs w:val="20"/>
          <w:lang w:val="es-PE"/>
        </w:rPr>
        <w:t>12.624</w:t>
      </w:r>
    </w:p>
    <w:p w14:paraId="53EF0846" w14:textId="77777777" w:rsidR="00722C9F" w:rsidRPr="00E86A8F" w:rsidRDefault="00F805FB"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FONDO</w:t>
      </w:r>
    </w:p>
    <w:p w14:paraId="141D3EF9" w14:textId="7C744D1A" w:rsidR="00722C9F" w:rsidRPr="00E86A8F" w:rsidRDefault="00863B7A"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CARLOS BARAONA BRAY</w:t>
      </w:r>
    </w:p>
    <w:p w14:paraId="41058C41" w14:textId="54D33F48" w:rsidR="0070697F" w:rsidRPr="00E86A8F" w:rsidRDefault="00863B7A"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CHILE</w:t>
      </w:r>
    </w:p>
    <w:p w14:paraId="0CE2837E" w14:textId="563C2D3B" w:rsidR="00722C9F" w:rsidRPr="00E86A8F" w:rsidRDefault="0028447B"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4 de mayo de 2019</w:t>
      </w:r>
    </w:p>
    <w:p w14:paraId="68DB1F22" w14:textId="77777777" w:rsidR="00722C9F" w:rsidRPr="00E86A8F" w:rsidRDefault="00722C9F" w:rsidP="00073BB6">
      <w:pPr>
        <w:suppressAutoHyphens/>
        <w:spacing w:line="276" w:lineRule="auto"/>
        <w:jc w:val="center"/>
        <w:rPr>
          <w:rFonts w:asciiTheme="majorHAnsi" w:hAnsiTheme="majorHAnsi"/>
          <w:sz w:val="20"/>
          <w:szCs w:val="20"/>
          <w:lang w:val="es-ES_tradnl"/>
        </w:rPr>
      </w:pPr>
    </w:p>
    <w:p w14:paraId="573EFF77" w14:textId="56E70116" w:rsidR="008D768D" w:rsidRPr="00E86A8F" w:rsidRDefault="008D768D" w:rsidP="005247AF">
      <w:pPr>
        <w:suppressAutoHyphens/>
        <w:spacing w:line="276" w:lineRule="auto"/>
        <w:jc w:val="center"/>
        <w:rPr>
          <w:rFonts w:asciiTheme="majorHAnsi" w:hAnsiTheme="majorHAnsi"/>
          <w:sz w:val="20"/>
          <w:szCs w:val="20"/>
          <w:lang w:val="es-ES_tradnl"/>
        </w:rPr>
      </w:pPr>
    </w:p>
    <w:p w14:paraId="1F2BD7A8" w14:textId="5A52E122" w:rsidR="006975E6" w:rsidRPr="00E86A8F" w:rsidRDefault="003324DC">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E86A8F">
        <w:rPr>
          <w:rFonts w:asciiTheme="majorHAnsi" w:hAnsiTheme="majorHAnsi" w:cs="Calibri"/>
          <w:sz w:val="20"/>
          <w:szCs w:val="20"/>
          <w:lang w:val="es-ES"/>
        </w:rPr>
        <w:fldChar w:fldCharType="begin"/>
      </w:r>
      <w:r w:rsidRPr="00E86A8F">
        <w:rPr>
          <w:rFonts w:asciiTheme="majorHAnsi" w:hAnsiTheme="majorHAnsi" w:cs="Calibri"/>
          <w:sz w:val="20"/>
          <w:szCs w:val="20"/>
          <w:lang w:val="es-ES"/>
        </w:rPr>
        <w:instrText xml:space="preserve"> TOC \o "1-3" \h \z \u </w:instrText>
      </w:r>
      <w:r w:rsidRPr="00E86A8F">
        <w:rPr>
          <w:rFonts w:asciiTheme="majorHAnsi" w:hAnsiTheme="majorHAnsi" w:cs="Calibri"/>
          <w:sz w:val="20"/>
          <w:szCs w:val="20"/>
          <w:lang w:val="es-ES"/>
        </w:rPr>
        <w:fldChar w:fldCharType="separate"/>
      </w:r>
      <w:hyperlink w:anchor="_Toc11073097" w:history="1">
        <w:r w:rsidR="006975E6" w:rsidRPr="00E86A8F">
          <w:rPr>
            <w:rStyle w:val="Hyperlink"/>
            <w:rFonts w:asciiTheme="majorHAnsi" w:hAnsiTheme="majorHAnsi"/>
            <w:noProof/>
            <w:sz w:val="20"/>
            <w:szCs w:val="20"/>
          </w:rPr>
          <w:t>I.</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INTRODUCCIÓN</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_Toc11073097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sidR="00E25A5E">
          <w:rPr>
            <w:rFonts w:asciiTheme="majorHAnsi" w:hAnsiTheme="majorHAnsi"/>
            <w:noProof/>
            <w:webHidden/>
            <w:sz w:val="20"/>
            <w:szCs w:val="20"/>
          </w:rPr>
          <w:t>2</w:t>
        </w:r>
        <w:r w:rsidR="006975E6" w:rsidRPr="00E86A8F">
          <w:rPr>
            <w:rFonts w:asciiTheme="majorHAnsi" w:hAnsiTheme="majorHAnsi"/>
            <w:noProof/>
            <w:webHidden/>
            <w:sz w:val="20"/>
            <w:szCs w:val="20"/>
          </w:rPr>
          <w:fldChar w:fldCharType="end"/>
        </w:r>
      </w:hyperlink>
    </w:p>
    <w:p w14:paraId="6FFD08D7" w14:textId="16E9DAEB" w:rsidR="006975E6" w:rsidRPr="00E86A8F" w:rsidRDefault="00E25A5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11073098" w:history="1">
        <w:r w:rsidR="006975E6" w:rsidRPr="00E86A8F">
          <w:rPr>
            <w:rStyle w:val="Hyperlink"/>
            <w:rFonts w:asciiTheme="majorHAnsi" w:hAnsiTheme="majorHAnsi"/>
            <w:noProof/>
            <w:sz w:val="20"/>
            <w:szCs w:val="20"/>
          </w:rPr>
          <w:t>II.</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ALEGATOS DE LAS PARTES</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_Toc11073098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2</w:t>
        </w:r>
        <w:r w:rsidR="006975E6" w:rsidRPr="00E86A8F">
          <w:rPr>
            <w:rFonts w:asciiTheme="majorHAnsi" w:hAnsiTheme="majorHAnsi"/>
            <w:noProof/>
            <w:webHidden/>
            <w:sz w:val="20"/>
            <w:szCs w:val="20"/>
          </w:rPr>
          <w:fldChar w:fldCharType="end"/>
        </w:r>
      </w:hyperlink>
    </w:p>
    <w:p w14:paraId="594924E1" w14:textId="614FC8F8" w:rsidR="006975E6" w:rsidRPr="00E86A8F" w:rsidRDefault="00E25A5E">
      <w:pPr>
        <w:pStyle w:val="TOC2"/>
        <w:rPr>
          <w:rFonts w:asciiTheme="majorHAnsi" w:eastAsiaTheme="minorEastAsia" w:hAnsiTheme="majorHAnsi" w:cstheme="minorBidi"/>
          <w:noProof/>
          <w:sz w:val="20"/>
          <w:szCs w:val="20"/>
          <w:bdr w:val="none" w:sz="0" w:space="0" w:color="auto"/>
        </w:rPr>
      </w:pPr>
      <w:hyperlink w:anchor="_Toc11073099" w:history="1">
        <w:r w:rsidR="006975E6" w:rsidRPr="00E86A8F">
          <w:rPr>
            <w:rStyle w:val="Hyperlink"/>
            <w:rFonts w:asciiTheme="majorHAnsi" w:hAnsiTheme="majorHAnsi"/>
            <w:noProof/>
            <w:sz w:val="20"/>
            <w:szCs w:val="20"/>
          </w:rPr>
          <w:t>A.</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Parte peticionaria</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_Toc11073099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2</w:t>
        </w:r>
        <w:r w:rsidR="006975E6" w:rsidRPr="00E86A8F">
          <w:rPr>
            <w:rFonts w:asciiTheme="majorHAnsi" w:hAnsiTheme="majorHAnsi"/>
            <w:noProof/>
            <w:webHidden/>
            <w:sz w:val="20"/>
            <w:szCs w:val="20"/>
          </w:rPr>
          <w:fldChar w:fldCharType="end"/>
        </w:r>
      </w:hyperlink>
    </w:p>
    <w:p w14:paraId="6618A07B" w14:textId="712AA9B3" w:rsidR="006975E6" w:rsidRPr="00E86A8F" w:rsidRDefault="00E25A5E">
      <w:pPr>
        <w:pStyle w:val="TOC2"/>
        <w:rPr>
          <w:rFonts w:asciiTheme="majorHAnsi" w:eastAsiaTheme="minorEastAsia" w:hAnsiTheme="majorHAnsi" w:cstheme="minorBidi"/>
          <w:noProof/>
          <w:sz w:val="20"/>
          <w:szCs w:val="20"/>
          <w:bdr w:val="none" w:sz="0" w:space="0" w:color="auto"/>
        </w:rPr>
      </w:pPr>
      <w:hyperlink w:anchor="_Toc11073100" w:history="1">
        <w:r w:rsidR="006975E6" w:rsidRPr="00E86A8F">
          <w:rPr>
            <w:rStyle w:val="Hyperlink"/>
            <w:rFonts w:asciiTheme="majorHAnsi" w:hAnsiTheme="majorHAnsi"/>
            <w:noProof/>
            <w:sz w:val="20"/>
            <w:szCs w:val="20"/>
          </w:rPr>
          <w:t>B.</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Estado</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_Toc11073100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3</w:t>
        </w:r>
        <w:r w:rsidR="006975E6" w:rsidRPr="00E86A8F">
          <w:rPr>
            <w:rFonts w:asciiTheme="majorHAnsi" w:hAnsiTheme="majorHAnsi"/>
            <w:noProof/>
            <w:webHidden/>
            <w:sz w:val="20"/>
            <w:szCs w:val="20"/>
          </w:rPr>
          <w:fldChar w:fldCharType="end"/>
        </w:r>
      </w:hyperlink>
    </w:p>
    <w:p w14:paraId="59D1793B" w14:textId="4DAAF4A7" w:rsidR="006975E6" w:rsidRPr="00E86A8F" w:rsidRDefault="00E25A5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11073101" w:history="1">
        <w:r w:rsidR="006975E6" w:rsidRPr="00E86A8F">
          <w:rPr>
            <w:rStyle w:val="Hyperlink"/>
            <w:rFonts w:asciiTheme="majorHAnsi" w:hAnsiTheme="majorHAnsi"/>
            <w:noProof/>
            <w:sz w:val="20"/>
            <w:szCs w:val="20"/>
          </w:rPr>
          <w:t>III.</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DETERMINACIONES DE HECHO</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_Toc11073101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5</w:t>
        </w:r>
        <w:r w:rsidR="006975E6" w:rsidRPr="00E86A8F">
          <w:rPr>
            <w:rFonts w:asciiTheme="majorHAnsi" w:hAnsiTheme="majorHAnsi"/>
            <w:noProof/>
            <w:webHidden/>
            <w:sz w:val="20"/>
            <w:szCs w:val="20"/>
          </w:rPr>
          <w:fldChar w:fldCharType="end"/>
        </w:r>
      </w:hyperlink>
    </w:p>
    <w:p w14:paraId="5424B183" w14:textId="541025F1" w:rsidR="006975E6" w:rsidRPr="00E86A8F" w:rsidRDefault="00E25A5E">
      <w:pPr>
        <w:pStyle w:val="TOC2"/>
        <w:rPr>
          <w:rFonts w:asciiTheme="majorHAnsi" w:eastAsiaTheme="minorEastAsia" w:hAnsiTheme="majorHAnsi" w:cstheme="minorBidi"/>
          <w:noProof/>
          <w:sz w:val="20"/>
          <w:szCs w:val="20"/>
          <w:bdr w:val="none" w:sz="0" w:space="0" w:color="auto"/>
        </w:rPr>
      </w:pPr>
      <w:hyperlink w:anchor="_Toc11073102" w:history="1">
        <w:r w:rsidR="006975E6" w:rsidRPr="00E86A8F">
          <w:rPr>
            <w:rStyle w:val="Hyperlink"/>
            <w:rFonts w:asciiTheme="majorHAnsi" w:hAnsiTheme="majorHAnsi"/>
            <w:noProof/>
            <w:sz w:val="20"/>
            <w:szCs w:val="20"/>
          </w:rPr>
          <w:t>A.</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Marco normativo relevante</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_Toc11073102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5</w:t>
        </w:r>
        <w:r w:rsidR="006975E6" w:rsidRPr="00E86A8F">
          <w:rPr>
            <w:rFonts w:asciiTheme="majorHAnsi" w:hAnsiTheme="majorHAnsi"/>
            <w:noProof/>
            <w:webHidden/>
            <w:sz w:val="20"/>
            <w:szCs w:val="20"/>
          </w:rPr>
          <w:fldChar w:fldCharType="end"/>
        </w:r>
      </w:hyperlink>
    </w:p>
    <w:p w14:paraId="1EBAC9B4" w14:textId="48932A3B" w:rsidR="006975E6" w:rsidRPr="00E86A8F" w:rsidRDefault="00E25A5E">
      <w:pPr>
        <w:pStyle w:val="TOC2"/>
        <w:rPr>
          <w:rFonts w:asciiTheme="majorHAnsi" w:eastAsiaTheme="minorEastAsia" w:hAnsiTheme="majorHAnsi" w:cstheme="minorBidi"/>
          <w:noProof/>
          <w:sz w:val="20"/>
          <w:szCs w:val="20"/>
          <w:bdr w:val="none" w:sz="0" w:space="0" w:color="auto"/>
        </w:rPr>
      </w:pPr>
      <w:hyperlink w:anchor="_Toc11073103" w:history="1">
        <w:r w:rsidR="006975E6" w:rsidRPr="00E86A8F">
          <w:rPr>
            <w:rStyle w:val="Hyperlink"/>
            <w:rFonts w:asciiTheme="majorHAnsi" w:hAnsiTheme="majorHAnsi"/>
            <w:noProof/>
            <w:sz w:val="20"/>
            <w:szCs w:val="20"/>
          </w:rPr>
          <w:t>B.</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La tala ilegal del alerce como tema de interés público en Chile y declaraciones de Baraona ante diversos medios de comunicación</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_Toc11073103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7</w:t>
        </w:r>
        <w:r w:rsidR="006975E6" w:rsidRPr="00E86A8F">
          <w:rPr>
            <w:rFonts w:asciiTheme="majorHAnsi" w:hAnsiTheme="majorHAnsi"/>
            <w:noProof/>
            <w:webHidden/>
            <w:sz w:val="20"/>
            <w:szCs w:val="20"/>
          </w:rPr>
          <w:fldChar w:fldCharType="end"/>
        </w:r>
      </w:hyperlink>
    </w:p>
    <w:p w14:paraId="7ED8D36E" w14:textId="2305E802" w:rsidR="006975E6" w:rsidRPr="00E86A8F" w:rsidRDefault="00E25A5E">
      <w:pPr>
        <w:pStyle w:val="TOC2"/>
        <w:rPr>
          <w:rFonts w:asciiTheme="majorHAnsi" w:eastAsiaTheme="minorEastAsia" w:hAnsiTheme="majorHAnsi" w:cstheme="minorBidi"/>
          <w:noProof/>
          <w:sz w:val="20"/>
          <w:szCs w:val="20"/>
          <w:bdr w:val="none" w:sz="0" w:space="0" w:color="auto"/>
        </w:rPr>
      </w:pPr>
      <w:hyperlink w:anchor="_Toc11073104" w:history="1">
        <w:r w:rsidR="006975E6" w:rsidRPr="00E86A8F">
          <w:rPr>
            <w:rStyle w:val="Hyperlink"/>
            <w:rFonts w:asciiTheme="majorHAnsi" w:hAnsiTheme="majorHAnsi"/>
            <w:noProof/>
            <w:sz w:val="20"/>
            <w:szCs w:val="20"/>
          </w:rPr>
          <w:t>C.</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Proceso penal por calumnia e injurias graves en contra de Carlos Baraona Bray</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_Toc11073104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11</w:t>
        </w:r>
        <w:r w:rsidR="006975E6" w:rsidRPr="00E86A8F">
          <w:rPr>
            <w:rFonts w:asciiTheme="majorHAnsi" w:hAnsiTheme="majorHAnsi"/>
            <w:noProof/>
            <w:webHidden/>
            <w:sz w:val="20"/>
            <w:szCs w:val="20"/>
          </w:rPr>
          <w:fldChar w:fldCharType="end"/>
        </w:r>
      </w:hyperlink>
    </w:p>
    <w:p w14:paraId="5F342961" w14:textId="5253D211" w:rsidR="006975E6" w:rsidRPr="00E86A8F" w:rsidRDefault="00E25A5E">
      <w:pPr>
        <w:pStyle w:val="TOC3"/>
        <w:tabs>
          <w:tab w:val="left" w:pos="2160"/>
        </w:tabs>
        <w:rPr>
          <w:rFonts w:asciiTheme="majorHAnsi" w:eastAsiaTheme="minorEastAsia" w:hAnsiTheme="majorHAnsi" w:cstheme="minorBidi"/>
          <w:noProof/>
          <w:sz w:val="20"/>
          <w:szCs w:val="20"/>
          <w:bdr w:val="none" w:sz="0" w:space="0" w:color="auto"/>
        </w:rPr>
      </w:pPr>
      <w:hyperlink w:anchor="_Toc11073105" w:history="1">
        <w:r w:rsidR="006975E6" w:rsidRPr="00E86A8F">
          <w:rPr>
            <w:rStyle w:val="Hyperlink"/>
            <w:rFonts w:asciiTheme="majorHAnsi" w:hAnsiTheme="majorHAnsi"/>
            <w:noProof/>
            <w:sz w:val="20"/>
            <w:szCs w:val="20"/>
          </w:rPr>
          <w:t>1.</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Sentencia de primera instancia del Juzgado de Garantía de Puerto Montt</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_Toc11073105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11</w:t>
        </w:r>
        <w:r w:rsidR="006975E6" w:rsidRPr="00E86A8F">
          <w:rPr>
            <w:rFonts w:asciiTheme="majorHAnsi" w:hAnsiTheme="majorHAnsi"/>
            <w:noProof/>
            <w:webHidden/>
            <w:sz w:val="20"/>
            <w:szCs w:val="20"/>
          </w:rPr>
          <w:fldChar w:fldCharType="end"/>
        </w:r>
      </w:hyperlink>
    </w:p>
    <w:p w14:paraId="6F246958" w14:textId="703E119C" w:rsidR="006975E6" w:rsidRPr="00E86A8F" w:rsidRDefault="00E25A5E">
      <w:pPr>
        <w:pStyle w:val="TOC3"/>
        <w:tabs>
          <w:tab w:val="left" w:pos="2160"/>
        </w:tabs>
        <w:rPr>
          <w:rFonts w:asciiTheme="majorHAnsi" w:eastAsiaTheme="minorEastAsia" w:hAnsiTheme="majorHAnsi" w:cstheme="minorBidi"/>
          <w:noProof/>
          <w:sz w:val="20"/>
          <w:szCs w:val="20"/>
          <w:bdr w:val="none" w:sz="0" w:space="0" w:color="auto"/>
        </w:rPr>
      </w:pPr>
      <w:hyperlink w:anchor="_Toc11073106" w:history="1">
        <w:r w:rsidR="006975E6" w:rsidRPr="00E86A8F">
          <w:rPr>
            <w:rStyle w:val="Hyperlink"/>
            <w:rFonts w:asciiTheme="majorHAnsi" w:hAnsiTheme="majorHAnsi"/>
            <w:noProof/>
            <w:sz w:val="20"/>
            <w:szCs w:val="20"/>
          </w:rPr>
          <w:t>2.</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Recurso de nulidad ante la Segunda Sala Penal de la Corte Suprema</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_Toc11073106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13</w:t>
        </w:r>
        <w:r w:rsidR="006975E6" w:rsidRPr="00E86A8F">
          <w:rPr>
            <w:rFonts w:asciiTheme="majorHAnsi" w:hAnsiTheme="majorHAnsi"/>
            <w:noProof/>
            <w:webHidden/>
            <w:sz w:val="20"/>
            <w:szCs w:val="20"/>
          </w:rPr>
          <w:fldChar w:fldCharType="end"/>
        </w:r>
      </w:hyperlink>
    </w:p>
    <w:p w14:paraId="62EA3F84" w14:textId="7D193CB5" w:rsidR="006975E6" w:rsidRPr="00E86A8F" w:rsidRDefault="00E25A5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11073107" w:history="1">
        <w:r w:rsidR="006975E6" w:rsidRPr="00E86A8F">
          <w:rPr>
            <w:rStyle w:val="Hyperlink"/>
            <w:rFonts w:asciiTheme="majorHAnsi" w:hAnsiTheme="majorHAnsi"/>
            <w:noProof/>
            <w:sz w:val="20"/>
            <w:szCs w:val="20"/>
          </w:rPr>
          <w:t>IV.</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ANÁLISIS DE DERECHO</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_Toc11073107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14</w:t>
        </w:r>
        <w:r w:rsidR="006975E6" w:rsidRPr="00E86A8F">
          <w:rPr>
            <w:rFonts w:asciiTheme="majorHAnsi" w:hAnsiTheme="majorHAnsi"/>
            <w:noProof/>
            <w:webHidden/>
            <w:sz w:val="20"/>
            <w:szCs w:val="20"/>
          </w:rPr>
          <w:fldChar w:fldCharType="end"/>
        </w:r>
      </w:hyperlink>
    </w:p>
    <w:p w14:paraId="4F93902E" w14:textId="0CDC77EC" w:rsidR="006975E6" w:rsidRPr="00E86A8F" w:rsidRDefault="00E25A5E">
      <w:pPr>
        <w:pStyle w:val="TOC2"/>
        <w:rPr>
          <w:rFonts w:asciiTheme="majorHAnsi" w:eastAsiaTheme="minorEastAsia" w:hAnsiTheme="majorHAnsi" w:cstheme="minorBidi"/>
          <w:noProof/>
          <w:sz w:val="20"/>
          <w:szCs w:val="20"/>
          <w:bdr w:val="none" w:sz="0" w:space="0" w:color="auto"/>
        </w:rPr>
      </w:pPr>
      <w:hyperlink w:anchor="_Toc11073108" w:history="1">
        <w:r w:rsidR="006975E6" w:rsidRPr="00E86A8F">
          <w:rPr>
            <w:rStyle w:val="Hyperlink"/>
            <w:rFonts w:asciiTheme="majorHAnsi" w:hAnsiTheme="majorHAnsi"/>
            <w:noProof/>
            <w:sz w:val="20"/>
            <w:szCs w:val="20"/>
            <w:lang w:eastAsia="es-ES"/>
          </w:rPr>
          <w:t>A.</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lang w:eastAsia="es-ES"/>
          </w:rPr>
          <w:t>Derecho a la libertad de expresión y pensamiento (artículo 13) en relación con los artículos 1.1 y 2 de la Convención Americana</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_Toc11073108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15</w:t>
        </w:r>
        <w:r w:rsidR="006975E6" w:rsidRPr="00E86A8F">
          <w:rPr>
            <w:rFonts w:asciiTheme="majorHAnsi" w:hAnsiTheme="majorHAnsi"/>
            <w:noProof/>
            <w:webHidden/>
            <w:sz w:val="20"/>
            <w:szCs w:val="20"/>
          </w:rPr>
          <w:fldChar w:fldCharType="end"/>
        </w:r>
      </w:hyperlink>
    </w:p>
    <w:p w14:paraId="6B0F1DC2" w14:textId="44D19C1B" w:rsidR="006975E6" w:rsidRPr="00E86A8F" w:rsidRDefault="00E25A5E">
      <w:pPr>
        <w:pStyle w:val="TOC3"/>
        <w:tabs>
          <w:tab w:val="left" w:pos="2160"/>
        </w:tabs>
        <w:rPr>
          <w:rFonts w:asciiTheme="majorHAnsi" w:eastAsiaTheme="minorEastAsia" w:hAnsiTheme="majorHAnsi" w:cstheme="minorBidi"/>
          <w:noProof/>
          <w:sz w:val="20"/>
          <w:szCs w:val="20"/>
          <w:bdr w:val="none" w:sz="0" w:space="0" w:color="auto"/>
        </w:rPr>
      </w:pPr>
      <w:hyperlink w:anchor="_Toc11073109" w:history="1">
        <w:r w:rsidR="006975E6" w:rsidRPr="00E86A8F">
          <w:rPr>
            <w:rStyle w:val="Hyperlink"/>
            <w:rFonts w:asciiTheme="majorHAnsi" w:hAnsiTheme="majorHAnsi"/>
            <w:noProof/>
            <w:sz w:val="20"/>
            <w:szCs w:val="20"/>
            <w:lang w:eastAsia="es-ES"/>
          </w:rPr>
          <w:t>1.</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eastAsia="Batang" w:hAnsiTheme="majorHAnsi"/>
            <w:noProof/>
            <w:sz w:val="20"/>
            <w:szCs w:val="20"/>
          </w:rPr>
          <w:t xml:space="preserve">Consideraciones generales sobre </w:t>
        </w:r>
        <w:r w:rsidR="006975E6" w:rsidRPr="00E86A8F">
          <w:rPr>
            <w:rStyle w:val="Hyperlink"/>
            <w:rFonts w:asciiTheme="majorHAnsi" w:hAnsiTheme="majorHAnsi"/>
            <w:noProof/>
            <w:sz w:val="20"/>
            <w:szCs w:val="20"/>
            <w:lang w:eastAsia="es-ES"/>
          </w:rPr>
          <w:t>la libertad de expresión y pensamiento</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_Toc11073109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15</w:t>
        </w:r>
        <w:r w:rsidR="006975E6" w:rsidRPr="00E86A8F">
          <w:rPr>
            <w:rFonts w:asciiTheme="majorHAnsi" w:hAnsiTheme="majorHAnsi"/>
            <w:noProof/>
            <w:webHidden/>
            <w:sz w:val="20"/>
            <w:szCs w:val="20"/>
          </w:rPr>
          <w:fldChar w:fldCharType="end"/>
        </w:r>
      </w:hyperlink>
    </w:p>
    <w:p w14:paraId="3DF58EA4" w14:textId="211A3284" w:rsidR="006975E6" w:rsidRPr="00E86A8F" w:rsidRDefault="00E25A5E">
      <w:pPr>
        <w:pStyle w:val="TOC3"/>
        <w:tabs>
          <w:tab w:val="left" w:pos="2160"/>
        </w:tabs>
        <w:rPr>
          <w:rFonts w:asciiTheme="majorHAnsi" w:eastAsiaTheme="minorEastAsia" w:hAnsiTheme="majorHAnsi" w:cstheme="minorBidi"/>
          <w:noProof/>
          <w:sz w:val="20"/>
          <w:szCs w:val="20"/>
          <w:bdr w:val="none" w:sz="0" w:space="0" w:color="auto"/>
        </w:rPr>
      </w:pPr>
      <w:hyperlink w:anchor="_Toc11073110" w:history="1">
        <w:r w:rsidR="006975E6" w:rsidRPr="00E86A8F">
          <w:rPr>
            <w:rStyle w:val="Hyperlink"/>
            <w:rFonts w:asciiTheme="majorHAnsi" w:hAnsiTheme="majorHAnsi"/>
            <w:noProof/>
            <w:sz w:val="20"/>
            <w:szCs w:val="20"/>
          </w:rPr>
          <w:t>2.</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Consideraciones sobre la utilización del derecho penal como mecanismo para establecer responsabilidades ulteriores en casos de interés público, contra funcionarios y/o figuras públicas</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_Toc11073110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17</w:t>
        </w:r>
        <w:r w:rsidR="006975E6" w:rsidRPr="00E86A8F">
          <w:rPr>
            <w:rFonts w:asciiTheme="majorHAnsi" w:hAnsiTheme="majorHAnsi"/>
            <w:noProof/>
            <w:webHidden/>
            <w:sz w:val="20"/>
            <w:szCs w:val="20"/>
          </w:rPr>
          <w:fldChar w:fldCharType="end"/>
        </w:r>
      </w:hyperlink>
    </w:p>
    <w:p w14:paraId="106E0A77" w14:textId="6FDD029F" w:rsidR="006975E6" w:rsidRPr="00E86A8F" w:rsidRDefault="00E25A5E">
      <w:pPr>
        <w:pStyle w:val="TOC3"/>
        <w:tabs>
          <w:tab w:val="left" w:pos="2160"/>
        </w:tabs>
        <w:rPr>
          <w:rFonts w:asciiTheme="majorHAnsi" w:eastAsiaTheme="minorEastAsia" w:hAnsiTheme="majorHAnsi" w:cstheme="minorBidi"/>
          <w:noProof/>
          <w:sz w:val="20"/>
          <w:szCs w:val="20"/>
          <w:bdr w:val="none" w:sz="0" w:space="0" w:color="auto"/>
        </w:rPr>
      </w:pPr>
      <w:hyperlink w:anchor="_Toc11073111" w:history="1">
        <w:r w:rsidR="006975E6" w:rsidRPr="00E86A8F">
          <w:rPr>
            <w:rStyle w:val="Hyperlink"/>
            <w:rFonts w:asciiTheme="majorHAnsi" w:hAnsiTheme="majorHAnsi"/>
            <w:noProof/>
            <w:sz w:val="20"/>
            <w:szCs w:val="20"/>
          </w:rPr>
          <w:t>3.</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El discurso en defensa del medio ambiental como discurso protegido</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_Toc11073111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20</w:t>
        </w:r>
        <w:r w:rsidR="006975E6" w:rsidRPr="00E86A8F">
          <w:rPr>
            <w:rFonts w:asciiTheme="majorHAnsi" w:hAnsiTheme="majorHAnsi"/>
            <w:noProof/>
            <w:webHidden/>
            <w:sz w:val="20"/>
            <w:szCs w:val="20"/>
          </w:rPr>
          <w:fldChar w:fldCharType="end"/>
        </w:r>
      </w:hyperlink>
    </w:p>
    <w:p w14:paraId="68942562" w14:textId="6CB9C4E8" w:rsidR="006975E6" w:rsidRPr="00E86A8F" w:rsidRDefault="00E25A5E">
      <w:pPr>
        <w:pStyle w:val="TOC3"/>
        <w:tabs>
          <w:tab w:val="left" w:pos="2160"/>
        </w:tabs>
        <w:rPr>
          <w:rFonts w:asciiTheme="majorHAnsi" w:eastAsiaTheme="minorEastAsia" w:hAnsiTheme="majorHAnsi" w:cstheme="minorBidi"/>
          <w:noProof/>
          <w:sz w:val="20"/>
          <w:szCs w:val="20"/>
          <w:bdr w:val="none" w:sz="0" w:space="0" w:color="auto"/>
        </w:rPr>
      </w:pPr>
      <w:hyperlink w:anchor="_Toc11073112" w:history="1">
        <w:r w:rsidR="006975E6" w:rsidRPr="00E86A8F">
          <w:rPr>
            <w:rStyle w:val="Hyperlink"/>
            <w:rFonts w:asciiTheme="majorHAnsi" w:hAnsiTheme="majorHAnsi"/>
            <w:noProof/>
            <w:sz w:val="20"/>
            <w:szCs w:val="20"/>
          </w:rPr>
          <w:t>4.</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rPr>
          <w:t>Análisis del caso</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_Toc11073112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20</w:t>
        </w:r>
        <w:r w:rsidR="006975E6" w:rsidRPr="00E86A8F">
          <w:rPr>
            <w:rFonts w:asciiTheme="majorHAnsi" w:hAnsiTheme="majorHAnsi"/>
            <w:noProof/>
            <w:webHidden/>
            <w:sz w:val="20"/>
            <w:szCs w:val="20"/>
          </w:rPr>
          <w:fldChar w:fldCharType="end"/>
        </w:r>
      </w:hyperlink>
    </w:p>
    <w:p w14:paraId="166B1C9C" w14:textId="4DA59252" w:rsidR="006975E6" w:rsidRPr="00E86A8F" w:rsidRDefault="00E25A5E">
      <w:pPr>
        <w:pStyle w:val="TOC2"/>
        <w:rPr>
          <w:rFonts w:asciiTheme="majorHAnsi" w:eastAsiaTheme="minorEastAsia" w:hAnsiTheme="majorHAnsi" w:cstheme="minorBidi"/>
          <w:noProof/>
          <w:sz w:val="20"/>
          <w:szCs w:val="20"/>
          <w:bdr w:val="none" w:sz="0" w:space="0" w:color="auto"/>
        </w:rPr>
      </w:pPr>
      <w:hyperlink w:anchor="_Toc11073113" w:history="1">
        <w:r w:rsidR="006975E6" w:rsidRPr="00E86A8F">
          <w:rPr>
            <w:rStyle w:val="Hyperlink"/>
            <w:rFonts w:asciiTheme="majorHAnsi" w:hAnsiTheme="majorHAnsi" w:cs="Cambria"/>
            <w:noProof/>
            <w:sz w:val="20"/>
            <w:szCs w:val="20"/>
            <w:lang w:val="es-US"/>
          </w:rPr>
          <w:t>B.</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lang w:val="es-CO"/>
          </w:rPr>
          <w:t>D</w:t>
        </w:r>
        <w:r w:rsidR="006975E6" w:rsidRPr="00E86A8F">
          <w:rPr>
            <w:rStyle w:val="Hyperlink"/>
            <w:rFonts w:asciiTheme="majorHAnsi" w:hAnsiTheme="majorHAnsi"/>
            <w:noProof/>
            <w:sz w:val="20"/>
            <w:szCs w:val="20"/>
          </w:rPr>
          <w:t>erecho a la protección judicial (artículo 25.1) y la efectividad del recurso de nulidad</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_Toc11073113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27</w:t>
        </w:r>
        <w:r w:rsidR="006975E6" w:rsidRPr="00E86A8F">
          <w:rPr>
            <w:rFonts w:asciiTheme="majorHAnsi" w:hAnsiTheme="majorHAnsi"/>
            <w:noProof/>
            <w:webHidden/>
            <w:sz w:val="20"/>
            <w:szCs w:val="20"/>
          </w:rPr>
          <w:fldChar w:fldCharType="end"/>
        </w:r>
      </w:hyperlink>
    </w:p>
    <w:p w14:paraId="263557C0" w14:textId="4F64F51E" w:rsidR="006975E6" w:rsidRPr="00E86A8F" w:rsidRDefault="00E25A5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11073114" w:history="1">
        <w:r w:rsidR="006975E6" w:rsidRPr="00E86A8F">
          <w:rPr>
            <w:rStyle w:val="Hyperlink"/>
            <w:rFonts w:asciiTheme="majorHAnsi" w:hAnsiTheme="majorHAnsi"/>
            <w:noProof/>
            <w:sz w:val="20"/>
            <w:szCs w:val="20"/>
            <w:lang w:val="es-CO"/>
          </w:rPr>
          <w:t>V.</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lang w:val="es-CO"/>
          </w:rPr>
          <w:t>CONCLUSIONES</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_Toc11073114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28</w:t>
        </w:r>
        <w:r w:rsidR="006975E6" w:rsidRPr="00E86A8F">
          <w:rPr>
            <w:rFonts w:asciiTheme="majorHAnsi" w:hAnsiTheme="majorHAnsi"/>
            <w:noProof/>
            <w:webHidden/>
            <w:sz w:val="20"/>
            <w:szCs w:val="20"/>
          </w:rPr>
          <w:fldChar w:fldCharType="end"/>
        </w:r>
      </w:hyperlink>
    </w:p>
    <w:p w14:paraId="67743ABD" w14:textId="2F29C822" w:rsidR="006975E6" w:rsidRPr="00E86A8F" w:rsidRDefault="00E25A5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11073115" w:history="1">
        <w:r w:rsidR="006975E6" w:rsidRPr="00E86A8F">
          <w:rPr>
            <w:rStyle w:val="Hyperlink"/>
            <w:rFonts w:asciiTheme="majorHAnsi" w:hAnsiTheme="majorHAnsi"/>
            <w:noProof/>
            <w:sz w:val="20"/>
            <w:szCs w:val="20"/>
            <w:lang w:val="es-CO"/>
          </w:rPr>
          <w:t>VI.</w:t>
        </w:r>
        <w:r w:rsidR="006975E6" w:rsidRPr="00E86A8F">
          <w:rPr>
            <w:rFonts w:asciiTheme="majorHAnsi" w:eastAsiaTheme="minorEastAsia" w:hAnsiTheme="majorHAnsi" w:cstheme="minorBidi"/>
            <w:noProof/>
            <w:sz w:val="20"/>
            <w:szCs w:val="20"/>
            <w:bdr w:val="none" w:sz="0" w:space="0" w:color="auto"/>
          </w:rPr>
          <w:tab/>
        </w:r>
        <w:r w:rsidR="006975E6" w:rsidRPr="00E86A8F">
          <w:rPr>
            <w:rStyle w:val="Hyperlink"/>
            <w:rFonts w:asciiTheme="majorHAnsi" w:hAnsiTheme="majorHAnsi"/>
            <w:noProof/>
            <w:sz w:val="20"/>
            <w:szCs w:val="20"/>
            <w:lang w:val="es-CO"/>
          </w:rPr>
          <w:t>RECOMENDACIONES</w:t>
        </w:r>
        <w:r w:rsidR="006975E6" w:rsidRPr="00E86A8F">
          <w:rPr>
            <w:rFonts w:asciiTheme="majorHAnsi" w:hAnsiTheme="majorHAnsi"/>
            <w:noProof/>
            <w:webHidden/>
            <w:sz w:val="20"/>
            <w:szCs w:val="20"/>
          </w:rPr>
          <w:tab/>
        </w:r>
        <w:r w:rsidR="006975E6" w:rsidRPr="00E86A8F">
          <w:rPr>
            <w:rFonts w:asciiTheme="majorHAnsi" w:hAnsiTheme="majorHAnsi"/>
            <w:noProof/>
            <w:webHidden/>
            <w:sz w:val="20"/>
            <w:szCs w:val="20"/>
          </w:rPr>
          <w:fldChar w:fldCharType="begin"/>
        </w:r>
        <w:r w:rsidR="006975E6" w:rsidRPr="00E86A8F">
          <w:rPr>
            <w:rFonts w:asciiTheme="majorHAnsi" w:hAnsiTheme="majorHAnsi"/>
            <w:noProof/>
            <w:webHidden/>
            <w:sz w:val="20"/>
            <w:szCs w:val="20"/>
          </w:rPr>
          <w:instrText xml:space="preserve"> PAGEREF _Toc11073115 \h </w:instrText>
        </w:r>
        <w:r w:rsidR="006975E6" w:rsidRPr="00E86A8F">
          <w:rPr>
            <w:rFonts w:asciiTheme="majorHAnsi" w:hAnsiTheme="majorHAnsi"/>
            <w:noProof/>
            <w:webHidden/>
            <w:sz w:val="20"/>
            <w:szCs w:val="20"/>
          </w:rPr>
        </w:r>
        <w:r w:rsidR="006975E6" w:rsidRPr="00E86A8F">
          <w:rPr>
            <w:rFonts w:asciiTheme="majorHAnsi" w:hAnsiTheme="majorHAnsi"/>
            <w:noProof/>
            <w:webHidden/>
            <w:sz w:val="20"/>
            <w:szCs w:val="20"/>
          </w:rPr>
          <w:fldChar w:fldCharType="separate"/>
        </w:r>
        <w:r>
          <w:rPr>
            <w:rFonts w:asciiTheme="majorHAnsi" w:hAnsiTheme="majorHAnsi"/>
            <w:noProof/>
            <w:webHidden/>
            <w:sz w:val="20"/>
            <w:szCs w:val="20"/>
          </w:rPr>
          <w:t>28</w:t>
        </w:r>
        <w:r w:rsidR="006975E6" w:rsidRPr="00E86A8F">
          <w:rPr>
            <w:rFonts w:asciiTheme="majorHAnsi" w:hAnsiTheme="majorHAnsi"/>
            <w:noProof/>
            <w:webHidden/>
            <w:sz w:val="20"/>
            <w:szCs w:val="20"/>
          </w:rPr>
          <w:fldChar w:fldCharType="end"/>
        </w:r>
      </w:hyperlink>
    </w:p>
    <w:p w14:paraId="26DB591D" w14:textId="77777777" w:rsidR="00722C9F" w:rsidRPr="00E86A8F" w:rsidRDefault="003324DC" w:rsidP="003324DC">
      <w:pPr>
        <w:tabs>
          <w:tab w:val="left" w:pos="720"/>
        </w:tabs>
        <w:rPr>
          <w:rFonts w:asciiTheme="majorHAnsi" w:hAnsiTheme="majorHAnsi" w:cs="Calibri"/>
          <w:sz w:val="20"/>
          <w:szCs w:val="20"/>
          <w:lang w:val="es-ES"/>
        </w:rPr>
      </w:pPr>
      <w:r w:rsidRPr="00E86A8F">
        <w:rPr>
          <w:rFonts w:asciiTheme="majorHAnsi" w:hAnsiTheme="majorHAnsi" w:cs="Calibri"/>
          <w:sz w:val="20"/>
          <w:szCs w:val="20"/>
          <w:lang w:val="es-ES"/>
        </w:rPr>
        <w:fldChar w:fldCharType="end"/>
      </w:r>
      <w:r w:rsidR="00722C9F" w:rsidRPr="00E86A8F">
        <w:rPr>
          <w:rFonts w:asciiTheme="majorHAnsi" w:hAnsiTheme="majorHAnsi" w:cs="Calibri"/>
          <w:sz w:val="20"/>
          <w:szCs w:val="20"/>
          <w:lang w:val="es-ES"/>
        </w:rPr>
        <w:br w:type="page"/>
      </w:r>
    </w:p>
    <w:p w14:paraId="47F6820E" w14:textId="68E8BCA3" w:rsidR="00722C9F" w:rsidRPr="00E86A8F" w:rsidRDefault="007C756A" w:rsidP="00073BB6">
      <w:pPr>
        <w:suppressAutoHyphens/>
        <w:spacing w:line="276" w:lineRule="auto"/>
        <w:jc w:val="center"/>
        <w:rPr>
          <w:rFonts w:asciiTheme="majorHAnsi" w:hAnsiTheme="majorHAnsi"/>
          <w:b/>
          <w:sz w:val="20"/>
          <w:szCs w:val="20"/>
          <w:lang w:val="es-PE"/>
        </w:rPr>
      </w:pPr>
      <w:r w:rsidRPr="00E86A8F">
        <w:rPr>
          <w:rFonts w:asciiTheme="majorHAnsi" w:hAnsiTheme="majorHAnsi"/>
          <w:b/>
          <w:sz w:val="20"/>
          <w:szCs w:val="20"/>
          <w:lang w:val="es-PE"/>
        </w:rPr>
        <w:lastRenderedPageBreak/>
        <w:t xml:space="preserve">INFORME No. </w:t>
      </w:r>
      <w:r w:rsidR="000F77A1" w:rsidRPr="00E86A8F">
        <w:rPr>
          <w:rFonts w:asciiTheme="majorHAnsi" w:hAnsiTheme="majorHAnsi"/>
          <w:b/>
          <w:sz w:val="20"/>
          <w:szCs w:val="20"/>
          <w:lang w:val="es-PE"/>
        </w:rPr>
        <w:t>52</w:t>
      </w:r>
      <w:r w:rsidRPr="00E86A8F">
        <w:rPr>
          <w:rFonts w:asciiTheme="majorHAnsi" w:hAnsiTheme="majorHAnsi"/>
          <w:b/>
          <w:sz w:val="20"/>
          <w:szCs w:val="20"/>
          <w:lang w:val="es-PE"/>
        </w:rPr>
        <w:t>/</w:t>
      </w:r>
      <w:r w:rsidR="002B0FC2" w:rsidRPr="00E86A8F">
        <w:rPr>
          <w:rFonts w:asciiTheme="majorHAnsi" w:hAnsiTheme="majorHAnsi"/>
          <w:b/>
          <w:sz w:val="20"/>
          <w:szCs w:val="20"/>
          <w:lang w:val="es-PE"/>
        </w:rPr>
        <w:t>19</w:t>
      </w:r>
    </w:p>
    <w:p w14:paraId="56E828BA" w14:textId="456A2374" w:rsidR="00722C9F" w:rsidRPr="00E86A8F" w:rsidRDefault="00100391" w:rsidP="00073BB6">
      <w:pPr>
        <w:suppressAutoHyphens/>
        <w:spacing w:line="276" w:lineRule="auto"/>
        <w:jc w:val="center"/>
        <w:rPr>
          <w:rFonts w:asciiTheme="majorHAnsi" w:hAnsiTheme="majorHAnsi"/>
          <w:b/>
          <w:sz w:val="20"/>
          <w:szCs w:val="20"/>
          <w:lang w:val="es-PE"/>
        </w:rPr>
      </w:pPr>
      <w:r w:rsidRPr="00E86A8F">
        <w:rPr>
          <w:rFonts w:asciiTheme="majorHAnsi" w:hAnsiTheme="majorHAnsi"/>
          <w:b/>
          <w:sz w:val="20"/>
          <w:szCs w:val="20"/>
          <w:lang w:val="es-PE"/>
        </w:rPr>
        <w:t xml:space="preserve"> CASO 12.624</w:t>
      </w:r>
    </w:p>
    <w:p w14:paraId="236F5904" w14:textId="77777777" w:rsidR="00722C9F" w:rsidRPr="00E86A8F" w:rsidRDefault="007C756A"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FONDO</w:t>
      </w:r>
    </w:p>
    <w:p w14:paraId="01B6A215" w14:textId="77777777" w:rsidR="00722C9F" w:rsidRPr="00E86A8F" w:rsidRDefault="003F4B6B"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 xml:space="preserve">CARLOS BARAONA </w:t>
      </w:r>
      <w:r w:rsidR="005568A0" w:rsidRPr="00E86A8F">
        <w:rPr>
          <w:rFonts w:asciiTheme="majorHAnsi" w:hAnsiTheme="majorHAnsi"/>
          <w:sz w:val="20"/>
          <w:szCs w:val="20"/>
          <w:lang w:val="es-ES_tradnl"/>
        </w:rPr>
        <w:t>BRAY</w:t>
      </w:r>
    </w:p>
    <w:p w14:paraId="5674B8E0" w14:textId="77777777" w:rsidR="00722C9F" w:rsidRPr="00E86A8F" w:rsidRDefault="005568A0"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CHILE</w:t>
      </w:r>
      <w:r w:rsidR="005C4CA5" w:rsidRPr="00E86A8F">
        <w:rPr>
          <w:rStyle w:val="FootnoteReference"/>
          <w:rFonts w:asciiTheme="majorHAnsi" w:hAnsiTheme="majorHAnsi"/>
          <w:sz w:val="20"/>
          <w:szCs w:val="20"/>
          <w:lang w:val="es-ES_tradnl"/>
        </w:rPr>
        <w:footnoteReference w:id="2"/>
      </w:r>
    </w:p>
    <w:p w14:paraId="56E53A86" w14:textId="1AB675EC" w:rsidR="00722C9F" w:rsidRPr="00E86A8F" w:rsidRDefault="0028447B" w:rsidP="00073BB6">
      <w:pPr>
        <w:suppressAutoHyphens/>
        <w:spacing w:line="276" w:lineRule="auto"/>
        <w:jc w:val="center"/>
        <w:rPr>
          <w:rFonts w:asciiTheme="majorHAnsi" w:hAnsiTheme="majorHAnsi"/>
          <w:sz w:val="20"/>
          <w:szCs w:val="20"/>
          <w:lang w:val="es-ES_tradnl"/>
        </w:rPr>
      </w:pPr>
      <w:r w:rsidRPr="00E86A8F">
        <w:rPr>
          <w:rFonts w:asciiTheme="majorHAnsi" w:hAnsiTheme="majorHAnsi"/>
          <w:sz w:val="20"/>
          <w:szCs w:val="20"/>
          <w:lang w:val="es-ES_tradnl"/>
        </w:rPr>
        <w:t>4 de mayo de 2019</w:t>
      </w:r>
    </w:p>
    <w:p w14:paraId="33030CA9" w14:textId="77777777" w:rsidR="005937F1" w:rsidRPr="00E86A8F" w:rsidRDefault="005937F1" w:rsidP="00073BB6">
      <w:pPr>
        <w:pStyle w:val="ListParagraph"/>
        <w:suppressAutoHyphens/>
        <w:ind w:left="1440"/>
        <w:rPr>
          <w:rFonts w:asciiTheme="majorHAnsi" w:hAnsiTheme="majorHAnsi"/>
          <w:b/>
          <w:color w:val="auto"/>
          <w:sz w:val="20"/>
          <w:szCs w:val="20"/>
          <w:lang w:val="es-ES_tradnl"/>
        </w:rPr>
      </w:pPr>
    </w:p>
    <w:p w14:paraId="17096B0A" w14:textId="77777777" w:rsidR="00D12193" w:rsidRPr="00E86A8F" w:rsidRDefault="00A03A30" w:rsidP="00073BB6">
      <w:pPr>
        <w:pStyle w:val="Heading1"/>
        <w:ind w:left="0" w:firstLine="0"/>
        <w:jc w:val="both"/>
        <w:rPr>
          <w:color w:val="auto"/>
        </w:rPr>
      </w:pPr>
      <w:bookmarkStart w:id="2" w:name="_Toc6937369"/>
      <w:bookmarkStart w:id="3" w:name="_Toc11073097"/>
      <w:r w:rsidRPr="00E86A8F">
        <w:rPr>
          <w:color w:val="auto"/>
        </w:rPr>
        <w:t>INTRODUCCIÓN</w:t>
      </w:r>
      <w:bookmarkEnd w:id="2"/>
      <w:bookmarkEnd w:id="3"/>
    </w:p>
    <w:p w14:paraId="5F5C2896" w14:textId="77777777" w:rsidR="005C4CA5" w:rsidRPr="00E86A8F" w:rsidRDefault="005C4CA5" w:rsidP="00073BB6">
      <w:pPr>
        <w:pStyle w:val="Heading1"/>
        <w:numPr>
          <w:ilvl w:val="0"/>
          <w:numId w:val="0"/>
        </w:numPr>
        <w:rPr>
          <w:color w:val="auto"/>
        </w:rPr>
      </w:pPr>
    </w:p>
    <w:p w14:paraId="6D8DE70B" w14:textId="2B728645" w:rsidR="009014A4" w:rsidRPr="00E86A8F" w:rsidRDefault="005C4CA5"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 xml:space="preserve">El </w:t>
      </w:r>
      <w:r w:rsidR="007E569F" w:rsidRPr="00E86A8F">
        <w:rPr>
          <w:rFonts w:asciiTheme="majorHAnsi" w:hAnsiTheme="majorHAnsi"/>
          <w:sz w:val="20"/>
          <w:szCs w:val="20"/>
          <w:lang w:val="es-VE"/>
        </w:rPr>
        <w:t>4</w:t>
      </w:r>
      <w:r w:rsidRPr="00E86A8F">
        <w:rPr>
          <w:rFonts w:asciiTheme="majorHAnsi" w:hAnsiTheme="majorHAnsi"/>
          <w:sz w:val="20"/>
          <w:szCs w:val="20"/>
          <w:lang w:val="es-VE"/>
        </w:rPr>
        <w:t xml:space="preserve"> de </w:t>
      </w:r>
      <w:r w:rsidR="007E569F" w:rsidRPr="00E86A8F">
        <w:rPr>
          <w:rFonts w:asciiTheme="majorHAnsi" w:hAnsiTheme="majorHAnsi"/>
          <w:sz w:val="20"/>
          <w:szCs w:val="20"/>
          <w:lang w:val="es-VE"/>
        </w:rPr>
        <w:t>marzo</w:t>
      </w:r>
      <w:r w:rsidRPr="00E86A8F">
        <w:rPr>
          <w:rFonts w:asciiTheme="majorHAnsi" w:hAnsiTheme="majorHAnsi"/>
          <w:sz w:val="20"/>
          <w:szCs w:val="20"/>
          <w:lang w:val="es-VE"/>
        </w:rPr>
        <w:t xml:space="preserve"> de </w:t>
      </w:r>
      <w:r w:rsidR="007E569F" w:rsidRPr="00E86A8F">
        <w:rPr>
          <w:rFonts w:asciiTheme="majorHAnsi" w:hAnsiTheme="majorHAnsi"/>
          <w:sz w:val="20"/>
          <w:szCs w:val="20"/>
          <w:lang w:val="es-VE"/>
        </w:rPr>
        <w:t>2005</w:t>
      </w:r>
      <w:r w:rsidRPr="00E86A8F">
        <w:rPr>
          <w:rFonts w:asciiTheme="majorHAnsi" w:hAnsiTheme="majorHAnsi"/>
          <w:sz w:val="20"/>
          <w:szCs w:val="20"/>
          <w:lang w:val="es-VE"/>
        </w:rPr>
        <w:t xml:space="preserve"> la Comisión Interamericana de Derechos Humanos (en adelante “la Comisión Interamericana”, “la Comisión” o “la CIDH”) recibi</w:t>
      </w:r>
      <w:r w:rsidR="007E569F" w:rsidRPr="00E86A8F">
        <w:rPr>
          <w:rFonts w:asciiTheme="majorHAnsi" w:hAnsiTheme="majorHAnsi"/>
          <w:sz w:val="20"/>
          <w:szCs w:val="20"/>
          <w:lang w:val="es-VE"/>
        </w:rPr>
        <w:t>ó una petición presentada por la Clínica de Interés P</w:t>
      </w:r>
      <w:r w:rsidR="00474B8F" w:rsidRPr="00E86A8F">
        <w:rPr>
          <w:rFonts w:asciiTheme="majorHAnsi" w:hAnsiTheme="majorHAnsi"/>
          <w:sz w:val="20"/>
          <w:szCs w:val="20"/>
          <w:lang w:val="es-VE"/>
        </w:rPr>
        <w:t>úblico y Derechos Humanos de l</w:t>
      </w:r>
      <w:r w:rsidR="007E569F" w:rsidRPr="00E86A8F">
        <w:rPr>
          <w:rFonts w:asciiTheme="majorHAnsi" w:hAnsiTheme="majorHAnsi"/>
          <w:sz w:val="20"/>
          <w:szCs w:val="20"/>
          <w:lang w:val="es-VE"/>
        </w:rPr>
        <w:t xml:space="preserve">a Universidad Diego Portales </w:t>
      </w:r>
      <w:r w:rsidR="00474B8F" w:rsidRPr="00E86A8F">
        <w:rPr>
          <w:rFonts w:asciiTheme="majorHAnsi" w:hAnsiTheme="majorHAnsi"/>
          <w:sz w:val="20"/>
          <w:szCs w:val="20"/>
          <w:lang w:val="es-VE"/>
        </w:rPr>
        <w:t>en nombre del señor Carlos Baraona Bray</w:t>
      </w:r>
      <w:r w:rsidR="007E569F" w:rsidRPr="00E86A8F">
        <w:rPr>
          <w:rFonts w:asciiTheme="majorHAnsi" w:hAnsiTheme="majorHAnsi"/>
          <w:sz w:val="20"/>
          <w:szCs w:val="20"/>
          <w:lang w:val="es-VE"/>
        </w:rPr>
        <w:t xml:space="preserve"> </w:t>
      </w:r>
      <w:r w:rsidRPr="00E86A8F">
        <w:rPr>
          <w:rFonts w:asciiTheme="majorHAnsi" w:hAnsiTheme="majorHAnsi"/>
          <w:sz w:val="20"/>
          <w:szCs w:val="20"/>
          <w:lang w:val="es-VE"/>
        </w:rPr>
        <w:t xml:space="preserve">(en adelante “la parte peticionaria”) en la cual se alega la responsabilidad internacional de </w:t>
      </w:r>
      <w:r w:rsidR="007E569F" w:rsidRPr="00E86A8F">
        <w:rPr>
          <w:rFonts w:asciiTheme="majorHAnsi" w:hAnsiTheme="majorHAnsi"/>
          <w:sz w:val="20"/>
          <w:szCs w:val="20"/>
          <w:lang w:val="es-VE"/>
        </w:rPr>
        <w:t xml:space="preserve">la República de Chile </w:t>
      </w:r>
      <w:r w:rsidRPr="00E86A8F">
        <w:rPr>
          <w:rFonts w:asciiTheme="majorHAnsi" w:hAnsiTheme="majorHAnsi"/>
          <w:sz w:val="20"/>
          <w:szCs w:val="20"/>
          <w:lang w:val="es-VE"/>
        </w:rPr>
        <w:t>(en adelante “</w:t>
      </w:r>
      <w:r w:rsidR="007E569F" w:rsidRPr="00E86A8F">
        <w:rPr>
          <w:rFonts w:asciiTheme="majorHAnsi" w:hAnsiTheme="majorHAnsi"/>
          <w:sz w:val="20"/>
          <w:szCs w:val="20"/>
          <w:lang w:val="es-VE"/>
        </w:rPr>
        <w:t>el Estad</w:t>
      </w:r>
      <w:r w:rsidR="00474B8F" w:rsidRPr="00E86A8F">
        <w:rPr>
          <w:rFonts w:asciiTheme="majorHAnsi" w:hAnsiTheme="majorHAnsi"/>
          <w:sz w:val="20"/>
          <w:szCs w:val="20"/>
          <w:lang w:val="es-VE"/>
        </w:rPr>
        <w:t>o de Chile”, “el Estado”, “El Estado chileno”</w:t>
      </w:r>
      <w:r w:rsidR="00EE0EBE" w:rsidRPr="00E86A8F">
        <w:rPr>
          <w:rFonts w:asciiTheme="majorHAnsi" w:hAnsiTheme="majorHAnsi"/>
          <w:sz w:val="20"/>
          <w:szCs w:val="20"/>
          <w:lang w:val="es-VE"/>
        </w:rPr>
        <w:t xml:space="preserve"> </w:t>
      </w:r>
      <w:r w:rsidR="007E569F" w:rsidRPr="00E86A8F">
        <w:rPr>
          <w:rFonts w:asciiTheme="majorHAnsi" w:hAnsiTheme="majorHAnsi"/>
          <w:sz w:val="20"/>
          <w:szCs w:val="20"/>
          <w:lang w:val="es-VE"/>
        </w:rPr>
        <w:t>o “Chile</w:t>
      </w:r>
      <w:r w:rsidRPr="00E86A8F">
        <w:rPr>
          <w:rFonts w:asciiTheme="majorHAnsi" w:hAnsiTheme="majorHAnsi"/>
          <w:sz w:val="20"/>
          <w:szCs w:val="20"/>
          <w:lang w:val="es-VE"/>
        </w:rPr>
        <w:t xml:space="preserve">”) en perjuicio de </w:t>
      </w:r>
      <w:r w:rsidR="00474B8F" w:rsidRPr="00E86A8F">
        <w:rPr>
          <w:rFonts w:asciiTheme="majorHAnsi" w:hAnsiTheme="majorHAnsi"/>
          <w:sz w:val="20"/>
          <w:szCs w:val="20"/>
          <w:lang w:val="es-VE"/>
        </w:rPr>
        <w:t>Carlos Baraona Bray</w:t>
      </w:r>
      <w:r w:rsidR="0032742E" w:rsidRPr="00E86A8F">
        <w:rPr>
          <w:rFonts w:asciiTheme="majorHAnsi" w:hAnsiTheme="majorHAnsi"/>
          <w:sz w:val="20"/>
          <w:szCs w:val="20"/>
          <w:lang w:val="es-VE"/>
        </w:rPr>
        <w:t xml:space="preserve"> por la </w:t>
      </w:r>
      <w:r w:rsidR="00FD5E93" w:rsidRPr="00E86A8F">
        <w:rPr>
          <w:rFonts w:asciiTheme="majorHAnsi" w:hAnsiTheme="majorHAnsi"/>
          <w:sz w:val="20"/>
          <w:szCs w:val="20"/>
          <w:lang w:val="es-VE"/>
        </w:rPr>
        <w:t>violación de sus derechos, entre ellos el derecho a la libertad de expresión</w:t>
      </w:r>
      <w:r w:rsidR="00ED708C" w:rsidRPr="00E86A8F">
        <w:rPr>
          <w:rFonts w:asciiTheme="majorHAnsi" w:hAnsiTheme="majorHAnsi"/>
          <w:sz w:val="20"/>
          <w:szCs w:val="20"/>
          <w:lang w:val="es-VE"/>
        </w:rPr>
        <w:t>,</w:t>
      </w:r>
      <w:r w:rsidR="00FD5E93" w:rsidRPr="00E86A8F">
        <w:rPr>
          <w:rFonts w:asciiTheme="majorHAnsi" w:hAnsiTheme="majorHAnsi"/>
          <w:sz w:val="20"/>
          <w:szCs w:val="20"/>
          <w:lang w:val="es-VE"/>
        </w:rPr>
        <w:t xml:space="preserve"> como consecuencia del proceso penal por “injurias graves” promov</w:t>
      </w:r>
      <w:r w:rsidR="00ED708C" w:rsidRPr="00E86A8F">
        <w:rPr>
          <w:rFonts w:asciiTheme="majorHAnsi" w:hAnsiTheme="majorHAnsi"/>
          <w:sz w:val="20"/>
          <w:szCs w:val="20"/>
          <w:lang w:val="es-VE"/>
        </w:rPr>
        <w:t>ido en su contra por un senador, por el cual fue sentenciado a</w:t>
      </w:r>
      <w:r w:rsidR="00125A36" w:rsidRPr="00E86A8F">
        <w:rPr>
          <w:rFonts w:asciiTheme="majorHAnsi" w:hAnsiTheme="majorHAnsi"/>
          <w:sz w:val="20"/>
          <w:szCs w:val="20"/>
          <w:lang w:val="es-VE"/>
        </w:rPr>
        <w:t xml:space="preserve"> 300 días de prisión suspendida</w:t>
      </w:r>
      <w:r w:rsidR="0082222D" w:rsidRPr="00E86A8F">
        <w:rPr>
          <w:rFonts w:asciiTheme="majorHAnsi" w:hAnsiTheme="majorHAnsi"/>
          <w:sz w:val="20"/>
          <w:szCs w:val="20"/>
          <w:lang w:val="es-VE"/>
        </w:rPr>
        <w:t>, una multa, así como la accesoria suspensión de cargo</w:t>
      </w:r>
      <w:r w:rsidR="00A85A16" w:rsidRPr="00E86A8F">
        <w:rPr>
          <w:rFonts w:asciiTheme="majorHAnsi" w:hAnsiTheme="majorHAnsi"/>
          <w:sz w:val="20"/>
          <w:szCs w:val="20"/>
          <w:lang w:val="es-VE"/>
        </w:rPr>
        <w:t>s u oficios públicos por el perí</w:t>
      </w:r>
      <w:r w:rsidR="0082222D" w:rsidRPr="00E86A8F">
        <w:rPr>
          <w:rFonts w:asciiTheme="majorHAnsi" w:hAnsiTheme="majorHAnsi"/>
          <w:sz w:val="20"/>
          <w:szCs w:val="20"/>
          <w:lang w:val="es-VE"/>
        </w:rPr>
        <w:t>odo de la condena.</w:t>
      </w:r>
    </w:p>
    <w:p w14:paraId="77E5880E" w14:textId="77777777" w:rsidR="002C1482" w:rsidRPr="00E86A8F" w:rsidRDefault="002C1482"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3BA1730D" w14:textId="6E5F646B" w:rsidR="009014A4" w:rsidRPr="00E86A8F" w:rsidRDefault="009014A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L</w:t>
      </w:r>
      <w:r w:rsidRPr="00E86A8F">
        <w:rPr>
          <w:rFonts w:asciiTheme="majorHAnsi" w:hAnsiTheme="majorHAnsi"/>
          <w:sz w:val="20"/>
          <w:szCs w:val="20"/>
          <w:lang w:val="es-ES_tradnl"/>
        </w:rPr>
        <w:t xml:space="preserve">a Comisión aprobó el informe de admisibilidad No. </w:t>
      </w:r>
      <w:r w:rsidR="00A65014" w:rsidRPr="00E86A8F">
        <w:rPr>
          <w:rFonts w:asciiTheme="majorHAnsi" w:hAnsiTheme="majorHAnsi"/>
          <w:sz w:val="20"/>
          <w:szCs w:val="20"/>
          <w:lang w:val="es-ES_tradnl"/>
        </w:rPr>
        <w:t>50</w:t>
      </w:r>
      <w:r w:rsidRPr="00E86A8F">
        <w:rPr>
          <w:rFonts w:asciiTheme="majorHAnsi" w:hAnsiTheme="majorHAnsi"/>
          <w:sz w:val="20"/>
          <w:szCs w:val="20"/>
          <w:lang w:val="es-ES_tradnl"/>
        </w:rPr>
        <w:t>/</w:t>
      </w:r>
      <w:r w:rsidR="00A65014" w:rsidRPr="00E86A8F">
        <w:rPr>
          <w:rFonts w:asciiTheme="majorHAnsi" w:hAnsiTheme="majorHAnsi"/>
          <w:sz w:val="20"/>
          <w:szCs w:val="20"/>
          <w:lang w:val="es-ES_tradnl"/>
        </w:rPr>
        <w:t>07</w:t>
      </w:r>
      <w:r w:rsidRPr="00E86A8F">
        <w:rPr>
          <w:rFonts w:asciiTheme="majorHAnsi" w:hAnsiTheme="majorHAnsi"/>
          <w:sz w:val="20"/>
          <w:szCs w:val="20"/>
          <w:lang w:val="es-ES_tradnl"/>
        </w:rPr>
        <w:t xml:space="preserve"> el </w:t>
      </w:r>
      <w:r w:rsidR="00A65014" w:rsidRPr="00E86A8F">
        <w:rPr>
          <w:rFonts w:asciiTheme="majorHAnsi" w:hAnsiTheme="majorHAnsi"/>
          <w:sz w:val="20"/>
          <w:szCs w:val="20"/>
          <w:lang w:val="es-ES_tradnl"/>
        </w:rPr>
        <w:t>24</w:t>
      </w:r>
      <w:r w:rsidRPr="00E86A8F">
        <w:rPr>
          <w:rFonts w:asciiTheme="majorHAnsi" w:hAnsiTheme="majorHAnsi"/>
          <w:sz w:val="20"/>
          <w:szCs w:val="20"/>
          <w:lang w:val="es-ES_tradnl"/>
        </w:rPr>
        <w:t xml:space="preserve"> de</w:t>
      </w:r>
      <w:r w:rsidR="00A65014" w:rsidRPr="00E86A8F">
        <w:rPr>
          <w:rFonts w:asciiTheme="majorHAnsi" w:hAnsiTheme="majorHAnsi"/>
          <w:sz w:val="20"/>
          <w:szCs w:val="20"/>
          <w:lang w:val="es-ES_tradnl"/>
        </w:rPr>
        <w:t xml:space="preserve"> julio</w:t>
      </w:r>
      <w:r w:rsidRPr="00E86A8F">
        <w:rPr>
          <w:rFonts w:asciiTheme="majorHAnsi" w:hAnsiTheme="majorHAnsi"/>
          <w:sz w:val="20"/>
          <w:szCs w:val="20"/>
          <w:lang w:val="es-ES_tradnl"/>
        </w:rPr>
        <w:t xml:space="preserve"> de </w:t>
      </w:r>
      <w:r w:rsidR="00A65014" w:rsidRPr="00E86A8F">
        <w:rPr>
          <w:rFonts w:asciiTheme="majorHAnsi" w:hAnsiTheme="majorHAnsi"/>
          <w:sz w:val="20"/>
          <w:szCs w:val="20"/>
          <w:lang w:val="es-ES_tradnl"/>
        </w:rPr>
        <w:t>2007</w:t>
      </w:r>
      <w:r w:rsidRPr="00E86A8F">
        <w:rPr>
          <w:rStyle w:val="FootnoteReference"/>
          <w:rFonts w:asciiTheme="majorHAnsi" w:hAnsiTheme="majorHAnsi"/>
          <w:sz w:val="20"/>
          <w:szCs w:val="20"/>
          <w:lang w:val="es-ES_tradnl"/>
        </w:rPr>
        <w:footnoteReference w:id="3"/>
      </w:r>
      <w:r w:rsidR="00AF7988" w:rsidRPr="00E86A8F">
        <w:rPr>
          <w:rFonts w:asciiTheme="majorHAnsi" w:hAnsiTheme="majorHAnsi"/>
          <w:sz w:val="20"/>
          <w:szCs w:val="20"/>
          <w:lang w:val="es-ES_tradnl"/>
        </w:rPr>
        <w:t xml:space="preserve">. </w:t>
      </w:r>
      <w:r w:rsidRPr="00E86A8F">
        <w:rPr>
          <w:rFonts w:asciiTheme="majorHAnsi" w:hAnsiTheme="majorHAnsi"/>
          <w:sz w:val="20"/>
          <w:szCs w:val="20"/>
          <w:lang w:val="es-ES_tradnl"/>
        </w:rPr>
        <w:t xml:space="preserve">El </w:t>
      </w:r>
      <w:r w:rsidR="003046F8" w:rsidRPr="00E86A8F">
        <w:rPr>
          <w:rFonts w:asciiTheme="majorHAnsi" w:hAnsiTheme="majorHAnsi"/>
          <w:sz w:val="20"/>
          <w:szCs w:val="20"/>
          <w:lang w:val="es-ES_tradnl"/>
        </w:rPr>
        <w:t>30</w:t>
      </w:r>
      <w:r w:rsidRPr="00E86A8F">
        <w:rPr>
          <w:rFonts w:asciiTheme="majorHAnsi" w:hAnsiTheme="majorHAnsi"/>
          <w:sz w:val="20"/>
          <w:szCs w:val="20"/>
          <w:lang w:val="es-ES_tradnl"/>
        </w:rPr>
        <w:t xml:space="preserve"> de </w:t>
      </w:r>
      <w:r w:rsidR="003046F8" w:rsidRPr="00E86A8F">
        <w:rPr>
          <w:rFonts w:asciiTheme="majorHAnsi" w:hAnsiTheme="majorHAnsi"/>
          <w:sz w:val="20"/>
          <w:szCs w:val="20"/>
          <w:lang w:val="es-ES_tradnl"/>
        </w:rPr>
        <w:t>julio</w:t>
      </w:r>
      <w:r w:rsidRPr="00E86A8F">
        <w:rPr>
          <w:rFonts w:asciiTheme="majorHAnsi" w:hAnsiTheme="majorHAnsi"/>
          <w:sz w:val="20"/>
          <w:szCs w:val="20"/>
          <w:lang w:val="es-ES_tradnl"/>
        </w:rPr>
        <w:t xml:space="preserve"> de </w:t>
      </w:r>
      <w:r w:rsidR="003046F8" w:rsidRPr="00E86A8F">
        <w:rPr>
          <w:rFonts w:asciiTheme="majorHAnsi" w:hAnsiTheme="majorHAnsi"/>
          <w:sz w:val="20"/>
          <w:szCs w:val="20"/>
          <w:lang w:val="es-ES_tradnl"/>
        </w:rPr>
        <w:t xml:space="preserve">2007 </w:t>
      </w:r>
      <w:r w:rsidRPr="00E86A8F">
        <w:rPr>
          <w:rFonts w:asciiTheme="majorHAnsi" w:hAnsiTheme="majorHAnsi"/>
          <w:sz w:val="20"/>
          <w:szCs w:val="20"/>
          <w:lang w:val="es-ES_tradnl"/>
        </w:rPr>
        <w:t>la Comisión notificó dicho informe a las partes y se puso a su disposición a fin de llegar a una solución amistosa. Las partes contaron con los plazos reglamentarios para presentar sus observaciones adicionales sobre el fondo.</w:t>
      </w:r>
      <w:r w:rsidR="008C3098" w:rsidRPr="00E86A8F">
        <w:rPr>
          <w:rFonts w:asciiTheme="majorHAnsi" w:hAnsiTheme="majorHAnsi"/>
          <w:sz w:val="20"/>
          <w:szCs w:val="20"/>
          <w:lang w:val="es-ES_tradnl"/>
        </w:rPr>
        <w:t xml:space="preserve"> El </w:t>
      </w:r>
      <w:r w:rsidR="003E56A9" w:rsidRPr="00E86A8F">
        <w:rPr>
          <w:rFonts w:asciiTheme="majorHAnsi" w:hAnsiTheme="majorHAnsi"/>
          <w:sz w:val="20"/>
          <w:szCs w:val="20"/>
          <w:lang w:val="es-ES_tradnl"/>
        </w:rPr>
        <w:t>21</w:t>
      </w:r>
      <w:r w:rsidR="008C3098" w:rsidRPr="00E86A8F">
        <w:rPr>
          <w:rFonts w:asciiTheme="majorHAnsi" w:hAnsiTheme="majorHAnsi"/>
          <w:sz w:val="20"/>
          <w:szCs w:val="20"/>
          <w:lang w:val="es-ES_tradnl"/>
        </w:rPr>
        <w:t xml:space="preserve"> de </w:t>
      </w:r>
      <w:r w:rsidR="003E56A9" w:rsidRPr="00E86A8F">
        <w:rPr>
          <w:rFonts w:asciiTheme="majorHAnsi" w:hAnsiTheme="majorHAnsi"/>
          <w:sz w:val="20"/>
          <w:szCs w:val="20"/>
          <w:lang w:val="es-ES_tradnl"/>
        </w:rPr>
        <w:t>octubre</w:t>
      </w:r>
      <w:r w:rsidR="008C3098" w:rsidRPr="00E86A8F">
        <w:rPr>
          <w:rFonts w:asciiTheme="majorHAnsi" w:hAnsiTheme="majorHAnsi"/>
          <w:sz w:val="20"/>
          <w:szCs w:val="20"/>
          <w:lang w:val="es-ES_tradnl"/>
        </w:rPr>
        <w:t xml:space="preserve"> de </w:t>
      </w:r>
      <w:r w:rsidR="003E56A9" w:rsidRPr="00E86A8F">
        <w:rPr>
          <w:rFonts w:asciiTheme="majorHAnsi" w:hAnsiTheme="majorHAnsi"/>
          <w:sz w:val="20"/>
          <w:szCs w:val="20"/>
          <w:lang w:val="es-ES_tradnl"/>
        </w:rPr>
        <w:t>2008</w:t>
      </w:r>
      <w:r w:rsidR="008C3098" w:rsidRPr="00E86A8F">
        <w:rPr>
          <w:rFonts w:asciiTheme="majorHAnsi" w:hAnsiTheme="majorHAnsi"/>
          <w:sz w:val="20"/>
          <w:szCs w:val="20"/>
          <w:lang w:val="es-ES_tradnl"/>
        </w:rPr>
        <w:t xml:space="preserve"> la CIDH </w:t>
      </w:r>
      <w:r w:rsidR="00A03A30" w:rsidRPr="00E86A8F">
        <w:rPr>
          <w:rFonts w:asciiTheme="majorHAnsi" w:hAnsiTheme="majorHAnsi"/>
          <w:sz w:val="20"/>
          <w:szCs w:val="20"/>
          <w:lang w:val="es-ES_tradnl"/>
        </w:rPr>
        <w:t>celebró</w:t>
      </w:r>
      <w:r w:rsidR="008C3098" w:rsidRPr="00E86A8F">
        <w:rPr>
          <w:rFonts w:asciiTheme="majorHAnsi" w:hAnsiTheme="majorHAnsi"/>
          <w:sz w:val="20"/>
          <w:szCs w:val="20"/>
          <w:lang w:val="es-ES_tradnl"/>
        </w:rPr>
        <w:t xml:space="preserve"> una audiencia sobre el fondo del caso.</w:t>
      </w:r>
      <w:r w:rsidRPr="00E86A8F">
        <w:rPr>
          <w:rFonts w:asciiTheme="majorHAnsi" w:hAnsiTheme="majorHAnsi"/>
          <w:sz w:val="20"/>
          <w:szCs w:val="20"/>
          <w:lang w:val="es-ES_tradnl"/>
        </w:rPr>
        <w:t xml:space="preserve"> Toda la información recibida fue debidamente trasladada entre las partes. </w:t>
      </w:r>
    </w:p>
    <w:p w14:paraId="30F77569" w14:textId="77777777" w:rsidR="009014A4" w:rsidRPr="00E86A8F" w:rsidRDefault="009014A4" w:rsidP="00073BB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VE"/>
        </w:rPr>
      </w:pPr>
    </w:p>
    <w:p w14:paraId="20601A48" w14:textId="77777777" w:rsidR="00D12193" w:rsidRPr="00E86A8F" w:rsidRDefault="00D12193" w:rsidP="00073BB6">
      <w:pPr>
        <w:pStyle w:val="Heading1"/>
        <w:ind w:left="0" w:firstLine="0"/>
        <w:jc w:val="both"/>
      </w:pPr>
      <w:bookmarkStart w:id="4" w:name="_Toc6937370"/>
      <w:bookmarkStart w:id="5" w:name="_Toc11073098"/>
      <w:r w:rsidRPr="00E86A8F">
        <w:t>ALEGATOS DE LAS PARTES</w:t>
      </w:r>
      <w:bookmarkEnd w:id="4"/>
      <w:bookmarkEnd w:id="5"/>
    </w:p>
    <w:p w14:paraId="353CBF95" w14:textId="77777777" w:rsidR="00BB4FE6" w:rsidRPr="00E86A8F" w:rsidRDefault="00BB4FE6" w:rsidP="00073BB6">
      <w:pPr>
        <w:rPr>
          <w:rFonts w:asciiTheme="majorHAnsi" w:hAnsiTheme="majorHAnsi"/>
          <w:sz w:val="20"/>
          <w:szCs w:val="20"/>
          <w:lang w:val="es-ES_tradnl" w:eastAsia="es-ES"/>
        </w:rPr>
      </w:pPr>
    </w:p>
    <w:p w14:paraId="5CD45771" w14:textId="77777777" w:rsidR="00E2742C" w:rsidRPr="00E86A8F" w:rsidRDefault="00E2742C" w:rsidP="00073BB6">
      <w:pPr>
        <w:pStyle w:val="Heading2"/>
        <w:tabs>
          <w:tab w:val="clear" w:pos="1418"/>
        </w:tabs>
        <w:ind w:left="0" w:firstLine="0"/>
        <w:jc w:val="both"/>
        <w:rPr>
          <w:rFonts w:asciiTheme="majorHAnsi" w:hAnsiTheme="majorHAnsi"/>
        </w:rPr>
      </w:pPr>
      <w:bookmarkStart w:id="6" w:name="_Toc6937371"/>
      <w:bookmarkStart w:id="7" w:name="_Toc11073099"/>
      <w:r w:rsidRPr="00E86A8F">
        <w:rPr>
          <w:rFonts w:asciiTheme="majorHAnsi" w:hAnsiTheme="majorHAnsi"/>
        </w:rPr>
        <w:t>Parte peticionaria</w:t>
      </w:r>
      <w:bookmarkEnd w:id="6"/>
      <w:bookmarkEnd w:id="7"/>
      <w:r w:rsidRPr="00E86A8F">
        <w:rPr>
          <w:rFonts w:asciiTheme="majorHAnsi" w:hAnsiTheme="majorHAnsi"/>
        </w:rPr>
        <w:t xml:space="preserve"> </w:t>
      </w:r>
    </w:p>
    <w:p w14:paraId="768E7C82" w14:textId="77777777" w:rsidR="00BB4FE6" w:rsidRPr="00E86A8F" w:rsidRDefault="00BB4FE6" w:rsidP="00073BB6">
      <w:pPr>
        <w:rPr>
          <w:rFonts w:asciiTheme="majorHAnsi" w:hAnsiTheme="majorHAnsi"/>
          <w:sz w:val="20"/>
          <w:szCs w:val="20"/>
        </w:rPr>
      </w:pPr>
    </w:p>
    <w:p w14:paraId="194754AD" w14:textId="5279A6AD"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color w:val="000000"/>
          <w:sz w:val="20"/>
          <w:szCs w:val="20"/>
          <w:lang w:val="es-ES"/>
        </w:rPr>
        <w:t>La parte peticionaria señaló que en el año 2003</w:t>
      </w:r>
      <w:r w:rsidR="00FF5585" w:rsidRPr="00E86A8F">
        <w:rPr>
          <w:rFonts w:asciiTheme="majorHAnsi" w:hAnsiTheme="majorHAnsi"/>
          <w:color w:val="000000"/>
          <w:sz w:val="20"/>
          <w:szCs w:val="20"/>
          <w:lang w:val="es-ES"/>
        </w:rPr>
        <w:t xml:space="preserve"> </w:t>
      </w:r>
      <w:r w:rsidRPr="00E86A8F">
        <w:rPr>
          <w:rFonts w:asciiTheme="majorHAnsi" w:hAnsiTheme="majorHAnsi"/>
          <w:color w:val="000000"/>
          <w:sz w:val="20"/>
          <w:szCs w:val="20"/>
          <w:lang w:val="es-ES"/>
        </w:rPr>
        <w:t>en Chile</w:t>
      </w:r>
      <w:r w:rsidR="00FF5585" w:rsidRPr="00E86A8F">
        <w:rPr>
          <w:rFonts w:asciiTheme="majorHAnsi" w:hAnsiTheme="majorHAnsi"/>
          <w:color w:val="000000"/>
          <w:sz w:val="20"/>
          <w:szCs w:val="20"/>
          <w:lang w:val="es-ES"/>
        </w:rPr>
        <w:t xml:space="preserve"> exist</w:t>
      </w:r>
      <w:r w:rsidR="00FF5585" w:rsidRPr="00E86A8F">
        <w:rPr>
          <w:rFonts w:asciiTheme="majorHAnsi" w:hAnsiTheme="majorHAnsi"/>
          <w:color w:val="000000"/>
          <w:sz w:val="20"/>
          <w:szCs w:val="20"/>
          <w:lang w:val="es-PE"/>
        </w:rPr>
        <w:t>ía</w:t>
      </w:r>
      <w:r w:rsidRPr="00E86A8F">
        <w:rPr>
          <w:rFonts w:asciiTheme="majorHAnsi" w:hAnsiTheme="majorHAnsi"/>
          <w:color w:val="000000"/>
          <w:sz w:val="20"/>
          <w:szCs w:val="20"/>
          <w:lang w:val="es-ES"/>
        </w:rPr>
        <w:t xml:space="preserve"> un gran debate a nivel nacional sobre la tala ilegal del alerce y la forma de fiscalizarla, que llevó a la creación de una Comisión Parlamentaria en el ámbito de la Cámara de Diputados para investigar los hechos. Dicho Comité confirmó la existencia de irregularidades en la forma en que</w:t>
      </w:r>
      <w:r w:rsidR="00943A55" w:rsidRPr="00E86A8F">
        <w:rPr>
          <w:rFonts w:asciiTheme="majorHAnsi" w:hAnsiTheme="majorHAnsi"/>
          <w:color w:val="000000"/>
          <w:sz w:val="20"/>
          <w:szCs w:val="20"/>
          <w:lang w:val="es-ES"/>
        </w:rPr>
        <w:t xml:space="preserve"> la Comisión Nacional Forestal</w:t>
      </w:r>
      <w:r w:rsidRPr="00E86A8F">
        <w:rPr>
          <w:rFonts w:asciiTheme="majorHAnsi" w:hAnsiTheme="majorHAnsi"/>
          <w:color w:val="000000"/>
          <w:sz w:val="20"/>
          <w:szCs w:val="20"/>
          <w:lang w:val="es-ES"/>
        </w:rPr>
        <w:t xml:space="preserve"> </w:t>
      </w:r>
      <w:r w:rsidR="00943A55" w:rsidRPr="00E86A8F">
        <w:rPr>
          <w:rFonts w:asciiTheme="majorHAnsi" w:hAnsiTheme="majorHAnsi"/>
          <w:color w:val="000000"/>
          <w:sz w:val="20"/>
          <w:szCs w:val="20"/>
          <w:lang w:val="es-ES"/>
        </w:rPr>
        <w:t>(</w:t>
      </w:r>
      <w:r w:rsidRPr="00E86A8F">
        <w:rPr>
          <w:rFonts w:asciiTheme="majorHAnsi" w:hAnsiTheme="majorHAnsi"/>
          <w:color w:val="000000"/>
          <w:sz w:val="20"/>
          <w:szCs w:val="20"/>
          <w:lang w:val="es-ES"/>
        </w:rPr>
        <w:t>CONAF</w:t>
      </w:r>
      <w:r w:rsidR="00943A55" w:rsidRPr="00E86A8F">
        <w:rPr>
          <w:rFonts w:asciiTheme="majorHAnsi" w:hAnsiTheme="majorHAnsi"/>
          <w:color w:val="000000"/>
          <w:sz w:val="20"/>
          <w:szCs w:val="20"/>
          <w:lang w:val="es-ES"/>
        </w:rPr>
        <w:t>)</w:t>
      </w:r>
      <w:r w:rsidRPr="00E86A8F">
        <w:rPr>
          <w:rFonts w:asciiTheme="majorHAnsi" w:hAnsiTheme="majorHAnsi"/>
          <w:color w:val="000000"/>
          <w:sz w:val="20"/>
          <w:szCs w:val="20"/>
          <w:lang w:val="es-ES"/>
        </w:rPr>
        <w:t xml:space="preserve"> realizaba la fiscalización de la tala de alerce, lo que llevó a la detención del Director Ejecutivo de CONAF, Carlos Weber, en mayo de 2004. Explicó que, en ese contexto, el abogado Carlos Baraona efectuó declaraciones que fueron recogidas por diferentes medios de comunicación social, en las que sostenía que el señor Sergio Páez Verdugo, entonces </w:t>
      </w:r>
      <w:r w:rsidR="00486700" w:rsidRPr="00E86A8F">
        <w:rPr>
          <w:rFonts w:asciiTheme="majorHAnsi" w:hAnsiTheme="majorHAnsi"/>
          <w:color w:val="000000"/>
          <w:sz w:val="20"/>
          <w:szCs w:val="20"/>
          <w:lang w:val="es-ES"/>
        </w:rPr>
        <w:t>senador</w:t>
      </w:r>
      <w:r w:rsidRPr="00E86A8F">
        <w:rPr>
          <w:rFonts w:asciiTheme="majorHAnsi" w:hAnsiTheme="majorHAnsi"/>
          <w:color w:val="000000"/>
          <w:sz w:val="20"/>
          <w:szCs w:val="20"/>
          <w:lang w:val="es-ES"/>
        </w:rPr>
        <w:t xml:space="preserve"> de la República, había ejercido presiones e influido para que las autoridades llevaran a cabo la tala ilícita del alerce.  </w:t>
      </w:r>
    </w:p>
    <w:p w14:paraId="091AE117" w14:textId="77777777" w:rsidR="005A1EEC" w:rsidRPr="00E86A8F" w:rsidRDefault="005A1EE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608834BB" w14:textId="2D9CDFEA"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color w:val="000000"/>
          <w:sz w:val="20"/>
          <w:szCs w:val="20"/>
          <w:lang w:val="es-ES"/>
        </w:rPr>
        <w:t xml:space="preserve">Ante </w:t>
      </w:r>
      <w:r w:rsidRPr="00E86A8F">
        <w:rPr>
          <w:rFonts w:asciiTheme="majorHAnsi" w:hAnsiTheme="majorHAnsi"/>
          <w:color w:val="000000" w:themeColor="text1"/>
          <w:sz w:val="20"/>
          <w:szCs w:val="20"/>
          <w:lang w:val="es-VE"/>
        </w:rPr>
        <w:t>ello</w:t>
      </w:r>
      <w:r w:rsidRPr="00E86A8F">
        <w:rPr>
          <w:rFonts w:asciiTheme="majorHAnsi" w:hAnsiTheme="majorHAnsi"/>
          <w:color w:val="000000"/>
          <w:sz w:val="20"/>
          <w:szCs w:val="20"/>
          <w:lang w:val="es-ES"/>
        </w:rPr>
        <w:t xml:space="preserve">, el </w:t>
      </w:r>
      <w:r w:rsidR="00FF5585" w:rsidRPr="00E86A8F">
        <w:rPr>
          <w:rFonts w:asciiTheme="majorHAnsi" w:hAnsiTheme="majorHAnsi"/>
          <w:color w:val="000000"/>
          <w:sz w:val="20"/>
          <w:szCs w:val="20"/>
          <w:lang w:val="es-ES"/>
        </w:rPr>
        <w:t>s</w:t>
      </w:r>
      <w:r w:rsidRPr="00E86A8F">
        <w:rPr>
          <w:rFonts w:asciiTheme="majorHAnsi" w:hAnsiTheme="majorHAnsi"/>
          <w:color w:val="000000"/>
          <w:sz w:val="20"/>
          <w:szCs w:val="20"/>
          <w:lang w:val="es-ES"/>
        </w:rPr>
        <w:t xml:space="preserve">eñor Páez presentó una querella criminal en contra </w:t>
      </w:r>
      <w:r w:rsidR="00A95267" w:rsidRPr="00E86A8F">
        <w:rPr>
          <w:rFonts w:asciiTheme="majorHAnsi" w:hAnsiTheme="majorHAnsi"/>
          <w:color w:val="000000"/>
          <w:sz w:val="20"/>
          <w:szCs w:val="20"/>
          <w:lang w:val="es-ES"/>
        </w:rPr>
        <w:t xml:space="preserve">Carlos </w:t>
      </w:r>
      <w:r w:rsidRPr="00E86A8F">
        <w:rPr>
          <w:rFonts w:asciiTheme="majorHAnsi" w:hAnsiTheme="majorHAnsi"/>
          <w:color w:val="000000"/>
          <w:sz w:val="20"/>
          <w:szCs w:val="20"/>
          <w:lang w:val="es-ES"/>
        </w:rPr>
        <w:t>Baraona</w:t>
      </w:r>
      <w:r w:rsidR="00A95267" w:rsidRPr="00E86A8F">
        <w:rPr>
          <w:rFonts w:asciiTheme="majorHAnsi" w:hAnsiTheme="majorHAnsi"/>
          <w:color w:val="000000"/>
          <w:sz w:val="20"/>
          <w:szCs w:val="20"/>
          <w:lang w:val="es-ES"/>
        </w:rPr>
        <w:t xml:space="preserve"> Bray</w:t>
      </w:r>
      <w:r w:rsidRPr="00E86A8F">
        <w:rPr>
          <w:rFonts w:asciiTheme="majorHAnsi" w:hAnsiTheme="majorHAnsi"/>
          <w:color w:val="000000"/>
          <w:sz w:val="20"/>
          <w:szCs w:val="20"/>
          <w:lang w:val="es-ES"/>
        </w:rPr>
        <w:t xml:space="preserve"> por los delitos de calumnia e injurias graves, </w:t>
      </w:r>
      <w:r w:rsidR="00A95267" w:rsidRPr="00E86A8F">
        <w:rPr>
          <w:rFonts w:asciiTheme="majorHAnsi" w:hAnsiTheme="majorHAnsi"/>
          <w:color w:val="000000"/>
          <w:sz w:val="20"/>
          <w:szCs w:val="20"/>
          <w:lang w:val="es-ES"/>
        </w:rPr>
        <w:t xml:space="preserve">al </w:t>
      </w:r>
      <w:r w:rsidRPr="00E86A8F">
        <w:rPr>
          <w:rFonts w:asciiTheme="majorHAnsi" w:hAnsiTheme="majorHAnsi"/>
          <w:color w:val="000000"/>
          <w:sz w:val="20"/>
          <w:szCs w:val="20"/>
          <w:lang w:val="es-ES"/>
        </w:rPr>
        <w:t>consid</w:t>
      </w:r>
      <w:r w:rsidR="009E6C64" w:rsidRPr="00E86A8F">
        <w:rPr>
          <w:rFonts w:asciiTheme="majorHAnsi" w:hAnsiTheme="majorHAnsi"/>
          <w:color w:val="000000"/>
          <w:sz w:val="20"/>
          <w:szCs w:val="20"/>
          <w:lang w:val="es-ES"/>
        </w:rPr>
        <w:t>e</w:t>
      </w:r>
      <w:r w:rsidRPr="00E86A8F">
        <w:rPr>
          <w:rFonts w:asciiTheme="majorHAnsi" w:hAnsiTheme="majorHAnsi"/>
          <w:color w:val="000000"/>
          <w:sz w:val="20"/>
          <w:szCs w:val="20"/>
          <w:lang w:val="es-ES"/>
        </w:rPr>
        <w:t>r</w:t>
      </w:r>
      <w:r w:rsidR="009E6C64" w:rsidRPr="00E86A8F">
        <w:rPr>
          <w:rFonts w:asciiTheme="majorHAnsi" w:hAnsiTheme="majorHAnsi"/>
          <w:color w:val="000000"/>
          <w:sz w:val="20"/>
          <w:szCs w:val="20"/>
          <w:lang w:val="es-ES"/>
        </w:rPr>
        <w:t>ar</w:t>
      </w:r>
      <w:r w:rsidRPr="00E86A8F">
        <w:rPr>
          <w:rFonts w:asciiTheme="majorHAnsi" w:hAnsiTheme="majorHAnsi"/>
          <w:color w:val="000000"/>
          <w:sz w:val="20"/>
          <w:szCs w:val="20"/>
          <w:lang w:val="es-ES"/>
        </w:rPr>
        <w:t xml:space="preserve"> violado su derecho a la honra. El Juzgado de Garantía de Puerto Montt, mediante un proceso simplificado, condenó a la presunta víctima por el delito de injurias graves, decretando la pena de reclusión de 300 días, una multa de 20 unidades tributarias mensuales, y la pena accesoria de suspensión de cargos públicos por el período de</w:t>
      </w:r>
      <w:r w:rsidR="00A85A16" w:rsidRPr="00E86A8F">
        <w:rPr>
          <w:rFonts w:asciiTheme="majorHAnsi" w:hAnsiTheme="majorHAnsi"/>
          <w:color w:val="000000"/>
          <w:sz w:val="20"/>
          <w:szCs w:val="20"/>
          <w:lang w:val="es-ES"/>
        </w:rPr>
        <w:t xml:space="preserve"> la condena. E</w:t>
      </w:r>
      <w:r w:rsidRPr="00E86A8F">
        <w:rPr>
          <w:rFonts w:asciiTheme="majorHAnsi" w:hAnsiTheme="majorHAnsi"/>
          <w:color w:val="000000"/>
          <w:sz w:val="20"/>
          <w:szCs w:val="20"/>
          <w:lang w:val="es-ES"/>
        </w:rPr>
        <w:t xml:space="preserve">l tribunal consideró que “los dichos del querellado no pueden considerarse como revestidos de la seriedad y razonabilidad requerida para que su derecho a informar deba prevalecer por sobre el honor del querellante”, y que el </w:t>
      </w:r>
      <w:r w:rsidR="00EC477E" w:rsidRPr="00E86A8F">
        <w:rPr>
          <w:rFonts w:asciiTheme="majorHAnsi" w:hAnsiTheme="majorHAnsi"/>
          <w:color w:val="000000"/>
          <w:sz w:val="20"/>
          <w:szCs w:val="20"/>
          <w:lang w:val="es-ES"/>
        </w:rPr>
        <w:t>señor</w:t>
      </w:r>
      <w:r w:rsidRPr="00E86A8F">
        <w:rPr>
          <w:rFonts w:asciiTheme="majorHAnsi" w:hAnsiTheme="majorHAnsi"/>
          <w:color w:val="000000"/>
          <w:sz w:val="20"/>
          <w:szCs w:val="20"/>
          <w:lang w:val="es-ES"/>
        </w:rPr>
        <w:t xml:space="preserve"> Baraona no había logrado acreditar la veracidad de sus dichos. </w:t>
      </w:r>
    </w:p>
    <w:p w14:paraId="6739F616" w14:textId="77777777" w:rsidR="005A1EEC" w:rsidRPr="00E86A8F" w:rsidRDefault="005A1EE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645BD980" w14:textId="27D47187"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color w:val="000000"/>
          <w:sz w:val="20"/>
          <w:szCs w:val="20"/>
          <w:lang w:val="es-ES"/>
        </w:rPr>
        <w:t>Los peticionarios sostuvieron que</w:t>
      </w:r>
      <w:r w:rsidR="008F4366" w:rsidRPr="00E86A8F">
        <w:rPr>
          <w:rFonts w:asciiTheme="majorHAnsi" w:hAnsiTheme="majorHAnsi"/>
          <w:color w:val="000000"/>
          <w:sz w:val="20"/>
          <w:szCs w:val="20"/>
          <w:lang w:val="es-ES"/>
        </w:rPr>
        <w:t>,</w:t>
      </w:r>
      <w:r w:rsidRPr="00E86A8F">
        <w:rPr>
          <w:rFonts w:asciiTheme="majorHAnsi" w:hAnsiTheme="majorHAnsi"/>
          <w:color w:val="000000"/>
          <w:sz w:val="20"/>
          <w:szCs w:val="20"/>
          <w:lang w:val="es-ES"/>
        </w:rPr>
        <w:t xml:space="preserve"> en el año 2006, ante nuevas declaraciones del </w:t>
      </w:r>
      <w:r w:rsidR="00EC477E" w:rsidRPr="00E86A8F">
        <w:rPr>
          <w:rFonts w:asciiTheme="majorHAnsi" w:hAnsiTheme="majorHAnsi"/>
          <w:color w:val="000000"/>
          <w:sz w:val="20"/>
          <w:szCs w:val="20"/>
          <w:lang w:val="es-ES"/>
        </w:rPr>
        <w:t>señor</w:t>
      </w:r>
      <w:r w:rsidRPr="00E86A8F">
        <w:rPr>
          <w:rFonts w:asciiTheme="majorHAnsi" w:hAnsiTheme="majorHAnsi"/>
          <w:color w:val="000000"/>
          <w:sz w:val="20"/>
          <w:szCs w:val="20"/>
          <w:lang w:val="es-ES"/>
        </w:rPr>
        <w:t xml:space="preserve"> Baraona, el ex </w:t>
      </w:r>
      <w:r w:rsidR="00486700" w:rsidRPr="00E86A8F">
        <w:rPr>
          <w:rFonts w:asciiTheme="majorHAnsi" w:hAnsiTheme="majorHAnsi"/>
          <w:color w:val="000000"/>
          <w:sz w:val="20"/>
          <w:szCs w:val="20"/>
          <w:lang w:val="es-ES"/>
        </w:rPr>
        <w:t>senador</w:t>
      </w:r>
      <w:r w:rsidRPr="00E86A8F">
        <w:rPr>
          <w:rFonts w:asciiTheme="majorHAnsi" w:hAnsiTheme="majorHAnsi"/>
          <w:color w:val="000000"/>
          <w:sz w:val="20"/>
          <w:szCs w:val="20"/>
          <w:lang w:val="es-ES"/>
        </w:rPr>
        <w:t xml:space="preserve"> Páez presentó una nueva querella criminal por el delito de injurias graves. Sin embargo, la misma fue </w:t>
      </w:r>
      <w:r w:rsidRPr="00E86A8F">
        <w:rPr>
          <w:rFonts w:asciiTheme="majorHAnsi" w:hAnsiTheme="majorHAnsi"/>
          <w:color w:val="000000"/>
          <w:sz w:val="20"/>
          <w:szCs w:val="20"/>
          <w:lang w:val="es-ES"/>
        </w:rPr>
        <w:lastRenderedPageBreak/>
        <w:t xml:space="preserve">rechazada considerando que las expresiones </w:t>
      </w:r>
      <w:r w:rsidR="00A85A16" w:rsidRPr="00E86A8F">
        <w:rPr>
          <w:rFonts w:asciiTheme="majorHAnsi" w:hAnsiTheme="majorHAnsi"/>
          <w:color w:val="000000"/>
          <w:sz w:val="20"/>
          <w:szCs w:val="20"/>
          <w:lang w:val="es-ES"/>
        </w:rPr>
        <w:t>no habían sido proferidas co</w:t>
      </w:r>
      <w:r w:rsidRPr="00E86A8F">
        <w:rPr>
          <w:rFonts w:asciiTheme="majorHAnsi" w:hAnsiTheme="majorHAnsi"/>
          <w:color w:val="000000"/>
          <w:sz w:val="20"/>
          <w:szCs w:val="20"/>
          <w:lang w:val="es-ES"/>
        </w:rPr>
        <w:t>n ánimo de injuriar, sino de contar, narrar o informar sobre un hecho histórico acontecido, y que “el control democrático, por parte de la sociedad a través de la opinión pública, fomenta la transparencia de las actividades estatales y promueve la responsabilidad de sus funcionarios sobre su gestión pública, razón por la cual se debe tener una mayor tolerancia y apertura a la crítica frente a afirmaciones y apreciaciones vertidas por las personas en el ejercicio de dicho control democrático.” El Tribunal agregó que era “importante señalar el interés o relevancia pública del caso de la tala ilegal del alerce y su tráfico”.</w:t>
      </w:r>
    </w:p>
    <w:p w14:paraId="3B137133" w14:textId="77777777" w:rsidR="005A1EEC" w:rsidRPr="00E86A8F" w:rsidRDefault="005A1EE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32B3EF19" w14:textId="4B7E8B9C"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sz w:val="20"/>
          <w:szCs w:val="20"/>
          <w:lang w:val="es-ES"/>
        </w:rPr>
        <w:t>Los peticionarios sost</w:t>
      </w:r>
      <w:r w:rsidR="00354927" w:rsidRPr="00E86A8F">
        <w:rPr>
          <w:rFonts w:asciiTheme="majorHAnsi" w:hAnsiTheme="majorHAnsi"/>
          <w:sz w:val="20"/>
          <w:szCs w:val="20"/>
          <w:lang w:val="es-ES"/>
        </w:rPr>
        <w:t>uvieron</w:t>
      </w:r>
      <w:r w:rsidRPr="00E86A8F">
        <w:rPr>
          <w:rFonts w:asciiTheme="majorHAnsi" w:hAnsiTheme="majorHAnsi"/>
          <w:sz w:val="20"/>
          <w:szCs w:val="20"/>
          <w:lang w:val="es-ES"/>
        </w:rPr>
        <w:t xml:space="preserve"> que e</w:t>
      </w:r>
      <w:r w:rsidR="00354927" w:rsidRPr="00E86A8F">
        <w:rPr>
          <w:rFonts w:asciiTheme="majorHAnsi" w:hAnsiTheme="majorHAnsi"/>
          <w:sz w:val="20"/>
          <w:szCs w:val="20"/>
          <w:lang w:val="es-ES"/>
        </w:rPr>
        <w:t>ra</w:t>
      </w:r>
      <w:r w:rsidRPr="00E86A8F">
        <w:rPr>
          <w:rFonts w:asciiTheme="majorHAnsi" w:hAnsiTheme="majorHAnsi"/>
          <w:sz w:val="20"/>
          <w:szCs w:val="20"/>
          <w:lang w:val="es-ES"/>
        </w:rPr>
        <w:t xml:space="preserve"> necesario analizar las expresiones proferidas por el </w:t>
      </w:r>
      <w:r w:rsidR="00EC477E" w:rsidRPr="00E86A8F">
        <w:rPr>
          <w:rFonts w:asciiTheme="majorHAnsi" w:hAnsiTheme="majorHAnsi"/>
          <w:sz w:val="20"/>
          <w:szCs w:val="20"/>
          <w:lang w:val="es-ES"/>
        </w:rPr>
        <w:t>señor</w:t>
      </w:r>
      <w:r w:rsidRPr="00E86A8F">
        <w:rPr>
          <w:rFonts w:asciiTheme="majorHAnsi" w:hAnsiTheme="majorHAnsi"/>
          <w:sz w:val="20"/>
          <w:szCs w:val="20"/>
          <w:lang w:val="es-ES"/>
        </w:rPr>
        <w:t xml:space="preserve"> Baraona dentro del contexto en el que se emitieron, es decir, en </w:t>
      </w:r>
      <w:r w:rsidR="002F0E76" w:rsidRPr="00E86A8F">
        <w:rPr>
          <w:rFonts w:asciiTheme="majorHAnsi" w:hAnsiTheme="majorHAnsi"/>
          <w:sz w:val="20"/>
          <w:szCs w:val="20"/>
          <w:lang w:val="es-ES"/>
        </w:rPr>
        <w:t xml:space="preserve">el </w:t>
      </w:r>
      <w:r w:rsidRPr="00E86A8F">
        <w:rPr>
          <w:rFonts w:asciiTheme="majorHAnsi" w:hAnsiTheme="majorHAnsi"/>
          <w:sz w:val="20"/>
          <w:szCs w:val="20"/>
          <w:lang w:val="es-ES"/>
        </w:rPr>
        <w:t xml:space="preserve">marco </w:t>
      </w:r>
      <w:r w:rsidR="002F0E76" w:rsidRPr="00E86A8F">
        <w:rPr>
          <w:rFonts w:asciiTheme="majorHAnsi" w:hAnsiTheme="majorHAnsi"/>
          <w:sz w:val="20"/>
          <w:szCs w:val="20"/>
          <w:lang w:val="es-ES"/>
        </w:rPr>
        <w:t>de un debate de interés público</w:t>
      </w:r>
      <w:r w:rsidR="00C22D91" w:rsidRPr="00E86A8F">
        <w:rPr>
          <w:rFonts w:asciiTheme="majorHAnsi" w:hAnsiTheme="majorHAnsi"/>
          <w:sz w:val="20"/>
          <w:szCs w:val="20"/>
          <w:lang w:val="es-ES"/>
        </w:rPr>
        <w:t>, dado que la tala ilegal de alerce constitu</w:t>
      </w:r>
      <w:r w:rsidR="00AF2A51" w:rsidRPr="00E86A8F">
        <w:rPr>
          <w:rFonts w:asciiTheme="majorHAnsi" w:hAnsiTheme="majorHAnsi"/>
          <w:sz w:val="20"/>
          <w:szCs w:val="20"/>
          <w:lang w:val="es-ES"/>
        </w:rPr>
        <w:t>ía,</w:t>
      </w:r>
      <w:r w:rsidR="00C22D91" w:rsidRPr="00E86A8F">
        <w:rPr>
          <w:rFonts w:asciiTheme="majorHAnsi" w:hAnsiTheme="majorHAnsi"/>
          <w:sz w:val="20"/>
          <w:szCs w:val="20"/>
          <w:lang w:val="es-ES"/>
        </w:rPr>
        <w:t xml:space="preserve"> hac</w:t>
      </w:r>
      <w:r w:rsidR="00AF2A51" w:rsidRPr="00E86A8F">
        <w:rPr>
          <w:rFonts w:asciiTheme="majorHAnsi" w:hAnsiTheme="majorHAnsi"/>
          <w:sz w:val="20"/>
          <w:szCs w:val="20"/>
          <w:lang w:val="es-ES"/>
        </w:rPr>
        <w:t>ía</w:t>
      </w:r>
      <w:r w:rsidR="00C22D91" w:rsidRPr="00E86A8F">
        <w:rPr>
          <w:rFonts w:asciiTheme="majorHAnsi" w:hAnsiTheme="majorHAnsi"/>
          <w:sz w:val="20"/>
          <w:szCs w:val="20"/>
          <w:lang w:val="es-ES"/>
        </w:rPr>
        <w:t xml:space="preserve"> varios años</w:t>
      </w:r>
      <w:r w:rsidR="00AF2A51" w:rsidRPr="00E86A8F">
        <w:rPr>
          <w:rFonts w:asciiTheme="majorHAnsi" w:hAnsiTheme="majorHAnsi"/>
          <w:sz w:val="20"/>
          <w:szCs w:val="20"/>
          <w:lang w:val="es-ES"/>
        </w:rPr>
        <w:t>,</w:t>
      </w:r>
      <w:r w:rsidR="00C22D91" w:rsidRPr="00E86A8F">
        <w:rPr>
          <w:rFonts w:asciiTheme="majorHAnsi" w:hAnsiTheme="majorHAnsi"/>
          <w:sz w:val="20"/>
          <w:szCs w:val="20"/>
          <w:lang w:val="es-ES"/>
        </w:rPr>
        <w:t xml:space="preserve"> un tema de mucha preocupación pública en Chile, y el papel que un </w:t>
      </w:r>
      <w:r w:rsidR="00486700" w:rsidRPr="00E86A8F">
        <w:rPr>
          <w:rFonts w:asciiTheme="majorHAnsi" w:hAnsiTheme="majorHAnsi"/>
          <w:sz w:val="20"/>
          <w:szCs w:val="20"/>
          <w:lang w:val="es-ES"/>
        </w:rPr>
        <w:t>senador</w:t>
      </w:r>
      <w:r w:rsidR="00C22D91" w:rsidRPr="00E86A8F">
        <w:rPr>
          <w:rFonts w:asciiTheme="majorHAnsi" w:hAnsiTheme="majorHAnsi"/>
          <w:sz w:val="20"/>
          <w:szCs w:val="20"/>
          <w:lang w:val="es-ES"/>
        </w:rPr>
        <w:t xml:space="preserve"> de la República p</w:t>
      </w:r>
      <w:r w:rsidR="00AF2A51" w:rsidRPr="00E86A8F">
        <w:rPr>
          <w:rFonts w:asciiTheme="majorHAnsi" w:hAnsiTheme="majorHAnsi"/>
          <w:sz w:val="20"/>
          <w:szCs w:val="20"/>
          <w:lang w:val="es-ES"/>
        </w:rPr>
        <w:t>odía</w:t>
      </w:r>
      <w:r w:rsidR="00C22D91" w:rsidRPr="00E86A8F">
        <w:rPr>
          <w:rFonts w:asciiTheme="majorHAnsi" w:hAnsiTheme="majorHAnsi"/>
          <w:sz w:val="20"/>
          <w:szCs w:val="20"/>
          <w:lang w:val="es-ES"/>
        </w:rPr>
        <w:t xml:space="preserve"> desempeñar al respecto</w:t>
      </w:r>
      <w:r w:rsidR="00AF2A51" w:rsidRPr="00E86A8F">
        <w:rPr>
          <w:rFonts w:asciiTheme="majorHAnsi" w:hAnsiTheme="majorHAnsi"/>
          <w:sz w:val="20"/>
          <w:szCs w:val="20"/>
          <w:lang w:val="es-ES"/>
        </w:rPr>
        <w:t>,</w:t>
      </w:r>
      <w:r w:rsidR="00C22D91" w:rsidRPr="00E86A8F">
        <w:rPr>
          <w:rFonts w:asciiTheme="majorHAnsi" w:hAnsiTheme="majorHAnsi"/>
          <w:sz w:val="20"/>
          <w:szCs w:val="20"/>
          <w:lang w:val="es-ES"/>
        </w:rPr>
        <w:t xml:space="preserve"> resulta</w:t>
      </w:r>
      <w:r w:rsidR="00AF2A51" w:rsidRPr="00E86A8F">
        <w:rPr>
          <w:rFonts w:asciiTheme="majorHAnsi" w:hAnsiTheme="majorHAnsi"/>
          <w:sz w:val="20"/>
          <w:szCs w:val="20"/>
          <w:lang w:val="es-ES"/>
        </w:rPr>
        <w:t>ba</w:t>
      </w:r>
      <w:r w:rsidR="007A29EA" w:rsidRPr="00E86A8F">
        <w:rPr>
          <w:rFonts w:asciiTheme="majorHAnsi" w:hAnsiTheme="majorHAnsi"/>
          <w:sz w:val="20"/>
          <w:szCs w:val="20"/>
          <w:lang w:val="es-ES"/>
        </w:rPr>
        <w:t xml:space="preserve"> </w:t>
      </w:r>
      <w:r w:rsidR="00C22D91" w:rsidRPr="00E86A8F">
        <w:rPr>
          <w:rFonts w:asciiTheme="majorHAnsi" w:hAnsiTheme="majorHAnsi"/>
          <w:sz w:val="20"/>
          <w:szCs w:val="20"/>
          <w:lang w:val="es-ES"/>
        </w:rPr>
        <w:t>relevante para la sociedad chilena</w:t>
      </w:r>
      <w:r w:rsidR="007A29EA" w:rsidRPr="00E86A8F">
        <w:rPr>
          <w:rFonts w:asciiTheme="majorHAnsi" w:hAnsiTheme="majorHAnsi"/>
          <w:sz w:val="20"/>
          <w:szCs w:val="20"/>
          <w:lang w:val="es-ES"/>
        </w:rPr>
        <w:t>.</w:t>
      </w:r>
      <w:r w:rsidR="00E2590C" w:rsidRPr="00E86A8F">
        <w:rPr>
          <w:rFonts w:asciiTheme="majorHAnsi" w:hAnsiTheme="majorHAnsi"/>
          <w:sz w:val="20"/>
          <w:szCs w:val="20"/>
          <w:lang w:val="es-ES"/>
        </w:rPr>
        <w:t xml:space="preserve"> </w:t>
      </w:r>
      <w:r w:rsidRPr="00E86A8F">
        <w:rPr>
          <w:rFonts w:asciiTheme="majorHAnsi" w:hAnsiTheme="majorHAnsi"/>
          <w:sz w:val="20"/>
          <w:szCs w:val="20"/>
          <w:lang w:val="es-ES"/>
        </w:rPr>
        <w:t>Indicaron que se trata</w:t>
      </w:r>
      <w:r w:rsidR="00C344D1" w:rsidRPr="00E86A8F">
        <w:rPr>
          <w:rFonts w:asciiTheme="majorHAnsi" w:hAnsiTheme="majorHAnsi"/>
          <w:sz w:val="20"/>
          <w:szCs w:val="20"/>
          <w:lang w:val="es-ES"/>
        </w:rPr>
        <w:t>ba</w:t>
      </w:r>
      <w:r w:rsidRPr="00E86A8F">
        <w:rPr>
          <w:rFonts w:asciiTheme="majorHAnsi" w:hAnsiTheme="majorHAnsi"/>
          <w:sz w:val="20"/>
          <w:szCs w:val="20"/>
          <w:lang w:val="es-ES"/>
        </w:rPr>
        <w:t xml:space="preserve"> de opiniones y expresiones </w:t>
      </w:r>
      <w:r w:rsidR="00C344D1" w:rsidRPr="00E86A8F">
        <w:rPr>
          <w:rFonts w:asciiTheme="majorHAnsi" w:hAnsiTheme="majorHAnsi"/>
          <w:sz w:val="20"/>
          <w:szCs w:val="20"/>
          <w:lang w:val="es-ES"/>
        </w:rPr>
        <w:t xml:space="preserve">relacionadas </w:t>
      </w:r>
      <w:r w:rsidR="007C6457" w:rsidRPr="00E86A8F">
        <w:rPr>
          <w:rFonts w:asciiTheme="majorHAnsi" w:hAnsiTheme="majorHAnsi"/>
          <w:sz w:val="20"/>
          <w:szCs w:val="20"/>
          <w:lang w:val="es-ES"/>
        </w:rPr>
        <w:t>directamente</w:t>
      </w:r>
      <w:r w:rsidR="00C344D1" w:rsidRPr="00E86A8F">
        <w:rPr>
          <w:rFonts w:asciiTheme="majorHAnsi" w:hAnsiTheme="majorHAnsi"/>
          <w:sz w:val="20"/>
          <w:szCs w:val="20"/>
          <w:lang w:val="es-ES"/>
        </w:rPr>
        <w:t xml:space="preserve"> </w:t>
      </w:r>
      <w:r w:rsidRPr="00E86A8F">
        <w:rPr>
          <w:rFonts w:asciiTheme="majorHAnsi" w:hAnsiTheme="majorHAnsi"/>
          <w:sz w:val="20"/>
          <w:szCs w:val="20"/>
          <w:lang w:val="es-ES"/>
        </w:rPr>
        <w:t xml:space="preserve">con la adecuada administración, la probidad de funcionarios públicos y el debido respeto a la ley y los derechos de las personas. Por lo tanto, concluyeron que la condena por el delito de injurias </w:t>
      </w:r>
      <w:r w:rsidR="007C6457" w:rsidRPr="00E86A8F">
        <w:rPr>
          <w:rFonts w:asciiTheme="majorHAnsi" w:hAnsiTheme="majorHAnsi"/>
          <w:sz w:val="20"/>
          <w:szCs w:val="20"/>
          <w:lang w:val="es-ES"/>
        </w:rPr>
        <w:t xml:space="preserve">graves contra Carlos Baraona, </w:t>
      </w:r>
      <w:r w:rsidRPr="00E86A8F">
        <w:rPr>
          <w:rFonts w:asciiTheme="majorHAnsi" w:hAnsiTheme="majorHAnsi"/>
          <w:sz w:val="20"/>
          <w:szCs w:val="20"/>
          <w:lang w:val="es-ES"/>
        </w:rPr>
        <w:t>configur</w:t>
      </w:r>
      <w:r w:rsidR="00D65967" w:rsidRPr="00E86A8F">
        <w:rPr>
          <w:rFonts w:asciiTheme="majorHAnsi" w:hAnsiTheme="majorHAnsi"/>
          <w:sz w:val="20"/>
          <w:szCs w:val="20"/>
          <w:lang w:val="es-ES"/>
        </w:rPr>
        <w:t>ó</w:t>
      </w:r>
      <w:r w:rsidRPr="00E86A8F">
        <w:rPr>
          <w:rFonts w:asciiTheme="majorHAnsi" w:hAnsiTheme="majorHAnsi"/>
          <w:sz w:val="20"/>
          <w:szCs w:val="20"/>
          <w:lang w:val="es-ES"/>
        </w:rPr>
        <w:t xml:space="preserve"> una restricción ilegítima a la libertad de expresión, ya que se imp</w:t>
      </w:r>
      <w:r w:rsidR="00111B07" w:rsidRPr="00E86A8F">
        <w:rPr>
          <w:rFonts w:asciiTheme="majorHAnsi" w:hAnsiTheme="majorHAnsi"/>
          <w:sz w:val="20"/>
          <w:szCs w:val="20"/>
          <w:lang w:val="es-ES"/>
        </w:rPr>
        <w:t>uso</w:t>
      </w:r>
      <w:r w:rsidRPr="00E86A8F">
        <w:rPr>
          <w:rFonts w:asciiTheme="majorHAnsi" w:hAnsiTheme="majorHAnsi"/>
          <w:sz w:val="20"/>
          <w:szCs w:val="20"/>
          <w:lang w:val="es-ES"/>
        </w:rPr>
        <w:t xml:space="preserve"> la supuesta protec</w:t>
      </w:r>
      <w:r w:rsidR="00A85A16" w:rsidRPr="00E86A8F">
        <w:rPr>
          <w:rFonts w:asciiTheme="majorHAnsi" w:hAnsiTheme="majorHAnsi"/>
          <w:sz w:val="20"/>
          <w:szCs w:val="20"/>
          <w:lang w:val="es-ES"/>
        </w:rPr>
        <w:t xml:space="preserve">ción al honor o reputación del </w:t>
      </w:r>
      <w:r w:rsidR="00486700" w:rsidRPr="00E86A8F">
        <w:rPr>
          <w:rFonts w:asciiTheme="majorHAnsi" w:hAnsiTheme="majorHAnsi"/>
          <w:sz w:val="20"/>
          <w:szCs w:val="20"/>
          <w:lang w:val="es-ES"/>
        </w:rPr>
        <w:t>senador</w:t>
      </w:r>
      <w:r w:rsidRPr="00E86A8F">
        <w:rPr>
          <w:rFonts w:asciiTheme="majorHAnsi" w:hAnsiTheme="majorHAnsi"/>
          <w:sz w:val="20"/>
          <w:szCs w:val="20"/>
          <w:lang w:val="es-ES"/>
        </w:rPr>
        <w:t xml:space="preserve"> por sobre la emisión de declaraciones r</w:t>
      </w:r>
      <w:r w:rsidR="00A85A16" w:rsidRPr="00E86A8F">
        <w:rPr>
          <w:rFonts w:asciiTheme="majorHAnsi" w:hAnsiTheme="majorHAnsi"/>
          <w:sz w:val="20"/>
          <w:szCs w:val="20"/>
          <w:lang w:val="es-ES"/>
        </w:rPr>
        <w:t>especto de temas en donde existía</w:t>
      </w:r>
      <w:r w:rsidRPr="00E86A8F">
        <w:rPr>
          <w:rFonts w:asciiTheme="majorHAnsi" w:hAnsiTheme="majorHAnsi"/>
          <w:sz w:val="20"/>
          <w:szCs w:val="20"/>
          <w:lang w:val="es-ES"/>
        </w:rPr>
        <w:t xml:space="preserve"> un fuerte interés público comprometido.</w:t>
      </w:r>
      <w:r w:rsidR="00D65967" w:rsidRPr="00E86A8F">
        <w:rPr>
          <w:rFonts w:asciiTheme="majorHAnsi" w:hAnsiTheme="majorHAnsi"/>
          <w:sz w:val="20"/>
          <w:szCs w:val="20"/>
          <w:lang w:val="es-ES"/>
        </w:rPr>
        <w:t xml:space="preserve"> </w:t>
      </w:r>
    </w:p>
    <w:p w14:paraId="06D7B37F" w14:textId="77777777" w:rsidR="005A1EEC" w:rsidRPr="00E86A8F" w:rsidRDefault="005A1EE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5D8F9945" w14:textId="3FFF46D7"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sz w:val="20"/>
          <w:szCs w:val="20"/>
          <w:lang w:val="es-ES"/>
        </w:rPr>
        <w:t xml:space="preserve">Los peticionarios destacaron que </w:t>
      </w:r>
      <w:r w:rsidRPr="00E86A8F">
        <w:rPr>
          <w:rFonts w:asciiTheme="majorHAnsi" w:hAnsiTheme="majorHAnsi"/>
          <w:color w:val="000000"/>
          <w:sz w:val="20"/>
          <w:szCs w:val="20"/>
          <w:lang w:val="es-ES"/>
        </w:rPr>
        <w:t>l</w:t>
      </w:r>
      <w:r w:rsidRPr="00E86A8F">
        <w:rPr>
          <w:rFonts w:asciiTheme="majorHAnsi" w:hAnsiTheme="majorHAnsi"/>
          <w:sz w:val="20"/>
          <w:szCs w:val="20"/>
          <w:lang w:val="es-ES"/>
        </w:rPr>
        <w:t xml:space="preserve">as declaraciones efectuadas se referían a actividades realizadas por el </w:t>
      </w:r>
      <w:r w:rsidR="00EC477E" w:rsidRPr="00E86A8F">
        <w:rPr>
          <w:rFonts w:asciiTheme="majorHAnsi" w:hAnsiTheme="majorHAnsi"/>
          <w:sz w:val="20"/>
          <w:szCs w:val="20"/>
          <w:lang w:val="es-ES"/>
        </w:rPr>
        <w:t>señor</w:t>
      </w:r>
      <w:r w:rsidRPr="00E86A8F">
        <w:rPr>
          <w:rFonts w:asciiTheme="majorHAnsi" w:hAnsiTheme="majorHAnsi"/>
          <w:sz w:val="20"/>
          <w:szCs w:val="20"/>
          <w:lang w:val="es-ES"/>
        </w:rPr>
        <w:t xml:space="preserve"> Páez dentro del contexto del ejercicio de su cargo de </w:t>
      </w:r>
      <w:r w:rsidR="00486700" w:rsidRPr="00E86A8F">
        <w:rPr>
          <w:rFonts w:asciiTheme="majorHAnsi" w:hAnsiTheme="majorHAnsi"/>
          <w:sz w:val="20"/>
          <w:szCs w:val="20"/>
          <w:lang w:val="es-ES"/>
        </w:rPr>
        <w:t>senador</w:t>
      </w:r>
      <w:r w:rsidRPr="00E86A8F">
        <w:rPr>
          <w:rFonts w:asciiTheme="majorHAnsi" w:hAnsiTheme="majorHAnsi"/>
          <w:sz w:val="20"/>
          <w:szCs w:val="20"/>
          <w:lang w:val="es-ES"/>
        </w:rPr>
        <w:t xml:space="preserve"> de la República y la utilización de prerrogativas y facultades derivadas del mismo, y que ello implica</w:t>
      </w:r>
      <w:r w:rsidR="00510338" w:rsidRPr="00E86A8F">
        <w:rPr>
          <w:rFonts w:asciiTheme="majorHAnsi" w:hAnsiTheme="majorHAnsi"/>
          <w:sz w:val="20"/>
          <w:szCs w:val="20"/>
          <w:lang w:val="es-ES"/>
        </w:rPr>
        <w:t>ba</w:t>
      </w:r>
      <w:r w:rsidRPr="00E86A8F">
        <w:rPr>
          <w:rFonts w:asciiTheme="majorHAnsi" w:hAnsiTheme="majorHAnsi"/>
          <w:sz w:val="20"/>
          <w:szCs w:val="20"/>
          <w:lang w:val="es-ES"/>
        </w:rPr>
        <w:t xml:space="preserve"> que la tolerancia respecto de la difusión de información relevante que pu</w:t>
      </w:r>
      <w:r w:rsidR="00510338" w:rsidRPr="00E86A8F">
        <w:rPr>
          <w:rFonts w:asciiTheme="majorHAnsi" w:hAnsiTheme="majorHAnsi"/>
          <w:sz w:val="20"/>
          <w:szCs w:val="20"/>
          <w:lang w:val="es-ES"/>
        </w:rPr>
        <w:t>diera</w:t>
      </w:r>
      <w:r w:rsidRPr="00E86A8F">
        <w:rPr>
          <w:rFonts w:asciiTheme="majorHAnsi" w:hAnsiTheme="majorHAnsi"/>
          <w:sz w:val="20"/>
          <w:szCs w:val="20"/>
          <w:lang w:val="es-ES"/>
        </w:rPr>
        <w:t xml:space="preserve"> afectar su honor</w:t>
      </w:r>
      <w:r w:rsidR="00510338" w:rsidRPr="00E86A8F">
        <w:rPr>
          <w:rFonts w:asciiTheme="majorHAnsi" w:hAnsiTheme="majorHAnsi"/>
          <w:sz w:val="20"/>
          <w:szCs w:val="20"/>
          <w:lang w:val="es-ES"/>
        </w:rPr>
        <w:t>,</w:t>
      </w:r>
      <w:r w:rsidRPr="00E86A8F">
        <w:rPr>
          <w:rFonts w:asciiTheme="majorHAnsi" w:hAnsiTheme="majorHAnsi"/>
          <w:sz w:val="20"/>
          <w:szCs w:val="20"/>
          <w:lang w:val="es-ES"/>
        </w:rPr>
        <w:t xml:space="preserve"> deb</w:t>
      </w:r>
      <w:r w:rsidR="00510338" w:rsidRPr="00E86A8F">
        <w:rPr>
          <w:rFonts w:asciiTheme="majorHAnsi" w:hAnsiTheme="majorHAnsi"/>
          <w:sz w:val="20"/>
          <w:szCs w:val="20"/>
          <w:lang w:val="es-ES"/>
        </w:rPr>
        <w:t>ía</w:t>
      </w:r>
      <w:r w:rsidRPr="00E86A8F">
        <w:rPr>
          <w:rFonts w:asciiTheme="majorHAnsi" w:hAnsiTheme="majorHAnsi"/>
          <w:sz w:val="20"/>
          <w:szCs w:val="20"/>
          <w:lang w:val="es-ES"/>
        </w:rPr>
        <w:t xml:space="preserve"> ser mayor.</w:t>
      </w:r>
      <w:r w:rsidR="00943A55" w:rsidRPr="00E86A8F">
        <w:rPr>
          <w:rFonts w:asciiTheme="majorHAnsi" w:hAnsiTheme="majorHAnsi"/>
          <w:sz w:val="20"/>
          <w:szCs w:val="20"/>
          <w:lang w:val="es-ES"/>
        </w:rPr>
        <w:t xml:space="preserve"> </w:t>
      </w:r>
      <w:r w:rsidR="00D209E6" w:rsidRPr="00E86A8F">
        <w:rPr>
          <w:rFonts w:asciiTheme="majorHAnsi" w:hAnsiTheme="majorHAnsi"/>
          <w:sz w:val="20"/>
          <w:szCs w:val="20"/>
          <w:lang w:val="es-ES"/>
        </w:rPr>
        <w:t>R</w:t>
      </w:r>
      <w:r w:rsidRPr="00E86A8F">
        <w:rPr>
          <w:rFonts w:asciiTheme="majorHAnsi" w:hAnsiTheme="majorHAnsi"/>
          <w:sz w:val="20"/>
          <w:szCs w:val="20"/>
          <w:lang w:val="es-ES"/>
        </w:rPr>
        <w:t xml:space="preserve">esaltaron </w:t>
      </w:r>
      <w:r w:rsidR="00943A55" w:rsidRPr="00E86A8F">
        <w:rPr>
          <w:rFonts w:asciiTheme="majorHAnsi" w:hAnsiTheme="majorHAnsi"/>
          <w:sz w:val="20"/>
          <w:szCs w:val="20"/>
          <w:lang w:val="es-ES"/>
        </w:rPr>
        <w:t>que los</w:t>
      </w:r>
      <w:r w:rsidRPr="00E86A8F">
        <w:rPr>
          <w:rFonts w:asciiTheme="majorHAnsi" w:hAnsiTheme="majorHAnsi"/>
          <w:sz w:val="20"/>
          <w:szCs w:val="20"/>
          <w:lang w:val="es-ES"/>
        </w:rPr>
        <w:t xml:space="preserve"> límites de la crítica aceptable </w:t>
      </w:r>
      <w:r w:rsidR="00D209E6" w:rsidRPr="00E86A8F">
        <w:rPr>
          <w:rFonts w:asciiTheme="majorHAnsi" w:hAnsiTheme="majorHAnsi"/>
          <w:sz w:val="20"/>
          <w:szCs w:val="20"/>
          <w:lang w:val="es-ES"/>
        </w:rPr>
        <w:t>eran</w:t>
      </w:r>
      <w:r w:rsidRPr="00E86A8F">
        <w:rPr>
          <w:rFonts w:asciiTheme="majorHAnsi" w:hAnsiTheme="majorHAnsi"/>
          <w:sz w:val="20"/>
          <w:szCs w:val="20"/>
          <w:lang w:val="es-ES"/>
        </w:rPr>
        <w:t xml:space="preserve"> más amplios cuando se </w:t>
      </w:r>
      <w:r w:rsidR="00D209E6" w:rsidRPr="00E86A8F">
        <w:rPr>
          <w:rFonts w:asciiTheme="majorHAnsi" w:hAnsiTheme="majorHAnsi"/>
          <w:sz w:val="20"/>
          <w:szCs w:val="20"/>
          <w:lang w:val="es-ES"/>
        </w:rPr>
        <w:t>trataba</w:t>
      </w:r>
      <w:r w:rsidRPr="00E86A8F">
        <w:rPr>
          <w:rFonts w:asciiTheme="majorHAnsi" w:hAnsiTheme="majorHAnsi"/>
          <w:sz w:val="20"/>
          <w:szCs w:val="20"/>
          <w:lang w:val="es-ES"/>
        </w:rPr>
        <w:t xml:space="preserve"> de </w:t>
      </w:r>
      <w:r w:rsidR="00097FC4" w:rsidRPr="00E86A8F">
        <w:rPr>
          <w:rFonts w:asciiTheme="majorHAnsi" w:hAnsiTheme="majorHAnsi"/>
          <w:sz w:val="20"/>
          <w:szCs w:val="20"/>
          <w:lang w:val="es-ES"/>
        </w:rPr>
        <w:t xml:space="preserve">temas </w:t>
      </w:r>
      <w:r w:rsidRPr="00E86A8F">
        <w:rPr>
          <w:rFonts w:asciiTheme="majorHAnsi" w:hAnsiTheme="majorHAnsi"/>
          <w:sz w:val="20"/>
          <w:szCs w:val="20"/>
          <w:lang w:val="es-ES"/>
        </w:rPr>
        <w:t xml:space="preserve">de interés público, </w:t>
      </w:r>
      <w:r w:rsidR="00097FC4" w:rsidRPr="00E86A8F">
        <w:rPr>
          <w:rFonts w:asciiTheme="majorHAnsi" w:hAnsiTheme="majorHAnsi"/>
          <w:sz w:val="20"/>
          <w:szCs w:val="20"/>
          <w:lang w:val="es-ES"/>
        </w:rPr>
        <w:t>por lo que</w:t>
      </w:r>
      <w:r w:rsidR="0012236B" w:rsidRPr="00E86A8F">
        <w:rPr>
          <w:rFonts w:asciiTheme="majorHAnsi" w:hAnsiTheme="majorHAnsi"/>
          <w:sz w:val="20"/>
          <w:szCs w:val="20"/>
          <w:lang w:val="es-ES"/>
        </w:rPr>
        <w:t xml:space="preserve"> era</w:t>
      </w:r>
      <w:r w:rsidRPr="00E86A8F">
        <w:rPr>
          <w:rFonts w:asciiTheme="majorHAnsi" w:hAnsiTheme="majorHAnsi"/>
          <w:sz w:val="20"/>
          <w:szCs w:val="20"/>
          <w:lang w:val="es-ES"/>
        </w:rPr>
        <w:t xml:space="preserve"> necesario evaluar los dichos del </w:t>
      </w:r>
      <w:r w:rsidR="00EC477E" w:rsidRPr="00E86A8F">
        <w:rPr>
          <w:rFonts w:asciiTheme="majorHAnsi" w:hAnsiTheme="majorHAnsi"/>
          <w:sz w:val="20"/>
          <w:szCs w:val="20"/>
          <w:lang w:val="es-ES"/>
        </w:rPr>
        <w:t>señor</w:t>
      </w:r>
      <w:r w:rsidRPr="00E86A8F">
        <w:rPr>
          <w:rFonts w:asciiTheme="majorHAnsi" w:hAnsiTheme="majorHAnsi"/>
          <w:sz w:val="20"/>
          <w:szCs w:val="20"/>
          <w:lang w:val="es-ES"/>
        </w:rPr>
        <w:t xml:space="preserve"> Baraona con un umbral diferente de protección. </w:t>
      </w:r>
    </w:p>
    <w:p w14:paraId="02107648" w14:textId="77777777" w:rsidR="005A1EEC" w:rsidRPr="00E86A8F" w:rsidRDefault="005A1EE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68F7C65A" w14:textId="1A15A564"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sz w:val="20"/>
          <w:szCs w:val="20"/>
          <w:lang w:val="es-ES"/>
        </w:rPr>
        <w:t xml:space="preserve">Los peticionarios alegaron que los tribunales debieron </w:t>
      </w:r>
      <w:r w:rsidR="00BE650A" w:rsidRPr="00E86A8F">
        <w:rPr>
          <w:rFonts w:asciiTheme="majorHAnsi" w:hAnsiTheme="majorHAnsi"/>
          <w:sz w:val="20"/>
          <w:szCs w:val="20"/>
          <w:lang w:val="es-ES"/>
        </w:rPr>
        <w:t>aplicar</w:t>
      </w:r>
      <w:r w:rsidRPr="00E86A8F">
        <w:rPr>
          <w:rFonts w:asciiTheme="majorHAnsi" w:hAnsiTheme="majorHAnsi"/>
          <w:sz w:val="20"/>
          <w:szCs w:val="20"/>
          <w:lang w:val="es-ES"/>
        </w:rPr>
        <w:t xml:space="preserve"> el estándar de la real malicia en el presente caso, entendiendo que debieron analizar si el autor de la información era consciente de que la misma era falsa o si actuó con temeraria despreocupación sobre la verdad o falsedad de dicha información.</w:t>
      </w:r>
      <w:r w:rsidR="00F35591" w:rsidRPr="00E86A8F">
        <w:rPr>
          <w:rFonts w:asciiTheme="majorHAnsi" w:hAnsiTheme="majorHAnsi"/>
          <w:sz w:val="20"/>
          <w:szCs w:val="20"/>
          <w:lang w:val="es-ES"/>
        </w:rPr>
        <w:t xml:space="preserve"> </w:t>
      </w:r>
      <w:r w:rsidRPr="00E86A8F">
        <w:rPr>
          <w:rFonts w:asciiTheme="majorHAnsi" w:hAnsiTheme="majorHAnsi"/>
          <w:sz w:val="20"/>
          <w:szCs w:val="20"/>
          <w:lang w:val="es-ES"/>
        </w:rPr>
        <w:t xml:space="preserve">Consideraron, además, que, si bien el peso de la prueba debería haber caído en el </w:t>
      </w:r>
      <w:r w:rsidR="00486700" w:rsidRPr="00E86A8F">
        <w:rPr>
          <w:rFonts w:asciiTheme="majorHAnsi" w:hAnsiTheme="majorHAnsi"/>
          <w:sz w:val="20"/>
          <w:szCs w:val="20"/>
          <w:lang w:val="es-ES"/>
        </w:rPr>
        <w:t>senador</w:t>
      </w:r>
      <w:r w:rsidRPr="00E86A8F">
        <w:rPr>
          <w:rFonts w:asciiTheme="majorHAnsi" w:hAnsiTheme="majorHAnsi"/>
          <w:sz w:val="20"/>
          <w:szCs w:val="20"/>
          <w:lang w:val="es-ES"/>
        </w:rPr>
        <w:t xml:space="preserve"> Páez, e</w:t>
      </w:r>
      <w:r w:rsidR="003435AA" w:rsidRPr="00E86A8F">
        <w:rPr>
          <w:rFonts w:asciiTheme="majorHAnsi" w:hAnsiTheme="majorHAnsi"/>
          <w:sz w:val="20"/>
          <w:szCs w:val="20"/>
          <w:lang w:val="es-ES"/>
        </w:rPr>
        <w:t>ste</w:t>
      </w:r>
      <w:r w:rsidRPr="00E86A8F">
        <w:rPr>
          <w:rFonts w:asciiTheme="majorHAnsi" w:hAnsiTheme="majorHAnsi"/>
          <w:sz w:val="20"/>
          <w:szCs w:val="20"/>
          <w:lang w:val="es-ES"/>
        </w:rPr>
        <w:t xml:space="preserve"> no presentó pruebas dirigidas a acreditar una real malicia por parte del </w:t>
      </w:r>
      <w:r w:rsidR="00EC477E" w:rsidRPr="00E86A8F">
        <w:rPr>
          <w:rFonts w:asciiTheme="majorHAnsi" w:hAnsiTheme="majorHAnsi"/>
          <w:sz w:val="20"/>
          <w:szCs w:val="20"/>
          <w:lang w:val="es-ES"/>
        </w:rPr>
        <w:t>señor</w:t>
      </w:r>
      <w:r w:rsidRPr="00E86A8F">
        <w:rPr>
          <w:rFonts w:asciiTheme="majorHAnsi" w:hAnsiTheme="majorHAnsi"/>
          <w:sz w:val="20"/>
          <w:szCs w:val="20"/>
          <w:lang w:val="es-ES"/>
        </w:rPr>
        <w:t xml:space="preserve"> Baraona. Agregaron que el derecho a la libertad de expresión también proteg</w:t>
      </w:r>
      <w:r w:rsidR="003435AA" w:rsidRPr="00E86A8F">
        <w:rPr>
          <w:rFonts w:asciiTheme="majorHAnsi" w:hAnsiTheme="majorHAnsi"/>
          <w:sz w:val="20"/>
          <w:szCs w:val="20"/>
          <w:lang w:val="es-ES"/>
        </w:rPr>
        <w:t>ía</w:t>
      </w:r>
      <w:r w:rsidRPr="00E86A8F">
        <w:rPr>
          <w:rFonts w:asciiTheme="majorHAnsi" w:hAnsiTheme="majorHAnsi"/>
          <w:sz w:val="20"/>
          <w:szCs w:val="20"/>
          <w:lang w:val="es-ES"/>
        </w:rPr>
        <w:t xml:space="preserve"> información que p</w:t>
      </w:r>
      <w:r w:rsidR="003435AA" w:rsidRPr="00E86A8F">
        <w:rPr>
          <w:rFonts w:asciiTheme="majorHAnsi" w:hAnsiTheme="majorHAnsi"/>
          <w:sz w:val="20"/>
          <w:szCs w:val="20"/>
          <w:lang w:val="es-ES"/>
        </w:rPr>
        <w:t>odía</w:t>
      </w:r>
      <w:r w:rsidRPr="00E86A8F">
        <w:rPr>
          <w:rFonts w:asciiTheme="majorHAnsi" w:hAnsiTheme="majorHAnsi"/>
          <w:sz w:val="20"/>
          <w:szCs w:val="20"/>
          <w:lang w:val="es-ES"/>
        </w:rPr>
        <w:t xml:space="preserve"> ser “errónea”, y que ello sólo podría ser sancionado si fue producida con real malicia. Los peticionarios sostuvieron que en el presente caso</w:t>
      </w:r>
      <w:r w:rsidR="00FC3319" w:rsidRPr="00E86A8F">
        <w:rPr>
          <w:rFonts w:asciiTheme="majorHAnsi" w:hAnsiTheme="majorHAnsi"/>
          <w:sz w:val="20"/>
          <w:szCs w:val="20"/>
          <w:lang w:val="es-ES"/>
        </w:rPr>
        <w:t>,</w:t>
      </w:r>
      <w:r w:rsidRPr="00E86A8F">
        <w:rPr>
          <w:rFonts w:asciiTheme="majorHAnsi" w:hAnsiTheme="majorHAnsi"/>
          <w:sz w:val="20"/>
          <w:szCs w:val="20"/>
          <w:lang w:val="es-ES"/>
        </w:rPr>
        <w:t xml:space="preserve"> el </w:t>
      </w:r>
      <w:r w:rsidR="00EC477E" w:rsidRPr="00E86A8F">
        <w:rPr>
          <w:rFonts w:asciiTheme="majorHAnsi" w:hAnsiTheme="majorHAnsi"/>
          <w:sz w:val="20"/>
          <w:szCs w:val="20"/>
          <w:lang w:val="es-ES"/>
        </w:rPr>
        <w:t>señor</w:t>
      </w:r>
      <w:r w:rsidRPr="00E86A8F">
        <w:rPr>
          <w:rFonts w:asciiTheme="majorHAnsi" w:hAnsiTheme="majorHAnsi"/>
          <w:sz w:val="20"/>
          <w:szCs w:val="20"/>
          <w:lang w:val="es-ES"/>
        </w:rPr>
        <w:t xml:space="preserve"> Baraona buscaba que se sometiera al escrutinio público y se investigara a una autoridad pública de gran importancia en el país, y que por lo tanto e</w:t>
      </w:r>
      <w:r w:rsidR="00FC3319" w:rsidRPr="00E86A8F">
        <w:rPr>
          <w:rFonts w:asciiTheme="majorHAnsi" w:hAnsiTheme="majorHAnsi"/>
          <w:sz w:val="20"/>
          <w:szCs w:val="20"/>
          <w:lang w:val="es-ES"/>
        </w:rPr>
        <w:t>ra</w:t>
      </w:r>
      <w:r w:rsidRPr="00E86A8F">
        <w:rPr>
          <w:rFonts w:asciiTheme="majorHAnsi" w:hAnsiTheme="majorHAnsi"/>
          <w:sz w:val="20"/>
          <w:szCs w:val="20"/>
          <w:lang w:val="es-ES"/>
        </w:rPr>
        <w:t xml:space="preserve"> imposible considerar que sus expresiones correspond</w:t>
      </w:r>
      <w:r w:rsidR="00FC3319" w:rsidRPr="00E86A8F">
        <w:rPr>
          <w:rFonts w:asciiTheme="majorHAnsi" w:hAnsiTheme="majorHAnsi"/>
          <w:sz w:val="20"/>
          <w:szCs w:val="20"/>
          <w:lang w:val="es-ES"/>
        </w:rPr>
        <w:t>ieran</w:t>
      </w:r>
      <w:r w:rsidRPr="00E86A8F">
        <w:rPr>
          <w:rFonts w:asciiTheme="majorHAnsi" w:hAnsiTheme="majorHAnsi"/>
          <w:sz w:val="20"/>
          <w:szCs w:val="20"/>
          <w:lang w:val="es-ES"/>
        </w:rPr>
        <w:t xml:space="preserve"> a una expresión de real malicia por su parte.</w:t>
      </w:r>
    </w:p>
    <w:p w14:paraId="40DB754B" w14:textId="77777777" w:rsidR="005A1EEC" w:rsidRPr="00E86A8F" w:rsidRDefault="005A1EE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3E2F82A8" w14:textId="6360F4AD"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sz w:val="20"/>
          <w:szCs w:val="20"/>
          <w:lang w:val="es-ES"/>
        </w:rPr>
        <w:t>A su vez, los peticionarios resaltaron el efecto congelante o silenciador de las sanciones penales en materia de libertad de expresión, considerando que la restricción establecida por los tribunales chilenos</w:t>
      </w:r>
      <w:r w:rsidR="00804D06" w:rsidRPr="00E86A8F">
        <w:rPr>
          <w:rFonts w:asciiTheme="majorHAnsi" w:hAnsiTheme="majorHAnsi"/>
          <w:sz w:val="20"/>
          <w:szCs w:val="20"/>
          <w:lang w:val="es-ES"/>
        </w:rPr>
        <w:t xml:space="preserve"> fue</w:t>
      </w:r>
      <w:r w:rsidRPr="00E86A8F">
        <w:rPr>
          <w:rFonts w:asciiTheme="majorHAnsi" w:hAnsiTheme="majorHAnsi"/>
          <w:sz w:val="20"/>
          <w:szCs w:val="20"/>
          <w:lang w:val="es-ES"/>
        </w:rPr>
        <w:t xml:space="preserve"> excesiva y que tr</w:t>
      </w:r>
      <w:r w:rsidR="00762931" w:rsidRPr="00E86A8F">
        <w:rPr>
          <w:rFonts w:asciiTheme="majorHAnsi" w:hAnsiTheme="majorHAnsi"/>
          <w:sz w:val="20"/>
          <w:szCs w:val="20"/>
          <w:lang w:val="es-ES"/>
        </w:rPr>
        <w:t>ajo</w:t>
      </w:r>
      <w:r w:rsidRPr="00E86A8F">
        <w:rPr>
          <w:rFonts w:asciiTheme="majorHAnsi" w:hAnsiTheme="majorHAnsi"/>
          <w:sz w:val="20"/>
          <w:szCs w:val="20"/>
          <w:lang w:val="es-ES"/>
        </w:rPr>
        <w:t xml:space="preserve"> aparejada una serie de consecuencias que lleva</w:t>
      </w:r>
      <w:r w:rsidR="00762931" w:rsidRPr="00E86A8F">
        <w:rPr>
          <w:rFonts w:asciiTheme="majorHAnsi" w:hAnsiTheme="majorHAnsi"/>
          <w:sz w:val="20"/>
          <w:szCs w:val="20"/>
          <w:lang w:val="es-ES"/>
        </w:rPr>
        <w:t>ron</w:t>
      </w:r>
      <w:r w:rsidRPr="00E86A8F">
        <w:rPr>
          <w:rFonts w:asciiTheme="majorHAnsi" w:hAnsiTheme="majorHAnsi"/>
          <w:sz w:val="20"/>
          <w:szCs w:val="20"/>
          <w:lang w:val="es-ES"/>
        </w:rPr>
        <w:t xml:space="preserve"> a limitar el debate. </w:t>
      </w:r>
      <w:r w:rsidR="00762931" w:rsidRPr="00E86A8F">
        <w:rPr>
          <w:rFonts w:asciiTheme="majorHAnsi" w:hAnsiTheme="majorHAnsi"/>
          <w:sz w:val="20"/>
          <w:szCs w:val="20"/>
          <w:lang w:val="es-ES"/>
        </w:rPr>
        <w:t>Destacaron que e</w:t>
      </w:r>
      <w:r w:rsidRPr="00E86A8F">
        <w:rPr>
          <w:rFonts w:asciiTheme="majorHAnsi" w:hAnsiTheme="majorHAnsi"/>
          <w:sz w:val="20"/>
          <w:szCs w:val="20"/>
          <w:lang w:val="es-ES"/>
        </w:rPr>
        <w:t>l temor a ser sancionado penalmente por emitir comentarios o críticas a las actuaciones del Estado o de los funcionarios públicos act</w:t>
      </w:r>
      <w:r w:rsidR="00350B10" w:rsidRPr="00E86A8F">
        <w:rPr>
          <w:rFonts w:asciiTheme="majorHAnsi" w:hAnsiTheme="majorHAnsi"/>
          <w:sz w:val="20"/>
          <w:szCs w:val="20"/>
          <w:lang w:val="es-ES"/>
        </w:rPr>
        <w:t>u</w:t>
      </w:r>
      <w:r w:rsidR="002601A1" w:rsidRPr="00E86A8F">
        <w:rPr>
          <w:rFonts w:asciiTheme="majorHAnsi" w:hAnsiTheme="majorHAnsi"/>
          <w:sz w:val="20"/>
          <w:szCs w:val="20"/>
          <w:lang w:val="es-ES"/>
        </w:rPr>
        <w:t>ó</w:t>
      </w:r>
      <w:r w:rsidRPr="00E86A8F">
        <w:rPr>
          <w:rFonts w:asciiTheme="majorHAnsi" w:hAnsiTheme="majorHAnsi"/>
          <w:sz w:val="20"/>
          <w:szCs w:val="20"/>
          <w:lang w:val="es-ES"/>
        </w:rPr>
        <w:t xml:space="preserve"> como un factor disuasivo que dificult</w:t>
      </w:r>
      <w:r w:rsidR="002601A1" w:rsidRPr="00E86A8F">
        <w:rPr>
          <w:rFonts w:asciiTheme="majorHAnsi" w:hAnsiTheme="majorHAnsi"/>
          <w:sz w:val="20"/>
          <w:szCs w:val="20"/>
          <w:lang w:val="es-ES"/>
        </w:rPr>
        <w:t>ó</w:t>
      </w:r>
      <w:r w:rsidRPr="00E86A8F">
        <w:rPr>
          <w:rFonts w:asciiTheme="majorHAnsi" w:hAnsiTheme="majorHAnsi"/>
          <w:sz w:val="20"/>
          <w:szCs w:val="20"/>
          <w:lang w:val="es-ES"/>
        </w:rPr>
        <w:t xml:space="preserve"> el ejercicio de la libertad de expresión </w:t>
      </w:r>
      <w:r w:rsidR="002601A1" w:rsidRPr="00E86A8F">
        <w:rPr>
          <w:rFonts w:asciiTheme="majorHAnsi" w:hAnsiTheme="majorHAnsi"/>
          <w:sz w:val="20"/>
          <w:szCs w:val="20"/>
          <w:lang w:val="es-ES"/>
        </w:rPr>
        <w:t xml:space="preserve">de Carlos Baraona, </w:t>
      </w:r>
      <w:r w:rsidRPr="00E86A8F">
        <w:rPr>
          <w:rFonts w:asciiTheme="majorHAnsi" w:hAnsiTheme="majorHAnsi"/>
          <w:sz w:val="20"/>
          <w:szCs w:val="20"/>
          <w:lang w:val="es-ES"/>
        </w:rPr>
        <w:t>y que produ</w:t>
      </w:r>
      <w:r w:rsidR="002601A1" w:rsidRPr="00E86A8F">
        <w:rPr>
          <w:rFonts w:asciiTheme="majorHAnsi" w:hAnsiTheme="majorHAnsi"/>
          <w:sz w:val="20"/>
          <w:szCs w:val="20"/>
          <w:lang w:val="es-ES"/>
        </w:rPr>
        <w:t xml:space="preserve">jo su </w:t>
      </w:r>
      <w:r w:rsidRPr="00E86A8F">
        <w:rPr>
          <w:rFonts w:asciiTheme="majorHAnsi" w:hAnsiTheme="majorHAnsi"/>
          <w:sz w:val="20"/>
          <w:szCs w:val="20"/>
          <w:lang w:val="es-ES"/>
        </w:rPr>
        <w:t>autocensura</w:t>
      </w:r>
      <w:r w:rsidR="00801A6D" w:rsidRPr="00E86A8F">
        <w:rPr>
          <w:rFonts w:asciiTheme="majorHAnsi" w:hAnsiTheme="majorHAnsi"/>
          <w:sz w:val="20"/>
          <w:szCs w:val="20"/>
          <w:lang w:val="es-ES"/>
        </w:rPr>
        <w:t>, por lo que</w:t>
      </w:r>
      <w:r w:rsidRPr="00E86A8F">
        <w:rPr>
          <w:rFonts w:asciiTheme="majorHAnsi" w:hAnsiTheme="majorHAnsi"/>
          <w:sz w:val="20"/>
          <w:szCs w:val="20"/>
          <w:lang w:val="es-ES"/>
        </w:rPr>
        <w:t xml:space="preserve"> </w:t>
      </w:r>
      <w:r w:rsidR="00801A6D" w:rsidRPr="00E86A8F">
        <w:rPr>
          <w:rFonts w:asciiTheme="majorHAnsi" w:hAnsiTheme="majorHAnsi"/>
          <w:sz w:val="20"/>
          <w:szCs w:val="20"/>
          <w:lang w:val="es-ES"/>
        </w:rPr>
        <w:t>s</w:t>
      </w:r>
      <w:r w:rsidRPr="00E86A8F">
        <w:rPr>
          <w:rFonts w:asciiTheme="majorHAnsi" w:hAnsiTheme="majorHAnsi"/>
          <w:sz w:val="20"/>
          <w:szCs w:val="20"/>
          <w:lang w:val="es-ES"/>
        </w:rPr>
        <w:t>ostuvieron que sufrió un gran perjuicio personal y familiar debido al proceso penal al que fue sometido</w:t>
      </w:r>
      <w:r w:rsidR="002650E5" w:rsidRPr="00E86A8F">
        <w:rPr>
          <w:rFonts w:asciiTheme="majorHAnsi" w:hAnsiTheme="majorHAnsi"/>
          <w:sz w:val="20"/>
          <w:szCs w:val="20"/>
          <w:lang w:val="es-ES"/>
        </w:rPr>
        <w:t xml:space="preserve">, recrudecido por el hecho de que </w:t>
      </w:r>
      <w:r w:rsidR="00AD5AA4" w:rsidRPr="00E86A8F">
        <w:rPr>
          <w:rFonts w:asciiTheme="majorHAnsi" w:hAnsiTheme="majorHAnsi"/>
          <w:sz w:val="20"/>
          <w:szCs w:val="20"/>
          <w:lang w:val="es-ES"/>
        </w:rPr>
        <w:t>vivía</w:t>
      </w:r>
      <w:r w:rsidRPr="00E86A8F">
        <w:rPr>
          <w:rFonts w:asciiTheme="majorHAnsi" w:hAnsiTheme="majorHAnsi"/>
          <w:sz w:val="20"/>
          <w:szCs w:val="20"/>
          <w:lang w:val="es-ES"/>
        </w:rPr>
        <w:t xml:space="preserve"> y se desempeña</w:t>
      </w:r>
      <w:r w:rsidR="00AD5AA4" w:rsidRPr="00E86A8F">
        <w:rPr>
          <w:rFonts w:asciiTheme="majorHAnsi" w:hAnsiTheme="majorHAnsi"/>
          <w:sz w:val="20"/>
          <w:szCs w:val="20"/>
          <w:lang w:val="es-ES"/>
        </w:rPr>
        <w:t>ba</w:t>
      </w:r>
      <w:r w:rsidRPr="00E86A8F">
        <w:rPr>
          <w:rFonts w:asciiTheme="majorHAnsi" w:hAnsiTheme="majorHAnsi"/>
          <w:sz w:val="20"/>
          <w:szCs w:val="20"/>
          <w:lang w:val="es-ES"/>
        </w:rPr>
        <w:t xml:space="preserve"> en una pequeña comunidad de Chile, </w:t>
      </w:r>
      <w:r w:rsidR="008D5A46" w:rsidRPr="00E86A8F">
        <w:rPr>
          <w:rFonts w:asciiTheme="majorHAnsi" w:hAnsiTheme="majorHAnsi"/>
          <w:sz w:val="20"/>
          <w:szCs w:val="20"/>
          <w:lang w:val="es-ES"/>
        </w:rPr>
        <w:t xml:space="preserve">en </w:t>
      </w:r>
      <w:r w:rsidRPr="00E86A8F">
        <w:rPr>
          <w:rFonts w:asciiTheme="majorHAnsi" w:hAnsiTheme="majorHAnsi"/>
          <w:sz w:val="20"/>
          <w:szCs w:val="20"/>
          <w:lang w:val="es-ES"/>
        </w:rPr>
        <w:t>donde era considerado como una persona creíble</w:t>
      </w:r>
      <w:r w:rsidR="000D55D1" w:rsidRPr="00E86A8F">
        <w:rPr>
          <w:rFonts w:asciiTheme="majorHAnsi" w:hAnsiTheme="majorHAnsi"/>
          <w:sz w:val="20"/>
          <w:szCs w:val="20"/>
          <w:lang w:val="es-ES"/>
        </w:rPr>
        <w:t>.</w:t>
      </w:r>
      <w:r w:rsidRPr="00E86A8F">
        <w:rPr>
          <w:rFonts w:asciiTheme="majorHAnsi" w:hAnsiTheme="majorHAnsi"/>
          <w:sz w:val="20"/>
          <w:szCs w:val="20"/>
          <w:lang w:val="es-ES"/>
        </w:rPr>
        <w:t xml:space="preserve"> </w:t>
      </w:r>
    </w:p>
    <w:p w14:paraId="62C75FFE" w14:textId="77777777" w:rsidR="000D55D1" w:rsidRPr="00E86A8F" w:rsidRDefault="000D55D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7339B35F" w14:textId="3532B707"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ES"/>
        </w:rPr>
      </w:pPr>
      <w:r w:rsidRPr="00E86A8F">
        <w:rPr>
          <w:rFonts w:asciiTheme="majorHAnsi" w:hAnsiTheme="majorHAnsi"/>
          <w:sz w:val="20"/>
          <w:szCs w:val="20"/>
          <w:lang w:val="es-ES"/>
        </w:rPr>
        <w:t>Respecto de la figura de injurias graves contenida en el código penal chileno, los peticionarios manifestaron que en la práctica e</w:t>
      </w:r>
      <w:r w:rsidR="007C4DE3" w:rsidRPr="00E86A8F">
        <w:rPr>
          <w:rFonts w:asciiTheme="majorHAnsi" w:hAnsiTheme="majorHAnsi"/>
          <w:sz w:val="20"/>
          <w:szCs w:val="20"/>
          <w:lang w:val="es-ES"/>
        </w:rPr>
        <w:t>ra</w:t>
      </w:r>
      <w:r w:rsidRPr="00E86A8F">
        <w:rPr>
          <w:rFonts w:asciiTheme="majorHAnsi" w:hAnsiTheme="majorHAnsi"/>
          <w:sz w:val="20"/>
          <w:szCs w:val="20"/>
          <w:lang w:val="es-ES"/>
        </w:rPr>
        <w:t xml:space="preserve"> utilizada en forma reiterada en contra de personas que emit</w:t>
      </w:r>
      <w:r w:rsidR="007C4DE3" w:rsidRPr="00E86A8F">
        <w:rPr>
          <w:rFonts w:asciiTheme="majorHAnsi" w:hAnsiTheme="majorHAnsi"/>
          <w:sz w:val="20"/>
          <w:szCs w:val="20"/>
          <w:lang w:val="es-ES"/>
        </w:rPr>
        <w:t>ían</w:t>
      </w:r>
      <w:r w:rsidRPr="00E86A8F">
        <w:rPr>
          <w:rFonts w:asciiTheme="majorHAnsi" w:hAnsiTheme="majorHAnsi"/>
          <w:sz w:val="20"/>
          <w:szCs w:val="20"/>
          <w:lang w:val="es-ES"/>
        </w:rPr>
        <w:t xml:space="preserve"> opiniones críticas en</w:t>
      </w:r>
      <w:r w:rsidR="00A85A16" w:rsidRPr="00E86A8F">
        <w:rPr>
          <w:rFonts w:asciiTheme="majorHAnsi" w:hAnsiTheme="majorHAnsi"/>
          <w:sz w:val="20"/>
          <w:szCs w:val="20"/>
          <w:lang w:val="es-ES"/>
        </w:rPr>
        <w:t xml:space="preserve"> contra de sujetos que desempeñaban</w:t>
      </w:r>
      <w:r w:rsidRPr="00E86A8F">
        <w:rPr>
          <w:rFonts w:asciiTheme="majorHAnsi" w:hAnsiTheme="majorHAnsi"/>
          <w:sz w:val="20"/>
          <w:szCs w:val="20"/>
          <w:lang w:val="es-ES"/>
        </w:rPr>
        <w:t xml:space="preserve"> un rol en asuntos de interés público, convirtiéndose en una figura de desacato encubierta.</w:t>
      </w:r>
      <w:r w:rsidR="00B62917" w:rsidRPr="00E86A8F">
        <w:rPr>
          <w:rFonts w:asciiTheme="majorHAnsi" w:hAnsiTheme="majorHAnsi"/>
          <w:sz w:val="20"/>
          <w:szCs w:val="20"/>
          <w:lang w:val="es-ES"/>
        </w:rPr>
        <w:t xml:space="preserve"> Los peticionarios señalaron que la normativa penal </w:t>
      </w:r>
      <w:r w:rsidR="00AA0A01" w:rsidRPr="00E86A8F">
        <w:rPr>
          <w:rFonts w:asciiTheme="majorHAnsi" w:hAnsiTheme="majorHAnsi"/>
          <w:sz w:val="20"/>
          <w:szCs w:val="20"/>
          <w:lang w:val="es-ES"/>
        </w:rPr>
        <w:t xml:space="preserve">sobre injurias, </w:t>
      </w:r>
      <w:r w:rsidR="00B62917" w:rsidRPr="00E86A8F">
        <w:rPr>
          <w:rFonts w:asciiTheme="majorHAnsi" w:hAnsiTheme="majorHAnsi"/>
          <w:sz w:val="20"/>
          <w:szCs w:val="20"/>
          <w:lang w:val="es-ES"/>
        </w:rPr>
        <w:t>no satisfacía los estándares de legalidad de la Convención Americana.</w:t>
      </w:r>
    </w:p>
    <w:p w14:paraId="209D4158" w14:textId="77777777" w:rsidR="00BB4FE6" w:rsidRPr="00E86A8F" w:rsidRDefault="00BB4FE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14:paraId="699B8CC4" w14:textId="77777777" w:rsidR="00D12193" w:rsidRPr="00E86A8F" w:rsidRDefault="0022273F" w:rsidP="00073BB6">
      <w:pPr>
        <w:pStyle w:val="Heading2"/>
        <w:tabs>
          <w:tab w:val="clear" w:pos="1418"/>
        </w:tabs>
        <w:ind w:left="0" w:firstLine="0"/>
        <w:jc w:val="both"/>
        <w:rPr>
          <w:rFonts w:asciiTheme="majorHAnsi" w:hAnsiTheme="majorHAnsi"/>
        </w:rPr>
      </w:pPr>
      <w:bookmarkStart w:id="8" w:name="_Toc6937372"/>
      <w:bookmarkStart w:id="9" w:name="_Toc11073100"/>
      <w:r w:rsidRPr="00E86A8F">
        <w:rPr>
          <w:rFonts w:asciiTheme="majorHAnsi" w:hAnsiTheme="majorHAnsi"/>
        </w:rPr>
        <w:t>Estado</w:t>
      </w:r>
      <w:bookmarkEnd w:id="8"/>
      <w:bookmarkEnd w:id="9"/>
      <w:r w:rsidR="00CC63CF" w:rsidRPr="00E86A8F">
        <w:rPr>
          <w:rFonts w:asciiTheme="majorHAnsi" w:hAnsiTheme="majorHAnsi"/>
        </w:rPr>
        <w:t xml:space="preserve"> </w:t>
      </w:r>
    </w:p>
    <w:p w14:paraId="0F7437E3" w14:textId="77777777" w:rsidR="007C756A" w:rsidRPr="00E86A8F" w:rsidRDefault="007C756A" w:rsidP="00073BB6">
      <w:pPr>
        <w:suppressAutoHyphens/>
        <w:jc w:val="both"/>
        <w:rPr>
          <w:rFonts w:asciiTheme="majorHAnsi" w:hAnsiTheme="majorHAnsi"/>
          <w:sz w:val="20"/>
          <w:szCs w:val="20"/>
          <w:lang w:val="es-ES_tradnl"/>
        </w:rPr>
      </w:pPr>
    </w:p>
    <w:p w14:paraId="095D0C49" w14:textId="3E108016"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lastRenderedPageBreak/>
        <w:t>El Estado de Chile reconoció que la presunta actuación ilícita de funcionarios públicos respecto de la tala del alerce e</w:t>
      </w:r>
      <w:r w:rsidR="00B82140" w:rsidRPr="00E86A8F">
        <w:rPr>
          <w:rFonts w:asciiTheme="majorHAnsi" w:hAnsiTheme="majorHAnsi"/>
          <w:color w:val="000000"/>
          <w:sz w:val="20"/>
          <w:szCs w:val="20"/>
          <w:lang w:val="es-VE"/>
        </w:rPr>
        <w:t>ra</w:t>
      </w:r>
      <w:r w:rsidR="00A85A16" w:rsidRPr="00E86A8F">
        <w:rPr>
          <w:rFonts w:asciiTheme="majorHAnsi" w:hAnsiTheme="majorHAnsi"/>
          <w:color w:val="000000"/>
          <w:sz w:val="20"/>
          <w:szCs w:val="20"/>
          <w:lang w:val="es-VE"/>
        </w:rPr>
        <w:t xml:space="preserve"> un asunto de interés público</w:t>
      </w:r>
      <w:r w:rsidRPr="00E86A8F">
        <w:rPr>
          <w:rFonts w:asciiTheme="majorHAnsi" w:hAnsiTheme="majorHAnsi"/>
          <w:color w:val="000000"/>
          <w:sz w:val="20"/>
          <w:szCs w:val="20"/>
          <w:lang w:val="es-VE"/>
        </w:rPr>
        <w:t xml:space="preserve"> que generó en el país la difusión de un sinnúmero de informaciones y opiniones que circularon libremente, dando pie a un fructífero debate, al inicio de acciones criminales contra funcionarios públicos y a la constitución de una Comisión Investigadora en el marco de la Cámara de Diputados. </w:t>
      </w:r>
    </w:p>
    <w:p w14:paraId="6321C955" w14:textId="77777777" w:rsidR="00BB4FE6" w:rsidRPr="00E86A8F" w:rsidRDefault="00BB4FE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VE"/>
        </w:rPr>
      </w:pPr>
    </w:p>
    <w:p w14:paraId="51ACF50E" w14:textId="705360F5"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 xml:space="preserve">Sin embargo, diferenció la situación del </w:t>
      </w:r>
      <w:r w:rsidR="00EC477E" w:rsidRPr="00E86A8F">
        <w:rPr>
          <w:rFonts w:asciiTheme="majorHAnsi" w:hAnsiTheme="majorHAnsi"/>
          <w:color w:val="000000"/>
          <w:sz w:val="20"/>
          <w:szCs w:val="20"/>
          <w:lang w:val="es-VE"/>
        </w:rPr>
        <w:t>señor</w:t>
      </w:r>
      <w:r w:rsidRPr="00E86A8F">
        <w:rPr>
          <w:rFonts w:asciiTheme="majorHAnsi" w:hAnsiTheme="majorHAnsi"/>
          <w:color w:val="000000"/>
          <w:sz w:val="20"/>
          <w:szCs w:val="20"/>
          <w:lang w:val="es-VE"/>
        </w:rPr>
        <w:t xml:space="preserve"> Baraona, sosteniendo que el mismo profirió públicamente expresiones injuriosas en contra del </w:t>
      </w:r>
      <w:r w:rsidR="00EC477E" w:rsidRPr="00E86A8F">
        <w:rPr>
          <w:rFonts w:asciiTheme="majorHAnsi" w:hAnsiTheme="majorHAnsi"/>
          <w:color w:val="000000"/>
          <w:sz w:val="20"/>
          <w:szCs w:val="20"/>
          <w:lang w:val="es-VE"/>
        </w:rPr>
        <w:t>señor</w:t>
      </w:r>
      <w:r w:rsidRPr="00E86A8F">
        <w:rPr>
          <w:rFonts w:asciiTheme="majorHAnsi" w:hAnsiTheme="majorHAnsi"/>
          <w:color w:val="000000"/>
          <w:sz w:val="20"/>
          <w:szCs w:val="20"/>
          <w:lang w:val="es-VE"/>
        </w:rPr>
        <w:t xml:space="preserve"> Páez, dañándolo en su dignidad y honra. Señaló que las imputaciones formuladas contra el </w:t>
      </w:r>
      <w:r w:rsidR="00EC477E" w:rsidRPr="00E86A8F">
        <w:rPr>
          <w:rFonts w:asciiTheme="majorHAnsi" w:hAnsiTheme="majorHAnsi"/>
          <w:color w:val="000000"/>
          <w:sz w:val="20"/>
          <w:szCs w:val="20"/>
          <w:lang w:val="es-VE"/>
        </w:rPr>
        <w:t>señor</w:t>
      </w:r>
      <w:r w:rsidRPr="00E86A8F">
        <w:rPr>
          <w:rFonts w:asciiTheme="majorHAnsi" w:hAnsiTheme="majorHAnsi"/>
          <w:color w:val="000000"/>
          <w:sz w:val="20"/>
          <w:szCs w:val="20"/>
          <w:lang w:val="es-VE"/>
        </w:rPr>
        <w:t xml:space="preserve"> Páez </w:t>
      </w:r>
      <w:r w:rsidR="00A85A16" w:rsidRPr="00E86A8F">
        <w:rPr>
          <w:rFonts w:asciiTheme="majorHAnsi" w:hAnsiTheme="majorHAnsi"/>
          <w:color w:val="000000"/>
          <w:sz w:val="20"/>
          <w:szCs w:val="20"/>
          <w:lang w:val="es-VE"/>
        </w:rPr>
        <w:t xml:space="preserve">no apuntaron a su gestión como </w:t>
      </w:r>
      <w:r w:rsidR="00486700" w:rsidRPr="00E86A8F">
        <w:rPr>
          <w:rFonts w:asciiTheme="majorHAnsi" w:hAnsiTheme="majorHAnsi"/>
          <w:color w:val="000000"/>
          <w:sz w:val="20"/>
          <w:szCs w:val="20"/>
          <w:lang w:val="es-VE"/>
        </w:rPr>
        <w:t>senador</w:t>
      </w:r>
      <w:r w:rsidRPr="00E86A8F">
        <w:rPr>
          <w:rFonts w:asciiTheme="majorHAnsi" w:hAnsiTheme="majorHAnsi"/>
          <w:color w:val="000000"/>
          <w:sz w:val="20"/>
          <w:szCs w:val="20"/>
          <w:lang w:val="es-VE"/>
        </w:rPr>
        <w:t xml:space="preserve">, sino que estaban centradas en hechos de extrema gravedad, </w:t>
      </w:r>
      <w:r w:rsidR="00630124" w:rsidRPr="00E86A8F">
        <w:rPr>
          <w:rFonts w:asciiTheme="majorHAnsi" w:hAnsiTheme="majorHAnsi"/>
          <w:color w:val="000000"/>
          <w:sz w:val="20"/>
          <w:szCs w:val="20"/>
          <w:lang w:val="es-VE"/>
        </w:rPr>
        <w:t xml:space="preserve">que fueron atribuidos </w:t>
      </w:r>
      <w:r w:rsidRPr="00E86A8F">
        <w:rPr>
          <w:rFonts w:asciiTheme="majorHAnsi" w:hAnsiTheme="majorHAnsi"/>
          <w:color w:val="000000"/>
          <w:sz w:val="20"/>
          <w:szCs w:val="20"/>
          <w:lang w:val="es-VE"/>
        </w:rPr>
        <w:t>sin fundamento alguno. Además, indicó que la gravedad de las acusaciones se vio acrecentada por el hecho de quien las profirió ejercía como abogado en la causa que investigaba la tala ilegal de alerces, por lo que era considerado como una persona cre</w:t>
      </w:r>
      <w:r w:rsidR="00945C50" w:rsidRPr="00E86A8F">
        <w:rPr>
          <w:rFonts w:asciiTheme="majorHAnsi" w:hAnsiTheme="majorHAnsi"/>
          <w:color w:val="000000"/>
          <w:sz w:val="20"/>
          <w:szCs w:val="20"/>
          <w:lang w:val="es-VE"/>
        </w:rPr>
        <w:t>íble. El Estado resaltó que el s</w:t>
      </w:r>
      <w:r w:rsidRPr="00E86A8F">
        <w:rPr>
          <w:rFonts w:asciiTheme="majorHAnsi" w:hAnsiTheme="majorHAnsi"/>
          <w:color w:val="000000"/>
          <w:sz w:val="20"/>
          <w:szCs w:val="20"/>
          <w:lang w:val="es-VE"/>
        </w:rPr>
        <w:t>eñor Baraona no aportó, en el marco del juicio penal por injurias, ni un solo elemento de prueba para demostrar la veracidad de sus declaraciones, por lo que las mismas deb</w:t>
      </w:r>
      <w:r w:rsidR="00630124" w:rsidRPr="00E86A8F">
        <w:rPr>
          <w:rFonts w:asciiTheme="majorHAnsi" w:hAnsiTheme="majorHAnsi"/>
          <w:color w:val="000000"/>
          <w:sz w:val="20"/>
          <w:szCs w:val="20"/>
          <w:lang w:val="es-VE"/>
        </w:rPr>
        <w:t>ía</w:t>
      </w:r>
      <w:r w:rsidRPr="00E86A8F">
        <w:rPr>
          <w:rFonts w:asciiTheme="majorHAnsi" w:hAnsiTheme="majorHAnsi"/>
          <w:color w:val="000000"/>
          <w:sz w:val="20"/>
          <w:szCs w:val="20"/>
          <w:lang w:val="es-VE"/>
        </w:rPr>
        <w:t xml:space="preserve">n ser calificadas </w:t>
      </w:r>
      <w:r w:rsidR="00630124" w:rsidRPr="00E86A8F">
        <w:rPr>
          <w:rFonts w:asciiTheme="majorHAnsi" w:hAnsiTheme="majorHAnsi"/>
          <w:color w:val="000000"/>
          <w:sz w:val="20"/>
          <w:szCs w:val="20"/>
          <w:lang w:val="es-VE"/>
        </w:rPr>
        <w:t>como</w:t>
      </w:r>
      <w:r w:rsidRPr="00E86A8F">
        <w:rPr>
          <w:rFonts w:asciiTheme="majorHAnsi" w:hAnsiTheme="majorHAnsi"/>
          <w:color w:val="000000"/>
          <w:sz w:val="20"/>
          <w:szCs w:val="20"/>
          <w:lang w:val="es-VE"/>
        </w:rPr>
        <w:t xml:space="preserve"> especialmente graves, negligentes e irresponsables, pudiendo incluso llegar a presumirse una supuesta mala fe. </w:t>
      </w:r>
    </w:p>
    <w:p w14:paraId="013B8A23" w14:textId="77777777" w:rsidR="00BB4FE6" w:rsidRPr="00E86A8F" w:rsidRDefault="00BB4FE6" w:rsidP="00073BB6">
      <w:pPr>
        <w:pStyle w:val="ListParagraph"/>
        <w:ind w:left="0"/>
        <w:rPr>
          <w:rFonts w:asciiTheme="majorHAnsi" w:hAnsiTheme="majorHAnsi"/>
          <w:sz w:val="20"/>
          <w:szCs w:val="20"/>
          <w:lang w:val="es-VE"/>
        </w:rPr>
      </w:pPr>
    </w:p>
    <w:p w14:paraId="7341FE30" w14:textId="74EFFD85"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E</w:t>
      </w:r>
      <w:r w:rsidR="000B10C3" w:rsidRPr="00E86A8F">
        <w:rPr>
          <w:rFonts w:asciiTheme="majorHAnsi" w:hAnsiTheme="majorHAnsi"/>
          <w:color w:val="000000"/>
          <w:sz w:val="20"/>
          <w:szCs w:val="20"/>
          <w:lang w:val="es-VE"/>
        </w:rPr>
        <w:t xml:space="preserve">l </w:t>
      </w:r>
      <w:r w:rsidRPr="00E86A8F">
        <w:rPr>
          <w:rFonts w:asciiTheme="majorHAnsi" w:hAnsiTheme="majorHAnsi"/>
          <w:color w:val="000000"/>
          <w:sz w:val="20"/>
          <w:szCs w:val="20"/>
          <w:lang w:val="es-VE"/>
        </w:rPr>
        <w:t>Estado afirmó</w:t>
      </w:r>
      <w:r w:rsidR="000B10C3" w:rsidRPr="00E86A8F">
        <w:rPr>
          <w:rFonts w:asciiTheme="majorHAnsi" w:hAnsiTheme="majorHAnsi"/>
          <w:color w:val="000000"/>
          <w:sz w:val="20"/>
          <w:szCs w:val="20"/>
          <w:lang w:val="es-VE"/>
        </w:rPr>
        <w:t xml:space="preserve"> </w:t>
      </w:r>
      <w:r w:rsidRPr="00E86A8F">
        <w:rPr>
          <w:rFonts w:asciiTheme="majorHAnsi" w:hAnsiTheme="majorHAnsi"/>
          <w:color w:val="000000"/>
          <w:sz w:val="20"/>
          <w:szCs w:val="20"/>
          <w:lang w:val="es-VE"/>
        </w:rPr>
        <w:t>que el derecho a la libertad de expresión no e</w:t>
      </w:r>
      <w:r w:rsidR="000B10C3" w:rsidRPr="00E86A8F">
        <w:rPr>
          <w:rFonts w:asciiTheme="majorHAnsi" w:hAnsiTheme="majorHAnsi"/>
          <w:color w:val="000000"/>
          <w:sz w:val="20"/>
          <w:szCs w:val="20"/>
          <w:lang w:val="es-VE"/>
        </w:rPr>
        <w:t>ra</w:t>
      </w:r>
      <w:r w:rsidRPr="00E86A8F">
        <w:rPr>
          <w:rFonts w:asciiTheme="majorHAnsi" w:hAnsiTheme="majorHAnsi"/>
          <w:color w:val="000000"/>
          <w:sz w:val="20"/>
          <w:szCs w:val="20"/>
          <w:lang w:val="es-VE"/>
        </w:rPr>
        <w:t xml:space="preserve"> un derecho absoluto, sino que p</w:t>
      </w:r>
      <w:r w:rsidR="000B10C3" w:rsidRPr="00E86A8F">
        <w:rPr>
          <w:rFonts w:asciiTheme="majorHAnsi" w:hAnsiTheme="majorHAnsi"/>
          <w:color w:val="000000"/>
          <w:sz w:val="20"/>
          <w:szCs w:val="20"/>
          <w:lang w:val="es-VE"/>
        </w:rPr>
        <w:t>odía</w:t>
      </w:r>
      <w:r w:rsidRPr="00E86A8F">
        <w:rPr>
          <w:rFonts w:asciiTheme="majorHAnsi" w:hAnsiTheme="majorHAnsi"/>
          <w:color w:val="000000"/>
          <w:sz w:val="20"/>
          <w:szCs w:val="20"/>
          <w:lang w:val="es-VE"/>
        </w:rPr>
        <w:t xml:space="preserve"> ser objeto de restricciones necesarias para satisfacer un interés público imperativo, debiendo guardar </w:t>
      </w:r>
      <w:r w:rsidR="00945C50" w:rsidRPr="00E86A8F">
        <w:rPr>
          <w:rFonts w:asciiTheme="majorHAnsi" w:hAnsiTheme="majorHAnsi"/>
          <w:color w:val="000000"/>
          <w:sz w:val="20"/>
          <w:szCs w:val="20"/>
          <w:lang w:val="es-VE"/>
        </w:rPr>
        <w:t>la debida proporcionalidad con e</w:t>
      </w:r>
      <w:r w:rsidRPr="00E86A8F">
        <w:rPr>
          <w:rFonts w:asciiTheme="majorHAnsi" w:hAnsiTheme="majorHAnsi"/>
          <w:color w:val="000000"/>
          <w:sz w:val="20"/>
          <w:szCs w:val="20"/>
          <w:lang w:val="es-VE"/>
        </w:rPr>
        <w:t xml:space="preserve">ste. En este sentido, </w:t>
      </w:r>
      <w:r w:rsidR="00125F39" w:rsidRPr="00E86A8F">
        <w:rPr>
          <w:rFonts w:asciiTheme="majorHAnsi" w:hAnsiTheme="majorHAnsi"/>
          <w:color w:val="000000"/>
          <w:sz w:val="20"/>
          <w:szCs w:val="20"/>
          <w:lang w:val="es-VE"/>
        </w:rPr>
        <w:t>las leyes penales chilenas imponían</w:t>
      </w:r>
      <w:r w:rsidRPr="00E86A8F">
        <w:rPr>
          <w:rFonts w:asciiTheme="majorHAnsi" w:hAnsiTheme="majorHAnsi"/>
          <w:color w:val="000000"/>
          <w:sz w:val="20"/>
          <w:szCs w:val="20"/>
          <w:lang w:val="es-VE"/>
        </w:rPr>
        <w:t xml:space="preserve"> legítimas restricciones mediante la tipificación del delito de injurias, sancionando </w:t>
      </w:r>
      <w:r w:rsidRPr="00E86A8F">
        <w:rPr>
          <w:rFonts w:asciiTheme="majorHAnsi" w:hAnsiTheme="majorHAnsi"/>
          <w:i/>
          <w:color w:val="000000"/>
          <w:sz w:val="20"/>
          <w:szCs w:val="20"/>
          <w:lang w:val="es-VE"/>
        </w:rPr>
        <w:t>a posteriori</w:t>
      </w:r>
      <w:r w:rsidRPr="00E86A8F">
        <w:rPr>
          <w:rFonts w:asciiTheme="majorHAnsi" w:hAnsiTheme="majorHAnsi"/>
          <w:color w:val="000000"/>
          <w:sz w:val="20"/>
          <w:szCs w:val="20"/>
          <w:lang w:val="es-VE"/>
        </w:rPr>
        <w:t xml:space="preserve"> a quienes incurr</w:t>
      </w:r>
      <w:r w:rsidR="00125F39" w:rsidRPr="00E86A8F">
        <w:rPr>
          <w:rFonts w:asciiTheme="majorHAnsi" w:hAnsiTheme="majorHAnsi"/>
          <w:color w:val="000000"/>
          <w:sz w:val="20"/>
          <w:szCs w:val="20"/>
          <w:lang w:val="es-VE"/>
        </w:rPr>
        <w:t>ieran</w:t>
      </w:r>
      <w:r w:rsidRPr="00E86A8F">
        <w:rPr>
          <w:rFonts w:asciiTheme="majorHAnsi" w:hAnsiTheme="majorHAnsi"/>
          <w:color w:val="000000"/>
          <w:sz w:val="20"/>
          <w:szCs w:val="20"/>
          <w:lang w:val="es-VE"/>
        </w:rPr>
        <w:t xml:space="preserve"> en la comisión de este delito, con el objetivo de garantizar el derecho a la honra y la dignidad de las personas, que se enc</w:t>
      </w:r>
      <w:r w:rsidR="00125F39" w:rsidRPr="00E86A8F">
        <w:rPr>
          <w:rFonts w:asciiTheme="majorHAnsi" w:hAnsiTheme="majorHAnsi"/>
          <w:color w:val="000000"/>
          <w:sz w:val="20"/>
          <w:szCs w:val="20"/>
          <w:lang w:val="es-VE"/>
        </w:rPr>
        <w:t>ontraba</w:t>
      </w:r>
      <w:r w:rsidRPr="00E86A8F">
        <w:rPr>
          <w:rFonts w:asciiTheme="majorHAnsi" w:hAnsiTheme="majorHAnsi"/>
          <w:color w:val="000000"/>
          <w:sz w:val="20"/>
          <w:szCs w:val="20"/>
          <w:lang w:val="es-VE"/>
        </w:rPr>
        <w:t xml:space="preserve"> consagrado y protegido por la Convención Americana. Aseguró que e</w:t>
      </w:r>
      <w:r w:rsidR="00F94C16" w:rsidRPr="00E86A8F">
        <w:rPr>
          <w:rFonts w:asciiTheme="majorHAnsi" w:hAnsiTheme="majorHAnsi"/>
          <w:color w:val="000000"/>
          <w:sz w:val="20"/>
          <w:szCs w:val="20"/>
          <w:lang w:val="es-VE"/>
        </w:rPr>
        <w:t>ra</w:t>
      </w:r>
      <w:r w:rsidRPr="00E86A8F">
        <w:rPr>
          <w:rFonts w:asciiTheme="majorHAnsi" w:hAnsiTheme="majorHAnsi"/>
          <w:color w:val="000000"/>
          <w:sz w:val="20"/>
          <w:szCs w:val="20"/>
          <w:lang w:val="es-VE"/>
        </w:rPr>
        <w:t xml:space="preserve"> perfectamente legítimo que quien se si</w:t>
      </w:r>
      <w:r w:rsidR="00F94C16" w:rsidRPr="00E86A8F">
        <w:rPr>
          <w:rFonts w:asciiTheme="majorHAnsi" w:hAnsiTheme="majorHAnsi"/>
          <w:color w:val="000000"/>
          <w:sz w:val="20"/>
          <w:szCs w:val="20"/>
          <w:lang w:val="es-VE"/>
        </w:rPr>
        <w:t>ntiera</w:t>
      </w:r>
      <w:r w:rsidRPr="00E86A8F">
        <w:rPr>
          <w:rFonts w:asciiTheme="majorHAnsi" w:hAnsiTheme="majorHAnsi"/>
          <w:color w:val="000000"/>
          <w:sz w:val="20"/>
          <w:szCs w:val="20"/>
          <w:lang w:val="es-VE"/>
        </w:rPr>
        <w:t xml:space="preserve"> afectado en su honra y dignidad</w:t>
      </w:r>
      <w:r w:rsidR="00F94C16" w:rsidRPr="00E86A8F">
        <w:rPr>
          <w:rFonts w:asciiTheme="majorHAnsi" w:hAnsiTheme="majorHAnsi"/>
          <w:color w:val="000000"/>
          <w:sz w:val="20"/>
          <w:szCs w:val="20"/>
          <w:lang w:val="es-VE"/>
        </w:rPr>
        <w:t>,</w:t>
      </w:r>
      <w:r w:rsidRPr="00E86A8F">
        <w:rPr>
          <w:rFonts w:asciiTheme="majorHAnsi" w:hAnsiTheme="majorHAnsi"/>
          <w:color w:val="000000"/>
          <w:sz w:val="20"/>
          <w:szCs w:val="20"/>
          <w:lang w:val="es-VE"/>
        </w:rPr>
        <w:t xml:space="preserve"> t</w:t>
      </w:r>
      <w:r w:rsidR="00F94C16" w:rsidRPr="00E86A8F">
        <w:rPr>
          <w:rFonts w:asciiTheme="majorHAnsi" w:hAnsiTheme="majorHAnsi"/>
          <w:color w:val="000000"/>
          <w:sz w:val="20"/>
          <w:szCs w:val="20"/>
          <w:lang w:val="es-VE"/>
        </w:rPr>
        <w:t>uviera</w:t>
      </w:r>
      <w:r w:rsidRPr="00E86A8F">
        <w:rPr>
          <w:rFonts w:asciiTheme="majorHAnsi" w:hAnsiTheme="majorHAnsi"/>
          <w:color w:val="000000"/>
          <w:sz w:val="20"/>
          <w:szCs w:val="20"/>
          <w:lang w:val="es-VE"/>
        </w:rPr>
        <w:t xml:space="preserve"> el derecho de recurrir a los mecanismos jurisdiccionales que el Estado disp</w:t>
      </w:r>
      <w:r w:rsidR="00CD185D" w:rsidRPr="00E86A8F">
        <w:rPr>
          <w:rFonts w:asciiTheme="majorHAnsi" w:hAnsiTheme="majorHAnsi"/>
          <w:color w:val="000000"/>
          <w:sz w:val="20"/>
          <w:szCs w:val="20"/>
          <w:lang w:val="es-VE"/>
        </w:rPr>
        <w:t>usiera</w:t>
      </w:r>
      <w:r w:rsidRPr="00E86A8F">
        <w:rPr>
          <w:rFonts w:asciiTheme="majorHAnsi" w:hAnsiTheme="majorHAnsi"/>
          <w:color w:val="000000"/>
          <w:sz w:val="20"/>
          <w:szCs w:val="20"/>
          <w:lang w:val="es-VE"/>
        </w:rPr>
        <w:t xml:space="preserve"> para su protección</w:t>
      </w:r>
      <w:r w:rsidR="00CD185D" w:rsidRPr="00E86A8F">
        <w:rPr>
          <w:rFonts w:asciiTheme="majorHAnsi" w:hAnsiTheme="majorHAnsi"/>
          <w:color w:val="000000"/>
          <w:sz w:val="20"/>
          <w:szCs w:val="20"/>
          <w:lang w:val="es-VE"/>
        </w:rPr>
        <w:t xml:space="preserve">. El Estado consideró que, </w:t>
      </w:r>
      <w:r w:rsidRPr="00E86A8F">
        <w:rPr>
          <w:rFonts w:asciiTheme="majorHAnsi" w:hAnsiTheme="majorHAnsi"/>
          <w:color w:val="000000"/>
          <w:sz w:val="20"/>
          <w:szCs w:val="20"/>
          <w:lang w:val="es-VE"/>
        </w:rPr>
        <w:t>si se acogiera</w:t>
      </w:r>
      <w:r w:rsidR="007503F8" w:rsidRPr="00E86A8F">
        <w:rPr>
          <w:rFonts w:asciiTheme="majorHAnsi" w:hAnsiTheme="majorHAnsi"/>
          <w:color w:val="000000"/>
          <w:sz w:val="20"/>
          <w:szCs w:val="20"/>
          <w:lang w:val="es-VE"/>
        </w:rPr>
        <w:t>n los alegatos de los peticionarios,</w:t>
      </w:r>
      <w:r w:rsidRPr="00E86A8F">
        <w:rPr>
          <w:rFonts w:asciiTheme="majorHAnsi" w:hAnsiTheme="majorHAnsi"/>
          <w:color w:val="000000"/>
          <w:sz w:val="20"/>
          <w:szCs w:val="20"/>
          <w:lang w:val="es-VE"/>
        </w:rPr>
        <w:t xml:space="preserve"> se estaría eliminado todo goce del derecho a la honra y a la dignidad de los funcionarios públicos. </w:t>
      </w:r>
    </w:p>
    <w:p w14:paraId="70A633AA" w14:textId="77777777" w:rsidR="00BB4FE6" w:rsidRPr="00E86A8F" w:rsidRDefault="00BB4FE6" w:rsidP="00073BB6">
      <w:pPr>
        <w:pStyle w:val="ListParagraph"/>
        <w:ind w:left="0"/>
        <w:rPr>
          <w:rFonts w:asciiTheme="majorHAnsi" w:hAnsiTheme="majorHAnsi"/>
          <w:sz w:val="20"/>
          <w:szCs w:val="20"/>
          <w:lang w:val="es-VE"/>
        </w:rPr>
      </w:pPr>
    </w:p>
    <w:p w14:paraId="45C16B0D" w14:textId="1C4DC54F"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 xml:space="preserve">En este sentido, el Estado indicó que, en el caso del </w:t>
      </w:r>
      <w:r w:rsidR="00EC477E" w:rsidRPr="00E86A8F">
        <w:rPr>
          <w:rFonts w:asciiTheme="majorHAnsi" w:hAnsiTheme="majorHAnsi"/>
          <w:color w:val="000000"/>
          <w:sz w:val="20"/>
          <w:szCs w:val="20"/>
          <w:lang w:val="es-VE"/>
        </w:rPr>
        <w:t>señor</w:t>
      </w:r>
      <w:r w:rsidRPr="00E86A8F">
        <w:rPr>
          <w:rFonts w:asciiTheme="majorHAnsi" w:hAnsiTheme="majorHAnsi"/>
          <w:color w:val="000000"/>
          <w:sz w:val="20"/>
          <w:szCs w:val="20"/>
          <w:lang w:val="es-VE"/>
        </w:rPr>
        <w:t xml:space="preserve"> Baraona, el objetivo no fue acallar la crítica, sino proteger un derecho humano en forma eficaz. Se trató de la determinación por parte de los órganos jurisdiccionales del orden interno de la responsabilidad legal posterior del denunciante por sus declaraciones vertidas través de medios de prensa audiovisuales y escritos, que dañaron considerablemente y de manera grave la reputación del </w:t>
      </w:r>
      <w:r w:rsidR="00EC477E" w:rsidRPr="00E86A8F">
        <w:rPr>
          <w:rFonts w:asciiTheme="majorHAnsi" w:hAnsiTheme="majorHAnsi"/>
          <w:color w:val="000000"/>
          <w:sz w:val="20"/>
          <w:szCs w:val="20"/>
          <w:lang w:val="es-VE"/>
        </w:rPr>
        <w:t>señor</w:t>
      </w:r>
      <w:r w:rsidRPr="00E86A8F">
        <w:rPr>
          <w:rFonts w:asciiTheme="majorHAnsi" w:hAnsiTheme="majorHAnsi"/>
          <w:color w:val="000000"/>
          <w:sz w:val="20"/>
          <w:szCs w:val="20"/>
          <w:lang w:val="es-VE"/>
        </w:rPr>
        <w:t xml:space="preserve"> Páez, teniendo en cuenta las circunstancias, el estado y la dignidad tanto del ofendido como del ofensor.</w:t>
      </w:r>
    </w:p>
    <w:p w14:paraId="0E0A98EF" w14:textId="77777777" w:rsidR="00BB4FE6" w:rsidRPr="00E86A8F" w:rsidRDefault="00BB4FE6" w:rsidP="00073BB6">
      <w:pPr>
        <w:pStyle w:val="ListParagraph"/>
        <w:ind w:left="0"/>
        <w:rPr>
          <w:rFonts w:asciiTheme="majorHAnsi" w:hAnsiTheme="majorHAnsi"/>
          <w:sz w:val="20"/>
          <w:szCs w:val="20"/>
          <w:lang w:val="es-VE"/>
        </w:rPr>
      </w:pPr>
    </w:p>
    <w:p w14:paraId="2834B60E" w14:textId="216834A2" w:rsidR="005A1EEC" w:rsidRPr="00E86A8F" w:rsidRDefault="00774279"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 xml:space="preserve">El Estado </w:t>
      </w:r>
      <w:r w:rsidR="005A1EEC" w:rsidRPr="00E86A8F">
        <w:rPr>
          <w:rFonts w:asciiTheme="majorHAnsi" w:hAnsiTheme="majorHAnsi"/>
          <w:color w:val="000000"/>
          <w:sz w:val="20"/>
          <w:szCs w:val="20"/>
          <w:lang w:val="es-VE"/>
        </w:rPr>
        <w:t>señaló que la circunstancia de que los funcionarios públicos estén expuestos a un mayor escrutinio público no implica</w:t>
      </w:r>
      <w:r w:rsidRPr="00E86A8F">
        <w:rPr>
          <w:rFonts w:asciiTheme="majorHAnsi" w:hAnsiTheme="majorHAnsi"/>
          <w:color w:val="000000"/>
          <w:sz w:val="20"/>
          <w:szCs w:val="20"/>
          <w:lang w:val="es-VE"/>
        </w:rPr>
        <w:t>ba</w:t>
      </w:r>
      <w:r w:rsidR="005A1EEC" w:rsidRPr="00E86A8F">
        <w:rPr>
          <w:rFonts w:asciiTheme="majorHAnsi" w:hAnsiTheme="majorHAnsi"/>
          <w:color w:val="000000"/>
          <w:sz w:val="20"/>
          <w:szCs w:val="20"/>
          <w:lang w:val="es-VE"/>
        </w:rPr>
        <w:t xml:space="preserve"> que su honor no deb</w:t>
      </w:r>
      <w:r w:rsidRPr="00E86A8F">
        <w:rPr>
          <w:rFonts w:asciiTheme="majorHAnsi" w:hAnsiTheme="majorHAnsi"/>
          <w:color w:val="000000"/>
          <w:sz w:val="20"/>
          <w:szCs w:val="20"/>
          <w:lang w:val="es-VE"/>
        </w:rPr>
        <w:t>ía</w:t>
      </w:r>
      <w:r w:rsidR="005A1EEC" w:rsidRPr="00E86A8F">
        <w:rPr>
          <w:rFonts w:asciiTheme="majorHAnsi" w:hAnsiTheme="majorHAnsi"/>
          <w:color w:val="000000"/>
          <w:sz w:val="20"/>
          <w:szCs w:val="20"/>
          <w:lang w:val="es-VE"/>
        </w:rPr>
        <w:t xml:space="preserve"> ser jurídicamente protegido, sino que deb</w:t>
      </w:r>
      <w:r w:rsidRPr="00E86A8F">
        <w:rPr>
          <w:rFonts w:asciiTheme="majorHAnsi" w:hAnsiTheme="majorHAnsi"/>
          <w:color w:val="000000"/>
          <w:sz w:val="20"/>
          <w:szCs w:val="20"/>
          <w:lang w:val="es-VE"/>
        </w:rPr>
        <w:t>ía</w:t>
      </w:r>
      <w:r w:rsidR="005A1EEC" w:rsidRPr="00E86A8F">
        <w:rPr>
          <w:rFonts w:asciiTheme="majorHAnsi" w:hAnsiTheme="majorHAnsi"/>
          <w:color w:val="000000"/>
          <w:sz w:val="20"/>
          <w:szCs w:val="20"/>
          <w:lang w:val="es-VE"/>
        </w:rPr>
        <w:t xml:space="preserve"> serlo de manera acorde con los principios del pluralismo democrático. </w:t>
      </w:r>
      <w:r w:rsidR="00284B74" w:rsidRPr="00E86A8F">
        <w:rPr>
          <w:rFonts w:asciiTheme="majorHAnsi" w:hAnsiTheme="majorHAnsi"/>
          <w:color w:val="000000"/>
          <w:sz w:val="20"/>
          <w:szCs w:val="20"/>
          <w:lang w:val="es-VE"/>
        </w:rPr>
        <w:t>Reconoció que s</w:t>
      </w:r>
      <w:r w:rsidR="005A1EEC" w:rsidRPr="00E86A8F">
        <w:rPr>
          <w:rFonts w:asciiTheme="majorHAnsi" w:hAnsiTheme="majorHAnsi"/>
          <w:color w:val="000000"/>
          <w:sz w:val="20"/>
          <w:szCs w:val="20"/>
          <w:lang w:val="es-VE"/>
        </w:rPr>
        <w:t>i bien e</w:t>
      </w:r>
      <w:r w:rsidR="00284B74" w:rsidRPr="00E86A8F">
        <w:rPr>
          <w:rFonts w:asciiTheme="majorHAnsi" w:hAnsiTheme="majorHAnsi"/>
          <w:color w:val="000000"/>
          <w:sz w:val="20"/>
          <w:szCs w:val="20"/>
          <w:lang w:val="es-VE"/>
        </w:rPr>
        <w:t>ra</w:t>
      </w:r>
      <w:r w:rsidR="005A1EEC" w:rsidRPr="00E86A8F">
        <w:rPr>
          <w:rFonts w:asciiTheme="majorHAnsi" w:hAnsiTheme="majorHAnsi"/>
          <w:color w:val="000000"/>
          <w:sz w:val="20"/>
          <w:szCs w:val="20"/>
          <w:lang w:val="es-VE"/>
        </w:rPr>
        <w:t xml:space="preserve"> cierto que en el caso de los funcionarios públicos</w:t>
      </w:r>
      <w:r w:rsidR="00284B74" w:rsidRPr="00E86A8F">
        <w:rPr>
          <w:rFonts w:asciiTheme="majorHAnsi" w:hAnsiTheme="majorHAnsi"/>
          <w:color w:val="000000"/>
          <w:sz w:val="20"/>
          <w:szCs w:val="20"/>
          <w:lang w:val="es-VE"/>
        </w:rPr>
        <w:t>,</w:t>
      </w:r>
      <w:r w:rsidR="005A1EEC" w:rsidRPr="00E86A8F">
        <w:rPr>
          <w:rFonts w:asciiTheme="majorHAnsi" w:hAnsiTheme="majorHAnsi"/>
          <w:color w:val="000000"/>
          <w:sz w:val="20"/>
          <w:szCs w:val="20"/>
          <w:lang w:val="es-VE"/>
        </w:rPr>
        <w:t xml:space="preserve"> deb</w:t>
      </w:r>
      <w:r w:rsidR="00284B74" w:rsidRPr="00E86A8F">
        <w:rPr>
          <w:rFonts w:asciiTheme="majorHAnsi" w:hAnsiTheme="majorHAnsi"/>
          <w:color w:val="000000"/>
          <w:sz w:val="20"/>
          <w:szCs w:val="20"/>
          <w:lang w:val="es-VE"/>
        </w:rPr>
        <w:t>ía</w:t>
      </w:r>
      <w:r w:rsidR="005A1EEC" w:rsidRPr="00E86A8F">
        <w:rPr>
          <w:rFonts w:asciiTheme="majorHAnsi" w:hAnsiTheme="majorHAnsi"/>
          <w:color w:val="000000"/>
          <w:sz w:val="20"/>
          <w:szCs w:val="20"/>
          <w:lang w:val="es-VE"/>
        </w:rPr>
        <w:t xml:space="preserve"> haber un umbral más alto de tolerancia respecto de las críticas en cuestiones de interés público, ello no p</w:t>
      </w:r>
      <w:r w:rsidR="00284B74" w:rsidRPr="00E86A8F">
        <w:rPr>
          <w:rFonts w:asciiTheme="majorHAnsi" w:hAnsiTheme="majorHAnsi"/>
          <w:color w:val="000000"/>
          <w:sz w:val="20"/>
          <w:szCs w:val="20"/>
          <w:lang w:val="es-VE"/>
        </w:rPr>
        <w:t>odía</w:t>
      </w:r>
      <w:r w:rsidR="005A1EEC" w:rsidRPr="00E86A8F">
        <w:rPr>
          <w:rFonts w:asciiTheme="majorHAnsi" w:hAnsiTheme="majorHAnsi"/>
          <w:color w:val="000000"/>
          <w:sz w:val="20"/>
          <w:szCs w:val="20"/>
          <w:lang w:val="es-VE"/>
        </w:rPr>
        <w:t xml:space="preserve"> </w:t>
      </w:r>
      <w:r w:rsidR="0010768E" w:rsidRPr="00E86A8F">
        <w:rPr>
          <w:rFonts w:asciiTheme="majorHAnsi" w:hAnsiTheme="majorHAnsi"/>
          <w:color w:val="000000"/>
          <w:sz w:val="20"/>
          <w:szCs w:val="20"/>
          <w:lang w:val="es-VE"/>
        </w:rPr>
        <w:t>significar</w:t>
      </w:r>
      <w:r w:rsidR="005A1EEC" w:rsidRPr="00E86A8F">
        <w:rPr>
          <w:rFonts w:asciiTheme="majorHAnsi" w:hAnsiTheme="majorHAnsi"/>
          <w:color w:val="000000"/>
          <w:sz w:val="20"/>
          <w:szCs w:val="20"/>
          <w:lang w:val="es-VE"/>
        </w:rPr>
        <w:t xml:space="preserve"> que un funcionario público </w:t>
      </w:r>
      <w:r w:rsidR="0010768E" w:rsidRPr="00E86A8F">
        <w:rPr>
          <w:rFonts w:asciiTheme="majorHAnsi" w:hAnsiTheme="majorHAnsi"/>
          <w:color w:val="000000"/>
          <w:sz w:val="20"/>
          <w:szCs w:val="20"/>
          <w:lang w:val="es-VE"/>
        </w:rPr>
        <w:t>fuera</w:t>
      </w:r>
      <w:r w:rsidR="005A1EEC" w:rsidRPr="00E86A8F">
        <w:rPr>
          <w:rFonts w:asciiTheme="majorHAnsi" w:hAnsiTheme="majorHAnsi"/>
          <w:color w:val="000000"/>
          <w:sz w:val="20"/>
          <w:szCs w:val="20"/>
          <w:lang w:val="es-VE"/>
        </w:rPr>
        <w:t xml:space="preserve"> acusado de participar en ilícitos de connotación pública en forma absolutamente temeraria, sin contar con el más mínimo indicio que h</w:t>
      </w:r>
      <w:r w:rsidR="0010768E" w:rsidRPr="00E86A8F">
        <w:rPr>
          <w:rFonts w:asciiTheme="majorHAnsi" w:hAnsiTheme="majorHAnsi"/>
          <w:color w:val="000000"/>
          <w:sz w:val="20"/>
          <w:szCs w:val="20"/>
          <w:lang w:val="es-VE"/>
        </w:rPr>
        <w:t>iciera</w:t>
      </w:r>
      <w:r w:rsidR="005A1EEC" w:rsidRPr="00E86A8F">
        <w:rPr>
          <w:rFonts w:asciiTheme="majorHAnsi" w:hAnsiTheme="majorHAnsi"/>
          <w:color w:val="000000"/>
          <w:sz w:val="20"/>
          <w:szCs w:val="20"/>
          <w:lang w:val="es-VE"/>
        </w:rPr>
        <w:t xml:space="preserve"> verosímil o que permit</w:t>
      </w:r>
      <w:r w:rsidR="004C49F2" w:rsidRPr="00E86A8F">
        <w:rPr>
          <w:rFonts w:asciiTheme="majorHAnsi" w:hAnsiTheme="majorHAnsi"/>
          <w:color w:val="000000"/>
          <w:sz w:val="20"/>
          <w:szCs w:val="20"/>
          <w:lang w:val="es-VE"/>
        </w:rPr>
        <w:t>iera</w:t>
      </w:r>
      <w:r w:rsidR="005A1EEC" w:rsidRPr="00E86A8F">
        <w:rPr>
          <w:rFonts w:asciiTheme="majorHAnsi" w:hAnsiTheme="majorHAnsi"/>
          <w:color w:val="000000"/>
          <w:sz w:val="20"/>
          <w:szCs w:val="20"/>
          <w:lang w:val="es-VE"/>
        </w:rPr>
        <w:t xml:space="preserve"> suponer que dicha actuación se ha</w:t>
      </w:r>
      <w:r w:rsidR="004C49F2" w:rsidRPr="00E86A8F">
        <w:rPr>
          <w:rFonts w:asciiTheme="majorHAnsi" w:hAnsiTheme="majorHAnsi"/>
          <w:color w:val="000000"/>
          <w:sz w:val="20"/>
          <w:szCs w:val="20"/>
          <w:lang w:val="es-VE"/>
        </w:rPr>
        <w:t>bía</w:t>
      </w:r>
      <w:r w:rsidR="005A1EEC" w:rsidRPr="00E86A8F">
        <w:rPr>
          <w:rFonts w:asciiTheme="majorHAnsi" w:hAnsiTheme="majorHAnsi"/>
          <w:color w:val="000000"/>
          <w:sz w:val="20"/>
          <w:szCs w:val="20"/>
          <w:lang w:val="es-VE"/>
        </w:rPr>
        <w:t xml:space="preserve"> producido. E</w:t>
      </w:r>
      <w:r w:rsidR="004C49F2" w:rsidRPr="00E86A8F">
        <w:rPr>
          <w:rFonts w:asciiTheme="majorHAnsi" w:hAnsiTheme="majorHAnsi"/>
          <w:color w:val="000000"/>
          <w:sz w:val="20"/>
          <w:szCs w:val="20"/>
          <w:lang w:val="es-VE"/>
        </w:rPr>
        <w:t>l Estado destacó que e</w:t>
      </w:r>
      <w:r w:rsidR="005A1EEC" w:rsidRPr="00E86A8F">
        <w:rPr>
          <w:rFonts w:asciiTheme="majorHAnsi" w:hAnsiTheme="majorHAnsi"/>
          <w:color w:val="000000"/>
          <w:sz w:val="20"/>
          <w:szCs w:val="20"/>
          <w:lang w:val="es-VE"/>
        </w:rPr>
        <w:t>ste tipo de acusaciones demanda</w:t>
      </w:r>
      <w:r w:rsidR="004C49F2" w:rsidRPr="00E86A8F">
        <w:rPr>
          <w:rFonts w:asciiTheme="majorHAnsi" w:hAnsiTheme="majorHAnsi"/>
          <w:color w:val="000000"/>
          <w:sz w:val="20"/>
          <w:szCs w:val="20"/>
          <w:lang w:val="es-VE"/>
        </w:rPr>
        <w:t>ban</w:t>
      </w:r>
      <w:r w:rsidR="005A1EEC" w:rsidRPr="00E86A8F">
        <w:rPr>
          <w:rFonts w:asciiTheme="majorHAnsi" w:hAnsiTheme="majorHAnsi"/>
          <w:color w:val="000000"/>
          <w:sz w:val="20"/>
          <w:szCs w:val="20"/>
          <w:lang w:val="es-VE"/>
        </w:rPr>
        <w:t xml:space="preserve"> una respuesta efectiva por parte del Estado, es decir, la determinación de la responsabilidad ulterior y la aplicación de una sanción penal proporcionada. </w:t>
      </w:r>
      <w:r w:rsidR="00343152" w:rsidRPr="00E86A8F">
        <w:rPr>
          <w:rFonts w:asciiTheme="majorHAnsi" w:hAnsiTheme="majorHAnsi"/>
          <w:color w:val="000000"/>
          <w:sz w:val="20"/>
          <w:szCs w:val="20"/>
          <w:lang w:val="es-VE"/>
        </w:rPr>
        <w:t>Señaló que e</w:t>
      </w:r>
      <w:r w:rsidR="005A1EEC" w:rsidRPr="00E86A8F">
        <w:rPr>
          <w:rFonts w:asciiTheme="majorHAnsi" w:hAnsiTheme="majorHAnsi"/>
          <w:color w:val="000000"/>
          <w:sz w:val="20"/>
          <w:szCs w:val="20"/>
          <w:lang w:val="es-VE"/>
        </w:rPr>
        <w:t>l mayor umbral de tolerancia t</w:t>
      </w:r>
      <w:r w:rsidR="00343152" w:rsidRPr="00E86A8F">
        <w:rPr>
          <w:rFonts w:asciiTheme="majorHAnsi" w:hAnsiTheme="majorHAnsi"/>
          <w:color w:val="000000"/>
          <w:sz w:val="20"/>
          <w:szCs w:val="20"/>
          <w:lang w:val="es-VE"/>
        </w:rPr>
        <w:t>enía</w:t>
      </w:r>
      <w:r w:rsidR="005A1EEC" w:rsidRPr="00E86A8F">
        <w:rPr>
          <w:rFonts w:asciiTheme="majorHAnsi" w:hAnsiTheme="majorHAnsi"/>
          <w:color w:val="000000"/>
          <w:sz w:val="20"/>
          <w:szCs w:val="20"/>
          <w:lang w:val="es-VE"/>
        </w:rPr>
        <w:t xml:space="preserve"> relación con el debate democrático y el intercambio de ideas, pero en nada aporta</w:t>
      </w:r>
      <w:r w:rsidR="00343152" w:rsidRPr="00E86A8F">
        <w:rPr>
          <w:rFonts w:asciiTheme="majorHAnsi" w:hAnsiTheme="majorHAnsi"/>
          <w:color w:val="000000"/>
          <w:sz w:val="20"/>
          <w:szCs w:val="20"/>
          <w:lang w:val="es-VE"/>
        </w:rPr>
        <w:t>ban</w:t>
      </w:r>
      <w:r w:rsidR="005A1EEC" w:rsidRPr="00E86A8F">
        <w:rPr>
          <w:rFonts w:asciiTheme="majorHAnsi" w:hAnsiTheme="majorHAnsi"/>
          <w:color w:val="000000"/>
          <w:sz w:val="20"/>
          <w:szCs w:val="20"/>
          <w:lang w:val="es-VE"/>
        </w:rPr>
        <w:t xml:space="preserve"> a este objetivo graves ofensas infundadas. Señaló que las críticas del </w:t>
      </w:r>
      <w:r w:rsidR="00EC477E" w:rsidRPr="00E86A8F">
        <w:rPr>
          <w:rFonts w:asciiTheme="majorHAnsi" w:hAnsiTheme="majorHAnsi"/>
          <w:color w:val="000000"/>
          <w:sz w:val="20"/>
          <w:szCs w:val="20"/>
          <w:lang w:val="es-VE"/>
        </w:rPr>
        <w:t>señor</w:t>
      </w:r>
      <w:r w:rsidR="005A1EEC" w:rsidRPr="00E86A8F">
        <w:rPr>
          <w:rFonts w:asciiTheme="majorHAnsi" w:hAnsiTheme="majorHAnsi"/>
          <w:color w:val="000000"/>
          <w:sz w:val="20"/>
          <w:szCs w:val="20"/>
          <w:lang w:val="es-VE"/>
        </w:rPr>
        <w:t xml:space="preserve"> Baraona </w:t>
      </w:r>
      <w:r w:rsidR="00945C50" w:rsidRPr="00E86A8F">
        <w:rPr>
          <w:rFonts w:asciiTheme="majorHAnsi" w:hAnsiTheme="majorHAnsi"/>
          <w:color w:val="000000"/>
          <w:sz w:val="20"/>
          <w:szCs w:val="20"/>
          <w:lang w:val="es-VE"/>
        </w:rPr>
        <w:t>no</w:t>
      </w:r>
      <w:r w:rsidR="005A1EEC" w:rsidRPr="00E86A8F">
        <w:rPr>
          <w:rFonts w:asciiTheme="majorHAnsi" w:hAnsiTheme="majorHAnsi"/>
          <w:color w:val="000000"/>
          <w:sz w:val="20"/>
          <w:szCs w:val="20"/>
          <w:lang w:val="es-VE"/>
        </w:rPr>
        <w:t xml:space="preserve"> ayudaron a mejorar el sistema democrático ni aportaron al debate público sobre la tala ilegal del alerce.</w:t>
      </w:r>
    </w:p>
    <w:p w14:paraId="3D422A48" w14:textId="77777777" w:rsidR="00BB4FE6" w:rsidRPr="00E86A8F" w:rsidRDefault="00BB4FE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VE"/>
        </w:rPr>
      </w:pPr>
    </w:p>
    <w:p w14:paraId="0938F2E2" w14:textId="76A71622"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Respecto de la sanción penal, el Estado manifestó que la respuesta penal frente a afectaciones graves al derecho a la honra no est</w:t>
      </w:r>
      <w:r w:rsidR="008957C5" w:rsidRPr="00E86A8F">
        <w:rPr>
          <w:rFonts w:asciiTheme="majorHAnsi" w:hAnsiTheme="majorHAnsi"/>
          <w:color w:val="000000"/>
          <w:sz w:val="20"/>
          <w:szCs w:val="20"/>
          <w:lang w:val="es-VE"/>
        </w:rPr>
        <w:t>aba</w:t>
      </w:r>
      <w:r w:rsidRPr="00E86A8F">
        <w:rPr>
          <w:rFonts w:asciiTheme="majorHAnsi" w:hAnsiTheme="majorHAnsi"/>
          <w:color w:val="000000"/>
          <w:sz w:val="20"/>
          <w:szCs w:val="20"/>
          <w:lang w:val="es-VE"/>
        </w:rPr>
        <w:t xml:space="preserve"> prohibida por la Convención, </w:t>
      </w:r>
      <w:r w:rsidR="0031215F" w:rsidRPr="00E86A8F">
        <w:rPr>
          <w:rFonts w:asciiTheme="majorHAnsi" w:hAnsiTheme="majorHAnsi"/>
          <w:color w:val="000000"/>
          <w:sz w:val="20"/>
          <w:szCs w:val="20"/>
          <w:lang w:val="es-VE"/>
        </w:rPr>
        <w:t>y</w:t>
      </w:r>
      <w:r w:rsidRPr="00E86A8F">
        <w:rPr>
          <w:rFonts w:asciiTheme="majorHAnsi" w:hAnsiTheme="majorHAnsi"/>
          <w:color w:val="000000"/>
          <w:sz w:val="20"/>
          <w:szCs w:val="20"/>
          <w:lang w:val="es-VE"/>
        </w:rPr>
        <w:t xml:space="preserve"> que tanto la Corte como la Comisión así lo han reconoci</w:t>
      </w:r>
      <w:r w:rsidR="00945C50" w:rsidRPr="00E86A8F">
        <w:rPr>
          <w:rFonts w:asciiTheme="majorHAnsi" w:hAnsiTheme="majorHAnsi"/>
          <w:color w:val="000000"/>
          <w:sz w:val="20"/>
          <w:szCs w:val="20"/>
          <w:lang w:val="es-VE"/>
        </w:rPr>
        <w:t>do. Precisó que la Tribunal Europeo</w:t>
      </w:r>
      <w:r w:rsidRPr="00E86A8F">
        <w:rPr>
          <w:rFonts w:asciiTheme="majorHAnsi" w:hAnsiTheme="majorHAnsi"/>
          <w:color w:val="000000"/>
          <w:sz w:val="20"/>
          <w:szCs w:val="20"/>
          <w:lang w:val="es-VE"/>
        </w:rPr>
        <w:t xml:space="preserve"> ha considerado a la vía penal como una vía legítima, incluso para la protección del honor de autoridades públicas en casos especialmente graves. </w:t>
      </w:r>
    </w:p>
    <w:p w14:paraId="6B6F435E" w14:textId="77777777" w:rsidR="00BB4FE6" w:rsidRPr="00E86A8F" w:rsidRDefault="00BB4FE6" w:rsidP="00073BB6">
      <w:pPr>
        <w:pStyle w:val="ListParagraph"/>
        <w:ind w:left="0"/>
        <w:rPr>
          <w:rFonts w:asciiTheme="majorHAnsi" w:hAnsiTheme="majorHAnsi"/>
          <w:sz w:val="20"/>
          <w:szCs w:val="20"/>
          <w:lang w:val="es-VE"/>
        </w:rPr>
      </w:pPr>
    </w:p>
    <w:p w14:paraId="68CA79A1" w14:textId="62A64652"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El Estado afirmó que el artículo 10 de la Declaración de Principios sobre Libert</w:t>
      </w:r>
      <w:r w:rsidR="00090F9B" w:rsidRPr="00E86A8F">
        <w:rPr>
          <w:rFonts w:asciiTheme="majorHAnsi" w:hAnsiTheme="majorHAnsi"/>
          <w:color w:val="000000"/>
          <w:sz w:val="20"/>
          <w:szCs w:val="20"/>
          <w:lang w:val="es-VE"/>
        </w:rPr>
        <w:t>ad de Expresión de la CIDH no era</w:t>
      </w:r>
      <w:r w:rsidRPr="00E86A8F">
        <w:rPr>
          <w:rFonts w:asciiTheme="majorHAnsi" w:hAnsiTheme="majorHAnsi"/>
          <w:color w:val="000000"/>
          <w:sz w:val="20"/>
          <w:szCs w:val="20"/>
          <w:lang w:val="es-VE"/>
        </w:rPr>
        <w:t xml:space="preserve"> aplicable al caso puntual debido a que el </w:t>
      </w:r>
      <w:r w:rsidR="0031215F" w:rsidRPr="00E86A8F">
        <w:rPr>
          <w:rFonts w:asciiTheme="majorHAnsi" w:hAnsiTheme="majorHAnsi"/>
          <w:color w:val="000000"/>
          <w:sz w:val="20"/>
          <w:szCs w:val="20"/>
          <w:lang w:val="es-VE"/>
        </w:rPr>
        <w:t>señor</w:t>
      </w:r>
      <w:r w:rsidRPr="00E86A8F">
        <w:rPr>
          <w:rFonts w:asciiTheme="majorHAnsi" w:hAnsiTheme="majorHAnsi"/>
          <w:color w:val="000000"/>
          <w:sz w:val="20"/>
          <w:szCs w:val="20"/>
          <w:lang w:val="es-VE"/>
        </w:rPr>
        <w:t xml:space="preserve"> Baraona no e</w:t>
      </w:r>
      <w:r w:rsidR="0031215F" w:rsidRPr="00E86A8F">
        <w:rPr>
          <w:rFonts w:asciiTheme="majorHAnsi" w:hAnsiTheme="majorHAnsi"/>
          <w:color w:val="000000"/>
          <w:sz w:val="20"/>
          <w:szCs w:val="20"/>
          <w:lang w:val="es-VE"/>
        </w:rPr>
        <w:t>ra</w:t>
      </w:r>
      <w:r w:rsidRPr="00E86A8F">
        <w:rPr>
          <w:rFonts w:asciiTheme="majorHAnsi" w:hAnsiTheme="majorHAnsi"/>
          <w:color w:val="000000"/>
          <w:sz w:val="20"/>
          <w:szCs w:val="20"/>
          <w:lang w:val="es-VE"/>
        </w:rPr>
        <w:t xml:space="preserve"> un comunicador social, agregando que la difusión de información sobre este asunto de interés público no se vio afectada de manera alguna. Precisó </w:t>
      </w:r>
      <w:r w:rsidRPr="00E86A8F">
        <w:rPr>
          <w:rFonts w:asciiTheme="majorHAnsi" w:hAnsiTheme="majorHAnsi"/>
          <w:color w:val="000000"/>
          <w:sz w:val="20"/>
          <w:szCs w:val="20"/>
          <w:lang w:val="es-VE"/>
        </w:rPr>
        <w:lastRenderedPageBreak/>
        <w:t xml:space="preserve">que, aún en el caso </w:t>
      </w:r>
      <w:r w:rsidR="00581B8E" w:rsidRPr="00E86A8F">
        <w:rPr>
          <w:rFonts w:asciiTheme="majorHAnsi" w:hAnsiTheme="majorHAnsi"/>
          <w:color w:val="000000"/>
          <w:sz w:val="20"/>
          <w:szCs w:val="20"/>
          <w:lang w:val="es-VE"/>
        </w:rPr>
        <w:t>de</w:t>
      </w:r>
      <w:r w:rsidRPr="00E86A8F">
        <w:rPr>
          <w:rFonts w:asciiTheme="majorHAnsi" w:hAnsiTheme="majorHAnsi"/>
          <w:color w:val="000000"/>
          <w:sz w:val="20"/>
          <w:szCs w:val="20"/>
          <w:lang w:val="es-VE"/>
        </w:rPr>
        <w:t xml:space="preserve"> que fuera aplicable, la actuación del </w:t>
      </w:r>
      <w:r w:rsidR="00EC477E" w:rsidRPr="00E86A8F">
        <w:rPr>
          <w:rFonts w:asciiTheme="majorHAnsi" w:hAnsiTheme="majorHAnsi"/>
          <w:color w:val="000000"/>
          <w:sz w:val="20"/>
          <w:szCs w:val="20"/>
          <w:lang w:val="es-VE"/>
        </w:rPr>
        <w:t>señor</w:t>
      </w:r>
      <w:r w:rsidRPr="00E86A8F">
        <w:rPr>
          <w:rFonts w:asciiTheme="majorHAnsi" w:hAnsiTheme="majorHAnsi"/>
          <w:color w:val="000000"/>
          <w:sz w:val="20"/>
          <w:szCs w:val="20"/>
          <w:lang w:val="es-VE"/>
        </w:rPr>
        <w:t xml:space="preserve"> Baraona se enmarca</w:t>
      </w:r>
      <w:r w:rsidR="00581B8E" w:rsidRPr="00E86A8F">
        <w:rPr>
          <w:rFonts w:asciiTheme="majorHAnsi" w:hAnsiTheme="majorHAnsi"/>
          <w:color w:val="000000"/>
          <w:sz w:val="20"/>
          <w:szCs w:val="20"/>
          <w:lang w:val="es-VE"/>
        </w:rPr>
        <w:t>ba</w:t>
      </w:r>
      <w:r w:rsidRPr="00E86A8F">
        <w:rPr>
          <w:rFonts w:asciiTheme="majorHAnsi" w:hAnsiTheme="majorHAnsi"/>
          <w:color w:val="000000"/>
          <w:sz w:val="20"/>
          <w:szCs w:val="20"/>
          <w:lang w:val="es-VE"/>
        </w:rPr>
        <w:t xml:space="preserve"> en la situación descrita en la parte final del artículo, en el sentido de que se condujo con una notable y manifiesta negligencia en la búsqueda de la verdad de sus declaraciones ya que no aportó ninguna prueba para fundarlas.</w:t>
      </w:r>
    </w:p>
    <w:p w14:paraId="2DF905BB" w14:textId="77777777" w:rsidR="00BB4FE6" w:rsidRPr="00E86A8F" w:rsidRDefault="00BB4FE6" w:rsidP="00073BB6">
      <w:pPr>
        <w:pStyle w:val="ListParagraph"/>
        <w:ind w:left="0"/>
        <w:rPr>
          <w:rFonts w:asciiTheme="majorHAnsi" w:hAnsiTheme="majorHAnsi"/>
          <w:sz w:val="20"/>
          <w:szCs w:val="20"/>
          <w:lang w:val="es-VE"/>
        </w:rPr>
      </w:pPr>
    </w:p>
    <w:p w14:paraId="3AA8F1CD" w14:textId="132EB5A2"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 xml:space="preserve">Considerando lo expuesto y la gravedad manifiesta de la afectación al honor del </w:t>
      </w:r>
      <w:r w:rsidR="00581B8E" w:rsidRPr="00E86A8F">
        <w:rPr>
          <w:rFonts w:asciiTheme="majorHAnsi" w:hAnsiTheme="majorHAnsi"/>
          <w:color w:val="000000"/>
          <w:sz w:val="20"/>
          <w:szCs w:val="20"/>
          <w:lang w:val="es-VE"/>
        </w:rPr>
        <w:t>s</w:t>
      </w:r>
      <w:r w:rsidRPr="00E86A8F">
        <w:rPr>
          <w:rFonts w:asciiTheme="majorHAnsi" w:hAnsiTheme="majorHAnsi"/>
          <w:color w:val="000000"/>
          <w:sz w:val="20"/>
          <w:szCs w:val="20"/>
          <w:lang w:val="es-VE"/>
        </w:rPr>
        <w:t xml:space="preserve">eñor Páez, el Estado afirmó que la respuesta penal </w:t>
      </w:r>
      <w:r w:rsidR="00090F9B" w:rsidRPr="00E86A8F">
        <w:rPr>
          <w:rFonts w:asciiTheme="majorHAnsi" w:hAnsiTheme="majorHAnsi"/>
          <w:color w:val="000000"/>
          <w:sz w:val="20"/>
          <w:szCs w:val="20"/>
          <w:lang w:val="es-VE"/>
        </w:rPr>
        <w:t>fue</w:t>
      </w:r>
      <w:r w:rsidRPr="00E86A8F">
        <w:rPr>
          <w:rFonts w:asciiTheme="majorHAnsi" w:hAnsiTheme="majorHAnsi"/>
          <w:color w:val="000000"/>
          <w:sz w:val="20"/>
          <w:szCs w:val="20"/>
          <w:lang w:val="es-VE"/>
        </w:rPr>
        <w:t xml:space="preserve"> necesaria, adecuada y proporcional en una sociedad democrática, en aras de garantizar la transparencia y seriedad del debate público. En cuanto a la proporcionalidad, el Estado destacó que la pena privativa de libertad fue rebajada a su grado mínimo, de manera que no fue recluido ni permaneció en prisión, y que la multa consistió en una suma de dinero poco onerosa. </w:t>
      </w:r>
    </w:p>
    <w:p w14:paraId="300A1B85" w14:textId="77777777" w:rsidR="00BB4FE6" w:rsidRPr="00E86A8F" w:rsidRDefault="00BB4FE6" w:rsidP="00073BB6">
      <w:pPr>
        <w:pStyle w:val="ListParagraph"/>
        <w:ind w:left="0"/>
        <w:rPr>
          <w:rFonts w:asciiTheme="majorHAnsi" w:hAnsiTheme="majorHAnsi"/>
          <w:sz w:val="20"/>
          <w:szCs w:val="20"/>
          <w:lang w:val="es-VE"/>
        </w:rPr>
      </w:pPr>
    </w:p>
    <w:p w14:paraId="7E5116EB" w14:textId="1B1D6BB0" w:rsidR="005A1EEC" w:rsidRPr="00E86A8F" w:rsidRDefault="005A1EE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000000"/>
          <w:sz w:val="20"/>
          <w:szCs w:val="20"/>
          <w:lang w:val="es-VE"/>
        </w:rPr>
      </w:pPr>
      <w:r w:rsidRPr="00E86A8F">
        <w:rPr>
          <w:rFonts w:asciiTheme="majorHAnsi" w:hAnsiTheme="majorHAnsi"/>
          <w:color w:val="000000"/>
          <w:sz w:val="20"/>
          <w:szCs w:val="20"/>
          <w:lang w:val="es-VE"/>
        </w:rPr>
        <w:t xml:space="preserve">Respecto del efecto silenciador de la sanción penal, el Estado aseguró que el debate sobre la tala ilegal del alerce no se vio acallado en lo absoluto por este caso, ya que </w:t>
      </w:r>
      <w:r w:rsidR="00090F9B" w:rsidRPr="00E86A8F">
        <w:rPr>
          <w:rFonts w:asciiTheme="majorHAnsi" w:hAnsiTheme="majorHAnsi"/>
          <w:color w:val="000000"/>
          <w:sz w:val="20"/>
          <w:szCs w:val="20"/>
          <w:lang w:val="es-VE"/>
        </w:rPr>
        <w:t xml:space="preserve">el señor Baraona, </w:t>
      </w:r>
      <w:r w:rsidRPr="00E86A8F">
        <w:rPr>
          <w:rFonts w:asciiTheme="majorHAnsi" w:hAnsiTheme="majorHAnsi"/>
          <w:color w:val="000000"/>
          <w:sz w:val="20"/>
          <w:szCs w:val="20"/>
          <w:lang w:val="es-VE"/>
        </w:rPr>
        <w:t>incluso</w:t>
      </w:r>
      <w:r w:rsidR="00090F9B" w:rsidRPr="00E86A8F">
        <w:rPr>
          <w:rFonts w:asciiTheme="majorHAnsi" w:hAnsiTheme="majorHAnsi"/>
          <w:color w:val="000000"/>
          <w:sz w:val="20"/>
          <w:szCs w:val="20"/>
          <w:lang w:val="es-VE"/>
        </w:rPr>
        <w:t>,</w:t>
      </w:r>
      <w:r w:rsidRPr="00E86A8F">
        <w:rPr>
          <w:rFonts w:asciiTheme="majorHAnsi" w:hAnsiTheme="majorHAnsi"/>
          <w:color w:val="000000"/>
          <w:sz w:val="20"/>
          <w:szCs w:val="20"/>
          <w:lang w:val="es-VE"/>
        </w:rPr>
        <w:t xml:space="preserve"> continuó atribuyendo participación al </w:t>
      </w:r>
      <w:r w:rsidR="009B5A95" w:rsidRPr="00E86A8F">
        <w:rPr>
          <w:rFonts w:asciiTheme="majorHAnsi" w:hAnsiTheme="majorHAnsi"/>
          <w:color w:val="000000"/>
          <w:sz w:val="20"/>
          <w:szCs w:val="20"/>
          <w:lang w:val="es-VE"/>
        </w:rPr>
        <w:t>s</w:t>
      </w:r>
      <w:r w:rsidRPr="00E86A8F">
        <w:rPr>
          <w:rFonts w:asciiTheme="majorHAnsi" w:hAnsiTheme="majorHAnsi"/>
          <w:color w:val="000000"/>
          <w:sz w:val="20"/>
          <w:szCs w:val="20"/>
          <w:lang w:val="es-VE"/>
        </w:rPr>
        <w:t>eñor Páez en acciones ilícitas a través de los medios de comunicación social. Además, sostuvo que tampoco se provocó una afectación a la libre circulación de ideas e información sobre este asunto de interés público</w:t>
      </w:r>
      <w:r w:rsidR="009B5A95" w:rsidRPr="00E86A8F">
        <w:rPr>
          <w:rFonts w:asciiTheme="majorHAnsi" w:hAnsiTheme="majorHAnsi"/>
          <w:color w:val="000000"/>
          <w:sz w:val="20"/>
          <w:szCs w:val="20"/>
          <w:lang w:val="es-VE"/>
        </w:rPr>
        <w:t>,</w:t>
      </w:r>
      <w:r w:rsidRPr="00E86A8F">
        <w:rPr>
          <w:rFonts w:asciiTheme="majorHAnsi" w:hAnsiTheme="majorHAnsi"/>
          <w:color w:val="000000"/>
          <w:sz w:val="20"/>
          <w:szCs w:val="20"/>
          <w:lang w:val="es-VE"/>
        </w:rPr>
        <w:t xml:space="preserve"> ya que la difusión de la información no se vio mermada, amenazada ni vulnerada, las declaraciones del denunciante fueron vertidas junto con muchas otras declaraciones sobre el tema en los medios de comunicación social de Chile, generando un intenso debate nacional. </w:t>
      </w:r>
    </w:p>
    <w:p w14:paraId="5AD0EB2E" w14:textId="77777777" w:rsidR="00BB4FE6" w:rsidRPr="00E86A8F" w:rsidRDefault="00BB4FE6" w:rsidP="00073BB6">
      <w:pPr>
        <w:pStyle w:val="ListParagraph"/>
        <w:ind w:left="0"/>
        <w:rPr>
          <w:rFonts w:asciiTheme="majorHAnsi" w:hAnsiTheme="majorHAnsi"/>
          <w:sz w:val="20"/>
          <w:szCs w:val="20"/>
          <w:lang w:val="es-VE"/>
        </w:rPr>
      </w:pPr>
    </w:p>
    <w:p w14:paraId="1E2F144B" w14:textId="39A628D1" w:rsidR="00D12193" w:rsidRPr="00E86A8F" w:rsidRDefault="00D12193" w:rsidP="00073BB6">
      <w:pPr>
        <w:pStyle w:val="Heading1"/>
        <w:ind w:left="0" w:firstLine="0"/>
        <w:jc w:val="both"/>
      </w:pPr>
      <w:bookmarkStart w:id="10" w:name="_Toc6937373"/>
      <w:bookmarkStart w:id="11" w:name="_Toc11073101"/>
      <w:r w:rsidRPr="00E86A8F">
        <w:t>DETERMINACIONES DE HECHO</w:t>
      </w:r>
      <w:bookmarkEnd w:id="10"/>
      <w:bookmarkEnd w:id="11"/>
      <w:r w:rsidR="008A078F" w:rsidRPr="00E86A8F">
        <w:t xml:space="preserve"> </w:t>
      </w:r>
    </w:p>
    <w:p w14:paraId="0BDBC1B8" w14:textId="77777777" w:rsidR="00BB4FE6" w:rsidRPr="00E86A8F" w:rsidRDefault="00BB4FE6" w:rsidP="00073BB6">
      <w:pPr>
        <w:pStyle w:val="Heading2"/>
        <w:numPr>
          <w:ilvl w:val="0"/>
          <w:numId w:val="0"/>
        </w:numPr>
        <w:tabs>
          <w:tab w:val="clear" w:pos="1418"/>
        </w:tabs>
        <w:rPr>
          <w:rFonts w:asciiTheme="majorHAnsi" w:hAnsiTheme="majorHAnsi"/>
          <w:lang w:eastAsia="es-ES"/>
        </w:rPr>
      </w:pPr>
    </w:p>
    <w:p w14:paraId="0F2A3626" w14:textId="7EF2AAF2" w:rsidR="00F62C02" w:rsidRPr="00E86A8F" w:rsidRDefault="009F5AAC" w:rsidP="00073BB6">
      <w:pPr>
        <w:pStyle w:val="Heading2"/>
        <w:numPr>
          <w:ilvl w:val="0"/>
          <w:numId w:val="60"/>
        </w:numPr>
        <w:tabs>
          <w:tab w:val="clear" w:pos="1418"/>
        </w:tabs>
        <w:ind w:left="0" w:firstLine="0"/>
        <w:jc w:val="both"/>
        <w:rPr>
          <w:rFonts w:asciiTheme="majorHAnsi" w:hAnsiTheme="majorHAnsi"/>
        </w:rPr>
      </w:pPr>
      <w:bookmarkStart w:id="12" w:name="_Toc6937374"/>
      <w:bookmarkStart w:id="13" w:name="_Toc11073102"/>
      <w:r w:rsidRPr="00E86A8F">
        <w:rPr>
          <w:rFonts w:asciiTheme="majorHAnsi" w:hAnsiTheme="majorHAnsi"/>
        </w:rPr>
        <w:t>Marco normativo relevante</w:t>
      </w:r>
      <w:bookmarkEnd w:id="12"/>
      <w:bookmarkEnd w:id="13"/>
    </w:p>
    <w:p w14:paraId="3E94F2B6" w14:textId="77777777" w:rsidR="0047437E" w:rsidRPr="00E86A8F" w:rsidRDefault="0047437E" w:rsidP="00073BB6">
      <w:pPr>
        <w:pStyle w:val="Heading2"/>
        <w:numPr>
          <w:ilvl w:val="0"/>
          <w:numId w:val="0"/>
        </w:numPr>
        <w:tabs>
          <w:tab w:val="clear" w:pos="1418"/>
        </w:tabs>
        <w:rPr>
          <w:rFonts w:asciiTheme="majorHAnsi" w:hAnsiTheme="majorHAnsi"/>
        </w:rPr>
      </w:pPr>
    </w:p>
    <w:p w14:paraId="08A36F3D" w14:textId="3E26E40C" w:rsidR="00BB4FE6" w:rsidRPr="00E86A8F" w:rsidRDefault="008F524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PE"/>
        </w:rPr>
        <w:t xml:space="preserve">Al momento de la ocurrencia de los hechos, </w:t>
      </w:r>
      <w:r w:rsidR="00603236" w:rsidRPr="00E86A8F">
        <w:rPr>
          <w:rFonts w:asciiTheme="majorHAnsi" w:hAnsiTheme="majorHAnsi"/>
          <w:sz w:val="20"/>
          <w:szCs w:val="20"/>
          <w:lang w:val="es-PE"/>
        </w:rPr>
        <w:t>el</w:t>
      </w:r>
      <w:r w:rsidRPr="00E86A8F">
        <w:rPr>
          <w:rFonts w:asciiTheme="majorHAnsi" w:hAnsiTheme="majorHAnsi"/>
          <w:sz w:val="20"/>
          <w:szCs w:val="20"/>
          <w:lang w:val="es-PE"/>
        </w:rPr>
        <w:t xml:space="preserve"> </w:t>
      </w:r>
      <w:r w:rsidR="00CB0975" w:rsidRPr="00E86A8F">
        <w:rPr>
          <w:rFonts w:asciiTheme="majorHAnsi" w:hAnsiTheme="majorHAnsi"/>
          <w:sz w:val="20"/>
          <w:szCs w:val="20"/>
          <w:lang w:val="es-PE"/>
        </w:rPr>
        <w:t xml:space="preserve">delito de injuria grave, </w:t>
      </w:r>
      <w:r w:rsidR="00603236" w:rsidRPr="00E86A8F">
        <w:rPr>
          <w:rFonts w:asciiTheme="majorHAnsi" w:hAnsiTheme="majorHAnsi"/>
          <w:sz w:val="20"/>
          <w:szCs w:val="20"/>
          <w:lang w:val="es-PE"/>
        </w:rPr>
        <w:t>y dem</w:t>
      </w:r>
      <w:r w:rsidR="000B548A" w:rsidRPr="00E86A8F">
        <w:rPr>
          <w:rFonts w:asciiTheme="majorHAnsi" w:hAnsiTheme="majorHAnsi"/>
          <w:sz w:val="20"/>
          <w:szCs w:val="20"/>
          <w:lang w:val="es-PE"/>
        </w:rPr>
        <w:t>á</w:t>
      </w:r>
      <w:r w:rsidR="00603236" w:rsidRPr="00E86A8F">
        <w:rPr>
          <w:rFonts w:asciiTheme="majorHAnsi" w:hAnsiTheme="majorHAnsi"/>
          <w:sz w:val="20"/>
          <w:szCs w:val="20"/>
          <w:lang w:val="es-PE"/>
        </w:rPr>
        <w:t xml:space="preserve">s normativa </w:t>
      </w:r>
      <w:r w:rsidR="00591AD4" w:rsidRPr="00E86A8F">
        <w:rPr>
          <w:rFonts w:asciiTheme="majorHAnsi" w:hAnsiTheme="majorHAnsi"/>
          <w:sz w:val="20"/>
          <w:szCs w:val="20"/>
          <w:lang w:val="es-PE"/>
        </w:rPr>
        <w:t xml:space="preserve">pertinente </w:t>
      </w:r>
      <w:r w:rsidR="00603236" w:rsidRPr="00E86A8F">
        <w:rPr>
          <w:rFonts w:asciiTheme="majorHAnsi" w:hAnsiTheme="majorHAnsi"/>
          <w:sz w:val="20"/>
          <w:szCs w:val="20"/>
          <w:lang w:val="es-PE"/>
        </w:rPr>
        <w:t>para e</w:t>
      </w:r>
      <w:r w:rsidR="00591AD4" w:rsidRPr="00E86A8F">
        <w:rPr>
          <w:rFonts w:asciiTheme="majorHAnsi" w:hAnsiTheme="majorHAnsi"/>
          <w:sz w:val="20"/>
          <w:szCs w:val="20"/>
          <w:lang w:val="es-PE"/>
        </w:rPr>
        <w:t xml:space="preserve">l presente caso, </w:t>
      </w:r>
      <w:r w:rsidR="00CB0975" w:rsidRPr="00E86A8F">
        <w:rPr>
          <w:rFonts w:asciiTheme="majorHAnsi" w:hAnsiTheme="majorHAnsi"/>
          <w:sz w:val="20"/>
          <w:szCs w:val="20"/>
          <w:lang w:val="es-PE"/>
        </w:rPr>
        <w:t xml:space="preserve">así como </w:t>
      </w:r>
      <w:r w:rsidR="00591AD4" w:rsidRPr="00E86A8F">
        <w:rPr>
          <w:rFonts w:asciiTheme="majorHAnsi" w:hAnsiTheme="majorHAnsi"/>
          <w:sz w:val="20"/>
          <w:szCs w:val="20"/>
          <w:lang w:val="es-PE"/>
        </w:rPr>
        <w:t>la regulación</w:t>
      </w:r>
      <w:r w:rsidR="002A567E" w:rsidRPr="00E86A8F">
        <w:rPr>
          <w:rFonts w:asciiTheme="majorHAnsi" w:hAnsiTheme="majorHAnsi"/>
          <w:sz w:val="20"/>
          <w:szCs w:val="20"/>
          <w:lang w:val="es-PE"/>
        </w:rPr>
        <w:t xml:space="preserve"> de la </w:t>
      </w:r>
      <w:r w:rsidR="00CB0975" w:rsidRPr="00E86A8F">
        <w:rPr>
          <w:rFonts w:asciiTheme="majorHAnsi" w:hAnsiTheme="majorHAnsi"/>
          <w:sz w:val="20"/>
          <w:szCs w:val="20"/>
          <w:lang w:val="es-PE"/>
        </w:rPr>
        <w:t>comisión</w:t>
      </w:r>
      <w:r w:rsidR="002A567E" w:rsidRPr="00E86A8F">
        <w:rPr>
          <w:rFonts w:asciiTheme="majorHAnsi" w:hAnsiTheme="majorHAnsi"/>
          <w:sz w:val="20"/>
          <w:szCs w:val="20"/>
          <w:lang w:val="es-PE"/>
        </w:rPr>
        <w:t xml:space="preserve"> de </w:t>
      </w:r>
      <w:r w:rsidR="000B548A" w:rsidRPr="00E86A8F">
        <w:rPr>
          <w:rFonts w:asciiTheme="majorHAnsi" w:hAnsiTheme="majorHAnsi"/>
          <w:sz w:val="20"/>
          <w:szCs w:val="20"/>
          <w:lang w:val="es-PE"/>
        </w:rPr>
        <w:t>aquel</w:t>
      </w:r>
      <w:r w:rsidR="00CB0975" w:rsidRPr="00E86A8F">
        <w:rPr>
          <w:rFonts w:asciiTheme="majorHAnsi" w:hAnsiTheme="majorHAnsi"/>
          <w:sz w:val="20"/>
          <w:szCs w:val="20"/>
          <w:lang w:val="es-PE"/>
        </w:rPr>
        <w:t xml:space="preserve"> a través de un medio de comunicación</w:t>
      </w:r>
      <w:r w:rsidR="002A567E" w:rsidRPr="00E86A8F">
        <w:rPr>
          <w:rFonts w:asciiTheme="majorHAnsi" w:hAnsiTheme="majorHAnsi"/>
          <w:sz w:val="20"/>
          <w:szCs w:val="20"/>
          <w:lang w:val="es-PE"/>
        </w:rPr>
        <w:t xml:space="preserve">, </w:t>
      </w:r>
      <w:r w:rsidR="00CB0975" w:rsidRPr="00E86A8F">
        <w:rPr>
          <w:rFonts w:asciiTheme="majorHAnsi" w:hAnsiTheme="majorHAnsi"/>
          <w:sz w:val="20"/>
          <w:szCs w:val="20"/>
          <w:lang w:val="es-PE"/>
        </w:rPr>
        <w:t xml:space="preserve">se encontraban regulados en </w:t>
      </w:r>
      <w:r w:rsidR="002A567E" w:rsidRPr="00E86A8F">
        <w:rPr>
          <w:rFonts w:asciiTheme="majorHAnsi" w:hAnsiTheme="majorHAnsi"/>
          <w:sz w:val="20"/>
          <w:szCs w:val="20"/>
          <w:lang w:val="es-PE"/>
        </w:rPr>
        <w:t xml:space="preserve">el Código Penal y en la Ley No. </w:t>
      </w:r>
      <w:r w:rsidR="00465652" w:rsidRPr="00E86A8F">
        <w:rPr>
          <w:rFonts w:asciiTheme="majorHAnsi" w:hAnsiTheme="majorHAnsi"/>
          <w:sz w:val="20"/>
          <w:szCs w:val="20"/>
          <w:lang w:val="es-PE"/>
        </w:rPr>
        <w:t xml:space="preserve">19.733 sobre Libertades de Opinión e Información </w:t>
      </w:r>
      <w:r w:rsidR="003D70A5" w:rsidRPr="00E86A8F">
        <w:rPr>
          <w:rFonts w:asciiTheme="majorHAnsi" w:hAnsiTheme="majorHAnsi"/>
          <w:sz w:val="20"/>
          <w:szCs w:val="20"/>
          <w:lang w:val="es-PE"/>
        </w:rPr>
        <w:t>y Ejercicio del Periodismo.</w:t>
      </w:r>
    </w:p>
    <w:p w14:paraId="750783C9" w14:textId="77777777" w:rsidR="00D94BCC" w:rsidRPr="00E86A8F" w:rsidRDefault="00D94BC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2D517A0E" w14:textId="6CE8EADE" w:rsidR="003D70A5" w:rsidRPr="00E86A8F" w:rsidRDefault="00CE5075"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PE"/>
        </w:rPr>
        <w:t>El delito de injuria, así como sus agravantes</w:t>
      </w:r>
      <w:r w:rsidR="005F1817" w:rsidRPr="00E86A8F">
        <w:rPr>
          <w:rFonts w:asciiTheme="majorHAnsi" w:hAnsiTheme="majorHAnsi"/>
          <w:sz w:val="20"/>
          <w:szCs w:val="20"/>
          <w:lang w:val="es-PE"/>
        </w:rPr>
        <w:t>,</w:t>
      </w:r>
      <w:r w:rsidR="00EB05A4" w:rsidRPr="00E86A8F">
        <w:rPr>
          <w:rFonts w:asciiTheme="majorHAnsi" w:hAnsiTheme="majorHAnsi"/>
          <w:sz w:val="20"/>
          <w:szCs w:val="20"/>
          <w:lang w:val="es-PE"/>
        </w:rPr>
        <w:t xml:space="preserve"> y demás normas relacionadas</w:t>
      </w:r>
      <w:r w:rsidR="005F1817" w:rsidRPr="00E86A8F">
        <w:rPr>
          <w:rFonts w:asciiTheme="majorHAnsi" w:hAnsiTheme="majorHAnsi"/>
          <w:sz w:val="20"/>
          <w:szCs w:val="20"/>
          <w:lang w:val="es-PE"/>
        </w:rPr>
        <w:t xml:space="preserve"> se encontraban regulados en los siguientes artículos</w:t>
      </w:r>
      <w:r w:rsidR="00EB05A4" w:rsidRPr="00E86A8F">
        <w:rPr>
          <w:rFonts w:asciiTheme="majorHAnsi" w:hAnsiTheme="majorHAnsi"/>
          <w:sz w:val="20"/>
          <w:szCs w:val="20"/>
          <w:lang w:val="es-PE"/>
        </w:rPr>
        <w:t xml:space="preserve"> del Código Penal</w:t>
      </w:r>
      <w:r w:rsidR="00905F27" w:rsidRPr="00E86A8F">
        <w:rPr>
          <w:rStyle w:val="FootnoteReference"/>
          <w:rFonts w:asciiTheme="majorHAnsi" w:hAnsiTheme="majorHAnsi"/>
          <w:sz w:val="20"/>
          <w:szCs w:val="20"/>
          <w:lang w:val="es-PE"/>
        </w:rPr>
        <w:footnoteReference w:id="4"/>
      </w:r>
      <w:r w:rsidR="005F1817" w:rsidRPr="00E86A8F">
        <w:rPr>
          <w:rFonts w:asciiTheme="majorHAnsi" w:hAnsiTheme="majorHAnsi"/>
          <w:sz w:val="20"/>
          <w:szCs w:val="20"/>
          <w:lang w:val="es-PE"/>
        </w:rPr>
        <w:t>:</w:t>
      </w:r>
    </w:p>
    <w:p w14:paraId="58C2642E" w14:textId="77777777" w:rsidR="00E471A3" w:rsidRPr="00E86A8F" w:rsidRDefault="00E471A3" w:rsidP="00073BB6">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Theme="majorHAnsi" w:hAnsiTheme="majorHAnsi"/>
          <w:sz w:val="20"/>
          <w:szCs w:val="20"/>
          <w:lang w:val="es-PE"/>
        </w:rPr>
      </w:pPr>
    </w:p>
    <w:p w14:paraId="7272AB85" w14:textId="065AE4B5" w:rsidR="0047437E" w:rsidRPr="00E86A8F" w:rsidRDefault="00A85044" w:rsidP="00073BB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PE"/>
        </w:rPr>
      </w:pPr>
      <w:r w:rsidRPr="00E86A8F">
        <w:rPr>
          <w:rFonts w:asciiTheme="majorHAnsi" w:hAnsiTheme="majorHAnsi"/>
          <w:sz w:val="20"/>
          <w:szCs w:val="20"/>
          <w:lang w:val="es-PE"/>
        </w:rPr>
        <w:t>Artículo 416:</w:t>
      </w:r>
      <w:r w:rsidR="00E471A3" w:rsidRPr="00E86A8F">
        <w:rPr>
          <w:rFonts w:asciiTheme="majorHAnsi" w:hAnsiTheme="majorHAnsi"/>
          <w:sz w:val="20"/>
          <w:szCs w:val="20"/>
          <w:lang w:val="es-PE"/>
        </w:rPr>
        <w:t xml:space="preserve"> </w:t>
      </w:r>
      <w:r w:rsidR="0047437E" w:rsidRPr="00E86A8F">
        <w:rPr>
          <w:rFonts w:asciiTheme="majorHAnsi" w:hAnsiTheme="majorHAnsi"/>
          <w:sz w:val="20"/>
          <w:szCs w:val="20"/>
          <w:lang w:val="es-PE"/>
        </w:rPr>
        <w:t>Es injuria toda expresión proferida o acción ejecutada en deshonra, descrédito o menosprecio de otra persona.</w:t>
      </w:r>
    </w:p>
    <w:p w14:paraId="68049D1D" w14:textId="77777777" w:rsidR="00946C41" w:rsidRPr="00E86A8F" w:rsidRDefault="00946C41" w:rsidP="00073BB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PE"/>
        </w:rPr>
      </w:pPr>
    </w:p>
    <w:p w14:paraId="2D15905B" w14:textId="745E815C" w:rsidR="0047437E" w:rsidRPr="00E86A8F" w:rsidRDefault="00E471A3" w:rsidP="00073BB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PE"/>
        </w:rPr>
      </w:pPr>
      <w:r w:rsidRPr="00E86A8F">
        <w:rPr>
          <w:rFonts w:asciiTheme="majorHAnsi" w:hAnsiTheme="majorHAnsi"/>
          <w:sz w:val="20"/>
          <w:szCs w:val="20"/>
          <w:lang w:val="es-PE"/>
        </w:rPr>
        <w:t>Artículo 417</w:t>
      </w:r>
      <w:r w:rsidR="004F6185" w:rsidRPr="00E86A8F">
        <w:rPr>
          <w:rFonts w:asciiTheme="majorHAnsi" w:hAnsiTheme="majorHAnsi"/>
          <w:sz w:val="20"/>
          <w:szCs w:val="20"/>
          <w:lang w:val="es-PE"/>
        </w:rPr>
        <w:t xml:space="preserve">: </w:t>
      </w:r>
      <w:r w:rsidR="0047437E" w:rsidRPr="00E86A8F">
        <w:rPr>
          <w:rFonts w:asciiTheme="majorHAnsi" w:hAnsiTheme="majorHAnsi"/>
          <w:sz w:val="20"/>
          <w:szCs w:val="20"/>
          <w:lang w:val="es-PE"/>
        </w:rPr>
        <w:t>Son injurias graves:</w:t>
      </w:r>
    </w:p>
    <w:p w14:paraId="796C2561" w14:textId="77777777" w:rsidR="00BE3075" w:rsidRPr="00E86A8F" w:rsidRDefault="00BE3075" w:rsidP="00073BB6">
      <w:pPr>
        <w:ind w:left="720" w:right="720"/>
        <w:jc w:val="both"/>
        <w:rPr>
          <w:rFonts w:asciiTheme="majorHAnsi" w:hAnsiTheme="majorHAnsi"/>
          <w:sz w:val="20"/>
          <w:szCs w:val="20"/>
          <w:lang w:val="es-PE"/>
        </w:rPr>
      </w:pPr>
    </w:p>
    <w:p w14:paraId="53445E51" w14:textId="520087F2" w:rsidR="00BE3075"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1.° La imputación de un crimen o simple delito de los que no dan lugar a procedimiento de oficio.</w:t>
      </w:r>
    </w:p>
    <w:p w14:paraId="329D7585" w14:textId="19A22CBE" w:rsidR="00BE3075"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2</w:t>
      </w:r>
      <w:r w:rsidR="00BE3075" w:rsidRPr="00E86A8F">
        <w:rPr>
          <w:rFonts w:asciiTheme="majorHAnsi" w:hAnsiTheme="majorHAnsi"/>
          <w:sz w:val="20"/>
          <w:szCs w:val="20"/>
          <w:lang w:val="es-PE"/>
        </w:rPr>
        <w:t>.</w:t>
      </w:r>
      <w:r w:rsidRPr="00E86A8F">
        <w:rPr>
          <w:rFonts w:asciiTheme="majorHAnsi" w:hAnsiTheme="majorHAnsi"/>
          <w:sz w:val="20"/>
          <w:szCs w:val="20"/>
          <w:lang w:val="es-PE"/>
        </w:rPr>
        <w:t>° La imputación de un crimen o simple delito penado o prescrito.</w:t>
      </w:r>
    </w:p>
    <w:p w14:paraId="24718603" w14:textId="64D6A158" w:rsidR="0047437E" w:rsidRPr="00E86A8F" w:rsidRDefault="0047437E" w:rsidP="00577FC4">
      <w:pPr>
        <w:tabs>
          <w:tab w:val="left" w:pos="993"/>
        </w:tabs>
        <w:ind w:left="720" w:right="720"/>
        <w:jc w:val="both"/>
        <w:rPr>
          <w:rFonts w:asciiTheme="majorHAnsi" w:hAnsiTheme="majorHAnsi"/>
          <w:sz w:val="20"/>
          <w:szCs w:val="20"/>
          <w:lang w:val="es-PE"/>
        </w:rPr>
      </w:pPr>
      <w:r w:rsidRPr="00E86A8F">
        <w:rPr>
          <w:rFonts w:asciiTheme="majorHAnsi" w:hAnsiTheme="majorHAnsi"/>
          <w:sz w:val="20"/>
          <w:szCs w:val="20"/>
          <w:lang w:val="es-PE"/>
        </w:rPr>
        <w:t>3</w:t>
      </w:r>
      <w:r w:rsidR="00BE3075" w:rsidRPr="00E86A8F">
        <w:rPr>
          <w:rFonts w:asciiTheme="majorHAnsi" w:hAnsiTheme="majorHAnsi"/>
          <w:sz w:val="20"/>
          <w:szCs w:val="20"/>
          <w:lang w:val="es-PE"/>
        </w:rPr>
        <w:t>.</w:t>
      </w:r>
      <w:r w:rsidRPr="00E86A8F">
        <w:rPr>
          <w:rFonts w:asciiTheme="majorHAnsi" w:hAnsiTheme="majorHAnsi"/>
          <w:sz w:val="20"/>
          <w:szCs w:val="20"/>
          <w:lang w:val="es-PE"/>
        </w:rPr>
        <w:t>°</w:t>
      </w:r>
      <w:r w:rsidR="00207B60" w:rsidRPr="00E86A8F">
        <w:rPr>
          <w:rFonts w:asciiTheme="majorHAnsi" w:hAnsiTheme="majorHAnsi"/>
          <w:sz w:val="20"/>
          <w:szCs w:val="20"/>
          <w:lang w:val="es-PE"/>
        </w:rPr>
        <w:tab/>
        <w:t>La</w:t>
      </w:r>
      <w:r w:rsidRPr="00E86A8F">
        <w:rPr>
          <w:rFonts w:asciiTheme="majorHAnsi" w:hAnsiTheme="majorHAnsi"/>
          <w:sz w:val="20"/>
          <w:szCs w:val="20"/>
          <w:lang w:val="es-PE"/>
        </w:rPr>
        <w:t xml:space="preserve"> de un vicio o falta de moralidad cuyas consecuencias puedan perjudicar considerablemente la fama, crédito o intereses del agraviado.</w:t>
      </w:r>
    </w:p>
    <w:p w14:paraId="322EEC05" w14:textId="09720FD0"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4.° Las injurias que por su naturaleza, ocasión o circunstancias fueren tenidas en el concepto público por afrentosas.</w:t>
      </w:r>
    </w:p>
    <w:p w14:paraId="4D2147DE" w14:textId="44D45E53"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5.° Las que racionalmente merezcan la calificación de graves atendido el estado, dignidad y circunstancias del ofendido y del ofensor.</w:t>
      </w:r>
    </w:p>
    <w:p w14:paraId="10CEF781" w14:textId="77777777" w:rsidR="0047437E" w:rsidRPr="00E86A8F" w:rsidRDefault="0047437E" w:rsidP="00073BB6">
      <w:pPr>
        <w:ind w:left="720" w:right="720"/>
        <w:jc w:val="both"/>
        <w:rPr>
          <w:rFonts w:asciiTheme="majorHAnsi" w:hAnsiTheme="majorHAnsi"/>
          <w:sz w:val="20"/>
          <w:szCs w:val="20"/>
          <w:lang w:val="es-PE"/>
        </w:rPr>
      </w:pPr>
    </w:p>
    <w:p w14:paraId="6EF9B9E5" w14:textId="0FF07425" w:rsidR="0047437E" w:rsidRPr="00E86A8F" w:rsidRDefault="003E6742"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 xml:space="preserve">Artículo </w:t>
      </w:r>
      <w:r w:rsidR="0047437E" w:rsidRPr="00E86A8F">
        <w:rPr>
          <w:rFonts w:asciiTheme="majorHAnsi" w:hAnsiTheme="majorHAnsi"/>
          <w:sz w:val="20"/>
          <w:szCs w:val="20"/>
          <w:lang w:val="es-PE"/>
        </w:rPr>
        <w:t>418</w:t>
      </w:r>
      <w:r w:rsidR="000004EC" w:rsidRPr="00E86A8F">
        <w:rPr>
          <w:rFonts w:asciiTheme="majorHAnsi" w:hAnsiTheme="majorHAnsi"/>
          <w:sz w:val="20"/>
          <w:szCs w:val="20"/>
          <w:lang w:val="es-PE"/>
        </w:rPr>
        <w:t>:</w:t>
      </w:r>
    </w:p>
    <w:p w14:paraId="7D5D8292" w14:textId="77777777"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 xml:space="preserve">     </w:t>
      </w:r>
    </w:p>
    <w:p w14:paraId="076708F6" w14:textId="1418C530"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Las injurias graves hechas por escrito y con publicidad, serán castigadas con las penas de reclusión menor en su grado mínimo a medio y multa de once a veinte unidades tributarias mensuales.</w:t>
      </w:r>
    </w:p>
    <w:p w14:paraId="12C3A845" w14:textId="77777777" w:rsidR="003E6742" w:rsidRPr="00E86A8F" w:rsidRDefault="003E6742" w:rsidP="00073BB6">
      <w:pPr>
        <w:ind w:left="720" w:right="720"/>
        <w:jc w:val="both"/>
        <w:rPr>
          <w:rFonts w:asciiTheme="majorHAnsi" w:hAnsiTheme="majorHAnsi"/>
          <w:sz w:val="20"/>
          <w:szCs w:val="20"/>
          <w:lang w:val="es-PE"/>
        </w:rPr>
      </w:pPr>
    </w:p>
    <w:p w14:paraId="330DA91A" w14:textId="56804AD5"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lastRenderedPageBreak/>
        <w:t>No concurriendo aquellas circunstancias, las penas serán reclusión menor en su grado mínimo y multa de seis a diez unidades tributarias mensuales.</w:t>
      </w:r>
    </w:p>
    <w:p w14:paraId="5A3C59FB" w14:textId="77777777" w:rsidR="000004EC" w:rsidRPr="00E86A8F" w:rsidRDefault="000004EC" w:rsidP="00073BB6">
      <w:pPr>
        <w:ind w:left="720" w:right="720"/>
        <w:jc w:val="both"/>
        <w:rPr>
          <w:rFonts w:asciiTheme="majorHAnsi" w:hAnsiTheme="majorHAnsi"/>
          <w:sz w:val="20"/>
          <w:szCs w:val="20"/>
          <w:lang w:val="es-PE"/>
        </w:rPr>
      </w:pPr>
    </w:p>
    <w:p w14:paraId="43F17A69" w14:textId="4F90E61E"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A</w:t>
      </w:r>
      <w:r w:rsidR="000004EC" w:rsidRPr="00E86A8F">
        <w:rPr>
          <w:rFonts w:asciiTheme="majorHAnsi" w:hAnsiTheme="majorHAnsi"/>
          <w:sz w:val="20"/>
          <w:szCs w:val="20"/>
          <w:lang w:val="es-PE"/>
        </w:rPr>
        <w:t>rtículo</w:t>
      </w:r>
      <w:r w:rsidRPr="00E86A8F">
        <w:rPr>
          <w:rFonts w:asciiTheme="majorHAnsi" w:hAnsiTheme="majorHAnsi"/>
          <w:sz w:val="20"/>
          <w:szCs w:val="20"/>
          <w:lang w:val="es-PE"/>
        </w:rPr>
        <w:t xml:space="preserve"> 420</w:t>
      </w:r>
      <w:r w:rsidR="000004EC" w:rsidRPr="00E86A8F">
        <w:rPr>
          <w:rFonts w:asciiTheme="majorHAnsi" w:hAnsiTheme="majorHAnsi"/>
          <w:sz w:val="20"/>
          <w:szCs w:val="20"/>
          <w:lang w:val="es-PE"/>
        </w:rPr>
        <w:t>:</w:t>
      </w:r>
    </w:p>
    <w:p w14:paraId="42C6A7FD" w14:textId="77777777" w:rsidR="000004EC" w:rsidRPr="00E86A8F" w:rsidRDefault="000004EC" w:rsidP="00073BB6">
      <w:pPr>
        <w:ind w:left="720" w:right="720"/>
        <w:jc w:val="both"/>
        <w:rPr>
          <w:rFonts w:asciiTheme="majorHAnsi" w:hAnsiTheme="majorHAnsi"/>
          <w:sz w:val="20"/>
          <w:szCs w:val="20"/>
          <w:lang w:val="es-PE"/>
        </w:rPr>
      </w:pPr>
    </w:p>
    <w:p w14:paraId="21F1DCAC" w14:textId="3793F910"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Al acusado de injuria no se admitirá prueba sobre la verdad de las imputaciones, sino cuando éstas fueren dirigidas contra empleados públicos sobre hechos concernientes al ejercicio de su cargo.</w:t>
      </w:r>
    </w:p>
    <w:p w14:paraId="56AB73BF" w14:textId="77777777" w:rsidR="0047437E" w:rsidRPr="00E86A8F" w:rsidRDefault="0047437E" w:rsidP="00073BB6">
      <w:pPr>
        <w:ind w:left="720" w:right="720"/>
        <w:jc w:val="both"/>
        <w:rPr>
          <w:rFonts w:asciiTheme="majorHAnsi" w:hAnsiTheme="majorHAnsi"/>
          <w:sz w:val="20"/>
          <w:szCs w:val="20"/>
          <w:lang w:val="es-PE"/>
        </w:rPr>
      </w:pPr>
    </w:p>
    <w:p w14:paraId="0A84483F" w14:textId="77777777" w:rsidR="0047437E" w:rsidRPr="00E86A8F" w:rsidRDefault="0047437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En este caso será absuelto el acusado si probare la verdad de las imputaciones.</w:t>
      </w:r>
    </w:p>
    <w:p w14:paraId="137F5EC0" w14:textId="77777777" w:rsidR="0047437E" w:rsidRPr="00E86A8F" w:rsidRDefault="0047437E" w:rsidP="00073BB6">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Theme="majorHAnsi" w:hAnsiTheme="majorHAnsi"/>
          <w:sz w:val="20"/>
          <w:szCs w:val="20"/>
          <w:lang w:val="es-PE"/>
        </w:rPr>
      </w:pPr>
    </w:p>
    <w:p w14:paraId="2F240A00" w14:textId="67D46637" w:rsidR="000004EC" w:rsidRPr="00E86A8F" w:rsidRDefault="00FB615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PE"/>
        </w:rPr>
        <w:t xml:space="preserve">Asimismo, la </w:t>
      </w:r>
      <w:r w:rsidR="000E10AD" w:rsidRPr="00E86A8F">
        <w:rPr>
          <w:rFonts w:asciiTheme="majorHAnsi" w:hAnsiTheme="majorHAnsi"/>
          <w:sz w:val="20"/>
          <w:szCs w:val="20"/>
          <w:lang w:val="es-PE"/>
        </w:rPr>
        <w:t>Ley No. 19.733 sobre Libertades de Opinión e Información y Ejercicio del Periodismo</w:t>
      </w:r>
      <w:r w:rsidR="00007A19" w:rsidRPr="00E86A8F">
        <w:rPr>
          <w:rStyle w:val="FootnoteReference"/>
          <w:rFonts w:asciiTheme="majorHAnsi" w:hAnsiTheme="majorHAnsi"/>
          <w:sz w:val="20"/>
          <w:szCs w:val="20"/>
          <w:lang w:val="es-PE"/>
        </w:rPr>
        <w:footnoteReference w:id="5"/>
      </w:r>
      <w:r w:rsidR="000E10AD" w:rsidRPr="00E86A8F">
        <w:rPr>
          <w:rFonts w:asciiTheme="majorHAnsi" w:hAnsiTheme="majorHAnsi"/>
          <w:sz w:val="20"/>
          <w:szCs w:val="20"/>
          <w:lang w:val="es-PE"/>
        </w:rPr>
        <w:t xml:space="preserve">, en sus artículos 29 y 30, establecen </w:t>
      </w:r>
      <w:r w:rsidR="004E0BA6" w:rsidRPr="00E86A8F">
        <w:rPr>
          <w:rFonts w:asciiTheme="majorHAnsi" w:hAnsiTheme="majorHAnsi"/>
          <w:sz w:val="20"/>
          <w:szCs w:val="20"/>
          <w:lang w:val="es-PE"/>
        </w:rPr>
        <w:t xml:space="preserve">normas pertinentes sobre los delitos cometidos a través de un medio de comunicación social. </w:t>
      </w:r>
    </w:p>
    <w:p w14:paraId="009E2158" w14:textId="77777777" w:rsidR="004E0BA6" w:rsidRPr="00E86A8F" w:rsidRDefault="004E0BA6" w:rsidP="00073BB6">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Theme="majorHAnsi" w:hAnsiTheme="majorHAnsi"/>
          <w:sz w:val="20"/>
          <w:szCs w:val="20"/>
          <w:lang w:val="es-PE"/>
        </w:rPr>
      </w:pPr>
    </w:p>
    <w:p w14:paraId="2D7470F6" w14:textId="77777777" w:rsidR="004E0BA6"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Artículo 29</w:t>
      </w:r>
      <w:r w:rsidR="004E0BA6" w:rsidRPr="00E86A8F">
        <w:rPr>
          <w:rFonts w:asciiTheme="majorHAnsi" w:hAnsiTheme="majorHAnsi"/>
          <w:sz w:val="20"/>
          <w:szCs w:val="20"/>
          <w:lang w:val="es-PE"/>
        </w:rPr>
        <w:t>:</w:t>
      </w:r>
    </w:p>
    <w:p w14:paraId="124DC63E" w14:textId="77777777" w:rsidR="004E0BA6" w:rsidRPr="00E86A8F" w:rsidRDefault="004E0BA6" w:rsidP="00073BB6">
      <w:pPr>
        <w:ind w:left="720" w:right="720"/>
        <w:jc w:val="both"/>
        <w:rPr>
          <w:rFonts w:asciiTheme="majorHAnsi" w:hAnsiTheme="majorHAnsi"/>
          <w:sz w:val="20"/>
          <w:szCs w:val="20"/>
          <w:lang w:val="es-PE"/>
        </w:rPr>
      </w:pPr>
    </w:p>
    <w:p w14:paraId="0A5EB667" w14:textId="6F1E0531"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Los delitos de calumnia e injuria cometidos a través de cualquier medio de comunicación  social, serán sancionados con las penas corporales señaladas en los artículos 413, 418, inciso primero, y 419 del Código Penal, y con multas de veinte a ciento cincuenta unidades tributarias mensuales en los casos del N°1 del artículo 413 y del artículo 418; de veinte a cien unidades tributarias mensuales en el caso del N°2 del artículo 413 y de veinte a cincuenta unidades tributarias mensuales en el caso del artículo 419.</w:t>
      </w:r>
    </w:p>
    <w:p w14:paraId="6E884670" w14:textId="77777777" w:rsidR="00BD6D5E" w:rsidRPr="00E86A8F" w:rsidRDefault="00BD6D5E" w:rsidP="00073BB6">
      <w:pPr>
        <w:ind w:left="720" w:right="720"/>
        <w:jc w:val="both"/>
        <w:rPr>
          <w:rFonts w:asciiTheme="majorHAnsi" w:hAnsiTheme="majorHAnsi"/>
          <w:sz w:val="20"/>
          <w:szCs w:val="20"/>
          <w:lang w:val="es-PE"/>
        </w:rPr>
      </w:pPr>
    </w:p>
    <w:p w14:paraId="7D03194A" w14:textId="77777777"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No constituyen injurias las apreciaciones personales que se formulen en comentarios especializados de crítica política, literaria, histórica, artística, científica, técnica y deportiva, salvo que su tenor pusiere de manifiesto el propósito de injuriar, además del de criticar.</w:t>
      </w:r>
    </w:p>
    <w:p w14:paraId="7AEE2D95" w14:textId="77777777" w:rsidR="00BD6D5E" w:rsidRPr="00E86A8F" w:rsidRDefault="00BD6D5E" w:rsidP="00073BB6">
      <w:pPr>
        <w:ind w:left="720" w:right="720"/>
        <w:jc w:val="both"/>
        <w:rPr>
          <w:rFonts w:asciiTheme="majorHAnsi" w:hAnsiTheme="majorHAnsi"/>
          <w:sz w:val="20"/>
          <w:szCs w:val="20"/>
          <w:lang w:val="es-PE"/>
        </w:rPr>
      </w:pPr>
    </w:p>
    <w:p w14:paraId="35F7C9D5" w14:textId="77777777" w:rsidR="004E0BA6"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Artículo 30</w:t>
      </w:r>
      <w:r w:rsidR="004E0BA6" w:rsidRPr="00E86A8F">
        <w:rPr>
          <w:rFonts w:asciiTheme="majorHAnsi" w:hAnsiTheme="majorHAnsi"/>
          <w:sz w:val="20"/>
          <w:szCs w:val="20"/>
          <w:lang w:val="es-PE"/>
        </w:rPr>
        <w:t>:</w:t>
      </w:r>
    </w:p>
    <w:p w14:paraId="65D074C8" w14:textId="77777777" w:rsidR="004E0BA6" w:rsidRPr="00E86A8F" w:rsidRDefault="004E0BA6" w:rsidP="00073BB6">
      <w:pPr>
        <w:ind w:left="720" w:right="720"/>
        <w:jc w:val="both"/>
        <w:rPr>
          <w:rFonts w:asciiTheme="majorHAnsi" w:hAnsiTheme="majorHAnsi"/>
          <w:sz w:val="20"/>
          <w:szCs w:val="20"/>
          <w:lang w:val="es-PE"/>
        </w:rPr>
      </w:pPr>
    </w:p>
    <w:p w14:paraId="1E579728" w14:textId="7E06CC16"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Al inculpado de haber causado injuria a través de un medio de comunicación social, no le será admitida prueba de verdad acerca de sus expresiones, sino cuando hubiere imputado hechos determinados y concurrieren a lo menos una de las siguientes circunstancias:</w:t>
      </w:r>
    </w:p>
    <w:p w14:paraId="214E8DE9" w14:textId="77777777" w:rsidR="00BD6D5E" w:rsidRPr="00E86A8F" w:rsidRDefault="00BD6D5E" w:rsidP="00073BB6">
      <w:pPr>
        <w:ind w:left="720" w:right="720"/>
        <w:jc w:val="both"/>
        <w:rPr>
          <w:rFonts w:asciiTheme="majorHAnsi" w:hAnsiTheme="majorHAnsi"/>
          <w:sz w:val="20"/>
          <w:szCs w:val="20"/>
          <w:lang w:val="es-PE"/>
        </w:rPr>
      </w:pPr>
    </w:p>
    <w:p w14:paraId="6466B421" w14:textId="6725B380"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a) Que la imputación se produjere con motivo de defender un interés público real;</w:t>
      </w:r>
    </w:p>
    <w:p w14:paraId="53194F12" w14:textId="53A4C846" w:rsidR="00BD6D5E" w:rsidRPr="00E86A8F" w:rsidRDefault="004E0BA6"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b</w:t>
      </w:r>
      <w:r w:rsidR="00BD6D5E" w:rsidRPr="00E86A8F">
        <w:rPr>
          <w:rFonts w:asciiTheme="majorHAnsi" w:hAnsiTheme="majorHAnsi"/>
          <w:sz w:val="20"/>
          <w:szCs w:val="20"/>
          <w:lang w:val="es-PE"/>
        </w:rPr>
        <w:t>) Que el afectado ejerciere funciones públicas y la imputación se refiriere a hechos propios de tal ejercicio.</w:t>
      </w:r>
    </w:p>
    <w:p w14:paraId="0CFB53C3" w14:textId="77777777" w:rsidR="00BD6D5E" w:rsidRPr="00E86A8F" w:rsidRDefault="00BD6D5E" w:rsidP="00073BB6">
      <w:pPr>
        <w:ind w:left="720" w:right="720"/>
        <w:jc w:val="both"/>
        <w:rPr>
          <w:rFonts w:asciiTheme="majorHAnsi" w:hAnsiTheme="majorHAnsi"/>
          <w:sz w:val="20"/>
          <w:szCs w:val="20"/>
          <w:lang w:val="es-PE"/>
        </w:rPr>
      </w:pPr>
    </w:p>
    <w:p w14:paraId="20C91ABC" w14:textId="77777777"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En estos casos, si se probare la verdad de la imputación, el juez procederá a sobreseer definitivamente o absolver al querellado, según correspondiere.</w:t>
      </w:r>
    </w:p>
    <w:p w14:paraId="5E136F4B" w14:textId="77777777" w:rsidR="00BD6D5E" w:rsidRPr="00E86A8F" w:rsidRDefault="00BD6D5E" w:rsidP="00073BB6">
      <w:pPr>
        <w:ind w:left="720" w:right="720"/>
        <w:jc w:val="both"/>
        <w:rPr>
          <w:rFonts w:asciiTheme="majorHAnsi" w:hAnsiTheme="majorHAnsi"/>
          <w:sz w:val="20"/>
          <w:szCs w:val="20"/>
          <w:lang w:val="es-PE"/>
        </w:rPr>
      </w:pPr>
    </w:p>
    <w:p w14:paraId="2AA177A6" w14:textId="77777777"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Para lo dispuesto en el presente artículo se considerarán como hechos de interés público de una persona los siguientes:</w:t>
      </w:r>
    </w:p>
    <w:p w14:paraId="0F77E842" w14:textId="77777777" w:rsidR="00BD6D5E" w:rsidRPr="00E86A8F" w:rsidRDefault="00BD6D5E" w:rsidP="00073BB6">
      <w:pPr>
        <w:ind w:left="720" w:right="720"/>
        <w:jc w:val="both"/>
        <w:rPr>
          <w:rFonts w:asciiTheme="majorHAnsi" w:hAnsiTheme="majorHAnsi"/>
          <w:sz w:val="20"/>
          <w:szCs w:val="20"/>
          <w:lang w:val="es-PE"/>
        </w:rPr>
      </w:pPr>
    </w:p>
    <w:p w14:paraId="134C32BC" w14:textId="18EE8C7C" w:rsidR="00BD6D5E" w:rsidRPr="00E86A8F" w:rsidRDefault="00BD6D5E" w:rsidP="003046AE">
      <w:pPr>
        <w:tabs>
          <w:tab w:val="left" w:pos="709"/>
        </w:tabs>
        <w:ind w:left="720" w:right="720"/>
        <w:jc w:val="both"/>
        <w:rPr>
          <w:rFonts w:asciiTheme="majorHAnsi" w:hAnsiTheme="majorHAnsi"/>
          <w:sz w:val="20"/>
          <w:szCs w:val="20"/>
          <w:lang w:val="es-PE"/>
        </w:rPr>
      </w:pPr>
      <w:r w:rsidRPr="00E86A8F">
        <w:rPr>
          <w:rFonts w:asciiTheme="majorHAnsi" w:hAnsiTheme="majorHAnsi"/>
          <w:sz w:val="20"/>
          <w:szCs w:val="20"/>
          <w:lang w:val="es-PE"/>
        </w:rPr>
        <w:t>a) Los referentes al desempeño de funciones públicas;</w:t>
      </w:r>
    </w:p>
    <w:p w14:paraId="3FF4A170" w14:textId="68FFFB14" w:rsidR="00BD6D5E" w:rsidRPr="00E86A8F" w:rsidRDefault="00BD6D5E" w:rsidP="003046AE">
      <w:pPr>
        <w:tabs>
          <w:tab w:val="left" w:pos="709"/>
        </w:tabs>
        <w:ind w:left="720" w:right="720"/>
        <w:jc w:val="both"/>
        <w:rPr>
          <w:rFonts w:asciiTheme="majorHAnsi" w:hAnsiTheme="majorHAnsi"/>
          <w:sz w:val="20"/>
          <w:szCs w:val="20"/>
          <w:lang w:val="es-PE"/>
        </w:rPr>
      </w:pPr>
      <w:r w:rsidRPr="00E86A8F">
        <w:rPr>
          <w:rFonts w:asciiTheme="majorHAnsi" w:hAnsiTheme="majorHAnsi"/>
          <w:sz w:val="20"/>
          <w:szCs w:val="20"/>
          <w:lang w:val="es-PE"/>
        </w:rPr>
        <w:t>b) Los realizados en el ejercicio de una profesión u oficio y cuyo conocimiento tenga interés público real;</w:t>
      </w:r>
    </w:p>
    <w:p w14:paraId="4C02CE2A" w14:textId="4E04B1D8"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c) Los que consistieren en actividades a las cuales haya tenido libre acceso el público, a título gratuito u oneroso;</w:t>
      </w:r>
    </w:p>
    <w:p w14:paraId="391213AC" w14:textId="38F31B0C"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d) Las actuaciones que, con el consentimiento del interesado, hubieren sido captadas o difundidas por algún medio de comunicación social;</w:t>
      </w:r>
    </w:p>
    <w:p w14:paraId="05676BDE" w14:textId="57BCEFF1"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lastRenderedPageBreak/>
        <w:t>e) Los acontecimientos o manifestaciones de que el interesado haya dejado testimonio en registros o archivos públicos, y</w:t>
      </w:r>
    </w:p>
    <w:p w14:paraId="6BA1CE48" w14:textId="27E14519"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f) Los consistentes en la comisión de delitos o participación culpable en los mismos.</w:t>
      </w:r>
    </w:p>
    <w:p w14:paraId="3973878F" w14:textId="77777777" w:rsidR="00BD6D5E" w:rsidRPr="00E86A8F" w:rsidRDefault="00BD6D5E" w:rsidP="00073BB6">
      <w:pPr>
        <w:ind w:left="720" w:right="720"/>
        <w:jc w:val="both"/>
        <w:rPr>
          <w:rFonts w:asciiTheme="majorHAnsi" w:hAnsiTheme="majorHAnsi"/>
          <w:sz w:val="20"/>
          <w:szCs w:val="20"/>
          <w:lang w:val="es-PE"/>
        </w:rPr>
      </w:pPr>
    </w:p>
    <w:p w14:paraId="202445E7" w14:textId="77777777" w:rsidR="00BD6D5E" w:rsidRPr="00E86A8F" w:rsidRDefault="00BD6D5E" w:rsidP="00073BB6">
      <w:pPr>
        <w:ind w:left="720" w:right="720"/>
        <w:jc w:val="both"/>
        <w:rPr>
          <w:rFonts w:asciiTheme="majorHAnsi" w:hAnsiTheme="majorHAnsi"/>
          <w:sz w:val="20"/>
          <w:szCs w:val="20"/>
          <w:lang w:val="es-PE"/>
        </w:rPr>
      </w:pPr>
      <w:r w:rsidRPr="00E86A8F">
        <w:rPr>
          <w:rFonts w:asciiTheme="majorHAnsi" w:hAnsiTheme="majorHAnsi"/>
          <w:sz w:val="20"/>
          <w:szCs w:val="20"/>
          <w:lang w:val="es-PE"/>
        </w:rPr>
        <w:t>Se considerarán como pertinentes a la esfera privada de las personas los hechos relativos a su vida sexual, conyugal, familiar o doméstica, salvo que ellos fueren constitutivos de delito.</w:t>
      </w:r>
    </w:p>
    <w:p w14:paraId="4D12E632" w14:textId="77777777" w:rsidR="00BD6D5E" w:rsidRPr="00E86A8F" w:rsidRDefault="00BD6D5E" w:rsidP="00073BB6">
      <w:pPr>
        <w:rPr>
          <w:rFonts w:asciiTheme="majorHAnsi" w:hAnsiTheme="majorHAnsi"/>
          <w:sz w:val="20"/>
          <w:szCs w:val="20"/>
          <w:lang w:val="es-PE"/>
        </w:rPr>
      </w:pPr>
    </w:p>
    <w:p w14:paraId="616C0C6C" w14:textId="072A9E25" w:rsidR="009F5AAC" w:rsidRPr="00E86A8F" w:rsidRDefault="00F62C02" w:rsidP="00073BB6">
      <w:pPr>
        <w:pStyle w:val="Heading2"/>
        <w:keepNext w:val="0"/>
        <w:tabs>
          <w:tab w:val="clear" w:pos="1418"/>
        </w:tabs>
        <w:ind w:left="0" w:firstLine="0"/>
        <w:jc w:val="both"/>
        <w:rPr>
          <w:rFonts w:asciiTheme="majorHAnsi" w:hAnsiTheme="majorHAnsi"/>
        </w:rPr>
      </w:pPr>
      <w:bookmarkStart w:id="14" w:name="_Toc6937375"/>
      <w:bookmarkStart w:id="15" w:name="_Toc11073103"/>
      <w:r w:rsidRPr="00E86A8F">
        <w:rPr>
          <w:rFonts w:asciiTheme="majorHAnsi" w:hAnsiTheme="majorHAnsi"/>
        </w:rPr>
        <w:t>La tala ilegal del alerce como tema de interés público en Chile y d</w:t>
      </w:r>
      <w:r w:rsidR="009F5AAC" w:rsidRPr="00E86A8F">
        <w:rPr>
          <w:rFonts w:asciiTheme="majorHAnsi" w:hAnsiTheme="majorHAnsi"/>
        </w:rPr>
        <w:t>eclaraciones de Baraona ante diversos medios de comunicación</w:t>
      </w:r>
      <w:bookmarkEnd w:id="14"/>
      <w:bookmarkEnd w:id="15"/>
    </w:p>
    <w:p w14:paraId="09019749" w14:textId="77777777" w:rsidR="004E0BA6" w:rsidRPr="00E86A8F" w:rsidRDefault="004E0BA6" w:rsidP="00073BB6">
      <w:pPr>
        <w:jc w:val="both"/>
        <w:rPr>
          <w:rFonts w:asciiTheme="majorHAnsi" w:hAnsiTheme="majorHAnsi"/>
          <w:sz w:val="20"/>
          <w:szCs w:val="20"/>
          <w:lang w:val="es-PE"/>
        </w:rPr>
      </w:pPr>
    </w:p>
    <w:p w14:paraId="7A55BF10" w14:textId="3EFAE3D7" w:rsidR="00BE4FF6" w:rsidRPr="00E86A8F" w:rsidRDefault="00882E2D"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VE"/>
        </w:rPr>
        <w:t xml:space="preserve">Conforme </w:t>
      </w:r>
      <w:r w:rsidR="00835179" w:rsidRPr="00E86A8F">
        <w:rPr>
          <w:rFonts w:asciiTheme="majorHAnsi" w:hAnsiTheme="majorHAnsi"/>
          <w:sz w:val="20"/>
          <w:szCs w:val="20"/>
          <w:lang w:val="es-VE"/>
        </w:rPr>
        <w:t xml:space="preserve">a </w:t>
      </w:r>
      <w:r w:rsidRPr="00E86A8F">
        <w:rPr>
          <w:rFonts w:asciiTheme="majorHAnsi" w:hAnsiTheme="majorHAnsi"/>
          <w:sz w:val="20"/>
          <w:szCs w:val="20"/>
          <w:lang w:val="es-VE"/>
        </w:rPr>
        <w:t>lo señalad</w:t>
      </w:r>
      <w:r w:rsidR="00835179" w:rsidRPr="00E86A8F">
        <w:rPr>
          <w:rFonts w:asciiTheme="majorHAnsi" w:hAnsiTheme="majorHAnsi"/>
          <w:sz w:val="20"/>
          <w:szCs w:val="20"/>
          <w:lang w:val="es-VE"/>
        </w:rPr>
        <w:t>o</w:t>
      </w:r>
      <w:r w:rsidRPr="00E86A8F">
        <w:rPr>
          <w:rFonts w:asciiTheme="majorHAnsi" w:hAnsiTheme="majorHAnsi"/>
          <w:sz w:val="20"/>
          <w:szCs w:val="20"/>
          <w:lang w:val="es-VE"/>
        </w:rPr>
        <w:t xml:space="preserve"> por</w:t>
      </w:r>
      <w:r w:rsidR="00BF662F" w:rsidRPr="00E86A8F">
        <w:rPr>
          <w:rFonts w:asciiTheme="majorHAnsi" w:hAnsiTheme="majorHAnsi"/>
          <w:sz w:val="20"/>
          <w:szCs w:val="20"/>
          <w:lang w:val="es-VE"/>
        </w:rPr>
        <w:t xml:space="preserve"> los peticionarios, lo cual no fue controvertido por el Estado, el alerce es una especie</w:t>
      </w:r>
      <w:r w:rsidR="00F771D0" w:rsidRPr="00E86A8F">
        <w:rPr>
          <w:rFonts w:asciiTheme="majorHAnsi" w:hAnsiTheme="majorHAnsi"/>
          <w:sz w:val="20"/>
          <w:szCs w:val="20"/>
          <w:lang w:val="es-VE"/>
        </w:rPr>
        <w:t xml:space="preserve"> </w:t>
      </w:r>
      <w:r w:rsidR="00950F13" w:rsidRPr="00E86A8F">
        <w:rPr>
          <w:rFonts w:asciiTheme="majorHAnsi" w:hAnsiTheme="majorHAnsi"/>
          <w:sz w:val="20"/>
          <w:szCs w:val="20"/>
          <w:lang w:val="es-VE"/>
        </w:rPr>
        <w:t xml:space="preserve">que fue declarada como monumento natural en Chile y </w:t>
      </w:r>
      <w:r w:rsidR="00950F13" w:rsidRPr="00E86A8F">
        <w:rPr>
          <w:rFonts w:asciiTheme="majorHAnsi" w:hAnsiTheme="majorHAnsi"/>
          <w:sz w:val="20"/>
          <w:szCs w:val="20"/>
          <w:lang w:val="es-PE"/>
        </w:rPr>
        <w:t>uno de los acervos naturales más valiosos del patrimonio nacional</w:t>
      </w:r>
      <w:r w:rsidR="00950F13" w:rsidRPr="00E86A8F">
        <w:rPr>
          <w:rFonts w:asciiTheme="majorHAnsi" w:hAnsiTheme="majorHAnsi"/>
          <w:sz w:val="20"/>
          <w:szCs w:val="20"/>
          <w:lang w:val="es-VE"/>
        </w:rPr>
        <w:t xml:space="preserve">, al ser un árbol </w:t>
      </w:r>
      <w:r w:rsidR="00BE4FF6" w:rsidRPr="00E86A8F">
        <w:rPr>
          <w:rFonts w:asciiTheme="majorHAnsi" w:hAnsiTheme="majorHAnsi"/>
          <w:sz w:val="20"/>
          <w:szCs w:val="20"/>
          <w:lang w:val="es-VE"/>
        </w:rPr>
        <w:t xml:space="preserve">milenario </w:t>
      </w:r>
      <w:r w:rsidR="00950F13" w:rsidRPr="00E86A8F">
        <w:rPr>
          <w:rFonts w:asciiTheme="majorHAnsi" w:hAnsiTheme="majorHAnsi"/>
          <w:sz w:val="20"/>
          <w:szCs w:val="20"/>
          <w:lang w:val="es-VE"/>
        </w:rPr>
        <w:t xml:space="preserve">que </w:t>
      </w:r>
      <w:r w:rsidR="00950F13" w:rsidRPr="00E86A8F">
        <w:rPr>
          <w:rFonts w:asciiTheme="majorHAnsi" w:hAnsiTheme="majorHAnsi"/>
          <w:sz w:val="20"/>
          <w:szCs w:val="20"/>
          <w:lang w:val="es-PE"/>
        </w:rPr>
        <w:t>debido a sus características especiales es una de las pocas especies nativas que pueden crecer en los terrenos cordilleranos y pantanosos del sur de Chile. Dicho reconocimiento fue declarado en el año 1976 medi</w:t>
      </w:r>
      <w:r w:rsidR="005C1160" w:rsidRPr="00E86A8F">
        <w:rPr>
          <w:rFonts w:asciiTheme="majorHAnsi" w:hAnsiTheme="majorHAnsi"/>
          <w:sz w:val="20"/>
          <w:szCs w:val="20"/>
          <w:lang w:val="es-PE"/>
        </w:rPr>
        <w:t>ante el Decreto Supremo No. 490, mediante el cual también se prohibió la tala ilegal del alerce</w:t>
      </w:r>
      <w:r w:rsidR="00B75864" w:rsidRPr="00E86A8F">
        <w:rPr>
          <w:rStyle w:val="FootnoteReference"/>
          <w:rFonts w:asciiTheme="majorHAnsi" w:hAnsiTheme="majorHAnsi"/>
          <w:sz w:val="20"/>
          <w:szCs w:val="20"/>
          <w:lang w:val="es-PE"/>
        </w:rPr>
        <w:footnoteReference w:id="6"/>
      </w:r>
      <w:r w:rsidR="005C1160" w:rsidRPr="00E86A8F">
        <w:rPr>
          <w:rFonts w:asciiTheme="majorHAnsi" w:hAnsiTheme="majorHAnsi"/>
          <w:sz w:val="20"/>
          <w:szCs w:val="20"/>
          <w:lang w:val="es-PE"/>
        </w:rPr>
        <w:t xml:space="preserve">. El Decreto Supremo No. 490 </w:t>
      </w:r>
      <w:r w:rsidR="00950F13" w:rsidRPr="00E86A8F">
        <w:rPr>
          <w:rFonts w:asciiTheme="majorHAnsi" w:hAnsiTheme="majorHAnsi"/>
          <w:sz w:val="20"/>
          <w:szCs w:val="20"/>
          <w:lang w:val="es-PE"/>
        </w:rPr>
        <w:t xml:space="preserve">reconoce expresamente que </w:t>
      </w:r>
      <w:r w:rsidRPr="00E86A8F">
        <w:rPr>
          <w:rFonts w:asciiTheme="majorHAnsi" w:hAnsiTheme="majorHAnsi"/>
          <w:sz w:val="20"/>
          <w:szCs w:val="20"/>
          <w:lang w:val="es-PE"/>
        </w:rPr>
        <w:t>este</w:t>
      </w:r>
      <w:r w:rsidR="00BE4FF6" w:rsidRPr="00E86A8F">
        <w:rPr>
          <w:rFonts w:asciiTheme="majorHAnsi" w:hAnsiTheme="majorHAnsi"/>
          <w:sz w:val="20"/>
          <w:szCs w:val="20"/>
          <w:lang w:val="es-VE"/>
        </w:rPr>
        <w:t xml:space="preserve"> “</w:t>
      </w:r>
      <w:r w:rsidR="00950F13" w:rsidRPr="00E86A8F">
        <w:rPr>
          <w:rFonts w:asciiTheme="majorHAnsi" w:hAnsiTheme="majorHAnsi"/>
          <w:sz w:val="20"/>
          <w:szCs w:val="20"/>
          <w:lang w:val="es-PE"/>
        </w:rPr>
        <w:t>árbol nativo ha sido obje</w:t>
      </w:r>
      <w:r w:rsidR="005C1160" w:rsidRPr="00E86A8F">
        <w:rPr>
          <w:rFonts w:asciiTheme="majorHAnsi" w:hAnsiTheme="majorHAnsi"/>
          <w:sz w:val="20"/>
          <w:szCs w:val="20"/>
          <w:lang w:val="es-PE"/>
        </w:rPr>
        <w:t>to en las últimas décadas, de una</w:t>
      </w:r>
      <w:r w:rsidR="00950F13" w:rsidRPr="00E86A8F">
        <w:rPr>
          <w:rFonts w:asciiTheme="majorHAnsi" w:hAnsiTheme="majorHAnsi"/>
          <w:sz w:val="20"/>
          <w:szCs w:val="20"/>
          <w:lang w:val="es-PE"/>
        </w:rPr>
        <w:t xml:space="preserve"> explotación intensa e irracional, la que de continuar significará, a breve plazo, la extinción de los últimos montes de Alerce, con el consiguiente perjuicio para el país y el patrimonio natural de América</w:t>
      </w:r>
      <w:r w:rsidR="00BE4FF6" w:rsidRPr="00E86A8F">
        <w:rPr>
          <w:rFonts w:asciiTheme="majorHAnsi" w:hAnsiTheme="majorHAnsi"/>
          <w:sz w:val="20"/>
          <w:szCs w:val="20"/>
          <w:lang w:val="es-PE"/>
        </w:rPr>
        <w:t>”</w:t>
      </w:r>
      <w:r w:rsidR="00B75864" w:rsidRPr="00E86A8F">
        <w:rPr>
          <w:rStyle w:val="FootnoteReference"/>
          <w:rFonts w:asciiTheme="majorHAnsi" w:hAnsiTheme="majorHAnsi"/>
          <w:sz w:val="20"/>
          <w:szCs w:val="20"/>
          <w:lang w:val="es-PE"/>
        </w:rPr>
        <w:footnoteReference w:id="7"/>
      </w:r>
      <w:r w:rsidR="00950F13" w:rsidRPr="00E86A8F">
        <w:rPr>
          <w:rFonts w:asciiTheme="majorHAnsi" w:hAnsiTheme="majorHAnsi"/>
          <w:sz w:val="20"/>
          <w:szCs w:val="20"/>
          <w:lang w:val="es-PE"/>
        </w:rPr>
        <w:t>.</w:t>
      </w:r>
      <w:r w:rsidRPr="00E86A8F">
        <w:rPr>
          <w:rFonts w:asciiTheme="majorHAnsi" w:hAnsiTheme="majorHAnsi"/>
          <w:sz w:val="20"/>
          <w:szCs w:val="20"/>
          <w:lang w:val="es-VE"/>
        </w:rPr>
        <w:t xml:space="preserve"> </w:t>
      </w:r>
    </w:p>
    <w:p w14:paraId="3A037277" w14:textId="77777777" w:rsidR="004E0BA6" w:rsidRPr="00E86A8F" w:rsidRDefault="004E0BA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147B97A6" w14:textId="04568F39" w:rsidR="00C07A01" w:rsidRPr="00E86A8F" w:rsidRDefault="00882E2D"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VE"/>
        </w:rPr>
        <w:t xml:space="preserve">Tanto los peticionarios como el Estado reconocieron que </w:t>
      </w:r>
      <w:r w:rsidR="00572146" w:rsidRPr="00E86A8F">
        <w:rPr>
          <w:rFonts w:asciiTheme="majorHAnsi" w:hAnsiTheme="majorHAnsi"/>
          <w:sz w:val="20"/>
          <w:szCs w:val="20"/>
          <w:lang w:val="es-VE"/>
        </w:rPr>
        <w:t xml:space="preserve">la tala ilegal del alerce era una cuestión de interés público, sobre todo porque existían presuntas actuaciones ilícitas de funcionarios públicos a este respecto, lo cual generó </w:t>
      </w:r>
      <w:r w:rsidR="00072CC2" w:rsidRPr="00E86A8F">
        <w:rPr>
          <w:rFonts w:asciiTheme="majorHAnsi" w:hAnsiTheme="majorHAnsi"/>
          <w:sz w:val="20"/>
          <w:szCs w:val="20"/>
          <w:lang w:val="es-VE"/>
        </w:rPr>
        <w:t xml:space="preserve">un debate público robusto en cuanto a la materia </w:t>
      </w:r>
      <w:r w:rsidR="00572146" w:rsidRPr="00E86A8F">
        <w:rPr>
          <w:rFonts w:asciiTheme="majorHAnsi" w:hAnsiTheme="majorHAnsi"/>
          <w:sz w:val="20"/>
          <w:szCs w:val="20"/>
          <w:lang w:val="es-VE"/>
        </w:rPr>
        <w:t xml:space="preserve">en Chile, y </w:t>
      </w:r>
      <w:r w:rsidR="005C1160" w:rsidRPr="00E86A8F">
        <w:rPr>
          <w:rFonts w:asciiTheme="majorHAnsi" w:hAnsiTheme="majorHAnsi"/>
          <w:sz w:val="20"/>
          <w:szCs w:val="20"/>
          <w:lang w:val="es-VE"/>
        </w:rPr>
        <w:t>la creación de una Comisión F</w:t>
      </w:r>
      <w:r w:rsidR="00572146" w:rsidRPr="00E86A8F">
        <w:rPr>
          <w:rFonts w:asciiTheme="majorHAnsi" w:hAnsiTheme="majorHAnsi"/>
          <w:sz w:val="20"/>
          <w:szCs w:val="20"/>
          <w:lang w:val="es-VE"/>
        </w:rPr>
        <w:t>iscalizadora en la Cámara de Diputados chilena</w:t>
      </w:r>
      <w:r w:rsidR="00530DE2" w:rsidRPr="00E86A8F">
        <w:rPr>
          <w:rStyle w:val="FootnoteReference"/>
          <w:rFonts w:asciiTheme="majorHAnsi" w:hAnsiTheme="majorHAnsi"/>
          <w:sz w:val="20"/>
          <w:szCs w:val="20"/>
          <w:lang w:val="es-VE"/>
        </w:rPr>
        <w:footnoteReference w:id="8"/>
      </w:r>
      <w:r w:rsidR="00572146" w:rsidRPr="00E86A8F">
        <w:rPr>
          <w:rFonts w:asciiTheme="majorHAnsi" w:hAnsiTheme="majorHAnsi"/>
          <w:sz w:val="20"/>
          <w:szCs w:val="20"/>
          <w:lang w:val="es-VE"/>
        </w:rPr>
        <w:t>. A</w:t>
      </w:r>
      <w:r w:rsidR="00A84E2D" w:rsidRPr="00E86A8F">
        <w:rPr>
          <w:rFonts w:asciiTheme="majorHAnsi" w:hAnsiTheme="majorHAnsi"/>
          <w:sz w:val="20"/>
          <w:szCs w:val="20"/>
          <w:lang w:val="es-VE"/>
        </w:rPr>
        <w:t>simismo, s</w:t>
      </w:r>
      <w:r w:rsidR="00572146" w:rsidRPr="00E86A8F">
        <w:rPr>
          <w:rFonts w:asciiTheme="majorHAnsi" w:hAnsiTheme="majorHAnsi"/>
          <w:sz w:val="20"/>
          <w:szCs w:val="20"/>
          <w:lang w:val="es-VE"/>
        </w:rPr>
        <w:t xml:space="preserve">e iniciaron acciones criminales en contra de los funcionarios presuntamente involucrados en la tala ilegal de alerce, entre ellos </w:t>
      </w:r>
      <w:r w:rsidR="00454BB3" w:rsidRPr="00E86A8F">
        <w:rPr>
          <w:rFonts w:asciiTheme="majorHAnsi" w:hAnsiTheme="majorHAnsi"/>
          <w:sz w:val="20"/>
          <w:szCs w:val="20"/>
          <w:lang w:val="es-VE"/>
        </w:rPr>
        <w:t xml:space="preserve">Carlos Weber, </w:t>
      </w:r>
      <w:r w:rsidR="00572146" w:rsidRPr="00E86A8F">
        <w:rPr>
          <w:rFonts w:asciiTheme="majorHAnsi" w:hAnsiTheme="majorHAnsi"/>
          <w:sz w:val="20"/>
          <w:szCs w:val="20"/>
          <w:lang w:val="es-VE"/>
        </w:rPr>
        <w:t xml:space="preserve">el Director </w:t>
      </w:r>
      <w:r w:rsidR="00835179" w:rsidRPr="00E86A8F">
        <w:rPr>
          <w:rFonts w:asciiTheme="majorHAnsi" w:hAnsiTheme="majorHAnsi"/>
          <w:sz w:val="20"/>
          <w:szCs w:val="20"/>
          <w:lang w:val="es-VE"/>
        </w:rPr>
        <w:t xml:space="preserve">Ejecutivo de la Corporación Nacional Forestal </w:t>
      </w:r>
      <w:r w:rsidR="00205563" w:rsidRPr="00E86A8F">
        <w:rPr>
          <w:rFonts w:asciiTheme="majorHAnsi" w:hAnsiTheme="majorHAnsi"/>
          <w:sz w:val="20"/>
          <w:szCs w:val="20"/>
          <w:lang w:val="es-VE"/>
        </w:rPr>
        <w:t>(</w:t>
      </w:r>
      <w:r w:rsidR="00835179" w:rsidRPr="00E86A8F">
        <w:rPr>
          <w:rFonts w:asciiTheme="majorHAnsi" w:hAnsiTheme="majorHAnsi"/>
          <w:sz w:val="20"/>
          <w:szCs w:val="20"/>
          <w:lang w:val="es-VE"/>
        </w:rPr>
        <w:t>CONAF)</w:t>
      </w:r>
      <w:r w:rsidR="00A84E2D" w:rsidRPr="00E86A8F">
        <w:rPr>
          <w:rFonts w:asciiTheme="majorHAnsi" w:hAnsiTheme="majorHAnsi"/>
          <w:sz w:val="20"/>
          <w:szCs w:val="20"/>
          <w:lang w:val="es-VE"/>
        </w:rPr>
        <w:t xml:space="preserve">, órgano encargado de las políticas forestales, quien fue detenido el </w:t>
      </w:r>
      <w:r w:rsidR="00454BB3" w:rsidRPr="00E86A8F">
        <w:rPr>
          <w:rFonts w:asciiTheme="majorHAnsi" w:hAnsiTheme="majorHAnsi"/>
          <w:sz w:val="20"/>
          <w:szCs w:val="20"/>
          <w:lang w:val="es-VE"/>
        </w:rPr>
        <w:t>10</w:t>
      </w:r>
      <w:r w:rsidR="00A84E2D" w:rsidRPr="00E86A8F">
        <w:rPr>
          <w:rFonts w:asciiTheme="majorHAnsi" w:hAnsiTheme="majorHAnsi"/>
          <w:sz w:val="20"/>
          <w:szCs w:val="20"/>
          <w:lang w:val="es-VE"/>
        </w:rPr>
        <w:t xml:space="preserve"> de mayo de 2004</w:t>
      </w:r>
      <w:r w:rsidR="00454BB3" w:rsidRPr="00E86A8F">
        <w:rPr>
          <w:rStyle w:val="FootnoteReference"/>
          <w:rFonts w:asciiTheme="majorHAnsi" w:hAnsiTheme="majorHAnsi"/>
          <w:sz w:val="20"/>
          <w:szCs w:val="20"/>
          <w:lang w:val="es-VE"/>
        </w:rPr>
        <w:footnoteReference w:id="9"/>
      </w:r>
      <w:r w:rsidR="00A84E2D" w:rsidRPr="00E86A8F">
        <w:rPr>
          <w:rFonts w:asciiTheme="majorHAnsi" w:hAnsiTheme="majorHAnsi"/>
          <w:sz w:val="20"/>
          <w:szCs w:val="20"/>
          <w:lang w:val="es-VE"/>
        </w:rPr>
        <w:t xml:space="preserve"> por los presuntos delitos de cohecho, asociación ilícita y tráfico de influencias</w:t>
      </w:r>
      <w:r w:rsidR="00530DE2" w:rsidRPr="00E86A8F">
        <w:rPr>
          <w:rStyle w:val="FootnoteReference"/>
          <w:rFonts w:asciiTheme="majorHAnsi" w:hAnsiTheme="majorHAnsi"/>
          <w:sz w:val="20"/>
          <w:szCs w:val="20"/>
          <w:lang w:val="es-VE"/>
        </w:rPr>
        <w:footnoteReference w:id="10"/>
      </w:r>
      <w:r w:rsidR="00A84E2D" w:rsidRPr="00E86A8F">
        <w:rPr>
          <w:rFonts w:asciiTheme="majorHAnsi" w:hAnsiTheme="majorHAnsi"/>
          <w:sz w:val="20"/>
          <w:szCs w:val="20"/>
          <w:lang w:val="es-VE"/>
        </w:rPr>
        <w:t xml:space="preserve">.  </w:t>
      </w:r>
    </w:p>
    <w:p w14:paraId="1543FB80" w14:textId="77777777" w:rsidR="004E0BA6" w:rsidRPr="00E86A8F" w:rsidRDefault="004E0BA6" w:rsidP="00073BB6">
      <w:pPr>
        <w:pStyle w:val="ListParagraph"/>
        <w:ind w:left="0"/>
        <w:jc w:val="both"/>
        <w:rPr>
          <w:rFonts w:asciiTheme="majorHAnsi" w:hAnsiTheme="majorHAnsi"/>
          <w:sz w:val="20"/>
          <w:szCs w:val="20"/>
          <w:lang w:val="es-PE"/>
        </w:rPr>
      </w:pPr>
    </w:p>
    <w:p w14:paraId="5A8D3182" w14:textId="267AAFC0" w:rsidR="00503A5D" w:rsidRPr="00E86A8F" w:rsidRDefault="00DA2F0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VE"/>
        </w:rPr>
        <w:t>Seg</w:t>
      </w:r>
      <w:r w:rsidRPr="00E86A8F">
        <w:rPr>
          <w:rFonts w:asciiTheme="majorHAnsi" w:hAnsiTheme="majorHAnsi"/>
          <w:sz w:val="20"/>
          <w:szCs w:val="20"/>
          <w:lang w:val="es-PE"/>
        </w:rPr>
        <w:t>ún las diversas notas de prensa aportadas por los peticionarios,</w:t>
      </w:r>
      <w:r w:rsidR="00A860F3" w:rsidRPr="00E86A8F">
        <w:rPr>
          <w:rFonts w:asciiTheme="majorHAnsi" w:hAnsiTheme="majorHAnsi"/>
          <w:sz w:val="20"/>
          <w:szCs w:val="20"/>
          <w:lang w:val="es-PE"/>
        </w:rPr>
        <w:t xml:space="preserve"> </w:t>
      </w:r>
      <w:r w:rsidR="006526DB" w:rsidRPr="00E86A8F">
        <w:rPr>
          <w:rFonts w:asciiTheme="majorHAnsi" w:hAnsiTheme="majorHAnsi"/>
          <w:sz w:val="20"/>
          <w:szCs w:val="20"/>
          <w:lang w:val="es-PE"/>
        </w:rPr>
        <w:t xml:space="preserve">cuyo contenido no fue controvertido por el Estado, </w:t>
      </w:r>
      <w:r w:rsidR="00A860F3" w:rsidRPr="00E86A8F">
        <w:rPr>
          <w:rFonts w:asciiTheme="majorHAnsi" w:hAnsiTheme="majorHAnsi"/>
          <w:sz w:val="20"/>
          <w:szCs w:val="20"/>
          <w:lang w:val="es-VE"/>
        </w:rPr>
        <w:t>ya en diciembre de 2003, la CONAF había recibido acusaciones por el supuesto actuar negligente en el control de la tala ilegal del alerce por parte del abogado de Forestal Sarao, Miguel Fredes, y el director de la Fundación Terram, Rodrigo Pizarro</w:t>
      </w:r>
      <w:r w:rsidR="00A860F3" w:rsidRPr="00E86A8F">
        <w:rPr>
          <w:rStyle w:val="FootnoteReference"/>
          <w:rFonts w:asciiTheme="majorHAnsi" w:hAnsiTheme="majorHAnsi"/>
          <w:sz w:val="20"/>
          <w:szCs w:val="20"/>
          <w:lang w:val="es-VE"/>
        </w:rPr>
        <w:footnoteReference w:id="11"/>
      </w:r>
      <w:r w:rsidR="00A860F3" w:rsidRPr="00E86A8F">
        <w:rPr>
          <w:rFonts w:asciiTheme="majorHAnsi" w:hAnsiTheme="majorHAnsi"/>
          <w:sz w:val="20"/>
          <w:szCs w:val="20"/>
          <w:lang w:val="es-VE"/>
        </w:rPr>
        <w:t xml:space="preserve">.  </w:t>
      </w:r>
      <w:r w:rsidR="00944C21" w:rsidRPr="00E86A8F">
        <w:rPr>
          <w:rFonts w:asciiTheme="majorHAnsi" w:hAnsiTheme="majorHAnsi"/>
          <w:sz w:val="20"/>
          <w:szCs w:val="20"/>
          <w:lang w:val="es-VE"/>
        </w:rPr>
        <w:t>Según las informaciones de prensa aportadas</w:t>
      </w:r>
      <w:r w:rsidR="00A61610" w:rsidRPr="00E86A8F">
        <w:rPr>
          <w:rFonts w:asciiTheme="majorHAnsi" w:hAnsiTheme="majorHAnsi"/>
          <w:sz w:val="20"/>
          <w:szCs w:val="20"/>
          <w:lang w:val="es-VE"/>
        </w:rPr>
        <w:t xml:space="preserve">, </w:t>
      </w:r>
      <w:r w:rsidR="00A860F3" w:rsidRPr="00E86A8F">
        <w:rPr>
          <w:rFonts w:asciiTheme="majorHAnsi" w:hAnsiTheme="majorHAnsi"/>
          <w:sz w:val="20"/>
          <w:szCs w:val="20"/>
          <w:lang w:val="es-PE"/>
        </w:rPr>
        <w:t>la</w:t>
      </w:r>
      <w:r w:rsidR="00A860F3" w:rsidRPr="00E86A8F">
        <w:rPr>
          <w:rFonts w:asciiTheme="majorHAnsi" w:hAnsiTheme="majorHAnsi"/>
          <w:sz w:val="20"/>
          <w:szCs w:val="20"/>
          <w:lang w:val="es-VE"/>
        </w:rPr>
        <w:t xml:space="preserve"> </w:t>
      </w:r>
      <w:r w:rsidR="00503A5D" w:rsidRPr="00E86A8F">
        <w:rPr>
          <w:rFonts w:asciiTheme="majorHAnsi" w:hAnsiTheme="majorHAnsi"/>
          <w:sz w:val="20"/>
          <w:szCs w:val="20"/>
          <w:lang w:val="es-VE"/>
        </w:rPr>
        <w:t>detención del director de la CONAF, Carlos Weber, generó un “agitado ambiente de especulaciones”</w:t>
      </w:r>
      <w:r w:rsidR="00503A5D" w:rsidRPr="00E86A8F">
        <w:rPr>
          <w:rStyle w:val="FootnoteReference"/>
          <w:rFonts w:asciiTheme="majorHAnsi" w:hAnsiTheme="majorHAnsi"/>
          <w:sz w:val="20"/>
          <w:szCs w:val="20"/>
          <w:lang w:val="es-VE"/>
        </w:rPr>
        <w:footnoteReference w:id="12"/>
      </w:r>
      <w:r w:rsidR="00503A5D" w:rsidRPr="00E86A8F">
        <w:rPr>
          <w:rFonts w:asciiTheme="majorHAnsi" w:hAnsiTheme="majorHAnsi"/>
          <w:sz w:val="20"/>
          <w:szCs w:val="20"/>
          <w:lang w:val="es-VE"/>
        </w:rPr>
        <w:t xml:space="preserve"> que atrajo la atención hacia el tema del tráfico ilegal del alerce y la posible existencia de presiones políticas. La Agrupación de Ingenieros Forestales por el Bosque Nativo denunció que el </w:t>
      </w:r>
      <w:r w:rsidR="00A61610" w:rsidRPr="00E86A8F">
        <w:rPr>
          <w:rFonts w:asciiTheme="majorHAnsi" w:hAnsiTheme="majorHAnsi"/>
          <w:sz w:val="20"/>
          <w:szCs w:val="20"/>
          <w:lang w:val="es-VE"/>
        </w:rPr>
        <w:t>señor</w:t>
      </w:r>
      <w:r w:rsidR="00503A5D" w:rsidRPr="00E86A8F">
        <w:rPr>
          <w:rFonts w:asciiTheme="majorHAnsi" w:hAnsiTheme="majorHAnsi"/>
          <w:sz w:val="20"/>
          <w:szCs w:val="20"/>
          <w:lang w:val="es-VE"/>
        </w:rPr>
        <w:t xml:space="preserve"> Weber recibió presiones para otorgar planes de manejo del alerce a privados</w:t>
      </w:r>
      <w:r w:rsidR="00503A5D" w:rsidRPr="00E86A8F">
        <w:rPr>
          <w:rStyle w:val="FootnoteReference"/>
          <w:rFonts w:asciiTheme="majorHAnsi" w:hAnsiTheme="majorHAnsi"/>
          <w:sz w:val="20"/>
          <w:szCs w:val="20"/>
          <w:lang w:val="es-VE"/>
        </w:rPr>
        <w:footnoteReference w:id="13"/>
      </w:r>
      <w:r w:rsidR="00503A5D" w:rsidRPr="00E86A8F">
        <w:rPr>
          <w:rFonts w:asciiTheme="majorHAnsi" w:hAnsiTheme="majorHAnsi"/>
          <w:sz w:val="20"/>
          <w:szCs w:val="20"/>
          <w:lang w:val="es-VE"/>
        </w:rPr>
        <w:t>, especificando que habría recibido presiones políticas en el marco de una reunión llevada a cabo en agosto de 2002</w:t>
      </w:r>
      <w:r w:rsidR="00503A5D" w:rsidRPr="00E86A8F">
        <w:rPr>
          <w:rStyle w:val="FootnoteReference"/>
          <w:rFonts w:asciiTheme="majorHAnsi" w:hAnsiTheme="majorHAnsi"/>
          <w:sz w:val="20"/>
          <w:szCs w:val="20"/>
          <w:lang w:val="es-VE"/>
        </w:rPr>
        <w:footnoteReference w:id="14"/>
      </w:r>
      <w:r w:rsidR="00503A5D" w:rsidRPr="00E86A8F">
        <w:rPr>
          <w:rFonts w:asciiTheme="majorHAnsi" w:hAnsiTheme="majorHAnsi"/>
          <w:sz w:val="20"/>
          <w:szCs w:val="20"/>
          <w:lang w:val="es-VE"/>
        </w:rPr>
        <w:t xml:space="preserve">. Tras conocer la noticia de dicha detención, la Fundación </w:t>
      </w:r>
      <w:r w:rsidR="00503A5D" w:rsidRPr="00E86A8F">
        <w:rPr>
          <w:rFonts w:asciiTheme="majorHAnsi" w:hAnsiTheme="majorHAnsi"/>
          <w:sz w:val="20"/>
          <w:szCs w:val="20"/>
          <w:lang w:val="es-VE"/>
        </w:rPr>
        <w:lastRenderedPageBreak/>
        <w:t>Terram, el Centro Austral de Derecho Ambiental (Ceada) y los Defensores del Bosque Chileno denunciaron que el dinero proveniente de la explotación forestal se habría destinado al financiamiento de campañas políticas. En ese sentido, el director ejecutivo de Terram, Rodrigo Pizarro, señaló que había evidencia de una red de protección de presiones políticas y asociación ilícita, indicando que las organizaciones ya mencionadas venían denunciando este problema desde hace años</w:t>
      </w:r>
      <w:r w:rsidR="00503A5D" w:rsidRPr="00E86A8F">
        <w:rPr>
          <w:rStyle w:val="FootnoteReference"/>
          <w:rFonts w:asciiTheme="majorHAnsi" w:hAnsiTheme="majorHAnsi"/>
          <w:sz w:val="20"/>
          <w:szCs w:val="20"/>
          <w:lang w:val="es-VE"/>
        </w:rPr>
        <w:footnoteReference w:id="15"/>
      </w:r>
      <w:r w:rsidR="00503A5D" w:rsidRPr="00E86A8F">
        <w:rPr>
          <w:rFonts w:asciiTheme="majorHAnsi" w:hAnsiTheme="majorHAnsi"/>
          <w:sz w:val="20"/>
          <w:szCs w:val="20"/>
          <w:lang w:val="es-VE"/>
        </w:rPr>
        <w:t xml:space="preserve">.  A su vez, </w:t>
      </w:r>
      <w:r w:rsidR="008E028C" w:rsidRPr="00E86A8F">
        <w:rPr>
          <w:rFonts w:asciiTheme="majorHAnsi" w:hAnsiTheme="majorHAnsi"/>
          <w:sz w:val="20"/>
          <w:szCs w:val="20"/>
          <w:lang w:val="es-VE"/>
        </w:rPr>
        <w:t xml:space="preserve">un </w:t>
      </w:r>
      <w:r w:rsidR="00503A5D" w:rsidRPr="00E86A8F">
        <w:rPr>
          <w:rFonts w:asciiTheme="majorHAnsi" w:hAnsiTheme="majorHAnsi"/>
          <w:sz w:val="20"/>
          <w:szCs w:val="20"/>
          <w:lang w:val="es-VE"/>
        </w:rPr>
        <w:t>diputado criticó la actuación de la CONAF por la no utilización de los medios tecnológicos adecuados para ejercer monitoreo</w:t>
      </w:r>
      <w:r w:rsidR="00503A5D" w:rsidRPr="00E86A8F">
        <w:rPr>
          <w:rStyle w:val="FootnoteReference"/>
          <w:rFonts w:asciiTheme="majorHAnsi" w:hAnsiTheme="majorHAnsi"/>
          <w:sz w:val="20"/>
          <w:szCs w:val="20"/>
          <w:lang w:val="es-VE"/>
        </w:rPr>
        <w:footnoteReference w:id="16"/>
      </w:r>
      <w:r w:rsidR="0082061E" w:rsidRPr="00E86A8F">
        <w:rPr>
          <w:rFonts w:asciiTheme="majorHAnsi" w:hAnsiTheme="majorHAnsi"/>
          <w:sz w:val="20"/>
          <w:szCs w:val="20"/>
          <w:lang w:val="es-VE"/>
        </w:rPr>
        <w:t>.</w:t>
      </w:r>
      <w:r w:rsidR="00503A5D" w:rsidRPr="00E86A8F">
        <w:rPr>
          <w:rFonts w:asciiTheme="majorHAnsi" w:hAnsiTheme="majorHAnsi"/>
          <w:sz w:val="20"/>
          <w:szCs w:val="20"/>
          <w:lang w:val="es-VE"/>
        </w:rPr>
        <w:t xml:space="preserve"> Todo ello generó la respuesta del </w:t>
      </w:r>
      <w:r w:rsidR="003D2274" w:rsidRPr="00E86A8F">
        <w:rPr>
          <w:rFonts w:asciiTheme="majorHAnsi" w:hAnsiTheme="majorHAnsi"/>
          <w:sz w:val="20"/>
          <w:szCs w:val="20"/>
          <w:lang w:val="es-VE"/>
        </w:rPr>
        <w:t>M</w:t>
      </w:r>
      <w:r w:rsidR="00503A5D" w:rsidRPr="00E86A8F">
        <w:rPr>
          <w:rFonts w:asciiTheme="majorHAnsi" w:hAnsiTheme="majorHAnsi"/>
          <w:sz w:val="20"/>
          <w:szCs w:val="20"/>
          <w:lang w:val="es-VE"/>
        </w:rPr>
        <w:t>inistro de Agricultura, que animó a que quien creyera que había políticos involucrados, se manifestara al respecto, pero responsablemente</w:t>
      </w:r>
      <w:r w:rsidR="00503A5D" w:rsidRPr="00E86A8F">
        <w:rPr>
          <w:rStyle w:val="FootnoteReference"/>
          <w:rFonts w:asciiTheme="majorHAnsi" w:hAnsiTheme="majorHAnsi"/>
          <w:sz w:val="20"/>
          <w:szCs w:val="20"/>
          <w:lang w:val="es-VE"/>
        </w:rPr>
        <w:footnoteReference w:id="17"/>
      </w:r>
      <w:r w:rsidR="00503A5D" w:rsidRPr="00E86A8F">
        <w:rPr>
          <w:rFonts w:asciiTheme="majorHAnsi" w:hAnsiTheme="majorHAnsi"/>
          <w:sz w:val="20"/>
          <w:szCs w:val="20"/>
          <w:lang w:val="es-VE"/>
        </w:rPr>
        <w:t xml:space="preserve">. </w:t>
      </w:r>
    </w:p>
    <w:p w14:paraId="10D1D518" w14:textId="77777777" w:rsidR="004E0BA6" w:rsidRPr="00E86A8F" w:rsidRDefault="004E0BA6" w:rsidP="00073BB6">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Theme="majorHAnsi" w:hAnsiTheme="majorHAnsi"/>
          <w:sz w:val="20"/>
          <w:szCs w:val="20"/>
          <w:lang w:val="es-PE"/>
        </w:rPr>
      </w:pPr>
    </w:p>
    <w:p w14:paraId="0AE240E8" w14:textId="4B01404E" w:rsidR="00403C17" w:rsidRPr="00E86A8F" w:rsidRDefault="00944C21"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VE"/>
        </w:rPr>
        <w:t>Fue en este contexto que</w:t>
      </w:r>
      <w:r w:rsidR="00403C17" w:rsidRPr="00E86A8F">
        <w:rPr>
          <w:rFonts w:asciiTheme="majorHAnsi" w:hAnsiTheme="majorHAnsi"/>
          <w:sz w:val="20"/>
          <w:szCs w:val="20"/>
          <w:lang w:val="es-VE"/>
        </w:rPr>
        <w:t xml:space="preserve"> el abogado Carlos Baraona Bray, quien trabajó para dicha institución y para la SEREMI</w:t>
      </w:r>
      <w:r w:rsidR="00BF4CEE" w:rsidRPr="00E86A8F">
        <w:rPr>
          <w:rFonts w:asciiTheme="majorHAnsi" w:hAnsiTheme="majorHAnsi"/>
          <w:sz w:val="20"/>
          <w:szCs w:val="20"/>
          <w:lang w:val="es-VE"/>
        </w:rPr>
        <w:t xml:space="preserve"> del Ministerio de Bienes Nacionales</w:t>
      </w:r>
      <w:r w:rsidR="00403C17" w:rsidRPr="00E86A8F">
        <w:rPr>
          <w:rFonts w:asciiTheme="majorHAnsi" w:hAnsiTheme="majorHAnsi"/>
          <w:sz w:val="20"/>
          <w:szCs w:val="20"/>
          <w:lang w:val="es-VE"/>
        </w:rPr>
        <w:t xml:space="preserve">, </w:t>
      </w:r>
      <w:r w:rsidR="00AB2BC0" w:rsidRPr="00E86A8F">
        <w:rPr>
          <w:rFonts w:asciiTheme="majorHAnsi" w:hAnsiTheme="majorHAnsi"/>
          <w:sz w:val="20"/>
          <w:szCs w:val="20"/>
          <w:lang w:val="es-VE"/>
        </w:rPr>
        <w:t>y quien vive en la R</w:t>
      </w:r>
      <w:r w:rsidR="00403C17" w:rsidRPr="00E86A8F">
        <w:rPr>
          <w:rFonts w:asciiTheme="majorHAnsi" w:hAnsiTheme="majorHAnsi"/>
          <w:sz w:val="20"/>
          <w:szCs w:val="20"/>
          <w:lang w:val="es-VE"/>
        </w:rPr>
        <w:t>egión X</w:t>
      </w:r>
      <w:r w:rsidRPr="00E86A8F">
        <w:rPr>
          <w:rFonts w:asciiTheme="majorHAnsi" w:hAnsiTheme="majorHAnsi"/>
          <w:sz w:val="20"/>
          <w:szCs w:val="20"/>
          <w:lang w:val="es-VE"/>
        </w:rPr>
        <w:t xml:space="preserve"> (Región de Los Lagos)</w:t>
      </w:r>
      <w:r w:rsidR="00403C17" w:rsidRPr="00E86A8F">
        <w:rPr>
          <w:rFonts w:asciiTheme="majorHAnsi" w:hAnsiTheme="majorHAnsi"/>
          <w:sz w:val="20"/>
          <w:szCs w:val="20"/>
          <w:lang w:val="es-VE"/>
        </w:rPr>
        <w:t>, con alta presencia de la especie protegida del alerce,</w:t>
      </w:r>
      <w:r w:rsidR="00FB6513" w:rsidRPr="00E86A8F">
        <w:rPr>
          <w:rFonts w:asciiTheme="majorHAnsi" w:hAnsiTheme="majorHAnsi"/>
          <w:sz w:val="20"/>
          <w:szCs w:val="20"/>
          <w:lang w:val="es-VE"/>
        </w:rPr>
        <w:t xml:space="preserve"> </w:t>
      </w:r>
      <w:r w:rsidR="00403C17" w:rsidRPr="00E86A8F">
        <w:rPr>
          <w:rFonts w:asciiTheme="majorHAnsi" w:hAnsiTheme="majorHAnsi"/>
          <w:sz w:val="20"/>
          <w:szCs w:val="20"/>
          <w:lang w:val="es-VE"/>
        </w:rPr>
        <w:t xml:space="preserve">realizó varias declaraciones </w:t>
      </w:r>
      <w:r w:rsidR="000479FC" w:rsidRPr="00E86A8F">
        <w:rPr>
          <w:rFonts w:asciiTheme="majorHAnsi" w:hAnsiTheme="majorHAnsi"/>
          <w:sz w:val="20"/>
          <w:szCs w:val="20"/>
          <w:lang w:val="es-VE"/>
        </w:rPr>
        <w:t>ante diversos medios de comunicación social, que fueron además difundidas por otros medios.</w:t>
      </w:r>
      <w:r w:rsidR="00403C17" w:rsidRPr="00E86A8F">
        <w:rPr>
          <w:rFonts w:asciiTheme="majorHAnsi" w:hAnsiTheme="majorHAnsi"/>
          <w:sz w:val="20"/>
          <w:szCs w:val="20"/>
          <w:lang w:val="es-VE"/>
        </w:rPr>
        <w:t xml:space="preserve"> </w:t>
      </w:r>
      <w:r w:rsidR="000F235A" w:rsidRPr="00E86A8F">
        <w:rPr>
          <w:rFonts w:asciiTheme="majorHAnsi" w:hAnsiTheme="majorHAnsi"/>
          <w:sz w:val="20"/>
          <w:szCs w:val="20"/>
          <w:lang w:val="es-VE"/>
        </w:rPr>
        <w:t xml:space="preserve">Las declaraciones </w:t>
      </w:r>
      <w:r w:rsidR="004B1603" w:rsidRPr="00E86A8F">
        <w:rPr>
          <w:rFonts w:asciiTheme="majorHAnsi" w:hAnsiTheme="majorHAnsi"/>
          <w:sz w:val="20"/>
          <w:szCs w:val="20"/>
          <w:lang w:val="es-VE"/>
        </w:rPr>
        <w:t xml:space="preserve">vertidas por Carlos Baraona </w:t>
      </w:r>
      <w:r w:rsidR="000F235A" w:rsidRPr="00E86A8F">
        <w:rPr>
          <w:rFonts w:asciiTheme="majorHAnsi" w:hAnsiTheme="majorHAnsi"/>
          <w:sz w:val="20"/>
          <w:szCs w:val="20"/>
          <w:lang w:val="es-VE"/>
        </w:rPr>
        <w:t xml:space="preserve">se refirieron principalmente </w:t>
      </w:r>
      <w:r w:rsidR="004B1603" w:rsidRPr="00E86A8F">
        <w:rPr>
          <w:rFonts w:asciiTheme="majorHAnsi" w:hAnsiTheme="majorHAnsi"/>
          <w:sz w:val="20"/>
          <w:szCs w:val="20"/>
          <w:lang w:val="es-VE"/>
        </w:rPr>
        <w:t xml:space="preserve">a que el </w:t>
      </w:r>
      <w:r w:rsidR="00486700" w:rsidRPr="00E86A8F">
        <w:rPr>
          <w:rFonts w:asciiTheme="majorHAnsi" w:hAnsiTheme="majorHAnsi"/>
          <w:sz w:val="20"/>
          <w:szCs w:val="20"/>
          <w:lang w:val="es-VE"/>
        </w:rPr>
        <w:t>senador</w:t>
      </w:r>
      <w:r w:rsidR="004B1603" w:rsidRPr="00E86A8F">
        <w:rPr>
          <w:rFonts w:asciiTheme="majorHAnsi" w:hAnsiTheme="majorHAnsi"/>
          <w:sz w:val="20"/>
          <w:szCs w:val="20"/>
          <w:lang w:val="es-VE"/>
        </w:rPr>
        <w:t xml:space="preserve"> Sergio Páez </w:t>
      </w:r>
      <w:r w:rsidR="009B0356" w:rsidRPr="00E86A8F">
        <w:rPr>
          <w:rFonts w:asciiTheme="majorHAnsi" w:hAnsiTheme="majorHAnsi"/>
          <w:sz w:val="20"/>
          <w:szCs w:val="20"/>
          <w:lang w:val="es-VE"/>
        </w:rPr>
        <w:t>Verdugo (</w:t>
      </w:r>
      <w:r w:rsidR="00486700" w:rsidRPr="00E86A8F">
        <w:rPr>
          <w:rFonts w:asciiTheme="majorHAnsi" w:hAnsiTheme="majorHAnsi"/>
          <w:sz w:val="20"/>
          <w:szCs w:val="20"/>
          <w:lang w:val="es-VE"/>
        </w:rPr>
        <w:t>senador</w:t>
      </w:r>
      <w:r w:rsidR="009B0356" w:rsidRPr="00E86A8F">
        <w:rPr>
          <w:rFonts w:asciiTheme="majorHAnsi" w:hAnsiTheme="majorHAnsi"/>
          <w:sz w:val="20"/>
          <w:szCs w:val="20"/>
          <w:lang w:val="es-VE"/>
        </w:rPr>
        <w:t xml:space="preserve"> de la Región X</w:t>
      </w:r>
      <w:r w:rsidR="00FB6513" w:rsidRPr="00E86A8F">
        <w:rPr>
          <w:rFonts w:asciiTheme="majorHAnsi" w:hAnsiTheme="majorHAnsi"/>
          <w:sz w:val="20"/>
          <w:szCs w:val="20"/>
          <w:lang w:val="es-VE"/>
        </w:rPr>
        <w:t xml:space="preserve">), </w:t>
      </w:r>
      <w:r w:rsidR="00545E65" w:rsidRPr="00E86A8F">
        <w:rPr>
          <w:rFonts w:asciiTheme="majorHAnsi" w:hAnsiTheme="majorHAnsi"/>
          <w:sz w:val="20"/>
          <w:szCs w:val="20"/>
          <w:lang w:val="es-VE"/>
        </w:rPr>
        <w:t xml:space="preserve">ejerció </w:t>
      </w:r>
      <w:r w:rsidR="004B1603" w:rsidRPr="00E86A8F">
        <w:rPr>
          <w:rFonts w:asciiTheme="majorHAnsi" w:hAnsiTheme="majorHAnsi"/>
          <w:sz w:val="20"/>
          <w:szCs w:val="20"/>
          <w:lang w:val="es-VE"/>
        </w:rPr>
        <w:t xml:space="preserve">presiones políticas sobre distintas autoridades encargadas de la conservación del alerce para </w:t>
      </w:r>
      <w:r w:rsidR="00FE117C" w:rsidRPr="00E86A8F">
        <w:rPr>
          <w:rFonts w:asciiTheme="majorHAnsi" w:hAnsiTheme="majorHAnsi"/>
          <w:sz w:val="20"/>
          <w:szCs w:val="20"/>
          <w:lang w:val="es-VE"/>
        </w:rPr>
        <w:t>que se mantuviera una situación de ocupación ilegal en un predio de</w:t>
      </w:r>
      <w:r w:rsidR="005D0CD2" w:rsidRPr="00E86A8F">
        <w:rPr>
          <w:rFonts w:asciiTheme="majorHAnsi" w:hAnsiTheme="majorHAnsi"/>
          <w:sz w:val="20"/>
          <w:szCs w:val="20"/>
          <w:lang w:val="es-VE"/>
        </w:rPr>
        <w:t xml:space="preserve"> dicha r</w:t>
      </w:r>
      <w:r w:rsidR="00FE117C" w:rsidRPr="00E86A8F">
        <w:rPr>
          <w:rFonts w:asciiTheme="majorHAnsi" w:hAnsiTheme="majorHAnsi"/>
          <w:sz w:val="20"/>
          <w:szCs w:val="20"/>
          <w:lang w:val="es-VE"/>
        </w:rPr>
        <w:t xml:space="preserve">egión y para que </w:t>
      </w:r>
      <w:r w:rsidR="004B1603" w:rsidRPr="00E86A8F">
        <w:rPr>
          <w:rFonts w:asciiTheme="majorHAnsi" w:hAnsiTheme="majorHAnsi"/>
          <w:sz w:val="20"/>
          <w:szCs w:val="20"/>
          <w:lang w:val="es-VE"/>
        </w:rPr>
        <w:t>no detenga</w:t>
      </w:r>
      <w:r w:rsidR="00FE117C" w:rsidRPr="00E86A8F">
        <w:rPr>
          <w:rFonts w:asciiTheme="majorHAnsi" w:hAnsiTheme="majorHAnsi"/>
          <w:sz w:val="20"/>
          <w:szCs w:val="20"/>
          <w:lang w:val="es-VE"/>
        </w:rPr>
        <w:t>n</w:t>
      </w:r>
      <w:r w:rsidR="004B1603" w:rsidRPr="00E86A8F">
        <w:rPr>
          <w:rFonts w:asciiTheme="majorHAnsi" w:hAnsiTheme="majorHAnsi"/>
          <w:sz w:val="20"/>
          <w:szCs w:val="20"/>
          <w:lang w:val="es-VE"/>
        </w:rPr>
        <w:t xml:space="preserve"> su tala ilegal</w:t>
      </w:r>
      <w:r w:rsidR="00FE117C" w:rsidRPr="00E86A8F">
        <w:rPr>
          <w:rFonts w:asciiTheme="majorHAnsi" w:hAnsiTheme="majorHAnsi"/>
          <w:sz w:val="20"/>
          <w:szCs w:val="20"/>
          <w:lang w:val="es-VE"/>
        </w:rPr>
        <w:t>.</w:t>
      </w:r>
    </w:p>
    <w:p w14:paraId="64DF53BE" w14:textId="77777777" w:rsidR="004E0BA6" w:rsidRPr="00E86A8F" w:rsidRDefault="004E0BA6" w:rsidP="00073BB6">
      <w:pPr>
        <w:jc w:val="both"/>
        <w:rPr>
          <w:rFonts w:asciiTheme="majorHAnsi" w:hAnsiTheme="majorHAnsi"/>
          <w:sz w:val="20"/>
          <w:szCs w:val="20"/>
          <w:lang w:val="es-PE"/>
        </w:rPr>
      </w:pPr>
    </w:p>
    <w:p w14:paraId="5B4CC6C7" w14:textId="29B77ADF" w:rsidR="00A37DFA" w:rsidRPr="00E86A8F" w:rsidRDefault="00A37DFA"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VE"/>
        </w:rPr>
        <w:t xml:space="preserve">El señor Carlos Baraona </w:t>
      </w:r>
      <w:r w:rsidR="000954EE" w:rsidRPr="00E86A8F">
        <w:rPr>
          <w:rFonts w:asciiTheme="majorHAnsi" w:hAnsiTheme="majorHAnsi"/>
          <w:sz w:val="20"/>
          <w:szCs w:val="20"/>
          <w:lang w:val="es-VE"/>
        </w:rPr>
        <w:t>Bray</w:t>
      </w:r>
      <w:r w:rsidRPr="00E86A8F">
        <w:rPr>
          <w:rFonts w:asciiTheme="majorHAnsi" w:hAnsiTheme="majorHAnsi"/>
          <w:sz w:val="20"/>
          <w:szCs w:val="20"/>
          <w:lang w:val="es-VE"/>
        </w:rPr>
        <w:t xml:space="preserve"> fue entrevistado y declaró ante distintos medios de comunicación durante el mes de mayo de 2004</w:t>
      </w:r>
      <w:r w:rsidR="005E6EA4" w:rsidRPr="00E86A8F">
        <w:rPr>
          <w:rStyle w:val="FootnoteReference"/>
          <w:rFonts w:asciiTheme="majorHAnsi" w:hAnsiTheme="majorHAnsi"/>
          <w:sz w:val="20"/>
          <w:szCs w:val="20"/>
          <w:lang w:val="es-VE"/>
        </w:rPr>
        <w:footnoteReference w:id="18"/>
      </w:r>
      <w:r w:rsidRPr="00E86A8F">
        <w:rPr>
          <w:rFonts w:asciiTheme="majorHAnsi" w:hAnsiTheme="majorHAnsi"/>
          <w:sz w:val="20"/>
          <w:szCs w:val="20"/>
          <w:lang w:val="es-VE"/>
        </w:rPr>
        <w:t xml:space="preserve">, a saber: a) el 12 de mayo Carlos Baraona fue entrevistado en Canal Trece, en el noticiero </w:t>
      </w:r>
      <w:r w:rsidR="001C316E" w:rsidRPr="00E86A8F">
        <w:rPr>
          <w:rFonts w:asciiTheme="majorHAnsi" w:hAnsiTheme="majorHAnsi"/>
          <w:sz w:val="20"/>
          <w:szCs w:val="20"/>
          <w:lang w:val="es-VE"/>
        </w:rPr>
        <w:t>“</w:t>
      </w:r>
      <w:r w:rsidRPr="00E86A8F">
        <w:rPr>
          <w:rFonts w:asciiTheme="majorHAnsi" w:hAnsiTheme="majorHAnsi"/>
          <w:sz w:val="20"/>
          <w:szCs w:val="20"/>
          <w:lang w:val="es-VE"/>
        </w:rPr>
        <w:t>Teletrece</w:t>
      </w:r>
      <w:r w:rsidR="001C316E" w:rsidRPr="00E86A8F">
        <w:rPr>
          <w:rFonts w:asciiTheme="majorHAnsi" w:hAnsiTheme="majorHAnsi"/>
          <w:sz w:val="20"/>
          <w:szCs w:val="20"/>
          <w:lang w:val="es-VE"/>
        </w:rPr>
        <w:t>”</w:t>
      </w:r>
      <w:r w:rsidRPr="00E86A8F">
        <w:rPr>
          <w:rFonts w:asciiTheme="majorHAnsi" w:hAnsiTheme="majorHAnsi"/>
          <w:sz w:val="20"/>
          <w:szCs w:val="20"/>
          <w:lang w:val="es-VE"/>
        </w:rPr>
        <w:t xml:space="preserve">; b) el 13 de mayo concedió una entrevista a </w:t>
      </w:r>
      <w:r w:rsidR="001C316E" w:rsidRPr="00E86A8F">
        <w:rPr>
          <w:rFonts w:asciiTheme="majorHAnsi" w:hAnsiTheme="majorHAnsi"/>
          <w:sz w:val="20"/>
          <w:szCs w:val="20"/>
          <w:lang w:val="es-VE"/>
        </w:rPr>
        <w:t>“Radio c</w:t>
      </w:r>
      <w:r w:rsidRPr="00E86A8F">
        <w:rPr>
          <w:rFonts w:asciiTheme="majorHAnsi" w:hAnsiTheme="majorHAnsi"/>
          <w:sz w:val="20"/>
          <w:szCs w:val="20"/>
          <w:lang w:val="es-VE"/>
        </w:rPr>
        <w:t>hilena</w:t>
      </w:r>
      <w:r w:rsidR="001C316E" w:rsidRPr="00E86A8F">
        <w:rPr>
          <w:rFonts w:asciiTheme="majorHAnsi" w:hAnsiTheme="majorHAnsi"/>
          <w:sz w:val="20"/>
          <w:szCs w:val="20"/>
          <w:lang w:val="es-VE"/>
        </w:rPr>
        <w:t>”</w:t>
      </w:r>
      <w:r w:rsidRPr="00E86A8F">
        <w:rPr>
          <w:rFonts w:asciiTheme="majorHAnsi" w:hAnsiTheme="majorHAnsi"/>
          <w:sz w:val="20"/>
          <w:szCs w:val="20"/>
          <w:lang w:val="es-VE"/>
        </w:rPr>
        <w:t xml:space="preserve">; c) </w:t>
      </w:r>
      <w:r w:rsidR="001C316E" w:rsidRPr="00E86A8F">
        <w:rPr>
          <w:rFonts w:asciiTheme="majorHAnsi" w:hAnsiTheme="majorHAnsi"/>
          <w:sz w:val="20"/>
          <w:szCs w:val="20"/>
          <w:lang w:val="es-VE"/>
        </w:rPr>
        <w:t>el 17 de mayo declar</w:t>
      </w:r>
      <w:r w:rsidR="00EB2329" w:rsidRPr="00E86A8F">
        <w:rPr>
          <w:rFonts w:asciiTheme="majorHAnsi" w:hAnsiTheme="majorHAnsi"/>
          <w:sz w:val="20"/>
          <w:szCs w:val="20"/>
          <w:lang w:val="es-VE"/>
        </w:rPr>
        <w:t>ó ante la “Ra</w:t>
      </w:r>
      <w:r w:rsidR="001C316E" w:rsidRPr="00E86A8F">
        <w:rPr>
          <w:rFonts w:asciiTheme="majorHAnsi" w:hAnsiTheme="majorHAnsi"/>
          <w:sz w:val="20"/>
          <w:szCs w:val="20"/>
          <w:lang w:val="es-VE"/>
        </w:rPr>
        <w:t>dio Bio Bio</w:t>
      </w:r>
      <w:r w:rsidR="00EB2329" w:rsidRPr="00E86A8F">
        <w:rPr>
          <w:rFonts w:asciiTheme="majorHAnsi" w:hAnsiTheme="majorHAnsi"/>
          <w:sz w:val="20"/>
          <w:szCs w:val="20"/>
          <w:lang w:val="es-VE"/>
        </w:rPr>
        <w:t>”</w:t>
      </w:r>
      <w:r w:rsidR="00977C7F" w:rsidRPr="00E86A8F">
        <w:rPr>
          <w:rFonts w:asciiTheme="majorHAnsi" w:hAnsiTheme="majorHAnsi"/>
          <w:sz w:val="20"/>
          <w:szCs w:val="20"/>
          <w:lang w:val="es-VE"/>
        </w:rPr>
        <w:t xml:space="preserve"> de Puerto Montt</w:t>
      </w:r>
      <w:r w:rsidR="001C316E" w:rsidRPr="00E86A8F">
        <w:rPr>
          <w:rFonts w:asciiTheme="majorHAnsi" w:hAnsiTheme="majorHAnsi"/>
          <w:sz w:val="20"/>
          <w:szCs w:val="20"/>
          <w:lang w:val="es-VE"/>
        </w:rPr>
        <w:t>; d) el 17 de mayo fue entrevistado por el programa “Poder y Poderes Políticos”</w:t>
      </w:r>
      <w:r w:rsidR="00EB2329" w:rsidRPr="00E86A8F">
        <w:rPr>
          <w:rFonts w:asciiTheme="majorHAnsi" w:hAnsiTheme="majorHAnsi"/>
          <w:sz w:val="20"/>
          <w:szCs w:val="20"/>
          <w:lang w:val="es-VE"/>
        </w:rPr>
        <w:t xml:space="preserve"> del canal de la Universidad Católica de Valparaíso, y e) conced</w:t>
      </w:r>
      <w:r w:rsidR="007172B1" w:rsidRPr="00E86A8F">
        <w:rPr>
          <w:rFonts w:asciiTheme="majorHAnsi" w:hAnsiTheme="majorHAnsi"/>
          <w:sz w:val="20"/>
          <w:szCs w:val="20"/>
          <w:lang w:val="es-VE"/>
        </w:rPr>
        <w:t>ió</w:t>
      </w:r>
      <w:r w:rsidR="00EB2329" w:rsidRPr="00E86A8F">
        <w:rPr>
          <w:rFonts w:asciiTheme="majorHAnsi" w:hAnsiTheme="majorHAnsi"/>
          <w:sz w:val="20"/>
          <w:szCs w:val="20"/>
          <w:lang w:val="es-VE"/>
        </w:rPr>
        <w:t xml:space="preserve"> una entrevista a la Revista “Ercilla”, la cual fue publicada en su edición No.3242 de 24 de mayo a 6 de junio de 2004. Asimismo,</w:t>
      </w:r>
      <w:r w:rsidR="00977C7F" w:rsidRPr="00E86A8F">
        <w:rPr>
          <w:rFonts w:asciiTheme="majorHAnsi" w:hAnsiTheme="majorHAnsi"/>
          <w:sz w:val="20"/>
          <w:szCs w:val="20"/>
          <w:lang w:val="es-VE"/>
        </w:rPr>
        <w:t xml:space="preserve"> </w:t>
      </w:r>
      <w:r w:rsidR="0011680F" w:rsidRPr="00E86A8F">
        <w:rPr>
          <w:rFonts w:asciiTheme="majorHAnsi" w:hAnsiTheme="majorHAnsi"/>
          <w:sz w:val="20"/>
          <w:szCs w:val="20"/>
          <w:lang w:val="es-VE"/>
        </w:rPr>
        <w:t xml:space="preserve">medios de </w:t>
      </w:r>
      <w:r w:rsidR="00CD76A0" w:rsidRPr="00E86A8F">
        <w:rPr>
          <w:rFonts w:asciiTheme="majorHAnsi" w:hAnsiTheme="majorHAnsi"/>
          <w:sz w:val="20"/>
          <w:szCs w:val="20"/>
          <w:lang w:val="es-VE"/>
        </w:rPr>
        <w:t>prensa,</w:t>
      </w:r>
      <w:r w:rsidR="0011680F" w:rsidRPr="00E86A8F">
        <w:rPr>
          <w:rFonts w:asciiTheme="majorHAnsi" w:hAnsiTheme="majorHAnsi"/>
          <w:sz w:val="20"/>
          <w:szCs w:val="20"/>
          <w:lang w:val="es-VE"/>
        </w:rPr>
        <w:t xml:space="preserve"> como los</w:t>
      </w:r>
      <w:r w:rsidR="00977C7F" w:rsidRPr="00E86A8F">
        <w:rPr>
          <w:rFonts w:asciiTheme="majorHAnsi" w:hAnsiTheme="majorHAnsi"/>
          <w:sz w:val="20"/>
          <w:szCs w:val="20"/>
          <w:lang w:val="es-VE"/>
        </w:rPr>
        <w:t xml:space="preserve"> diario</w:t>
      </w:r>
      <w:r w:rsidR="0011680F" w:rsidRPr="00E86A8F">
        <w:rPr>
          <w:rFonts w:asciiTheme="majorHAnsi" w:hAnsiTheme="majorHAnsi"/>
          <w:sz w:val="20"/>
          <w:szCs w:val="20"/>
          <w:lang w:val="es-VE"/>
        </w:rPr>
        <w:t>s</w:t>
      </w:r>
      <w:r w:rsidR="00977C7F" w:rsidRPr="00E86A8F">
        <w:rPr>
          <w:rFonts w:asciiTheme="majorHAnsi" w:hAnsiTheme="majorHAnsi"/>
          <w:sz w:val="20"/>
          <w:szCs w:val="20"/>
          <w:lang w:val="es-VE"/>
        </w:rPr>
        <w:t xml:space="preserve"> “El Llanquihue”, “La Segunda”, “La Tercera”, y “El Mercurio”, </w:t>
      </w:r>
      <w:r w:rsidR="0011680F" w:rsidRPr="00E86A8F">
        <w:rPr>
          <w:rFonts w:asciiTheme="majorHAnsi" w:hAnsiTheme="majorHAnsi"/>
          <w:sz w:val="20"/>
          <w:szCs w:val="20"/>
          <w:lang w:val="es-VE"/>
        </w:rPr>
        <w:t xml:space="preserve">informaron sobre las presiones políticas que estaría ejerciendo el </w:t>
      </w:r>
      <w:r w:rsidR="00486700" w:rsidRPr="00E86A8F">
        <w:rPr>
          <w:rFonts w:asciiTheme="majorHAnsi" w:hAnsiTheme="majorHAnsi"/>
          <w:sz w:val="20"/>
          <w:szCs w:val="20"/>
          <w:lang w:val="es-VE"/>
        </w:rPr>
        <w:t>senador</w:t>
      </w:r>
      <w:r w:rsidR="0011680F" w:rsidRPr="00E86A8F">
        <w:rPr>
          <w:rFonts w:asciiTheme="majorHAnsi" w:hAnsiTheme="majorHAnsi"/>
          <w:sz w:val="20"/>
          <w:szCs w:val="20"/>
          <w:lang w:val="es-VE"/>
        </w:rPr>
        <w:t xml:space="preserve"> Sergio Páez Verdugo, con base en las </w:t>
      </w:r>
      <w:r w:rsidR="00977C7F" w:rsidRPr="00E86A8F">
        <w:rPr>
          <w:rFonts w:asciiTheme="majorHAnsi" w:hAnsiTheme="majorHAnsi"/>
          <w:sz w:val="20"/>
          <w:szCs w:val="20"/>
          <w:lang w:val="es-VE"/>
        </w:rPr>
        <w:t>declaraciones v</w:t>
      </w:r>
      <w:r w:rsidR="0011680F" w:rsidRPr="00E86A8F">
        <w:rPr>
          <w:rFonts w:asciiTheme="majorHAnsi" w:hAnsiTheme="majorHAnsi"/>
          <w:sz w:val="20"/>
          <w:szCs w:val="20"/>
          <w:lang w:val="es-VE"/>
        </w:rPr>
        <w:t>ertidas por Carlos Baraona en este sentido</w:t>
      </w:r>
      <w:r w:rsidR="003E72B0" w:rsidRPr="00E86A8F">
        <w:rPr>
          <w:rStyle w:val="FootnoteReference"/>
          <w:rFonts w:asciiTheme="majorHAnsi" w:hAnsiTheme="majorHAnsi"/>
          <w:sz w:val="20"/>
          <w:szCs w:val="20"/>
          <w:lang w:val="es-VE"/>
        </w:rPr>
        <w:footnoteReference w:id="19"/>
      </w:r>
      <w:r w:rsidR="0011680F" w:rsidRPr="00E86A8F">
        <w:rPr>
          <w:rFonts w:asciiTheme="majorHAnsi" w:hAnsiTheme="majorHAnsi"/>
          <w:sz w:val="20"/>
          <w:szCs w:val="20"/>
          <w:lang w:val="es-VE"/>
        </w:rPr>
        <w:t>.</w:t>
      </w:r>
      <w:r w:rsidR="0011680F" w:rsidRPr="00E86A8F">
        <w:rPr>
          <w:rFonts w:asciiTheme="majorHAnsi" w:hAnsiTheme="majorHAnsi"/>
          <w:strike/>
          <w:sz w:val="20"/>
          <w:szCs w:val="20"/>
          <w:lang w:val="es-VE"/>
        </w:rPr>
        <w:t xml:space="preserve"> </w:t>
      </w:r>
    </w:p>
    <w:p w14:paraId="4AC0CA6B" w14:textId="77777777" w:rsidR="004E0BA6" w:rsidRPr="00E86A8F" w:rsidRDefault="004E0BA6" w:rsidP="00073BB6">
      <w:pPr>
        <w:pStyle w:val="ListParagraph"/>
        <w:ind w:left="0"/>
        <w:jc w:val="both"/>
        <w:rPr>
          <w:rFonts w:asciiTheme="majorHAnsi" w:hAnsiTheme="majorHAnsi"/>
          <w:sz w:val="20"/>
          <w:szCs w:val="20"/>
          <w:lang w:val="es-PE"/>
        </w:rPr>
      </w:pPr>
    </w:p>
    <w:p w14:paraId="686FE66D" w14:textId="02025382" w:rsidR="000479FC" w:rsidRPr="00E86A8F" w:rsidRDefault="000479F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VE"/>
        </w:rPr>
        <w:t xml:space="preserve">Las siguientes son </w:t>
      </w:r>
      <w:r w:rsidR="00627619" w:rsidRPr="00E86A8F">
        <w:rPr>
          <w:rFonts w:asciiTheme="majorHAnsi" w:hAnsiTheme="majorHAnsi"/>
          <w:sz w:val="20"/>
          <w:szCs w:val="20"/>
          <w:lang w:val="es-VE"/>
        </w:rPr>
        <w:t xml:space="preserve">algunas de </w:t>
      </w:r>
      <w:r w:rsidRPr="00E86A8F">
        <w:rPr>
          <w:rFonts w:asciiTheme="majorHAnsi" w:hAnsiTheme="majorHAnsi"/>
          <w:sz w:val="20"/>
          <w:szCs w:val="20"/>
          <w:lang w:val="es-VE"/>
        </w:rPr>
        <w:t xml:space="preserve">las declaraciones que el señor Baraona </w:t>
      </w:r>
      <w:r w:rsidR="000954EE" w:rsidRPr="00E86A8F">
        <w:rPr>
          <w:rFonts w:asciiTheme="majorHAnsi" w:hAnsiTheme="majorHAnsi"/>
          <w:sz w:val="20"/>
          <w:szCs w:val="20"/>
          <w:lang w:val="es-VE"/>
        </w:rPr>
        <w:t>Bray</w:t>
      </w:r>
      <w:r w:rsidRPr="00E86A8F">
        <w:rPr>
          <w:rFonts w:asciiTheme="majorHAnsi" w:hAnsiTheme="majorHAnsi"/>
          <w:sz w:val="20"/>
          <w:szCs w:val="20"/>
          <w:lang w:val="es-VE"/>
        </w:rPr>
        <w:t xml:space="preserve"> expresó ante diversos medios de prensa</w:t>
      </w:r>
      <w:r w:rsidR="00EE50D2" w:rsidRPr="00E86A8F">
        <w:rPr>
          <w:rStyle w:val="FootnoteReference"/>
          <w:rFonts w:asciiTheme="majorHAnsi" w:hAnsiTheme="majorHAnsi"/>
          <w:sz w:val="20"/>
          <w:szCs w:val="20"/>
          <w:lang w:val="es-VE"/>
        </w:rPr>
        <w:footnoteReference w:id="20"/>
      </w:r>
      <w:r w:rsidRPr="00E86A8F">
        <w:rPr>
          <w:rFonts w:asciiTheme="majorHAnsi" w:hAnsiTheme="majorHAnsi"/>
          <w:sz w:val="20"/>
          <w:szCs w:val="20"/>
          <w:lang w:val="es-VE"/>
        </w:rPr>
        <w:t>, a saber:</w:t>
      </w:r>
    </w:p>
    <w:p w14:paraId="27E7BF50" w14:textId="77777777" w:rsidR="000479FC" w:rsidRPr="00E86A8F" w:rsidRDefault="000479FC" w:rsidP="00073BB6">
      <w:pPr>
        <w:pStyle w:val="ListParagraph"/>
        <w:rPr>
          <w:rFonts w:asciiTheme="majorHAnsi" w:hAnsiTheme="majorHAnsi"/>
          <w:sz w:val="20"/>
          <w:szCs w:val="20"/>
          <w:lang w:val="es-VE"/>
        </w:rPr>
      </w:pPr>
    </w:p>
    <w:p w14:paraId="00A32021" w14:textId="13D36AC7" w:rsidR="001F046D" w:rsidRPr="00E86A8F" w:rsidRDefault="00627619" w:rsidP="00073BB6">
      <w:pPr>
        <w:pStyle w:val="ListParagraph"/>
        <w:numPr>
          <w:ilvl w:val="0"/>
          <w:numId w:val="58"/>
        </w:numPr>
        <w:ind w:left="720" w:right="720" w:firstLine="0"/>
        <w:jc w:val="both"/>
        <w:rPr>
          <w:rFonts w:asciiTheme="majorHAnsi" w:hAnsiTheme="majorHAnsi"/>
          <w:sz w:val="20"/>
          <w:szCs w:val="20"/>
          <w:lang w:val="es-AR"/>
        </w:rPr>
      </w:pPr>
      <w:r w:rsidRPr="00E86A8F">
        <w:rPr>
          <w:rFonts w:asciiTheme="majorHAnsi" w:hAnsiTheme="majorHAnsi"/>
          <w:sz w:val="20"/>
          <w:szCs w:val="20"/>
          <w:lang w:val="es-VE"/>
        </w:rPr>
        <w:t>El 12 de mayo de 2004 Carlos Baraona fue entrevistado en Canal Trece, en el noticiero Teletrece, y señaló</w:t>
      </w:r>
      <w:r w:rsidR="00B95D8A" w:rsidRPr="00E86A8F">
        <w:rPr>
          <w:rFonts w:asciiTheme="majorHAnsi" w:hAnsiTheme="majorHAnsi"/>
          <w:sz w:val="20"/>
          <w:szCs w:val="20"/>
          <w:lang w:val="es-VE"/>
        </w:rPr>
        <w:t xml:space="preserve"> que el </w:t>
      </w:r>
      <w:r w:rsidR="00486700" w:rsidRPr="00E86A8F">
        <w:rPr>
          <w:rFonts w:asciiTheme="majorHAnsi" w:hAnsiTheme="majorHAnsi"/>
          <w:sz w:val="20"/>
          <w:szCs w:val="20"/>
          <w:lang w:val="es-VE"/>
        </w:rPr>
        <w:t>senador</w:t>
      </w:r>
      <w:r w:rsidR="00B95D8A" w:rsidRPr="00E86A8F">
        <w:rPr>
          <w:rFonts w:asciiTheme="majorHAnsi" w:hAnsiTheme="majorHAnsi"/>
          <w:sz w:val="20"/>
          <w:szCs w:val="20"/>
          <w:lang w:val="es-VE"/>
        </w:rPr>
        <w:t xml:space="preserve"> Sergio Páez Verdugo</w:t>
      </w:r>
      <w:r w:rsidR="001F046D" w:rsidRPr="00E86A8F">
        <w:rPr>
          <w:rFonts w:asciiTheme="majorHAnsi" w:hAnsiTheme="majorHAnsi"/>
          <w:sz w:val="20"/>
          <w:szCs w:val="20"/>
          <w:lang w:val="es-VE"/>
        </w:rPr>
        <w:t xml:space="preserve"> ejerció </w:t>
      </w:r>
      <w:r w:rsidR="001F046D" w:rsidRPr="00E86A8F">
        <w:rPr>
          <w:rFonts w:asciiTheme="majorHAnsi" w:hAnsiTheme="majorHAnsi"/>
          <w:sz w:val="20"/>
          <w:szCs w:val="20"/>
          <w:lang w:val="es-AR"/>
        </w:rPr>
        <w:t>presiones a las autoridades para que no detengan la tala ilegal de alerces en la Región de Los Lagos, y agregó que “[e]l Senador Páez ha presionado para que se mantenga, esta situación de explotación ah</w:t>
      </w:r>
      <w:r w:rsidR="00D05C14" w:rsidRPr="00E86A8F">
        <w:rPr>
          <w:rFonts w:asciiTheme="majorHAnsi" w:hAnsiTheme="majorHAnsi"/>
          <w:sz w:val="20"/>
          <w:szCs w:val="20"/>
          <w:lang w:val="es-AR"/>
        </w:rPr>
        <w:t>í</w:t>
      </w:r>
      <w:r w:rsidR="001F046D" w:rsidRPr="00E86A8F">
        <w:rPr>
          <w:rFonts w:asciiTheme="majorHAnsi" w:hAnsiTheme="majorHAnsi"/>
          <w:sz w:val="20"/>
          <w:szCs w:val="20"/>
          <w:lang w:val="es-AR"/>
        </w:rPr>
        <w:t xml:space="preserve">, en el predio y de ocupación ilegal y todo esto, si, ahora, que lo haga con mala intención, ojalá que no; pero que él si ha presionado al Seremi actual de Bienes Nacionales el Señor Nelson Bustos Arancibia y al Señor Pedro Bahamondez sí, ellos han sido en el fondo eh, fieles eh, sirvientes de los derechos del Senador Páez </w:t>
      </w:r>
      <w:r w:rsidR="0086409C" w:rsidRPr="00E86A8F">
        <w:rPr>
          <w:rFonts w:asciiTheme="majorHAnsi" w:hAnsiTheme="majorHAnsi"/>
          <w:sz w:val="20"/>
          <w:szCs w:val="20"/>
          <w:lang w:val="es-AR"/>
        </w:rPr>
        <w:t xml:space="preserve">[…] </w:t>
      </w:r>
      <w:r w:rsidR="001F046D" w:rsidRPr="00E86A8F">
        <w:rPr>
          <w:rFonts w:asciiTheme="majorHAnsi" w:hAnsiTheme="majorHAnsi"/>
          <w:sz w:val="20"/>
          <w:szCs w:val="20"/>
          <w:lang w:val="es-AR"/>
        </w:rPr>
        <w:t xml:space="preserve">si Ud. va a la CONAF pregunte… el Señor Bahamondez, </w:t>
      </w:r>
      <w:r w:rsidR="0086409C" w:rsidRPr="00E86A8F">
        <w:rPr>
          <w:rFonts w:asciiTheme="majorHAnsi" w:hAnsiTheme="majorHAnsi"/>
          <w:sz w:val="20"/>
          <w:szCs w:val="20"/>
          <w:lang w:val="es-AR"/>
        </w:rPr>
        <w:t>está</w:t>
      </w:r>
      <w:r w:rsidR="001F046D" w:rsidRPr="00E86A8F">
        <w:rPr>
          <w:rFonts w:asciiTheme="majorHAnsi" w:hAnsiTheme="majorHAnsi"/>
          <w:sz w:val="20"/>
          <w:szCs w:val="20"/>
          <w:lang w:val="es-AR"/>
        </w:rPr>
        <w:t xml:space="preserve"> más preocupado de lo que piensa el Señor Páez, de lo que está pasando con los bosques en Chile”. </w:t>
      </w:r>
    </w:p>
    <w:p w14:paraId="0D145115" w14:textId="77777777" w:rsidR="00842F59" w:rsidRPr="00E86A8F" w:rsidRDefault="00842F59" w:rsidP="00073BB6">
      <w:pPr>
        <w:pStyle w:val="ListParagraph"/>
        <w:ind w:right="720"/>
        <w:jc w:val="both"/>
        <w:rPr>
          <w:rFonts w:asciiTheme="majorHAnsi" w:hAnsiTheme="majorHAnsi"/>
          <w:sz w:val="20"/>
          <w:szCs w:val="20"/>
          <w:lang w:val="es-AR"/>
        </w:rPr>
      </w:pPr>
    </w:p>
    <w:p w14:paraId="43DA5A77" w14:textId="54F3A6BD" w:rsidR="00842F59" w:rsidRPr="00E86A8F" w:rsidRDefault="0086409C" w:rsidP="00073BB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20"/>
          <w:lang w:val="es-AR"/>
        </w:rPr>
      </w:pPr>
      <w:r w:rsidRPr="00E86A8F">
        <w:rPr>
          <w:rFonts w:asciiTheme="majorHAnsi" w:hAnsiTheme="majorHAnsi"/>
          <w:sz w:val="20"/>
          <w:szCs w:val="20"/>
          <w:lang w:val="es-VE"/>
        </w:rPr>
        <w:lastRenderedPageBreak/>
        <w:t xml:space="preserve">El 13 de mayo de 2004 Carlos Baraona concedió una entrevista a “Radio chilena” y declaró que </w:t>
      </w:r>
      <w:r w:rsidR="00842F59" w:rsidRPr="00E86A8F">
        <w:rPr>
          <w:rFonts w:asciiTheme="majorHAnsi" w:hAnsiTheme="majorHAnsi"/>
          <w:sz w:val="20"/>
          <w:szCs w:val="20"/>
          <w:lang w:val="es-VE"/>
        </w:rPr>
        <w:t>“[</w:t>
      </w:r>
      <w:r w:rsidR="00C87399" w:rsidRPr="00E86A8F">
        <w:rPr>
          <w:rFonts w:asciiTheme="majorHAnsi" w:hAnsiTheme="majorHAnsi"/>
          <w:sz w:val="20"/>
          <w:szCs w:val="20"/>
          <w:lang w:val="es-VE"/>
        </w:rPr>
        <w:t>e</w:t>
      </w:r>
      <w:r w:rsidR="00842F59" w:rsidRPr="00E86A8F">
        <w:rPr>
          <w:rFonts w:asciiTheme="majorHAnsi" w:hAnsiTheme="majorHAnsi"/>
          <w:sz w:val="20"/>
          <w:szCs w:val="20"/>
          <w:lang w:val="es-VE"/>
        </w:rPr>
        <w:t>]</w:t>
      </w:r>
      <w:r w:rsidR="00842F59" w:rsidRPr="00E86A8F">
        <w:rPr>
          <w:rFonts w:asciiTheme="majorHAnsi" w:hAnsiTheme="majorHAnsi"/>
          <w:sz w:val="20"/>
          <w:szCs w:val="20"/>
          <w:lang w:val="es-AR"/>
        </w:rPr>
        <w:t>l senador Páez ha conversado tanto con el jefe de CONAF, como con el Seremi de Bienes Nacionales, y les ha pedido toda la colaboración para los ocupantes ilegales que están cortando en forma ilegal el alerce y que están robando el alerce”</w:t>
      </w:r>
      <w:r w:rsidR="002D00BA" w:rsidRPr="00E86A8F">
        <w:rPr>
          <w:rFonts w:asciiTheme="majorHAnsi" w:hAnsiTheme="majorHAnsi"/>
          <w:sz w:val="20"/>
          <w:szCs w:val="20"/>
          <w:lang w:val="es-AR"/>
        </w:rPr>
        <w:t xml:space="preserve"> […].</w:t>
      </w:r>
      <w:r w:rsidR="00842F59" w:rsidRPr="00E86A8F">
        <w:rPr>
          <w:rFonts w:asciiTheme="majorHAnsi" w:hAnsiTheme="majorHAnsi"/>
          <w:sz w:val="20"/>
          <w:szCs w:val="20"/>
          <w:lang w:val="es-AR"/>
        </w:rPr>
        <w:t xml:space="preserve"> “Lo que yo digo es que los políticos de todas las tendencias confunden sus roles, me refiero a los parlamentarios. En vez de hacer leyes, aprobar tratados internacionales, fiscalizar los actos de gobierno como la constitución les exige que hagan, estos tipos a qué se dedican, a hacer favores políticos</w:t>
      </w:r>
      <w:r w:rsidR="002D00BA" w:rsidRPr="00E86A8F">
        <w:rPr>
          <w:rFonts w:asciiTheme="majorHAnsi" w:hAnsiTheme="majorHAnsi"/>
          <w:sz w:val="20"/>
          <w:szCs w:val="20"/>
          <w:lang w:val="es-AR"/>
        </w:rPr>
        <w:t>”</w:t>
      </w:r>
      <w:r w:rsidR="00842F59" w:rsidRPr="00E86A8F">
        <w:rPr>
          <w:rFonts w:asciiTheme="majorHAnsi" w:hAnsiTheme="majorHAnsi"/>
          <w:sz w:val="20"/>
          <w:szCs w:val="20"/>
          <w:lang w:val="es-AR"/>
        </w:rPr>
        <w:t>. […] “A ver, llega esta gente y le dice a Bienes Nacionales, yo hace 5 años que ocupo en forma pacífica, tranquila, ininterrumpida este predio así es que deme título.</w:t>
      </w:r>
      <w:r w:rsidR="00637A6C" w:rsidRPr="00E86A8F">
        <w:rPr>
          <w:rFonts w:asciiTheme="majorHAnsi" w:hAnsiTheme="majorHAnsi"/>
          <w:sz w:val="20"/>
          <w:szCs w:val="20"/>
          <w:lang w:val="es-AR"/>
        </w:rPr>
        <w:t xml:space="preserve"> [...] </w:t>
      </w:r>
      <w:r w:rsidR="00842F59" w:rsidRPr="00E86A8F">
        <w:rPr>
          <w:rFonts w:asciiTheme="majorHAnsi" w:hAnsiTheme="majorHAnsi"/>
          <w:sz w:val="20"/>
          <w:szCs w:val="20"/>
          <w:lang w:val="es-AR"/>
        </w:rPr>
        <w:t>Pero los propios funcionarios de Bienes Nacionales que fueron a terreno, constataron que esa gente no cumplía con los requisitos para poder pedir este título y así lo informaron, y los jefes de Bienes Nacionales ordenaron cambiar esos informes, yo tengo obviamente la documentación que me respalda en mis dichos, y darles títulos a esas personas, y todo eso detrás siempre está el senador Páez”; “si la conducta del senador Páez es o no constitutiva de delito a mí no me corresponde calificarlo; eso tendrá que hacerlo un tribunal quien así lo califique” […]</w:t>
      </w:r>
      <w:r w:rsidR="002D00BA" w:rsidRPr="00E86A8F">
        <w:rPr>
          <w:rFonts w:asciiTheme="majorHAnsi" w:hAnsiTheme="majorHAnsi"/>
          <w:sz w:val="20"/>
          <w:szCs w:val="20"/>
          <w:lang w:val="es-AR"/>
        </w:rPr>
        <w:t>.</w:t>
      </w:r>
      <w:r w:rsidR="00842F59" w:rsidRPr="00E86A8F">
        <w:rPr>
          <w:rFonts w:asciiTheme="majorHAnsi" w:hAnsiTheme="majorHAnsi"/>
          <w:sz w:val="20"/>
          <w:szCs w:val="20"/>
          <w:lang w:val="es-AR"/>
        </w:rPr>
        <w:t xml:space="preserve"> “Bueno, a ver, caso puntual por el cual yo conocí este tema es el caso del señor Comandar</w:t>
      </w:r>
      <w:r w:rsidR="00C11438" w:rsidRPr="00E86A8F">
        <w:rPr>
          <w:rFonts w:asciiTheme="majorHAnsi" w:hAnsiTheme="majorHAnsi"/>
          <w:sz w:val="20"/>
          <w:szCs w:val="20"/>
          <w:lang w:val="es-AR"/>
        </w:rPr>
        <w:t>y</w:t>
      </w:r>
      <w:r w:rsidR="00842F59" w:rsidRPr="00E86A8F">
        <w:rPr>
          <w:rFonts w:asciiTheme="majorHAnsi" w:hAnsiTheme="majorHAnsi"/>
          <w:sz w:val="20"/>
          <w:szCs w:val="20"/>
          <w:lang w:val="es-AR"/>
        </w:rPr>
        <w:t>, que es el representante legal de la forestal Sarao Sociedad Anónima, que es dueño de un predio de 50 mil hectáreas. Ahora él no lo puede explotar. Y cuál es la presión que le hace el Mini</w:t>
      </w:r>
      <w:r w:rsidR="00CD01B7" w:rsidRPr="00E86A8F">
        <w:rPr>
          <w:rFonts w:asciiTheme="majorHAnsi" w:hAnsiTheme="majorHAnsi"/>
          <w:sz w:val="20"/>
          <w:szCs w:val="20"/>
          <w:lang w:val="es-AR"/>
        </w:rPr>
        <w:t>sterio de Bienes Nacionales y [el]</w:t>
      </w:r>
      <w:r w:rsidR="00842F59" w:rsidRPr="00E86A8F">
        <w:rPr>
          <w:rFonts w:asciiTheme="majorHAnsi" w:hAnsiTheme="majorHAnsi"/>
          <w:sz w:val="20"/>
          <w:szCs w:val="20"/>
          <w:lang w:val="es-AR"/>
        </w:rPr>
        <w:t xml:space="preserve"> senador Páez, le dicen mire, si usted nos dona, nos va a hacer una donación por 10 mil hectáreas, nosotros solucionamos el problema de esta gente y así usted va a poder explotar las otras 40 mil hectáreas” […]</w:t>
      </w:r>
      <w:r w:rsidR="00CD01B7" w:rsidRPr="00E86A8F">
        <w:rPr>
          <w:rFonts w:asciiTheme="majorHAnsi" w:hAnsiTheme="majorHAnsi"/>
          <w:sz w:val="20"/>
          <w:szCs w:val="20"/>
          <w:lang w:val="es-AR"/>
        </w:rPr>
        <w:t>.</w:t>
      </w:r>
      <w:r w:rsidR="00842F59" w:rsidRPr="00E86A8F">
        <w:rPr>
          <w:rFonts w:asciiTheme="majorHAnsi" w:hAnsiTheme="majorHAnsi"/>
          <w:sz w:val="20"/>
          <w:szCs w:val="20"/>
          <w:lang w:val="es-AR"/>
        </w:rPr>
        <w:t xml:space="preserve"> “Yo lo que entiendo que por qué estuvo detenido el señor Carlos Weber</w:t>
      </w:r>
      <w:r w:rsidR="00CD01B7" w:rsidRPr="00E86A8F">
        <w:rPr>
          <w:rFonts w:asciiTheme="majorHAnsi" w:hAnsiTheme="majorHAnsi"/>
          <w:sz w:val="20"/>
          <w:szCs w:val="20"/>
          <w:lang w:val="es-AR"/>
        </w:rPr>
        <w:t xml:space="preserve"> [el Director Ejecutivo de la CONAF]</w:t>
      </w:r>
      <w:r w:rsidR="00842F59" w:rsidRPr="00E86A8F">
        <w:rPr>
          <w:rFonts w:asciiTheme="majorHAnsi" w:hAnsiTheme="majorHAnsi"/>
          <w:sz w:val="20"/>
          <w:szCs w:val="20"/>
          <w:lang w:val="es-AR"/>
        </w:rPr>
        <w:t>. Porque el señor Carlos Weber habría reconocido frente a diversas personas, que él no podía hacer nada para proteger el alerce en el caso de mi cliente, Forestal Sarao, porque el senador Páez así se lo había pedido</w:t>
      </w:r>
      <w:r w:rsidR="00CD01B7" w:rsidRPr="00E86A8F">
        <w:rPr>
          <w:rFonts w:asciiTheme="majorHAnsi" w:hAnsiTheme="majorHAnsi"/>
          <w:sz w:val="20"/>
          <w:szCs w:val="20"/>
          <w:lang w:val="es-AR"/>
        </w:rPr>
        <w:t>” […].</w:t>
      </w:r>
      <w:r w:rsidR="00637A6C" w:rsidRPr="00E86A8F">
        <w:rPr>
          <w:rFonts w:asciiTheme="majorHAnsi" w:hAnsiTheme="majorHAnsi"/>
          <w:sz w:val="20"/>
          <w:szCs w:val="20"/>
          <w:lang w:val="es-AR"/>
        </w:rPr>
        <w:t xml:space="preserve"> </w:t>
      </w:r>
      <w:r w:rsidR="00842F59" w:rsidRPr="00E86A8F">
        <w:rPr>
          <w:rFonts w:asciiTheme="majorHAnsi" w:hAnsiTheme="majorHAnsi"/>
          <w:sz w:val="20"/>
          <w:szCs w:val="20"/>
          <w:lang w:val="es-AR"/>
        </w:rPr>
        <w:t xml:space="preserve">Asimismo, el señor Baraona </w:t>
      </w:r>
      <w:r w:rsidR="000954EE" w:rsidRPr="00E86A8F">
        <w:rPr>
          <w:rFonts w:asciiTheme="majorHAnsi" w:hAnsiTheme="majorHAnsi"/>
          <w:sz w:val="20"/>
          <w:szCs w:val="20"/>
          <w:lang w:val="es-AR"/>
        </w:rPr>
        <w:t>Bray</w:t>
      </w:r>
      <w:r w:rsidR="00842F59" w:rsidRPr="00E86A8F">
        <w:rPr>
          <w:rFonts w:asciiTheme="majorHAnsi" w:hAnsiTheme="majorHAnsi"/>
          <w:sz w:val="20"/>
          <w:szCs w:val="20"/>
          <w:lang w:val="es-AR"/>
        </w:rPr>
        <w:t xml:space="preserve"> aclaró que no había declarado que “el senador Páez sea corrupto, ladrón ni que haya plata para los políticos, dado que, no le consta, ni cree que sea así”, que “quizás [actuaba] con buena intención</w:t>
      </w:r>
      <w:r w:rsidR="00197D14" w:rsidRPr="00E86A8F">
        <w:rPr>
          <w:rFonts w:asciiTheme="majorHAnsi" w:hAnsiTheme="majorHAnsi"/>
          <w:sz w:val="20"/>
          <w:szCs w:val="20"/>
          <w:lang w:val="es-AR"/>
        </w:rPr>
        <w:t>[,]</w:t>
      </w:r>
      <w:r w:rsidR="00842F59" w:rsidRPr="00E86A8F">
        <w:rPr>
          <w:rFonts w:asciiTheme="majorHAnsi" w:hAnsiTheme="majorHAnsi"/>
          <w:sz w:val="20"/>
          <w:szCs w:val="20"/>
          <w:lang w:val="es-AR"/>
        </w:rPr>
        <w:t xml:space="preserve"> pero equivocando el camino”. Finalmente, expuso que el señor Comandar</w:t>
      </w:r>
      <w:r w:rsidR="00C11438" w:rsidRPr="00E86A8F">
        <w:rPr>
          <w:rFonts w:asciiTheme="majorHAnsi" w:hAnsiTheme="majorHAnsi"/>
          <w:sz w:val="20"/>
          <w:szCs w:val="20"/>
          <w:lang w:val="es-AR"/>
        </w:rPr>
        <w:t>y</w:t>
      </w:r>
      <w:r w:rsidR="00842F59" w:rsidRPr="00E86A8F">
        <w:rPr>
          <w:rFonts w:asciiTheme="majorHAnsi" w:hAnsiTheme="majorHAnsi"/>
          <w:sz w:val="20"/>
          <w:szCs w:val="20"/>
          <w:lang w:val="es-AR"/>
        </w:rPr>
        <w:t xml:space="preserve"> le propuso a la CONAF</w:t>
      </w:r>
      <w:r w:rsidR="00EE7E75" w:rsidRPr="00E86A8F">
        <w:rPr>
          <w:rFonts w:asciiTheme="majorHAnsi" w:hAnsiTheme="majorHAnsi"/>
          <w:sz w:val="20"/>
          <w:szCs w:val="20"/>
          <w:lang w:val="es-AR"/>
        </w:rPr>
        <w:t xml:space="preserve"> </w:t>
      </w:r>
      <w:r w:rsidR="00842F59" w:rsidRPr="00E86A8F">
        <w:rPr>
          <w:rFonts w:asciiTheme="majorHAnsi" w:hAnsiTheme="majorHAnsi"/>
          <w:sz w:val="20"/>
          <w:szCs w:val="20"/>
          <w:lang w:val="es-AR"/>
        </w:rPr>
        <w:t>que quería</w:t>
      </w:r>
      <w:r w:rsidR="002D00BA" w:rsidRPr="00E86A8F">
        <w:rPr>
          <w:rFonts w:asciiTheme="majorHAnsi" w:hAnsiTheme="majorHAnsi"/>
          <w:sz w:val="20"/>
          <w:szCs w:val="20"/>
          <w:lang w:val="es-AR"/>
        </w:rPr>
        <w:t xml:space="preserve"> explotar las maderas que venían</w:t>
      </w:r>
      <w:r w:rsidR="00842F59" w:rsidRPr="00E86A8F">
        <w:rPr>
          <w:rFonts w:asciiTheme="majorHAnsi" w:hAnsiTheme="majorHAnsi"/>
          <w:sz w:val="20"/>
          <w:szCs w:val="20"/>
          <w:lang w:val="es-AR"/>
        </w:rPr>
        <w:t xml:space="preserve"> de incendios de 40 o 50 años atrás, resp</w:t>
      </w:r>
      <w:r w:rsidR="002D00BA" w:rsidRPr="00E86A8F">
        <w:rPr>
          <w:rFonts w:asciiTheme="majorHAnsi" w:hAnsiTheme="majorHAnsi"/>
          <w:sz w:val="20"/>
          <w:szCs w:val="20"/>
          <w:lang w:val="es-AR"/>
        </w:rPr>
        <w:t>ecto de ese alerce muerto</w:t>
      </w:r>
      <w:r w:rsidR="00842F59" w:rsidRPr="00E86A8F">
        <w:rPr>
          <w:rFonts w:asciiTheme="majorHAnsi" w:hAnsiTheme="majorHAnsi"/>
          <w:sz w:val="20"/>
          <w:szCs w:val="20"/>
          <w:lang w:val="es-AR"/>
        </w:rPr>
        <w:t>, pero le dije</w:t>
      </w:r>
      <w:r w:rsidR="002D00BA" w:rsidRPr="00E86A8F">
        <w:rPr>
          <w:rFonts w:asciiTheme="majorHAnsi" w:hAnsiTheme="majorHAnsi"/>
          <w:sz w:val="20"/>
          <w:szCs w:val="20"/>
          <w:lang w:val="es-AR"/>
        </w:rPr>
        <w:t>ron que no, sin embargo</w:t>
      </w:r>
      <w:r w:rsidR="00E4013E" w:rsidRPr="00E86A8F">
        <w:rPr>
          <w:rFonts w:asciiTheme="majorHAnsi" w:hAnsiTheme="majorHAnsi"/>
          <w:sz w:val="20"/>
          <w:szCs w:val="20"/>
          <w:lang w:val="es-AR"/>
        </w:rPr>
        <w:t>,</w:t>
      </w:r>
      <w:r w:rsidR="002D00BA" w:rsidRPr="00E86A8F">
        <w:rPr>
          <w:rFonts w:asciiTheme="majorHAnsi" w:hAnsiTheme="majorHAnsi"/>
          <w:sz w:val="20"/>
          <w:szCs w:val="20"/>
          <w:lang w:val="es-AR"/>
        </w:rPr>
        <w:t xml:space="preserve"> le dijeron que sí</w:t>
      </w:r>
      <w:r w:rsidR="00842F59" w:rsidRPr="00E86A8F">
        <w:rPr>
          <w:rFonts w:asciiTheme="majorHAnsi" w:hAnsiTheme="majorHAnsi"/>
          <w:sz w:val="20"/>
          <w:szCs w:val="20"/>
          <w:lang w:val="es-AR"/>
        </w:rPr>
        <w:t xml:space="preserve"> a quienes actúan ilegalmente. </w:t>
      </w:r>
      <w:r w:rsidR="003D0D7B" w:rsidRPr="00E86A8F">
        <w:rPr>
          <w:rFonts w:asciiTheme="majorHAnsi" w:hAnsiTheme="majorHAnsi"/>
          <w:sz w:val="20"/>
          <w:szCs w:val="20"/>
          <w:lang w:val="es-AR"/>
        </w:rPr>
        <w:t>Destacó que l</w:t>
      </w:r>
      <w:r w:rsidR="00842F59" w:rsidRPr="00E86A8F">
        <w:rPr>
          <w:rFonts w:asciiTheme="majorHAnsi" w:hAnsiTheme="majorHAnsi"/>
          <w:sz w:val="20"/>
          <w:szCs w:val="20"/>
          <w:lang w:val="es-AR"/>
        </w:rPr>
        <w:t>os jefes de CONAF y Bienes Nacionales t</w:t>
      </w:r>
      <w:r w:rsidR="00350B51" w:rsidRPr="00E86A8F">
        <w:rPr>
          <w:rFonts w:asciiTheme="majorHAnsi" w:hAnsiTheme="majorHAnsi"/>
          <w:sz w:val="20"/>
          <w:szCs w:val="20"/>
          <w:lang w:val="es-AR"/>
        </w:rPr>
        <w:t>enían</w:t>
      </w:r>
      <w:r w:rsidR="00842F59" w:rsidRPr="00E86A8F">
        <w:rPr>
          <w:rFonts w:asciiTheme="majorHAnsi" w:hAnsiTheme="majorHAnsi"/>
          <w:sz w:val="20"/>
          <w:szCs w:val="20"/>
          <w:lang w:val="es-AR"/>
        </w:rPr>
        <w:t xml:space="preserve"> una actitud servil </w:t>
      </w:r>
      <w:r w:rsidR="00350B51" w:rsidRPr="00E86A8F">
        <w:rPr>
          <w:rFonts w:asciiTheme="majorHAnsi" w:hAnsiTheme="majorHAnsi"/>
          <w:sz w:val="20"/>
          <w:szCs w:val="20"/>
          <w:lang w:val="es-AR"/>
        </w:rPr>
        <w:t xml:space="preserve">ya que, </w:t>
      </w:r>
      <w:r w:rsidR="00842F59" w:rsidRPr="00E86A8F">
        <w:rPr>
          <w:rFonts w:asciiTheme="majorHAnsi" w:hAnsiTheme="majorHAnsi"/>
          <w:sz w:val="20"/>
          <w:szCs w:val="20"/>
          <w:lang w:val="es-AR"/>
        </w:rPr>
        <w:t>para llegar a esos cargos</w:t>
      </w:r>
      <w:r w:rsidR="00350B51" w:rsidRPr="00E86A8F">
        <w:rPr>
          <w:rFonts w:asciiTheme="majorHAnsi" w:hAnsiTheme="majorHAnsi"/>
          <w:sz w:val="20"/>
          <w:szCs w:val="20"/>
          <w:lang w:val="es-AR"/>
        </w:rPr>
        <w:t>, seguramente</w:t>
      </w:r>
      <w:r w:rsidR="00842F59" w:rsidRPr="00E86A8F">
        <w:rPr>
          <w:rFonts w:asciiTheme="majorHAnsi" w:hAnsiTheme="majorHAnsi"/>
          <w:sz w:val="20"/>
          <w:szCs w:val="20"/>
          <w:lang w:val="es-AR"/>
        </w:rPr>
        <w:t xml:space="preserve"> </w:t>
      </w:r>
      <w:r w:rsidR="00350B51" w:rsidRPr="00E86A8F">
        <w:rPr>
          <w:rFonts w:asciiTheme="majorHAnsi" w:hAnsiTheme="majorHAnsi"/>
          <w:sz w:val="20"/>
          <w:szCs w:val="20"/>
          <w:lang w:val="es-AR"/>
        </w:rPr>
        <w:t>tuvieron que pasar por el</w:t>
      </w:r>
      <w:r w:rsidR="00842F59" w:rsidRPr="00E86A8F">
        <w:rPr>
          <w:rFonts w:asciiTheme="majorHAnsi" w:hAnsiTheme="majorHAnsi"/>
          <w:sz w:val="20"/>
          <w:szCs w:val="20"/>
          <w:lang w:val="es-AR"/>
        </w:rPr>
        <w:t xml:space="preserve"> visto bueno del senador regional.</w:t>
      </w:r>
    </w:p>
    <w:p w14:paraId="2ACD5A7A" w14:textId="77777777" w:rsidR="00842F59" w:rsidRPr="00E86A8F" w:rsidRDefault="00842F59" w:rsidP="00073B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sz w:val="20"/>
          <w:szCs w:val="20"/>
          <w:lang w:val="es-AR"/>
        </w:rPr>
      </w:pPr>
    </w:p>
    <w:p w14:paraId="48822F7D" w14:textId="06C5D4CB" w:rsidR="00C26322" w:rsidRPr="00E86A8F" w:rsidRDefault="00633FD2" w:rsidP="00073BB6">
      <w:pPr>
        <w:pStyle w:val="ListParagraph"/>
        <w:numPr>
          <w:ilvl w:val="0"/>
          <w:numId w:val="58"/>
        </w:numPr>
        <w:ind w:left="720" w:right="720" w:firstLine="0"/>
        <w:jc w:val="both"/>
        <w:rPr>
          <w:rFonts w:asciiTheme="majorHAnsi" w:hAnsiTheme="majorHAnsi"/>
          <w:sz w:val="20"/>
          <w:szCs w:val="20"/>
          <w:lang w:val="es-US"/>
        </w:rPr>
      </w:pPr>
      <w:r w:rsidRPr="00E86A8F">
        <w:rPr>
          <w:rFonts w:asciiTheme="majorHAnsi" w:hAnsiTheme="majorHAnsi"/>
          <w:sz w:val="20"/>
          <w:szCs w:val="20"/>
          <w:lang w:val="es-AR"/>
        </w:rPr>
        <w:t xml:space="preserve">El </w:t>
      </w:r>
      <w:r w:rsidR="001F0579" w:rsidRPr="00E86A8F">
        <w:rPr>
          <w:rFonts w:asciiTheme="majorHAnsi" w:hAnsiTheme="majorHAnsi"/>
          <w:sz w:val="20"/>
          <w:szCs w:val="20"/>
          <w:lang w:val="es-AR"/>
        </w:rPr>
        <w:t>1</w:t>
      </w:r>
      <w:r w:rsidRPr="00E86A8F">
        <w:rPr>
          <w:rFonts w:asciiTheme="majorHAnsi" w:hAnsiTheme="majorHAnsi"/>
          <w:sz w:val="20"/>
          <w:szCs w:val="20"/>
          <w:lang w:val="es-AR"/>
        </w:rPr>
        <w:t>7</w:t>
      </w:r>
      <w:r w:rsidR="001F0579" w:rsidRPr="00E86A8F">
        <w:rPr>
          <w:rFonts w:asciiTheme="majorHAnsi" w:hAnsiTheme="majorHAnsi"/>
          <w:sz w:val="20"/>
          <w:szCs w:val="20"/>
          <w:lang w:val="es-AR"/>
        </w:rPr>
        <w:t xml:space="preserve"> de mayo de 2004 en entrevista </w:t>
      </w:r>
      <w:r w:rsidR="005318B2" w:rsidRPr="00E86A8F">
        <w:rPr>
          <w:rFonts w:asciiTheme="majorHAnsi" w:hAnsiTheme="majorHAnsi"/>
          <w:sz w:val="20"/>
          <w:szCs w:val="20"/>
          <w:lang w:val="es-AR"/>
        </w:rPr>
        <w:t xml:space="preserve">con </w:t>
      </w:r>
      <w:r w:rsidR="001F0579" w:rsidRPr="00E86A8F">
        <w:rPr>
          <w:rFonts w:asciiTheme="majorHAnsi" w:hAnsiTheme="majorHAnsi"/>
          <w:sz w:val="20"/>
          <w:szCs w:val="20"/>
          <w:lang w:val="es-AR"/>
        </w:rPr>
        <w:t xml:space="preserve">el programa “Poder y Poderes </w:t>
      </w:r>
      <w:r w:rsidR="005318B2" w:rsidRPr="00E86A8F">
        <w:rPr>
          <w:rFonts w:asciiTheme="majorHAnsi" w:hAnsiTheme="majorHAnsi"/>
          <w:sz w:val="20"/>
          <w:szCs w:val="20"/>
          <w:lang w:val="es-AR"/>
        </w:rPr>
        <w:t>P</w:t>
      </w:r>
      <w:r w:rsidR="001F0579" w:rsidRPr="00E86A8F">
        <w:rPr>
          <w:rFonts w:asciiTheme="majorHAnsi" w:hAnsiTheme="majorHAnsi"/>
          <w:sz w:val="20"/>
          <w:szCs w:val="20"/>
          <w:lang w:val="es-AR"/>
        </w:rPr>
        <w:t>olíticos”</w:t>
      </w:r>
      <w:r w:rsidR="001630ED" w:rsidRPr="00E86A8F">
        <w:rPr>
          <w:rFonts w:asciiTheme="majorHAnsi" w:hAnsiTheme="majorHAnsi"/>
          <w:sz w:val="20"/>
          <w:szCs w:val="20"/>
          <w:lang w:val="es-AR"/>
        </w:rPr>
        <w:t>,</w:t>
      </w:r>
      <w:r w:rsidR="001F0579" w:rsidRPr="00E86A8F">
        <w:rPr>
          <w:rFonts w:asciiTheme="majorHAnsi" w:hAnsiTheme="majorHAnsi"/>
          <w:sz w:val="20"/>
          <w:szCs w:val="20"/>
          <w:lang w:val="es-AR"/>
        </w:rPr>
        <w:t xml:space="preserve"> </w:t>
      </w:r>
      <w:r w:rsidR="001630ED" w:rsidRPr="00E86A8F">
        <w:rPr>
          <w:rFonts w:asciiTheme="majorHAnsi" w:hAnsiTheme="majorHAnsi"/>
          <w:sz w:val="20"/>
          <w:szCs w:val="20"/>
          <w:lang w:val="es-AR"/>
        </w:rPr>
        <w:t>el señor Baraona</w:t>
      </w:r>
      <w:r w:rsidR="00903965" w:rsidRPr="00E86A8F">
        <w:rPr>
          <w:rFonts w:asciiTheme="majorHAnsi" w:hAnsiTheme="majorHAnsi"/>
          <w:sz w:val="20"/>
          <w:szCs w:val="20"/>
          <w:lang w:val="es-AR"/>
        </w:rPr>
        <w:t xml:space="preserve"> reiteró lo manifestado en entrevistas anteriores</w:t>
      </w:r>
      <w:r w:rsidR="007032FD" w:rsidRPr="00E86A8F">
        <w:rPr>
          <w:rFonts w:asciiTheme="majorHAnsi" w:hAnsiTheme="majorHAnsi"/>
          <w:sz w:val="20"/>
          <w:szCs w:val="20"/>
          <w:lang w:val="es-AR"/>
        </w:rPr>
        <w:t>,</w:t>
      </w:r>
      <w:r w:rsidR="00903965" w:rsidRPr="00E86A8F">
        <w:rPr>
          <w:rFonts w:asciiTheme="majorHAnsi" w:hAnsiTheme="majorHAnsi"/>
          <w:sz w:val="20"/>
          <w:szCs w:val="20"/>
          <w:lang w:val="es-AR"/>
        </w:rPr>
        <w:t xml:space="preserve"> en el sentido de</w:t>
      </w:r>
      <w:r w:rsidR="002F4F66" w:rsidRPr="00E86A8F">
        <w:rPr>
          <w:rFonts w:asciiTheme="majorHAnsi" w:hAnsiTheme="majorHAnsi"/>
          <w:sz w:val="20"/>
          <w:szCs w:val="20"/>
          <w:lang w:val="es-AR"/>
        </w:rPr>
        <w:t xml:space="preserve"> </w:t>
      </w:r>
      <w:r w:rsidR="001630ED" w:rsidRPr="00E86A8F">
        <w:rPr>
          <w:rFonts w:asciiTheme="majorHAnsi" w:hAnsiTheme="majorHAnsi"/>
          <w:sz w:val="20"/>
          <w:szCs w:val="20"/>
          <w:lang w:val="es-AR"/>
        </w:rPr>
        <w:t xml:space="preserve">que </w:t>
      </w:r>
      <w:r w:rsidR="00A86A2C" w:rsidRPr="00E86A8F">
        <w:rPr>
          <w:rFonts w:asciiTheme="majorHAnsi" w:hAnsiTheme="majorHAnsi"/>
          <w:sz w:val="20"/>
          <w:szCs w:val="20"/>
          <w:lang w:val="es-AR"/>
        </w:rPr>
        <w:t>e</w:t>
      </w:r>
      <w:r w:rsidR="00D74CE2" w:rsidRPr="00E86A8F">
        <w:rPr>
          <w:rFonts w:asciiTheme="majorHAnsi" w:hAnsiTheme="majorHAnsi"/>
          <w:sz w:val="20"/>
          <w:szCs w:val="20"/>
          <w:lang w:val="es-AR"/>
        </w:rPr>
        <w:t>l Seremi de Bienes Nacionales</w:t>
      </w:r>
      <w:r w:rsidR="000A2C48" w:rsidRPr="00E86A8F">
        <w:rPr>
          <w:rFonts w:asciiTheme="majorHAnsi" w:hAnsiTheme="majorHAnsi"/>
          <w:sz w:val="20"/>
          <w:szCs w:val="20"/>
          <w:lang w:val="es-AR"/>
        </w:rPr>
        <w:t xml:space="preserve"> otorgaba los títulos y saneamientos</w:t>
      </w:r>
      <w:r w:rsidR="008A10C4" w:rsidRPr="00E86A8F">
        <w:rPr>
          <w:rFonts w:asciiTheme="majorHAnsi" w:hAnsiTheme="majorHAnsi"/>
          <w:sz w:val="20"/>
          <w:szCs w:val="20"/>
          <w:lang w:val="es-AR"/>
        </w:rPr>
        <w:t xml:space="preserve"> </w:t>
      </w:r>
      <w:r w:rsidR="000A2C48" w:rsidRPr="00E86A8F">
        <w:rPr>
          <w:rFonts w:asciiTheme="majorHAnsi" w:hAnsiTheme="majorHAnsi"/>
          <w:sz w:val="20"/>
          <w:szCs w:val="20"/>
          <w:lang w:val="es-AR"/>
        </w:rPr>
        <w:t xml:space="preserve">a </w:t>
      </w:r>
      <w:r w:rsidR="00D74CE2" w:rsidRPr="00E86A8F">
        <w:rPr>
          <w:rFonts w:asciiTheme="majorHAnsi" w:hAnsiTheme="majorHAnsi"/>
          <w:sz w:val="20"/>
          <w:szCs w:val="20"/>
          <w:lang w:val="es-AR"/>
        </w:rPr>
        <w:t>gente que no cumplía con los requisitos, repartiéndose 10.000 hectáreas</w:t>
      </w:r>
      <w:r w:rsidR="0075053B" w:rsidRPr="00E86A8F">
        <w:rPr>
          <w:rFonts w:asciiTheme="majorHAnsi" w:hAnsiTheme="majorHAnsi"/>
          <w:sz w:val="20"/>
          <w:szCs w:val="20"/>
          <w:lang w:val="es-AR"/>
        </w:rPr>
        <w:t xml:space="preserve"> en </w:t>
      </w:r>
      <w:r w:rsidR="00D74CE2" w:rsidRPr="00E86A8F">
        <w:rPr>
          <w:rFonts w:asciiTheme="majorHAnsi" w:hAnsiTheme="majorHAnsi"/>
          <w:sz w:val="20"/>
          <w:szCs w:val="20"/>
          <w:lang w:val="es-AR"/>
        </w:rPr>
        <w:t>el año 2002</w:t>
      </w:r>
      <w:r w:rsidR="0075053B" w:rsidRPr="00E86A8F">
        <w:rPr>
          <w:rFonts w:asciiTheme="majorHAnsi" w:hAnsiTheme="majorHAnsi"/>
          <w:sz w:val="20"/>
          <w:szCs w:val="20"/>
          <w:lang w:val="es-AR"/>
        </w:rPr>
        <w:t>. Todo ello</w:t>
      </w:r>
      <w:r w:rsidR="00D74CE2" w:rsidRPr="00E86A8F">
        <w:rPr>
          <w:rFonts w:asciiTheme="majorHAnsi" w:hAnsiTheme="majorHAnsi"/>
          <w:sz w:val="20"/>
          <w:szCs w:val="20"/>
          <w:lang w:val="es-AR"/>
        </w:rPr>
        <w:t xml:space="preserve"> </w:t>
      </w:r>
      <w:r w:rsidR="0053493E" w:rsidRPr="00E86A8F">
        <w:rPr>
          <w:rFonts w:asciiTheme="majorHAnsi" w:hAnsiTheme="majorHAnsi"/>
          <w:sz w:val="20"/>
          <w:szCs w:val="20"/>
          <w:lang w:val="es-AR"/>
        </w:rPr>
        <w:t xml:space="preserve">porque </w:t>
      </w:r>
      <w:r w:rsidR="00C7029D" w:rsidRPr="00E86A8F">
        <w:rPr>
          <w:rFonts w:asciiTheme="majorHAnsi" w:hAnsiTheme="majorHAnsi"/>
          <w:sz w:val="20"/>
          <w:szCs w:val="20"/>
          <w:lang w:val="es-US"/>
        </w:rPr>
        <w:t xml:space="preserve">el </w:t>
      </w:r>
      <w:r w:rsidR="00486700" w:rsidRPr="00E86A8F">
        <w:rPr>
          <w:rFonts w:asciiTheme="majorHAnsi" w:hAnsiTheme="majorHAnsi"/>
          <w:sz w:val="20"/>
          <w:szCs w:val="20"/>
          <w:lang w:val="es-US"/>
        </w:rPr>
        <w:t>senador</w:t>
      </w:r>
      <w:r w:rsidR="0053493E" w:rsidRPr="00E86A8F">
        <w:rPr>
          <w:rFonts w:asciiTheme="majorHAnsi" w:hAnsiTheme="majorHAnsi"/>
          <w:sz w:val="20"/>
          <w:szCs w:val="20"/>
          <w:lang w:val="es-US"/>
        </w:rPr>
        <w:t xml:space="preserve"> Páez quería concretamente que se donaran diez mil hectáreas del fundo para solucionar el problema de la gente que estaba ahí, </w:t>
      </w:r>
      <w:r w:rsidR="009E49ED" w:rsidRPr="00E86A8F">
        <w:rPr>
          <w:rFonts w:asciiTheme="majorHAnsi" w:hAnsiTheme="majorHAnsi"/>
          <w:sz w:val="20"/>
          <w:szCs w:val="20"/>
          <w:lang w:val="es-US"/>
        </w:rPr>
        <w:t xml:space="preserve">para quedar bien con ellos, cayendo </w:t>
      </w:r>
      <w:r w:rsidR="0053493E" w:rsidRPr="00E86A8F">
        <w:rPr>
          <w:rFonts w:asciiTheme="majorHAnsi" w:hAnsiTheme="majorHAnsi"/>
          <w:sz w:val="20"/>
          <w:szCs w:val="20"/>
          <w:lang w:val="es-AR"/>
        </w:rPr>
        <w:t xml:space="preserve">en un clientelismo político. </w:t>
      </w:r>
      <w:r w:rsidR="00E5431F" w:rsidRPr="00E86A8F">
        <w:rPr>
          <w:rFonts w:asciiTheme="majorHAnsi" w:hAnsiTheme="majorHAnsi"/>
          <w:sz w:val="20"/>
          <w:szCs w:val="20"/>
          <w:lang w:val="es-AR"/>
        </w:rPr>
        <w:t xml:space="preserve">De igual manera, declaró que </w:t>
      </w:r>
      <w:r w:rsidR="002D4380" w:rsidRPr="00E86A8F">
        <w:rPr>
          <w:rFonts w:asciiTheme="majorHAnsi" w:hAnsiTheme="majorHAnsi"/>
          <w:sz w:val="20"/>
          <w:szCs w:val="20"/>
          <w:lang w:val="es-AR"/>
        </w:rPr>
        <w:t>“</w:t>
      </w:r>
      <w:r w:rsidR="001F0579" w:rsidRPr="00E86A8F">
        <w:rPr>
          <w:rFonts w:asciiTheme="majorHAnsi" w:hAnsiTheme="majorHAnsi"/>
          <w:sz w:val="20"/>
          <w:szCs w:val="20"/>
          <w:lang w:val="es-US"/>
        </w:rPr>
        <w:t xml:space="preserve">el senador Páez </w:t>
      </w:r>
      <w:r w:rsidR="002D4380" w:rsidRPr="00E86A8F">
        <w:rPr>
          <w:rFonts w:asciiTheme="majorHAnsi" w:hAnsiTheme="majorHAnsi"/>
          <w:sz w:val="20"/>
          <w:szCs w:val="20"/>
          <w:lang w:val="es-US"/>
        </w:rPr>
        <w:t>est</w:t>
      </w:r>
      <w:r w:rsidR="0004399D" w:rsidRPr="00E86A8F">
        <w:rPr>
          <w:rFonts w:asciiTheme="majorHAnsi" w:hAnsiTheme="majorHAnsi"/>
          <w:sz w:val="20"/>
          <w:szCs w:val="20"/>
          <w:lang w:val="es-US"/>
        </w:rPr>
        <w:t>a[ba]</w:t>
      </w:r>
      <w:r w:rsidR="001F0579" w:rsidRPr="00E86A8F">
        <w:rPr>
          <w:rFonts w:asciiTheme="majorHAnsi" w:hAnsiTheme="majorHAnsi"/>
          <w:sz w:val="20"/>
          <w:szCs w:val="20"/>
          <w:lang w:val="es-US"/>
        </w:rPr>
        <w:t xml:space="preserve"> actuando</w:t>
      </w:r>
      <w:r w:rsidR="00EF58BB" w:rsidRPr="00E86A8F">
        <w:rPr>
          <w:rFonts w:asciiTheme="majorHAnsi" w:hAnsiTheme="majorHAnsi"/>
          <w:sz w:val="20"/>
          <w:szCs w:val="20"/>
          <w:lang w:val="es-US"/>
        </w:rPr>
        <w:t>,</w:t>
      </w:r>
      <w:r w:rsidR="001F0579" w:rsidRPr="00E86A8F">
        <w:rPr>
          <w:rFonts w:asciiTheme="majorHAnsi" w:hAnsiTheme="majorHAnsi"/>
          <w:sz w:val="20"/>
          <w:szCs w:val="20"/>
          <w:lang w:val="es-US"/>
        </w:rPr>
        <w:t xml:space="preserve"> lo que se llama en lenguaje coloquial</w:t>
      </w:r>
      <w:r w:rsidR="00EF58BB" w:rsidRPr="00E86A8F">
        <w:rPr>
          <w:rFonts w:asciiTheme="majorHAnsi" w:hAnsiTheme="majorHAnsi"/>
          <w:sz w:val="20"/>
          <w:szCs w:val="20"/>
          <w:lang w:val="es-US"/>
        </w:rPr>
        <w:t>,</w:t>
      </w:r>
      <w:r w:rsidR="001F0579" w:rsidRPr="00E86A8F">
        <w:rPr>
          <w:rFonts w:asciiTheme="majorHAnsi" w:hAnsiTheme="majorHAnsi"/>
          <w:sz w:val="20"/>
          <w:szCs w:val="20"/>
          <w:lang w:val="es-US"/>
        </w:rPr>
        <w:t xml:space="preserve"> como “patrón de fundo”</w:t>
      </w:r>
      <w:r w:rsidR="00EF58BB" w:rsidRPr="00E86A8F">
        <w:rPr>
          <w:rFonts w:asciiTheme="majorHAnsi" w:hAnsiTheme="majorHAnsi"/>
          <w:sz w:val="20"/>
          <w:szCs w:val="20"/>
          <w:lang w:val="es-US"/>
        </w:rPr>
        <w:t>,</w:t>
      </w:r>
      <w:r w:rsidR="001F0579" w:rsidRPr="00E86A8F">
        <w:rPr>
          <w:rFonts w:asciiTheme="majorHAnsi" w:hAnsiTheme="majorHAnsi"/>
          <w:sz w:val="20"/>
          <w:szCs w:val="20"/>
          <w:lang w:val="es-US"/>
        </w:rPr>
        <w:t xml:space="preserve"> o sea </w:t>
      </w:r>
      <w:r w:rsidR="00EF58BB" w:rsidRPr="00E86A8F">
        <w:rPr>
          <w:rFonts w:asciiTheme="majorHAnsi" w:hAnsiTheme="majorHAnsi"/>
          <w:sz w:val="20"/>
          <w:szCs w:val="20"/>
          <w:lang w:val="es-US"/>
        </w:rPr>
        <w:t>é</w:t>
      </w:r>
      <w:r w:rsidR="001F0579" w:rsidRPr="00E86A8F">
        <w:rPr>
          <w:rFonts w:asciiTheme="majorHAnsi" w:hAnsiTheme="majorHAnsi"/>
          <w:sz w:val="20"/>
          <w:szCs w:val="20"/>
          <w:lang w:val="es-US"/>
        </w:rPr>
        <w:t xml:space="preserve">l cree que esta región es de él, entonces participa directamente en la gente que ingresa a un cargo ah, en </w:t>
      </w:r>
      <w:r w:rsidR="00EF58BB" w:rsidRPr="00E86A8F">
        <w:rPr>
          <w:rFonts w:asciiTheme="majorHAnsi" w:hAnsiTheme="majorHAnsi"/>
          <w:sz w:val="20"/>
          <w:szCs w:val="20"/>
          <w:lang w:val="es-US"/>
        </w:rPr>
        <w:t>cómo</w:t>
      </w:r>
      <w:r w:rsidR="001F0579" w:rsidRPr="00E86A8F">
        <w:rPr>
          <w:rFonts w:asciiTheme="majorHAnsi" w:hAnsiTheme="majorHAnsi"/>
          <w:sz w:val="20"/>
          <w:szCs w:val="20"/>
          <w:lang w:val="es-US"/>
        </w:rPr>
        <w:t xml:space="preserve"> se ejerce un cargo, en lo que se hace y lo que no se hace y eso no </w:t>
      </w:r>
      <w:r w:rsidR="003F4DE3" w:rsidRPr="00E86A8F">
        <w:rPr>
          <w:rFonts w:asciiTheme="majorHAnsi" w:hAnsiTheme="majorHAnsi"/>
          <w:sz w:val="20"/>
          <w:szCs w:val="20"/>
          <w:lang w:val="es-US"/>
        </w:rPr>
        <w:t xml:space="preserve">[le] </w:t>
      </w:r>
      <w:r w:rsidR="001F0579" w:rsidRPr="00E86A8F">
        <w:rPr>
          <w:rFonts w:asciiTheme="majorHAnsi" w:hAnsiTheme="majorHAnsi"/>
          <w:sz w:val="20"/>
          <w:szCs w:val="20"/>
          <w:lang w:val="es-US"/>
        </w:rPr>
        <w:t>corresponde”</w:t>
      </w:r>
      <w:r w:rsidR="003F4DE3" w:rsidRPr="00E86A8F">
        <w:rPr>
          <w:rFonts w:asciiTheme="majorHAnsi" w:hAnsiTheme="majorHAnsi"/>
          <w:sz w:val="20"/>
          <w:szCs w:val="20"/>
          <w:lang w:val="es-US"/>
        </w:rPr>
        <w:t xml:space="preserve"> […].</w:t>
      </w:r>
      <w:r w:rsidR="00010602" w:rsidRPr="00E86A8F">
        <w:rPr>
          <w:rFonts w:asciiTheme="majorHAnsi" w:hAnsiTheme="majorHAnsi"/>
          <w:sz w:val="20"/>
          <w:szCs w:val="20"/>
          <w:lang w:val="es-US"/>
        </w:rPr>
        <w:t xml:space="preserve"> </w:t>
      </w:r>
      <w:r w:rsidR="00010602" w:rsidRPr="00E86A8F">
        <w:rPr>
          <w:rFonts w:asciiTheme="majorHAnsi" w:hAnsiTheme="majorHAnsi"/>
          <w:sz w:val="20"/>
          <w:szCs w:val="20"/>
          <w:lang w:val="es-AR"/>
        </w:rPr>
        <w:t xml:space="preserve">También aseveró que los sistemas de fiscalización fueron destruidos, arrasados por los señores Carlos Weber y Pedro Bahamondez, los que no [fiscalizaron] </w:t>
      </w:r>
      <w:r w:rsidR="00F67855" w:rsidRPr="00E86A8F">
        <w:rPr>
          <w:rFonts w:asciiTheme="majorHAnsi" w:hAnsiTheme="majorHAnsi"/>
          <w:sz w:val="20"/>
          <w:szCs w:val="20"/>
          <w:lang w:val="es-AR"/>
        </w:rPr>
        <w:t>a pesar de que</w:t>
      </w:r>
      <w:r w:rsidR="00010602" w:rsidRPr="00E86A8F">
        <w:rPr>
          <w:rFonts w:asciiTheme="majorHAnsi" w:hAnsiTheme="majorHAnsi"/>
          <w:sz w:val="20"/>
          <w:szCs w:val="20"/>
          <w:lang w:val="es-AR"/>
        </w:rPr>
        <w:t xml:space="preserve"> el señor Comandary les pedía que lo hicieran, y que detrás de todo esto estaba el señor Páez.</w:t>
      </w:r>
      <w:r w:rsidR="001F0579" w:rsidRPr="00E86A8F">
        <w:rPr>
          <w:rFonts w:asciiTheme="majorHAnsi" w:hAnsiTheme="majorHAnsi"/>
          <w:sz w:val="20"/>
          <w:szCs w:val="20"/>
          <w:lang w:val="es-US"/>
        </w:rPr>
        <w:t xml:space="preserve"> </w:t>
      </w:r>
      <w:r w:rsidR="00DF5C19" w:rsidRPr="00E86A8F">
        <w:rPr>
          <w:rFonts w:asciiTheme="majorHAnsi" w:hAnsiTheme="majorHAnsi"/>
          <w:sz w:val="20"/>
          <w:szCs w:val="20"/>
          <w:lang w:val="es-US"/>
        </w:rPr>
        <w:t xml:space="preserve">Destacó que </w:t>
      </w:r>
      <w:r w:rsidR="003F4DE3" w:rsidRPr="00E86A8F">
        <w:rPr>
          <w:rFonts w:asciiTheme="majorHAnsi" w:hAnsiTheme="majorHAnsi"/>
          <w:sz w:val="20"/>
          <w:szCs w:val="20"/>
          <w:lang w:val="es-US"/>
        </w:rPr>
        <w:t>“</w:t>
      </w:r>
      <w:r w:rsidR="00DF5C19" w:rsidRPr="00E86A8F">
        <w:rPr>
          <w:rFonts w:asciiTheme="majorHAnsi" w:hAnsiTheme="majorHAnsi"/>
          <w:sz w:val="20"/>
          <w:szCs w:val="20"/>
          <w:lang w:val="es-US"/>
        </w:rPr>
        <w:t>[a]</w:t>
      </w:r>
      <w:r w:rsidR="001F0579" w:rsidRPr="00E86A8F">
        <w:rPr>
          <w:rFonts w:asciiTheme="majorHAnsi" w:hAnsiTheme="majorHAnsi"/>
          <w:sz w:val="20"/>
          <w:szCs w:val="20"/>
          <w:lang w:val="es-US"/>
        </w:rPr>
        <w:t xml:space="preserve"> un grupo de ingenieros forestales</w:t>
      </w:r>
      <w:r w:rsidR="003527D7" w:rsidRPr="00E86A8F">
        <w:rPr>
          <w:rFonts w:asciiTheme="majorHAnsi" w:hAnsiTheme="majorHAnsi"/>
          <w:sz w:val="20"/>
          <w:szCs w:val="20"/>
          <w:lang w:val="es-US"/>
        </w:rPr>
        <w:t>,</w:t>
      </w:r>
      <w:r w:rsidR="001F0579" w:rsidRPr="00E86A8F">
        <w:rPr>
          <w:rFonts w:asciiTheme="majorHAnsi" w:hAnsiTheme="majorHAnsi"/>
          <w:sz w:val="20"/>
          <w:szCs w:val="20"/>
          <w:lang w:val="es-US"/>
        </w:rPr>
        <w:t xml:space="preserve"> la agrupación de ingenieros forestales por el bosque nativo… Carlos Weber les dice que él no puede fiscalizar este predio porque </w:t>
      </w:r>
      <w:r w:rsidR="003527D7" w:rsidRPr="00E86A8F">
        <w:rPr>
          <w:rFonts w:asciiTheme="majorHAnsi" w:hAnsiTheme="majorHAnsi"/>
          <w:sz w:val="20"/>
          <w:szCs w:val="20"/>
          <w:lang w:val="es-US"/>
        </w:rPr>
        <w:t>está</w:t>
      </w:r>
      <w:r w:rsidR="001F0579" w:rsidRPr="00E86A8F">
        <w:rPr>
          <w:rFonts w:asciiTheme="majorHAnsi" w:hAnsiTheme="majorHAnsi"/>
          <w:sz w:val="20"/>
          <w:szCs w:val="20"/>
          <w:lang w:val="es-US"/>
        </w:rPr>
        <w:t xml:space="preserve"> detrás Páez, les dijo pucha… si ustedes quieren que fiscalice tienen que hablar con Páez</w:t>
      </w:r>
      <w:r w:rsidR="00873D5B" w:rsidRPr="00E86A8F">
        <w:rPr>
          <w:rFonts w:asciiTheme="majorHAnsi" w:hAnsiTheme="majorHAnsi"/>
          <w:sz w:val="20"/>
          <w:szCs w:val="20"/>
          <w:lang w:val="es-US"/>
        </w:rPr>
        <w:t xml:space="preserve"> [</w:t>
      </w:r>
      <w:r w:rsidR="001F0579" w:rsidRPr="00E86A8F">
        <w:rPr>
          <w:rFonts w:asciiTheme="majorHAnsi" w:hAnsiTheme="majorHAnsi"/>
          <w:sz w:val="20"/>
          <w:szCs w:val="20"/>
          <w:lang w:val="es-US"/>
        </w:rPr>
        <w:t>…</w:t>
      </w:r>
      <w:r w:rsidR="007E7CAA" w:rsidRPr="00E86A8F">
        <w:rPr>
          <w:rFonts w:asciiTheme="majorHAnsi" w:hAnsiTheme="majorHAnsi"/>
          <w:sz w:val="20"/>
          <w:szCs w:val="20"/>
          <w:lang w:val="es-US"/>
        </w:rPr>
        <w:t>]</w:t>
      </w:r>
      <w:r w:rsidR="001F0579" w:rsidRPr="00E86A8F">
        <w:rPr>
          <w:rFonts w:asciiTheme="majorHAnsi" w:hAnsiTheme="majorHAnsi"/>
          <w:sz w:val="20"/>
          <w:szCs w:val="20"/>
          <w:lang w:val="es-US"/>
        </w:rPr>
        <w:t>”</w:t>
      </w:r>
      <w:r w:rsidR="00321ED5" w:rsidRPr="00E86A8F">
        <w:rPr>
          <w:rFonts w:asciiTheme="majorHAnsi" w:hAnsiTheme="majorHAnsi"/>
          <w:sz w:val="20"/>
          <w:szCs w:val="20"/>
          <w:lang w:val="es-AR"/>
        </w:rPr>
        <w:t xml:space="preserve"> </w:t>
      </w:r>
      <w:r w:rsidR="007E7CAA" w:rsidRPr="00E86A8F">
        <w:rPr>
          <w:rFonts w:asciiTheme="majorHAnsi" w:hAnsiTheme="majorHAnsi"/>
          <w:sz w:val="20"/>
          <w:szCs w:val="20"/>
          <w:lang w:val="es-AR"/>
        </w:rPr>
        <w:t>Finalmente</w:t>
      </w:r>
      <w:r w:rsidR="00321ED5" w:rsidRPr="00E86A8F">
        <w:rPr>
          <w:rFonts w:asciiTheme="majorHAnsi" w:hAnsiTheme="majorHAnsi"/>
          <w:sz w:val="20"/>
          <w:szCs w:val="20"/>
          <w:lang w:val="es-AR"/>
        </w:rPr>
        <w:t xml:space="preserve">, manifestó </w:t>
      </w:r>
      <w:r w:rsidR="00C26322" w:rsidRPr="00E86A8F">
        <w:rPr>
          <w:rFonts w:asciiTheme="majorHAnsi" w:hAnsiTheme="majorHAnsi"/>
          <w:sz w:val="20"/>
          <w:szCs w:val="20"/>
          <w:lang w:val="es-AR"/>
        </w:rPr>
        <w:t xml:space="preserve">que </w:t>
      </w:r>
      <w:r w:rsidR="00321ED5" w:rsidRPr="00E86A8F">
        <w:rPr>
          <w:rFonts w:asciiTheme="majorHAnsi" w:hAnsiTheme="majorHAnsi"/>
          <w:sz w:val="20"/>
          <w:szCs w:val="20"/>
          <w:lang w:val="es-AR"/>
        </w:rPr>
        <w:t>“</w:t>
      </w:r>
      <w:r w:rsidR="00C26322" w:rsidRPr="00E86A8F">
        <w:rPr>
          <w:rFonts w:asciiTheme="majorHAnsi" w:hAnsiTheme="majorHAnsi"/>
          <w:sz w:val="20"/>
          <w:szCs w:val="20"/>
          <w:lang w:val="es-AR"/>
        </w:rPr>
        <w:t>se reunió con el Director Provincial de CONAF, Lisando Barriga y le pidió que h</w:t>
      </w:r>
      <w:r w:rsidR="0004399D" w:rsidRPr="00E86A8F">
        <w:rPr>
          <w:rFonts w:asciiTheme="majorHAnsi" w:hAnsiTheme="majorHAnsi"/>
          <w:sz w:val="20"/>
          <w:szCs w:val="20"/>
          <w:lang w:val="es-AR"/>
        </w:rPr>
        <w:t>i</w:t>
      </w:r>
      <w:r w:rsidR="00321ED5" w:rsidRPr="00E86A8F">
        <w:rPr>
          <w:rFonts w:asciiTheme="majorHAnsi" w:hAnsiTheme="majorHAnsi"/>
          <w:sz w:val="20"/>
          <w:szCs w:val="20"/>
          <w:lang w:val="es-AR"/>
        </w:rPr>
        <w:t>[cieran]</w:t>
      </w:r>
      <w:r w:rsidR="00C26322" w:rsidRPr="00E86A8F">
        <w:rPr>
          <w:rFonts w:asciiTheme="majorHAnsi" w:hAnsiTheme="majorHAnsi"/>
          <w:sz w:val="20"/>
          <w:szCs w:val="20"/>
          <w:lang w:val="es-AR"/>
        </w:rPr>
        <w:t xml:space="preserve"> algo, a lo que le respondió que si no hablaba con Páez no podía hacer nada, proponiéndole que hagan un almuerzo y se junten con Páez</w:t>
      </w:r>
      <w:r w:rsidR="00321ED5" w:rsidRPr="00E86A8F">
        <w:rPr>
          <w:rFonts w:asciiTheme="majorHAnsi" w:hAnsiTheme="majorHAnsi"/>
          <w:sz w:val="20"/>
          <w:szCs w:val="20"/>
          <w:lang w:val="es-AR"/>
        </w:rPr>
        <w:t>”</w:t>
      </w:r>
      <w:r w:rsidR="00C26322" w:rsidRPr="00E86A8F">
        <w:rPr>
          <w:rFonts w:asciiTheme="majorHAnsi" w:hAnsiTheme="majorHAnsi"/>
          <w:sz w:val="20"/>
          <w:szCs w:val="20"/>
          <w:lang w:val="es-AR"/>
        </w:rPr>
        <w:t>.</w:t>
      </w:r>
      <w:r w:rsidR="001E3F9A" w:rsidRPr="00E86A8F">
        <w:rPr>
          <w:rFonts w:asciiTheme="majorHAnsi" w:hAnsiTheme="majorHAnsi"/>
          <w:sz w:val="20"/>
          <w:szCs w:val="20"/>
          <w:lang w:val="es-AR"/>
        </w:rPr>
        <w:t xml:space="preserve"> </w:t>
      </w:r>
      <w:r w:rsidR="000A49BC" w:rsidRPr="00E86A8F">
        <w:rPr>
          <w:rFonts w:asciiTheme="majorHAnsi" w:hAnsiTheme="majorHAnsi"/>
          <w:sz w:val="20"/>
          <w:szCs w:val="20"/>
          <w:lang w:val="es-AR"/>
        </w:rPr>
        <w:t xml:space="preserve">Reiteró que </w:t>
      </w:r>
      <w:r w:rsidR="005D40B7" w:rsidRPr="00E86A8F">
        <w:rPr>
          <w:rFonts w:asciiTheme="majorHAnsi" w:hAnsiTheme="majorHAnsi"/>
          <w:sz w:val="20"/>
          <w:szCs w:val="20"/>
          <w:lang w:val="es-AR"/>
        </w:rPr>
        <w:t>no c</w:t>
      </w:r>
      <w:r w:rsidR="001E3F9A" w:rsidRPr="00E86A8F">
        <w:rPr>
          <w:rFonts w:asciiTheme="majorHAnsi" w:hAnsiTheme="majorHAnsi"/>
          <w:sz w:val="20"/>
          <w:szCs w:val="20"/>
          <w:lang w:val="es-AR"/>
        </w:rPr>
        <w:t>onsider</w:t>
      </w:r>
      <w:r w:rsidR="005D40B7" w:rsidRPr="00E86A8F">
        <w:rPr>
          <w:rFonts w:asciiTheme="majorHAnsi" w:hAnsiTheme="majorHAnsi"/>
          <w:sz w:val="20"/>
          <w:szCs w:val="20"/>
          <w:lang w:val="es-AR"/>
        </w:rPr>
        <w:t xml:space="preserve">aba </w:t>
      </w:r>
      <w:r w:rsidR="001E3F9A" w:rsidRPr="00E86A8F">
        <w:rPr>
          <w:rFonts w:asciiTheme="majorHAnsi" w:hAnsiTheme="majorHAnsi"/>
          <w:sz w:val="20"/>
          <w:szCs w:val="20"/>
          <w:lang w:val="es-AR"/>
        </w:rPr>
        <w:t>que</w:t>
      </w:r>
      <w:r w:rsidR="005D40B7" w:rsidRPr="00E86A8F">
        <w:rPr>
          <w:rFonts w:asciiTheme="majorHAnsi" w:hAnsiTheme="majorHAnsi"/>
          <w:sz w:val="20"/>
          <w:szCs w:val="20"/>
          <w:lang w:val="es-AR"/>
        </w:rPr>
        <w:t xml:space="preserve"> fuera </w:t>
      </w:r>
      <w:r w:rsidR="00C26322" w:rsidRPr="00E86A8F">
        <w:rPr>
          <w:rFonts w:asciiTheme="majorHAnsi" w:hAnsiTheme="majorHAnsi"/>
          <w:sz w:val="20"/>
          <w:szCs w:val="20"/>
          <w:lang w:val="es-AR"/>
        </w:rPr>
        <w:t>un tema de platas sucias</w:t>
      </w:r>
      <w:r w:rsidR="005F0AF5" w:rsidRPr="00E86A8F">
        <w:rPr>
          <w:rFonts w:asciiTheme="majorHAnsi" w:hAnsiTheme="majorHAnsi"/>
          <w:sz w:val="20"/>
          <w:szCs w:val="20"/>
          <w:lang w:val="es-AR"/>
        </w:rPr>
        <w:t xml:space="preserve"> para </w:t>
      </w:r>
      <w:r w:rsidR="00C26322" w:rsidRPr="00E86A8F">
        <w:rPr>
          <w:rFonts w:asciiTheme="majorHAnsi" w:hAnsiTheme="majorHAnsi"/>
          <w:sz w:val="20"/>
          <w:szCs w:val="20"/>
          <w:lang w:val="es-AR"/>
        </w:rPr>
        <w:t>financi</w:t>
      </w:r>
      <w:r w:rsidR="00D51830" w:rsidRPr="00E86A8F">
        <w:rPr>
          <w:rFonts w:asciiTheme="majorHAnsi" w:hAnsiTheme="majorHAnsi"/>
          <w:sz w:val="20"/>
          <w:szCs w:val="20"/>
          <w:lang w:val="es-AR"/>
        </w:rPr>
        <w:t xml:space="preserve">ar </w:t>
      </w:r>
      <w:r w:rsidR="00C26322" w:rsidRPr="00E86A8F">
        <w:rPr>
          <w:rFonts w:asciiTheme="majorHAnsi" w:hAnsiTheme="majorHAnsi"/>
          <w:sz w:val="20"/>
          <w:szCs w:val="20"/>
          <w:lang w:val="es-AR"/>
        </w:rPr>
        <w:t xml:space="preserve">campañas políticas, </w:t>
      </w:r>
      <w:r w:rsidR="00D51830" w:rsidRPr="00E86A8F">
        <w:rPr>
          <w:rFonts w:asciiTheme="majorHAnsi" w:hAnsiTheme="majorHAnsi"/>
          <w:sz w:val="20"/>
          <w:szCs w:val="20"/>
          <w:lang w:val="es-AR"/>
        </w:rPr>
        <w:t xml:space="preserve">porque los políticos </w:t>
      </w:r>
      <w:r w:rsidR="00F67855" w:rsidRPr="00E86A8F">
        <w:rPr>
          <w:rFonts w:asciiTheme="majorHAnsi" w:hAnsiTheme="majorHAnsi"/>
          <w:sz w:val="20"/>
          <w:szCs w:val="20"/>
          <w:lang w:val="es-AR"/>
        </w:rPr>
        <w:t xml:space="preserve">actuaban </w:t>
      </w:r>
      <w:r w:rsidR="00C26322" w:rsidRPr="00E86A8F">
        <w:rPr>
          <w:rFonts w:asciiTheme="majorHAnsi" w:hAnsiTheme="majorHAnsi"/>
          <w:sz w:val="20"/>
          <w:szCs w:val="20"/>
          <w:lang w:val="es-AR"/>
        </w:rPr>
        <w:t>con buena intención</w:t>
      </w:r>
      <w:r w:rsidR="00E404D2" w:rsidRPr="00E86A8F">
        <w:rPr>
          <w:rFonts w:asciiTheme="majorHAnsi" w:hAnsiTheme="majorHAnsi"/>
          <w:sz w:val="20"/>
          <w:szCs w:val="20"/>
          <w:lang w:val="es-AR"/>
        </w:rPr>
        <w:t>”</w:t>
      </w:r>
      <w:r w:rsidR="00C26322" w:rsidRPr="00E86A8F">
        <w:rPr>
          <w:rFonts w:asciiTheme="majorHAnsi" w:hAnsiTheme="majorHAnsi"/>
          <w:sz w:val="20"/>
          <w:szCs w:val="20"/>
          <w:lang w:val="es-AR"/>
        </w:rPr>
        <w:t>.</w:t>
      </w:r>
    </w:p>
    <w:p w14:paraId="2E7F5A3A" w14:textId="602D00A7" w:rsidR="001F0579" w:rsidRPr="00E86A8F" w:rsidRDefault="00AA4A60" w:rsidP="00073BB6">
      <w:pPr>
        <w:pStyle w:val="ListParagraph"/>
        <w:numPr>
          <w:ilvl w:val="0"/>
          <w:numId w:val="58"/>
        </w:numPr>
        <w:ind w:left="720" w:right="720" w:firstLine="0"/>
        <w:jc w:val="both"/>
        <w:rPr>
          <w:rFonts w:asciiTheme="majorHAnsi" w:hAnsiTheme="majorHAnsi"/>
          <w:b/>
          <w:sz w:val="20"/>
          <w:szCs w:val="20"/>
          <w:lang w:val="es-US"/>
        </w:rPr>
      </w:pPr>
      <w:r w:rsidRPr="00E86A8F">
        <w:rPr>
          <w:rFonts w:asciiTheme="majorHAnsi" w:hAnsiTheme="majorHAnsi"/>
          <w:sz w:val="20"/>
          <w:szCs w:val="20"/>
          <w:lang w:val="es-US"/>
        </w:rPr>
        <w:t>El</w:t>
      </w:r>
      <w:r w:rsidR="00F8553C" w:rsidRPr="00E86A8F">
        <w:rPr>
          <w:rFonts w:asciiTheme="majorHAnsi" w:hAnsiTheme="majorHAnsi"/>
          <w:sz w:val="20"/>
          <w:szCs w:val="20"/>
          <w:lang w:val="es-US"/>
        </w:rPr>
        <w:t xml:space="preserve"> </w:t>
      </w:r>
      <w:r w:rsidR="001F0579" w:rsidRPr="00E86A8F">
        <w:rPr>
          <w:rFonts w:asciiTheme="majorHAnsi" w:hAnsiTheme="majorHAnsi"/>
          <w:sz w:val="20"/>
          <w:szCs w:val="20"/>
          <w:lang w:val="es-US"/>
        </w:rPr>
        <w:t>17 de mayo</w:t>
      </w:r>
      <w:r w:rsidR="00F8553C" w:rsidRPr="00E86A8F">
        <w:rPr>
          <w:rFonts w:asciiTheme="majorHAnsi" w:hAnsiTheme="majorHAnsi"/>
          <w:sz w:val="20"/>
          <w:szCs w:val="20"/>
          <w:lang w:val="es-US"/>
        </w:rPr>
        <w:t xml:space="preserve"> de 2004</w:t>
      </w:r>
      <w:r w:rsidR="00AD58B4" w:rsidRPr="00E86A8F">
        <w:rPr>
          <w:rFonts w:asciiTheme="majorHAnsi" w:hAnsiTheme="majorHAnsi"/>
          <w:sz w:val="20"/>
          <w:szCs w:val="20"/>
          <w:lang w:val="es-US"/>
        </w:rPr>
        <w:t xml:space="preserve">, la presunta víctima brindó una entrevista a la </w:t>
      </w:r>
      <w:r w:rsidR="001F0579" w:rsidRPr="00E86A8F">
        <w:rPr>
          <w:rFonts w:asciiTheme="majorHAnsi" w:hAnsiTheme="majorHAnsi"/>
          <w:sz w:val="20"/>
          <w:szCs w:val="20"/>
          <w:lang w:val="es-US"/>
        </w:rPr>
        <w:t xml:space="preserve">Radio </w:t>
      </w:r>
      <w:r w:rsidR="009E020A" w:rsidRPr="00E86A8F">
        <w:rPr>
          <w:rFonts w:asciiTheme="majorHAnsi" w:hAnsiTheme="majorHAnsi"/>
          <w:sz w:val="20"/>
          <w:szCs w:val="20"/>
          <w:lang w:val="es-US"/>
        </w:rPr>
        <w:t>“</w:t>
      </w:r>
      <w:r w:rsidR="001F0579" w:rsidRPr="00E86A8F">
        <w:rPr>
          <w:rFonts w:asciiTheme="majorHAnsi" w:hAnsiTheme="majorHAnsi"/>
          <w:sz w:val="20"/>
          <w:szCs w:val="20"/>
          <w:lang w:val="es-US"/>
        </w:rPr>
        <w:t>Bio Bio</w:t>
      </w:r>
      <w:r w:rsidR="009E020A" w:rsidRPr="00E86A8F">
        <w:rPr>
          <w:rFonts w:asciiTheme="majorHAnsi" w:hAnsiTheme="majorHAnsi"/>
          <w:sz w:val="20"/>
          <w:szCs w:val="20"/>
          <w:lang w:val="es-US"/>
        </w:rPr>
        <w:t>”</w:t>
      </w:r>
      <w:r w:rsidR="001F0579" w:rsidRPr="00E86A8F">
        <w:rPr>
          <w:rFonts w:asciiTheme="majorHAnsi" w:hAnsiTheme="majorHAnsi"/>
          <w:sz w:val="20"/>
          <w:szCs w:val="20"/>
          <w:lang w:val="es-US"/>
        </w:rPr>
        <w:t xml:space="preserve"> de Puerto Montt</w:t>
      </w:r>
      <w:r w:rsidR="00AD58B4" w:rsidRPr="00E86A8F">
        <w:rPr>
          <w:rFonts w:asciiTheme="majorHAnsi" w:hAnsiTheme="majorHAnsi"/>
          <w:sz w:val="20"/>
          <w:szCs w:val="20"/>
          <w:lang w:val="es-US"/>
        </w:rPr>
        <w:t xml:space="preserve"> y manifestó que</w:t>
      </w:r>
      <w:r w:rsidR="009E5E4F" w:rsidRPr="00E86A8F">
        <w:rPr>
          <w:rFonts w:asciiTheme="majorHAnsi" w:hAnsiTheme="majorHAnsi"/>
          <w:sz w:val="20"/>
          <w:szCs w:val="20"/>
          <w:lang w:val="es-US"/>
        </w:rPr>
        <w:t xml:space="preserve"> </w:t>
      </w:r>
      <w:r w:rsidR="00EA0013" w:rsidRPr="00E86A8F">
        <w:rPr>
          <w:rFonts w:asciiTheme="majorHAnsi" w:hAnsiTheme="majorHAnsi"/>
          <w:sz w:val="20"/>
          <w:szCs w:val="20"/>
          <w:lang w:val="es-US"/>
        </w:rPr>
        <w:t xml:space="preserve">la jueza Rosa Muñoz, </w:t>
      </w:r>
      <w:r w:rsidR="005B34DC" w:rsidRPr="00E86A8F">
        <w:rPr>
          <w:rFonts w:asciiTheme="majorHAnsi" w:hAnsiTheme="majorHAnsi"/>
          <w:sz w:val="20"/>
          <w:szCs w:val="20"/>
          <w:lang w:val="es-US"/>
        </w:rPr>
        <w:t xml:space="preserve">Magistrada del Juzgado de Los </w:t>
      </w:r>
      <w:r w:rsidR="005B34DC" w:rsidRPr="00E86A8F">
        <w:rPr>
          <w:rFonts w:asciiTheme="majorHAnsi" w:hAnsiTheme="majorHAnsi"/>
          <w:sz w:val="20"/>
          <w:szCs w:val="20"/>
          <w:lang w:val="es-US"/>
        </w:rPr>
        <w:lastRenderedPageBreak/>
        <w:t xml:space="preserve">Muermos, encargada de la investigación </w:t>
      </w:r>
      <w:r w:rsidR="0034777A" w:rsidRPr="00E86A8F">
        <w:rPr>
          <w:rFonts w:asciiTheme="majorHAnsi" w:hAnsiTheme="majorHAnsi"/>
          <w:sz w:val="20"/>
          <w:szCs w:val="20"/>
          <w:lang w:val="es-US"/>
        </w:rPr>
        <w:t xml:space="preserve">en contra del Director Ejecutivo de la CONAF y quien ordenara su detención, </w:t>
      </w:r>
      <w:r w:rsidR="00D522EC" w:rsidRPr="00E86A8F">
        <w:rPr>
          <w:rFonts w:asciiTheme="majorHAnsi" w:hAnsiTheme="majorHAnsi"/>
          <w:sz w:val="20"/>
          <w:szCs w:val="20"/>
          <w:lang w:val="es-US"/>
        </w:rPr>
        <w:t>decidió abandonar la investigación</w:t>
      </w:r>
      <w:r w:rsidR="00A756D5" w:rsidRPr="00E86A8F">
        <w:rPr>
          <w:rFonts w:asciiTheme="majorHAnsi" w:hAnsiTheme="majorHAnsi"/>
          <w:sz w:val="20"/>
          <w:szCs w:val="20"/>
          <w:lang w:val="es-US"/>
        </w:rPr>
        <w:t xml:space="preserve"> que seguía por el caso alerce debido a las amenazas recibidas </w:t>
      </w:r>
      <w:r w:rsidR="0005456F" w:rsidRPr="00E86A8F">
        <w:rPr>
          <w:rFonts w:asciiTheme="majorHAnsi" w:hAnsiTheme="majorHAnsi"/>
          <w:sz w:val="20"/>
          <w:szCs w:val="20"/>
          <w:lang w:val="es-US"/>
        </w:rPr>
        <w:t>e informó que</w:t>
      </w:r>
      <w:r w:rsidR="00C51D8C" w:rsidRPr="00E86A8F">
        <w:rPr>
          <w:rFonts w:asciiTheme="majorHAnsi" w:hAnsiTheme="majorHAnsi"/>
          <w:sz w:val="20"/>
          <w:szCs w:val="20"/>
          <w:lang w:val="es-US"/>
        </w:rPr>
        <w:t>. El señor Baraona señaló</w:t>
      </w:r>
      <w:r w:rsidR="0005456F" w:rsidRPr="00E86A8F">
        <w:rPr>
          <w:rFonts w:asciiTheme="majorHAnsi" w:hAnsiTheme="majorHAnsi"/>
          <w:sz w:val="20"/>
          <w:szCs w:val="20"/>
          <w:lang w:val="es-US"/>
        </w:rPr>
        <w:t xml:space="preserve"> </w:t>
      </w:r>
      <w:r w:rsidR="00C51D8C" w:rsidRPr="00E86A8F">
        <w:rPr>
          <w:rFonts w:asciiTheme="majorHAnsi" w:hAnsiTheme="majorHAnsi"/>
          <w:sz w:val="20"/>
          <w:szCs w:val="20"/>
          <w:lang w:val="es-US"/>
        </w:rPr>
        <w:t xml:space="preserve">que </w:t>
      </w:r>
      <w:r w:rsidR="0005456F" w:rsidRPr="00E86A8F">
        <w:rPr>
          <w:rFonts w:asciiTheme="majorHAnsi" w:hAnsiTheme="majorHAnsi"/>
          <w:sz w:val="20"/>
          <w:szCs w:val="20"/>
          <w:lang w:val="es-US"/>
        </w:rPr>
        <w:t>según le refirió la Magistrad</w:t>
      </w:r>
      <w:r w:rsidR="00A40E24" w:rsidRPr="00E86A8F">
        <w:rPr>
          <w:rFonts w:asciiTheme="majorHAnsi" w:hAnsiTheme="majorHAnsi"/>
          <w:sz w:val="20"/>
          <w:szCs w:val="20"/>
          <w:lang w:val="es-US"/>
        </w:rPr>
        <w:t>a</w:t>
      </w:r>
      <w:r w:rsidR="0005456F" w:rsidRPr="00E86A8F">
        <w:rPr>
          <w:rFonts w:asciiTheme="majorHAnsi" w:hAnsiTheme="majorHAnsi"/>
          <w:sz w:val="20"/>
          <w:szCs w:val="20"/>
          <w:lang w:val="es-US"/>
        </w:rPr>
        <w:t xml:space="preserve">, </w:t>
      </w:r>
      <w:r w:rsidR="00A40E24" w:rsidRPr="00E86A8F">
        <w:rPr>
          <w:rFonts w:asciiTheme="majorHAnsi" w:hAnsiTheme="majorHAnsi"/>
          <w:sz w:val="20"/>
          <w:szCs w:val="20"/>
          <w:lang w:val="es-US"/>
        </w:rPr>
        <w:t xml:space="preserve">esta </w:t>
      </w:r>
      <w:r w:rsidR="00C7029D" w:rsidRPr="00E86A8F">
        <w:rPr>
          <w:rFonts w:asciiTheme="majorHAnsi" w:hAnsiTheme="majorHAnsi"/>
          <w:sz w:val="20"/>
          <w:szCs w:val="20"/>
          <w:lang w:val="es-US"/>
        </w:rPr>
        <w:t xml:space="preserve">recibió una llamada del </w:t>
      </w:r>
      <w:r w:rsidR="00486700" w:rsidRPr="00E86A8F">
        <w:rPr>
          <w:rFonts w:asciiTheme="majorHAnsi" w:hAnsiTheme="majorHAnsi"/>
          <w:sz w:val="20"/>
          <w:szCs w:val="20"/>
          <w:lang w:val="es-US"/>
        </w:rPr>
        <w:t>senador</w:t>
      </w:r>
      <w:r w:rsidR="0005456F" w:rsidRPr="00E86A8F">
        <w:rPr>
          <w:rFonts w:asciiTheme="majorHAnsi" w:hAnsiTheme="majorHAnsi"/>
          <w:sz w:val="20"/>
          <w:szCs w:val="20"/>
          <w:lang w:val="es-US"/>
        </w:rPr>
        <w:t xml:space="preserve"> Páez </w:t>
      </w:r>
      <w:r w:rsidR="0086325C" w:rsidRPr="00E86A8F">
        <w:rPr>
          <w:rFonts w:asciiTheme="majorHAnsi" w:hAnsiTheme="majorHAnsi"/>
          <w:sz w:val="20"/>
          <w:szCs w:val="20"/>
          <w:lang w:val="es-US"/>
        </w:rPr>
        <w:t>presionando para proteger al señor Lisandro Barriga</w:t>
      </w:r>
      <w:r w:rsidR="00813829" w:rsidRPr="00E86A8F">
        <w:rPr>
          <w:rFonts w:asciiTheme="majorHAnsi" w:hAnsiTheme="majorHAnsi"/>
          <w:sz w:val="20"/>
          <w:szCs w:val="20"/>
          <w:lang w:val="es-US"/>
        </w:rPr>
        <w:t xml:space="preserve"> (Jefe Provincial de CONAF)</w:t>
      </w:r>
      <w:r w:rsidR="00E953E3" w:rsidRPr="00E86A8F">
        <w:rPr>
          <w:rStyle w:val="FootnoteReference"/>
          <w:rFonts w:asciiTheme="majorHAnsi" w:hAnsiTheme="majorHAnsi"/>
          <w:sz w:val="20"/>
          <w:szCs w:val="20"/>
          <w:lang w:val="es-US"/>
        </w:rPr>
        <w:footnoteReference w:id="21"/>
      </w:r>
      <w:r w:rsidR="00813829" w:rsidRPr="00E86A8F">
        <w:rPr>
          <w:rFonts w:asciiTheme="majorHAnsi" w:hAnsiTheme="majorHAnsi"/>
          <w:sz w:val="20"/>
          <w:szCs w:val="20"/>
          <w:lang w:val="es-US"/>
        </w:rPr>
        <w:t>.</w:t>
      </w:r>
      <w:r w:rsidR="0086325C" w:rsidRPr="00E86A8F">
        <w:rPr>
          <w:rFonts w:asciiTheme="majorHAnsi" w:hAnsiTheme="majorHAnsi"/>
          <w:sz w:val="20"/>
          <w:szCs w:val="20"/>
          <w:lang w:val="es-US"/>
        </w:rPr>
        <w:t xml:space="preserve"> </w:t>
      </w:r>
      <w:r w:rsidR="00D6010E" w:rsidRPr="00E86A8F">
        <w:rPr>
          <w:rFonts w:asciiTheme="majorHAnsi" w:hAnsiTheme="majorHAnsi"/>
          <w:sz w:val="20"/>
          <w:szCs w:val="20"/>
          <w:lang w:val="es-US"/>
        </w:rPr>
        <w:t>El 18 de mayo de 2004 d</w:t>
      </w:r>
      <w:r w:rsidR="00DC6C56" w:rsidRPr="00E86A8F">
        <w:rPr>
          <w:rFonts w:asciiTheme="majorHAnsi" w:hAnsiTheme="majorHAnsi"/>
          <w:sz w:val="20"/>
          <w:szCs w:val="20"/>
          <w:lang w:val="es-US"/>
        </w:rPr>
        <w:t>ic</w:t>
      </w:r>
      <w:r w:rsidR="00D6010E" w:rsidRPr="00E86A8F">
        <w:rPr>
          <w:rFonts w:asciiTheme="majorHAnsi" w:hAnsiTheme="majorHAnsi"/>
          <w:sz w:val="20"/>
          <w:szCs w:val="20"/>
          <w:lang w:val="es-US"/>
        </w:rPr>
        <w:t>ha información también fue transmitida</w:t>
      </w:r>
      <w:r w:rsidR="00DC6C56" w:rsidRPr="00E86A8F">
        <w:rPr>
          <w:rFonts w:asciiTheme="majorHAnsi" w:hAnsiTheme="majorHAnsi"/>
          <w:sz w:val="20"/>
          <w:szCs w:val="20"/>
          <w:lang w:val="es-US"/>
        </w:rPr>
        <w:t xml:space="preserve"> a través del programa Medianoche de Televisión Nacional de Chile</w:t>
      </w:r>
      <w:r w:rsidR="00D6010E" w:rsidRPr="00E86A8F">
        <w:rPr>
          <w:rFonts w:asciiTheme="majorHAnsi" w:hAnsiTheme="majorHAnsi"/>
          <w:sz w:val="20"/>
          <w:szCs w:val="20"/>
          <w:lang w:val="es-US"/>
        </w:rPr>
        <w:t xml:space="preserve">, </w:t>
      </w:r>
      <w:r w:rsidR="00A5753E" w:rsidRPr="00E86A8F">
        <w:rPr>
          <w:rFonts w:asciiTheme="majorHAnsi" w:hAnsiTheme="majorHAnsi"/>
          <w:sz w:val="20"/>
          <w:szCs w:val="20"/>
          <w:lang w:val="es-US"/>
        </w:rPr>
        <w:t>el diario el Mercurio</w:t>
      </w:r>
      <w:r w:rsidR="00BB2080" w:rsidRPr="00E86A8F">
        <w:rPr>
          <w:rFonts w:asciiTheme="majorHAnsi" w:hAnsiTheme="majorHAnsi"/>
          <w:sz w:val="20"/>
          <w:szCs w:val="20"/>
          <w:lang w:val="es-US"/>
        </w:rPr>
        <w:t xml:space="preserve"> (“Jueza del caso alerce es amenazada de muerte”)</w:t>
      </w:r>
      <w:r w:rsidR="00D6010E" w:rsidRPr="00E86A8F">
        <w:rPr>
          <w:rFonts w:asciiTheme="majorHAnsi" w:hAnsiTheme="majorHAnsi"/>
          <w:sz w:val="20"/>
          <w:szCs w:val="20"/>
          <w:lang w:val="es-US"/>
        </w:rPr>
        <w:t>, y el diario El Llanquihue (”Abogado Baraona sostiene que Jueza habría recibido presiones del senador Sergio Páez”)</w:t>
      </w:r>
      <w:r w:rsidR="00D6010E" w:rsidRPr="00E86A8F">
        <w:rPr>
          <w:rStyle w:val="FootnoteReference"/>
          <w:rFonts w:asciiTheme="majorHAnsi" w:hAnsiTheme="majorHAnsi"/>
          <w:sz w:val="20"/>
          <w:szCs w:val="20"/>
          <w:lang w:val="es-US"/>
        </w:rPr>
        <w:footnoteReference w:id="22"/>
      </w:r>
      <w:r w:rsidR="00D6010E" w:rsidRPr="00E86A8F">
        <w:rPr>
          <w:rFonts w:asciiTheme="majorHAnsi" w:hAnsiTheme="majorHAnsi"/>
          <w:sz w:val="20"/>
          <w:szCs w:val="20"/>
          <w:lang w:val="es-US"/>
        </w:rPr>
        <w:t>.</w:t>
      </w:r>
      <w:r w:rsidR="00DC6C56" w:rsidRPr="00E86A8F">
        <w:rPr>
          <w:rFonts w:asciiTheme="majorHAnsi" w:hAnsiTheme="majorHAnsi"/>
          <w:sz w:val="20"/>
          <w:szCs w:val="20"/>
          <w:lang w:val="es-US"/>
        </w:rPr>
        <w:t xml:space="preserve"> </w:t>
      </w:r>
      <w:r w:rsidR="00484291" w:rsidRPr="00E86A8F">
        <w:rPr>
          <w:rFonts w:asciiTheme="majorHAnsi" w:hAnsiTheme="majorHAnsi"/>
          <w:sz w:val="20"/>
          <w:szCs w:val="20"/>
          <w:lang w:val="es-US"/>
        </w:rPr>
        <w:t>El</w:t>
      </w:r>
      <w:r w:rsidR="002208D2" w:rsidRPr="00E86A8F">
        <w:rPr>
          <w:rFonts w:asciiTheme="majorHAnsi" w:hAnsiTheme="majorHAnsi"/>
          <w:sz w:val="20"/>
          <w:szCs w:val="20"/>
          <w:lang w:val="es-US"/>
        </w:rPr>
        <w:t xml:space="preserve"> 23 de mayo de 2004, el</w:t>
      </w:r>
      <w:r w:rsidR="00484291" w:rsidRPr="00E86A8F">
        <w:rPr>
          <w:rFonts w:asciiTheme="majorHAnsi" w:hAnsiTheme="majorHAnsi"/>
          <w:sz w:val="20"/>
          <w:szCs w:val="20"/>
          <w:lang w:val="es-US"/>
        </w:rPr>
        <w:t xml:space="preserve"> diario La Tercera </w:t>
      </w:r>
      <w:r w:rsidR="002208D2" w:rsidRPr="00E86A8F">
        <w:rPr>
          <w:rFonts w:asciiTheme="majorHAnsi" w:hAnsiTheme="majorHAnsi"/>
          <w:sz w:val="20"/>
          <w:szCs w:val="20"/>
          <w:lang w:val="es-US"/>
        </w:rPr>
        <w:t>refirió que, según declaraciones de l</w:t>
      </w:r>
      <w:r w:rsidR="00DC6C56" w:rsidRPr="00E86A8F">
        <w:rPr>
          <w:rFonts w:asciiTheme="majorHAnsi" w:hAnsiTheme="majorHAnsi"/>
          <w:sz w:val="20"/>
          <w:szCs w:val="20"/>
          <w:lang w:val="es-US"/>
        </w:rPr>
        <w:t xml:space="preserve">a </w:t>
      </w:r>
      <w:r w:rsidR="00A00E25" w:rsidRPr="00E86A8F">
        <w:rPr>
          <w:rFonts w:asciiTheme="majorHAnsi" w:hAnsiTheme="majorHAnsi"/>
          <w:sz w:val="20"/>
          <w:szCs w:val="20"/>
          <w:lang w:val="es-US"/>
        </w:rPr>
        <w:t>Magistrada Muñoz</w:t>
      </w:r>
      <w:r w:rsidR="002208D2" w:rsidRPr="00E86A8F">
        <w:rPr>
          <w:rFonts w:asciiTheme="majorHAnsi" w:hAnsiTheme="majorHAnsi"/>
          <w:sz w:val="20"/>
          <w:szCs w:val="20"/>
          <w:lang w:val="es-US"/>
        </w:rPr>
        <w:t>,</w:t>
      </w:r>
      <w:r w:rsidR="00484291" w:rsidRPr="00E86A8F">
        <w:rPr>
          <w:rFonts w:asciiTheme="majorHAnsi" w:hAnsiTheme="majorHAnsi"/>
          <w:sz w:val="20"/>
          <w:szCs w:val="20"/>
          <w:lang w:val="es-US"/>
        </w:rPr>
        <w:t xml:space="preserve"> </w:t>
      </w:r>
      <w:r w:rsidR="007854A2" w:rsidRPr="00E86A8F">
        <w:rPr>
          <w:rFonts w:asciiTheme="majorHAnsi" w:hAnsiTheme="majorHAnsi"/>
          <w:sz w:val="20"/>
          <w:szCs w:val="20"/>
          <w:lang w:val="es-US"/>
        </w:rPr>
        <w:t xml:space="preserve">si bien reconoció la valentía del señor Baraona por sus declaraciones que consideraba no </w:t>
      </w:r>
      <w:r w:rsidR="00CC5C57" w:rsidRPr="00E86A8F">
        <w:rPr>
          <w:rFonts w:asciiTheme="majorHAnsi" w:hAnsiTheme="majorHAnsi"/>
          <w:sz w:val="20"/>
          <w:szCs w:val="20"/>
          <w:lang w:val="es-US"/>
        </w:rPr>
        <w:t xml:space="preserve">carecían de fundamento, desmintió que lo haya </w:t>
      </w:r>
      <w:r w:rsidR="00CD1CDA" w:rsidRPr="00E86A8F">
        <w:rPr>
          <w:rFonts w:asciiTheme="majorHAnsi" w:hAnsiTheme="majorHAnsi"/>
          <w:sz w:val="20"/>
          <w:szCs w:val="20"/>
          <w:lang w:val="es-US"/>
        </w:rPr>
        <w:t>elegido</w:t>
      </w:r>
      <w:r w:rsidR="00CC5C57" w:rsidRPr="00E86A8F">
        <w:rPr>
          <w:rFonts w:asciiTheme="majorHAnsi" w:hAnsiTheme="majorHAnsi"/>
          <w:sz w:val="20"/>
          <w:szCs w:val="20"/>
          <w:lang w:val="es-US"/>
        </w:rPr>
        <w:t xml:space="preserve"> su portavoz y negó haber recibido una llamada del </w:t>
      </w:r>
      <w:r w:rsidR="00486700" w:rsidRPr="00E86A8F">
        <w:rPr>
          <w:rFonts w:asciiTheme="majorHAnsi" w:hAnsiTheme="majorHAnsi"/>
          <w:sz w:val="20"/>
          <w:szCs w:val="20"/>
          <w:lang w:val="es-US"/>
        </w:rPr>
        <w:t>senador</w:t>
      </w:r>
      <w:r w:rsidR="00CC5C57" w:rsidRPr="00E86A8F">
        <w:rPr>
          <w:rFonts w:asciiTheme="majorHAnsi" w:hAnsiTheme="majorHAnsi"/>
          <w:sz w:val="20"/>
          <w:szCs w:val="20"/>
          <w:lang w:val="es-US"/>
        </w:rPr>
        <w:t xml:space="preserve"> Páez </w:t>
      </w:r>
      <w:r w:rsidR="00FB49E8" w:rsidRPr="00E86A8F">
        <w:rPr>
          <w:rFonts w:asciiTheme="majorHAnsi" w:hAnsiTheme="majorHAnsi"/>
          <w:sz w:val="20"/>
          <w:szCs w:val="20"/>
          <w:lang w:val="es-US"/>
        </w:rPr>
        <w:t>o de su secretaria</w:t>
      </w:r>
      <w:r w:rsidR="000452D7" w:rsidRPr="00E86A8F">
        <w:rPr>
          <w:rStyle w:val="FootnoteReference"/>
          <w:rFonts w:asciiTheme="majorHAnsi" w:hAnsiTheme="majorHAnsi"/>
          <w:sz w:val="20"/>
          <w:szCs w:val="20"/>
          <w:lang w:val="es-US"/>
        </w:rPr>
        <w:footnoteReference w:id="23"/>
      </w:r>
      <w:r w:rsidR="00FB49E8" w:rsidRPr="00E86A8F">
        <w:rPr>
          <w:rFonts w:asciiTheme="majorHAnsi" w:hAnsiTheme="majorHAnsi"/>
          <w:sz w:val="20"/>
          <w:szCs w:val="20"/>
          <w:lang w:val="es-US"/>
        </w:rPr>
        <w:t xml:space="preserve">. </w:t>
      </w:r>
    </w:p>
    <w:p w14:paraId="304F4B95" w14:textId="77777777" w:rsidR="00813829" w:rsidRPr="00E86A8F" w:rsidRDefault="00813829" w:rsidP="00073BB6">
      <w:pPr>
        <w:pStyle w:val="ListParagraph"/>
        <w:ind w:right="720"/>
        <w:jc w:val="both"/>
        <w:rPr>
          <w:rFonts w:asciiTheme="majorHAnsi" w:hAnsiTheme="majorHAnsi"/>
          <w:sz w:val="20"/>
          <w:szCs w:val="20"/>
          <w:lang w:val="es-US"/>
        </w:rPr>
      </w:pPr>
    </w:p>
    <w:p w14:paraId="6FF9A7A0" w14:textId="22508DD5" w:rsidR="001F046D" w:rsidRPr="00E86A8F" w:rsidRDefault="0009108E" w:rsidP="00073BB6">
      <w:pPr>
        <w:pStyle w:val="ListParagraph"/>
        <w:numPr>
          <w:ilvl w:val="0"/>
          <w:numId w:val="58"/>
        </w:numPr>
        <w:ind w:left="720" w:right="720" w:firstLine="0"/>
        <w:jc w:val="both"/>
        <w:rPr>
          <w:rFonts w:asciiTheme="majorHAnsi" w:hAnsiTheme="majorHAnsi"/>
          <w:sz w:val="20"/>
          <w:szCs w:val="20"/>
          <w:lang w:val="es-US"/>
        </w:rPr>
      </w:pPr>
      <w:r w:rsidRPr="00E86A8F">
        <w:rPr>
          <w:rFonts w:asciiTheme="majorHAnsi" w:hAnsiTheme="majorHAnsi"/>
          <w:sz w:val="20"/>
          <w:szCs w:val="20"/>
          <w:lang w:val="es-US"/>
        </w:rPr>
        <w:t>Finalmente</w:t>
      </w:r>
      <w:r w:rsidR="00E4013E" w:rsidRPr="00E86A8F">
        <w:rPr>
          <w:rFonts w:asciiTheme="majorHAnsi" w:hAnsiTheme="majorHAnsi"/>
          <w:sz w:val="20"/>
          <w:szCs w:val="20"/>
          <w:lang w:val="es-US"/>
        </w:rPr>
        <w:t>,</w:t>
      </w:r>
      <w:r w:rsidRPr="00E86A8F">
        <w:rPr>
          <w:rFonts w:asciiTheme="majorHAnsi" w:hAnsiTheme="majorHAnsi"/>
          <w:sz w:val="20"/>
          <w:szCs w:val="20"/>
          <w:lang w:val="es-US"/>
        </w:rPr>
        <w:t xml:space="preserve"> en la revista “Ercilla”, en su edición N</w:t>
      </w:r>
      <w:r w:rsidR="00DA6561" w:rsidRPr="00E86A8F">
        <w:rPr>
          <w:rFonts w:asciiTheme="majorHAnsi" w:hAnsiTheme="majorHAnsi"/>
          <w:sz w:val="20"/>
          <w:szCs w:val="20"/>
          <w:lang w:val="es-US"/>
        </w:rPr>
        <w:t>o.</w:t>
      </w:r>
      <w:r w:rsidRPr="00E86A8F">
        <w:rPr>
          <w:rFonts w:asciiTheme="majorHAnsi" w:hAnsiTheme="majorHAnsi"/>
          <w:sz w:val="20"/>
          <w:szCs w:val="20"/>
          <w:lang w:val="es-US"/>
        </w:rPr>
        <w:t xml:space="preserve"> 3.242 del 24 de mayo al 6 de junio de 2004</w:t>
      </w:r>
      <w:r w:rsidR="00DA6561" w:rsidRPr="00E86A8F">
        <w:rPr>
          <w:rFonts w:asciiTheme="majorHAnsi" w:hAnsiTheme="majorHAnsi"/>
          <w:sz w:val="20"/>
          <w:szCs w:val="20"/>
          <w:lang w:val="es-US"/>
        </w:rPr>
        <w:t xml:space="preserve">, páginas 28 y 29, </w:t>
      </w:r>
      <w:r w:rsidR="00797C70" w:rsidRPr="00E86A8F">
        <w:rPr>
          <w:rFonts w:asciiTheme="majorHAnsi" w:hAnsiTheme="majorHAnsi"/>
          <w:sz w:val="20"/>
          <w:szCs w:val="20"/>
          <w:lang w:val="es-US"/>
        </w:rPr>
        <w:t>se publicó</w:t>
      </w:r>
      <w:r w:rsidR="00DA6561" w:rsidRPr="00E86A8F">
        <w:rPr>
          <w:rFonts w:asciiTheme="majorHAnsi" w:hAnsiTheme="majorHAnsi"/>
          <w:sz w:val="20"/>
          <w:szCs w:val="20"/>
          <w:lang w:val="es-US"/>
        </w:rPr>
        <w:t xml:space="preserve"> una entrevista a</w:t>
      </w:r>
      <w:r w:rsidRPr="00E86A8F">
        <w:rPr>
          <w:rFonts w:asciiTheme="majorHAnsi" w:hAnsiTheme="majorHAnsi"/>
          <w:sz w:val="20"/>
          <w:szCs w:val="20"/>
          <w:lang w:val="es-US"/>
        </w:rPr>
        <w:t xml:space="preserve"> Carlos Baraona, </w:t>
      </w:r>
      <w:r w:rsidR="00DA6561" w:rsidRPr="00E86A8F">
        <w:rPr>
          <w:rFonts w:asciiTheme="majorHAnsi" w:hAnsiTheme="majorHAnsi"/>
          <w:sz w:val="20"/>
          <w:szCs w:val="20"/>
          <w:lang w:val="es-US"/>
        </w:rPr>
        <w:t>titulada “El señor Páez actúa como patrón de fundo”</w:t>
      </w:r>
      <w:r w:rsidR="00797C70" w:rsidRPr="00E86A8F">
        <w:rPr>
          <w:rFonts w:asciiTheme="majorHAnsi" w:hAnsiTheme="majorHAnsi"/>
          <w:sz w:val="20"/>
          <w:szCs w:val="20"/>
          <w:lang w:val="es-US"/>
        </w:rPr>
        <w:t>, en la cual señaló</w:t>
      </w:r>
      <w:r w:rsidR="00AB6DB9" w:rsidRPr="00E86A8F">
        <w:rPr>
          <w:rFonts w:asciiTheme="majorHAnsi" w:hAnsiTheme="majorHAnsi"/>
          <w:sz w:val="20"/>
          <w:szCs w:val="20"/>
          <w:lang w:val="es-US"/>
        </w:rPr>
        <w:t xml:space="preserve"> que “[a]</w:t>
      </w:r>
      <w:r w:rsidR="00797C70" w:rsidRPr="00E86A8F">
        <w:rPr>
          <w:rFonts w:asciiTheme="majorHAnsi" w:hAnsiTheme="majorHAnsi"/>
          <w:sz w:val="20"/>
          <w:szCs w:val="20"/>
          <w:lang w:val="es-US"/>
        </w:rPr>
        <w:t>lgo h[olía]</w:t>
      </w:r>
      <w:r w:rsidRPr="00E86A8F">
        <w:rPr>
          <w:rFonts w:asciiTheme="majorHAnsi" w:hAnsiTheme="majorHAnsi"/>
          <w:sz w:val="20"/>
          <w:szCs w:val="20"/>
          <w:lang w:val="es-US"/>
        </w:rPr>
        <w:t xml:space="preserve"> a podrido ac</w:t>
      </w:r>
      <w:r w:rsidR="00797C70" w:rsidRPr="00E86A8F">
        <w:rPr>
          <w:rFonts w:asciiTheme="majorHAnsi" w:hAnsiTheme="majorHAnsi"/>
          <w:sz w:val="20"/>
          <w:szCs w:val="20"/>
          <w:lang w:val="es-US"/>
        </w:rPr>
        <w:t>á y e[ra]</w:t>
      </w:r>
      <w:r w:rsidR="00AB6DB9" w:rsidRPr="00E86A8F">
        <w:rPr>
          <w:rFonts w:asciiTheme="majorHAnsi" w:hAnsiTheme="majorHAnsi"/>
          <w:sz w:val="20"/>
          <w:szCs w:val="20"/>
          <w:lang w:val="es-US"/>
        </w:rPr>
        <w:t xml:space="preserve"> bueno que se destape” […]</w:t>
      </w:r>
      <w:r w:rsidR="00003E9D" w:rsidRPr="00E86A8F">
        <w:rPr>
          <w:rFonts w:asciiTheme="majorHAnsi" w:hAnsiTheme="majorHAnsi"/>
          <w:sz w:val="20"/>
          <w:szCs w:val="20"/>
          <w:lang w:val="es-US"/>
        </w:rPr>
        <w:t xml:space="preserve">. Reiteró que </w:t>
      </w:r>
      <w:r w:rsidRPr="00E86A8F">
        <w:rPr>
          <w:rFonts w:asciiTheme="majorHAnsi" w:hAnsiTheme="majorHAnsi"/>
          <w:sz w:val="20"/>
          <w:szCs w:val="20"/>
          <w:lang w:val="es-US"/>
        </w:rPr>
        <w:t>el jefe de la provincia de Llanquihue de la CONAF</w:t>
      </w:r>
      <w:r w:rsidR="00273F7C" w:rsidRPr="00E86A8F">
        <w:rPr>
          <w:rFonts w:asciiTheme="majorHAnsi" w:hAnsiTheme="majorHAnsi"/>
          <w:sz w:val="20"/>
          <w:szCs w:val="20"/>
          <w:lang w:val="es-US"/>
        </w:rPr>
        <w:t>,</w:t>
      </w:r>
      <w:r w:rsidR="00BB20F5" w:rsidRPr="00E86A8F">
        <w:rPr>
          <w:rFonts w:asciiTheme="majorHAnsi" w:hAnsiTheme="majorHAnsi"/>
          <w:sz w:val="20"/>
          <w:szCs w:val="20"/>
          <w:lang w:val="es-US"/>
        </w:rPr>
        <w:t xml:space="preserve"> </w:t>
      </w:r>
      <w:r w:rsidR="00273F7C" w:rsidRPr="00E86A8F">
        <w:rPr>
          <w:rFonts w:asciiTheme="majorHAnsi" w:hAnsiTheme="majorHAnsi"/>
          <w:sz w:val="20"/>
          <w:szCs w:val="20"/>
          <w:lang w:val="es-US"/>
        </w:rPr>
        <w:t xml:space="preserve">Lisandro Barriga, </w:t>
      </w:r>
      <w:r w:rsidR="00BB20F5" w:rsidRPr="00E86A8F">
        <w:rPr>
          <w:rFonts w:asciiTheme="majorHAnsi" w:hAnsiTheme="majorHAnsi"/>
          <w:sz w:val="20"/>
          <w:szCs w:val="20"/>
          <w:lang w:val="es-US"/>
        </w:rPr>
        <w:t xml:space="preserve">le dijo que </w:t>
      </w:r>
      <w:r w:rsidR="00221B3F" w:rsidRPr="00E86A8F">
        <w:rPr>
          <w:rFonts w:asciiTheme="majorHAnsi" w:hAnsiTheme="majorHAnsi"/>
          <w:sz w:val="20"/>
          <w:szCs w:val="20"/>
          <w:lang w:val="es-US"/>
        </w:rPr>
        <w:t xml:space="preserve">la cuestión del terreno </w:t>
      </w:r>
      <w:r w:rsidRPr="00E86A8F">
        <w:rPr>
          <w:rFonts w:asciiTheme="majorHAnsi" w:hAnsiTheme="majorHAnsi"/>
          <w:sz w:val="20"/>
          <w:szCs w:val="20"/>
          <w:lang w:val="es-US"/>
        </w:rPr>
        <w:t>pas</w:t>
      </w:r>
      <w:r w:rsidR="00221B3F" w:rsidRPr="00E86A8F">
        <w:rPr>
          <w:rFonts w:asciiTheme="majorHAnsi" w:hAnsiTheme="majorHAnsi"/>
          <w:sz w:val="20"/>
          <w:szCs w:val="20"/>
          <w:lang w:val="es-US"/>
        </w:rPr>
        <w:t>aba</w:t>
      </w:r>
      <w:r w:rsidRPr="00E86A8F">
        <w:rPr>
          <w:rFonts w:asciiTheme="majorHAnsi" w:hAnsiTheme="majorHAnsi"/>
          <w:sz w:val="20"/>
          <w:szCs w:val="20"/>
          <w:lang w:val="es-US"/>
        </w:rPr>
        <w:t xml:space="preserve"> por el senador Páez</w:t>
      </w:r>
      <w:r w:rsidR="0001354B" w:rsidRPr="00E86A8F">
        <w:rPr>
          <w:rFonts w:asciiTheme="majorHAnsi" w:hAnsiTheme="majorHAnsi"/>
          <w:sz w:val="20"/>
          <w:szCs w:val="20"/>
          <w:lang w:val="es-US"/>
        </w:rPr>
        <w:t xml:space="preserve"> y que este debía llegar</w:t>
      </w:r>
      <w:r w:rsidRPr="00E86A8F">
        <w:rPr>
          <w:rFonts w:asciiTheme="majorHAnsi" w:hAnsiTheme="majorHAnsi"/>
          <w:sz w:val="20"/>
          <w:szCs w:val="20"/>
          <w:lang w:val="es-US"/>
        </w:rPr>
        <w:t xml:space="preserve"> </w:t>
      </w:r>
      <w:r w:rsidR="00AB6DB9" w:rsidRPr="00E86A8F">
        <w:rPr>
          <w:rFonts w:asciiTheme="majorHAnsi" w:hAnsiTheme="majorHAnsi"/>
          <w:sz w:val="20"/>
          <w:szCs w:val="20"/>
          <w:lang w:val="es-US"/>
        </w:rPr>
        <w:t>a un acuerdo</w:t>
      </w:r>
      <w:r w:rsidR="0001354B" w:rsidRPr="00E86A8F">
        <w:rPr>
          <w:rFonts w:asciiTheme="majorHAnsi" w:hAnsiTheme="majorHAnsi"/>
          <w:sz w:val="20"/>
          <w:szCs w:val="20"/>
          <w:lang w:val="es-US"/>
        </w:rPr>
        <w:t xml:space="preserve"> con el </w:t>
      </w:r>
      <w:r w:rsidR="00AB6DB9" w:rsidRPr="00E86A8F">
        <w:rPr>
          <w:rFonts w:asciiTheme="majorHAnsi" w:hAnsiTheme="majorHAnsi"/>
          <w:sz w:val="20"/>
          <w:szCs w:val="20"/>
          <w:lang w:val="es-PE"/>
        </w:rPr>
        <w:t>señor Comandary</w:t>
      </w:r>
      <w:r w:rsidR="00AB6DB9" w:rsidRPr="00E86A8F">
        <w:rPr>
          <w:rFonts w:asciiTheme="majorHAnsi" w:hAnsiTheme="majorHAnsi"/>
          <w:sz w:val="20"/>
          <w:szCs w:val="20"/>
          <w:lang w:val="es-US"/>
        </w:rPr>
        <w:t>. Má</w:t>
      </w:r>
      <w:r w:rsidR="00797C70" w:rsidRPr="00E86A8F">
        <w:rPr>
          <w:rFonts w:asciiTheme="majorHAnsi" w:hAnsiTheme="majorHAnsi"/>
          <w:sz w:val="20"/>
          <w:szCs w:val="20"/>
          <w:lang w:val="es-US"/>
        </w:rPr>
        <w:t xml:space="preserve">s adelante </w:t>
      </w:r>
      <w:r w:rsidR="00CE094E" w:rsidRPr="00E86A8F">
        <w:rPr>
          <w:rFonts w:asciiTheme="majorHAnsi" w:hAnsiTheme="majorHAnsi"/>
          <w:sz w:val="20"/>
          <w:szCs w:val="20"/>
          <w:lang w:val="es-US"/>
        </w:rPr>
        <w:t xml:space="preserve">reiteró </w:t>
      </w:r>
      <w:r w:rsidR="00AB6DB9" w:rsidRPr="00E86A8F">
        <w:rPr>
          <w:rFonts w:asciiTheme="majorHAnsi" w:hAnsiTheme="majorHAnsi"/>
          <w:sz w:val="20"/>
          <w:szCs w:val="20"/>
          <w:lang w:val="es-US"/>
        </w:rPr>
        <w:t>que el senador P</w:t>
      </w:r>
      <w:r w:rsidR="00797C70" w:rsidRPr="00E86A8F">
        <w:rPr>
          <w:rFonts w:asciiTheme="majorHAnsi" w:hAnsiTheme="majorHAnsi"/>
          <w:sz w:val="20"/>
          <w:szCs w:val="20"/>
          <w:lang w:val="es-US"/>
        </w:rPr>
        <w:t xml:space="preserve">áez </w:t>
      </w:r>
      <w:r w:rsidR="00965233" w:rsidRPr="00E86A8F">
        <w:rPr>
          <w:rFonts w:asciiTheme="majorHAnsi" w:hAnsiTheme="majorHAnsi"/>
          <w:sz w:val="20"/>
          <w:szCs w:val="20"/>
          <w:lang w:val="es-US"/>
        </w:rPr>
        <w:t xml:space="preserve">actuaba </w:t>
      </w:r>
      <w:r w:rsidR="00AB6DB9" w:rsidRPr="00E86A8F">
        <w:rPr>
          <w:rFonts w:asciiTheme="majorHAnsi" w:hAnsiTheme="majorHAnsi"/>
          <w:sz w:val="20"/>
          <w:szCs w:val="20"/>
          <w:lang w:val="es-US"/>
        </w:rPr>
        <w:t>como “</w:t>
      </w:r>
      <w:r w:rsidRPr="00E86A8F">
        <w:rPr>
          <w:rFonts w:asciiTheme="majorHAnsi" w:hAnsiTheme="majorHAnsi"/>
          <w:sz w:val="20"/>
          <w:szCs w:val="20"/>
          <w:lang w:val="es-US"/>
        </w:rPr>
        <w:t>patrón de fundo</w:t>
      </w:r>
      <w:r w:rsidR="00AB6DB9" w:rsidRPr="00E86A8F">
        <w:rPr>
          <w:rFonts w:asciiTheme="majorHAnsi" w:hAnsiTheme="majorHAnsi"/>
          <w:sz w:val="20"/>
          <w:szCs w:val="20"/>
          <w:lang w:val="es-US"/>
        </w:rPr>
        <w:t>”</w:t>
      </w:r>
      <w:r w:rsidRPr="00E86A8F">
        <w:rPr>
          <w:rFonts w:asciiTheme="majorHAnsi" w:hAnsiTheme="majorHAnsi"/>
          <w:sz w:val="20"/>
          <w:szCs w:val="20"/>
          <w:lang w:val="es-US"/>
        </w:rPr>
        <w:t xml:space="preserve"> </w:t>
      </w:r>
      <w:r w:rsidR="00AB6DB9" w:rsidRPr="00E86A8F">
        <w:rPr>
          <w:rFonts w:asciiTheme="majorHAnsi" w:hAnsiTheme="majorHAnsi"/>
          <w:sz w:val="20"/>
          <w:szCs w:val="20"/>
          <w:lang w:val="es-US"/>
        </w:rPr>
        <w:t>por motivos políticos</w:t>
      </w:r>
      <w:r w:rsidR="00965233" w:rsidRPr="00E86A8F">
        <w:rPr>
          <w:rFonts w:asciiTheme="majorHAnsi" w:hAnsiTheme="majorHAnsi"/>
          <w:sz w:val="20"/>
          <w:szCs w:val="20"/>
          <w:lang w:val="es-US"/>
        </w:rPr>
        <w:t xml:space="preserve"> y</w:t>
      </w:r>
      <w:r w:rsidR="00AB6DB9" w:rsidRPr="00E86A8F">
        <w:rPr>
          <w:rFonts w:asciiTheme="majorHAnsi" w:hAnsiTheme="majorHAnsi"/>
          <w:sz w:val="20"/>
          <w:szCs w:val="20"/>
          <w:lang w:val="es-US"/>
        </w:rPr>
        <w:t xml:space="preserve"> que usaba </w:t>
      </w:r>
      <w:r w:rsidRPr="00E86A8F">
        <w:rPr>
          <w:rFonts w:asciiTheme="majorHAnsi" w:hAnsiTheme="majorHAnsi"/>
          <w:sz w:val="20"/>
          <w:szCs w:val="20"/>
          <w:lang w:val="es-US"/>
        </w:rPr>
        <w:t>a la gent</w:t>
      </w:r>
      <w:r w:rsidR="00AB6DB9" w:rsidRPr="00E86A8F">
        <w:rPr>
          <w:rFonts w:asciiTheme="majorHAnsi" w:hAnsiTheme="majorHAnsi"/>
          <w:sz w:val="20"/>
          <w:szCs w:val="20"/>
          <w:lang w:val="es-US"/>
        </w:rPr>
        <w:t>e para comprar votos.</w:t>
      </w:r>
      <w:r w:rsidRPr="00E86A8F">
        <w:rPr>
          <w:rFonts w:asciiTheme="majorHAnsi" w:hAnsiTheme="majorHAnsi"/>
          <w:sz w:val="20"/>
          <w:szCs w:val="20"/>
          <w:lang w:val="es-US"/>
        </w:rPr>
        <w:t xml:space="preserve"> </w:t>
      </w:r>
      <w:r w:rsidR="00AB6DB9" w:rsidRPr="00E86A8F">
        <w:rPr>
          <w:rFonts w:asciiTheme="majorHAnsi" w:hAnsiTheme="majorHAnsi"/>
          <w:sz w:val="20"/>
          <w:szCs w:val="20"/>
          <w:lang w:val="es-AR"/>
        </w:rPr>
        <w:t>E</w:t>
      </w:r>
      <w:r w:rsidR="0066200C" w:rsidRPr="00E86A8F">
        <w:rPr>
          <w:rFonts w:asciiTheme="majorHAnsi" w:hAnsiTheme="majorHAnsi"/>
          <w:sz w:val="20"/>
          <w:szCs w:val="20"/>
          <w:lang w:val="es-AR"/>
        </w:rPr>
        <w:t xml:space="preserve">n relación </w:t>
      </w:r>
      <w:r w:rsidR="00AB6DB9" w:rsidRPr="00E86A8F">
        <w:rPr>
          <w:rFonts w:asciiTheme="majorHAnsi" w:hAnsiTheme="majorHAnsi"/>
          <w:sz w:val="20"/>
          <w:szCs w:val="20"/>
          <w:lang w:val="es-AR"/>
        </w:rPr>
        <w:t>con Nelson Bustos, Baraona declaró que también estaba</w:t>
      </w:r>
      <w:r w:rsidR="0066200C" w:rsidRPr="00E86A8F">
        <w:rPr>
          <w:rFonts w:asciiTheme="majorHAnsi" w:hAnsiTheme="majorHAnsi"/>
          <w:sz w:val="20"/>
          <w:szCs w:val="20"/>
          <w:lang w:val="es-AR"/>
        </w:rPr>
        <w:t xml:space="preserve"> involucrado en el tema del alerce, dado que, mientras CONAF </w:t>
      </w:r>
      <w:r w:rsidR="00AB6DB9" w:rsidRPr="00E86A8F">
        <w:rPr>
          <w:rFonts w:asciiTheme="majorHAnsi" w:hAnsiTheme="majorHAnsi"/>
          <w:sz w:val="20"/>
          <w:szCs w:val="20"/>
          <w:lang w:val="es-AR"/>
        </w:rPr>
        <w:t xml:space="preserve">se </w:t>
      </w:r>
      <w:r w:rsidR="0066200C" w:rsidRPr="00E86A8F">
        <w:rPr>
          <w:rFonts w:asciiTheme="majorHAnsi" w:hAnsiTheme="majorHAnsi"/>
          <w:sz w:val="20"/>
          <w:szCs w:val="20"/>
          <w:lang w:val="es-AR"/>
        </w:rPr>
        <w:t xml:space="preserve">hacía vista gorda para que la gente pudiera seguir cortando </w:t>
      </w:r>
      <w:r w:rsidR="00C76776" w:rsidRPr="00E86A8F">
        <w:rPr>
          <w:rFonts w:asciiTheme="majorHAnsi" w:hAnsiTheme="majorHAnsi"/>
          <w:sz w:val="20"/>
          <w:szCs w:val="20"/>
          <w:lang w:val="es-AR"/>
        </w:rPr>
        <w:t xml:space="preserve">el alerce </w:t>
      </w:r>
      <w:r w:rsidR="0066200C" w:rsidRPr="00E86A8F">
        <w:rPr>
          <w:rFonts w:asciiTheme="majorHAnsi" w:hAnsiTheme="majorHAnsi"/>
          <w:sz w:val="20"/>
          <w:szCs w:val="20"/>
          <w:lang w:val="es-AR"/>
        </w:rPr>
        <w:t>de forma ilegal, Nelson Bustos ampara</w:t>
      </w:r>
      <w:r w:rsidR="00C76776" w:rsidRPr="00E86A8F">
        <w:rPr>
          <w:rFonts w:asciiTheme="majorHAnsi" w:hAnsiTheme="majorHAnsi"/>
          <w:sz w:val="20"/>
          <w:szCs w:val="20"/>
          <w:lang w:val="es-AR"/>
        </w:rPr>
        <w:t>ba a los que ocupaban</w:t>
      </w:r>
      <w:r w:rsidR="0066200C" w:rsidRPr="00E86A8F">
        <w:rPr>
          <w:rFonts w:asciiTheme="majorHAnsi" w:hAnsiTheme="majorHAnsi"/>
          <w:sz w:val="20"/>
          <w:szCs w:val="20"/>
          <w:lang w:val="es-AR"/>
        </w:rPr>
        <w:t xml:space="preserve"> ilegalmente la propiedad.</w:t>
      </w:r>
    </w:p>
    <w:p w14:paraId="421F1A17" w14:textId="77777777" w:rsidR="004E0BA6" w:rsidRPr="00E86A8F" w:rsidRDefault="004E0BA6" w:rsidP="00073BB6">
      <w:pPr>
        <w:jc w:val="both"/>
        <w:rPr>
          <w:rFonts w:asciiTheme="majorHAnsi" w:hAnsiTheme="majorHAnsi"/>
          <w:sz w:val="20"/>
          <w:szCs w:val="20"/>
          <w:lang w:val="es-US"/>
        </w:rPr>
      </w:pPr>
    </w:p>
    <w:p w14:paraId="79DD0AE6" w14:textId="33810B33" w:rsidR="000479FC" w:rsidRPr="00E86A8F" w:rsidRDefault="00797C70"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 xml:space="preserve">Tanto el señor Carlos Weber (Director Ejecutivo de la CONFAF), Pedro Bahamondez (Director Regional de la CONAF), como Lisandro Barriga (Director Provincial Llanquihue de la CONAF) y Nelson Bustos (geógrafo del Seremi del Ministerio de Bienes Naturales), negaron haber recibido presiones del senador Sergio Páez, o de </w:t>
      </w:r>
      <w:r w:rsidR="009630E4" w:rsidRPr="00E86A8F">
        <w:rPr>
          <w:rFonts w:asciiTheme="majorHAnsi" w:hAnsiTheme="majorHAnsi"/>
          <w:sz w:val="20"/>
          <w:szCs w:val="20"/>
          <w:lang w:val="es-VE"/>
        </w:rPr>
        <w:t>cualquier otra autoridad</w:t>
      </w:r>
      <w:r w:rsidR="009630E4" w:rsidRPr="00E86A8F">
        <w:rPr>
          <w:rStyle w:val="FootnoteReference"/>
          <w:rFonts w:asciiTheme="majorHAnsi" w:hAnsiTheme="majorHAnsi"/>
          <w:sz w:val="20"/>
          <w:szCs w:val="20"/>
          <w:lang w:val="es-VE"/>
        </w:rPr>
        <w:footnoteReference w:id="24"/>
      </w:r>
      <w:r w:rsidR="009630E4" w:rsidRPr="00E86A8F">
        <w:rPr>
          <w:rFonts w:asciiTheme="majorHAnsi" w:hAnsiTheme="majorHAnsi"/>
          <w:sz w:val="20"/>
          <w:szCs w:val="20"/>
          <w:lang w:val="es-VE"/>
        </w:rPr>
        <w:t>.</w:t>
      </w:r>
    </w:p>
    <w:p w14:paraId="789785C1" w14:textId="77777777" w:rsidR="004E0BA6" w:rsidRPr="00E86A8F" w:rsidRDefault="004E0BA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670B080E" w14:textId="54F8DB91" w:rsidR="000B6C23" w:rsidRPr="00E86A8F" w:rsidRDefault="00015206"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 xml:space="preserve">El </w:t>
      </w:r>
      <w:r w:rsidR="00486700" w:rsidRPr="00E86A8F">
        <w:rPr>
          <w:rFonts w:asciiTheme="majorHAnsi" w:hAnsiTheme="majorHAnsi"/>
          <w:sz w:val="20"/>
          <w:szCs w:val="20"/>
          <w:lang w:val="es-VE"/>
        </w:rPr>
        <w:t>senador</w:t>
      </w:r>
      <w:r w:rsidRPr="00E86A8F">
        <w:rPr>
          <w:rFonts w:asciiTheme="majorHAnsi" w:hAnsiTheme="majorHAnsi"/>
          <w:sz w:val="20"/>
          <w:szCs w:val="20"/>
          <w:lang w:val="es-VE"/>
        </w:rPr>
        <w:t xml:space="preserve"> Sergio Paéz Verdugo, tomó conocimiento de las declaraciones del señor Baraona en diversos medios de comunicación, mientras se encontraba en el extranjero, sin embargo</w:t>
      </w:r>
      <w:r w:rsidR="00116F00" w:rsidRPr="00E86A8F">
        <w:rPr>
          <w:rFonts w:asciiTheme="majorHAnsi" w:hAnsiTheme="majorHAnsi"/>
          <w:sz w:val="20"/>
          <w:szCs w:val="20"/>
          <w:lang w:val="es-VE"/>
        </w:rPr>
        <w:t>,</w:t>
      </w:r>
      <w:r w:rsidRPr="00E86A8F">
        <w:rPr>
          <w:rFonts w:asciiTheme="majorHAnsi" w:hAnsiTheme="majorHAnsi"/>
          <w:sz w:val="20"/>
          <w:szCs w:val="20"/>
          <w:lang w:val="es-VE"/>
        </w:rPr>
        <w:t xml:space="preserve"> también realizó declaraciones ante </w:t>
      </w:r>
      <w:r w:rsidR="006747C4" w:rsidRPr="00E86A8F">
        <w:rPr>
          <w:rFonts w:asciiTheme="majorHAnsi" w:hAnsiTheme="majorHAnsi"/>
          <w:sz w:val="20"/>
          <w:szCs w:val="20"/>
          <w:lang w:val="es-VE"/>
        </w:rPr>
        <w:t xml:space="preserve">distintos medios de </w:t>
      </w:r>
      <w:r w:rsidR="00EC4252" w:rsidRPr="00E86A8F">
        <w:rPr>
          <w:rFonts w:asciiTheme="majorHAnsi" w:hAnsiTheme="majorHAnsi"/>
          <w:sz w:val="20"/>
          <w:szCs w:val="20"/>
          <w:lang w:val="es-VE"/>
        </w:rPr>
        <w:t>prensa</w:t>
      </w:r>
      <w:r w:rsidR="006747C4" w:rsidRPr="00E86A8F">
        <w:rPr>
          <w:rFonts w:asciiTheme="majorHAnsi" w:hAnsiTheme="majorHAnsi"/>
          <w:sz w:val="20"/>
          <w:szCs w:val="20"/>
          <w:lang w:val="es-VE"/>
        </w:rPr>
        <w:t>, en respuesta a la información vert</w:t>
      </w:r>
      <w:r w:rsidR="00EC4252" w:rsidRPr="00E86A8F">
        <w:rPr>
          <w:rFonts w:asciiTheme="majorHAnsi" w:hAnsiTheme="majorHAnsi"/>
          <w:sz w:val="20"/>
          <w:szCs w:val="20"/>
          <w:lang w:val="es-VE"/>
        </w:rPr>
        <w:t xml:space="preserve">ida por la víctima. Por ejemplo, el 23 de mayo de 2004 el diario “El Mercurio on line” publicó una nota </w:t>
      </w:r>
      <w:r w:rsidR="000B6C23" w:rsidRPr="00E86A8F">
        <w:rPr>
          <w:rFonts w:asciiTheme="majorHAnsi" w:hAnsiTheme="majorHAnsi"/>
          <w:sz w:val="20"/>
          <w:szCs w:val="20"/>
          <w:lang w:val="es-VE"/>
        </w:rPr>
        <w:t>titulada</w:t>
      </w:r>
      <w:r w:rsidR="00EC4252" w:rsidRPr="00E86A8F">
        <w:rPr>
          <w:rFonts w:asciiTheme="majorHAnsi" w:hAnsiTheme="majorHAnsi"/>
          <w:sz w:val="20"/>
          <w:szCs w:val="20"/>
          <w:lang w:val="es-VE"/>
        </w:rPr>
        <w:t xml:space="preserve"> “El Cacique Páez” respecto a una entrevista al </w:t>
      </w:r>
      <w:r w:rsidR="00C7029D" w:rsidRPr="00E86A8F">
        <w:rPr>
          <w:rFonts w:asciiTheme="majorHAnsi" w:hAnsiTheme="majorHAnsi"/>
          <w:sz w:val="20"/>
          <w:szCs w:val="20"/>
          <w:lang w:val="es-VE"/>
        </w:rPr>
        <w:t>s</w:t>
      </w:r>
      <w:r w:rsidR="00EC4252" w:rsidRPr="00E86A8F">
        <w:rPr>
          <w:rFonts w:asciiTheme="majorHAnsi" w:hAnsiTheme="majorHAnsi"/>
          <w:sz w:val="20"/>
          <w:szCs w:val="20"/>
          <w:lang w:val="es-VE"/>
        </w:rPr>
        <w:t xml:space="preserve">enador, en la cual declaró que era objeto de un “asesinato de imagen” y que veía una acción mediática en la motivación de Baraona al pretender </w:t>
      </w:r>
      <w:r w:rsidR="000B6C23" w:rsidRPr="00E86A8F">
        <w:rPr>
          <w:rFonts w:asciiTheme="majorHAnsi" w:hAnsiTheme="majorHAnsi"/>
          <w:sz w:val="20"/>
          <w:szCs w:val="20"/>
          <w:lang w:val="es-VE"/>
        </w:rPr>
        <w:t>involucrarlo</w:t>
      </w:r>
      <w:r w:rsidR="00EC4252" w:rsidRPr="00E86A8F">
        <w:rPr>
          <w:rFonts w:asciiTheme="majorHAnsi" w:hAnsiTheme="majorHAnsi"/>
          <w:sz w:val="20"/>
          <w:szCs w:val="20"/>
          <w:lang w:val="es-VE"/>
        </w:rPr>
        <w:t xml:space="preserve"> en tráfico de </w:t>
      </w:r>
      <w:r w:rsidR="000B6C23" w:rsidRPr="00E86A8F">
        <w:rPr>
          <w:rFonts w:asciiTheme="majorHAnsi" w:hAnsiTheme="majorHAnsi"/>
          <w:sz w:val="20"/>
          <w:szCs w:val="20"/>
          <w:lang w:val="es-VE"/>
        </w:rPr>
        <w:t>influencias</w:t>
      </w:r>
      <w:r w:rsidR="00EC4252" w:rsidRPr="00E86A8F">
        <w:rPr>
          <w:rFonts w:asciiTheme="majorHAnsi" w:hAnsiTheme="majorHAnsi"/>
          <w:sz w:val="20"/>
          <w:szCs w:val="20"/>
          <w:lang w:val="es-VE"/>
        </w:rPr>
        <w:t>, ya que eso le servía a Baraona para recurrir al extranjero para la venta de terrenos</w:t>
      </w:r>
      <w:r w:rsidR="000B6C23" w:rsidRPr="00E86A8F">
        <w:rPr>
          <w:rStyle w:val="FootnoteReference"/>
          <w:rFonts w:asciiTheme="majorHAnsi" w:hAnsiTheme="majorHAnsi"/>
          <w:sz w:val="20"/>
          <w:szCs w:val="20"/>
          <w:lang w:val="es-VE"/>
        </w:rPr>
        <w:footnoteReference w:id="25"/>
      </w:r>
      <w:r w:rsidR="00EC4252" w:rsidRPr="00E86A8F">
        <w:rPr>
          <w:rFonts w:asciiTheme="majorHAnsi" w:hAnsiTheme="majorHAnsi"/>
          <w:sz w:val="20"/>
          <w:szCs w:val="20"/>
          <w:lang w:val="es-VE"/>
        </w:rPr>
        <w:t xml:space="preserve">. </w:t>
      </w:r>
      <w:r w:rsidR="000B6C23" w:rsidRPr="00E86A8F">
        <w:rPr>
          <w:rFonts w:asciiTheme="majorHAnsi" w:hAnsiTheme="majorHAnsi"/>
          <w:sz w:val="20"/>
          <w:szCs w:val="20"/>
          <w:lang w:val="es-VE"/>
        </w:rPr>
        <w:t xml:space="preserve">Asimismo, el diario La Tercera publicó una nota titulada “Hace muchos años me llamaban la </w:t>
      </w:r>
      <w:r w:rsidR="00C7029D" w:rsidRPr="00E86A8F">
        <w:rPr>
          <w:rFonts w:asciiTheme="majorHAnsi" w:hAnsiTheme="majorHAnsi"/>
          <w:sz w:val="20"/>
          <w:szCs w:val="20"/>
          <w:lang w:val="es-VE"/>
        </w:rPr>
        <w:t>rata engominada”, en la que el s</w:t>
      </w:r>
      <w:r w:rsidR="000B6C23" w:rsidRPr="00E86A8F">
        <w:rPr>
          <w:rFonts w:asciiTheme="majorHAnsi" w:hAnsiTheme="majorHAnsi"/>
          <w:sz w:val="20"/>
          <w:szCs w:val="20"/>
          <w:lang w:val="es-VE"/>
        </w:rPr>
        <w:t>enador señaló que</w:t>
      </w:r>
      <w:r w:rsidR="00312A46" w:rsidRPr="00E86A8F">
        <w:rPr>
          <w:rFonts w:asciiTheme="majorHAnsi" w:hAnsiTheme="majorHAnsi"/>
          <w:sz w:val="20"/>
          <w:szCs w:val="20"/>
          <w:lang w:val="es-VE"/>
        </w:rPr>
        <w:t xml:space="preserve"> </w:t>
      </w:r>
      <w:r w:rsidR="00312A46" w:rsidRPr="00E86A8F">
        <w:rPr>
          <w:rFonts w:asciiTheme="majorHAnsi" w:hAnsiTheme="majorHAnsi"/>
          <w:sz w:val="20"/>
          <w:szCs w:val="20"/>
          <w:lang w:val="es-VE"/>
        </w:rPr>
        <w:lastRenderedPageBreak/>
        <w:t>no</w:t>
      </w:r>
      <w:r w:rsidR="000B6C23" w:rsidRPr="00E86A8F">
        <w:rPr>
          <w:rFonts w:asciiTheme="majorHAnsi" w:hAnsiTheme="majorHAnsi"/>
          <w:sz w:val="20"/>
          <w:szCs w:val="20"/>
          <w:lang w:val="es-VE"/>
        </w:rPr>
        <w:t xml:space="preserve"> tenía relación </w:t>
      </w:r>
      <w:r w:rsidR="00312A46" w:rsidRPr="00E86A8F">
        <w:rPr>
          <w:rFonts w:asciiTheme="majorHAnsi" w:hAnsiTheme="majorHAnsi"/>
          <w:sz w:val="20"/>
          <w:szCs w:val="20"/>
          <w:lang w:val="es-VE"/>
        </w:rPr>
        <w:t xml:space="preserve">alguna </w:t>
      </w:r>
      <w:r w:rsidR="000B6C23" w:rsidRPr="00E86A8F">
        <w:rPr>
          <w:rFonts w:asciiTheme="majorHAnsi" w:hAnsiTheme="majorHAnsi"/>
          <w:sz w:val="20"/>
          <w:szCs w:val="20"/>
          <w:lang w:val="es-VE"/>
        </w:rPr>
        <w:t>con supuestas irregularidades en el alerce</w:t>
      </w:r>
      <w:r w:rsidR="000B6C23" w:rsidRPr="00E86A8F">
        <w:rPr>
          <w:rStyle w:val="FootnoteReference"/>
          <w:rFonts w:asciiTheme="majorHAnsi" w:hAnsiTheme="majorHAnsi"/>
          <w:sz w:val="20"/>
          <w:szCs w:val="20"/>
          <w:lang w:val="es-VE"/>
        </w:rPr>
        <w:footnoteReference w:id="26"/>
      </w:r>
      <w:r w:rsidR="000B6C23" w:rsidRPr="00E86A8F">
        <w:rPr>
          <w:rFonts w:asciiTheme="majorHAnsi" w:hAnsiTheme="majorHAnsi"/>
          <w:sz w:val="20"/>
          <w:szCs w:val="20"/>
          <w:lang w:val="es-VE"/>
        </w:rPr>
        <w:t xml:space="preserve">. De igual manera, </w:t>
      </w:r>
      <w:r w:rsidR="00066593" w:rsidRPr="00E86A8F">
        <w:rPr>
          <w:rFonts w:asciiTheme="majorHAnsi" w:hAnsiTheme="majorHAnsi"/>
          <w:sz w:val="20"/>
          <w:szCs w:val="20"/>
          <w:lang w:val="es-VE"/>
        </w:rPr>
        <w:t xml:space="preserve">distintos medios de prensa informaron que </w:t>
      </w:r>
      <w:r w:rsidR="000B6C23" w:rsidRPr="00E86A8F">
        <w:rPr>
          <w:rFonts w:asciiTheme="majorHAnsi" w:hAnsiTheme="majorHAnsi"/>
          <w:sz w:val="20"/>
          <w:szCs w:val="20"/>
          <w:lang w:val="es-VE"/>
        </w:rPr>
        <w:t xml:space="preserve">el </w:t>
      </w:r>
      <w:r w:rsidR="00C7029D" w:rsidRPr="00E86A8F">
        <w:rPr>
          <w:rFonts w:asciiTheme="majorHAnsi" w:hAnsiTheme="majorHAnsi"/>
          <w:sz w:val="20"/>
          <w:szCs w:val="20"/>
          <w:lang w:val="es-VE"/>
        </w:rPr>
        <w:t>s</w:t>
      </w:r>
      <w:r w:rsidR="000B6C23" w:rsidRPr="00E86A8F">
        <w:rPr>
          <w:rFonts w:asciiTheme="majorHAnsi" w:hAnsiTheme="majorHAnsi"/>
          <w:sz w:val="20"/>
          <w:szCs w:val="20"/>
          <w:lang w:val="es-VE"/>
        </w:rPr>
        <w:t>enador negó haber ejercido presiones ante autoridad</w:t>
      </w:r>
      <w:r w:rsidR="00312A46" w:rsidRPr="00E86A8F">
        <w:rPr>
          <w:rFonts w:asciiTheme="majorHAnsi" w:hAnsiTheme="majorHAnsi"/>
          <w:sz w:val="20"/>
          <w:szCs w:val="20"/>
          <w:lang w:val="es-VE"/>
        </w:rPr>
        <w:t>es</w:t>
      </w:r>
      <w:r w:rsidR="000B6C23" w:rsidRPr="00E86A8F">
        <w:rPr>
          <w:rFonts w:asciiTheme="majorHAnsi" w:hAnsiTheme="majorHAnsi"/>
          <w:sz w:val="20"/>
          <w:szCs w:val="20"/>
          <w:lang w:val="es-VE"/>
        </w:rPr>
        <w:t xml:space="preserve"> estatal</w:t>
      </w:r>
      <w:r w:rsidR="00312A46" w:rsidRPr="00E86A8F">
        <w:rPr>
          <w:rFonts w:asciiTheme="majorHAnsi" w:hAnsiTheme="majorHAnsi"/>
          <w:sz w:val="20"/>
          <w:szCs w:val="20"/>
          <w:lang w:val="es-VE"/>
        </w:rPr>
        <w:t>es</w:t>
      </w:r>
      <w:r w:rsidR="00443CD8" w:rsidRPr="00E86A8F">
        <w:rPr>
          <w:rFonts w:asciiTheme="majorHAnsi" w:hAnsiTheme="majorHAnsi"/>
          <w:sz w:val="20"/>
          <w:szCs w:val="20"/>
          <w:lang w:val="es-VE"/>
        </w:rPr>
        <w:t>, inform</w:t>
      </w:r>
      <w:r w:rsidR="00392072" w:rsidRPr="00E86A8F">
        <w:rPr>
          <w:rFonts w:asciiTheme="majorHAnsi" w:hAnsiTheme="majorHAnsi"/>
          <w:sz w:val="20"/>
          <w:szCs w:val="20"/>
          <w:lang w:val="es-VE"/>
        </w:rPr>
        <w:t xml:space="preserve">ó </w:t>
      </w:r>
      <w:r w:rsidR="00443CD8" w:rsidRPr="00E86A8F">
        <w:rPr>
          <w:rFonts w:asciiTheme="majorHAnsi" w:hAnsiTheme="majorHAnsi"/>
          <w:sz w:val="20"/>
          <w:szCs w:val="20"/>
          <w:lang w:val="es-VE"/>
        </w:rPr>
        <w:t xml:space="preserve">sobre su </w:t>
      </w:r>
      <w:r w:rsidR="00392072" w:rsidRPr="00E86A8F">
        <w:rPr>
          <w:rFonts w:asciiTheme="majorHAnsi" w:hAnsiTheme="majorHAnsi"/>
          <w:sz w:val="20"/>
          <w:szCs w:val="20"/>
          <w:lang w:val="es-VE"/>
        </w:rPr>
        <w:t xml:space="preserve">intención de presentar una querella y manifestó que </w:t>
      </w:r>
      <w:r w:rsidR="008602A4" w:rsidRPr="00E86A8F">
        <w:rPr>
          <w:rFonts w:asciiTheme="majorHAnsi" w:hAnsiTheme="majorHAnsi"/>
          <w:sz w:val="20"/>
          <w:szCs w:val="20"/>
          <w:lang w:val="es-VE"/>
        </w:rPr>
        <w:t>la intención de las afirmaciones vertidas en su contra era crear una negativa del Estado y de la CONAF con respecto a la protección del alerce</w:t>
      </w:r>
      <w:r w:rsidR="008602A4" w:rsidRPr="00E86A8F">
        <w:rPr>
          <w:rStyle w:val="FootnoteReference"/>
          <w:rFonts w:asciiTheme="majorHAnsi" w:hAnsiTheme="majorHAnsi"/>
          <w:sz w:val="20"/>
          <w:szCs w:val="20"/>
          <w:lang w:val="es-VE"/>
        </w:rPr>
        <w:footnoteReference w:id="27"/>
      </w:r>
      <w:r w:rsidR="00312A46" w:rsidRPr="00E86A8F">
        <w:rPr>
          <w:rFonts w:asciiTheme="majorHAnsi" w:hAnsiTheme="majorHAnsi"/>
          <w:sz w:val="20"/>
          <w:szCs w:val="20"/>
          <w:lang w:val="es-VE"/>
        </w:rPr>
        <w:t>.</w:t>
      </w:r>
    </w:p>
    <w:p w14:paraId="4A2C6636" w14:textId="77777777" w:rsidR="001A6158" w:rsidRPr="00E86A8F" w:rsidRDefault="001A6158"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41402EDB" w14:textId="03D01A82" w:rsidR="00312A46" w:rsidRPr="00E86A8F" w:rsidRDefault="009F5AAC" w:rsidP="00073BB6">
      <w:pPr>
        <w:pStyle w:val="Heading2"/>
        <w:keepNext w:val="0"/>
        <w:tabs>
          <w:tab w:val="clear" w:pos="1418"/>
        </w:tabs>
        <w:ind w:left="0" w:firstLine="0"/>
        <w:jc w:val="both"/>
        <w:rPr>
          <w:rFonts w:asciiTheme="majorHAnsi" w:hAnsiTheme="majorHAnsi"/>
        </w:rPr>
      </w:pPr>
      <w:bookmarkStart w:id="16" w:name="_Toc6937376"/>
      <w:bookmarkStart w:id="17" w:name="_Toc11073104"/>
      <w:r w:rsidRPr="00E86A8F">
        <w:rPr>
          <w:rFonts w:asciiTheme="majorHAnsi" w:hAnsiTheme="majorHAnsi"/>
        </w:rPr>
        <w:t xml:space="preserve">Proceso penal por </w:t>
      </w:r>
      <w:r w:rsidR="00BF558B" w:rsidRPr="00E86A8F">
        <w:rPr>
          <w:rFonts w:asciiTheme="majorHAnsi" w:hAnsiTheme="majorHAnsi"/>
        </w:rPr>
        <w:t>calumnia e injurias graves en contra de</w:t>
      </w:r>
      <w:r w:rsidR="00312A46" w:rsidRPr="00E86A8F">
        <w:rPr>
          <w:rFonts w:asciiTheme="majorHAnsi" w:hAnsiTheme="majorHAnsi"/>
        </w:rPr>
        <w:t xml:space="preserve"> Carlos</w:t>
      </w:r>
      <w:r w:rsidR="00BF558B" w:rsidRPr="00E86A8F">
        <w:rPr>
          <w:rFonts w:asciiTheme="majorHAnsi" w:hAnsiTheme="majorHAnsi"/>
        </w:rPr>
        <w:t xml:space="preserve"> Baraona </w:t>
      </w:r>
      <w:r w:rsidR="000954EE" w:rsidRPr="00E86A8F">
        <w:rPr>
          <w:rFonts w:asciiTheme="majorHAnsi" w:hAnsiTheme="majorHAnsi"/>
        </w:rPr>
        <w:t>Bray</w:t>
      </w:r>
      <w:bookmarkEnd w:id="16"/>
      <w:bookmarkEnd w:id="17"/>
    </w:p>
    <w:p w14:paraId="0E1C4934" w14:textId="77777777" w:rsidR="00592B4D" w:rsidRPr="00E86A8F" w:rsidRDefault="00592B4D" w:rsidP="00073BB6">
      <w:pPr>
        <w:jc w:val="both"/>
        <w:rPr>
          <w:rFonts w:asciiTheme="majorHAnsi" w:hAnsiTheme="majorHAnsi"/>
          <w:sz w:val="20"/>
          <w:szCs w:val="20"/>
          <w:lang w:val="es-ES_tradnl"/>
        </w:rPr>
      </w:pPr>
    </w:p>
    <w:p w14:paraId="6859E8E1" w14:textId="6C539E54" w:rsidR="00BF558B" w:rsidRPr="00E86A8F" w:rsidRDefault="00BF558B" w:rsidP="00073BB6">
      <w:pPr>
        <w:pStyle w:val="Heading3"/>
        <w:keepNext w:val="0"/>
        <w:spacing w:before="0" w:after="0"/>
        <w:ind w:left="0" w:firstLine="0"/>
      </w:pPr>
      <w:bookmarkStart w:id="18" w:name="_Toc6937377"/>
      <w:bookmarkStart w:id="19" w:name="_Toc11073105"/>
      <w:r w:rsidRPr="00E86A8F">
        <w:t xml:space="preserve">Sentencia </w:t>
      </w:r>
      <w:r w:rsidR="003C77D1" w:rsidRPr="00E86A8F">
        <w:t>de primera instancia del</w:t>
      </w:r>
      <w:r w:rsidRPr="00E86A8F">
        <w:t xml:space="preserve"> Juzgado </w:t>
      </w:r>
      <w:r w:rsidR="003C77D1" w:rsidRPr="00E86A8F">
        <w:t>de Garantía de Puerto Montt</w:t>
      </w:r>
      <w:bookmarkEnd w:id="18"/>
      <w:bookmarkEnd w:id="19"/>
    </w:p>
    <w:p w14:paraId="5EEDE411" w14:textId="77777777" w:rsidR="004E0BA6" w:rsidRPr="00E86A8F" w:rsidRDefault="004E0BA6" w:rsidP="00073BB6">
      <w:pPr>
        <w:jc w:val="both"/>
        <w:rPr>
          <w:rFonts w:asciiTheme="majorHAnsi" w:hAnsiTheme="majorHAnsi"/>
          <w:sz w:val="20"/>
          <w:szCs w:val="20"/>
          <w:lang w:val="es-ES_tradnl"/>
        </w:rPr>
      </w:pPr>
    </w:p>
    <w:p w14:paraId="1BE81E10" w14:textId="44944AE5" w:rsidR="003C77D1" w:rsidRPr="00E86A8F" w:rsidRDefault="003C77D1"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El 14 de mayo de 2004 el </w:t>
      </w:r>
      <w:r w:rsidR="00486700" w:rsidRPr="00E86A8F">
        <w:rPr>
          <w:rFonts w:asciiTheme="majorHAnsi" w:hAnsiTheme="majorHAnsi"/>
          <w:sz w:val="20"/>
          <w:szCs w:val="20"/>
          <w:lang w:val="es-VE"/>
        </w:rPr>
        <w:t>senador</w:t>
      </w:r>
      <w:r w:rsidRPr="00E86A8F">
        <w:rPr>
          <w:rFonts w:asciiTheme="majorHAnsi" w:hAnsiTheme="majorHAnsi"/>
          <w:sz w:val="20"/>
          <w:szCs w:val="20"/>
          <w:lang w:val="es-VE"/>
        </w:rPr>
        <w:t xml:space="preserve"> Sergio Páez Verdugo presentó una querella penal contra Carlos Baraona </w:t>
      </w:r>
      <w:r w:rsidR="000954EE" w:rsidRPr="00E86A8F">
        <w:rPr>
          <w:rFonts w:asciiTheme="majorHAnsi" w:hAnsiTheme="majorHAnsi"/>
          <w:sz w:val="20"/>
          <w:szCs w:val="20"/>
          <w:lang w:val="es-VE"/>
        </w:rPr>
        <w:t>Bray</w:t>
      </w:r>
      <w:r w:rsidRPr="00E86A8F">
        <w:rPr>
          <w:rFonts w:asciiTheme="majorHAnsi" w:hAnsiTheme="majorHAnsi"/>
          <w:sz w:val="20"/>
          <w:szCs w:val="20"/>
          <w:lang w:val="es-VE"/>
        </w:rPr>
        <w:t xml:space="preserve"> por la comisión de los delitos de calumnia e injurias graves con publicidad, recogidos en los artículos 412 y siguientes, 416 y siguientes, y 423 del Código Penal, debido a las diversas declaraciones vertidas en los medios de comunicación citados </w:t>
      </w:r>
      <w:r w:rsidRPr="00E86A8F">
        <w:rPr>
          <w:rFonts w:asciiTheme="majorHAnsi" w:hAnsiTheme="majorHAnsi"/>
          <w:i/>
          <w:sz w:val="20"/>
          <w:szCs w:val="20"/>
          <w:lang w:val="es-VE"/>
        </w:rPr>
        <w:t>ut supra</w:t>
      </w:r>
      <w:r w:rsidRPr="00E86A8F">
        <w:rPr>
          <w:rFonts w:asciiTheme="majorHAnsi" w:hAnsiTheme="majorHAnsi"/>
          <w:sz w:val="20"/>
          <w:szCs w:val="20"/>
          <w:lang w:val="es-VE"/>
        </w:rPr>
        <w:t>. La querella penal fue ampliada el 24 de mayo de 2004. Asimismo, la querella invocó la agravante del artículo 12 No. 13 del Código Penal, ya que las expresiones injuriosas además de estar “dirigidas para desacreditar y deshonrar a la víctima, [fueron] hechas en desprecio y con ofensa de la autoridad pública de que est</w:t>
      </w:r>
      <w:r w:rsidR="00F40930" w:rsidRPr="00E86A8F">
        <w:rPr>
          <w:rFonts w:asciiTheme="majorHAnsi" w:hAnsiTheme="majorHAnsi"/>
          <w:sz w:val="20"/>
          <w:szCs w:val="20"/>
          <w:lang w:val="es-VE"/>
        </w:rPr>
        <w:t xml:space="preserve">[aba] </w:t>
      </w:r>
      <w:r w:rsidRPr="00E86A8F">
        <w:rPr>
          <w:rFonts w:asciiTheme="majorHAnsi" w:hAnsiTheme="majorHAnsi"/>
          <w:sz w:val="20"/>
          <w:szCs w:val="20"/>
          <w:lang w:val="es-VE"/>
        </w:rPr>
        <w:t>investida el [</w:t>
      </w:r>
      <w:r w:rsidR="00486700" w:rsidRPr="00E86A8F">
        <w:rPr>
          <w:rFonts w:asciiTheme="majorHAnsi" w:hAnsiTheme="majorHAnsi"/>
          <w:sz w:val="20"/>
          <w:szCs w:val="20"/>
          <w:lang w:val="es-VE"/>
        </w:rPr>
        <w:t>senador</w:t>
      </w:r>
      <w:r w:rsidRPr="00E86A8F">
        <w:rPr>
          <w:rFonts w:asciiTheme="majorHAnsi" w:hAnsiTheme="majorHAnsi"/>
          <w:sz w:val="20"/>
          <w:szCs w:val="20"/>
          <w:lang w:val="es-VE"/>
        </w:rPr>
        <w:t>]”</w:t>
      </w:r>
      <w:r w:rsidRPr="00E86A8F">
        <w:rPr>
          <w:rStyle w:val="FootnoteReference"/>
          <w:rFonts w:asciiTheme="majorHAnsi" w:hAnsiTheme="majorHAnsi"/>
          <w:sz w:val="20"/>
          <w:szCs w:val="20"/>
          <w:lang w:val="es-VE"/>
        </w:rPr>
        <w:footnoteReference w:id="28"/>
      </w:r>
      <w:r w:rsidRPr="00E86A8F">
        <w:rPr>
          <w:rFonts w:asciiTheme="majorHAnsi" w:hAnsiTheme="majorHAnsi"/>
          <w:sz w:val="20"/>
          <w:szCs w:val="20"/>
          <w:lang w:val="es-VE"/>
        </w:rPr>
        <w:t>.</w:t>
      </w:r>
    </w:p>
    <w:p w14:paraId="08F69AD3" w14:textId="77777777" w:rsidR="004E0BA6" w:rsidRPr="00E86A8F" w:rsidRDefault="004E0BA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8969AE8" w14:textId="041BA3A9" w:rsidR="002900FF" w:rsidRPr="00E86A8F" w:rsidRDefault="002900FF"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La querella </w:t>
      </w:r>
      <w:r w:rsidR="006C2062" w:rsidRPr="00E86A8F">
        <w:rPr>
          <w:rFonts w:asciiTheme="majorHAnsi" w:hAnsiTheme="majorHAnsi"/>
          <w:sz w:val="20"/>
          <w:szCs w:val="20"/>
          <w:lang w:val="es-VE"/>
        </w:rPr>
        <w:t xml:space="preserve">señaló que las declaraciones de Baraona </w:t>
      </w:r>
      <w:r w:rsidR="000954EE" w:rsidRPr="00E86A8F">
        <w:rPr>
          <w:rFonts w:asciiTheme="majorHAnsi" w:hAnsiTheme="majorHAnsi"/>
          <w:sz w:val="20"/>
          <w:szCs w:val="20"/>
          <w:lang w:val="es-VE"/>
        </w:rPr>
        <w:t>Bray</w:t>
      </w:r>
      <w:r w:rsidR="006C2062" w:rsidRPr="00E86A8F">
        <w:rPr>
          <w:rFonts w:asciiTheme="majorHAnsi" w:hAnsiTheme="majorHAnsi"/>
          <w:sz w:val="20"/>
          <w:szCs w:val="20"/>
          <w:lang w:val="es-VE"/>
        </w:rPr>
        <w:t xml:space="preserve"> constituyeron </w:t>
      </w:r>
      <w:r w:rsidR="008D36CE" w:rsidRPr="00E86A8F">
        <w:rPr>
          <w:rFonts w:asciiTheme="majorHAnsi" w:hAnsiTheme="majorHAnsi"/>
          <w:sz w:val="20"/>
          <w:szCs w:val="20"/>
          <w:lang w:val="es-VE"/>
        </w:rPr>
        <w:t>“</w:t>
      </w:r>
      <w:r w:rsidR="006C2062" w:rsidRPr="00E86A8F">
        <w:rPr>
          <w:rFonts w:asciiTheme="majorHAnsi" w:hAnsiTheme="majorHAnsi"/>
          <w:sz w:val="20"/>
          <w:szCs w:val="20"/>
          <w:lang w:val="es-VE"/>
        </w:rPr>
        <w:t xml:space="preserve">una ofensa </w:t>
      </w:r>
      <w:r w:rsidR="008D36CE" w:rsidRPr="00E86A8F">
        <w:rPr>
          <w:rFonts w:asciiTheme="majorHAnsi" w:hAnsiTheme="majorHAnsi"/>
          <w:sz w:val="20"/>
          <w:szCs w:val="20"/>
          <w:lang w:val="es-VE"/>
        </w:rPr>
        <w:t>gratuita y con publicidad”</w:t>
      </w:r>
      <w:r w:rsidR="00C7029D" w:rsidRPr="00E86A8F">
        <w:rPr>
          <w:rFonts w:asciiTheme="majorHAnsi" w:hAnsiTheme="majorHAnsi"/>
          <w:sz w:val="20"/>
          <w:szCs w:val="20"/>
          <w:lang w:val="es-VE"/>
        </w:rPr>
        <w:t xml:space="preserve"> contra el s</w:t>
      </w:r>
      <w:r w:rsidR="00AD5792" w:rsidRPr="00E86A8F">
        <w:rPr>
          <w:rFonts w:asciiTheme="majorHAnsi" w:hAnsiTheme="majorHAnsi"/>
          <w:sz w:val="20"/>
          <w:szCs w:val="20"/>
          <w:lang w:val="es-VE"/>
        </w:rPr>
        <w:t xml:space="preserve">enador, dado que se trató de la imputación </w:t>
      </w:r>
      <w:r w:rsidR="00177A25" w:rsidRPr="00E86A8F">
        <w:rPr>
          <w:rFonts w:asciiTheme="majorHAnsi" w:hAnsiTheme="majorHAnsi"/>
          <w:sz w:val="20"/>
          <w:szCs w:val="20"/>
          <w:lang w:val="es-VE"/>
        </w:rPr>
        <w:t>de un vi</w:t>
      </w:r>
      <w:r w:rsidR="00D66C0D" w:rsidRPr="00E86A8F">
        <w:rPr>
          <w:rFonts w:asciiTheme="majorHAnsi" w:hAnsiTheme="majorHAnsi"/>
          <w:sz w:val="20"/>
          <w:szCs w:val="20"/>
          <w:lang w:val="es-VE"/>
        </w:rPr>
        <w:t>cio</w:t>
      </w:r>
      <w:r w:rsidR="00177A25" w:rsidRPr="00E86A8F">
        <w:rPr>
          <w:rFonts w:asciiTheme="majorHAnsi" w:hAnsiTheme="majorHAnsi"/>
          <w:sz w:val="20"/>
          <w:szCs w:val="20"/>
          <w:lang w:val="es-VE"/>
        </w:rPr>
        <w:t xml:space="preserve"> o falta de moralidad que perjudicaron la fama, crédito, imagen e intereses del señor Páez Verdugo</w:t>
      </w:r>
      <w:r w:rsidR="000A5602" w:rsidRPr="00E86A8F">
        <w:rPr>
          <w:rFonts w:asciiTheme="majorHAnsi" w:hAnsiTheme="majorHAnsi"/>
          <w:sz w:val="20"/>
          <w:szCs w:val="20"/>
          <w:lang w:val="es-VE"/>
        </w:rPr>
        <w:t xml:space="preserve">, las </w:t>
      </w:r>
      <w:r w:rsidR="007B66A4" w:rsidRPr="00E86A8F">
        <w:rPr>
          <w:rFonts w:asciiTheme="majorHAnsi" w:hAnsiTheme="majorHAnsi"/>
          <w:sz w:val="20"/>
          <w:szCs w:val="20"/>
          <w:lang w:val="es-VE"/>
        </w:rPr>
        <w:t>cuales,</w:t>
      </w:r>
      <w:r w:rsidR="000A5602" w:rsidRPr="00E86A8F">
        <w:rPr>
          <w:rFonts w:asciiTheme="majorHAnsi" w:hAnsiTheme="majorHAnsi"/>
          <w:sz w:val="20"/>
          <w:szCs w:val="20"/>
          <w:lang w:val="es-VE"/>
        </w:rPr>
        <w:t xml:space="preserve"> además, </w:t>
      </w:r>
      <w:r w:rsidR="007D29F5" w:rsidRPr="00E86A8F">
        <w:rPr>
          <w:rFonts w:asciiTheme="majorHAnsi" w:hAnsiTheme="majorHAnsi"/>
          <w:sz w:val="20"/>
          <w:szCs w:val="20"/>
          <w:lang w:val="es-VE"/>
        </w:rPr>
        <w:t xml:space="preserve">se tenían en el concepto público como afrentosas </w:t>
      </w:r>
      <w:r w:rsidR="0003659C" w:rsidRPr="00E86A8F">
        <w:rPr>
          <w:rFonts w:asciiTheme="majorHAnsi" w:hAnsiTheme="majorHAnsi"/>
          <w:sz w:val="20"/>
          <w:szCs w:val="20"/>
          <w:lang w:val="es-VE"/>
        </w:rPr>
        <w:t xml:space="preserve">y </w:t>
      </w:r>
      <w:r w:rsidR="000A5602" w:rsidRPr="00E86A8F">
        <w:rPr>
          <w:rFonts w:asciiTheme="majorHAnsi" w:hAnsiTheme="majorHAnsi"/>
          <w:sz w:val="20"/>
          <w:szCs w:val="20"/>
          <w:lang w:val="es-VE"/>
        </w:rPr>
        <w:t>debían ser calificadas como graves</w:t>
      </w:r>
      <w:r w:rsidR="0003659C" w:rsidRPr="00E86A8F">
        <w:rPr>
          <w:rFonts w:asciiTheme="majorHAnsi" w:hAnsiTheme="majorHAnsi"/>
          <w:sz w:val="20"/>
          <w:szCs w:val="20"/>
          <w:lang w:val="es-VE"/>
        </w:rPr>
        <w:t>, atendiendo a la dignidad y circunstancias del ofendido y del ofensor.</w:t>
      </w:r>
      <w:r w:rsidR="006372F7" w:rsidRPr="00E86A8F">
        <w:rPr>
          <w:rFonts w:asciiTheme="majorHAnsi" w:hAnsiTheme="majorHAnsi"/>
          <w:sz w:val="20"/>
          <w:szCs w:val="20"/>
          <w:lang w:val="es-VE"/>
        </w:rPr>
        <w:t xml:space="preserve"> Sergio Páez declaró que las afirmaciones de Barona no eran una crítica política, </w:t>
      </w:r>
      <w:r w:rsidR="00AB191E" w:rsidRPr="00E86A8F">
        <w:rPr>
          <w:rFonts w:asciiTheme="majorHAnsi" w:hAnsiTheme="majorHAnsi"/>
          <w:sz w:val="20"/>
          <w:szCs w:val="20"/>
          <w:lang w:val="es-VE"/>
        </w:rPr>
        <w:t>y</w:t>
      </w:r>
      <w:r w:rsidR="005626DD" w:rsidRPr="00E86A8F">
        <w:rPr>
          <w:rFonts w:asciiTheme="majorHAnsi" w:hAnsiTheme="majorHAnsi"/>
          <w:sz w:val="20"/>
          <w:szCs w:val="20"/>
          <w:lang w:val="es-VE"/>
        </w:rPr>
        <w:t xml:space="preserve"> negó </w:t>
      </w:r>
      <w:r w:rsidR="00657279" w:rsidRPr="00E86A8F">
        <w:rPr>
          <w:rFonts w:asciiTheme="majorHAnsi" w:hAnsiTheme="majorHAnsi"/>
          <w:sz w:val="20"/>
          <w:szCs w:val="20"/>
          <w:lang w:val="es-VE"/>
        </w:rPr>
        <w:t>haber presionado o intervenido para planes de manejo</w:t>
      </w:r>
      <w:r w:rsidR="00EA2778" w:rsidRPr="00E86A8F">
        <w:rPr>
          <w:rFonts w:asciiTheme="majorHAnsi" w:hAnsiTheme="majorHAnsi"/>
          <w:sz w:val="20"/>
          <w:szCs w:val="20"/>
          <w:lang w:val="es-VE"/>
        </w:rPr>
        <w:t xml:space="preserve"> o </w:t>
      </w:r>
      <w:r w:rsidR="00A01348" w:rsidRPr="00E86A8F">
        <w:rPr>
          <w:rFonts w:asciiTheme="majorHAnsi" w:hAnsiTheme="majorHAnsi"/>
          <w:sz w:val="20"/>
          <w:szCs w:val="20"/>
          <w:lang w:val="es-VE"/>
        </w:rPr>
        <w:t>el tema del alerce, de lo cual no se t</w:t>
      </w:r>
      <w:r w:rsidR="00A64053" w:rsidRPr="00E86A8F">
        <w:rPr>
          <w:rFonts w:asciiTheme="majorHAnsi" w:hAnsiTheme="majorHAnsi"/>
          <w:sz w:val="20"/>
          <w:szCs w:val="20"/>
          <w:lang w:val="es-VE"/>
        </w:rPr>
        <w:t>en</w:t>
      </w:r>
      <w:r w:rsidR="00A64053" w:rsidRPr="00E86A8F">
        <w:rPr>
          <w:rFonts w:asciiTheme="majorHAnsi" w:hAnsiTheme="majorHAnsi"/>
          <w:sz w:val="20"/>
          <w:szCs w:val="20"/>
          <w:lang w:val="es-PE"/>
        </w:rPr>
        <w:t>ía</w:t>
      </w:r>
      <w:r w:rsidR="00A01348" w:rsidRPr="00E86A8F">
        <w:rPr>
          <w:rFonts w:asciiTheme="majorHAnsi" w:hAnsiTheme="majorHAnsi"/>
          <w:sz w:val="20"/>
          <w:szCs w:val="20"/>
          <w:lang w:val="es-VE"/>
        </w:rPr>
        <w:t xml:space="preserve"> prueba alguna. El </w:t>
      </w:r>
      <w:r w:rsidR="00486700" w:rsidRPr="00E86A8F">
        <w:rPr>
          <w:rFonts w:asciiTheme="majorHAnsi" w:hAnsiTheme="majorHAnsi"/>
          <w:sz w:val="20"/>
          <w:szCs w:val="20"/>
          <w:lang w:val="es-VE"/>
        </w:rPr>
        <w:t>senador</w:t>
      </w:r>
      <w:r w:rsidR="00A01348" w:rsidRPr="00E86A8F">
        <w:rPr>
          <w:rFonts w:asciiTheme="majorHAnsi" w:hAnsiTheme="majorHAnsi"/>
          <w:sz w:val="20"/>
          <w:szCs w:val="20"/>
          <w:lang w:val="es-VE"/>
        </w:rPr>
        <w:t xml:space="preserve"> Páez declaró que las afirmaciones vertidas en la prensa</w:t>
      </w:r>
      <w:r w:rsidR="00AB191E" w:rsidRPr="00E86A8F">
        <w:rPr>
          <w:rFonts w:asciiTheme="majorHAnsi" w:hAnsiTheme="majorHAnsi"/>
          <w:sz w:val="20"/>
          <w:szCs w:val="20"/>
          <w:lang w:val="es-VE"/>
        </w:rPr>
        <w:t xml:space="preserve"> </w:t>
      </w:r>
      <w:r w:rsidR="00FC284B" w:rsidRPr="00E86A8F">
        <w:rPr>
          <w:rFonts w:asciiTheme="majorHAnsi" w:hAnsiTheme="majorHAnsi"/>
          <w:sz w:val="20"/>
          <w:szCs w:val="20"/>
          <w:lang w:val="es-VE"/>
        </w:rPr>
        <w:t xml:space="preserve">afectaron su honor, el de su familia y sus 40 años de vida pública, no solo en Chile sino también el extranjero, </w:t>
      </w:r>
      <w:r w:rsidR="003A64BD" w:rsidRPr="00E86A8F">
        <w:rPr>
          <w:rFonts w:asciiTheme="majorHAnsi" w:hAnsiTheme="majorHAnsi"/>
          <w:sz w:val="20"/>
          <w:szCs w:val="20"/>
          <w:lang w:val="es-VE"/>
        </w:rPr>
        <w:t>ya que presidía la Unión de Parlamentos del Mundo</w:t>
      </w:r>
      <w:r w:rsidR="004C14CC" w:rsidRPr="00E86A8F">
        <w:rPr>
          <w:rStyle w:val="FootnoteReference"/>
          <w:rFonts w:asciiTheme="majorHAnsi" w:hAnsiTheme="majorHAnsi"/>
          <w:sz w:val="20"/>
          <w:szCs w:val="20"/>
          <w:lang w:val="es-VE"/>
        </w:rPr>
        <w:footnoteReference w:id="29"/>
      </w:r>
      <w:r w:rsidR="003A64BD" w:rsidRPr="00E86A8F">
        <w:rPr>
          <w:rFonts w:asciiTheme="majorHAnsi" w:hAnsiTheme="majorHAnsi"/>
          <w:sz w:val="20"/>
          <w:szCs w:val="20"/>
          <w:lang w:val="es-VE"/>
        </w:rPr>
        <w:t>.</w:t>
      </w:r>
      <w:r w:rsidR="006372F7" w:rsidRPr="00E86A8F">
        <w:rPr>
          <w:rFonts w:asciiTheme="majorHAnsi" w:hAnsiTheme="majorHAnsi"/>
          <w:sz w:val="20"/>
          <w:szCs w:val="20"/>
          <w:lang w:val="es-VE"/>
        </w:rPr>
        <w:t xml:space="preserve"> </w:t>
      </w:r>
    </w:p>
    <w:p w14:paraId="24D5C39F" w14:textId="77777777" w:rsidR="005B408F" w:rsidRPr="00E86A8F" w:rsidRDefault="005B408F" w:rsidP="00073BB6">
      <w:pPr>
        <w:pStyle w:val="ListParagraph"/>
        <w:ind w:left="0"/>
        <w:jc w:val="both"/>
        <w:rPr>
          <w:rFonts w:asciiTheme="majorHAnsi" w:hAnsiTheme="majorHAnsi"/>
          <w:sz w:val="20"/>
          <w:szCs w:val="20"/>
          <w:lang w:val="es-ES_tradnl"/>
        </w:rPr>
      </w:pPr>
    </w:p>
    <w:p w14:paraId="7D4D79F6" w14:textId="21265EB2" w:rsidR="00076AE3" w:rsidRPr="00E86A8F" w:rsidRDefault="00664CD5"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La </w:t>
      </w:r>
      <w:r w:rsidR="00E73FE5" w:rsidRPr="00E86A8F">
        <w:rPr>
          <w:rFonts w:asciiTheme="majorHAnsi" w:hAnsiTheme="majorHAnsi"/>
          <w:sz w:val="20"/>
          <w:szCs w:val="20"/>
          <w:lang w:val="es-VE"/>
        </w:rPr>
        <w:t xml:space="preserve">defensa del señor Baraona </w:t>
      </w:r>
      <w:r w:rsidR="00483492" w:rsidRPr="00E86A8F">
        <w:rPr>
          <w:rFonts w:asciiTheme="majorHAnsi" w:hAnsiTheme="majorHAnsi"/>
          <w:sz w:val="20"/>
          <w:szCs w:val="20"/>
          <w:lang w:val="es-VE"/>
        </w:rPr>
        <w:t xml:space="preserve">se basó en </w:t>
      </w:r>
      <w:r w:rsidR="009253DD" w:rsidRPr="00E86A8F">
        <w:rPr>
          <w:rFonts w:asciiTheme="majorHAnsi" w:hAnsiTheme="majorHAnsi"/>
          <w:sz w:val="20"/>
          <w:szCs w:val="20"/>
          <w:lang w:val="es-VE"/>
        </w:rPr>
        <w:t xml:space="preserve">que este </w:t>
      </w:r>
      <w:r w:rsidR="008F1107" w:rsidRPr="00E86A8F">
        <w:rPr>
          <w:rFonts w:asciiTheme="majorHAnsi" w:hAnsiTheme="majorHAnsi"/>
          <w:sz w:val="20"/>
          <w:szCs w:val="20"/>
          <w:lang w:val="es-VE"/>
        </w:rPr>
        <w:t xml:space="preserve">actuó en el ejercicio legítimo de un derecho, conforme al artículo 10 No. 10 del Código Penal, </w:t>
      </w:r>
      <w:r w:rsidR="00C076F4" w:rsidRPr="00E86A8F">
        <w:rPr>
          <w:rFonts w:asciiTheme="majorHAnsi" w:hAnsiTheme="majorHAnsi"/>
          <w:sz w:val="20"/>
          <w:szCs w:val="20"/>
          <w:lang w:val="es-VE"/>
        </w:rPr>
        <w:t xml:space="preserve">al ejercer su derecho a </w:t>
      </w:r>
      <w:r w:rsidR="00505D50" w:rsidRPr="00E86A8F">
        <w:rPr>
          <w:rFonts w:asciiTheme="majorHAnsi" w:hAnsiTheme="majorHAnsi"/>
          <w:sz w:val="20"/>
          <w:szCs w:val="20"/>
          <w:lang w:val="es-VE"/>
        </w:rPr>
        <w:t>la libertad de opinar e informar sin censura previa, por cualquier forma y por cualquier medio</w:t>
      </w:r>
      <w:r w:rsidR="00FD44E9" w:rsidRPr="00E86A8F">
        <w:rPr>
          <w:rFonts w:asciiTheme="majorHAnsi" w:hAnsiTheme="majorHAnsi"/>
          <w:sz w:val="20"/>
          <w:szCs w:val="20"/>
          <w:lang w:val="es-VE"/>
        </w:rPr>
        <w:t xml:space="preserve">, derecho </w:t>
      </w:r>
      <w:r w:rsidR="006E0B4C" w:rsidRPr="00E86A8F">
        <w:rPr>
          <w:rFonts w:asciiTheme="majorHAnsi" w:hAnsiTheme="majorHAnsi"/>
          <w:sz w:val="20"/>
          <w:szCs w:val="20"/>
          <w:lang w:val="es-VE"/>
        </w:rPr>
        <w:t xml:space="preserve">reconocido en el artículo 19 </w:t>
      </w:r>
      <w:r w:rsidR="00A77DC3" w:rsidRPr="00E86A8F">
        <w:rPr>
          <w:rFonts w:asciiTheme="majorHAnsi" w:hAnsiTheme="majorHAnsi"/>
          <w:sz w:val="20"/>
          <w:szCs w:val="20"/>
          <w:lang w:val="es-VE"/>
        </w:rPr>
        <w:t>No. 12 de la Constitución chilena</w:t>
      </w:r>
      <w:r w:rsidR="00FD44E9" w:rsidRPr="00E86A8F">
        <w:rPr>
          <w:rFonts w:asciiTheme="majorHAnsi" w:hAnsiTheme="majorHAnsi"/>
          <w:sz w:val="20"/>
          <w:szCs w:val="20"/>
          <w:lang w:val="es-VE"/>
        </w:rPr>
        <w:t xml:space="preserve">. La defensa destacó que el señor Baraona efectuó una crítica política o una crítica a la gestión de </w:t>
      </w:r>
      <w:r w:rsidR="00505D50" w:rsidRPr="00E86A8F">
        <w:rPr>
          <w:rFonts w:asciiTheme="majorHAnsi" w:hAnsiTheme="majorHAnsi"/>
          <w:sz w:val="20"/>
          <w:szCs w:val="20"/>
          <w:lang w:val="es-VE"/>
        </w:rPr>
        <w:t>una figura pública</w:t>
      </w:r>
      <w:r w:rsidR="0083241C" w:rsidRPr="00E86A8F">
        <w:rPr>
          <w:rFonts w:asciiTheme="majorHAnsi" w:hAnsiTheme="majorHAnsi"/>
          <w:sz w:val="20"/>
          <w:szCs w:val="20"/>
          <w:lang w:val="es-VE"/>
        </w:rPr>
        <w:t xml:space="preserve">, por lo que el derecho a opinar e informar </w:t>
      </w:r>
      <w:r w:rsidR="003E28BD" w:rsidRPr="00E86A8F">
        <w:rPr>
          <w:rFonts w:asciiTheme="majorHAnsi" w:hAnsiTheme="majorHAnsi"/>
          <w:sz w:val="20"/>
          <w:szCs w:val="20"/>
          <w:lang w:val="es-VE"/>
        </w:rPr>
        <w:t>deb</w:t>
      </w:r>
      <w:r w:rsidR="00D96D95" w:rsidRPr="00E86A8F">
        <w:rPr>
          <w:rFonts w:asciiTheme="majorHAnsi" w:hAnsiTheme="majorHAnsi"/>
          <w:sz w:val="20"/>
          <w:szCs w:val="20"/>
          <w:lang w:val="es-VE"/>
        </w:rPr>
        <w:t>ía</w:t>
      </w:r>
      <w:r w:rsidR="003E28BD" w:rsidRPr="00E86A8F">
        <w:rPr>
          <w:rFonts w:asciiTheme="majorHAnsi" w:hAnsiTheme="majorHAnsi"/>
          <w:sz w:val="20"/>
          <w:szCs w:val="20"/>
          <w:lang w:val="es-VE"/>
        </w:rPr>
        <w:t xml:space="preserve"> primar </w:t>
      </w:r>
      <w:r w:rsidR="00AE6988" w:rsidRPr="00E86A8F">
        <w:rPr>
          <w:rFonts w:asciiTheme="majorHAnsi" w:hAnsiTheme="majorHAnsi"/>
          <w:sz w:val="20"/>
          <w:szCs w:val="20"/>
          <w:lang w:val="es-VE"/>
        </w:rPr>
        <w:t>sobre el derecho al honor de un político, debido a que</w:t>
      </w:r>
      <w:r w:rsidR="00B824BD" w:rsidRPr="00E86A8F">
        <w:rPr>
          <w:rFonts w:asciiTheme="majorHAnsi" w:hAnsiTheme="majorHAnsi"/>
          <w:sz w:val="20"/>
          <w:szCs w:val="20"/>
          <w:lang w:val="es-VE"/>
        </w:rPr>
        <w:t xml:space="preserve">, </w:t>
      </w:r>
      <w:r w:rsidR="00C67AA8" w:rsidRPr="00E86A8F">
        <w:rPr>
          <w:rFonts w:asciiTheme="majorHAnsi" w:hAnsiTheme="majorHAnsi"/>
          <w:sz w:val="20"/>
          <w:szCs w:val="20"/>
          <w:lang w:val="es-VE"/>
        </w:rPr>
        <w:t xml:space="preserve">en </w:t>
      </w:r>
      <w:r w:rsidR="006E0B4C" w:rsidRPr="00E86A8F">
        <w:rPr>
          <w:rFonts w:asciiTheme="majorHAnsi" w:hAnsiTheme="majorHAnsi"/>
          <w:sz w:val="20"/>
          <w:szCs w:val="20"/>
          <w:lang w:val="es-VE"/>
        </w:rPr>
        <w:t xml:space="preserve">casos </w:t>
      </w:r>
      <w:r w:rsidR="00C67AA8" w:rsidRPr="00E86A8F">
        <w:rPr>
          <w:rFonts w:asciiTheme="majorHAnsi" w:hAnsiTheme="majorHAnsi"/>
          <w:sz w:val="20"/>
          <w:szCs w:val="20"/>
          <w:lang w:val="es-VE"/>
        </w:rPr>
        <w:t>como este, las personas expuestas a la opinión pública</w:t>
      </w:r>
      <w:r w:rsidR="006E0B4C" w:rsidRPr="00E86A8F">
        <w:rPr>
          <w:rFonts w:asciiTheme="majorHAnsi" w:hAnsiTheme="majorHAnsi"/>
          <w:sz w:val="20"/>
          <w:szCs w:val="20"/>
          <w:lang w:val="es-VE"/>
        </w:rPr>
        <w:t xml:space="preserve"> </w:t>
      </w:r>
      <w:r w:rsidR="00B824BD" w:rsidRPr="00E86A8F">
        <w:rPr>
          <w:rFonts w:asciiTheme="majorHAnsi" w:hAnsiTheme="majorHAnsi"/>
          <w:sz w:val="20"/>
          <w:szCs w:val="20"/>
          <w:lang w:val="es-VE"/>
        </w:rPr>
        <w:t>deb</w:t>
      </w:r>
      <w:r w:rsidR="00D96D95" w:rsidRPr="00E86A8F">
        <w:rPr>
          <w:rFonts w:asciiTheme="majorHAnsi" w:hAnsiTheme="majorHAnsi"/>
          <w:sz w:val="20"/>
          <w:szCs w:val="20"/>
          <w:lang w:val="es-VE"/>
        </w:rPr>
        <w:t>ía</w:t>
      </w:r>
      <w:r w:rsidR="00B824BD" w:rsidRPr="00E86A8F">
        <w:rPr>
          <w:rFonts w:asciiTheme="majorHAnsi" w:hAnsiTheme="majorHAnsi"/>
          <w:sz w:val="20"/>
          <w:szCs w:val="20"/>
          <w:lang w:val="es-VE"/>
        </w:rPr>
        <w:t>n</w:t>
      </w:r>
      <w:r w:rsidR="006E0B4C" w:rsidRPr="00E86A8F">
        <w:rPr>
          <w:rFonts w:asciiTheme="majorHAnsi" w:hAnsiTheme="majorHAnsi"/>
          <w:sz w:val="20"/>
          <w:szCs w:val="20"/>
          <w:lang w:val="es-VE"/>
        </w:rPr>
        <w:t xml:space="preserve"> ser más tolerante</w:t>
      </w:r>
      <w:r w:rsidR="00B824BD" w:rsidRPr="00E86A8F">
        <w:rPr>
          <w:rFonts w:asciiTheme="majorHAnsi" w:hAnsiTheme="majorHAnsi"/>
          <w:sz w:val="20"/>
          <w:szCs w:val="20"/>
          <w:lang w:val="es-VE"/>
        </w:rPr>
        <w:t>s</w:t>
      </w:r>
      <w:r w:rsidR="006E0B4C" w:rsidRPr="00E86A8F">
        <w:rPr>
          <w:rFonts w:asciiTheme="majorHAnsi" w:hAnsiTheme="majorHAnsi"/>
          <w:sz w:val="20"/>
          <w:szCs w:val="20"/>
          <w:lang w:val="es-VE"/>
        </w:rPr>
        <w:t xml:space="preserve"> a la crítica</w:t>
      </w:r>
      <w:r w:rsidR="0097374A" w:rsidRPr="00E86A8F">
        <w:rPr>
          <w:rStyle w:val="FootnoteReference"/>
          <w:rFonts w:asciiTheme="majorHAnsi" w:hAnsiTheme="majorHAnsi"/>
          <w:sz w:val="20"/>
          <w:szCs w:val="20"/>
          <w:lang w:val="es-VE"/>
        </w:rPr>
        <w:footnoteReference w:id="30"/>
      </w:r>
      <w:r w:rsidR="005B408F" w:rsidRPr="00E86A8F">
        <w:rPr>
          <w:rFonts w:asciiTheme="majorHAnsi" w:hAnsiTheme="majorHAnsi"/>
          <w:sz w:val="20"/>
          <w:szCs w:val="20"/>
          <w:lang w:val="es-VE"/>
        </w:rPr>
        <w:t>.</w:t>
      </w:r>
    </w:p>
    <w:p w14:paraId="6EC2B562" w14:textId="77777777" w:rsidR="005B408F" w:rsidRPr="00E86A8F" w:rsidRDefault="005B408F" w:rsidP="00073BB6">
      <w:pPr>
        <w:pStyle w:val="ListParagraph"/>
        <w:ind w:left="0"/>
        <w:jc w:val="both"/>
        <w:rPr>
          <w:rFonts w:asciiTheme="majorHAnsi" w:hAnsiTheme="majorHAnsi"/>
          <w:sz w:val="20"/>
          <w:szCs w:val="20"/>
          <w:lang w:val="es-ES_tradnl"/>
        </w:rPr>
      </w:pPr>
    </w:p>
    <w:p w14:paraId="184B63AC" w14:textId="5B23033A" w:rsidR="00E66E13" w:rsidRPr="00E86A8F" w:rsidRDefault="00AF59A9"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Conforme a las declaraciones ante el Juzgado de Garantía, </w:t>
      </w:r>
      <w:r w:rsidR="00A146BD" w:rsidRPr="00E86A8F">
        <w:rPr>
          <w:rFonts w:asciiTheme="majorHAnsi" w:hAnsiTheme="majorHAnsi"/>
          <w:sz w:val="20"/>
          <w:szCs w:val="20"/>
          <w:lang w:val="es-VE"/>
        </w:rPr>
        <w:t xml:space="preserve">durante </w:t>
      </w:r>
      <w:r w:rsidR="00D06555" w:rsidRPr="00E86A8F">
        <w:rPr>
          <w:rFonts w:asciiTheme="majorHAnsi" w:hAnsiTheme="majorHAnsi"/>
          <w:sz w:val="20"/>
          <w:szCs w:val="20"/>
          <w:lang w:val="es-VE"/>
        </w:rPr>
        <w:t>los días posteriores a</w:t>
      </w:r>
      <w:r w:rsidR="000B71AB" w:rsidRPr="00E86A8F">
        <w:rPr>
          <w:rFonts w:asciiTheme="majorHAnsi" w:hAnsiTheme="majorHAnsi"/>
          <w:sz w:val="20"/>
          <w:szCs w:val="20"/>
          <w:lang w:val="es-VE"/>
        </w:rPr>
        <w:t xml:space="preserve"> la detención </w:t>
      </w:r>
      <w:r w:rsidR="00B47C0B" w:rsidRPr="00E86A8F">
        <w:rPr>
          <w:rFonts w:asciiTheme="majorHAnsi" w:hAnsiTheme="majorHAnsi"/>
          <w:sz w:val="20"/>
          <w:szCs w:val="20"/>
          <w:lang w:val="es-VE"/>
        </w:rPr>
        <w:t xml:space="preserve">del Director de la CONAF, </w:t>
      </w:r>
      <w:r w:rsidR="00D17AFC" w:rsidRPr="00E86A8F">
        <w:rPr>
          <w:rFonts w:asciiTheme="majorHAnsi" w:hAnsiTheme="majorHAnsi"/>
          <w:sz w:val="20"/>
          <w:szCs w:val="20"/>
          <w:lang w:val="es-VE"/>
        </w:rPr>
        <w:t xml:space="preserve">se inició un debate </w:t>
      </w:r>
      <w:r w:rsidR="003577A3" w:rsidRPr="00E86A8F">
        <w:rPr>
          <w:rFonts w:asciiTheme="majorHAnsi" w:hAnsiTheme="majorHAnsi"/>
          <w:sz w:val="20"/>
          <w:szCs w:val="20"/>
          <w:lang w:val="es-VE"/>
        </w:rPr>
        <w:t xml:space="preserve">en </w:t>
      </w:r>
      <w:r w:rsidR="00566743" w:rsidRPr="00E86A8F">
        <w:rPr>
          <w:rFonts w:asciiTheme="majorHAnsi" w:hAnsiTheme="majorHAnsi"/>
          <w:sz w:val="20"/>
          <w:szCs w:val="20"/>
          <w:lang w:val="es-VE"/>
        </w:rPr>
        <w:t>los medios de comunicación</w:t>
      </w:r>
      <w:r w:rsidR="003577A3" w:rsidRPr="00E86A8F">
        <w:rPr>
          <w:rFonts w:asciiTheme="majorHAnsi" w:hAnsiTheme="majorHAnsi"/>
          <w:sz w:val="20"/>
          <w:szCs w:val="20"/>
          <w:lang w:val="es-VE"/>
        </w:rPr>
        <w:t xml:space="preserve"> sobre </w:t>
      </w:r>
      <w:r w:rsidR="00052E7C" w:rsidRPr="00E86A8F">
        <w:rPr>
          <w:rFonts w:asciiTheme="majorHAnsi" w:hAnsiTheme="majorHAnsi"/>
          <w:sz w:val="20"/>
          <w:szCs w:val="20"/>
          <w:lang w:val="es-VE"/>
        </w:rPr>
        <w:t>presuntas</w:t>
      </w:r>
      <w:r w:rsidR="00B64806" w:rsidRPr="00E86A8F">
        <w:rPr>
          <w:rFonts w:asciiTheme="majorHAnsi" w:hAnsiTheme="majorHAnsi"/>
          <w:sz w:val="20"/>
          <w:szCs w:val="20"/>
          <w:lang w:val="es-VE"/>
        </w:rPr>
        <w:t xml:space="preserve"> asociaciones ilícitas, tala ilegal de alerce, </w:t>
      </w:r>
      <w:r w:rsidR="00DD41A1" w:rsidRPr="00E86A8F">
        <w:rPr>
          <w:rFonts w:asciiTheme="majorHAnsi" w:hAnsiTheme="majorHAnsi"/>
          <w:sz w:val="20"/>
          <w:szCs w:val="20"/>
          <w:lang w:val="es-VE"/>
        </w:rPr>
        <w:t xml:space="preserve">cohecho, tráfico de influencias, </w:t>
      </w:r>
      <w:r w:rsidR="00052E7C" w:rsidRPr="00E86A8F">
        <w:rPr>
          <w:rFonts w:asciiTheme="majorHAnsi" w:hAnsiTheme="majorHAnsi"/>
          <w:sz w:val="20"/>
          <w:szCs w:val="20"/>
          <w:lang w:val="es-VE"/>
        </w:rPr>
        <w:t>redes de protección</w:t>
      </w:r>
      <w:r w:rsidR="004E7448" w:rsidRPr="00E86A8F">
        <w:rPr>
          <w:rFonts w:asciiTheme="majorHAnsi" w:hAnsiTheme="majorHAnsi"/>
          <w:sz w:val="20"/>
          <w:szCs w:val="20"/>
          <w:lang w:val="es-VE"/>
        </w:rPr>
        <w:t>, existencia de presiones políticas, incluso de un parlamentario de la zona</w:t>
      </w:r>
      <w:r w:rsidR="008527CE" w:rsidRPr="00E86A8F">
        <w:rPr>
          <w:rFonts w:asciiTheme="majorHAnsi" w:hAnsiTheme="majorHAnsi"/>
          <w:sz w:val="20"/>
          <w:szCs w:val="20"/>
          <w:lang w:val="es-VE"/>
        </w:rPr>
        <w:t>,</w:t>
      </w:r>
      <w:r w:rsidR="00D25B0E" w:rsidRPr="00E86A8F">
        <w:rPr>
          <w:rFonts w:asciiTheme="majorHAnsi" w:hAnsiTheme="majorHAnsi"/>
          <w:sz w:val="20"/>
          <w:szCs w:val="20"/>
          <w:lang w:val="es-VE"/>
        </w:rPr>
        <w:t xml:space="preserve"> por lo que ya existía información publicada sobre presiones políticas de un </w:t>
      </w:r>
      <w:r w:rsidR="00486700" w:rsidRPr="00E86A8F">
        <w:rPr>
          <w:rFonts w:asciiTheme="majorHAnsi" w:hAnsiTheme="majorHAnsi"/>
          <w:sz w:val="20"/>
          <w:szCs w:val="20"/>
          <w:lang w:val="es-VE"/>
        </w:rPr>
        <w:t>senador</w:t>
      </w:r>
      <w:r w:rsidR="008E2BA4" w:rsidRPr="00E86A8F">
        <w:rPr>
          <w:rFonts w:asciiTheme="majorHAnsi" w:hAnsiTheme="majorHAnsi"/>
          <w:sz w:val="20"/>
          <w:szCs w:val="20"/>
          <w:lang w:val="es-VE"/>
        </w:rPr>
        <w:t xml:space="preserve"> de la zona</w:t>
      </w:r>
      <w:r w:rsidR="009204F0" w:rsidRPr="00E86A8F">
        <w:rPr>
          <w:rFonts w:asciiTheme="majorHAnsi" w:hAnsiTheme="majorHAnsi"/>
          <w:sz w:val="20"/>
          <w:szCs w:val="20"/>
          <w:lang w:val="es-VE"/>
        </w:rPr>
        <w:t xml:space="preserve">. Es en este contexto, </w:t>
      </w:r>
      <w:r w:rsidR="008E2BA4" w:rsidRPr="00E86A8F">
        <w:rPr>
          <w:rFonts w:asciiTheme="majorHAnsi" w:hAnsiTheme="majorHAnsi"/>
          <w:sz w:val="20"/>
          <w:szCs w:val="20"/>
          <w:lang w:val="es-VE"/>
        </w:rPr>
        <w:t>que el señor Baraona</w:t>
      </w:r>
      <w:r w:rsidR="00F40433" w:rsidRPr="00E86A8F">
        <w:rPr>
          <w:rFonts w:asciiTheme="majorHAnsi" w:hAnsiTheme="majorHAnsi"/>
          <w:sz w:val="20"/>
          <w:szCs w:val="20"/>
          <w:lang w:val="es-VE"/>
        </w:rPr>
        <w:t>, quien además</w:t>
      </w:r>
      <w:r w:rsidR="008E2BA4" w:rsidRPr="00E86A8F">
        <w:rPr>
          <w:rFonts w:asciiTheme="majorHAnsi" w:hAnsiTheme="majorHAnsi"/>
          <w:sz w:val="20"/>
          <w:szCs w:val="20"/>
          <w:lang w:val="es-VE"/>
        </w:rPr>
        <w:t xml:space="preserve"> tenía información sobre un juicio de tala ilegal </w:t>
      </w:r>
      <w:r w:rsidR="003E5436" w:rsidRPr="00E86A8F">
        <w:rPr>
          <w:rFonts w:asciiTheme="majorHAnsi" w:hAnsiTheme="majorHAnsi"/>
          <w:sz w:val="20"/>
          <w:szCs w:val="20"/>
          <w:lang w:val="es-VE"/>
        </w:rPr>
        <w:t xml:space="preserve">que se seguía en otra jurisdicción, es contactado para dar una entrevista el 12 de mayo de 2004 </w:t>
      </w:r>
      <w:r w:rsidR="00C75DF6" w:rsidRPr="00E86A8F">
        <w:rPr>
          <w:rFonts w:asciiTheme="majorHAnsi" w:hAnsiTheme="majorHAnsi"/>
          <w:sz w:val="20"/>
          <w:szCs w:val="20"/>
          <w:lang w:val="es-VE"/>
        </w:rPr>
        <w:t>en e</w:t>
      </w:r>
      <w:r w:rsidR="003E5436" w:rsidRPr="00E86A8F">
        <w:rPr>
          <w:rFonts w:asciiTheme="majorHAnsi" w:hAnsiTheme="majorHAnsi"/>
          <w:sz w:val="20"/>
          <w:szCs w:val="20"/>
          <w:lang w:val="es-VE"/>
        </w:rPr>
        <w:t xml:space="preserve">l Canal 13. </w:t>
      </w:r>
      <w:r w:rsidR="00DD41A1" w:rsidRPr="00E86A8F">
        <w:rPr>
          <w:rFonts w:asciiTheme="majorHAnsi" w:hAnsiTheme="majorHAnsi"/>
          <w:sz w:val="20"/>
          <w:szCs w:val="20"/>
          <w:lang w:val="es-VE"/>
        </w:rPr>
        <w:t xml:space="preserve"> </w:t>
      </w:r>
    </w:p>
    <w:p w14:paraId="6314AC09" w14:textId="77777777" w:rsidR="005B408F" w:rsidRPr="00E86A8F" w:rsidRDefault="005B408F" w:rsidP="00073BB6">
      <w:pPr>
        <w:pStyle w:val="ListParagraph"/>
        <w:rPr>
          <w:rFonts w:asciiTheme="majorHAnsi" w:hAnsiTheme="majorHAnsi"/>
          <w:sz w:val="20"/>
          <w:szCs w:val="20"/>
          <w:lang w:val="es-ES_tradnl"/>
        </w:rPr>
      </w:pPr>
    </w:p>
    <w:p w14:paraId="72D8B7A4" w14:textId="20E7F7AE" w:rsidR="004575D9" w:rsidRPr="00E86A8F" w:rsidRDefault="003859D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lastRenderedPageBreak/>
        <w:t>Según declaraciones en prensa</w:t>
      </w:r>
      <w:r w:rsidR="00300F15" w:rsidRPr="00E86A8F">
        <w:rPr>
          <w:rFonts w:asciiTheme="majorHAnsi" w:hAnsiTheme="majorHAnsi"/>
          <w:sz w:val="20"/>
          <w:szCs w:val="20"/>
          <w:lang w:val="es-VE"/>
        </w:rPr>
        <w:t xml:space="preserve"> señaladas </w:t>
      </w:r>
      <w:r w:rsidR="00300F15" w:rsidRPr="00E86A8F">
        <w:rPr>
          <w:rFonts w:asciiTheme="majorHAnsi" w:hAnsiTheme="majorHAnsi"/>
          <w:i/>
          <w:sz w:val="20"/>
          <w:szCs w:val="20"/>
          <w:lang w:val="es-VE"/>
        </w:rPr>
        <w:t>ut supra</w:t>
      </w:r>
      <w:r w:rsidRPr="00E86A8F">
        <w:rPr>
          <w:rFonts w:asciiTheme="majorHAnsi" w:hAnsiTheme="majorHAnsi"/>
          <w:sz w:val="20"/>
          <w:szCs w:val="20"/>
          <w:lang w:val="es-VE"/>
        </w:rPr>
        <w:t>, así como su declaración ante el Ju</w:t>
      </w:r>
      <w:r w:rsidR="00A82A4B" w:rsidRPr="00E86A8F">
        <w:rPr>
          <w:rFonts w:asciiTheme="majorHAnsi" w:hAnsiTheme="majorHAnsi"/>
          <w:sz w:val="20"/>
          <w:szCs w:val="20"/>
          <w:lang w:val="es-VE"/>
        </w:rPr>
        <w:t>zgado de Garantía,</w:t>
      </w:r>
      <w:r w:rsidRPr="00E86A8F">
        <w:rPr>
          <w:rFonts w:asciiTheme="majorHAnsi" w:hAnsiTheme="majorHAnsi"/>
          <w:sz w:val="20"/>
          <w:szCs w:val="20"/>
          <w:lang w:val="es-VE"/>
        </w:rPr>
        <w:t xml:space="preserve"> </w:t>
      </w:r>
      <w:r w:rsidR="00AF59A9" w:rsidRPr="00E86A8F">
        <w:rPr>
          <w:rFonts w:asciiTheme="majorHAnsi" w:hAnsiTheme="majorHAnsi"/>
          <w:sz w:val="20"/>
          <w:szCs w:val="20"/>
          <w:lang w:val="es-VE"/>
        </w:rPr>
        <w:t xml:space="preserve">el señor Baraona </w:t>
      </w:r>
      <w:r w:rsidR="00A82A4B" w:rsidRPr="00E86A8F">
        <w:rPr>
          <w:rFonts w:asciiTheme="majorHAnsi" w:hAnsiTheme="majorHAnsi"/>
          <w:sz w:val="20"/>
          <w:szCs w:val="20"/>
          <w:lang w:val="es-VE"/>
        </w:rPr>
        <w:t xml:space="preserve">manifestó que </w:t>
      </w:r>
      <w:r w:rsidR="00450F67" w:rsidRPr="00E86A8F">
        <w:rPr>
          <w:rFonts w:asciiTheme="majorHAnsi" w:hAnsiTheme="majorHAnsi"/>
          <w:sz w:val="20"/>
          <w:szCs w:val="20"/>
          <w:lang w:val="es-VE"/>
        </w:rPr>
        <w:t>después de que dejó de laborar en CONAF</w:t>
      </w:r>
      <w:r w:rsidR="00274CAE" w:rsidRPr="00E86A8F">
        <w:rPr>
          <w:rFonts w:asciiTheme="majorHAnsi" w:hAnsiTheme="majorHAnsi"/>
          <w:sz w:val="20"/>
          <w:szCs w:val="20"/>
          <w:lang w:val="es-VE"/>
        </w:rPr>
        <w:t xml:space="preserve"> se ofreció para trabajar gratuitamente </w:t>
      </w:r>
      <w:r w:rsidR="007B7D4E" w:rsidRPr="00E86A8F">
        <w:rPr>
          <w:rFonts w:asciiTheme="majorHAnsi" w:hAnsiTheme="majorHAnsi"/>
          <w:sz w:val="20"/>
          <w:szCs w:val="20"/>
          <w:lang w:val="es-VE"/>
        </w:rPr>
        <w:t xml:space="preserve">realizando un informe para dar real protección al alerce y en ese contexto </w:t>
      </w:r>
      <w:r w:rsidR="00274CAE" w:rsidRPr="00E86A8F">
        <w:rPr>
          <w:rFonts w:asciiTheme="majorHAnsi" w:hAnsiTheme="majorHAnsi"/>
          <w:sz w:val="20"/>
          <w:szCs w:val="20"/>
          <w:lang w:val="es-VE"/>
        </w:rPr>
        <w:t>conoció al señor Comandary</w:t>
      </w:r>
      <w:r w:rsidR="007B7D4E" w:rsidRPr="00E86A8F">
        <w:rPr>
          <w:rFonts w:asciiTheme="majorHAnsi" w:hAnsiTheme="majorHAnsi"/>
          <w:sz w:val="20"/>
          <w:szCs w:val="20"/>
          <w:lang w:val="es-VE"/>
        </w:rPr>
        <w:t xml:space="preserve">, quien </w:t>
      </w:r>
      <w:r w:rsidR="00514630" w:rsidRPr="00E86A8F">
        <w:rPr>
          <w:rFonts w:asciiTheme="majorHAnsi" w:hAnsiTheme="majorHAnsi"/>
          <w:sz w:val="20"/>
          <w:szCs w:val="20"/>
          <w:lang w:val="es-VE"/>
        </w:rPr>
        <w:t>ya llevaba años tratando de recuperar sus tierras</w:t>
      </w:r>
      <w:r w:rsidR="00E0326C" w:rsidRPr="00E86A8F">
        <w:rPr>
          <w:rFonts w:asciiTheme="majorHAnsi" w:hAnsiTheme="majorHAnsi"/>
          <w:sz w:val="20"/>
          <w:szCs w:val="20"/>
          <w:lang w:val="es-VE"/>
        </w:rPr>
        <w:t xml:space="preserve">, ya que a través de la Forestal Sarao tenía un predio de 50.000 hectáreas </w:t>
      </w:r>
      <w:r w:rsidR="002E4FA8" w:rsidRPr="00E86A8F">
        <w:rPr>
          <w:rFonts w:asciiTheme="majorHAnsi" w:hAnsiTheme="majorHAnsi"/>
          <w:sz w:val="20"/>
          <w:szCs w:val="20"/>
          <w:lang w:val="es-VE"/>
        </w:rPr>
        <w:t xml:space="preserve">de las cuales 10.000 estaban ocupadas ilegalmente, </w:t>
      </w:r>
      <w:r w:rsidR="000253A6" w:rsidRPr="00E86A8F">
        <w:rPr>
          <w:rFonts w:asciiTheme="majorHAnsi" w:hAnsiTheme="majorHAnsi"/>
          <w:sz w:val="20"/>
          <w:szCs w:val="20"/>
          <w:lang w:val="es-VE"/>
        </w:rPr>
        <w:t xml:space="preserve">hectáreas que coincidentemente estaban </w:t>
      </w:r>
      <w:r w:rsidR="00C75DF6" w:rsidRPr="00E86A8F">
        <w:rPr>
          <w:rFonts w:asciiTheme="majorHAnsi" w:hAnsiTheme="majorHAnsi"/>
          <w:sz w:val="20"/>
          <w:szCs w:val="20"/>
          <w:lang w:val="es-VE"/>
        </w:rPr>
        <w:t>junto a los</w:t>
      </w:r>
      <w:r w:rsidR="000253A6" w:rsidRPr="00E86A8F">
        <w:rPr>
          <w:rFonts w:asciiTheme="majorHAnsi" w:hAnsiTheme="majorHAnsi"/>
          <w:sz w:val="20"/>
          <w:szCs w:val="20"/>
          <w:lang w:val="es-VE"/>
        </w:rPr>
        <w:t xml:space="preserve"> alerces verdes</w:t>
      </w:r>
      <w:r w:rsidR="00514630" w:rsidRPr="00E86A8F">
        <w:rPr>
          <w:rFonts w:asciiTheme="majorHAnsi" w:hAnsiTheme="majorHAnsi"/>
          <w:sz w:val="20"/>
          <w:szCs w:val="20"/>
          <w:lang w:val="es-VE"/>
        </w:rPr>
        <w:t xml:space="preserve">. </w:t>
      </w:r>
      <w:r w:rsidR="00942A9F" w:rsidRPr="00E86A8F">
        <w:rPr>
          <w:rFonts w:asciiTheme="majorHAnsi" w:hAnsiTheme="majorHAnsi"/>
          <w:sz w:val="20"/>
          <w:szCs w:val="20"/>
          <w:lang w:val="es-VE"/>
        </w:rPr>
        <w:t xml:space="preserve">Esas tierras, según declaró, estaban </w:t>
      </w:r>
      <w:r w:rsidR="00F65754" w:rsidRPr="00E86A8F">
        <w:rPr>
          <w:rFonts w:asciiTheme="majorHAnsi" w:hAnsiTheme="majorHAnsi"/>
          <w:sz w:val="20"/>
          <w:szCs w:val="20"/>
          <w:lang w:val="es-VE"/>
        </w:rPr>
        <w:t xml:space="preserve">ocupadas ilegalmente por personas que </w:t>
      </w:r>
      <w:r w:rsidR="000E2016" w:rsidRPr="00E86A8F">
        <w:rPr>
          <w:rFonts w:asciiTheme="majorHAnsi" w:hAnsiTheme="majorHAnsi"/>
          <w:sz w:val="20"/>
          <w:szCs w:val="20"/>
          <w:lang w:val="es-VE"/>
        </w:rPr>
        <w:t>decían</w:t>
      </w:r>
      <w:r w:rsidR="00F65754" w:rsidRPr="00E86A8F">
        <w:rPr>
          <w:rFonts w:asciiTheme="majorHAnsi" w:hAnsiTheme="majorHAnsi"/>
          <w:sz w:val="20"/>
          <w:szCs w:val="20"/>
          <w:lang w:val="es-VE"/>
        </w:rPr>
        <w:t xml:space="preserve"> que el Ministerio de Bienes Naturales </w:t>
      </w:r>
      <w:r w:rsidR="007A415E" w:rsidRPr="00E86A8F">
        <w:rPr>
          <w:rFonts w:asciiTheme="majorHAnsi" w:hAnsiTheme="majorHAnsi"/>
          <w:sz w:val="20"/>
          <w:szCs w:val="20"/>
          <w:lang w:val="es-VE"/>
        </w:rPr>
        <w:t xml:space="preserve">les informó que no se preocuparan, porque no serían </w:t>
      </w:r>
      <w:r w:rsidR="009D3B53" w:rsidRPr="00E86A8F">
        <w:rPr>
          <w:rFonts w:asciiTheme="majorHAnsi" w:hAnsiTheme="majorHAnsi"/>
          <w:sz w:val="20"/>
          <w:szCs w:val="20"/>
          <w:lang w:val="es-VE"/>
        </w:rPr>
        <w:t xml:space="preserve">desalojados </w:t>
      </w:r>
      <w:r w:rsidR="007A415E" w:rsidRPr="00E86A8F">
        <w:rPr>
          <w:rFonts w:asciiTheme="majorHAnsi" w:hAnsiTheme="majorHAnsi"/>
          <w:sz w:val="20"/>
          <w:szCs w:val="20"/>
          <w:lang w:val="es-VE"/>
        </w:rPr>
        <w:t>de ese lugar</w:t>
      </w:r>
      <w:r w:rsidR="009D3B53" w:rsidRPr="00E86A8F">
        <w:rPr>
          <w:rFonts w:asciiTheme="majorHAnsi" w:hAnsiTheme="majorHAnsi"/>
          <w:sz w:val="20"/>
          <w:szCs w:val="20"/>
          <w:lang w:val="es-VE"/>
        </w:rPr>
        <w:t>, debido a las promesas electorales del año 2000</w:t>
      </w:r>
      <w:r w:rsidR="000E2016" w:rsidRPr="00E86A8F">
        <w:rPr>
          <w:rFonts w:asciiTheme="majorHAnsi" w:hAnsiTheme="majorHAnsi"/>
          <w:sz w:val="20"/>
          <w:szCs w:val="20"/>
          <w:lang w:val="es-VE"/>
        </w:rPr>
        <w:t>.</w:t>
      </w:r>
      <w:r w:rsidR="00076AE3" w:rsidRPr="00E86A8F">
        <w:rPr>
          <w:rFonts w:asciiTheme="majorHAnsi" w:hAnsiTheme="majorHAnsi"/>
          <w:sz w:val="20"/>
          <w:szCs w:val="20"/>
          <w:lang w:val="es-VE"/>
        </w:rPr>
        <w:t xml:space="preserve"> </w:t>
      </w:r>
      <w:r w:rsidR="004309FD" w:rsidRPr="00E86A8F">
        <w:rPr>
          <w:rFonts w:asciiTheme="majorHAnsi" w:hAnsiTheme="majorHAnsi"/>
          <w:sz w:val="20"/>
          <w:szCs w:val="20"/>
          <w:lang w:val="es-VE"/>
        </w:rPr>
        <w:t>El señor Baraona declaró que</w:t>
      </w:r>
      <w:r w:rsidR="00AB0FD6" w:rsidRPr="00E86A8F">
        <w:rPr>
          <w:rFonts w:asciiTheme="majorHAnsi" w:hAnsiTheme="majorHAnsi"/>
          <w:sz w:val="20"/>
          <w:szCs w:val="20"/>
          <w:lang w:val="es-VE"/>
        </w:rPr>
        <w:t xml:space="preserve"> funcionarios</w:t>
      </w:r>
      <w:r w:rsidR="004309FD" w:rsidRPr="00E86A8F">
        <w:rPr>
          <w:rFonts w:asciiTheme="majorHAnsi" w:hAnsiTheme="majorHAnsi"/>
          <w:sz w:val="20"/>
          <w:szCs w:val="20"/>
          <w:lang w:val="es-VE"/>
        </w:rPr>
        <w:t xml:space="preserve"> </w:t>
      </w:r>
      <w:r w:rsidR="00AB0FD6" w:rsidRPr="00E86A8F">
        <w:rPr>
          <w:rFonts w:asciiTheme="majorHAnsi" w:hAnsiTheme="majorHAnsi"/>
          <w:sz w:val="20"/>
          <w:szCs w:val="20"/>
          <w:lang w:val="es-VE"/>
        </w:rPr>
        <w:t>d</w:t>
      </w:r>
      <w:r w:rsidR="004309FD" w:rsidRPr="00E86A8F">
        <w:rPr>
          <w:rFonts w:asciiTheme="majorHAnsi" w:hAnsiTheme="majorHAnsi"/>
          <w:sz w:val="20"/>
          <w:szCs w:val="20"/>
          <w:lang w:val="es-VE"/>
        </w:rPr>
        <w:t>el propio Ministerio</w:t>
      </w:r>
      <w:r w:rsidR="002E6CE8" w:rsidRPr="00E86A8F">
        <w:rPr>
          <w:rFonts w:asciiTheme="majorHAnsi" w:hAnsiTheme="majorHAnsi"/>
          <w:sz w:val="20"/>
          <w:szCs w:val="20"/>
          <w:lang w:val="es-VE"/>
        </w:rPr>
        <w:t xml:space="preserve"> y de la CONAF</w:t>
      </w:r>
      <w:r w:rsidR="004309FD" w:rsidRPr="00E86A8F">
        <w:rPr>
          <w:rFonts w:asciiTheme="majorHAnsi" w:hAnsiTheme="majorHAnsi"/>
          <w:sz w:val="20"/>
          <w:szCs w:val="20"/>
          <w:lang w:val="es-VE"/>
        </w:rPr>
        <w:t>,</w:t>
      </w:r>
      <w:r w:rsidR="00AB0FD6" w:rsidRPr="00E86A8F">
        <w:rPr>
          <w:rFonts w:asciiTheme="majorHAnsi" w:hAnsiTheme="majorHAnsi"/>
          <w:sz w:val="20"/>
          <w:szCs w:val="20"/>
          <w:lang w:val="es-VE"/>
        </w:rPr>
        <w:t xml:space="preserve"> le informaron que detrás de esto estaba el </w:t>
      </w:r>
      <w:r w:rsidR="00486700" w:rsidRPr="00E86A8F">
        <w:rPr>
          <w:rFonts w:asciiTheme="majorHAnsi" w:hAnsiTheme="majorHAnsi"/>
          <w:sz w:val="20"/>
          <w:szCs w:val="20"/>
          <w:lang w:val="es-VE"/>
        </w:rPr>
        <w:t>senador</w:t>
      </w:r>
      <w:r w:rsidR="00AB0FD6" w:rsidRPr="00E86A8F">
        <w:rPr>
          <w:rFonts w:asciiTheme="majorHAnsi" w:hAnsiTheme="majorHAnsi"/>
          <w:sz w:val="20"/>
          <w:szCs w:val="20"/>
          <w:lang w:val="es-VE"/>
        </w:rPr>
        <w:t xml:space="preserve"> Páez, </w:t>
      </w:r>
      <w:r w:rsidR="008E1C87" w:rsidRPr="00E86A8F">
        <w:rPr>
          <w:rFonts w:asciiTheme="majorHAnsi" w:hAnsiTheme="majorHAnsi"/>
          <w:sz w:val="20"/>
          <w:szCs w:val="20"/>
          <w:lang w:val="es-VE"/>
        </w:rPr>
        <w:t xml:space="preserve">quien estaba interesado en que dichas personas consiguieran títulos de propiedad y puedan explotar el alerce. </w:t>
      </w:r>
      <w:r w:rsidR="00517C59" w:rsidRPr="00E86A8F">
        <w:rPr>
          <w:rFonts w:asciiTheme="majorHAnsi" w:hAnsiTheme="majorHAnsi"/>
          <w:sz w:val="20"/>
          <w:szCs w:val="20"/>
          <w:lang w:val="es-VE"/>
        </w:rPr>
        <w:t xml:space="preserve">La víctima también declaró que incluso, en una reunión con el señor Comandary y el señor Nelson Bustos del Seremi, este último le pidió a Comandary la donación de 10.000 hectáreas del terreno ocupado ilegalmente, para solucionar el problema. Esto fue ratificado por la declaración del señor Comandary, quien señaló que el señor Lisandro Barriga le consultó sobre su interés en vender el terreno en disputa, ya que el </w:t>
      </w:r>
      <w:r w:rsidR="00486700" w:rsidRPr="00E86A8F">
        <w:rPr>
          <w:rFonts w:asciiTheme="majorHAnsi" w:hAnsiTheme="majorHAnsi"/>
          <w:sz w:val="20"/>
          <w:szCs w:val="20"/>
          <w:lang w:val="es-VE"/>
        </w:rPr>
        <w:t>senador</w:t>
      </w:r>
      <w:r w:rsidR="00517C59" w:rsidRPr="00E86A8F">
        <w:rPr>
          <w:rFonts w:asciiTheme="majorHAnsi" w:hAnsiTheme="majorHAnsi"/>
          <w:sz w:val="20"/>
          <w:szCs w:val="20"/>
          <w:lang w:val="es-VE"/>
        </w:rPr>
        <w:t xml:space="preserve"> Páez estaría interesado en comprarlo</w:t>
      </w:r>
      <w:r w:rsidR="005731CF" w:rsidRPr="00E86A8F">
        <w:rPr>
          <w:rStyle w:val="FootnoteReference"/>
          <w:rFonts w:asciiTheme="majorHAnsi" w:hAnsiTheme="majorHAnsi"/>
          <w:sz w:val="20"/>
          <w:szCs w:val="20"/>
          <w:lang w:val="es-VE"/>
        </w:rPr>
        <w:footnoteReference w:id="31"/>
      </w:r>
      <w:r w:rsidR="00517C59" w:rsidRPr="00E86A8F">
        <w:rPr>
          <w:rFonts w:asciiTheme="majorHAnsi" w:hAnsiTheme="majorHAnsi"/>
          <w:sz w:val="20"/>
          <w:szCs w:val="20"/>
          <w:lang w:val="es-VE"/>
        </w:rPr>
        <w:t>.</w:t>
      </w:r>
    </w:p>
    <w:p w14:paraId="5EBEBC65" w14:textId="77777777" w:rsidR="0049725B" w:rsidRPr="00E86A8F" w:rsidRDefault="0049725B"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EDE09E8" w14:textId="5A393AA1" w:rsidR="00F5421C" w:rsidRPr="00E86A8F" w:rsidRDefault="008E1C8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Según </w:t>
      </w:r>
      <w:r w:rsidR="008E3C7D" w:rsidRPr="00E86A8F">
        <w:rPr>
          <w:rFonts w:asciiTheme="majorHAnsi" w:hAnsiTheme="majorHAnsi"/>
          <w:sz w:val="20"/>
          <w:szCs w:val="20"/>
          <w:lang w:val="es-VE"/>
        </w:rPr>
        <w:t xml:space="preserve">la declaración del </w:t>
      </w:r>
      <w:r w:rsidRPr="00E86A8F">
        <w:rPr>
          <w:rFonts w:asciiTheme="majorHAnsi" w:hAnsiTheme="majorHAnsi"/>
          <w:sz w:val="20"/>
          <w:szCs w:val="20"/>
          <w:lang w:val="es-VE"/>
        </w:rPr>
        <w:t>señor Baraona</w:t>
      </w:r>
      <w:r w:rsidR="008E3C7D" w:rsidRPr="00E86A8F">
        <w:rPr>
          <w:rFonts w:asciiTheme="majorHAnsi" w:hAnsiTheme="majorHAnsi"/>
          <w:sz w:val="20"/>
          <w:szCs w:val="20"/>
          <w:lang w:val="es-VE"/>
        </w:rPr>
        <w:t xml:space="preserve"> ante la primera instancia del proceso penal</w:t>
      </w:r>
      <w:r w:rsidRPr="00E86A8F">
        <w:rPr>
          <w:rFonts w:asciiTheme="majorHAnsi" w:hAnsiTheme="majorHAnsi"/>
          <w:sz w:val="20"/>
          <w:szCs w:val="20"/>
          <w:lang w:val="es-VE"/>
        </w:rPr>
        <w:t xml:space="preserve">, </w:t>
      </w:r>
      <w:r w:rsidR="00E868AC" w:rsidRPr="00E86A8F">
        <w:rPr>
          <w:rFonts w:asciiTheme="majorHAnsi" w:hAnsiTheme="majorHAnsi"/>
          <w:sz w:val="20"/>
          <w:szCs w:val="20"/>
          <w:lang w:val="es-VE"/>
        </w:rPr>
        <w:t>en una reunión en agosto de 2002</w:t>
      </w:r>
      <w:r w:rsidR="00CB01F5" w:rsidRPr="00E86A8F">
        <w:rPr>
          <w:rFonts w:asciiTheme="majorHAnsi" w:hAnsiTheme="majorHAnsi"/>
          <w:sz w:val="20"/>
          <w:szCs w:val="20"/>
          <w:lang w:val="es-VE"/>
        </w:rPr>
        <w:t xml:space="preserve"> entre el Director de la CONAF</w:t>
      </w:r>
      <w:r w:rsidR="00265D4A" w:rsidRPr="00E86A8F">
        <w:rPr>
          <w:rFonts w:asciiTheme="majorHAnsi" w:hAnsiTheme="majorHAnsi"/>
          <w:sz w:val="20"/>
          <w:szCs w:val="20"/>
          <w:lang w:val="es-VE"/>
        </w:rPr>
        <w:t xml:space="preserve"> Carlos Weber, </w:t>
      </w:r>
      <w:r w:rsidR="00CB01F5" w:rsidRPr="00E86A8F">
        <w:rPr>
          <w:rFonts w:asciiTheme="majorHAnsi" w:hAnsiTheme="majorHAnsi"/>
          <w:sz w:val="20"/>
          <w:szCs w:val="20"/>
          <w:lang w:val="es-VE"/>
        </w:rPr>
        <w:t>y los Ingenieros Forestales por el Bosque Nativo</w:t>
      </w:r>
      <w:r w:rsidR="005C2509" w:rsidRPr="00E86A8F">
        <w:rPr>
          <w:rFonts w:asciiTheme="majorHAnsi" w:hAnsiTheme="majorHAnsi"/>
          <w:sz w:val="20"/>
          <w:szCs w:val="20"/>
          <w:lang w:val="es-VE"/>
        </w:rPr>
        <w:t>,</w:t>
      </w:r>
      <w:r w:rsidR="00617A76" w:rsidRPr="00E86A8F">
        <w:rPr>
          <w:rFonts w:asciiTheme="majorHAnsi" w:hAnsiTheme="majorHAnsi"/>
          <w:sz w:val="20"/>
          <w:szCs w:val="20"/>
          <w:lang w:val="es-VE"/>
        </w:rPr>
        <w:t xml:space="preserve"> en relación a las funciones de la CONAF para proteger el alerce</w:t>
      </w:r>
      <w:r w:rsidR="00B90A44" w:rsidRPr="00E86A8F">
        <w:rPr>
          <w:rFonts w:asciiTheme="majorHAnsi" w:hAnsiTheme="majorHAnsi"/>
          <w:sz w:val="20"/>
          <w:szCs w:val="20"/>
          <w:lang w:val="es-VE"/>
        </w:rPr>
        <w:t>,</w:t>
      </w:r>
      <w:r w:rsidR="00CB01F5" w:rsidRPr="00E86A8F">
        <w:rPr>
          <w:rFonts w:asciiTheme="majorHAnsi" w:hAnsiTheme="majorHAnsi"/>
          <w:sz w:val="20"/>
          <w:szCs w:val="20"/>
          <w:lang w:val="es-VE"/>
        </w:rPr>
        <w:t xml:space="preserve"> aquel les indicó que </w:t>
      </w:r>
      <w:r w:rsidR="00B90A44" w:rsidRPr="00E86A8F">
        <w:rPr>
          <w:rFonts w:asciiTheme="majorHAnsi" w:hAnsiTheme="majorHAnsi"/>
          <w:sz w:val="20"/>
          <w:szCs w:val="20"/>
          <w:lang w:val="es-VE"/>
        </w:rPr>
        <w:t xml:space="preserve">no podía hacer más, </w:t>
      </w:r>
      <w:r w:rsidR="004F04E5" w:rsidRPr="00E86A8F">
        <w:rPr>
          <w:rFonts w:asciiTheme="majorHAnsi" w:hAnsiTheme="majorHAnsi"/>
          <w:sz w:val="20"/>
          <w:szCs w:val="20"/>
          <w:lang w:val="es-VE"/>
        </w:rPr>
        <w:t xml:space="preserve">que existían presiones políticas </w:t>
      </w:r>
      <w:r w:rsidR="00B90A44" w:rsidRPr="00E86A8F">
        <w:rPr>
          <w:rFonts w:asciiTheme="majorHAnsi" w:hAnsiTheme="majorHAnsi"/>
          <w:sz w:val="20"/>
          <w:szCs w:val="20"/>
          <w:lang w:val="es-VE"/>
        </w:rPr>
        <w:t xml:space="preserve">y que le preguntaran al </w:t>
      </w:r>
      <w:r w:rsidR="00486700" w:rsidRPr="00E86A8F">
        <w:rPr>
          <w:rFonts w:asciiTheme="majorHAnsi" w:hAnsiTheme="majorHAnsi"/>
          <w:sz w:val="20"/>
          <w:szCs w:val="20"/>
          <w:lang w:val="es-VE"/>
        </w:rPr>
        <w:t>senador</w:t>
      </w:r>
      <w:r w:rsidR="00B90A44" w:rsidRPr="00E86A8F">
        <w:rPr>
          <w:rFonts w:asciiTheme="majorHAnsi" w:hAnsiTheme="majorHAnsi"/>
          <w:sz w:val="20"/>
          <w:szCs w:val="20"/>
          <w:lang w:val="es-VE"/>
        </w:rPr>
        <w:t xml:space="preserve"> Páez, </w:t>
      </w:r>
      <w:r w:rsidR="000F2DFA" w:rsidRPr="00E86A8F">
        <w:rPr>
          <w:rFonts w:asciiTheme="majorHAnsi" w:hAnsiTheme="majorHAnsi"/>
          <w:sz w:val="20"/>
          <w:szCs w:val="20"/>
          <w:lang w:val="es-VE"/>
        </w:rPr>
        <w:t xml:space="preserve">y que tampoco podía remover de su cargo a Lisandro Barriga, porque </w:t>
      </w:r>
      <w:r w:rsidR="00E14763" w:rsidRPr="00E86A8F">
        <w:rPr>
          <w:rFonts w:asciiTheme="majorHAnsi" w:hAnsiTheme="majorHAnsi"/>
          <w:sz w:val="20"/>
          <w:szCs w:val="20"/>
          <w:lang w:val="es-VE"/>
        </w:rPr>
        <w:t xml:space="preserve">tenía un vínculo de amistad con </w:t>
      </w:r>
      <w:r w:rsidR="000F2DFA" w:rsidRPr="00E86A8F">
        <w:rPr>
          <w:rFonts w:asciiTheme="majorHAnsi" w:hAnsiTheme="majorHAnsi"/>
          <w:sz w:val="20"/>
          <w:szCs w:val="20"/>
          <w:lang w:val="es-VE"/>
        </w:rPr>
        <w:t>Páez.</w:t>
      </w:r>
      <w:r w:rsidR="00281CB1" w:rsidRPr="00E86A8F">
        <w:rPr>
          <w:rFonts w:asciiTheme="majorHAnsi" w:hAnsiTheme="majorHAnsi"/>
          <w:sz w:val="20"/>
          <w:szCs w:val="20"/>
          <w:lang w:val="es-VE"/>
        </w:rPr>
        <w:t xml:space="preserve"> </w:t>
      </w:r>
      <w:r w:rsidR="00CB7BB0" w:rsidRPr="00E86A8F">
        <w:rPr>
          <w:rFonts w:asciiTheme="majorHAnsi" w:hAnsiTheme="majorHAnsi"/>
          <w:sz w:val="20"/>
          <w:szCs w:val="20"/>
          <w:lang w:val="es-VE"/>
        </w:rPr>
        <w:t>Algunas de las declaraciones de Carlos Weber</w:t>
      </w:r>
      <w:r w:rsidR="00265D4A" w:rsidRPr="00E86A8F">
        <w:rPr>
          <w:rFonts w:asciiTheme="majorHAnsi" w:hAnsiTheme="majorHAnsi"/>
          <w:sz w:val="20"/>
          <w:szCs w:val="20"/>
          <w:lang w:val="es-VE"/>
        </w:rPr>
        <w:t xml:space="preserve"> fueron ratificadas por el presidente de </w:t>
      </w:r>
      <w:r w:rsidR="00CC0576" w:rsidRPr="00E86A8F">
        <w:rPr>
          <w:rFonts w:asciiTheme="majorHAnsi" w:hAnsiTheme="majorHAnsi"/>
          <w:sz w:val="20"/>
          <w:szCs w:val="20"/>
          <w:lang w:val="es-VE"/>
        </w:rPr>
        <w:t>la agrupación de ingenieros forestales</w:t>
      </w:r>
      <w:r w:rsidR="00D965E6" w:rsidRPr="00E86A8F">
        <w:rPr>
          <w:rFonts w:asciiTheme="majorHAnsi" w:hAnsiTheme="majorHAnsi"/>
          <w:sz w:val="20"/>
          <w:szCs w:val="20"/>
          <w:lang w:val="es-VE"/>
        </w:rPr>
        <w:t>, quien además</w:t>
      </w:r>
      <w:r w:rsidR="00AF0AAC" w:rsidRPr="00E86A8F">
        <w:rPr>
          <w:rFonts w:asciiTheme="majorHAnsi" w:hAnsiTheme="majorHAnsi"/>
          <w:sz w:val="20"/>
          <w:szCs w:val="20"/>
          <w:lang w:val="es-VE"/>
        </w:rPr>
        <w:t xml:space="preserve"> </w:t>
      </w:r>
      <w:r w:rsidR="008C08EB" w:rsidRPr="00E86A8F">
        <w:rPr>
          <w:rFonts w:asciiTheme="majorHAnsi" w:hAnsiTheme="majorHAnsi"/>
          <w:sz w:val="20"/>
          <w:szCs w:val="20"/>
          <w:lang w:val="es-VE"/>
        </w:rPr>
        <w:t xml:space="preserve">aseveró que era “un tema </w:t>
      </w:r>
      <w:r w:rsidR="00F65A56" w:rsidRPr="00E86A8F">
        <w:rPr>
          <w:rFonts w:asciiTheme="majorHAnsi" w:hAnsiTheme="majorHAnsi"/>
          <w:sz w:val="20"/>
          <w:szCs w:val="20"/>
          <w:lang w:val="es-VE"/>
        </w:rPr>
        <w:t xml:space="preserve">conocido </w:t>
      </w:r>
      <w:r w:rsidR="00E3072B" w:rsidRPr="00E86A8F">
        <w:rPr>
          <w:rFonts w:asciiTheme="majorHAnsi" w:hAnsiTheme="majorHAnsi"/>
          <w:sz w:val="20"/>
          <w:szCs w:val="20"/>
          <w:lang w:val="es-VE"/>
        </w:rPr>
        <w:t>y que todos los funcionarios de CONAF</w:t>
      </w:r>
      <w:r w:rsidR="00175C13" w:rsidRPr="00E86A8F">
        <w:rPr>
          <w:rFonts w:asciiTheme="majorHAnsi" w:hAnsiTheme="majorHAnsi"/>
          <w:sz w:val="20"/>
          <w:szCs w:val="20"/>
          <w:lang w:val="es-VE"/>
        </w:rPr>
        <w:t xml:space="preserve"> </w:t>
      </w:r>
      <w:r w:rsidR="00E3072B" w:rsidRPr="00E86A8F">
        <w:rPr>
          <w:rFonts w:asciiTheme="majorHAnsi" w:hAnsiTheme="majorHAnsi"/>
          <w:sz w:val="20"/>
          <w:szCs w:val="20"/>
          <w:lang w:val="es-VE"/>
        </w:rPr>
        <w:t>comenta[ban] en conversaciones informales, que ha[</w:t>
      </w:r>
      <w:r w:rsidR="00175C13" w:rsidRPr="00E86A8F">
        <w:rPr>
          <w:rFonts w:asciiTheme="majorHAnsi" w:hAnsiTheme="majorHAnsi"/>
          <w:sz w:val="20"/>
          <w:szCs w:val="20"/>
          <w:lang w:val="es-VE"/>
        </w:rPr>
        <w:t>bían] presiones de parte del senador Páez</w:t>
      </w:r>
      <w:r w:rsidR="005D5670" w:rsidRPr="00E86A8F">
        <w:rPr>
          <w:rFonts w:asciiTheme="majorHAnsi" w:hAnsiTheme="majorHAnsi"/>
          <w:sz w:val="20"/>
          <w:szCs w:val="20"/>
          <w:lang w:val="es-VE"/>
        </w:rPr>
        <w:t>”</w:t>
      </w:r>
      <w:r w:rsidR="00175C13" w:rsidRPr="00E86A8F">
        <w:rPr>
          <w:rFonts w:asciiTheme="majorHAnsi" w:hAnsiTheme="majorHAnsi"/>
          <w:sz w:val="20"/>
          <w:szCs w:val="20"/>
          <w:lang w:val="es-VE"/>
        </w:rPr>
        <w:t>.</w:t>
      </w:r>
      <w:r w:rsidR="00D965E6" w:rsidRPr="00E86A8F">
        <w:rPr>
          <w:rFonts w:asciiTheme="majorHAnsi" w:hAnsiTheme="majorHAnsi"/>
          <w:sz w:val="20"/>
          <w:szCs w:val="20"/>
          <w:lang w:val="es-VE"/>
        </w:rPr>
        <w:t xml:space="preserve"> </w:t>
      </w:r>
      <w:r w:rsidR="006D0F96" w:rsidRPr="00E86A8F">
        <w:rPr>
          <w:rFonts w:asciiTheme="majorHAnsi" w:hAnsiTheme="majorHAnsi"/>
          <w:sz w:val="20"/>
          <w:szCs w:val="20"/>
          <w:lang w:val="es-VE"/>
        </w:rPr>
        <w:t>Asimismo, una corresponsal del diario El Mercurio ratificó</w:t>
      </w:r>
      <w:r w:rsidR="002926DD" w:rsidRPr="00E86A8F">
        <w:rPr>
          <w:rFonts w:asciiTheme="majorHAnsi" w:hAnsiTheme="majorHAnsi"/>
          <w:sz w:val="20"/>
          <w:szCs w:val="20"/>
          <w:lang w:val="es-VE"/>
        </w:rPr>
        <w:t xml:space="preserve"> que varias personas le habían dicho</w:t>
      </w:r>
      <w:r w:rsidR="00CD6F8D" w:rsidRPr="00E86A8F">
        <w:rPr>
          <w:rFonts w:asciiTheme="majorHAnsi" w:hAnsiTheme="majorHAnsi"/>
          <w:sz w:val="20"/>
          <w:szCs w:val="20"/>
          <w:lang w:val="es-VE"/>
        </w:rPr>
        <w:t xml:space="preserve"> que</w:t>
      </w:r>
      <w:r w:rsidR="002926DD" w:rsidRPr="00E86A8F">
        <w:rPr>
          <w:rFonts w:asciiTheme="majorHAnsi" w:hAnsiTheme="majorHAnsi"/>
          <w:sz w:val="20"/>
          <w:szCs w:val="20"/>
          <w:lang w:val="es-VE"/>
        </w:rPr>
        <w:t xml:space="preserve"> el </w:t>
      </w:r>
      <w:r w:rsidR="00486700" w:rsidRPr="00E86A8F">
        <w:rPr>
          <w:rFonts w:asciiTheme="majorHAnsi" w:hAnsiTheme="majorHAnsi"/>
          <w:sz w:val="20"/>
          <w:szCs w:val="20"/>
          <w:lang w:val="es-VE"/>
        </w:rPr>
        <w:t>senador</w:t>
      </w:r>
      <w:r w:rsidR="00CD6F8D" w:rsidRPr="00E86A8F">
        <w:rPr>
          <w:rFonts w:asciiTheme="majorHAnsi" w:hAnsiTheme="majorHAnsi"/>
          <w:sz w:val="20"/>
          <w:szCs w:val="20"/>
          <w:lang w:val="es-VE"/>
        </w:rPr>
        <w:t xml:space="preserve"> Páez ejercía influencia en el tema, </w:t>
      </w:r>
      <w:r w:rsidR="0062015E" w:rsidRPr="00E86A8F">
        <w:rPr>
          <w:rFonts w:asciiTheme="majorHAnsi" w:hAnsiTheme="majorHAnsi"/>
          <w:sz w:val="20"/>
          <w:szCs w:val="20"/>
          <w:lang w:val="es-VE"/>
        </w:rPr>
        <w:t xml:space="preserve">y el director ejecutivo </w:t>
      </w:r>
      <w:r w:rsidR="00FD02D4" w:rsidRPr="00E86A8F">
        <w:rPr>
          <w:rFonts w:asciiTheme="majorHAnsi" w:hAnsiTheme="majorHAnsi"/>
          <w:sz w:val="20"/>
          <w:szCs w:val="20"/>
          <w:lang w:val="es-VE"/>
        </w:rPr>
        <w:t>de la Fundación Terram también manifestó que existían “rumores que permitían generar una convicción general” de que Weber estaba sometido a presiones políticas.</w:t>
      </w:r>
      <w:r w:rsidR="00265D4A" w:rsidRPr="00E86A8F">
        <w:rPr>
          <w:rFonts w:asciiTheme="majorHAnsi" w:hAnsiTheme="majorHAnsi"/>
          <w:sz w:val="20"/>
          <w:szCs w:val="20"/>
          <w:lang w:val="es-VE"/>
        </w:rPr>
        <w:t xml:space="preserve"> </w:t>
      </w:r>
      <w:r w:rsidR="00281CB1" w:rsidRPr="00E86A8F">
        <w:rPr>
          <w:rFonts w:asciiTheme="majorHAnsi" w:hAnsiTheme="majorHAnsi"/>
          <w:sz w:val="20"/>
          <w:szCs w:val="20"/>
          <w:lang w:val="es-VE"/>
        </w:rPr>
        <w:t xml:space="preserve">El señor Baraona </w:t>
      </w:r>
      <w:r w:rsidR="00BD7BB8" w:rsidRPr="00E86A8F">
        <w:rPr>
          <w:rFonts w:asciiTheme="majorHAnsi" w:hAnsiTheme="majorHAnsi"/>
          <w:sz w:val="20"/>
          <w:szCs w:val="20"/>
          <w:lang w:val="es-VE"/>
        </w:rPr>
        <w:t xml:space="preserve">también manifestó que el propio Lisandro Barriga </w:t>
      </w:r>
      <w:r w:rsidR="003A755F" w:rsidRPr="00E86A8F">
        <w:rPr>
          <w:rFonts w:asciiTheme="majorHAnsi" w:hAnsiTheme="majorHAnsi"/>
          <w:sz w:val="20"/>
          <w:szCs w:val="20"/>
          <w:lang w:val="es-VE"/>
        </w:rPr>
        <w:t xml:space="preserve">le reconoció que no podía hacer más </w:t>
      </w:r>
      <w:r w:rsidR="00D1747A" w:rsidRPr="00E86A8F">
        <w:rPr>
          <w:rFonts w:asciiTheme="majorHAnsi" w:hAnsiTheme="majorHAnsi"/>
          <w:sz w:val="20"/>
          <w:szCs w:val="20"/>
          <w:lang w:val="es-VE"/>
        </w:rPr>
        <w:t xml:space="preserve">por las presiones políticas existentes y que </w:t>
      </w:r>
      <w:r w:rsidR="00B40F53" w:rsidRPr="00E86A8F">
        <w:rPr>
          <w:rFonts w:asciiTheme="majorHAnsi" w:hAnsiTheme="majorHAnsi"/>
          <w:sz w:val="20"/>
          <w:szCs w:val="20"/>
          <w:lang w:val="es-VE"/>
        </w:rPr>
        <w:t xml:space="preserve">sí había conversado con el </w:t>
      </w:r>
      <w:r w:rsidR="00486700" w:rsidRPr="00E86A8F">
        <w:rPr>
          <w:rFonts w:asciiTheme="majorHAnsi" w:hAnsiTheme="majorHAnsi"/>
          <w:sz w:val="20"/>
          <w:szCs w:val="20"/>
          <w:lang w:val="es-VE"/>
        </w:rPr>
        <w:t>senador</w:t>
      </w:r>
      <w:r w:rsidR="00B40F53" w:rsidRPr="00E86A8F">
        <w:rPr>
          <w:rFonts w:asciiTheme="majorHAnsi" w:hAnsiTheme="majorHAnsi"/>
          <w:sz w:val="20"/>
          <w:szCs w:val="20"/>
          <w:lang w:val="es-VE"/>
        </w:rPr>
        <w:t xml:space="preserve"> Páez sobre el tema</w:t>
      </w:r>
      <w:r w:rsidR="000B461C" w:rsidRPr="00E86A8F">
        <w:rPr>
          <w:rStyle w:val="FootnoteReference"/>
          <w:rFonts w:asciiTheme="majorHAnsi" w:hAnsiTheme="majorHAnsi"/>
          <w:sz w:val="20"/>
          <w:szCs w:val="20"/>
          <w:lang w:val="es-VE"/>
        </w:rPr>
        <w:footnoteReference w:id="32"/>
      </w:r>
      <w:r w:rsidR="005C7E67" w:rsidRPr="00E86A8F">
        <w:rPr>
          <w:rFonts w:asciiTheme="majorHAnsi" w:hAnsiTheme="majorHAnsi"/>
          <w:sz w:val="20"/>
          <w:szCs w:val="20"/>
          <w:lang w:val="es-VE"/>
        </w:rPr>
        <w:t>.</w:t>
      </w:r>
    </w:p>
    <w:p w14:paraId="3581127E" w14:textId="77777777" w:rsidR="0049725B" w:rsidRPr="00E86A8F" w:rsidRDefault="0049725B"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4EEFF57" w14:textId="507BEEAA" w:rsidR="00147AA9" w:rsidRPr="00E86A8F" w:rsidRDefault="002A6286"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El J</w:t>
      </w:r>
      <w:r w:rsidR="004A52AB" w:rsidRPr="00E86A8F">
        <w:rPr>
          <w:rFonts w:asciiTheme="majorHAnsi" w:hAnsiTheme="majorHAnsi"/>
          <w:sz w:val="20"/>
          <w:szCs w:val="20"/>
          <w:lang w:val="es-VE"/>
        </w:rPr>
        <w:t xml:space="preserve">uzgado de Garantía </w:t>
      </w:r>
      <w:r w:rsidR="00536016" w:rsidRPr="00E86A8F">
        <w:rPr>
          <w:rFonts w:asciiTheme="majorHAnsi" w:hAnsiTheme="majorHAnsi"/>
          <w:sz w:val="20"/>
          <w:szCs w:val="20"/>
          <w:lang w:val="es-VE"/>
        </w:rPr>
        <w:t xml:space="preserve">tuvo por acreditado que </w:t>
      </w:r>
      <w:r w:rsidR="00990499" w:rsidRPr="00E86A8F">
        <w:rPr>
          <w:rFonts w:asciiTheme="majorHAnsi" w:hAnsiTheme="majorHAnsi"/>
          <w:sz w:val="20"/>
          <w:szCs w:val="20"/>
          <w:lang w:val="es-VE"/>
        </w:rPr>
        <w:t>“a partir del 12 de mayo del año en curso, el querellado</w:t>
      </w:r>
      <w:r w:rsidR="007F47FF" w:rsidRPr="00E86A8F">
        <w:rPr>
          <w:rFonts w:asciiTheme="majorHAnsi" w:hAnsiTheme="majorHAnsi"/>
          <w:sz w:val="20"/>
          <w:szCs w:val="20"/>
          <w:lang w:val="es-VE"/>
        </w:rPr>
        <w:t xml:space="preserve">, don Carlos Baraona Bray, </w:t>
      </w:r>
      <w:r w:rsidR="000954EE" w:rsidRPr="00E86A8F">
        <w:rPr>
          <w:rFonts w:asciiTheme="majorHAnsi" w:hAnsiTheme="majorHAnsi"/>
          <w:sz w:val="20"/>
          <w:szCs w:val="20"/>
          <w:lang w:val="es-VE"/>
        </w:rPr>
        <w:t>en circunstancias que se encontraba detenido el director ejecutivo de CONAF por los ilícitos de cohecho, asociación ilícita y tráfico de influencias, realiza variadas declaraciones que fueron recogidas y difundidas por diversos medios de comunicación social […] en las cuales se consignaba que e</w:t>
      </w:r>
      <w:r w:rsidR="00147AA9" w:rsidRPr="00E86A8F">
        <w:rPr>
          <w:rFonts w:asciiTheme="majorHAnsi" w:hAnsiTheme="majorHAnsi"/>
          <w:sz w:val="20"/>
          <w:szCs w:val="20"/>
          <w:lang w:val="es-VE"/>
        </w:rPr>
        <w:t xml:space="preserve">l </w:t>
      </w:r>
      <w:r w:rsidR="00486700" w:rsidRPr="00E86A8F">
        <w:rPr>
          <w:rFonts w:asciiTheme="majorHAnsi" w:hAnsiTheme="majorHAnsi"/>
          <w:sz w:val="20"/>
          <w:szCs w:val="20"/>
          <w:lang w:val="es-VE"/>
        </w:rPr>
        <w:t>senador</w:t>
      </w:r>
      <w:r w:rsidR="000954EE" w:rsidRPr="00E86A8F">
        <w:rPr>
          <w:rFonts w:asciiTheme="majorHAnsi" w:hAnsiTheme="majorHAnsi"/>
          <w:sz w:val="20"/>
          <w:szCs w:val="20"/>
          <w:lang w:val="es-VE"/>
        </w:rPr>
        <w:t xml:space="preserve"> de la República, don</w:t>
      </w:r>
      <w:r w:rsidR="00147AA9" w:rsidRPr="00E86A8F">
        <w:rPr>
          <w:rFonts w:asciiTheme="majorHAnsi" w:hAnsiTheme="majorHAnsi"/>
          <w:sz w:val="20"/>
          <w:szCs w:val="20"/>
          <w:lang w:val="es-VE"/>
        </w:rPr>
        <w:t xml:space="preserve"> Sergio Páez Verdugo</w:t>
      </w:r>
      <w:r w:rsidR="000954EE" w:rsidRPr="00E86A8F">
        <w:rPr>
          <w:rFonts w:asciiTheme="majorHAnsi" w:hAnsiTheme="majorHAnsi"/>
          <w:sz w:val="20"/>
          <w:szCs w:val="20"/>
          <w:lang w:val="es-VE"/>
        </w:rPr>
        <w:t>,</w:t>
      </w:r>
      <w:r w:rsidR="00147AA9" w:rsidRPr="00E86A8F">
        <w:rPr>
          <w:rFonts w:asciiTheme="majorHAnsi" w:hAnsiTheme="majorHAnsi"/>
          <w:sz w:val="20"/>
          <w:szCs w:val="20"/>
          <w:lang w:val="es-VE"/>
        </w:rPr>
        <w:t xml:space="preserve"> actuando como patrón de fundo ha ejercido presiones a autoridades de la décima Región, concretamente al SEREMI de Bienes Nacionales, don Nelson Bustos Arancibia, al Director Regional de CONAF, don Pedro Bahamondez Barría, y al Director Provincial de CONAF, don Lisandro Barriga Parra, con </w:t>
      </w:r>
      <w:r w:rsidR="000954EE" w:rsidRPr="00E86A8F">
        <w:rPr>
          <w:rFonts w:asciiTheme="majorHAnsi" w:hAnsiTheme="majorHAnsi"/>
          <w:sz w:val="20"/>
          <w:szCs w:val="20"/>
          <w:lang w:val="es-VE"/>
        </w:rPr>
        <w:t>la finalidad</w:t>
      </w:r>
      <w:r w:rsidR="00147AA9" w:rsidRPr="00E86A8F">
        <w:rPr>
          <w:rFonts w:asciiTheme="majorHAnsi" w:hAnsiTheme="majorHAnsi"/>
          <w:sz w:val="20"/>
          <w:szCs w:val="20"/>
          <w:lang w:val="es-VE"/>
        </w:rPr>
        <w:t xml:space="preserve"> de permitir la ocupación ilegal de propiedades y la tala ilícita de </w:t>
      </w:r>
      <w:r w:rsidR="000954EE" w:rsidRPr="00E86A8F">
        <w:rPr>
          <w:rFonts w:asciiTheme="majorHAnsi" w:hAnsiTheme="majorHAnsi"/>
          <w:sz w:val="20"/>
          <w:szCs w:val="20"/>
          <w:lang w:val="es-VE"/>
        </w:rPr>
        <w:t>a</w:t>
      </w:r>
      <w:r w:rsidR="00147AA9" w:rsidRPr="00E86A8F">
        <w:rPr>
          <w:rFonts w:asciiTheme="majorHAnsi" w:hAnsiTheme="majorHAnsi"/>
          <w:sz w:val="20"/>
          <w:szCs w:val="20"/>
          <w:lang w:val="es-VE"/>
        </w:rPr>
        <w:t>lerces</w:t>
      </w:r>
      <w:r w:rsidR="000954EE" w:rsidRPr="00E86A8F">
        <w:rPr>
          <w:rFonts w:asciiTheme="majorHAnsi" w:hAnsiTheme="majorHAnsi"/>
          <w:sz w:val="20"/>
          <w:szCs w:val="20"/>
          <w:lang w:val="es-VE"/>
        </w:rPr>
        <w:t xml:space="preserve">. Señalándose que </w:t>
      </w:r>
      <w:r w:rsidR="00147AA9" w:rsidRPr="00E86A8F">
        <w:rPr>
          <w:rFonts w:asciiTheme="majorHAnsi" w:hAnsiTheme="majorHAnsi"/>
          <w:sz w:val="20"/>
          <w:szCs w:val="20"/>
          <w:lang w:val="es-VE"/>
        </w:rPr>
        <w:t xml:space="preserve">[Bustos y Bahamondez] [eran] fieles sirvientes de </w:t>
      </w:r>
      <w:r w:rsidR="000954EE" w:rsidRPr="00E86A8F">
        <w:rPr>
          <w:rFonts w:asciiTheme="majorHAnsi" w:hAnsiTheme="majorHAnsi"/>
          <w:sz w:val="20"/>
          <w:szCs w:val="20"/>
          <w:lang w:val="es-VE"/>
        </w:rPr>
        <w:t>d</w:t>
      </w:r>
      <w:r w:rsidR="00147AA9" w:rsidRPr="00E86A8F">
        <w:rPr>
          <w:rFonts w:asciiTheme="majorHAnsi" w:hAnsiTheme="majorHAnsi"/>
          <w:sz w:val="20"/>
          <w:szCs w:val="20"/>
          <w:lang w:val="es-VE"/>
        </w:rPr>
        <w:t>on Se</w:t>
      </w:r>
      <w:r w:rsidR="000954EE" w:rsidRPr="00E86A8F">
        <w:rPr>
          <w:rFonts w:asciiTheme="majorHAnsi" w:hAnsiTheme="majorHAnsi"/>
          <w:sz w:val="20"/>
          <w:szCs w:val="20"/>
          <w:lang w:val="es-VE"/>
        </w:rPr>
        <w:t>r</w:t>
      </w:r>
      <w:r w:rsidR="00147AA9" w:rsidRPr="00E86A8F">
        <w:rPr>
          <w:rFonts w:asciiTheme="majorHAnsi" w:hAnsiTheme="majorHAnsi"/>
          <w:sz w:val="20"/>
          <w:szCs w:val="20"/>
          <w:lang w:val="es-VE"/>
        </w:rPr>
        <w:t>gio Páez, quien asimismo, ejer</w:t>
      </w:r>
      <w:r w:rsidR="000954EE" w:rsidRPr="00E86A8F">
        <w:rPr>
          <w:rFonts w:asciiTheme="majorHAnsi" w:hAnsiTheme="majorHAnsi"/>
          <w:sz w:val="20"/>
          <w:szCs w:val="20"/>
          <w:lang w:val="es-VE"/>
        </w:rPr>
        <w:t xml:space="preserve">[cía] </w:t>
      </w:r>
      <w:r w:rsidR="00147AA9" w:rsidRPr="00E86A8F">
        <w:rPr>
          <w:rFonts w:asciiTheme="majorHAnsi" w:hAnsiTheme="majorHAnsi"/>
          <w:sz w:val="20"/>
          <w:szCs w:val="20"/>
          <w:lang w:val="es-VE"/>
        </w:rPr>
        <w:t xml:space="preserve">presiones sobre los referidos funcionarios para el saneamiento irregular de títulos de dominio y la obtención ilegal de planes de manejo de </w:t>
      </w:r>
      <w:r w:rsidR="000954EE" w:rsidRPr="00E86A8F">
        <w:rPr>
          <w:rFonts w:asciiTheme="majorHAnsi" w:hAnsiTheme="majorHAnsi"/>
          <w:sz w:val="20"/>
          <w:szCs w:val="20"/>
          <w:lang w:val="es-VE"/>
        </w:rPr>
        <w:t>a</w:t>
      </w:r>
      <w:r w:rsidR="00147AA9" w:rsidRPr="00E86A8F">
        <w:rPr>
          <w:rFonts w:asciiTheme="majorHAnsi" w:hAnsiTheme="majorHAnsi"/>
          <w:sz w:val="20"/>
          <w:szCs w:val="20"/>
          <w:lang w:val="es-VE"/>
        </w:rPr>
        <w:t>lerces, dado que, ello obedec</w:t>
      </w:r>
      <w:r w:rsidR="000954EE" w:rsidRPr="00E86A8F">
        <w:rPr>
          <w:rFonts w:asciiTheme="majorHAnsi" w:hAnsiTheme="majorHAnsi"/>
          <w:sz w:val="20"/>
          <w:szCs w:val="20"/>
          <w:lang w:val="es-VE"/>
        </w:rPr>
        <w:t>[ía]</w:t>
      </w:r>
      <w:r w:rsidR="00147AA9" w:rsidRPr="00E86A8F">
        <w:rPr>
          <w:rFonts w:asciiTheme="majorHAnsi" w:hAnsiTheme="majorHAnsi"/>
          <w:sz w:val="20"/>
          <w:szCs w:val="20"/>
          <w:lang w:val="es-VE"/>
        </w:rPr>
        <w:t xml:space="preserve"> a promesas</w:t>
      </w:r>
      <w:r w:rsidR="00C7029D" w:rsidRPr="00E86A8F">
        <w:rPr>
          <w:rFonts w:asciiTheme="majorHAnsi" w:hAnsiTheme="majorHAnsi"/>
          <w:sz w:val="20"/>
          <w:szCs w:val="20"/>
          <w:lang w:val="es-VE"/>
        </w:rPr>
        <w:t xml:space="preserve"> electorales adquiridas por el s</w:t>
      </w:r>
      <w:r w:rsidR="00147AA9" w:rsidRPr="00E86A8F">
        <w:rPr>
          <w:rFonts w:asciiTheme="majorHAnsi" w:hAnsiTheme="majorHAnsi"/>
          <w:sz w:val="20"/>
          <w:szCs w:val="20"/>
          <w:lang w:val="es-VE"/>
        </w:rPr>
        <w:t>enador en su campaña política, de todo lo cual [tenía] pruebas”</w:t>
      </w:r>
      <w:r w:rsidR="000954EE" w:rsidRPr="00E86A8F">
        <w:rPr>
          <w:rStyle w:val="FootnoteReference"/>
          <w:rFonts w:asciiTheme="majorHAnsi" w:hAnsiTheme="majorHAnsi"/>
          <w:sz w:val="20"/>
          <w:szCs w:val="20"/>
          <w:lang w:val="es-VE"/>
        </w:rPr>
        <w:footnoteReference w:id="33"/>
      </w:r>
      <w:r w:rsidR="00147AA9" w:rsidRPr="00E86A8F">
        <w:rPr>
          <w:rFonts w:asciiTheme="majorHAnsi" w:hAnsiTheme="majorHAnsi"/>
          <w:sz w:val="20"/>
          <w:szCs w:val="20"/>
          <w:lang w:val="es-VE"/>
        </w:rPr>
        <w:t>.</w:t>
      </w:r>
    </w:p>
    <w:p w14:paraId="0A37C9E1" w14:textId="77777777" w:rsidR="0049725B" w:rsidRPr="00E86A8F" w:rsidRDefault="0049725B"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30CAD661" w14:textId="1E852276" w:rsidR="00147AA9" w:rsidRPr="00E86A8F" w:rsidRDefault="006D4B0E"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El Juzgado de Garant</w:t>
      </w:r>
      <w:r w:rsidR="002B6C61" w:rsidRPr="00E86A8F">
        <w:rPr>
          <w:rFonts w:asciiTheme="majorHAnsi" w:hAnsiTheme="majorHAnsi"/>
          <w:sz w:val="20"/>
          <w:szCs w:val="20"/>
          <w:lang w:val="es-VE"/>
        </w:rPr>
        <w:t>í</w:t>
      </w:r>
      <w:r w:rsidRPr="00E86A8F">
        <w:rPr>
          <w:rFonts w:asciiTheme="majorHAnsi" w:hAnsiTheme="majorHAnsi"/>
          <w:sz w:val="20"/>
          <w:szCs w:val="20"/>
          <w:lang w:val="es-VE"/>
        </w:rPr>
        <w:t xml:space="preserve">a </w:t>
      </w:r>
      <w:r w:rsidR="003A353C" w:rsidRPr="00E86A8F">
        <w:rPr>
          <w:rFonts w:asciiTheme="majorHAnsi" w:hAnsiTheme="majorHAnsi"/>
          <w:sz w:val="20"/>
          <w:szCs w:val="20"/>
          <w:lang w:val="es-VE"/>
        </w:rPr>
        <w:t xml:space="preserve">concluyó que los dichos del señor Baraona no podían considerarse como </w:t>
      </w:r>
      <w:r w:rsidR="006C4B98" w:rsidRPr="00E86A8F">
        <w:rPr>
          <w:rFonts w:asciiTheme="majorHAnsi" w:hAnsiTheme="majorHAnsi"/>
          <w:sz w:val="20"/>
          <w:szCs w:val="20"/>
          <w:lang w:val="es-VE"/>
        </w:rPr>
        <w:t xml:space="preserve">revestidos de la seriedad y razonabilidad requerida ya que no existía proporcionalidad entre el sacrificio </w:t>
      </w:r>
      <w:r w:rsidR="000705E1" w:rsidRPr="00E86A8F">
        <w:rPr>
          <w:rFonts w:asciiTheme="majorHAnsi" w:hAnsiTheme="majorHAnsi"/>
          <w:sz w:val="20"/>
          <w:szCs w:val="20"/>
          <w:lang w:val="es-VE"/>
        </w:rPr>
        <w:t xml:space="preserve">del derecho al honor y los beneficios que se pudieran obtener con la crítica. Por ello, </w:t>
      </w:r>
      <w:r w:rsidR="0078640B" w:rsidRPr="00E86A8F">
        <w:rPr>
          <w:rFonts w:asciiTheme="majorHAnsi" w:hAnsiTheme="majorHAnsi"/>
          <w:sz w:val="20"/>
          <w:szCs w:val="20"/>
          <w:lang w:val="es-VE"/>
        </w:rPr>
        <w:t xml:space="preserve">mediante sentencia de 22 de junio de 2004, </w:t>
      </w:r>
      <w:r w:rsidR="00A2201B" w:rsidRPr="00E86A8F">
        <w:rPr>
          <w:rFonts w:asciiTheme="majorHAnsi" w:hAnsiTheme="majorHAnsi"/>
          <w:sz w:val="20"/>
          <w:szCs w:val="20"/>
          <w:lang w:val="es-VE"/>
        </w:rPr>
        <w:t>el Juzgado de Gar</w:t>
      </w:r>
      <w:r w:rsidR="007B7E5A" w:rsidRPr="00E86A8F">
        <w:rPr>
          <w:rFonts w:asciiTheme="majorHAnsi" w:hAnsiTheme="majorHAnsi"/>
          <w:sz w:val="20"/>
          <w:szCs w:val="20"/>
          <w:lang w:val="es-VE"/>
        </w:rPr>
        <w:t>a</w:t>
      </w:r>
      <w:r w:rsidR="00A2201B" w:rsidRPr="00E86A8F">
        <w:rPr>
          <w:rFonts w:asciiTheme="majorHAnsi" w:hAnsiTheme="majorHAnsi"/>
          <w:sz w:val="20"/>
          <w:szCs w:val="20"/>
          <w:lang w:val="es-VE"/>
        </w:rPr>
        <w:t xml:space="preserve">ntía de Puerto Montt condenó a Carlos Baraona Bray como autor del delito de injurias graves </w:t>
      </w:r>
      <w:r w:rsidR="00AC1E95" w:rsidRPr="00E86A8F">
        <w:rPr>
          <w:rFonts w:asciiTheme="majorHAnsi" w:hAnsiTheme="majorHAnsi"/>
          <w:sz w:val="20"/>
          <w:szCs w:val="20"/>
          <w:lang w:val="es-VE"/>
        </w:rPr>
        <w:t>a través de medios de comunicación social</w:t>
      </w:r>
      <w:r w:rsidR="000527E8" w:rsidRPr="00E86A8F">
        <w:rPr>
          <w:rFonts w:asciiTheme="majorHAnsi" w:hAnsiTheme="majorHAnsi"/>
          <w:sz w:val="20"/>
          <w:szCs w:val="20"/>
          <w:lang w:val="es-VE"/>
        </w:rPr>
        <w:t xml:space="preserve"> en perjuicio de Sergio Páez Verdugo, </w:t>
      </w:r>
      <w:r w:rsidR="0098148C" w:rsidRPr="00E86A8F">
        <w:rPr>
          <w:rFonts w:asciiTheme="majorHAnsi" w:hAnsiTheme="majorHAnsi"/>
          <w:sz w:val="20"/>
          <w:szCs w:val="20"/>
          <w:lang w:val="es-VE"/>
        </w:rPr>
        <w:t xml:space="preserve">a la pena de </w:t>
      </w:r>
      <w:r w:rsidR="0098148C" w:rsidRPr="00E86A8F">
        <w:rPr>
          <w:rFonts w:asciiTheme="majorHAnsi" w:hAnsiTheme="majorHAnsi"/>
          <w:sz w:val="20"/>
          <w:szCs w:val="20"/>
          <w:lang w:val="es-VE"/>
        </w:rPr>
        <w:lastRenderedPageBreak/>
        <w:t xml:space="preserve">300 días de reclusión </w:t>
      </w:r>
      <w:r w:rsidR="004F2ADF" w:rsidRPr="00E86A8F">
        <w:rPr>
          <w:rFonts w:asciiTheme="majorHAnsi" w:hAnsiTheme="majorHAnsi"/>
          <w:sz w:val="20"/>
          <w:szCs w:val="20"/>
          <w:lang w:val="es-VE"/>
        </w:rPr>
        <w:t xml:space="preserve">suspendida </w:t>
      </w:r>
      <w:r w:rsidR="0098148C" w:rsidRPr="00E86A8F">
        <w:rPr>
          <w:rFonts w:asciiTheme="majorHAnsi" w:hAnsiTheme="majorHAnsi"/>
          <w:sz w:val="20"/>
          <w:szCs w:val="20"/>
          <w:lang w:val="es-VE"/>
        </w:rPr>
        <w:t>menor en su grado mínimo y multa de 20 unidades tributarias mensuales, más la accesoria suspensión de cargos u oficios públicos por el periodo de la condena, con costas.</w:t>
      </w:r>
      <w:r w:rsidR="000527E8" w:rsidRPr="00E86A8F">
        <w:rPr>
          <w:rFonts w:asciiTheme="majorHAnsi" w:hAnsiTheme="majorHAnsi"/>
          <w:sz w:val="20"/>
          <w:szCs w:val="20"/>
          <w:lang w:val="es-VE"/>
        </w:rPr>
        <w:t xml:space="preserve"> Dichos delitos se encontraban </w:t>
      </w:r>
      <w:r w:rsidR="00F773F0" w:rsidRPr="00E86A8F">
        <w:rPr>
          <w:rFonts w:asciiTheme="majorHAnsi" w:hAnsiTheme="majorHAnsi"/>
          <w:sz w:val="20"/>
          <w:szCs w:val="20"/>
          <w:lang w:val="es-VE"/>
        </w:rPr>
        <w:t>previsto</w:t>
      </w:r>
      <w:r w:rsidR="000527E8" w:rsidRPr="00E86A8F">
        <w:rPr>
          <w:rFonts w:asciiTheme="majorHAnsi" w:hAnsiTheme="majorHAnsi"/>
          <w:sz w:val="20"/>
          <w:szCs w:val="20"/>
          <w:lang w:val="es-VE"/>
        </w:rPr>
        <w:t>s</w:t>
      </w:r>
      <w:r w:rsidR="00F773F0" w:rsidRPr="00E86A8F">
        <w:rPr>
          <w:rFonts w:asciiTheme="majorHAnsi" w:hAnsiTheme="majorHAnsi"/>
          <w:sz w:val="20"/>
          <w:szCs w:val="20"/>
          <w:lang w:val="es-VE"/>
        </w:rPr>
        <w:t xml:space="preserve"> en </w:t>
      </w:r>
      <w:r w:rsidR="009501A1" w:rsidRPr="00E86A8F">
        <w:rPr>
          <w:rFonts w:asciiTheme="majorHAnsi" w:hAnsiTheme="majorHAnsi"/>
          <w:sz w:val="20"/>
          <w:szCs w:val="20"/>
          <w:lang w:val="es-VE"/>
        </w:rPr>
        <w:t>los</w:t>
      </w:r>
      <w:r w:rsidR="00F773F0" w:rsidRPr="00E86A8F">
        <w:rPr>
          <w:rFonts w:asciiTheme="majorHAnsi" w:hAnsiTheme="majorHAnsi"/>
          <w:sz w:val="20"/>
          <w:szCs w:val="20"/>
          <w:lang w:val="es-VE"/>
        </w:rPr>
        <w:t xml:space="preserve"> artículo</w:t>
      </w:r>
      <w:r w:rsidR="009501A1" w:rsidRPr="00E86A8F">
        <w:rPr>
          <w:rFonts w:asciiTheme="majorHAnsi" w:hAnsiTheme="majorHAnsi"/>
          <w:sz w:val="20"/>
          <w:szCs w:val="20"/>
          <w:lang w:val="es-VE"/>
        </w:rPr>
        <w:t>s</w:t>
      </w:r>
      <w:r w:rsidR="00F773F0" w:rsidRPr="00E86A8F">
        <w:rPr>
          <w:rFonts w:asciiTheme="majorHAnsi" w:hAnsiTheme="majorHAnsi"/>
          <w:sz w:val="20"/>
          <w:szCs w:val="20"/>
          <w:lang w:val="es-VE"/>
        </w:rPr>
        <w:t xml:space="preserve"> 417 No.</w:t>
      </w:r>
      <w:r w:rsidR="00C75DF6" w:rsidRPr="00E86A8F">
        <w:rPr>
          <w:rFonts w:asciiTheme="majorHAnsi" w:hAnsiTheme="majorHAnsi"/>
          <w:sz w:val="20"/>
          <w:szCs w:val="20"/>
          <w:lang w:val="es-VE"/>
        </w:rPr>
        <w:t xml:space="preserve"> </w:t>
      </w:r>
      <w:r w:rsidR="00F773F0" w:rsidRPr="00E86A8F">
        <w:rPr>
          <w:rFonts w:asciiTheme="majorHAnsi" w:hAnsiTheme="majorHAnsi"/>
          <w:sz w:val="20"/>
          <w:szCs w:val="20"/>
          <w:lang w:val="es-VE"/>
        </w:rPr>
        <w:t xml:space="preserve">3 </w:t>
      </w:r>
      <w:r w:rsidR="00897E87" w:rsidRPr="00E86A8F">
        <w:rPr>
          <w:rFonts w:asciiTheme="majorHAnsi" w:hAnsiTheme="majorHAnsi"/>
          <w:sz w:val="20"/>
          <w:szCs w:val="20"/>
          <w:lang w:val="es-VE"/>
        </w:rPr>
        <w:t>y 418, inciso pr</w:t>
      </w:r>
      <w:r w:rsidR="009501A1" w:rsidRPr="00E86A8F">
        <w:rPr>
          <w:rFonts w:asciiTheme="majorHAnsi" w:hAnsiTheme="majorHAnsi"/>
          <w:sz w:val="20"/>
          <w:szCs w:val="20"/>
          <w:lang w:val="es-VE"/>
        </w:rPr>
        <w:t>i</w:t>
      </w:r>
      <w:r w:rsidR="00897E87" w:rsidRPr="00E86A8F">
        <w:rPr>
          <w:rFonts w:asciiTheme="majorHAnsi" w:hAnsiTheme="majorHAnsi"/>
          <w:sz w:val="20"/>
          <w:szCs w:val="20"/>
          <w:lang w:val="es-VE"/>
        </w:rPr>
        <w:t>mero del Código Penal, en relación con el artículo 29 de la Ley No. 19.733</w:t>
      </w:r>
      <w:r w:rsidR="00E47C3B" w:rsidRPr="00E86A8F">
        <w:rPr>
          <w:rFonts w:asciiTheme="majorHAnsi" w:hAnsiTheme="majorHAnsi"/>
          <w:sz w:val="20"/>
          <w:szCs w:val="20"/>
          <w:lang w:val="es-VE"/>
        </w:rPr>
        <w:t xml:space="preserve"> sobre abusos de publicidad</w:t>
      </w:r>
      <w:r w:rsidR="0066173A" w:rsidRPr="00E86A8F">
        <w:rPr>
          <w:rFonts w:asciiTheme="majorHAnsi" w:hAnsiTheme="majorHAnsi"/>
          <w:sz w:val="20"/>
          <w:szCs w:val="20"/>
          <w:lang w:val="es-VE"/>
        </w:rPr>
        <w:t xml:space="preserve">. El Juzgado declaró inocente al señor Baraona por la comisión del delito de calumnia </w:t>
      </w:r>
      <w:r w:rsidR="00C7602C" w:rsidRPr="00E86A8F">
        <w:rPr>
          <w:rFonts w:asciiTheme="majorHAnsi" w:hAnsiTheme="majorHAnsi"/>
          <w:sz w:val="20"/>
          <w:szCs w:val="20"/>
          <w:lang w:val="es-VE"/>
        </w:rPr>
        <w:t xml:space="preserve">ya que </w:t>
      </w:r>
      <w:r w:rsidR="004B77AF" w:rsidRPr="00E86A8F">
        <w:rPr>
          <w:rFonts w:asciiTheme="majorHAnsi" w:hAnsiTheme="majorHAnsi"/>
          <w:sz w:val="20"/>
          <w:szCs w:val="20"/>
          <w:lang w:val="es-VE"/>
        </w:rPr>
        <w:t xml:space="preserve">las presiones políticas sobre las que </w:t>
      </w:r>
      <w:r w:rsidR="0009201F" w:rsidRPr="00E86A8F">
        <w:rPr>
          <w:rFonts w:asciiTheme="majorHAnsi" w:hAnsiTheme="majorHAnsi"/>
          <w:sz w:val="20"/>
          <w:szCs w:val="20"/>
          <w:lang w:val="es-VE"/>
        </w:rPr>
        <w:t>habló</w:t>
      </w:r>
      <w:r w:rsidR="004B77AF" w:rsidRPr="00E86A8F">
        <w:rPr>
          <w:rFonts w:asciiTheme="majorHAnsi" w:hAnsiTheme="majorHAnsi"/>
          <w:sz w:val="20"/>
          <w:szCs w:val="20"/>
          <w:lang w:val="es-VE"/>
        </w:rPr>
        <w:t xml:space="preserve"> no fueron </w:t>
      </w:r>
      <w:r w:rsidR="00812E40" w:rsidRPr="00E86A8F">
        <w:rPr>
          <w:rFonts w:asciiTheme="majorHAnsi" w:hAnsiTheme="majorHAnsi"/>
          <w:sz w:val="20"/>
          <w:szCs w:val="20"/>
          <w:lang w:val="es-VE"/>
        </w:rPr>
        <w:t>circunscritas a un ilícito penal es</w:t>
      </w:r>
      <w:r w:rsidR="00530A93" w:rsidRPr="00E86A8F">
        <w:rPr>
          <w:rFonts w:asciiTheme="majorHAnsi" w:hAnsiTheme="majorHAnsi"/>
          <w:sz w:val="20"/>
          <w:szCs w:val="20"/>
          <w:lang w:val="es-VE"/>
        </w:rPr>
        <w:t>pe</w:t>
      </w:r>
      <w:r w:rsidR="00812E40" w:rsidRPr="00E86A8F">
        <w:rPr>
          <w:rFonts w:asciiTheme="majorHAnsi" w:hAnsiTheme="majorHAnsi"/>
          <w:sz w:val="20"/>
          <w:szCs w:val="20"/>
          <w:lang w:val="es-VE"/>
        </w:rPr>
        <w:t>cífico, por lo que no concurrieron los elementos del tipo según el artículo 412 del Código Penal</w:t>
      </w:r>
      <w:r w:rsidR="000527E8" w:rsidRPr="00E86A8F">
        <w:rPr>
          <w:rStyle w:val="FootnoteReference"/>
          <w:rFonts w:asciiTheme="majorHAnsi" w:hAnsiTheme="majorHAnsi"/>
          <w:sz w:val="20"/>
          <w:szCs w:val="20"/>
          <w:lang w:val="es-VE"/>
        </w:rPr>
        <w:footnoteReference w:id="34"/>
      </w:r>
      <w:r w:rsidR="000527E8" w:rsidRPr="00E86A8F">
        <w:rPr>
          <w:rFonts w:asciiTheme="majorHAnsi" w:hAnsiTheme="majorHAnsi"/>
          <w:sz w:val="20"/>
          <w:szCs w:val="20"/>
          <w:lang w:val="es-VE"/>
        </w:rPr>
        <w:t>.</w:t>
      </w:r>
    </w:p>
    <w:p w14:paraId="27C78B5E" w14:textId="77777777" w:rsidR="00096ABB" w:rsidRPr="00E86A8F" w:rsidRDefault="00096ABB"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19AA2143" w14:textId="2FEC9F8E" w:rsidR="00096ABB" w:rsidRPr="00E86A8F" w:rsidRDefault="00C75DF6"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El juez de</w:t>
      </w:r>
      <w:r w:rsidR="0023677D" w:rsidRPr="00E86A8F">
        <w:rPr>
          <w:rFonts w:asciiTheme="majorHAnsi" w:hAnsiTheme="majorHAnsi"/>
          <w:sz w:val="20"/>
          <w:szCs w:val="20"/>
          <w:lang w:val="es-VE"/>
        </w:rPr>
        <w:t xml:space="preserve"> primera instancia penal</w:t>
      </w:r>
      <w:r w:rsidRPr="00E86A8F">
        <w:rPr>
          <w:rFonts w:asciiTheme="majorHAnsi" w:hAnsiTheme="majorHAnsi"/>
          <w:sz w:val="20"/>
          <w:szCs w:val="20"/>
          <w:lang w:val="es-VE"/>
        </w:rPr>
        <w:t xml:space="preserve"> concluyó que el problema jurídico era la colisión de derechos,</w:t>
      </w:r>
      <w:r w:rsidR="006E2D3C" w:rsidRPr="00E86A8F">
        <w:rPr>
          <w:rFonts w:asciiTheme="majorHAnsi" w:hAnsiTheme="majorHAnsi"/>
          <w:sz w:val="20"/>
          <w:szCs w:val="20"/>
          <w:lang w:val="es-VE"/>
        </w:rPr>
        <w:t xml:space="preserve"> por lo que</w:t>
      </w:r>
      <w:r w:rsidRPr="00E86A8F">
        <w:rPr>
          <w:rFonts w:asciiTheme="majorHAnsi" w:hAnsiTheme="majorHAnsi"/>
          <w:sz w:val="20"/>
          <w:szCs w:val="20"/>
          <w:lang w:val="es-VE"/>
        </w:rPr>
        <w:t xml:space="preserve"> se debía “determinar la concurrencia o no de la causal de justificación de obrar en el ejercicio legítimo de un derecho, motivo por el cual correspondía a la defensa acreditar la eximente de responsabilidad del artículo 10 No. 10 del Código Penal, resultando absurdo poner de cargo del querellante el tener que probar no solo la existencia de las presiones sino además que el imputado no obró en el ejercicio legítimo de un derecho</w:t>
      </w:r>
      <w:r w:rsidR="006E2D3C" w:rsidRPr="00E86A8F">
        <w:rPr>
          <w:rFonts w:asciiTheme="majorHAnsi" w:hAnsiTheme="majorHAnsi"/>
          <w:sz w:val="20"/>
          <w:szCs w:val="20"/>
          <w:lang w:val="es-VE"/>
        </w:rPr>
        <w:t>.</w:t>
      </w:r>
      <w:r w:rsidRPr="00E86A8F">
        <w:rPr>
          <w:rFonts w:asciiTheme="majorHAnsi" w:hAnsiTheme="majorHAnsi"/>
          <w:sz w:val="20"/>
          <w:szCs w:val="20"/>
          <w:lang w:val="es-VE"/>
        </w:rPr>
        <w:t xml:space="preserve"> El Juzgado destacó que el artículo 420 del Código Penal y el artículo 30 de la Ley No. 19.733, permitían al inculpado, excepcionalmente, la prueba de la verdad en la injuria, siendo este y no el querellante quien tenía el peso de la prueba</w:t>
      </w:r>
      <w:r w:rsidR="006E2D3C" w:rsidRPr="00E86A8F">
        <w:rPr>
          <w:rFonts w:asciiTheme="majorHAnsi" w:hAnsiTheme="majorHAnsi"/>
          <w:sz w:val="20"/>
          <w:szCs w:val="20"/>
          <w:lang w:val="es-VE"/>
        </w:rPr>
        <w:t>.</w:t>
      </w:r>
      <w:r w:rsidR="00CD7AFF" w:rsidRPr="00E86A8F">
        <w:rPr>
          <w:rFonts w:asciiTheme="majorHAnsi" w:hAnsiTheme="majorHAnsi"/>
          <w:sz w:val="20"/>
          <w:szCs w:val="20"/>
          <w:lang w:val="es-VE"/>
        </w:rPr>
        <w:t xml:space="preserve"> </w:t>
      </w:r>
    </w:p>
    <w:p w14:paraId="316DE11C" w14:textId="77777777" w:rsidR="00096ABB" w:rsidRPr="00E86A8F" w:rsidRDefault="00096ABB"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266991D1" w14:textId="511B3043" w:rsidR="00601649" w:rsidRPr="00E86A8F" w:rsidRDefault="00CD7AFF"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El juez consideró que Carlos Baraona no planteó “una hipótesis de trabajo o una conjetura sobre la cual se debía investigar, sino que en todo momento realizó afirmaciones, dando por establecido que [Páez] era el responsable de la situación del alerce y que favorecía el saneamiento irregular de títulos de dominio debido a promesas electorales”</w:t>
      </w:r>
      <w:r w:rsidR="00601649" w:rsidRPr="00E86A8F">
        <w:rPr>
          <w:rFonts w:asciiTheme="majorHAnsi" w:hAnsiTheme="majorHAnsi"/>
          <w:sz w:val="20"/>
          <w:szCs w:val="20"/>
          <w:lang w:val="es-VE"/>
        </w:rPr>
        <w:t>, sin aportar pruebas de ello a pesar de haber señalado tenerlas, por lo cual sus dichos no podían considerarse como revestidos de la seriedad y razonabilidad requerida.</w:t>
      </w:r>
      <w:r w:rsidRPr="00E86A8F">
        <w:rPr>
          <w:rFonts w:asciiTheme="majorHAnsi" w:hAnsiTheme="majorHAnsi"/>
          <w:sz w:val="20"/>
          <w:szCs w:val="20"/>
          <w:lang w:val="es-VE"/>
        </w:rPr>
        <w:t xml:space="preserve"> Concluyó que actuó con el propósito de injuriar y “no efectuó apreciaciones </w:t>
      </w:r>
      <w:r w:rsidR="00601649" w:rsidRPr="00E86A8F">
        <w:rPr>
          <w:rFonts w:asciiTheme="majorHAnsi" w:hAnsiTheme="majorHAnsi"/>
          <w:sz w:val="20"/>
          <w:szCs w:val="20"/>
          <w:lang w:val="es-VE"/>
        </w:rPr>
        <w:t>personales,</w:t>
      </w:r>
      <w:r w:rsidRPr="00E86A8F">
        <w:rPr>
          <w:rFonts w:asciiTheme="majorHAnsi" w:hAnsiTheme="majorHAnsi"/>
          <w:sz w:val="20"/>
          <w:szCs w:val="20"/>
          <w:lang w:val="es-VE"/>
        </w:rPr>
        <w:t xml:space="preserve"> sino que afirmaciones, mismas que en ningún caso representaban crítica política especializada”</w:t>
      </w:r>
      <w:r w:rsidR="00601649" w:rsidRPr="00E86A8F">
        <w:rPr>
          <w:rFonts w:asciiTheme="majorHAnsi" w:hAnsiTheme="majorHAnsi"/>
          <w:sz w:val="20"/>
          <w:szCs w:val="20"/>
          <w:lang w:val="es-VE"/>
        </w:rPr>
        <w:t>. El Juzgado consideró que concluir sobre la existencia de presiones políticas, con mención del senador resultaba “a lo menos aventurado”, sobre todo porque los funcionarios que habrían sido presionados negaron dichas afirmaciones y porque incluso, los</w:t>
      </w:r>
      <w:r w:rsidRPr="00E86A8F">
        <w:rPr>
          <w:rFonts w:asciiTheme="majorHAnsi" w:hAnsiTheme="majorHAnsi"/>
          <w:sz w:val="20"/>
          <w:szCs w:val="20"/>
          <w:lang w:val="es-VE"/>
        </w:rPr>
        <w:t xml:space="preserve"> declarantes en favor de Carlos Baraona señalaron mediante conjeturas, que </w:t>
      </w:r>
      <w:r w:rsidR="00601649" w:rsidRPr="00E86A8F">
        <w:rPr>
          <w:rFonts w:asciiTheme="majorHAnsi" w:hAnsiTheme="majorHAnsi"/>
          <w:sz w:val="20"/>
          <w:szCs w:val="20"/>
          <w:lang w:val="es-VE"/>
        </w:rPr>
        <w:t>debía</w:t>
      </w:r>
      <w:r w:rsidRPr="00E86A8F">
        <w:rPr>
          <w:rFonts w:asciiTheme="majorHAnsi" w:hAnsiTheme="majorHAnsi"/>
          <w:sz w:val="20"/>
          <w:szCs w:val="20"/>
          <w:lang w:val="es-VE"/>
        </w:rPr>
        <w:t xml:space="preserve"> haber presiones de algún tipo, pero ninguno dio cuenta de que esas presiones venían del </w:t>
      </w:r>
      <w:r w:rsidR="00601649" w:rsidRPr="00E86A8F">
        <w:rPr>
          <w:rFonts w:asciiTheme="majorHAnsi" w:hAnsiTheme="majorHAnsi"/>
          <w:sz w:val="20"/>
          <w:szCs w:val="20"/>
          <w:lang w:val="es-VE"/>
        </w:rPr>
        <w:t>s</w:t>
      </w:r>
      <w:r w:rsidRPr="00E86A8F">
        <w:rPr>
          <w:rFonts w:asciiTheme="majorHAnsi" w:hAnsiTheme="majorHAnsi"/>
          <w:sz w:val="20"/>
          <w:szCs w:val="20"/>
          <w:lang w:val="es-VE"/>
        </w:rPr>
        <w:t>enador</w:t>
      </w:r>
      <w:r w:rsidR="00601649" w:rsidRPr="00E86A8F">
        <w:rPr>
          <w:rFonts w:asciiTheme="majorHAnsi" w:hAnsiTheme="majorHAnsi"/>
          <w:sz w:val="20"/>
          <w:szCs w:val="20"/>
          <w:lang w:val="es-VE"/>
        </w:rPr>
        <w:t xml:space="preserve">. En este sentido, el juez de primera instancia no consideró </w:t>
      </w:r>
      <w:r w:rsidR="00D8166B" w:rsidRPr="00E86A8F">
        <w:rPr>
          <w:rFonts w:asciiTheme="majorHAnsi" w:hAnsiTheme="majorHAnsi"/>
          <w:sz w:val="20"/>
          <w:szCs w:val="20"/>
          <w:lang w:val="es-VE"/>
        </w:rPr>
        <w:t xml:space="preserve">como pruebas de razonabilidad </w:t>
      </w:r>
      <w:r w:rsidR="00601649" w:rsidRPr="00E86A8F">
        <w:rPr>
          <w:rFonts w:asciiTheme="majorHAnsi" w:hAnsiTheme="majorHAnsi"/>
          <w:sz w:val="20"/>
          <w:szCs w:val="20"/>
          <w:lang w:val="es-VE"/>
        </w:rPr>
        <w:t xml:space="preserve">suficientes las </w:t>
      </w:r>
      <w:r w:rsidR="00D8166B" w:rsidRPr="00E86A8F">
        <w:rPr>
          <w:rFonts w:asciiTheme="majorHAnsi" w:hAnsiTheme="majorHAnsi"/>
          <w:sz w:val="20"/>
          <w:szCs w:val="20"/>
          <w:lang w:val="es-VE"/>
        </w:rPr>
        <w:t>afirmaciones del señor Baraona</w:t>
      </w:r>
      <w:r w:rsidR="00D8166B" w:rsidRPr="00E86A8F">
        <w:rPr>
          <w:rStyle w:val="FootnoteReference"/>
          <w:rFonts w:asciiTheme="majorHAnsi" w:hAnsiTheme="majorHAnsi"/>
          <w:sz w:val="20"/>
          <w:szCs w:val="20"/>
          <w:lang w:val="es-VE"/>
        </w:rPr>
        <w:footnoteReference w:id="35"/>
      </w:r>
      <w:r w:rsidR="00D8166B" w:rsidRPr="00E86A8F">
        <w:rPr>
          <w:rFonts w:asciiTheme="majorHAnsi" w:hAnsiTheme="majorHAnsi"/>
          <w:sz w:val="20"/>
          <w:szCs w:val="20"/>
          <w:lang w:val="es-VE"/>
        </w:rPr>
        <w:t xml:space="preserve">. </w:t>
      </w:r>
    </w:p>
    <w:p w14:paraId="22E945F2" w14:textId="77777777" w:rsidR="0049725B" w:rsidRPr="00E86A8F" w:rsidRDefault="0049725B"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799585D8" w14:textId="740E93C4" w:rsidR="0023677D" w:rsidRPr="00E86A8F" w:rsidRDefault="00DC50A1"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 xml:space="preserve">Por lo señalado, el Juzgado de Garantía concluyó que Carlos Baraona Bray imputó a Sergio Páez “una falta de moralidad </w:t>
      </w:r>
      <w:r w:rsidR="008930E9" w:rsidRPr="00E86A8F">
        <w:rPr>
          <w:rFonts w:asciiTheme="majorHAnsi" w:hAnsiTheme="majorHAnsi"/>
          <w:sz w:val="20"/>
          <w:szCs w:val="20"/>
          <w:lang w:val="es-VE"/>
        </w:rPr>
        <w:t xml:space="preserve">consistente en presiones a autoridades públicas para el saneamiento de títulos de dominio y la tala ilegal de alerce debido a </w:t>
      </w:r>
      <w:r w:rsidR="00FE0155" w:rsidRPr="00E86A8F">
        <w:rPr>
          <w:rFonts w:asciiTheme="majorHAnsi" w:hAnsiTheme="majorHAnsi"/>
          <w:sz w:val="20"/>
          <w:szCs w:val="20"/>
          <w:lang w:val="es-VE"/>
        </w:rPr>
        <w:t>p</w:t>
      </w:r>
      <w:r w:rsidR="008930E9" w:rsidRPr="00E86A8F">
        <w:rPr>
          <w:rFonts w:asciiTheme="majorHAnsi" w:hAnsiTheme="majorHAnsi"/>
          <w:sz w:val="20"/>
          <w:szCs w:val="20"/>
          <w:lang w:val="es-VE"/>
        </w:rPr>
        <w:t>romesas electorales</w:t>
      </w:r>
      <w:r w:rsidR="00FE0155" w:rsidRPr="00E86A8F">
        <w:rPr>
          <w:rFonts w:asciiTheme="majorHAnsi" w:hAnsiTheme="majorHAnsi"/>
          <w:sz w:val="20"/>
          <w:szCs w:val="20"/>
          <w:lang w:val="es-VE"/>
        </w:rPr>
        <w:t>, sin que contara con antecedentes que dieran cuenta de ello […], [por lo que</w:t>
      </w:r>
      <w:r w:rsidR="00A920E2" w:rsidRPr="00E86A8F">
        <w:rPr>
          <w:rFonts w:asciiTheme="majorHAnsi" w:hAnsiTheme="majorHAnsi"/>
          <w:sz w:val="20"/>
          <w:szCs w:val="20"/>
          <w:lang w:val="es-VE"/>
        </w:rPr>
        <w:t>, resulta] desproporcionado sacrificar el derecho al honor frente a la libertad de expresión cuando las afirmaciones no tiene</w:t>
      </w:r>
      <w:r w:rsidR="007F4C4B" w:rsidRPr="00E86A8F">
        <w:rPr>
          <w:rFonts w:asciiTheme="majorHAnsi" w:hAnsiTheme="majorHAnsi"/>
          <w:sz w:val="20"/>
          <w:szCs w:val="20"/>
          <w:lang w:val="es-VE"/>
        </w:rPr>
        <w:t>n</w:t>
      </w:r>
      <w:r w:rsidR="00A920E2" w:rsidRPr="00E86A8F">
        <w:rPr>
          <w:rFonts w:asciiTheme="majorHAnsi" w:hAnsiTheme="majorHAnsi"/>
          <w:sz w:val="20"/>
          <w:szCs w:val="20"/>
          <w:lang w:val="es-VE"/>
        </w:rPr>
        <w:t xml:space="preserve"> el respaldo que se dice</w:t>
      </w:r>
      <w:r w:rsidR="00B67D7F" w:rsidRPr="00E86A8F">
        <w:rPr>
          <w:rFonts w:asciiTheme="majorHAnsi" w:hAnsiTheme="majorHAnsi"/>
          <w:sz w:val="20"/>
          <w:szCs w:val="20"/>
          <w:lang w:val="es-VE"/>
        </w:rPr>
        <w:t xml:space="preserve">, siendo que se trataba de meras conjeturas o rumores que no se presentan como tales sino como una verdad, todo lo cual ha significado que el querellante </w:t>
      </w:r>
      <w:r w:rsidR="00105A18" w:rsidRPr="00E86A8F">
        <w:rPr>
          <w:rFonts w:asciiTheme="majorHAnsi" w:hAnsiTheme="majorHAnsi"/>
          <w:sz w:val="20"/>
          <w:szCs w:val="20"/>
          <w:lang w:val="es-VE"/>
        </w:rPr>
        <w:t xml:space="preserve">haya sido involucrado [en los </w:t>
      </w:r>
      <w:r w:rsidR="00264C83" w:rsidRPr="00E86A8F">
        <w:rPr>
          <w:rFonts w:asciiTheme="majorHAnsi" w:hAnsiTheme="majorHAnsi"/>
          <w:sz w:val="20"/>
          <w:szCs w:val="20"/>
          <w:lang w:val="es-VE"/>
        </w:rPr>
        <w:t>hechos señalados], radicando en ello la gravedad de la injuria”</w:t>
      </w:r>
      <w:r w:rsidR="00264C83" w:rsidRPr="00E86A8F">
        <w:rPr>
          <w:rStyle w:val="FootnoteReference"/>
          <w:rFonts w:asciiTheme="majorHAnsi" w:hAnsiTheme="majorHAnsi"/>
          <w:sz w:val="20"/>
          <w:szCs w:val="20"/>
          <w:lang w:val="es-VE"/>
        </w:rPr>
        <w:footnoteReference w:id="36"/>
      </w:r>
      <w:r w:rsidR="00264C83" w:rsidRPr="00E86A8F">
        <w:rPr>
          <w:rFonts w:asciiTheme="majorHAnsi" w:hAnsiTheme="majorHAnsi"/>
          <w:sz w:val="20"/>
          <w:szCs w:val="20"/>
          <w:lang w:val="es-VE"/>
        </w:rPr>
        <w:t>.</w:t>
      </w:r>
    </w:p>
    <w:p w14:paraId="6E47CAD3" w14:textId="77777777" w:rsidR="00CA7565" w:rsidRPr="00E86A8F" w:rsidRDefault="00CA7565"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4F77E623" w14:textId="79F2BC9A" w:rsidR="00BF558B" w:rsidRPr="00E86A8F" w:rsidRDefault="007432F3" w:rsidP="00073BB6">
      <w:pPr>
        <w:pStyle w:val="Heading3"/>
        <w:keepNext w:val="0"/>
        <w:spacing w:before="0" w:after="0"/>
        <w:ind w:left="0" w:firstLine="0"/>
      </w:pPr>
      <w:bookmarkStart w:id="20" w:name="_Toc6937378"/>
      <w:bookmarkStart w:id="21" w:name="_Toc11073106"/>
      <w:r w:rsidRPr="00E86A8F">
        <w:t>Recurso de nulidad ante la Segunda Sala Penal</w:t>
      </w:r>
      <w:r w:rsidR="00B00F6C" w:rsidRPr="00E86A8F">
        <w:t xml:space="preserve"> </w:t>
      </w:r>
      <w:r w:rsidR="00BF558B" w:rsidRPr="00E86A8F">
        <w:t>de la Corte Suprema</w:t>
      </w:r>
      <w:bookmarkEnd w:id="20"/>
      <w:bookmarkEnd w:id="21"/>
      <w:r w:rsidR="00BF558B" w:rsidRPr="00E86A8F">
        <w:t xml:space="preserve"> </w:t>
      </w:r>
    </w:p>
    <w:p w14:paraId="703A4FD0" w14:textId="77777777" w:rsidR="0049725B" w:rsidRPr="00E86A8F" w:rsidRDefault="0049725B" w:rsidP="00073BB6">
      <w:pPr>
        <w:jc w:val="both"/>
        <w:rPr>
          <w:rFonts w:asciiTheme="majorHAnsi" w:hAnsiTheme="majorHAnsi"/>
          <w:sz w:val="20"/>
          <w:szCs w:val="20"/>
          <w:lang w:val="es-ES_tradnl"/>
        </w:rPr>
      </w:pPr>
    </w:p>
    <w:p w14:paraId="71032C96" w14:textId="0334C522" w:rsidR="00AE1A89" w:rsidRPr="00E86A8F" w:rsidRDefault="00AE1A89"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La Defensoría Penal Pública, en representación de Carlos Baraona, presentó un recurso de nulidad en contra de </w:t>
      </w:r>
      <w:r w:rsidR="006B3A0B" w:rsidRPr="00E86A8F">
        <w:rPr>
          <w:rFonts w:asciiTheme="majorHAnsi" w:hAnsiTheme="majorHAnsi"/>
          <w:sz w:val="20"/>
          <w:szCs w:val="20"/>
          <w:lang w:val="es-VE"/>
        </w:rPr>
        <w:t>la</w:t>
      </w:r>
      <w:r w:rsidRPr="00E86A8F">
        <w:rPr>
          <w:rFonts w:asciiTheme="majorHAnsi" w:hAnsiTheme="majorHAnsi"/>
          <w:sz w:val="20"/>
          <w:szCs w:val="20"/>
          <w:lang w:val="es-VE"/>
        </w:rPr>
        <w:t xml:space="preserve"> sentencia</w:t>
      </w:r>
      <w:r w:rsidR="006B3A0B" w:rsidRPr="00E86A8F">
        <w:rPr>
          <w:rFonts w:asciiTheme="majorHAnsi" w:hAnsiTheme="majorHAnsi"/>
          <w:sz w:val="20"/>
          <w:szCs w:val="20"/>
          <w:lang w:val="es-VE"/>
        </w:rPr>
        <w:t xml:space="preserve"> del Juzgado de Garantía de Puerto Montt</w:t>
      </w:r>
      <w:r w:rsidRPr="00E86A8F">
        <w:rPr>
          <w:rFonts w:asciiTheme="majorHAnsi" w:hAnsiTheme="majorHAnsi"/>
          <w:sz w:val="20"/>
          <w:szCs w:val="20"/>
          <w:lang w:val="es-VE"/>
        </w:rPr>
        <w:t xml:space="preserve">, el cual fue elevado a la Corte Suprema. </w:t>
      </w:r>
      <w:r w:rsidR="00402C9C" w:rsidRPr="00E86A8F">
        <w:rPr>
          <w:rFonts w:asciiTheme="majorHAnsi" w:hAnsiTheme="majorHAnsi"/>
          <w:sz w:val="20"/>
          <w:szCs w:val="20"/>
          <w:lang w:val="es-VE"/>
        </w:rPr>
        <w:t>El recurso se sustentó</w:t>
      </w:r>
      <w:r w:rsidRPr="00E86A8F">
        <w:rPr>
          <w:rFonts w:asciiTheme="majorHAnsi" w:hAnsiTheme="majorHAnsi"/>
          <w:sz w:val="20"/>
          <w:szCs w:val="20"/>
          <w:lang w:val="es-VE"/>
        </w:rPr>
        <w:t xml:space="preserve"> en la infracción sustancial del derecho de defensa, del debido proceso y del derecho a la libertad de expresión, así como en la errónea aplicación del derecho, ya que se condenó por un hecho que no constituía delito </w:t>
      </w:r>
      <w:r w:rsidR="00402C9C" w:rsidRPr="00E86A8F">
        <w:rPr>
          <w:rFonts w:asciiTheme="majorHAnsi" w:hAnsiTheme="majorHAnsi"/>
          <w:sz w:val="20"/>
          <w:szCs w:val="20"/>
          <w:lang w:val="es-VE"/>
        </w:rPr>
        <w:t xml:space="preserve">al </w:t>
      </w:r>
      <w:r w:rsidRPr="00E86A8F">
        <w:rPr>
          <w:rFonts w:asciiTheme="majorHAnsi" w:hAnsiTheme="majorHAnsi"/>
          <w:sz w:val="20"/>
          <w:szCs w:val="20"/>
          <w:lang w:val="es-VE"/>
        </w:rPr>
        <w:t xml:space="preserve">no haberse acreditado el </w:t>
      </w:r>
      <w:r w:rsidRPr="00E86A8F">
        <w:rPr>
          <w:rFonts w:asciiTheme="majorHAnsi" w:hAnsiTheme="majorHAnsi"/>
          <w:i/>
          <w:sz w:val="20"/>
          <w:szCs w:val="20"/>
          <w:lang w:val="es-VE"/>
        </w:rPr>
        <w:t>animus injuriandi</w:t>
      </w:r>
      <w:r w:rsidRPr="00E86A8F">
        <w:rPr>
          <w:rFonts w:asciiTheme="majorHAnsi" w:hAnsiTheme="majorHAnsi"/>
          <w:sz w:val="20"/>
          <w:szCs w:val="20"/>
          <w:lang w:val="es-VE"/>
        </w:rPr>
        <w:t xml:space="preserve"> y por haberse exigido la </w:t>
      </w:r>
      <w:r w:rsidRPr="00E86A8F">
        <w:rPr>
          <w:rFonts w:asciiTheme="majorHAnsi" w:hAnsiTheme="majorHAnsi"/>
          <w:i/>
          <w:sz w:val="20"/>
          <w:szCs w:val="20"/>
          <w:lang w:val="es-VE"/>
        </w:rPr>
        <w:t>exceptio veritatis</w:t>
      </w:r>
      <w:r w:rsidRPr="00E86A8F">
        <w:rPr>
          <w:rFonts w:asciiTheme="majorHAnsi" w:hAnsiTheme="majorHAnsi"/>
          <w:sz w:val="20"/>
          <w:szCs w:val="20"/>
          <w:lang w:val="es-VE"/>
        </w:rPr>
        <w:t xml:space="preserve"> de los dichos que supuestamente constituían injurias</w:t>
      </w:r>
      <w:r w:rsidR="00A316EC" w:rsidRPr="00E86A8F">
        <w:rPr>
          <w:rFonts w:asciiTheme="majorHAnsi" w:hAnsiTheme="majorHAnsi"/>
          <w:sz w:val="20"/>
          <w:szCs w:val="20"/>
          <w:lang w:val="es-VE"/>
        </w:rPr>
        <w:t xml:space="preserve">. </w:t>
      </w:r>
      <w:r w:rsidR="00402C9C" w:rsidRPr="00E86A8F">
        <w:rPr>
          <w:rFonts w:asciiTheme="majorHAnsi" w:hAnsiTheme="majorHAnsi"/>
          <w:sz w:val="20"/>
          <w:szCs w:val="20"/>
          <w:lang w:val="es-VE"/>
        </w:rPr>
        <w:t>Añadió que</w:t>
      </w:r>
      <w:r w:rsidRPr="00E86A8F">
        <w:rPr>
          <w:rFonts w:asciiTheme="majorHAnsi" w:hAnsiTheme="majorHAnsi"/>
          <w:sz w:val="20"/>
          <w:szCs w:val="20"/>
          <w:lang w:val="es-VE"/>
        </w:rPr>
        <w:t xml:space="preserve"> la veracidad </w:t>
      </w:r>
      <w:r w:rsidR="00BC2EE7" w:rsidRPr="00E86A8F">
        <w:rPr>
          <w:rFonts w:asciiTheme="majorHAnsi" w:hAnsiTheme="majorHAnsi"/>
          <w:sz w:val="20"/>
          <w:szCs w:val="20"/>
          <w:lang w:val="es-VE"/>
        </w:rPr>
        <w:t>o verosimilitu</w:t>
      </w:r>
      <w:r w:rsidR="00FB5DC1" w:rsidRPr="00E86A8F">
        <w:rPr>
          <w:rFonts w:asciiTheme="majorHAnsi" w:hAnsiTheme="majorHAnsi"/>
          <w:sz w:val="20"/>
          <w:szCs w:val="20"/>
          <w:lang w:val="es-VE"/>
        </w:rPr>
        <w:t>d</w:t>
      </w:r>
      <w:r w:rsidR="00BC2EE7" w:rsidRPr="00E86A8F">
        <w:rPr>
          <w:rFonts w:asciiTheme="majorHAnsi" w:hAnsiTheme="majorHAnsi"/>
          <w:sz w:val="20"/>
          <w:szCs w:val="20"/>
          <w:lang w:val="es-VE"/>
        </w:rPr>
        <w:t xml:space="preserve"> de la información</w:t>
      </w:r>
      <w:r w:rsidR="00BB0AE7" w:rsidRPr="00E86A8F">
        <w:rPr>
          <w:rFonts w:asciiTheme="majorHAnsi" w:hAnsiTheme="majorHAnsi"/>
          <w:sz w:val="20"/>
          <w:szCs w:val="20"/>
          <w:lang w:val="es-VE"/>
        </w:rPr>
        <w:t xml:space="preserve"> no es sinónimo de verdad</w:t>
      </w:r>
      <w:r w:rsidRPr="00E86A8F">
        <w:rPr>
          <w:rFonts w:asciiTheme="majorHAnsi" w:hAnsiTheme="majorHAnsi"/>
          <w:sz w:val="20"/>
          <w:szCs w:val="20"/>
          <w:lang w:val="es-VE"/>
        </w:rPr>
        <w:t xml:space="preserve"> absoluta sino que el ordenamiento jurídico ampara la información obtenida con la </w:t>
      </w:r>
      <w:r w:rsidRPr="00E86A8F">
        <w:rPr>
          <w:rFonts w:asciiTheme="majorHAnsi" w:hAnsiTheme="majorHAnsi"/>
          <w:sz w:val="20"/>
          <w:szCs w:val="20"/>
          <w:lang w:val="es-VE"/>
        </w:rPr>
        <w:lastRenderedPageBreak/>
        <w:t>necesaria diligencia y actuación de bu</w:t>
      </w:r>
      <w:r w:rsidR="00662DEB" w:rsidRPr="00E86A8F">
        <w:rPr>
          <w:rFonts w:asciiTheme="majorHAnsi" w:hAnsiTheme="majorHAnsi"/>
          <w:sz w:val="20"/>
          <w:szCs w:val="20"/>
          <w:lang w:val="es-VE"/>
        </w:rPr>
        <w:t>ena fe, a pesar de que después s</w:t>
      </w:r>
      <w:r w:rsidRPr="00E86A8F">
        <w:rPr>
          <w:rFonts w:asciiTheme="majorHAnsi" w:hAnsiTheme="majorHAnsi"/>
          <w:sz w:val="20"/>
          <w:szCs w:val="20"/>
          <w:lang w:val="es-VE"/>
        </w:rPr>
        <w:t>e determine que dicha información, si bien no fue transmitida con reconocida falsedad, fue errónea o inexacta</w:t>
      </w:r>
      <w:r w:rsidR="0022152C" w:rsidRPr="00E86A8F">
        <w:rPr>
          <w:rStyle w:val="FootnoteReference"/>
          <w:rFonts w:asciiTheme="majorHAnsi" w:hAnsiTheme="majorHAnsi"/>
          <w:sz w:val="20"/>
          <w:szCs w:val="20"/>
          <w:lang w:val="es-VE"/>
        </w:rPr>
        <w:footnoteReference w:id="37"/>
      </w:r>
      <w:r w:rsidRPr="00E86A8F">
        <w:rPr>
          <w:rFonts w:asciiTheme="majorHAnsi" w:hAnsiTheme="majorHAnsi"/>
          <w:sz w:val="20"/>
          <w:szCs w:val="20"/>
          <w:lang w:val="es-VE"/>
        </w:rPr>
        <w:t>.</w:t>
      </w:r>
    </w:p>
    <w:p w14:paraId="6A533488" w14:textId="77777777" w:rsidR="00720EC1" w:rsidRPr="00E86A8F" w:rsidRDefault="00720EC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9D533E9" w14:textId="689CB8D1" w:rsidR="00733597" w:rsidRPr="00E86A8F" w:rsidRDefault="004E638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La </w:t>
      </w:r>
      <w:r w:rsidR="00C62A4D" w:rsidRPr="00E86A8F">
        <w:rPr>
          <w:rFonts w:asciiTheme="majorHAnsi" w:hAnsiTheme="majorHAnsi"/>
          <w:sz w:val="20"/>
          <w:szCs w:val="20"/>
          <w:lang w:val="es-VE"/>
        </w:rPr>
        <w:t xml:space="preserve">Segunda Sala de la </w:t>
      </w:r>
      <w:r w:rsidRPr="00E86A8F">
        <w:rPr>
          <w:rFonts w:asciiTheme="majorHAnsi" w:hAnsiTheme="majorHAnsi"/>
          <w:sz w:val="20"/>
          <w:szCs w:val="20"/>
          <w:lang w:val="es-VE"/>
        </w:rPr>
        <w:t xml:space="preserve">Corte Suprema </w:t>
      </w:r>
      <w:r w:rsidR="00230105" w:rsidRPr="00E86A8F">
        <w:rPr>
          <w:rFonts w:asciiTheme="majorHAnsi" w:hAnsiTheme="majorHAnsi"/>
          <w:sz w:val="20"/>
          <w:szCs w:val="20"/>
          <w:lang w:val="es-VE"/>
        </w:rPr>
        <w:t xml:space="preserve">rechazó el recurso de nulidad interpuesto </w:t>
      </w:r>
      <w:r w:rsidR="00F6662B" w:rsidRPr="00E86A8F">
        <w:rPr>
          <w:rFonts w:asciiTheme="majorHAnsi" w:hAnsiTheme="majorHAnsi"/>
          <w:sz w:val="20"/>
          <w:szCs w:val="20"/>
          <w:lang w:val="es-VE"/>
        </w:rPr>
        <w:t>y concluyó</w:t>
      </w:r>
      <w:r w:rsidR="000C5334" w:rsidRPr="00E86A8F">
        <w:rPr>
          <w:rFonts w:asciiTheme="majorHAnsi" w:hAnsiTheme="majorHAnsi"/>
          <w:sz w:val="20"/>
          <w:szCs w:val="20"/>
          <w:lang w:val="es-VE"/>
        </w:rPr>
        <w:t xml:space="preserve"> que </w:t>
      </w:r>
      <w:r w:rsidR="00DD0C28" w:rsidRPr="00E86A8F">
        <w:rPr>
          <w:rFonts w:asciiTheme="majorHAnsi" w:hAnsiTheme="majorHAnsi"/>
          <w:sz w:val="20"/>
          <w:szCs w:val="20"/>
          <w:lang w:val="es-VE"/>
        </w:rPr>
        <w:t xml:space="preserve">si bien la libertad de opinión, por su naturaleza intrínseca no podía ser </w:t>
      </w:r>
      <w:r w:rsidR="00D80DEF" w:rsidRPr="00E86A8F">
        <w:rPr>
          <w:rFonts w:asciiTheme="majorHAnsi" w:hAnsiTheme="majorHAnsi"/>
          <w:sz w:val="20"/>
          <w:szCs w:val="20"/>
          <w:lang w:val="es-VE"/>
        </w:rPr>
        <w:t xml:space="preserve">calificada como abusiva o delictiva, </w:t>
      </w:r>
      <w:r w:rsidR="00983801" w:rsidRPr="00E86A8F">
        <w:rPr>
          <w:rFonts w:asciiTheme="majorHAnsi" w:hAnsiTheme="majorHAnsi"/>
          <w:sz w:val="20"/>
          <w:szCs w:val="20"/>
          <w:lang w:val="es-VE"/>
        </w:rPr>
        <w:t xml:space="preserve">no ocurría lo mismo con la libertad de información, respecto de conductas </w:t>
      </w:r>
      <w:r w:rsidR="00613297" w:rsidRPr="00E86A8F">
        <w:rPr>
          <w:rFonts w:asciiTheme="majorHAnsi" w:hAnsiTheme="majorHAnsi"/>
          <w:sz w:val="20"/>
          <w:szCs w:val="20"/>
          <w:lang w:val="es-VE"/>
        </w:rPr>
        <w:t>o hechos</w:t>
      </w:r>
      <w:r w:rsidR="00386437" w:rsidRPr="00E86A8F">
        <w:rPr>
          <w:rFonts w:asciiTheme="majorHAnsi" w:hAnsiTheme="majorHAnsi"/>
          <w:sz w:val="20"/>
          <w:szCs w:val="20"/>
          <w:lang w:val="es-VE"/>
        </w:rPr>
        <w:t xml:space="preserve"> que </w:t>
      </w:r>
      <w:r w:rsidR="00B7720A" w:rsidRPr="00E86A8F">
        <w:rPr>
          <w:rFonts w:asciiTheme="majorHAnsi" w:hAnsiTheme="majorHAnsi"/>
          <w:sz w:val="20"/>
          <w:szCs w:val="20"/>
          <w:lang w:val="es-VE"/>
        </w:rPr>
        <w:t>eran</w:t>
      </w:r>
      <w:r w:rsidR="00386437" w:rsidRPr="00E86A8F">
        <w:rPr>
          <w:rFonts w:asciiTheme="majorHAnsi" w:hAnsiTheme="majorHAnsi"/>
          <w:sz w:val="20"/>
          <w:szCs w:val="20"/>
          <w:lang w:val="es-VE"/>
        </w:rPr>
        <w:t xml:space="preserve"> comprobables</w:t>
      </w:r>
      <w:r w:rsidR="00B7720A" w:rsidRPr="00E86A8F">
        <w:rPr>
          <w:rFonts w:asciiTheme="majorHAnsi" w:hAnsiTheme="majorHAnsi"/>
          <w:sz w:val="20"/>
          <w:szCs w:val="20"/>
          <w:lang w:val="es-VE"/>
        </w:rPr>
        <w:t xml:space="preserve">, como </w:t>
      </w:r>
      <w:r w:rsidR="008A56D2" w:rsidRPr="00E86A8F">
        <w:rPr>
          <w:rFonts w:asciiTheme="majorHAnsi" w:hAnsiTheme="majorHAnsi"/>
          <w:sz w:val="20"/>
          <w:szCs w:val="20"/>
          <w:lang w:val="es-VE"/>
        </w:rPr>
        <w:t xml:space="preserve">los hechos narrados en el presente caso con respecto al </w:t>
      </w:r>
      <w:r w:rsidR="00486700" w:rsidRPr="00E86A8F">
        <w:rPr>
          <w:rFonts w:asciiTheme="majorHAnsi" w:hAnsiTheme="majorHAnsi"/>
          <w:sz w:val="20"/>
          <w:szCs w:val="20"/>
          <w:lang w:val="es-VE"/>
        </w:rPr>
        <w:t>senador</w:t>
      </w:r>
      <w:r w:rsidR="008A56D2" w:rsidRPr="00E86A8F">
        <w:rPr>
          <w:rFonts w:asciiTheme="majorHAnsi" w:hAnsiTheme="majorHAnsi"/>
          <w:sz w:val="20"/>
          <w:szCs w:val="20"/>
          <w:lang w:val="es-VE"/>
        </w:rPr>
        <w:t xml:space="preserve"> Sergio Páez</w:t>
      </w:r>
      <w:r w:rsidR="00386437" w:rsidRPr="00E86A8F">
        <w:rPr>
          <w:rFonts w:asciiTheme="majorHAnsi" w:hAnsiTheme="majorHAnsi"/>
          <w:sz w:val="20"/>
          <w:szCs w:val="20"/>
          <w:lang w:val="es-VE"/>
        </w:rPr>
        <w:t xml:space="preserve">. </w:t>
      </w:r>
      <w:r w:rsidR="00B72FD2" w:rsidRPr="00E86A8F">
        <w:rPr>
          <w:rFonts w:asciiTheme="majorHAnsi" w:hAnsiTheme="majorHAnsi"/>
          <w:sz w:val="20"/>
          <w:szCs w:val="20"/>
          <w:lang w:val="es-VE"/>
        </w:rPr>
        <w:t xml:space="preserve">Estableció que la libertad de información no incluía la transmisión de hechos falsos, </w:t>
      </w:r>
      <w:r w:rsidR="00EC1BE2" w:rsidRPr="00E86A8F">
        <w:rPr>
          <w:rFonts w:asciiTheme="majorHAnsi" w:hAnsiTheme="majorHAnsi"/>
          <w:sz w:val="20"/>
          <w:szCs w:val="20"/>
          <w:lang w:val="es-VE"/>
        </w:rPr>
        <w:t xml:space="preserve">ya que la Constitución no protegía el derecho a la desinformación ni al insulto. </w:t>
      </w:r>
      <w:r w:rsidR="00E160BE" w:rsidRPr="00E86A8F">
        <w:rPr>
          <w:rFonts w:asciiTheme="majorHAnsi" w:hAnsiTheme="majorHAnsi"/>
          <w:sz w:val="20"/>
          <w:szCs w:val="20"/>
          <w:lang w:val="es-VE"/>
        </w:rPr>
        <w:t xml:space="preserve">De este modo, </w:t>
      </w:r>
      <w:r w:rsidR="008A56D2" w:rsidRPr="00E86A8F">
        <w:rPr>
          <w:rFonts w:asciiTheme="majorHAnsi" w:hAnsiTheme="majorHAnsi"/>
          <w:sz w:val="20"/>
          <w:szCs w:val="20"/>
          <w:lang w:val="es-VE"/>
        </w:rPr>
        <w:t>la Corte Suprema concluyó</w:t>
      </w:r>
      <w:r w:rsidR="00E160BE" w:rsidRPr="00E86A8F">
        <w:rPr>
          <w:rFonts w:asciiTheme="majorHAnsi" w:hAnsiTheme="majorHAnsi"/>
          <w:sz w:val="20"/>
          <w:szCs w:val="20"/>
          <w:lang w:val="es-VE"/>
        </w:rPr>
        <w:t xml:space="preserve"> que “[Carlos Baraona] informó ciertos aspectos, que aun teniendo el carácter de públicos, constituyeron la narración de hechos que razonablemente no eran veraces, </w:t>
      </w:r>
      <w:r w:rsidR="00E77C68" w:rsidRPr="00E86A8F">
        <w:rPr>
          <w:rFonts w:asciiTheme="majorHAnsi" w:hAnsiTheme="majorHAnsi"/>
          <w:sz w:val="20"/>
          <w:szCs w:val="20"/>
          <w:lang w:val="es-VE"/>
        </w:rPr>
        <w:t>puesto que claramente no fueron probados n</w:t>
      </w:r>
      <w:r w:rsidR="00A349A0" w:rsidRPr="00E86A8F">
        <w:rPr>
          <w:rFonts w:asciiTheme="majorHAnsi" w:hAnsiTheme="majorHAnsi"/>
          <w:sz w:val="20"/>
          <w:szCs w:val="20"/>
          <w:lang w:val="es-VE"/>
        </w:rPr>
        <w:t>i</w:t>
      </w:r>
      <w:r w:rsidR="00E77C68" w:rsidRPr="00E86A8F">
        <w:rPr>
          <w:rFonts w:asciiTheme="majorHAnsi" w:hAnsiTheme="majorHAnsi"/>
          <w:sz w:val="20"/>
          <w:szCs w:val="20"/>
          <w:lang w:val="es-VE"/>
        </w:rPr>
        <w:t xml:space="preserve"> contrastados en su veracidad por otras informaciones o fuentes noticiosas</w:t>
      </w:r>
      <w:r w:rsidR="00A349A0" w:rsidRPr="00E86A8F">
        <w:rPr>
          <w:rFonts w:asciiTheme="majorHAnsi" w:hAnsiTheme="majorHAnsi"/>
          <w:sz w:val="20"/>
          <w:szCs w:val="20"/>
          <w:lang w:val="es-VE"/>
        </w:rPr>
        <w:t>[</w:t>
      </w:r>
      <w:r w:rsidR="0052465E" w:rsidRPr="00E86A8F">
        <w:rPr>
          <w:rFonts w:asciiTheme="majorHAnsi" w:hAnsiTheme="majorHAnsi"/>
          <w:sz w:val="20"/>
          <w:szCs w:val="20"/>
          <w:lang w:val="es-VE"/>
        </w:rPr>
        <w:t>.]</w:t>
      </w:r>
      <w:r w:rsidR="00E77C68" w:rsidRPr="00E86A8F">
        <w:rPr>
          <w:rFonts w:asciiTheme="majorHAnsi" w:hAnsiTheme="majorHAnsi"/>
          <w:sz w:val="20"/>
          <w:szCs w:val="20"/>
          <w:lang w:val="es-VE"/>
        </w:rPr>
        <w:t xml:space="preserve"> </w:t>
      </w:r>
      <w:r w:rsidR="0052465E" w:rsidRPr="00E86A8F">
        <w:rPr>
          <w:rFonts w:asciiTheme="majorHAnsi" w:hAnsiTheme="majorHAnsi"/>
          <w:sz w:val="20"/>
          <w:szCs w:val="20"/>
          <w:lang w:val="es-VE"/>
        </w:rPr>
        <w:t>R</w:t>
      </w:r>
      <w:r w:rsidR="00E77C68" w:rsidRPr="00E86A8F">
        <w:rPr>
          <w:rFonts w:asciiTheme="majorHAnsi" w:hAnsiTheme="majorHAnsi"/>
          <w:sz w:val="20"/>
          <w:szCs w:val="20"/>
          <w:lang w:val="es-VE"/>
        </w:rPr>
        <w:t>esult</w:t>
      </w:r>
      <w:r w:rsidR="0052465E" w:rsidRPr="00E86A8F">
        <w:rPr>
          <w:rFonts w:asciiTheme="majorHAnsi" w:hAnsiTheme="majorHAnsi"/>
          <w:sz w:val="20"/>
          <w:szCs w:val="20"/>
          <w:lang w:val="es-VE"/>
        </w:rPr>
        <w:t>[ó]</w:t>
      </w:r>
      <w:r w:rsidR="00E77C68" w:rsidRPr="00E86A8F">
        <w:rPr>
          <w:rFonts w:asciiTheme="majorHAnsi" w:hAnsiTheme="majorHAnsi"/>
          <w:sz w:val="20"/>
          <w:szCs w:val="20"/>
          <w:lang w:val="es-VE"/>
        </w:rPr>
        <w:t xml:space="preserve"> evidente </w:t>
      </w:r>
      <w:r w:rsidR="004728DB" w:rsidRPr="00E86A8F">
        <w:rPr>
          <w:rFonts w:asciiTheme="majorHAnsi" w:hAnsiTheme="majorHAnsi"/>
          <w:sz w:val="20"/>
          <w:szCs w:val="20"/>
          <w:lang w:val="es-VE"/>
        </w:rPr>
        <w:t xml:space="preserve">que el querellado excedió los límites razonables y prudentes de lo que temerariamente divulgó como hechos verdaderos, siendo falsos y en este aspecto no te[nía] la protección constitucional </w:t>
      </w:r>
      <w:r w:rsidR="00DC2118" w:rsidRPr="00E86A8F">
        <w:rPr>
          <w:rFonts w:asciiTheme="majorHAnsi" w:hAnsiTheme="majorHAnsi"/>
          <w:sz w:val="20"/>
          <w:szCs w:val="20"/>
          <w:lang w:val="es-VE"/>
        </w:rPr>
        <w:t>que exig[ía], pero además, dañó a otra persona</w:t>
      </w:r>
      <w:r w:rsidR="00707C8F" w:rsidRPr="00E86A8F">
        <w:rPr>
          <w:rFonts w:asciiTheme="majorHAnsi" w:hAnsiTheme="majorHAnsi"/>
          <w:sz w:val="20"/>
          <w:szCs w:val="20"/>
          <w:lang w:val="es-VE"/>
        </w:rPr>
        <w:t>, quien también tenía [el de</w:t>
      </w:r>
      <w:r w:rsidR="0052465E" w:rsidRPr="00E86A8F">
        <w:rPr>
          <w:rFonts w:asciiTheme="majorHAnsi" w:hAnsiTheme="majorHAnsi"/>
          <w:sz w:val="20"/>
          <w:szCs w:val="20"/>
          <w:lang w:val="es-VE"/>
        </w:rPr>
        <w:t>re</w:t>
      </w:r>
      <w:r w:rsidR="00707C8F" w:rsidRPr="00E86A8F">
        <w:rPr>
          <w:rFonts w:asciiTheme="majorHAnsi" w:hAnsiTheme="majorHAnsi"/>
          <w:sz w:val="20"/>
          <w:szCs w:val="20"/>
          <w:lang w:val="es-VE"/>
        </w:rPr>
        <w:t>cho] a la honra”</w:t>
      </w:r>
      <w:r w:rsidR="00707C8F" w:rsidRPr="00E86A8F">
        <w:rPr>
          <w:rStyle w:val="FootnoteReference"/>
          <w:rFonts w:asciiTheme="majorHAnsi" w:hAnsiTheme="majorHAnsi"/>
          <w:sz w:val="20"/>
          <w:szCs w:val="20"/>
          <w:lang w:val="es-VE"/>
        </w:rPr>
        <w:footnoteReference w:id="38"/>
      </w:r>
      <w:r w:rsidR="00B7720A" w:rsidRPr="00E86A8F">
        <w:rPr>
          <w:rFonts w:asciiTheme="majorHAnsi" w:hAnsiTheme="majorHAnsi"/>
          <w:sz w:val="20"/>
          <w:szCs w:val="20"/>
          <w:lang w:val="es-VE"/>
        </w:rPr>
        <w:t>.</w:t>
      </w:r>
      <w:r w:rsidR="00F86083" w:rsidRPr="00E86A8F">
        <w:rPr>
          <w:rFonts w:asciiTheme="majorHAnsi" w:hAnsiTheme="majorHAnsi"/>
          <w:sz w:val="20"/>
          <w:szCs w:val="20"/>
          <w:lang w:val="es-VE"/>
        </w:rPr>
        <w:t xml:space="preserve"> </w:t>
      </w:r>
    </w:p>
    <w:p w14:paraId="72DEAE5B" w14:textId="77777777" w:rsidR="00720EC1" w:rsidRPr="00E86A8F" w:rsidRDefault="00720EC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6D0E1079" w14:textId="63D3CC99" w:rsidR="004E6387" w:rsidRPr="00E86A8F" w:rsidRDefault="00F86083"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En relación con el </w:t>
      </w:r>
      <w:r w:rsidR="00F6662B" w:rsidRPr="00E86A8F">
        <w:rPr>
          <w:rFonts w:asciiTheme="majorHAnsi" w:hAnsiTheme="majorHAnsi"/>
          <w:i/>
          <w:sz w:val="20"/>
          <w:szCs w:val="20"/>
          <w:lang w:val="es-VE"/>
        </w:rPr>
        <w:t>animus injur</w:t>
      </w:r>
      <w:r w:rsidRPr="00E86A8F">
        <w:rPr>
          <w:rFonts w:asciiTheme="majorHAnsi" w:hAnsiTheme="majorHAnsi"/>
          <w:i/>
          <w:sz w:val="20"/>
          <w:szCs w:val="20"/>
          <w:lang w:val="es-VE"/>
        </w:rPr>
        <w:t>i</w:t>
      </w:r>
      <w:r w:rsidR="00F6662B" w:rsidRPr="00E86A8F">
        <w:rPr>
          <w:rFonts w:asciiTheme="majorHAnsi" w:hAnsiTheme="majorHAnsi"/>
          <w:i/>
          <w:sz w:val="20"/>
          <w:szCs w:val="20"/>
          <w:lang w:val="es-VE"/>
        </w:rPr>
        <w:t>andi</w:t>
      </w:r>
      <w:r w:rsidRPr="00E86A8F">
        <w:rPr>
          <w:rFonts w:asciiTheme="majorHAnsi" w:hAnsiTheme="majorHAnsi"/>
          <w:sz w:val="20"/>
          <w:szCs w:val="20"/>
          <w:lang w:val="es-VE"/>
        </w:rPr>
        <w:t xml:space="preserve">, la Corte Suprema </w:t>
      </w:r>
      <w:r w:rsidR="00E82EFD" w:rsidRPr="00E86A8F">
        <w:rPr>
          <w:rFonts w:asciiTheme="majorHAnsi" w:hAnsiTheme="majorHAnsi"/>
          <w:sz w:val="20"/>
          <w:szCs w:val="20"/>
          <w:lang w:val="es-VE"/>
        </w:rPr>
        <w:t>estableció que si bien para ciertas figuras penales el legislador exigía la concurrencia de un ánimo especial como elemento típico</w:t>
      </w:r>
      <w:r w:rsidR="007C30C0" w:rsidRPr="00E86A8F">
        <w:rPr>
          <w:rFonts w:asciiTheme="majorHAnsi" w:hAnsiTheme="majorHAnsi"/>
          <w:sz w:val="20"/>
          <w:szCs w:val="20"/>
          <w:lang w:val="es-VE"/>
        </w:rPr>
        <w:t xml:space="preserve">, lo que se producía normalmente con las expresiones maliciosamente o a sabiendas, intención que cierta doctrina </w:t>
      </w:r>
      <w:r w:rsidR="00EB249C" w:rsidRPr="00E86A8F">
        <w:rPr>
          <w:rFonts w:asciiTheme="majorHAnsi" w:hAnsiTheme="majorHAnsi"/>
          <w:sz w:val="20"/>
          <w:szCs w:val="20"/>
          <w:lang w:val="es-VE"/>
        </w:rPr>
        <w:t xml:space="preserve">creía concurrente el delito de injurias, </w:t>
      </w:r>
      <w:r w:rsidR="00536C5C" w:rsidRPr="00E86A8F">
        <w:rPr>
          <w:rFonts w:asciiTheme="majorHAnsi" w:hAnsiTheme="majorHAnsi"/>
          <w:sz w:val="20"/>
          <w:szCs w:val="20"/>
          <w:lang w:val="es-VE"/>
        </w:rPr>
        <w:t xml:space="preserve">ya existían criterios jurisprudenciales </w:t>
      </w:r>
      <w:r w:rsidR="00AD4EB8" w:rsidRPr="00E86A8F">
        <w:rPr>
          <w:rFonts w:asciiTheme="majorHAnsi" w:hAnsiTheme="majorHAnsi"/>
          <w:sz w:val="20"/>
          <w:szCs w:val="20"/>
          <w:lang w:val="es-VE"/>
        </w:rPr>
        <w:t>mediante</w:t>
      </w:r>
      <w:r w:rsidR="00C23A39" w:rsidRPr="00E86A8F">
        <w:rPr>
          <w:rFonts w:asciiTheme="majorHAnsi" w:hAnsiTheme="majorHAnsi"/>
          <w:sz w:val="20"/>
          <w:szCs w:val="20"/>
          <w:lang w:val="es-VE"/>
        </w:rPr>
        <w:t xml:space="preserve"> </w:t>
      </w:r>
      <w:r w:rsidR="00AD4EB8" w:rsidRPr="00E86A8F">
        <w:rPr>
          <w:rFonts w:asciiTheme="majorHAnsi" w:hAnsiTheme="majorHAnsi"/>
          <w:sz w:val="20"/>
          <w:szCs w:val="20"/>
          <w:lang w:val="es-VE"/>
        </w:rPr>
        <w:t>los cuales se entendía a ese ánimo de injuria como el dolo del delito</w:t>
      </w:r>
      <w:r w:rsidR="00BB55F3" w:rsidRPr="00E86A8F">
        <w:rPr>
          <w:rFonts w:asciiTheme="majorHAnsi" w:hAnsiTheme="majorHAnsi"/>
          <w:sz w:val="20"/>
          <w:szCs w:val="20"/>
          <w:lang w:val="es-VE"/>
        </w:rPr>
        <w:t xml:space="preserve">, consistente simplemente en saber que la expresión que se profiere o la acción que se ejecuta es deshonrosa, desacreditadora o </w:t>
      </w:r>
      <w:r w:rsidR="000751FF" w:rsidRPr="00E86A8F">
        <w:rPr>
          <w:rFonts w:asciiTheme="majorHAnsi" w:hAnsiTheme="majorHAnsi"/>
          <w:sz w:val="20"/>
          <w:szCs w:val="20"/>
          <w:lang w:val="es-VE"/>
        </w:rPr>
        <w:t>menospreciadora</w:t>
      </w:r>
      <w:r w:rsidR="00BB7623" w:rsidRPr="00E86A8F">
        <w:rPr>
          <w:rStyle w:val="FootnoteReference"/>
          <w:rFonts w:asciiTheme="majorHAnsi" w:hAnsiTheme="majorHAnsi"/>
          <w:sz w:val="20"/>
          <w:szCs w:val="20"/>
          <w:lang w:val="es-VE"/>
        </w:rPr>
        <w:footnoteReference w:id="39"/>
      </w:r>
      <w:r w:rsidR="00BB55F3" w:rsidRPr="00E86A8F">
        <w:rPr>
          <w:rFonts w:asciiTheme="majorHAnsi" w:hAnsiTheme="majorHAnsi"/>
          <w:sz w:val="20"/>
          <w:szCs w:val="20"/>
          <w:lang w:val="es-VE"/>
        </w:rPr>
        <w:t xml:space="preserve">. </w:t>
      </w:r>
      <w:r w:rsidR="000751FF" w:rsidRPr="00E86A8F">
        <w:rPr>
          <w:rFonts w:asciiTheme="majorHAnsi" w:hAnsiTheme="majorHAnsi"/>
          <w:sz w:val="20"/>
          <w:szCs w:val="20"/>
          <w:lang w:val="es-VE"/>
        </w:rPr>
        <w:t xml:space="preserve">Por lo antes señalado, la Corte Suprema </w:t>
      </w:r>
      <w:r w:rsidR="00BB7623" w:rsidRPr="00E86A8F">
        <w:rPr>
          <w:rFonts w:asciiTheme="majorHAnsi" w:hAnsiTheme="majorHAnsi"/>
          <w:sz w:val="20"/>
          <w:szCs w:val="20"/>
          <w:lang w:val="es-VE"/>
        </w:rPr>
        <w:t>coincidió con lo establecido en la sentencia del Juzgado de Garantía.</w:t>
      </w:r>
    </w:p>
    <w:p w14:paraId="3A1771B3" w14:textId="77777777" w:rsidR="00720EC1" w:rsidRPr="00E86A8F" w:rsidRDefault="00720EC1" w:rsidP="00073BB6">
      <w:pPr>
        <w:pStyle w:val="ListParagraph"/>
        <w:ind w:left="0"/>
        <w:jc w:val="both"/>
        <w:rPr>
          <w:rFonts w:asciiTheme="majorHAnsi" w:hAnsiTheme="majorHAnsi"/>
          <w:sz w:val="20"/>
          <w:szCs w:val="20"/>
          <w:lang w:val="es-ES_tradnl"/>
        </w:rPr>
      </w:pPr>
    </w:p>
    <w:p w14:paraId="5950E280" w14:textId="0C306587" w:rsidR="00DD6E40" w:rsidRPr="00E86A8F" w:rsidRDefault="00E8545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Con posterioridad a la condena emitida contra Carlos Baraona</w:t>
      </w:r>
      <w:r w:rsidR="00B06F14" w:rsidRPr="00E86A8F">
        <w:rPr>
          <w:rFonts w:asciiTheme="majorHAnsi" w:hAnsiTheme="majorHAnsi"/>
          <w:sz w:val="20"/>
          <w:szCs w:val="20"/>
          <w:lang w:val="es-VE"/>
        </w:rPr>
        <w:t>,</w:t>
      </w:r>
      <w:r w:rsidRPr="00E86A8F">
        <w:rPr>
          <w:rFonts w:asciiTheme="majorHAnsi" w:hAnsiTheme="majorHAnsi"/>
          <w:sz w:val="20"/>
          <w:szCs w:val="20"/>
          <w:lang w:val="es-VE"/>
        </w:rPr>
        <w:t xml:space="preserve"> este</w:t>
      </w:r>
      <w:r w:rsidR="00455896" w:rsidRPr="00E86A8F">
        <w:rPr>
          <w:rFonts w:asciiTheme="majorHAnsi" w:hAnsiTheme="majorHAnsi"/>
          <w:sz w:val="20"/>
          <w:szCs w:val="20"/>
          <w:lang w:val="es-VE"/>
        </w:rPr>
        <w:t xml:space="preserve"> dejó de pronunciarse sobre </w:t>
      </w:r>
      <w:r w:rsidR="00290DE1" w:rsidRPr="00E86A8F">
        <w:rPr>
          <w:rFonts w:asciiTheme="majorHAnsi" w:hAnsiTheme="majorHAnsi"/>
          <w:sz w:val="20"/>
          <w:szCs w:val="20"/>
          <w:lang w:val="es-VE"/>
        </w:rPr>
        <w:t xml:space="preserve">la tala ilegal del alerce, o sobre la participación del </w:t>
      </w:r>
      <w:r w:rsidR="00486700" w:rsidRPr="00E86A8F">
        <w:rPr>
          <w:rFonts w:asciiTheme="majorHAnsi" w:hAnsiTheme="majorHAnsi"/>
          <w:sz w:val="20"/>
          <w:szCs w:val="20"/>
          <w:lang w:val="es-VE"/>
        </w:rPr>
        <w:t>senador</w:t>
      </w:r>
      <w:r w:rsidR="00290DE1" w:rsidRPr="00E86A8F">
        <w:rPr>
          <w:rFonts w:asciiTheme="majorHAnsi" w:hAnsiTheme="majorHAnsi"/>
          <w:sz w:val="20"/>
          <w:szCs w:val="20"/>
          <w:lang w:val="es-VE"/>
        </w:rPr>
        <w:t xml:space="preserve"> </w:t>
      </w:r>
      <w:r w:rsidR="00686762" w:rsidRPr="00E86A8F">
        <w:rPr>
          <w:rFonts w:asciiTheme="majorHAnsi" w:hAnsiTheme="majorHAnsi"/>
          <w:sz w:val="20"/>
          <w:szCs w:val="20"/>
          <w:lang w:val="es-VE"/>
        </w:rPr>
        <w:t xml:space="preserve">Páez o de cualquier otro funcionario </w:t>
      </w:r>
      <w:r w:rsidR="00A57E03" w:rsidRPr="00E86A8F">
        <w:rPr>
          <w:rFonts w:asciiTheme="majorHAnsi" w:hAnsiTheme="majorHAnsi"/>
          <w:sz w:val="20"/>
          <w:szCs w:val="20"/>
          <w:lang w:val="es-VE"/>
        </w:rPr>
        <w:t>público</w:t>
      </w:r>
      <w:r w:rsidR="005722C8" w:rsidRPr="00E86A8F">
        <w:rPr>
          <w:rFonts w:asciiTheme="majorHAnsi" w:hAnsiTheme="majorHAnsi"/>
          <w:sz w:val="20"/>
          <w:szCs w:val="20"/>
          <w:lang w:val="es-VE"/>
        </w:rPr>
        <w:t xml:space="preserve"> en relación con el tema, hasta que en el año 2006</w:t>
      </w:r>
      <w:r w:rsidR="00A50341" w:rsidRPr="00E86A8F">
        <w:rPr>
          <w:rFonts w:asciiTheme="majorHAnsi" w:hAnsiTheme="majorHAnsi"/>
          <w:sz w:val="20"/>
          <w:szCs w:val="20"/>
          <w:lang w:val="es-VE"/>
        </w:rPr>
        <w:t>, fue contactado por el Canal de Televisión Nacional de Chile</w:t>
      </w:r>
      <w:r w:rsidR="00C25D16" w:rsidRPr="00E86A8F">
        <w:rPr>
          <w:rFonts w:asciiTheme="majorHAnsi" w:hAnsiTheme="majorHAnsi"/>
          <w:sz w:val="20"/>
          <w:szCs w:val="20"/>
          <w:lang w:val="es-VE"/>
        </w:rPr>
        <w:t xml:space="preserve"> con el fin de que contara la historia sobre el proceso penal de 2004 y las razones por las cuales había sido condenado. En virtud de ello, el 14 de noviembre de 2006</w:t>
      </w:r>
      <w:r w:rsidR="00A25D79" w:rsidRPr="00E86A8F">
        <w:rPr>
          <w:rFonts w:asciiTheme="majorHAnsi" w:hAnsiTheme="majorHAnsi"/>
          <w:sz w:val="20"/>
          <w:szCs w:val="20"/>
          <w:lang w:val="es-VE"/>
        </w:rPr>
        <w:t xml:space="preserve">, en el programa “Piel de Jaguar”, se entrevistaron a distintas personas vinculadas </w:t>
      </w:r>
      <w:r w:rsidR="0004483E" w:rsidRPr="00E86A8F">
        <w:rPr>
          <w:rFonts w:asciiTheme="majorHAnsi" w:hAnsiTheme="majorHAnsi"/>
          <w:sz w:val="20"/>
          <w:szCs w:val="20"/>
          <w:lang w:val="es-VE"/>
        </w:rPr>
        <w:t>con</w:t>
      </w:r>
      <w:r w:rsidR="004A2181" w:rsidRPr="00E86A8F">
        <w:rPr>
          <w:rFonts w:asciiTheme="majorHAnsi" w:hAnsiTheme="majorHAnsi"/>
          <w:sz w:val="20"/>
          <w:szCs w:val="20"/>
          <w:lang w:val="es-VE"/>
        </w:rPr>
        <w:t xml:space="preserve"> la tala del alerce con el fin de </w:t>
      </w:r>
      <w:r w:rsidR="007B1F5C" w:rsidRPr="00E86A8F">
        <w:rPr>
          <w:rFonts w:asciiTheme="majorHAnsi" w:hAnsiTheme="majorHAnsi"/>
          <w:sz w:val="20"/>
          <w:szCs w:val="20"/>
          <w:lang w:val="es-VE"/>
        </w:rPr>
        <w:t xml:space="preserve">brindar una explicación en relación </w:t>
      </w:r>
      <w:r w:rsidR="007E25DA" w:rsidRPr="00E86A8F">
        <w:rPr>
          <w:rFonts w:asciiTheme="majorHAnsi" w:hAnsiTheme="majorHAnsi"/>
          <w:sz w:val="20"/>
          <w:szCs w:val="20"/>
          <w:lang w:val="es-VE"/>
        </w:rPr>
        <w:t xml:space="preserve">con su </w:t>
      </w:r>
      <w:r w:rsidR="0004483E" w:rsidRPr="00E86A8F">
        <w:rPr>
          <w:rFonts w:asciiTheme="majorHAnsi" w:hAnsiTheme="majorHAnsi"/>
          <w:sz w:val="20"/>
          <w:szCs w:val="20"/>
          <w:lang w:val="es-VE"/>
        </w:rPr>
        <w:t>tráfico</w:t>
      </w:r>
      <w:r w:rsidR="007E25DA" w:rsidRPr="00E86A8F">
        <w:rPr>
          <w:rFonts w:asciiTheme="majorHAnsi" w:hAnsiTheme="majorHAnsi"/>
          <w:sz w:val="20"/>
          <w:szCs w:val="20"/>
          <w:lang w:val="es-VE"/>
        </w:rPr>
        <w:t xml:space="preserve">, </w:t>
      </w:r>
      <w:r w:rsidR="0004483E" w:rsidRPr="00E86A8F">
        <w:rPr>
          <w:rFonts w:asciiTheme="majorHAnsi" w:hAnsiTheme="majorHAnsi"/>
          <w:sz w:val="20"/>
          <w:szCs w:val="20"/>
          <w:lang w:val="es-VE"/>
        </w:rPr>
        <w:t xml:space="preserve">alegada </w:t>
      </w:r>
      <w:r w:rsidR="007E25DA" w:rsidRPr="00E86A8F">
        <w:rPr>
          <w:rFonts w:asciiTheme="majorHAnsi" w:hAnsiTheme="majorHAnsi"/>
          <w:sz w:val="20"/>
          <w:szCs w:val="20"/>
          <w:lang w:val="es-VE"/>
        </w:rPr>
        <w:t xml:space="preserve">corrupción en la CONAF, entre otros temas. El señor Baraona relató </w:t>
      </w:r>
      <w:r w:rsidR="00982A24" w:rsidRPr="00E86A8F">
        <w:rPr>
          <w:rFonts w:asciiTheme="majorHAnsi" w:hAnsiTheme="majorHAnsi"/>
          <w:sz w:val="20"/>
          <w:szCs w:val="20"/>
          <w:lang w:val="es-VE"/>
        </w:rPr>
        <w:t xml:space="preserve">lo ocurrido en su proceso penal y las razones por las cuales fue condenado por injurias. Debido a ello, el 19 de junio de 2006, el </w:t>
      </w:r>
      <w:r w:rsidR="00486700" w:rsidRPr="00E86A8F">
        <w:rPr>
          <w:rFonts w:asciiTheme="majorHAnsi" w:hAnsiTheme="majorHAnsi"/>
          <w:sz w:val="20"/>
          <w:szCs w:val="20"/>
          <w:lang w:val="es-VE"/>
        </w:rPr>
        <w:t>senador</w:t>
      </w:r>
      <w:r w:rsidR="00982A24" w:rsidRPr="00E86A8F">
        <w:rPr>
          <w:rFonts w:asciiTheme="majorHAnsi" w:hAnsiTheme="majorHAnsi"/>
          <w:sz w:val="20"/>
          <w:szCs w:val="20"/>
          <w:lang w:val="es-VE"/>
        </w:rPr>
        <w:t xml:space="preserve"> Paéz presentó una nueva querella por injurias graves en contra</w:t>
      </w:r>
      <w:r w:rsidR="00C71DD8" w:rsidRPr="00E86A8F">
        <w:rPr>
          <w:rFonts w:asciiTheme="majorHAnsi" w:hAnsiTheme="majorHAnsi"/>
          <w:sz w:val="20"/>
          <w:szCs w:val="20"/>
          <w:lang w:val="es-VE"/>
        </w:rPr>
        <w:t xml:space="preserve"> de Carlos Baraona</w:t>
      </w:r>
      <w:r w:rsidR="00982A24" w:rsidRPr="00E86A8F">
        <w:rPr>
          <w:rFonts w:asciiTheme="majorHAnsi" w:hAnsiTheme="majorHAnsi"/>
          <w:sz w:val="20"/>
          <w:szCs w:val="20"/>
          <w:lang w:val="es-VE"/>
        </w:rPr>
        <w:t xml:space="preserve"> y</w:t>
      </w:r>
      <w:r w:rsidR="00C71DD8" w:rsidRPr="00E86A8F">
        <w:rPr>
          <w:rFonts w:asciiTheme="majorHAnsi" w:hAnsiTheme="majorHAnsi"/>
          <w:sz w:val="20"/>
          <w:szCs w:val="20"/>
          <w:lang w:val="es-VE"/>
        </w:rPr>
        <w:t xml:space="preserve"> Daniel Fernández Koprich</w:t>
      </w:r>
      <w:r w:rsidR="00202F9B" w:rsidRPr="00E86A8F">
        <w:rPr>
          <w:rFonts w:asciiTheme="majorHAnsi" w:hAnsiTheme="majorHAnsi"/>
          <w:sz w:val="20"/>
          <w:szCs w:val="20"/>
          <w:lang w:val="es-VE"/>
        </w:rPr>
        <w:t>, Directo</w:t>
      </w:r>
      <w:r w:rsidR="00BD54C8" w:rsidRPr="00E86A8F">
        <w:rPr>
          <w:rFonts w:asciiTheme="majorHAnsi" w:hAnsiTheme="majorHAnsi"/>
          <w:sz w:val="20"/>
          <w:szCs w:val="20"/>
          <w:lang w:val="es-VE"/>
        </w:rPr>
        <w:t>r</w:t>
      </w:r>
      <w:r w:rsidR="00202F9B" w:rsidRPr="00E86A8F">
        <w:rPr>
          <w:rFonts w:asciiTheme="majorHAnsi" w:hAnsiTheme="majorHAnsi"/>
          <w:sz w:val="20"/>
          <w:szCs w:val="20"/>
          <w:lang w:val="es-VE"/>
        </w:rPr>
        <w:t xml:space="preserve"> Ejecutivo de Televisión Nacional de Chile</w:t>
      </w:r>
      <w:r w:rsidR="007A63BE" w:rsidRPr="00E86A8F">
        <w:rPr>
          <w:rFonts w:asciiTheme="majorHAnsi" w:hAnsiTheme="majorHAnsi"/>
          <w:sz w:val="20"/>
          <w:szCs w:val="20"/>
          <w:lang w:val="es-VE"/>
        </w:rPr>
        <w:t xml:space="preserve">, pero esta vez como reincidente de un delito. </w:t>
      </w:r>
      <w:r w:rsidR="000E39DB" w:rsidRPr="00E86A8F">
        <w:rPr>
          <w:rFonts w:asciiTheme="majorHAnsi" w:hAnsiTheme="majorHAnsi"/>
          <w:sz w:val="20"/>
          <w:szCs w:val="20"/>
          <w:lang w:val="es-VE"/>
        </w:rPr>
        <w:t xml:space="preserve">El Juzgado de Garantía decidió absolver a los querellados el 4 de </w:t>
      </w:r>
      <w:r w:rsidR="00B03A81" w:rsidRPr="00E86A8F">
        <w:rPr>
          <w:rFonts w:asciiTheme="majorHAnsi" w:hAnsiTheme="majorHAnsi"/>
          <w:sz w:val="20"/>
          <w:szCs w:val="20"/>
          <w:lang w:val="es-VE"/>
        </w:rPr>
        <w:t xml:space="preserve">octubre de 2007, ya que la narración de hechos del pasado </w:t>
      </w:r>
      <w:r w:rsidR="00C816D0" w:rsidRPr="00E86A8F">
        <w:rPr>
          <w:rFonts w:asciiTheme="majorHAnsi" w:hAnsiTheme="majorHAnsi"/>
          <w:sz w:val="20"/>
          <w:szCs w:val="20"/>
          <w:lang w:val="es-VE"/>
        </w:rPr>
        <w:t xml:space="preserve">y el </w:t>
      </w:r>
      <w:r w:rsidR="00CE2D58" w:rsidRPr="00E86A8F">
        <w:rPr>
          <w:rFonts w:asciiTheme="majorHAnsi" w:hAnsiTheme="majorHAnsi"/>
          <w:sz w:val="20"/>
          <w:szCs w:val="20"/>
          <w:lang w:val="es-VE"/>
        </w:rPr>
        <w:t>porqué</w:t>
      </w:r>
      <w:r w:rsidR="00C816D0" w:rsidRPr="00E86A8F">
        <w:rPr>
          <w:rFonts w:asciiTheme="majorHAnsi" w:hAnsiTheme="majorHAnsi"/>
          <w:sz w:val="20"/>
          <w:szCs w:val="20"/>
          <w:lang w:val="es-VE"/>
        </w:rPr>
        <w:t xml:space="preserve"> de esos hechos</w:t>
      </w:r>
      <w:r w:rsidR="00D50D27" w:rsidRPr="00E86A8F">
        <w:rPr>
          <w:rFonts w:asciiTheme="majorHAnsi" w:hAnsiTheme="majorHAnsi"/>
          <w:sz w:val="20"/>
          <w:szCs w:val="20"/>
          <w:lang w:val="es-VE"/>
        </w:rPr>
        <w:t>,</w:t>
      </w:r>
      <w:r w:rsidR="00C816D0" w:rsidRPr="00E86A8F">
        <w:rPr>
          <w:rFonts w:asciiTheme="majorHAnsi" w:hAnsiTheme="majorHAnsi"/>
          <w:sz w:val="20"/>
          <w:szCs w:val="20"/>
          <w:lang w:val="es-VE"/>
        </w:rPr>
        <w:t xml:space="preserve"> no constituían injurias</w:t>
      </w:r>
      <w:r w:rsidR="00C816D0" w:rsidRPr="00E86A8F">
        <w:rPr>
          <w:rStyle w:val="FootnoteReference"/>
          <w:rFonts w:asciiTheme="majorHAnsi" w:hAnsiTheme="majorHAnsi"/>
          <w:sz w:val="20"/>
          <w:szCs w:val="20"/>
          <w:lang w:val="es-VE"/>
        </w:rPr>
        <w:footnoteReference w:id="40"/>
      </w:r>
      <w:r w:rsidR="00C816D0" w:rsidRPr="00E86A8F">
        <w:rPr>
          <w:rFonts w:asciiTheme="majorHAnsi" w:hAnsiTheme="majorHAnsi"/>
          <w:sz w:val="20"/>
          <w:szCs w:val="20"/>
          <w:lang w:val="es-VE"/>
        </w:rPr>
        <w:t>.</w:t>
      </w:r>
    </w:p>
    <w:p w14:paraId="313DE6EE" w14:textId="77777777" w:rsidR="00720EC1" w:rsidRPr="00E86A8F" w:rsidRDefault="00720EC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7F40FDDC" w14:textId="0368670F" w:rsidR="00D0382A" w:rsidRPr="00E86A8F" w:rsidRDefault="00D0382A"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E86A8F">
        <w:rPr>
          <w:rFonts w:asciiTheme="majorHAnsi" w:hAnsiTheme="majorHAnsi"/>
          <w:sz w:val="20"/>
          <w:szCs w:val="20"/>
          <w:lang w:val="es-VE"/>
        </w:rPr>
        <w:t xml:space="preserve">Los peticionarios informaron, sin que el Estado lo haya controvertido, que paralelamente a </w:t>
      </w:r>
      <w:r w:rsidR="00EC30F7" w:rsidRPr="00E86A8F">
        <w:rPr>
          <w:rFonts w:asciiTheme="majorHAnsi" w:hAnsiTheme="majorHAnsi"/>
          <w:sz w:val="20"/>
          <w:szCs w:val="20"/>
          <w:lang w:val="es-VE"/>
        </w:rPr>
        <w:t xml:space="preserve">la segunda querella por injurias, el </w:t>
      </w:r>
      <w:r w:rsidR="00486700" w:rsidRPr="00E86A8F">
        <w:rPr>
          <w:rFonts w:asciiTheme="majorHAnsi" w:hAnsiTheme="majorHAnsi"/>
          <w:sz w:val="20"/>
          <w:szCs w:val="20"/>
          <w:lang w:val="es-VE"/>
        </w:rPr>
        <w:t>senador</w:t>
      </w:r>
      <w:r w:rsidR="00EC30F7" w:rsidRPr="00E86A8F">
        <w:rPr>
          <w:rFonts w:asciiTheme="majorHAnsi" w:hAnsiTheme="majorHAnsi"/>
          <w:sz w:val="20"/>
          <w:szCs w:val="20"/>
          <w:lang w:val="es-VE"/>
        </w:rPr>
        <w:t xml:space="preserve"> Páez interpuso una demanda civil por los daños que Carlos Baraona le habría causado con sus expresiones</w:t>
      </w:r>
      <w:r w:rsidR="002B4962" w:rsidRPr="00E86A8F">
        <w:rPr>
          <w:rStyle w:val="FootnoteReference"/>
          <w:rFonts w:asciiTheme="majorHAnsi" w:hAnsiTheme="majorHAnsi"/>
          <w:sz w:val="20"/>
          <w:szCs w:val="20"/>
          <w:lang w:val="es-VE"/>
        </w:rPr>
        <w:footnoteReference w:id="41"/>
      </w:r>
      <w:r w:rsidR="00EC30F7" w:rsidRPr="00E86A8F">
        <w:rPr>
          <w:rFonts w:asciiTheme="majorHAnsi" w:hAnsiTheme="majorHAnsi"/>
          <w:sz w:val="20"/>
          <w:szCs w:val="20"/>
          <w:lang w:val="es-VE"/>
        </w:rPr>
        <w:t xml:space="preserve">. </w:t>
      </w:r>
      <w:r w:rsidR="002B4962" w:rsidRPr="00E86A8F">
        <w:rPr>
          <w:rFonts w:asciiTheme="majorHAnsi" w:hAnsiTheme="majorHAnsi"/>
          <w:sz w:val="20"/>
          <w:szCs w:val="20"/>
          <w:lang w:val="es-VE"/>
        </w:rPr>
        <w:t>La Comisión no tiene información actualizada sobre el estado procesal de dicha demanda en la actualidad.</w:t>
      </w:r>
    </w:p>
    <w:p w14:paraId="08049FE6" w14:textId="6BBE861E" w:rsidR="00073BB6" w:rsidRPr="00E86A8F" w:rsidRDefault="00073BB6">
      <w:pPr>
        <w:rPr>
          <w:rFonts w:asciiTheme="majorHAnsi" w:eastAsia="Cambria" w:hAnsiTheme="majorHAnsi" w:cs="Cambria"/>
          <w:b/>
          <w:color w:val="000000"/>
          <w:sz w:val="20"/>
          <w:szCs w:val="20"/>
          <w:u w:color="000000"/>
          <w:lang w:val="es-ES_tradnl" w:eastAsia="es-ES"/>
        </w:rPr>
      </w:pPr>
      <w:bookmarkStart w:id="22" w:name="_Toc6937379"/>
    </w:p>
    <w:p w14:paraId="370D15A5" w14:textId="67858322" w:rsidR="00720EC1" w:rsidRPr="00E86A8F" w:rsidRDefault="00D12193" w:rsidP="00073BB6">
      <w:pPr>
        <w:pStyle w:val="Heading1"/>
        <w:suppressAutoHyphens w:val="0"/>
        <w:ind w:left="0" w:firstLine="0"/>
        <w:jc w:val="both"/>
      </w:pPr>
      <w:bookmarkStart w:id="23" w:name="_Toc11073107"/>
      <w:r w:rsidRPr="00E86A8F">
        <w:t>ANÁLISIS DE DERECHO</w:t>
      </w:r>
      <w:bookmarkEnd w:id="22"/>
      <w:bookmarkEnd w:id="23"/>
    </w:p>
    <w:p w14:paraId="20A8747F" w14:textId="52248142" w:rsidR="00946C41" w:rsidRPr="00E86A8F" w:rsidRDefault="00946C41" w:rsidP="00073BB6">
      <w:pPr>
        <w:jc w:val="both"/>
        <w:rPr>
          <w:rFonts w:asciiTheme="majorHAnsi" w:hAnsiTheme="majorHAnsi"/>
          <w:sz w:val="20"/>
          <w:szCs w:val="20"/>
          <w:lang w:val="es-ES_tradnl" w:eastAsia="es-ES"/>
        </w:rPr>
      </w:pPr>
    </w:p>
    <w:p w14:paraId="02D35C11" w14:textId="3E8C0EC7" w:rsidR="00C90A6E" w:rsidRPr="00E86A8F" w:rsidRDefault="00C90A6E"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mbria"/>
          <w:color w:val="000000"/>
          <w:sz w:val="20"/>
          <w:szCs w:val="20"/>
          <w:lang w:val="es-US"/>
        </w:rPr>
      </w:pPr>
      <w:r w:rsidRPr="00E86A8F">
        <w:rPr>
          <w:rFonts w:asciiTheme="majorHAnsi" w:hAnsiTheme="majorHAnsi"/>
          <w:bCs/>
          <w:sz w:val="20"/>
          <w:szCs w:val="20"/>
          <w:lang w:val="es-CO"/>
        </w:rPr>
        <w:t xml:space="preserve">Tomando en cuenta los alegatos de las partes así como los hechos </w:t>
      </w:r>
      <w:r w:rsidR="00CC271C" w:rsidRPr="00E86A8F">
        <w:rPr>
          <w:rFonts w:asciiTheme="majorHAnsi" w:hAnsiTheme="majorHAnsi"/>
          <w:bCs/>
          <w:sz w:val="20"/>
          <w:szCs w:val="20"/>
          <w:lang w:val="es-CO"/>
        </w:rPr>
        <w:t>del presente caso</w:t>
      </w:r>
      <w:r w:rsidRPr="00E86A8F">
        <w:rPr>
          <w:rFonts w:asciiTheme="majorHAnsi" w:hAnsiTheme="majorHAnsi"/>
          <w:bCs/>
          <w:sz w:val="20"/>
          <w:szCs w:val="20"/>
          <w:lang w:val="es-CO"/>
        </w:rPr>
        <w:t xml:space="preserve">, la Comisión efectuará </w:t>
      </w:r>
      <w:r w:rsidRPr="00E86A8F">
        <w:rPr>
          <w:rFonts w:asciiTheme="majorHAnsi" w:hAnsiTheme="majorHAnsi"/>
          <w:sz w:val="20"/>
          <w:szCs w:val="20"/>
          <w:lang w:val="es-CO"/>
        </w:rPr>
        <w:t>su</w:t>
      </w:r>
      <w:r w:rsidRPr="00E86A8F">
        <w:rPr>
          <w:rFonts w:asciiTheme="majorHAnsi" w:hAnsiTheme="majorHAnsi"/>
          <w:bCs/>
          <w:sz w:val="20"/>
          <w:szCs w:val="20"/>
          <w:lang w:val="es-CO"/>
        </w:rPr>
        <w:t xml:space="preserve"> análisis de derecho en el siguiente orden: i) </w:t>
      </w:r>
      <w:r w:rsidR="006144D1" w:rsidRPr="00E86A8F">
        <w:rPr>
          <w:rFonts w:asciiTheme="majorHAnsi" w:hAnsiTheme="majorHAnsi"/>
          <w:bCs/>
          <w:sz w:val="20"/>
          <w:szCs w:val="20"/>
          <w:lang w:val="es-CO"/>
        </w:rPr>
        <w:t>c</w:t>
      </w:r>
      <w:r w:rsidRPr="00E86A8F">
        <w:rPr>
          <w:rFonts w:asciiTheme="majorHAnsi" w:hAnsiTheme="majorHAnsi"/>
          <w:bCs/>
          <w:sz w:val="20"/>
          <w:szCs w:val="20"/>
          <w:lang w:val="es-CO"/>
        </w:rPr>
        <w:t xml:space="preserve">onsideraciones </w:t>
      </w:r>
      <w:r w:rsidR="008D28A3" w:rsidRPr="00E86A8F">
        <w:rPr>
          <w:rFonts w:asciiTheme="majorHAnsi" w:hAnsiTheme="majorHAnsi"/>
          <w:bCs/>
          <w:sz w:val="20"/>
          <w:szCs w:val="20"/>
          <w:lang w:val="es-CO"/>
        </w:rPr>
        <w:t>generales</w:t>
      </w:r>
      <w:r w:rsidRPr="00E86A8F">
        <w:rPr>
          <w:rFonts w:asciiTheme="majorHAnsi" w:hAnsiTheme="majorHAnsi"/>
          <w:bCs/>
          <w:sz w:val="20"/>
          <w:szCs w:val="20"/>
          <w:lang w:val="es-CO"/>
        </w:rPr>
        <w:t xml:space="preserve"> sobre</w:t>
      </w:r>
      <w:r w:rsidR="008D28A3" w:rsidRPr="00E86A8F">
        <w:rPr>
          <w:rFonts w:asciiTheme="majorHAnsi" w:hAnsiTheme="majorHAnsi"/>
          <w:bCs/>
          <w:sz w:val="20"/>
          <w:szCs w:val="20"/>
          <w:lang w:val="es-CO"/>
        </w:rPr>
        <w:t xml:space="preserve"> la libertad de expresión y pensamiento</w:t>
      </w:r>
      <w:r w:rsidRPr="00E86A8F">
        <w:rPr>
          <w:rFonts w:asciiTheme="majorHAnsi" w:hAnsiTheme="majorHAnsi"/>
          <w:bCs/>
          <w:sz w:val="20"/>
          <w:szCs w:val="20"/>
          <w:lang w:val="es-ES_tradnl"/>
        </w:rPr>
        <w:t xml:space="preserve">; </w:t>
      </w:r>
      <w:r w:rsidRPr="00E86A8F">
        <w:rPr>
          <w:rFonts w:asciiTheme="majorHAnsi" w:hAnsiTheme="majorHAnsi"/>
          <w:sz w:val="20"/>
          <w:szCs w:val="20"/>
          <w:lang w:val="es-ES_tradnl"/>
        </w:rPr>
        <w:t xml:space="preserve">ii) </w:t>
      </w:r>
      <w:r w:rsidR="006144D1" w:rsidRPr="00E86A8F">
        <w:rPr>
          <w:rFonts w:asciiTheme="majorHAnsi" w:hAnsiTheme="majorHAnsi"/>
          <w:sz w:val="20"/>
          <w:szCs w:val="20"/>
          <w:lang w:val="es-ES_tradnl"/>
        </w:rPr>
        <w:t>consideraciones sobre la utilización del derecho penal</w:t>
      </w:r>
      <w:r w:rsidR="007C6A39" w:rsidRPr="00E86A8F">
        <w:rPr>
          <w:rFonts w:asciiTheme="majorHAnsi" w:hAnsiTheme="majorHAnsi"/>
          <w:sz w:val="20"/>
          <w:szCs w:val="20"/>
          <w:lang w:val="es-ES_tradnl"/>
        </w:rPr>
        <w:t xml:space="preserve"> como mecanismo para establecer responsabilidades ulteriores en casos de interés público, contra funcionarios públicos y/o figuras </w:t>
      </w:r>
      <w:r w:rsidR="007C6A39" w:rsidRPr="00E86A8F">
        <w:rPr>
          <w:rFonts w:asciiTheme="majorHAnsi" w:hAnsiTheme="majorHAnsi"/>
          <w:sz w:val="20"/>
          <w:szCs w:val="20"/>
          <w:lang w:val="es-ES_tradnl"/>
        </w:rPr>
        <w:lastRenderedPageBreak/>
        <w:t>públicas</w:t>
      </w:r>
      <w:r w:rsidRPr="00E86A8F">
        <w:rPr>
          <w:rFonts w:asciiTheme="majorHAnsi" w:hAnsiTheme="majorHAnsi"/>
          <w:sz w:val="20"/>
          <w:szCs w:val="20"/>
          <w:lang w:val="es-ES_tradnl"/>
        </w:rPr>
        <w:t xml:space="preserve">; iii) </w:t>
      </w:r>
      <w:r w:rsidR="007C6A39" w:rsidRPr="00E86A8F">
        <w:rPr>
          <w:rFonts w:asciiTheme="majorHAnsi" w:hAnsiTheme="majorHAnsi"/>
          <w:sz w:val="20"/>
          <w:szCs w:val="20"/>
          <w:lang w:val="es-ES_tradnl"/>
        </w:rPr>
        <w:t>el discurso medio ambiental como discurso protegido</w:t>
      </w:r>
      <w:r w:rsidRPr="00E86A8F">
        <w:rPr>
          <w:rFonts w:asciiTheme="majorHAnsi" w:hAnsiTheme="majorHAnsi"/>
          <w:sz w:val="20"/>
          <w:szCs w:val="20"/>
          <w:lang w:val="es-ES_tradnl"/>
        </w:rPr>
        <w:t xml:space="preserve">; iv) </w:t>
      </w:r>
      <w:r w:rsidR="00666904" w:rsidRPr="00E86A8F">
        <w:rPr>
          <w:rFonts w:asciiTheme="majorHAnsi" w:hAnsiTheme="majorHAnsi"/>
          <w:sz w:val="20"/>
          <w:szCs w:val="20"/>
          <w:lang w:val="es-ES_tradnl"/>
        </w:rPr>
        <w:t>análisis del caso</w:t>
      </w:r>
      <w:r w:rsidR="004F5A95" w:rsidRPr="00E86A8F">
        <w:rPr>
          <w:rFonts w:asciiTheme="majorHAnsi" w:hAnsiTheme="majorHAnsi"/>
          <w:sz w:val="20"/>
          <w:szCs w:val="20"/>
          <w:lang w:val="es-ES_tradnl"/>
        </w:rPr>
        <w:t>, y v) derecho a la protección judicial y la efectividad del recurso de nulidad.</w:t>
      </w:r>
    </w:p>
    <w:p w14:paraId="5D7F9711" w14:textId="77777777" w:rsidR="00C90A6E" w:rsidRPr="00E86A8F" w:rsidRDefault="00C90A6E" w:rsidP="00073BB6">
      <w:pPr>
        <w:jc w:val="both"/>
        <w:rPr>
          <w:rFonts w:asciiTheme="majorHAnsi" w:hAnsiTheme="majorHAnsi"/>
          <w:sz w:val="20"/>
          <w:szCs w:val="20"/>
          <w:lang w:val="es-ES_tradnl" w:eastAsia="es-ES"/>
        </w:rPr>
      </w:pPr>
    </w:p>
    <w:p w14:paraId="702CDFC8" w14:textId="6A83789C" w:rsidR="00634744" w:rsidRPr="00E86A8F" w:rsidRDefault="00634744" w:rsidP="00073BB6">
      <w:pPr>
        <w:pStyle w:val="Heading2"/>
        <w:keepNext w:val="0"/>
        <w:numPr>
          <w:ilvl w:val="0"/>
          <w:numId w:val="61"/>
        </w:numPr>
        <w:tabs>
          <w:tab w:val="clear" w:pos="1418"/>
        </w:tabs>
        <w:ind w:left="0" w:firstLine="0"/>
        <w:jc w:val="both"/>
        <w:rPr>
          <w:rFonts w:asciiTheme="majorHAnsi" w:hAnsiTheme="majorHAnsi"/>
          <w:lang w:eastAsia="es-ES"/>
        </w:rPr>
      </w:pPr>
      <w:bookmarkStart w:id="24" w:name="_Toc6937380"/>
      <w:bookmarkStart w:id="25" w:name="_Toc11073108"/>
      <w:r w:rsidRPr="00E86A8F">
        <w:rPr>
          <w:rFonts w:asciiTheme="majorHAnsi" w:hAnsiTheme="majorHAnsi"/>
          <w:lang w:eastAsia="es-ES"/>
        </w:rPr>
        <w:t>Derecho a la libertad de expresión y pensamiento (artículo 13)</w:t>
      </w:r>
      <w:r w:rsidRPr="00E86A8F">
        <w:rPr>
          <w:rStyle w:val="FootnoteReference"/>
          <w:rFonts w:asciiTheme="majorHAnsi" w:hAnsiTheme="majorHAnsi"/>
          <w:lang w:eastAsia="es-ES"/>
        </w:rPr>
        <w:footnoteReference w:id="42"/>
      </w:r>
      <w:r w:rsidRPr="00E86A8F">
        <w:rPr>
          <w:rFonts w:asciiTheme="majorHAnsi" w:hAnsiTheme="majorHAnsi"/>
          <w:lang w:eastAsia="es-ES"/>
        </w:rPr>
        <w:t xml:space="preserve"> en relación con los artículos 1.1</w:t>
      </w:r>
      <w:r w:rsidRPr="00E86A8F">
        <w:rPr>
          <w:rStyle w:val="FootnoteReference"/>
          <w:rFonts w:asciiTheme="majorHAnsi" w:hAnsiTheme="majorHAnsi"/>
          <w:lang w:eastAsia="es-ES"/>
        </w:rPr>
        <w:footnoteReference w:id="43"/>
      </w:r>
      <w:r w:rsidRPr="00E86A8F">
        <w:rPr>
          <w:rFonts w:asciiTheme="majorHAnsi" w:hAnsiTheme="majorHAnsi"/>
          <w:lang w:eastAsia="es-ES"/>
        </w:rPr>
        <w:t xml:space="preserve"> y 2</w:t>
      </w:r>
      <w:r w:rsidRPr="00E86A8F">
        <w:rPr>
          <w:rStyle w:val="FootnoteReference"/>
          <w:rFonts w:asciiTheme="majorHAnsi" w:hAnsiTheme="majorHAnsi"/>
          <w:lang w:eastAsia="es-ES"/>
        </w:rPr>
        <w:footnoteReference w:id="44"/>
      </w:r>
      <w:r w:rsidRPr="00E86A8F">
        <w:rPr>
          <w:rFonts w:asciiTheme="majorHAnsi" w:hAnsiTheme="majorHAnsi"/>
          <w:lang w:eastAsia="es-ES"/>
        </w:rPr>
        <w:t xml:space="preserve"> de la Convención Americana</w:t>
      </w:r>
      <w:bookmarkEnd w:id="24"/>
      <w:bookmarkEnd w:id="25"/>
    </w:p>
    <w:p w14:paraId="50B6DEB9" w14:textId="77777777" w:rsidR="0021300C" w:rsidRPr="00E86A8F" w:rsidRDefault="0021300C" w:rsidP="00073BB6">
      <w:pPr>
        <w:jc w:val="both"/>
        <w:rPr>
          <w:rFonts w:asciiTheme="majorHAnsi" w:hAnsiTheme="majorHAnsi"/>
          <w:sz w:val="20"/>
          <w:szCs w:val="20"/>
          <w:lang w:val="es-ES_tradnl" w:eastAsia="es-ES"/>
        </w:rPr>
      </w:pPr>
    </w:p>
    <w:p w14:paraId="5413C0FA" w14:textId="128B482F" w:rsidR="00662C9B" w:rsidRPr="00E86A8F" w:rsidRDefault="00662C9B" w:rsidP="00073BB6">
      <w:pPr>
        <w:pStyle w:val="Heading3"/>
        <w:keepNext w:val="0"/>
        <w:numPr>
          <w:ilvl w:val="0"/>
          <w:numId w:val="62"/>
        </w:numPr>
        <w:spacing w:before="0" w:after="0"/>
        <w:ind w:left="0" w:firstLine="0"/>
        <w:rPr>
          <w:lang w:eastAsia="es-ES"/>
        </w:rPr>
      </w:pPr>
      <w:bookmarkStart w:id="26" w:name="_Toc6937381"/>
      <w:bookmarkStart w:id="27" w:name="_Toc11073109"/>
      <w:r w:rsidRPr="00E86A8F">
        <w:rPr>
          <w:rFonts w:eastAsia="Batang"/>
        </w:rPr>
        <w:t>Consideraciones generales sobre</w:t>
      </w:r>
      <w:r w:rsidR="00B544A7" w:rsidRPr="00E86A8F">
        <w:rPr>
          <w:rFonts w:eastAsia="Batang"/>
        </w:rPr>
        <w:t xml:space="preserve"> </w:t>
      </w:r>
      <w:r w:rsidR="00B544A7" w:rsidRPr="00E86A8F">
        <w:rPr>
          <w:lang w:eastAsia="es-ES"/>
        </w:rPr>
        <w:t>la libertad de expresión y pensamiento</w:t>
      </w:r>
      <w:bookmarkEnd w:id="26"/>
      <w:bookmarkEnd w:id="27"/>
    </w:p>
    <w:p w14:paraId="045CF8E9" w14:textId="77777777" w:rsidR="0021300C" w:rsidRPr="00E86A8F" w:rsidRDefault="0021300C" w:rsidP="00073BB6">
      <w:pPr>
        <w:jc w:val="both"/>
        <w:rPr>
          <w:rFonts w:asciiTheme="majorHAnsi" w:hAnsiTheme="majorHAnsi"/>
          <w:sz w:val="20"/>
          <w:szCs w:val="20"/>
          <w:lang w:val="es-ES_tradnl" w:eastAsia="es-ES"/>
        </w:rPr>
      </w:pPr>
    </w:p>
    <w:p w14:paraId="137F3454" w14:textId="7DC5C135" w:rsidR="00A555DC" w:rsidRPr="00E86A8F" w:rsidRDefault="00E52673"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E86A8F">
        <w:rPr>
          <w:rFonts w:asciiTheme="majorHAnsi" w:hAnsiTheme="majorHAnsi"/>
          <w:sz w:val="20"/>
          <w:szCs w:val="20"/>
          <w:lang w:val="es-CO"/>
        </w:rPr>
        <w:t xml:space="preserve">La </w:t>
      </w:r>
      <w:r w:rsidRPr="00E86A8F">
        <w:rPr>
          <w:rFonts w:asciiTheme="majorHAnsi" w:hAnsiTheme="majorHAnsi"/>
          <w:sz w:val="20"/>
          <w:szCs w:val="20"/>
          <w:lang w:val="es-VE"/>
        </w:rPr>
        <w:t>CIDH</w:t>
      </w:r>
      <w:r w:rsidR="00794407" w:rsidRPr="00E86A8F">
        <w:rPr>
          <w:rFonts w:asciiTheme="majorHAnsi" w:hAnsiTheme="majorHAnsi"/>
          <w:sz w:val="20"/>
          <w:szCs w:val="20"/>
          <w:lang w:val="es-CO"/>
        </w:rPr>
        <w:t xml:space="preserve"> y </w:t>
      </w:r>
      <w:r w:rsidRPr="00E86A8F">
        <w:rPr>
          <w:rFonts w:asciiTheme="majorHAnsi" w:hAnsiTheme="majorHAnsi"/>
          <w:sz w:val="20"/>
          <w:szCs w:val="20"/>
          <w:lang w:val="es-CO"/>
        </w:rPr>
        <w:t>la Corte IDH ha</w:t>
      </w:r>
      <w:r w:rsidR="00794407" w:rsidRPr="00E86A8F">
        <w:rPr>
          <w:rFonts w:asciiTheme="majorHAnsi" w:hAnsiTheme="majorHAnsi"/>
          <w:sz w:val="20"/>
          <w:szCs w:val="20"/>
          <w:lang w:val="es-CO"/>
        </w:rPr>
        <w:t>n</w:t>
      </w:r>
      <w:r w:rsidRPr="00E86A8F">
        <w:rPr>
          <w:rFonts w:asciiTheme="majorHAnsi" w:hAnsiTheme="majorHAnsi"/>
          <w:sz w:val="20"/>
          <w:szCs w:val="20"/>
          <w:lang w:val="es-CO"/>
        </w:rPr>
        <w:t xml:space="preserve"> resaltado la importancia del derecho a la libertad de pensamiento y expresión conforme a la protección que otorga el artículo 13 de la Convención Americana. Este </w:t>
      </w:r>
      <w:r w:rsidR="00A555DC" w:rsidRPr="00E86A8F">
        <w:rPr>
          <w:rFonts w:asciiTheme="majorHAnsi" w:hAnsiTheme="majorHAnsi"/>
          <w:spacing w:val="-2"/>
          <w:sz w:val="20"/>
          <w:szCs w:val="20"/>
          <w:lang w:val="es-ES_tradnl"/>
        </w:rPr>
        <w:t>protege el derecho de buscar, recibir y difundir ideas e informaciones de toda índole, así como también el de recibir y conocer las informaciones e ideas difundidas por los demás</w:t>
      </w:r>
      <w:r w:rsidRPr="00E86A8F">
        <w:rPr>
          <w:rStyle w:val="FootnoteReference"/>
          <w:rFonts w:asciiTheme="majorHAnsi" w:hAnsiTheme="majorHAnsi"/>
          <w:sz w:val="20"/>
          <w:szCs w:val="20"/>
          <w:lang w:val="es-CO"/>
        </w:rPr>
        <w:footnoteReference w:id="45"/>
      </w:r>
      <w:r w:rsidRPr="00E86A8F">
        <w:rPr>
          <w:rFonts w:asciiTheme="majorHAnsi" w:hAnsiTheme="majorHAnsi"/>
          <w:sz w:val="20"/>
          <w:szCs w:val="20"/>
          <w:lang w:val="es-CO"/>
        </w:rPr>
        <w:t xml:space="preserve">. </w:t>
      </w:r>
      <w:r w:rsidR="00A555DC" w:rsidRPr="00E86A8F">
        <w:rPr>
          <w:rFonts w:asciiTheme="majorHAnsi" w:hAnsiTheme="majorHAnsi"/>
          <w:spacing w:val="-2"/>
          <w:sz w:val="20"/>
          <w:szCs w:val="20"/>
          <w:lang w:val="es-ES_tradnl"/>
        </w:rPr>
        <w:t>La jurisprudencia de</w:t>
      </w:r>
      <w:r w:rsidR="0090255D" w:rsidRPr="00E86A8F">
        <w:rPr>
          <w:rFonts w:asciiTheme="majorHAnsi" w:hAnsiTheme="majorHAnsi"/>
          <w:spacing w:val="-2"/>
          <w:sz w:val="20"/>
          <w:szCs w:val="20"/>
          <w:lang w:val="es-ES_tradnl"/>
        </w:rPr>
        <w:t xml:space="preserve">l sistema interamericano </w:t>
      </w:r>
      <w:r w:rsidR="00A555DC" w:rsidRPr="00E86A8F">
        <w:rPr>
          <w:rFonts w:asciiTheme="majorHAnsi" w:hAnsiTheme="majorHAnsi"/>
          <w:spacing w:val="-2"/>
          <w:sz w:val="20"/>
          <w:szCs w:val="20"/>
          <w:lang w:val="es-ES_tradnl"/>
        </w:rPr>
        <w:t>ha señalado que la libertad de expresión tiene una dimensión individual y una dimensión social</w:t>
      </w:r>
      <w:r w:rsidR="00A555DC" w:rsidRPr="00E86A8F">
        <w:rPr>
          <w:rFonts w:asciiTheme="majorHAnsi" w:hAnsiTheme="majorHAnsi"/>
          <w:sz w:val="20"/>
          <w:szCs w:val="20"/>
          <w:vertAlign w:val="superscript"/>
          <w:lang w:val="es-ES_tradnl"/>
        </w:rPr>
        <w:footnoteReference w:id="46"/>
      </w:r>
      <w:r w:rsidR="00A555DC" w:rsidRPr="00E86A8F">
        <w:rPr>
          <w:rFonts w:asciiTheme="majorHAnsi" w:hAnsiTheme="majorHAnsi"/>
          <w:spacing w:val="-2"/>
          <w:sz w:val="20"/>
          <w:szCs w:val="20"/>
          <w:lang w:val="es-ES_tradnl"/>
        </w:rPr>
        <w:t>, las cuales poseen igual importancia y deben ser garantizadas plenamente en forma simultánea para dar efectividad total a dicho derecho en los términos previstos por el artículo 13 de la Convención</w:t>
      </w:r>
      <w:r w:rsidR="00A555DC" w:rsidRPr="00E86A8F">
        <w:rPr>
          <w:rFonts w:asciiTheme="majorHAnsi" w:hAnsiTheme="majorHAnsi"/>
          <w:sz w:val="20"/>
          <w:szCs w:val="20"/>
          <w:vertAlign w:val="superscript"/>
          <w:lang w:val="es-ES_tradnl"/>
        </w:rPr>
        <w:footnoteReference w:id="47"/>
      </w:r>
      <w:r w:rsidR="00A555DC" w:rsidRPr="00E86A8F">
        <w:rPr>
          <w:rFonts w:asciiTheme="majorHAnsi" w:hAnsiTheme="majorHAnsi"/>
          <w:spacing w:val="-2"/>
          <w:sz w:val="20"/>
          <w:szCs w:val="20"/>
          <w:lang w:val="es-ES_tradnl"/>
        </w:rPr>
        <w:t xml:space="preserve">. </w:t>
      </w:r>
      <w:r w:rsidR="007B2E63" w:rsidRPr="00E86A8F">
        <w:rPr>
          <w:rFonts w:asciiTheme="majorHAnsi" w:hAnsiTheme="majorHAnsi"/>
          <w:sz w:val="20"/>
          <w:szCs w:val="20"/>
          <w:lang w:val="es-CO"/>
        </w:rPr>
        <w:t>La primera consiste en el derecho que tiene cada persona a expresar los propios pensamientos, ideas e informaciones, lo cual no se agota con el reconocimiento teórico del derecho a hablar o escribir, sino que también comprende, de manera conjunta, el derecho a utilizar cualquier medio apropiado para difundir el pensamiento y que el mismo alcance al mayor número de destinatarios</w:t>
      </w:r>
      <w:r w:rsidR="007B2E63" w:rsidRPr="00E86A8F">
        <w:rPr>
          <w:rStyle w:val="FootnoteReference"/>
          <w:rFonts w:asciiTheme="majorHAnsi" w:hAnsiTheme="majorHAnsi"/>
          <w:sz w:val="20"/>
          <w:szCs w:val="20"/>
          <w:lang w:val="es-CO"/>
        </w:rPr>
        <w:footnoteReference w:id="48"/>
      </w:r>
      <w:r w:rsidR="007B2E63" w:rsidRPr="00E86A8F">
        <w:rPr>
          <w:rFonts w:asciiTheme="majorHAnsi" w:hAnsiTheme="majorHAnsi"/>
          <w:sz w:val="20"/>
          <w:szCs w:val="20"/>
          <w:lang w:val="es-CO"/>
        </w:rPr>
        <w:t>. La segunda consiste en el derecho que posee la sociedad a procurar y recibir cualquier información, lo cual incluye conocer los pensamientos, ideas e informaciones ajenos y estar informada</w:t>
      </w:r>
      <w:r w:rsidR="007B2E63" w:rsidRPr="00E86A8F">
        <w:rPr>
          <w:rStyle w:val="FootnoteReference"/>
          <w:rFonts w:asciiTheme="majorHAnsi" w:hAnsiTheme="majorHAnsi"/>
          <w:sz w:val="20"/>
          <w:szCs w:val="20"/>
          <w:lang w:val="es-CO"/>
        </w:rPr>
        <w:footnoteReference w:id="49"/>
      </w:r>
      <w:r w:rsidR="007B2E63" w:rsidRPr="00E86A8F">
        <w:rPr>
          <w:rFonts w:asciiTheme="majorHAnsi" w:hAnsiTheme="majorHAnsi"/>
          <w:sz w:val="20"/>
          <w:szCs w:val="20"/>
          <w:lang w:val="es-CO"/>
        </w:rPr>
        <w:t xml:space="preserve">. En este sentido, la Corte ha establecido que la libertad comprende el derecho de cada persona a tratar de </w:t>
      </w:r>
      <w:r w:rsidR="007B2E63" w:rsidRPr="00E86A8F">
        <w:rPr>
          <w:rFonts w:asciiTheme="majorHAnsi" w:hAnsiTheme="majorHAnsi"/>
          <w:sz w:val="20"/>
          <w:szCs w:val="20"/>
          <w:lang w:val="es-CO"/>
        </w:rPr>
        <w:lastRenderedPageBreak/>
        <w:t>comunicar a otros sus puntos de vista, pero implica también el derecho de todos a conocer opiniones, relatos y noticias de toda índole, libremente</w:t>
      </w:r>
      <w:r w:rsidR="007B2E63" w:rsidRPr="00E86A8F">
        <w:rPr>
          <w:rStyle w:val="FootnoteReference"/>
          <w:rFonts w:asciiTheme="majorHAnsi" w:hAnsiTheme="majorHAnsi"/>
          <w:sz w:val="20"/>
          <w:szCs w:val="20"/>
          <w:lang w:val="es-CO"/>
        </w:rPr>
        <w:footnoteReference w:id="50"/>
      </w:r>
      <w:r w:rsidR="007B2E63" w:rsidRPr="00E86A8F">
        <w:rPr>
          <w:rFonts w:asciiTheme="majorHAnsi" w:hAnsiTheme="majorHAnsi"/>
          <w:sz w:val="20"/>
          <w:szCs w:val="20"/>
          <w:lang w:val="es-CO"/>
        </w:rPr>
        <w:t>.</w:t>
      </w:r>
      <w:r w:rsidR="00FF33F2" w:rsidRPr="00E86A8F">
        <w:rPr>
          <w:rFonts w:asciiTheme="majorHAnsi" w:hAnsiTheme="majorHAnsi"/>
          <w:spacing w:val="-2"/>
          <w:sz w:val="20"/>
          <w:szCs w:val="20"/>
          <w:lang w:val="es-CO"/>
        </w:rPr>
        <w:t xml:space="preserve"> </w:t>
      </w:r>
      <w:r w:rsidR="00A555DC" w:rsidRPr="00E86A8F">
        <w:rPr>
          <w:rFonts w:asciiTheme="majorHAnsi" w:hAnsiTheme="majorHAnsi"/>
          <w:spacing w:val="-2"/>
          <w:sz w:val="20"/>
          <w:szCs w:val="20"/>
          <w:lang w:val="es-PE"/>
        </w:rPr>
        <w:t>Para el ciudadano común tiene tanta importancia el conocimiento de la opinión ajena o de la información de que disponen otros como el derecho a difundir la propia</w:t>
      </w:r>
      <w:r w:rsidR="00A555DC" w:rsidRPr="00E86A8F">
        <w:rPr>
          <w:rStyle w:val="FootnoteReference"/>
          <w:rFonts w:asciiTheme="majorHAnsi" w:hAnsiTheme="majorHAnsi"/>
          <w:spacing w:val="-2"/>
          <w:sz w:val="20"/>
          <w:szCs w:val="20"/>
        </w:rPr>
        <w:footnoteReference w:id="51"/>
      </w:r>
      <w:r w:rsidR="00A555DC" w:rsidRPr="00E86A8F">
        <w:rPr>
          <w:rFonts w:asciiTheme="majorHAnsi" w:hAnsiTheme="majorHAnsi"/>
          <w:spacing w:val="-2"/>
          <w:sz w:val="20"/>
          <w:szCs w:val="20"/>
          <w:lang w:val="es-PE"/>
        </w:rPr>
        <w:t>. Es por ello que, a la luz de ambas dimensiones, la libertad de expresión requiere, por un lado, que nadie sea arbitrariamente menoscabado o impedido de manifestar su propio pensamiento y representa, por tanto, un derecho de cada individuo; pero implica también, por otro lado, un derecho colectivo a recibir cualquier información y a conocer la expresión del pensamiento ajeno</w:t>
      </w:r>
      <w:r w:rsidR="00A555DC" w:rsidRPr="00E86A8F">
        <w:rPr>
          <w:rStyle w:val="FootnoteReference"/>
          <w:rFonts w:asciiTheme="majorHAnsi" w:hAnsiTheme="majorHAnsi"/>
          <w:spacing w:val="-2"/>
          <w:sz w:val="20"/>
          <w:szCs w:val="20"/>
        </w:rPr>
        <w:footnoteReference w:id="52"/>
      </w:r>
      <w:r w:rsidR="00A555DC" w:rsidRPr="00E86A8F">
        <w:rPr>
          <w:rFonts w:asciiTheme="majorHAnsi" w:hAnsiTheme="majorHAnsi"/>
          <w:spacing w:val="-2"/>
          <w:sz w:val="20"/>
          <w:szCs w:val="20"/>
          <w:lang w:val="es-PE"/>
        </w:rPr>
        <w:t>.</w:t>
      </w:r>
    </w:p>
    <w:p w14:paraId="269201CC" w14:textId="77777777" w:rsidR="0021300C" w:rsidRPr="00E86A8F" w:rsidRDefault="0021300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71D2EEAD" w14:textId="38615171" w:rsidR="009120C4" w:rsidRPr="00E86A8F" w:rsidRDefault="009120C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E86A8F">
        <w:rPr>
          <w:rFonts w:asciiTheme="majorHAnsi" w:hAnsiTheme="majorHAnsi"/>
          <w:sz w:val="20"/>
          <w:szCs w:val="20"/>
          <w:lang w:val="es-CO"/>
        </w:rPr>
        <w:t>La Comisión enfatiza que una de las finalidades del artículo 13 de la Convención es el fortalecimiento de sistemas democráticos, pluralistas y deliberativos, mediante la protección y promoción de la libre circulación de informaciones, ideas y expresiones de toda índole</w:t>
      </w:r>
      <w:r w:rsidRPr="00E86A8F">
        <w:rPr>
          <w:rStyle w:val="FootnoteReference"/>
          <w:rFonts w:asciiTheme="majorHAnsi" w:hAnsiTheme="majorHAnsi"/>
          <w:sz w:val="20"/>
          <w:szCs w:val="20"/>
          <w:lang w:val="es-CO"/>
        </w:rPr>
        <w:footnoteReference w:id="53"/>
      </w:r>
      <w:r w:rsidRPr="00E86A8F">
        <w:rPr>
          <w:rFonts w:asciiTheme="majorHAnsi" w:hAnsiTheme="majorHAnsi"/>
          <w:sz w:val="20"/>
          <w:szCs w:val="20"/>
          <w:lang w:val="es-CO"/>
        </w:rPr>
        <w:t>. Esto ha sido reconocido también por la Corte Europea de Derechos Humanos</w:t>
      </w:r>
      <w:r w:rsidRPr="00E86A8F">
        <w:rPr>
          <w:rStyle w:val="FootnoteReference"/>
          <w:rFonts w:asciiTheme="majorHAnsi" w:hAnsiTheme="majorHAnsi"/>
          <w:sz w:val="20"/>
          <w:szCs w:val="20"/>
          <w:lang w:val="es-CO"/>
        </w:rPr>
        <w:footnoteReference w:id="54"/>
      </w:r>
      <w:r w:rsidRPr="00E86A8F">
        <w:rPr>
          <w:rFonts w:asciiTheme="majorHAnsi" w:hAnsiTheme="majorHAnsi"/>
          <w:sz w:val="20"/>
          <w:szCs w:val="20"/>
          <w:lang w:val="es-CO"/>
        </w:rPr>
        <w:t>, el Comité de Derechos Humanos de Naciones Unidas</w:t>
      </w:r>
      <w:r w:rsidRPr="00E86A8F">
        <w:rPr>
          <w:rStyle w:val="FootnoteReference"/>
          <w:rFonts w:asciiTheme="majorHAnsi" w:hAnsiTheme="majorHAnsi"/>
          <w:sz w:val="20"/>
          <w:szCs w:val="20"/>
          <w:lang w:val="es-CO"/>
        </w:rPr>
        <w:footnoteReference w:id="55"/>
      </w:r>
      <w:r w:rsidRPr="00E86A8F">
        <w:rPr>
          <w:rFonts w:asciiTheme="majorHAnsi" w:hAnsiTheme="majorHAnsi"/>
          <w:sz w:val="20"/>
          <w:szCs w:val="20"/>
          <w:lang w:val="es-CO"/>
        </w:rPr>
        <w:t xml:space="preserve"> y la Comisión Africana y la Corte Africana Derechos Humanos y de los Pueblos</w:t>
      </w:r>
      <w:r w:rsidRPr="00E86A8F">
        <w:rPr>
          <w:rStyle w:val="FootnoteReference"/>
          <w:rFonts w:asciiTheme="majorHAnsi" w:hAnsiTheme="majorHAnsi"/>
          <w:sz w:val="20"/>
          <w:szCs w:val="20"/>
          <w:lang w:val="es-CO"/>
        </w:rPr>
        <w:footnoteReference w:id="56"/>
      </w:r>
      <w:r w:rsidRPr="00E86A8F">
        <w:rPr>
          <w:rFonts w:asciiTheme="majorHAnsi" w:hAnsiTheme="majorHAnsi"/>
          <w:sz w:val="20"/>
          <w:szCs w:val="20"/>
          <w:lang w:val="es-CO"/>
        </w:rPr>
        <w:t>. Cabe resaltar que el artículo 4 de la Carta Democrática Interamericana caracteriza la libertad de expresión y de prensa como “componentes fundamentales del ejercicio de la democracia”</w:t>
      </w:r>
      <w:r w:rsidRPr="00E86A8F">
        <w:rPr>
          <w:rStyle w:val="FootnoteReference"/>
          <w:rFonts w:asciiTheme="majorHAnsi" w:hAnsiTheme="majorHAnsi"/>
          <w:sz w:val="20"/>
          <w:szCs w:val="20"/>
          <w:lang w:val="es-CO"/>
        </w:rPr>
        <w:footnoteReference w:id="57"/>
      </w:r>
      <w:r w:rsidRPr="00E86A8F">
        <w:rPr>
          <w:rFonts w:asciiTheme="majorHAnsi" w:hAnsiTheme="majorHAnsi"/>
          <w:sz w:val="20"/>
          <w:szCs w:val="20"/>
          <w:lang w:val="es-CO"/>
        </w:rPr>
        <w:t xml:space="preserve">. </w:t>
      </w:r>
    </w:p>
    <w:p w14:paraId="087E40FC" w14:textId="77777777" w:rsidR="004C568A" w:rsidRPr="00E86A8F" w:rsidRDefault="004C568A"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441B5CE8" w14:textId="3DE1B037" w:rsidR="009120C4" w:rsidRPr="00E86A8F" w:rsidRDefault="00781EC6"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E86A8F">
        <w:rPr>
          <w:rFonts w:asciiTheme="majorHAnsi" w:hAnsiTheme="majorHAnsi"/>
          <w:sz w:val="20"/>
          <w:szCs w:val="20"/>
          <w:lang w:val="es-ES_tradnl"/>
        </w:rPr>
        <w:t xml:space="preserve">A pesar de </w:t>
      </w:r>
      <w:r w:rsidR="009120C4" w:rsidRPr="00E86A8F">
        <w:rPr>
          <w:rFonts w:asciiTheme="majorHAnsi" w:hAnsiTheme="majorHAnsi"/>
          <w:sz w:val="20"/>
          <w:szCs w:val="20"/>
          <w:lang w:val="es-VE"/>
        </w:rPr>
        <w:t>su fundamental importancia, la libertad de expresión no es un derecho absoluto.</w:t>
      </w:r>
      <w:r w:rsidR="00D757E0" w:rsidRPr="00E86A8F">
        <w:rPr>
          <w:rFonts w:asciiTheme="majorHAnsi" w:hAnsiTheme="majorHAnsi"/>
          <w:sz w:val="20"/>
          <w:szCs w:val="20"/>
          <w:lang w:val="es-CO"/>
        </w:rPr>
        <w:t xml:space="preserve"> </w:t>
      </w:r>
      <w:r w:rsidR="00D757E0" w:rsidRPr="00E86A8F">
        <w:rPr>
          <w:rFonts w:asciiTheme="majorHAnsi" w:hAnsiTheme="majorHAnsi"/>
          <w:spacing w:val="-2"/>
          <w:sz w:val="20"/>
          <w:szCs w:val="20"/>
          <w:lang w:val="es-PE"/>
        </w:rPr>
        <w:t>Dicha libertad puede estar sujeta a condiciones o inclusive limitaciones</w:t>
      </w:r>
      <w:r w:rsidR="00D757E0" w:rsidRPr="00E86A8F">
        <w:rPr>
          <w:rStyle w:val="FootnoteReference"/>
          <w:rFonts w:asciiTheme="majorHAnsi" w:hAnsiTheme="majorHAnsi"/>
          <w:spacing w:val="-2"/>
          <w:sz w:val="20"/>
          <w:szCs w:val="20"/>
        </w:rPr>
        <w:footnoteReference w:id="58"/>
      </w:r>
      <w:r w:rsidR="00D757E0" w:rsidRPr="00E86A8F">
        <w:rPr>
          <w:rFonts w:asciiTheme="majorHAnsi" w:hAnsiTheme="majorHAnsi"/>
          <w:spacing w:val="-2"/>
          <w:sz w:val="20"/>
          <w:szCs w:val="20"/>
          <w:lang w:val="es-PE"/>
        </w:rPr>
        <w:t>, en particular cuando interfiere con otros derechos garantizados por la Convención</w:t>
      </w:r>
      <w:r w:rsidR="00D757E0" w:rsidRPr="00E86A8F">
        <w:rPr>
          <w:rStyle w:val="FootnoteReference"/>
          <w:rFonts w:asciiTheme="majorHAnsi" w:hAnsiTheme="majorHAnsi"/>
          <w:spacing w:val="-2"/>
          <w:sz w:val="20"/>
          <w:szCs w:val="20"/>
        </w:rPr>
        <w:footnoteReference w:id="59"/>
      </w:r>
      <w:r w:rsidR="00D757E0" w:rsidRPr="00E86A8F">
        <w:rPr>
          <w:rFonts w:asciiTheme="majorHAnsi" w:hAnsiTheme="majorHAnsi"/>
          <w:spacing w:val="-2"/>
          <w:sz w:val="20"/>
          <w:szCs w:val="20"/>
          <w:lang w:val="es-PE"/>
        </w:rPr>
        <w:t>.</w:t>
      </w:r>
      <w:r w:rsidR="00E81BBA" w:rsidRPr="00E86A8F">
        <w:rPr>
          <w:rFonts w:asciiTheme="majorHAnsi" w:hAnsiTheme="majorHAnsi"/>
          <w:spacing w:val="-2"/>
          <w:sz w:val="20"/>
          <w:szCs w:val="20"/>
          <w:lang w:val="es-PE"/>
        </w:rPr>
        <w:t xml:space="preserve"> </w:t>
      </w:r>
      <w:r w:rsidR="009120C4" w:rsidRPr="00E86A8F">
        <w:rPr>
          <w:rFonts w:asciiTheme="majorHAnsi" w:hAnsiTheme="majorHAnsi"/>
          <w:sz w:val="20"/>
          <w:szCs w:val="20"/>
          <w:lang w:val="es-CO"/>
        </w:rPr>
        <w:t>El artículo 13.2 de la Convención Americana, que prohíbe la censura previa, también prevé la posibilidad de establecer restricciones a la libertad de expresión, mediante la aplicación de responsabilidades ulteriores, por el ejercicio abusivo de este derecho</w:t>
      </w:r>
      <w:r w:rsidR="00AC0822" w:rsidRPr="00E86A8F">
        <w:rPr>
          <w:rFonts w:asciiTheme="majorHAnsi" w:hAnsiTheme="majorHAnsi"/>
          <w:sz w:val="20"/>
          <w:szCs w:val="20"/>
          <w:lang w:val="es-CO"/>
        </w:rPr>
        <w:t xml:space="preserve">, </w:t>
      </w:r>
      <w:r w:rsidR="00AC0822" w:rsidRPr="00E86A8F">
        <w:rPr>
          <w:rFonts w:asciiTheme="majorHAnsi" w:hAnsiTheme="majorHAnsi"/>
          <w:spacing w:val="-2"/>
          <w:sz w:val="20"/>
          <w:szCs w:val="20"/>
          <w:lang w:val="es-PE"/>
        </w:rPr>
        <w:t>inclusive para asegurar el respeto a los derechos o la reputación de los demás.</w:t>
      </w:r>
      <w:r w:rsidR="00AC0822" w:rsidRPr="00E86A8F">
        <w:rPr>
          <w:rFonts w:asciiTheme="majorHAnsi" w:hAnsiTheme="majorHAnsi"/>
          <w:sz w:val="20"/>
          <w:szCs w:val="20"/>
          <w:lang w:val="es-CO"/>
        </w:rPr>
        <w:t xml:space="preserve"> </w:t>
      </w:r>
      <w:r w:rsidR="009120C4" w:rsidRPr="00E86A8F">
        <w:rPr>
          <w:rFonts w:asciiTheme="majorHAnsi" w:hAnsiTheme="majorHAnsi"/>
          <w:sz w:val="20"/>
          <w:szCs w:val="20"/>
          <w:lang w:val="es-CO"/>
        </w:rPr>
        <w:t>Sin embargo, estas restricciones tienen carácter excepcional y deben satisfacer las condiciones impuestas por la Convención, es decir, deben estar previstas en la ley, tener un fin legítimo y ser necesarias y proporcionales para el logro de dicho fin en una sociedad democrática</w:t>
      </w:r>
      <w:r w:rsidR="009120C4" w:rsidRPr="00E86A8F">
        <w:rPr>
          <w:rFonts w:asciiTheme="majorHAnsi" w:hAnsiTheme="majorHAnsi"/>
          <w:sz w:val="20"/>
          <w:szCs w:val="20"/>
          <w:vertAlign w:val="superscript"/>
          <w:lang w:val="es-CO"/>
        </w:rPr>
        <w:footnoteReference w:id="60"/>
      </w:r>
      <w:r w:rsidR="009120C4" w:rsidRPr="00E86A8F">
        <w:rPr>
          <w:rFonts w:asciiTheme="majorHAnsi" w:hAnsiTheme="majorHAnsi"/>
          <w:sz w:val="20"/>
          <w:szCs w:val="20"/>
          <w:lang w:val="es-CO"/>
        </w:rPr>
        <w:t xml:space="preserve">. La </w:t>
      </w:r>
      <w:r w:rsidR="009120C4" w:rsidRPr="00E86A8F">
        <w:rPr>
          <w:rFonts w:asciiTheme="majorHAnsi" w:hAnsiTheme="majorHAnsi"/>
          <w:sz w:val="20"/>
          <w:szCs w:val="20"/>
          <w:lang w:val="es-CO"/>
        </w:rPr>
        <w:lastRenderedPageBreak/>
        <w:t>falta de cumplimiento de alguno de estos requisitos implica que la medida impuesta es contraria a la Convención Americana.</w:t>
      </w:r>
      <w:r w:rsidR="006B4E28" w:rsidRPr="00E86A8F">
        <w:rPr>
          <w:rFonts w:asciiTheme="majorHAnsi" w:hAnsiTheme="majorHAnsi"/>
          <w:sz w:val="20"/>
          <w:szCs w:val="20"/>
          <w:lang w:val="es-CO"/>
        </w:rPr>
        <w:t xml:space="preserve"> Las restricciones a la libertad de expresi</w:t>
      </w:r>
      <w:r w:rsidR="006B4E28" w:rsidRPr="00E86A8F">
        <w:rPr>
          <w:rFonts w:asciiTheme="majorHAnsi" w:hAnsiTheme="majorHAnsi"/>
          <w:sz w:val="20"/>
          <w:szCs w:val="20"/>
          <w:lang w:val="es-PE"/>
        </w:rPr>
        <w:t>ón no deben</w:t>
      </w:r>
      <w:r w:rsidR="001A2185" w:rsidRPr="00E86A8F">
        <w:rPr>
          <w:rFonts w:asciiTheme="majorHAnsi" w:hAnsiTheme="majorHAnsi"/>
          <w:sz w:val="20"/>
          <w:szCs w:val="20"/>
          <w:lang w:val="es-PE"/>
        </w:rPr>
        <w:t xml:space="preserve"> </w:t>
      </w:r>
      <w:r w:rsidR="006B4E28" w:rsidRPr="00E86A8F">
        <w:rPr>
          <w:rFonts w:asciiTheme="majorHAnsi" w:hAnsiTheme="majorHAnsi"/>
          <w:spacing w:val="-2"/>
          <w:sz w:val="20"/>
          <w:szCs w:val="20"/>
          <w:lang w:val="es-PE"/>
        </w:rPr>
        <w:t xml:space="preserve">impedir, más allá de lo estrictamente necesario, </w:t>
      </w:r>
      <w:r w:rsidR="00103359" w:rsidRPr="00E86A8F">
        <w:rPr>
          <w:rFonts w:asciiTheme="majorHAnsi" w:hAnsiTheme="majorHAnsi"/>
          <w:spacing w:val="-2"/>
          <w:sz w:val="20"/>
          <w:szCs w:val="20"/>
          <w:lang w:val="es-PE"/>
        </w:rPr>
        <w:t xml:space="preserve">su </w:t>
      </w:r>
      <w:r w:rsidR="006B4E28" w:rsidRPr="00E86A8F">
        <w:rPr>
          <w:rFonts w:asciiTheme="majorHAnsi" w:hAnsiTheme="majorHAnsi"/>
          <w:spacing w:val="-2"/>
          <w:sz w:val="20"/>
          <w:szCs w:val="20"/>
          <w:lang w:val="es-PE"/>
        </w:rPr>
        <w:t>pleno ejercicio y convertirse en un mecanismo directo o indirecto de censura previa</w:t>
      </w:r>
      <w:r w:rsidR="006B4E28" w:rsidRPr="00E86A8F">
        <w:rPr>
          <w:rStyle w:val="FootnoteReference"/>
          <w:rFonts w:asciiTheme="majorHAnsi" w:hAnsiTheme="majorHAnsi"/>
          <w:spacing w:val="-2"/>
          <w:sz w:val="20"/>
          <w:szCs w:val="20"/>
        </w:rPr>
        <w:footnoteReference w:id="61"/>
      </w:r>
      <w:r w:rsidR="006B4E28" w:rsidRPr="00E86A8F">
        <w:rPr>
          <w:rFonts w:asciiTheme="majorHAnsi" w:hAnsiTheme="majorHAnsi"/>
          <w:spacing w:val="-2"/>
          <w:sz w:val="20"/>
          <w:szCs w:val="20"/>
          <w:lang w:val="es-PE"/>
        </w:rPr>
        <w:t>.</w:t>
      </w:r>
    </w:p>
    <w:p w14:paraId="1631FE9B" w14:textId="77777777" w:rsidR="00E630D6" w:rsidRPr="00E86A8F" w:rsidRDefault="00E630D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42394844" w14:textId="0BF07978" w:rsidR="00A555DC" w:rsidRPr="00E86A8F" w:rsidRDefault="00E2608B"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E86A8F">
        <w:rPr>
          <w:rFonts w:asciiTheme="majorHAnsi" w:hAnsiTheme="majorHAnsi"/>
          <w:spacing w:val="-2"/>
          <w:sz w:val="20"/>
          <w:szCs w:val="20"/>
          <w:lang w:val="es-ES_tradnl"/>
        </w:rPr>
        <w:t>E</w:t>
      </w:r>
      <w:r w:rsidR="00295ADC" w:rsidRPr="00E86A8F">
        <w:rPr>
          <w:rFonts w:asciiTheme="majorHAnsi" w:hAnsiTheme="majorHAnsi"/>
          <w:spacing w:val="-2"/>
          <w:sz w:val="20"/>
          <w:szCs w:val="20"/>
          <w:lang w:val="es-ES_tradnl"/>
        </w:rPr>
        <w:t>l artículo 13.2.a de la Convención establece que “el respeto a los derechos o la reputación de los demás” puede ser motivo para fijar responsabilidades ulteriores en el ejercicio de la libertad de expresión</w:t>
      </w:r>
      <w:r w:rsidR="00295ADC" w:rsidRPr="00E86A8F">
        <w:rPr>
          <w:rStyle w:val="FootnoteReference"/>
          <w:rFonts w:asciiTheme="majorHAnsi" w:hAnsiTheme="majorHAnsi"/>
          <w:spacing w:val="-2"/>
          <w:sz w:val="20"/>
          <w:szCs w:val="20"/>
        </w:rPr>
        <w:footnoteReference w:id="62"/>
      </w:r>
      <w:r w:rsidR="00A2324D" w:rsidRPr="00E86A8F">
        <w:rPr>
          <w:rFonts w:asciiTheme="majorHAnsi" w:hAnsiTheme="majorHAnsi"/>
          <w:spacing w:val="-2"/>
          <w:sz w:val="20"/>
          <w:szCs w:val="20"/>
          <w:lang w:val="es-ES_tradnl"/>
        </w:rPr>
        <w:t>. E</w:t>
      </w:r>
      <w:r w:rsidR="00295ADC" w:rsidRPr="00E86A8F">
        <w:rPr>
          <w:rFonts w:asciiTheme="majorHAnsi" w:hAnsiTheme="majorHAnsi"/>
          <w:spacing w:val="-2"/>
          <w:sz w:val="20"/>
          <w:szCs w:val="20"/>
          <w:lang w:val="es-ES_tradnl"/>
        </w:rPr>
        <w:t>l artículo 11 de la Convención consagra la protección de la honra y de la dignidad de cualquier persona</w:t>
      </w:r>
      <w:r w:rsidR="00BA41D7" w:rsidRPr="00E86A8F">
        <w:rPr>
          <w:rFonts w:asciiTheme="majorHAnsi" w:hAnsiTheme="majorHAnsi"/>
          <w:spacing w:val="-2"/>
          <w:sz w:val="20"/>
          <w:szCs w:val="20"/>
          <w:lang w:val="es-ES_tradnl"/>
        </w:rPr>
        <w:t>.</w:t>
      </w:r>
      <w:r w:rsidR="00295ADC" w:rsidRPr="00E86A8F">
        <w:rPr>
          <w:rFonts w:asciiTheme="majorHAnsi" w:hAnsiTheme="majorHAnsi"/>
          <w:spacing w:val="-2"/>
          <w:sz w:val="20"/>
          <w:szCs w:val="20"/>
          <w:lang w:val="es-ES_tradnl"/>
        </w:rPr>
        <w:t xml:space="preserve"> </w:t>
      </w:r>
      <w:r w:rsidR="00BA41D7" w:rsidRPr="00E86A8F">
        <w:rPr>
          <w:rFonts w:asciiTheme="majorHAnsi" w:hAnsiTheme="majorHAnsi"/>
          <w:spacing w:val="-2"/>
          <w:sz w:val="20"/>
          <w:szCs w:val="20"/>
          <w:lang w:val="es-ES_tradnl"/>
        </w:rPr>
        <w:t>Por ello, es legítimo que quien se considere afectado en su honor recurra a los medios judiciales que el Estado disponga para su protección</w:t>
      </w:r>
      <w:r w:rsidR="00BA41D7" w:rsidRPr="00E86A8F">
        <w:rPr>
          <w:rFonts w:asciiTheme="majorHAnsi" w:hAnsiTheme="majorHAnsi"/>
          <w:sz w:val="20"/>
          <w:szCs w:val="20"/>
          <w:vertAlign w:val="superscript"/>
        </w:rPr>
        <w:footnoteReference w:id="63"/>
      </w:r>
      <w:r w:rsidR="002129F9" w:rsidRPr="00E86A8F">
        <w:rPr>
          <w:rFonts w:asciiTheme="majorHAnsi" w:hAnsiTheme="majorHAnsi"/>
          <w:spacing w:val="-2"/>
          <w:sz w:val="20"/>
          <w:szCs w:val="20"/>
          <w:lang w:val="es-ES_tradnl"/>
        </w:rPr>
        <w:t>, por lo que el Estado tiene la obligación de garantizar el derecho a la honra y la reputación mediante acciones positivas, lo cual puede implicar, en ciertos casos, la adopción de medidas dirigidas a asegurar dicho derecho protegiéndolo de las interferencias de las autoridades públicas, así como también de las personas o instituciones privadas, incluyendo los medios de comunicación</w:t>
      </w:r>
      <w:r w:rsidR="002129F9" w:rsidRPr="00E86A8F">
        <w:rPr>
          <w:rStyle w:val="FootnoteReference"/>
          <w:rFonts w:asciiTheme="majorHAnsi" w:hAnsiTheme="majorHAnsi"/>
          <w:spacing w:val="-2"/>
          <w:sz w:val="20"/>
          <w:szCs w:val="20"/>
        </w:rPr>
        <w:footnoteReference w:id="64"/>
      </w:r>
      <w:r w:rsidR="002129F9" w:rsidRPr="00E86A8F">
        <w:rPr>
          <w:rFonts w:asciiTheme="majorHAnsi" w:hAnsiTheme="majorHAnsi"/>
          <w:spacing w:val="-2"/>
          <w:sz w:val="20"/>
          <w:szCs w:val="20"/>
          <w:lang w:val="es-ES_tradnl"/>
        </w:rPr>
        <w:t>.</w:t>
      </w:r>
      <w:r w:rsidR="009C523B" w:rsidRPr="00E86A8F">
        <w:rPr>
          <w:rFonts w:asciiTheme="majorHAnsi" w:hAnsiTheme="majorHAnsi"/>
          <w:spacing w:val="-2"/>
          <w:sz w:val="20"/>
          <w:szCs w:val="20"/>
          <w:lang w:val="es-ES_tradnl"/>
        </w:rPr>
        <w:t xml:space="preserve"> </w:t>
      </w:r>
    </w:p>
    <w:p w14:paraId="7EA5F7CD" w14:textId="77777777" w:rsidR="007B376B" w:rsidRPr="00E86A8F" w:rsidRDefault="007B376B"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79B4CB83" w14:textId="56AF2234" w:rsidR="00A555DC" w:rsidRPr="00E86A8F" w:rsidRDefault="00482FAB" w:rsidP="00073BB6">
      <w:pPr>
        <w:pStyle w:val="Heading3"/>
        <w:keepNext w:val="0"/>
        <w:spacing w:before="0" w:after="0"/>
        <w:ind w:left="0" w:firstLine="0"/>
      </w:pPr>
      <w:bookmarkStart w:id="28" w:name="_Toc6937382"/>
      <w:bookmarkStart w:id="29" w:name="_Toc11073110"/>
      <w:r w:rsidRPr="00E86A8F">
        <w:t>Consideraciones sobre la utilización del derecho penal</w:t>
      </w:r>
      <w:r w:rsidR="009703DA" w:rsidRPr="00E86A8F">
        <w:t xml:space="preserve"> como mecanismo para establecer responsabilidades ulteriores en casos de interés público</w:t>
      </w:r>
      <w:r w:rsidR="006E4C38" w:rsidRPr="00E86A8F">
        <w:t xml:space="preserve">, </w:t>
      </w:r>
      <w:r w:rsidR="009703DA" w:rsidRPr="00E86A8F">
        <w:t>contra funcionarios y/o figuras públicas</w:t>
      </w:r>
      <w:bookmarkEnd w:id="28"/>
      <w:bookmarkEnd w:id="29"/>
    </w:p>
    <w:p w14:paraId="36123CAB" w14:textId="77777777" w:rsidR="00781389" w:rsidRPr="00E86A8F" w:rsidRDefault="00781389"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PE"/>
        </w:rPr>
      </w:pPr>
    </w:p>
    <w:p w14:paraId="160D1ECC" w14:textId="12270E93" w:rsidR="00E52673" w:rsidRPr="00E86A8F" w:rsidRDefault="0040695D"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VE"/>
        </w:rPr>
        <w:t>A pesar de que la libertad de expresión no es un derecho absoluto</w:t>
      </w:r>
      <w:r w:rsidR="00C118ED" w:rsidRPr="00E86A8F">
        <w:rPr>
          <w:rFonts w:asciiTheme="majorHAnsi" w:hAnsiTheme="majorHAnsi"/>
          <w:sz w:val="20"/>
          <w:szCs w:val="20"/>
          <w:lang w:val="es-VE"/>
        </w:rPr>
        <w:t xml:space="preserve"> y </w:t>
      </w:r>
      <w:r w:rsidRPr="00E86A8F">
        <w:rPr>
          <w:rFonts w:asciiTheme="majorHAnsi" w:hAnsiTheme="majorHAnsi"/>
          <w:spacing w:val="-2"/>
          <w:sz w:val="20"/>
          <w:szCs w:val="20"/>
          <w:lang w:val="es-PE"/>
        </w:rPr>
        <w:t>puede estar sujeta a condiciones o limitaciones</w:t>
      </w:r>
      <w:r w:rsidR="00C118ED" w:rsidRPr="00E86A8F">
        <w:rPr>
          <w:rFonts w:asciiTheme="majorHAnsi" w:hAnsiTheme="majorHAnsi"/>
          <w:sz w:val="20"/>
          <w:szCs w:val="20"/>
          <w:lang w:val="es-PE"/>
        </w:rPr>
        <w:t xml:space="preserve">, la </w:t>
      </w:r>
      <w:r w:rsidR="00586D23" w:rsidRPr="00E86A8F">
        <w:rPr>
          <w:rFonts w:asciiTheme="majorHAnsi" w:hAnsiTheme="majorHAnsi"/>
          <w:sz w:val="20"/>
          <w:szCs w:val="20"/>
          <w:lang w:val="es-VE"/>
        </w:rPr>
        <w:t>CIDH y la Co</w:t>
      </w:r>
      <w:r w:rsidR="00E52673" w:rsidRPr="00E86A8F">
        <w:rPr>
          <w:rFonts w:asciiTheme="majorHAnsi" w:hAnsiTheme="majorHAnsi"/>
          <w:sz w:val="20"/>
          <w:szCs w:val="20"/>
          <w:lang w:val="es-VE"/>
        </w:rPr>
        <w:t>rte IDH han señalado reiteradamente que los Estados tienen un campo más limitado para imponer restricciones al derecho a la libertad de expresión “cuando quiera que se trate de expresiones atinentes al Estado, a asuntos de interés público, a funcionarios públicos en ejercicio de sus funciones o candidatos a ocupar cargos públicos, o a particulares involucrados voluntariamente en asuntos públicos, así como al discurso y debate político”</w:t>
      </w:r>
      <w:r w:rsidR="00E52673" w:rsidRPr="00E86A8F">
        <w:rPr>
          <w:rStyle w:val="FootnoteReference"/>
          <w:rFonts w:asciiTheme="majorHAnsi" w:hAnsiTheme="majorHAnsi" w:cs="Arial"/>
          <w:sz w:val="20"/>
          <w:szCs w:val="20"/>
          <w:lang w:val="es-CO"/>
        </w:rPr>
        <w:footnoteReference w:id="65"/>
      </w:r>
      <w:r w:rsidR="00E52673" w:rsidRPr="00E86A8F">
        <w:rPr>
          <w:rFonts w:asciiTheme="majorHAnsi" w:hAnsiTheme="majorHAnsi"/>
          <w:sz w:val="20"/>
          <w:szCs w:val="20"/>
          <w:lang w:val="es-VE"/>
        </w:rPr>
        <w:t xml:space="preserve">. </w:t>
      </w:r>
    </w:p>
    <w:p w14:paraId="7F66D4C5" w14:textId="3B9A48FF" w:rsidR="00223255" w:rsidRPr="00E86A8F" w:rsidRDefault="00223255"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3D36E623" w14:textId="544282EA" w:rsidR="003033A7" w:rsidRPr="00E86A8F" w:rsidRDefault="003033A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VE"/>
        </w:rPr>
        <w:t>Cabe subrayar que “los funcionarios públicos y quienes aspiran a serlo, en una sociedad democrática, tienen un umbral distinto de protección, que les expone en mayor grado al escrutinio y a la crítica del público, lo cual se justifica por el carácter de interés público de las actividades que realizan, porque se han expuesto voluntariamente a un escrutinio más exigente y porque tienen una enorme capacidad de controvertir la información a través de su poder de convocatoria pública”</w:t>
      </w:r>
      <w:r w:rsidRPr="00E86A8F">
        <w:rPr>
          <w:rStyle w:val="FootnoteReference"/>
          <w:rFonts w:asciiTheme="majorHAnsi" w:hAnsiTheme="majorHAnsi"/>
          <w:sz w:val="20"/>
          <w:szCs w:val="20"/>
        </w:rPr>
        <w:footnoteReference w:id="66"/>
      </w:r>
      <w:r w:rsidRPr="00E86A8F">
        <w:rPr>
          <w:rFonts w:asciiTheme="majorHAnsi" w:hAnsiTheme="majorHAnsi"/>
          <w:sz w:val="20"/>
          <w:szCs w:val="20"/>
          <w:lang w:val="es-VE"/>
        </w:rPr>
        <w:t>.</w:t>
      </w:r>
    </w:p>
    <w:p w14:paraId="1210988B" w14:textId="77777777" w:rsidR="0002173A" w:rsidRPr="00E86A8F" w:rsidRDefault="0002173A"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09C06022" w14:textId="4DA9FC88" w:rsidR="00394F88" w:rsidRPr="00E86A8F" w:rsidRDefault="003C2A4E"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En esos contextos, l</w:t>
      </w:r>
      <w:r w:rsidR="00187A84" w:rsidRPr="00E86A8F">
        <w:rPr>
          <w:rFonts w:asciiTheme="majorHAnsi" w:hAnsiTheme="majorHAnsi"/>
          <w:sz w:val="20"/>
          <w:szCs w:val="20"/>
          <w:lang w:val="es-CO"/>
        </w:rPr>
        <w:t>a Comisión ha mencionado que “[e]l tipo de debate político a que da lugar el derecho a la libertad de expresión generará inevitablemente ciertos discursos críticos o incluso ofensivos para quienes ocupan cargos públicos o están íntimamente vinculados a la formulación de la política pública"</w:t>
      </w:r>
      <w:r w:rsidR="00BC03A4" w:rsidRPr="00E86A8F">
        <w:rPr>
          <w:rStyle w:val="FootnoteReference"/>
          <w:rFonts w:asciiTheme="majorHAnsi" w:hAnsiTheme="majorHAnsi"/>
          <w:sz w:val="20"/>
          <w:szCs w:val="20"/>
        </w:rPr>
        <w:footnoteReference w:id="67"/>
      </w:r>
      <w:r w:rsidR="00394F88" w:rsidRPr="00E86A8F">
        <w:rPr>
          <w:rFonts w:asciiTheme="majorHAnsi" w:hAnsiTheme="majorHAnsi"/>
          <w:sz w:val="20"/>
          <w:szCs w:val="20"/>
          <w:lang w:val="es-CO"/>
        </w:rPr>
        <w:t>, los cuales tambi</w:t>
      </w:r>
      <w:r w:rsidR="00394F88" w:rsidRPr="00E86A8F">
        <w:rPr>
          <w:rFonts w:asciiTheme="majorHAnsi" w:hAnsiTheme="majorHAnsi"/>
          <w:sz w:val="20"/>
          <w:szCs w:val="20"/>
          <w:lang w:val="es-PE"/>
        </w:rPr>
        <w:t>én constituyen discursos protegidos por el derecho a la libertad de expresión.</w:t>
      </w:r>
    </w:p>
    <w:p w14:paraId="1BE6403E" w14:textId="77777777" w:rsidR="0077536A" w:rsidRPr="00E86A8F" w:rsidRDefault="0077536A" w:rsidP="00073BB6">
      <w:pPr>
        <w:pStyle w:val="ListParagraph"/>
        <w:ind w:left="0"/>
        <w:jc w:val="both"/>
        <w:rPr>
          <w:rFonts w:asciiTheme="majorHAnsi" w:hAnsiTheme="majorHAnsi"/>
          <w:sz w:val="20"/>
          <w:szCs w:val="20"/>
          <w:lang w:val="es-CO"/>
        </w:rPr>
      </w:pPr>
    </w:p>
    <w:p w14:paraId="3BBE1F5B" w14:textId="40674A80" w:rsidR="00A4036D" w:rsidRPr="00E86A8F" w:rsidRDefault="00187A8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En virtud de</w:t>
      </w:r>
      <w:r w:rsidR="0002173A" w:rsidRPr="00E86A8F">
        <w:rPr>
          <w:rFonts w:asciiTheme="majorHAnsi" w:hAnsiTheme="majorHAnsi"/>
          <w:sz w:val="20"/>
          <w:szCs w:val="20"/>
          <w:lang w:val="es-CO"/>
        </w:rPr>
        <w:t xml:space="preserve"> la importancia del derecho a la libertad de expresión en su doble dimensión, </w:t>
      </w:r>
      <w:r w:rsidR="00DB7534" w:rsidRPr="00E86A8F">
        <w:rPr>
          <w:rFonts w:asciiTheme="majorHAnsi" w:hAnsiTheme="majorHAnsi"/>
          <w:sz w:val="20"/>
          <w:szCs w:val="20"/>
          <w:lang w:val="es-CO"/>
        </w:rPr>
        <w:t>sobre todo en debates de interés público,</w:t>
      </w:r>
      <w:r w:rsidR="001B222B" w:rsidRPr="00E86A8F">
        <w:rPr>
          <w:rFonts w:asciiTheme="majorHAnsi" w:hAnsiTheme="majorHAnsi"/>
          <w:sz w:val="20"/>
          <w:szCs w:val="20"/>
          <w:lang w:val="es-CO"/>
        </w:rPr>
        <w:t xml:space="preserve"> </w:t>
      </w:r>
      <w:r w:rsidR="001B222B" w:rsidRPr="00E86A8F">
        <w:rPr>
          <w:rFonts w:asciiTheme="majorHAnsi" w:hAnsiTheme="majorHAnsi"/>
          <w:sz w:val="20"/>
          <w:szCs w:val="20"/>
          <w:lang w:val="es-PE"/>
        </w:rPr>
        <w:t xml:space="preserve">las figuras penales de calumnia, injuria y difamación </w:t>
      </w:r>
      <w:r w:rsidR="00556E54" w:rsidRPr="00E86A8F">
        <w:rPr>
          <w:rFonts w:asciiTheme="majorHAnsi" w:hAnsiTheme="majorHAnsi"/>
          <w:sz w:val="20"/>
          <w:szCs w:val="20"/>
          <w:lang w:val="es-PE"/>
        </w:rPr>
        <w:t>c</w:t>
      </w:r>
      <w:r w:rsidR="00F367A2" w:rsidRPr="00E86A8F">
        <w:rPr>
          <w:rFonts w:asciiTheme="majorHAnsi" w:hAnsiTheme="majorHAnsi"/>
          <w:sz w:val="20"/>
          <w:szCs w:val="20"/>
          <w:lang w:val="es-PE"/>
        </w:rPr>
        <w:t>omo</w:t>
      </w:r>
      <w:r w:rsidR="00556E54" w:rsidRPr="00E86A8F">
        <w:rPr>
          <w:rFonts w:asciiTheme="majorHAnsi" w:hAnsiTheme="majorHAnsi"/>
          <w:sz w:val="20"/>
          <w:szCs w:val="20"/>
          <w:lang w:val="es-PE"/>
        </w:rPr>
        <w:t xml:space="preserve"> </w:t>
      </w:r>
      <w:r w:rsidR="00F367A2" w:rsidRPr="00E86A8F">
        <w:rPr>
          <w:rFonts w:asciiTheme="majorHAnsi" w:hAnsiTheme="majorHAnsi"/>
          <w:sz w:val="20"/>
          <w:szCs w:val="20"/>
          <w:lang w:val="es-PE"/>
        </w:rPr>
        <w:t>mecanismo de asignación de responsabilidades ulteriores</w:t>
      </w:r>
      <w:r w:rsidR="001402E0" w:rsidRPr="00E86A8F">
        <w:rPr>
          <w:rFonts w:asciiTheme="majorHAnsi" w:hAnsiTheme="majorHAnsi"/>
          <w:sz w:val="20"/>
          <w:szCs w:val="20"/>
          <w:lang w:val="es-PE"/>
        </w:rPr>
        <w:t>,</w:t>
      </w:r>
      <w:r w:rsidR="00F367A2" w:rsidRPr="00E86A8F">
        <w:rPr>
          <w:rFonts w:asciiTheme="majorHAnsi" w:hAnsiTheme="majorHAnsi"/>
          <w:sz w:val="20"/>
          <w:szCs w:val="20"/>
          <w:lang w:val="es-PE"/>
        </w:rPr>
        <w:t xml:space="preserve"> cuando se está frente a discursos especialmente protegidos</w:t>
      </w:r>
      <w:r w:rsidR="001402E0" w:rsidRPr="00E86A8F">
        <w:rPr>
          <w:rFonts w:asciiTheme="majorHAnsi" w:hAnsiTheme="majorHAnsi"/>
          <w:sz w:val="20"/>
          <w:szCs w:val="20"/>
          <w:lang w:val="es-PE"/>
        </w:rPr>
        <w:t>,</w:t>
      </w:r>
      <w:r w:rsidR="00F367A2" w:rsidRPr="00E86A8F">
        <w:rPr>
          <w:rFonts w:asciiTheme="majorHAnsi" w:hAnsiTheme="majorHAnsi"/>
          <w:sz w:val="20"/>
          <w:szCs w:val="20"/>
          <w:lang w:val="es-PE"/>
        </w:rPr>
        <w:t xml:space="preserve"> </w:t>
      </w:r>
      <w:r w:rsidR="00F367A2" w:rsidRPr="00E86A8F">
        <w:rPr>
          <w:rFonts w:asciiTheme="majorHAnsi" w:hAnsiTheme="majorHAnsi"/>
          <w:sz w:val="20"/>
          <w:szCs w:val="20"/>
          <w:lang w:val="es-PE"/>
        </w:rPr>
        <w:lastRenderedPageBreak/>
        <w:t xml:space="preserve">contraviene </w:t>
      </w:r>
      <w:r w:rsidR="00F367A2" w:rsidRPr="00E86A8F">
        <w:rPr>
          <w:rFonts w:asciiTheme="majorHAnsi" w:hAnsiTheme="majorHAnsi"/>
          <w:sz w:val="20"/>
          <w:szCs w:val="20"/>
          <w:lang w:val="es-ES"/>
        </w:rPr>
        <w:t>la libertad de expresión protegida por el artículo 13 de la Convención.  Al respecto,</w:t>
      </w:r>
      <w:r w:rsidR="00F367A2" w:rsidRPr="00E86A8F">
        <w:rPr>
          <w:rFonts w:asciiTheme="majorHAnsi" w:hAnsiTheme="majorHAnsi"/>
          <w:sz w:val="20"/>
          <w:szCs w:val="20"/>
          <w:lang w:val="es-PE"/>
        </w:rPr>
        <w:t xml:space="preserve"> la Comisión y la Corte han sido enfáticas al sostener que este tipo de expresiones gozan de una mayor protección en el marco del sistema interamericano de protección de derechos humano</w:t>
      </w:r>
      <w:r w:rsidR="00AC555E" w:rsidRPr="00E86A8F">
        <w:rPr>
          <w:rFonts w:asciiTheme="majorHAnsi" w:hAnsiTheme="majorHAnsi"/>
          <w:sz w:val="20"/>
          <w:szCs w:val="20"/>
          <w:lang w:val="es-PE"/>
        </w:rPr>
        <w:t>s</w:t>
      </w:r>
      <w:r w:rsidR="00F367A2" w:rsidRPr="00E86A8F">
        <w:rPr>
          <w:rFonts w:asciiTheme="majorHAnsi" w:hAnsiTheme="majorHAnsi"/>
          <w:sz w:val="20"/>
          <w:szCs w:val="20"/>
          <w:vertAlign w:val="superscript"/>
        </w:rPr>
        <w:footnoteReference w:id="68"/>
      </w:r>
      <w:r w:rsidR="00F367A2" w:rsidRPr="00E86A8F">
        <w:rPr>
          <w:rFonts w:asciiTheme="majorHAnsi" w:hAnsiTheme="majorHAnsi"/>
          <w:sz w:val="20"/>
          <w:szCs w:val="20"/>
          <w:lang w:val="es-PE"/>
        </w:rPr>
        <w:t>. Tal protección se ha justificado, entre otras razones, en la importancia de mantener un marco jurídico que fomente la deliberación pública; y en el hecho de que los funcionarios voluntariamente se han expuesto a un mayor escrutinio social, y cuentan con mayores y mejores condiciones para responder al debate públic</w:t>
      </w:r>
      <w:r w:rsidR="00AC555E" w:rsidRPr="00E86A8F">
        <w:rPr>
          <w:rFonts w:asciiTheme="majorHAnsi" w:hAnsiTheme="majorHAnsi"/>
          <w:sz w:val="20"/>
          <w:szCs w:val="20"/>
          <w:lang w:val="es-PE"/>
        </w:rPr>
        <w:t>o</w:t>
      </w:r>
      <w:r w:rsidR="00F367A2" w:rsidRPr="00E86A8F">
        <w:rPr>
          <w:rFonts w:asciiTheme="majorHAnsi" w:hAnsiTheme="majorHAnsi" w:cs="Univers"/>
          <w:sz w:val="20"/>
          <w:szCs w:val="20"/>
          <w:vertAlign w:val="superscript"/>
          <w:lang w:val="es-AR"/>
        </w:rPr>
        <w:footnoteReference w:id="69"/>
      </w:r>
      <w:r w:rsidR="00F367A2" w:rsidRPr="00E86A8F">
        <w:rPr>
          <w:rFonts w:asciiTheme="majorHAnsi" w:hAnsiTheme="majorHAnsi"/>
          <w:sz w:val="20"/>
          <w:szCs w:val="20"/>
          <w:lang w:val="es-PE"/>
        </w:rPr>
        <w:t>.</w:t>
      </w:r>
    </w:p>
    <w:p w14:paraId="3E9F692D" w14:textId="77777777" w:rsidR="0077536A" w:rsidRPr="00E86A8F" w:rsidRDefault="0077536A" w:rsidP="00073BB6">
      <w:pPr>
        <w:pStyle w:val="ListParagraph"/>
        <w:ind w:left="0"/>
        <w:jc w:val="both"/>
        <w:rPr>
          <w:rFonts w:asciiTheme="majorHAnsi" w:hAnsiTheme="majorHAnsi"/>
          <w:sz w:val="20"/>
          <w:szCs w:val="20"/>
          <w:lang w:val="es-CO"/>
        </w:rPr>
      </w:pPr>
    </w:p>
    <w:p w14:paraId="2E045DCE" w14:textId="1074A2E2" w:rsidR="00187A84" w:rsidRPr="00E86A8F" w:rsidRDefault="00A4036D"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PE"/>
        </w:rPr>
        <w:t>Para la CIDH resulta claro que no hay un interés social imperativo que justifique la utilización de mecanismos penales para sancionar este tipo de expresiones. El uso del derecho penal resulta innecesario y desproporcionado, y además constituye un medio de censura indirecta dado su efecto amedrentador e inhibidor del debate sobre asuntos de interés público y la defensa de los derecho</w:t>
      </w:r>
      <w:r w:rsidR="004F0D2C" w:rsidRPr="00E86A8F">
        <w:rPr>
          <w:rFonts w:asciiTheme="majorHAnsi" w:hAnsiTheme="majorHAnsi"/>
          <w:sz w:val="20"/>
          <w:szCs w:val="20"/>
          <w:lang w:val="es-PE"/>
        </w:rPr>
        <w:t>s</w:t>
      </w:r>
      <w:r w:rsidRPr="00E86A8F">
        <w:rPr>
          <w:rStyle w:val="FootnoteReference"/>
          <w:rFonts w:asciiTheme="majorHAnsi" w:hAnsiTheme="majorHAnsi"/>
          <w:sz w:val="20"/>
          <w:szCs w:val="20"/>
          <w:lang w:val="es-CO"/>
        </w:rPr>
        <w:footnoteReference w:id="70"/>
      </w:r>
      <w:r w:rsidR="004F0D2C" w:rsidRPr="00E86A8F">
        <w:rPr>
          <w:rFonts w:asciiTheme="majorHAnsi" w:hAnsiTheme="majorHAnsi"/>
          <w:sz w:val="20"/>
          <w:szCs w:val="20"/>
          <w:lang w:val="es-PE"/>
        </w:rPr>
        <w:t>. En este sentido,</w:t>
      </w:r>
      <w:r w:rsidRPr="00E86A8F">
        <w:rPr>
          <w:rFonts w:asciiTheme="majorHAnsi" w:hAnsiTheme="majorHAnsi"/>
          <w:sz w:val="20"/>
          <w:szCs w:val="20"/>
          <w:lang w:val="es-PE"/>
        </w:rPr>
        <w:t xml:space="preserve"> </w:t>
      </w:r>
      <w:r w:rsidR="004F0D2C" w:rsidRPr="00E86A8F">
        <w:rPr>
          <w:rFonts w:asciiTheme="majorHAnsi" w:hAnsiTheme="majorHAnsi"/>
          <w:sz w:val="20"/>
          <w:szCs w:val="20"/>
          <w:lang w:val="es-PE"/>
        </w:rPr>
        <w:t>a</w:t>
      </w:r>
      <w:r w:rsidRPr="00E86A8F">
        <w:rPr>
          <w:rFonts w:asciiTheme="majorHAnsi" w:hAnsiTheme="majorHAnsi"/>
          <w:sz w:val="20"/>
          <w:szCs w:val="20"/>
          <w:lang w:val="es-PE"/>
        </w:rPr>
        <w:t xml:space="preserve"> la luz de los estándares interamericanos, la protección a la honra o reputación sólo debe garantizarse a través de </w:t>
      </w:r>
      <w:r w:rsidR="007819C4" w:rsidRPr="00E86A8F">
        <w:rPr>
          <w:rFonts w:asciiTheme="majorHAnsi" w:hAnsiTheme="majorHAnsi"/>
          <w:sz w:val="20"/>
          <w:szCs w:val="20"/>
          <w:lang w:val="es-PE"/>
        </w:rPr>
        <w:t>medios menos lesivos, como por ejemplo</w:t>
      </w:r>
      <w:r w:rsidR="00C16370" w:rsidRPr="00E86A8F">
        <w:rPr>
          <w:rFonts w:asciiTheme="majorHAnsi" w:hAnsiTheme="majorHAnsi"/>
          <w:sz w:val="20"/>
          <w:szCs w:val="20"/>
          <w:lang w:val="es-PE"/>
        </w:rPr>
        <w:t xml:space="preserve">, </w:t>
      </w:r>
      <w:r w:rsidRPr="00E86A8F">
        <w:rPr>
          <w:rFonts w:asciiTheme="majorHAnsi" w:hAnsiTheme="majorHAnsi"/>
          <w:sz w:val="20"/>
          <w:szCs w:val="20"/>
          <w:lang w:val="es-PE"/>
        </w:rPr>
        <w:t>sanciones civiles en los casos en que la persona ofendida sea un funcionario público o una persona pública o particular que se haya involucrado voluntariamente en asuntos de interés públic</w:t>
      </w:r>
      <w:r w:rsidR="005A7A20" w:rsidRPr="00E86A8F">
        <w:rPr>
          <w:rFonts w:asciiTheme="majorHAnsi" w:hAnsiTheme="majorHAnsi"/>
          <w:sz w:val="20"/>
          <w:szCs w:val="20"/>
          <w:lang w:val="es-PE"/>
        </w:rPr>
        <w:t>o</w:t>
      </w:r>
      <w:r w:rsidRPr="00E86A8F">
        <w:rPr>
          <w:rStyle w:val="FootnoteReference"/>
          <w:rFonts w:asciiTheme="majorHAnsi" w:hAnsiTheme="majorHAnsi"/>
          <w:sz w:val="20"/>
          <w:szCs w:val="20"/>
          <w:lang w:val="es-CO"/>
        </w:rPr>
        <w:footnoteReference w:id="71"/>
      </w:r>
      <w:r w:rsidRPr="00E86A8F">
        <w:rPr>
          <w:rFonts w:asciiTheme="majorHAnsi" w:hAnsiTheme="majorHAnsi"/>
          <w:sz w:val="20"/>
          <w:szCs w:val="20"/>
          <w:lang w:val="es-PE"/>
        </w:rPr>
        <w:t>, siempre en atención a los principios del pluralismo democrático</w:t>
      </w:r>
      <w:r w:rsidR="00187A84" w:rsidRPr="00E86A8F">
        <w:rPr>
          <w:rStyle w:val="FootnoteReference"/>
          <w:rFonts w:asciiTheme="majorHAnsi" w:hAnsiTheme="majorHAnsi"/>
          <w:sz w:val="20"/>
          <w:szCs w:val="20"/>
          <w:lang w:val="es-CO"/>
        </w:rPr>
        <w:footnoteReference w:id="72"/>
      </w:r>
      <w:r w:rsidR="00187A84" w:rsidRPr="00E86A8F">
        <w:rPr>
          <w:rFonts w:asciiTheme="majorHAnsi" w:hAnsiTheme="majorHAnsi"/>
          <w:sz w:val="20"/>
          <w:szCs w:val="20"/>
          <w:lang w:val="es-CO"/>
        </w:rPr>
        <w:t xml:space="preserve">. En consecuencia, el uso y aplicación de mecanismos penales </w:t>
      </w:r>
      <w:r w:rsidR="00E578D0" w:rsidRPr="00E86A8F">
        <w:rPr>
          <w:rFonts w:asciiTheme="majorHAnsi" w:hAnsiTheme="majorHAnsi"/>
          <w:sz w:val="20"/>
          <w:szCs w:val="20"/>
          <w:lang w:val="es-CO"/>
        </w:rPr>
        <w:t>en</w:t>
      </w:r>
      <w:r w:rsidR="00187A84" w:rsidRPr="00E86A8F">
        <w:rPr>
          <w:rFonts w:asciiTheme="majorHAnsi" w:hAnsiTheme="majorHAnsi"/>
          <w:sz w:val="20"/>
          <w:szCs w:val="20"/>
          <w:lang w:val="es-CO"/>
        </w:rPr>
        <w:t xml:space="preserve"> </w:t>
      </w:r>
      <w:r w:rsidR="00E578D0" w:rsidRPr="00E86A8F">
        <w:rPr>
          <w:rFonts w:asciiTheme="majorHAnsi" w:hAnsiTheme="majorHAnsi"/>
          <w:sz w:val="20"/>
          <w:szCs w:val="20"/>
          <w:lang w:val="es-CO"/>
        </w:rPr>
        <w:t xml:space="preserve">estos casos, </w:t>
      </w:r>
      <w:r w:rsidR="00187A84" w:rsidRPr="00E86A8F">
        <w:rPr>
          <w:rFonts w:asciiTheme="majorHAnsi" w:hAnsiTheme="majorHAnsi"/>
          <w:sz w:val="20"/>
          <w:szCs w:val="20"/>
          <w:lang w:val="es-CO"/>
        </w:rPr>
        <w:t xml:space="preserve">vulnera </w:t>
      </w:r>
      <w:r w:rsidR="00187A84" w:rsidRPr="00E86A8F">
        <w:rPr>
          <w:rFonts w:asciiTheme="majorHAnsi" w:hAnsiTheme="majorHAnsi"/>
          <w:i/>
          <w:sz w:val="20"/>
          <w:szCs w:val="20"/>
          <w:lang w:val="es-CO"/>
        </w:rPr>
        <w:t>per se</w:t>
      </w:r>
      <w:r w:rsidR="00187A84" w:rsidRPr="00E86A8F">
        <w:rPr>
          <w:rFonts w:asciiTheme="majorHAnsi" w:hAnsiTheme="majorHAnsi"/>
          <w:sz w:val="20"/>
          <w:szCs w:val="20"/>
          <w:lang w:val="es-CO"/>
        </w:rPr>
        <w:t xml:space="preserve"> el artículo 13 de la Convención Americana</w:t>
      </w:r>
      <w:r w:rsidR="00187A84" w:rsidRPr="00E86A8F">
        <w:rPr>
          <w:rStyle w:val="FootnoteReference"/>
          <w:rFonts w:asciiTheme="majorHAnsi" w:hAnsiTheme="majorHAnsi"/>
          <w:sz w:val="20"/>
          <w:szCs w:val="20"/>
          <w:lang w:val="es-CO"/>
        </w:rPr>
        <w:footnoteReference w:id="73"/>
      </w:r>
      <w:r w:rsidR="00187A84" w:rsidRPr="00E86A8F">
        <w:rPr>
          <w:rFonts w:asciiTheme="majorHAnsi" w:hAnsiTheme="majorHAnsi"/>
          <w:sz w:val="20"/>
          <w:szCs w:val="20"/>
          <w:lang w:val="es-CO"/>
        </w:rPr>
        <w:t>.</w:t>
      </w:r>
    </w:p>
    <w:p w14:paraId="62D585B4" w14:textId="77777777" w:rsidR="00CD0325" w:rsidRPr="00E86A8F" w:rsidRDefault="00CD0325" w:rsidP="00073BB6">
      <w:pPr>
        <w:pStyle w:val="ListParagraph"/>
        <w:ind w:left="0"/>
        <w:jc w:val="both"/>
        <w:rPr>
          <w:rFonts w:asciiTheme="majorHAnsi" w:hAnsiTheme="majorHAnsi"/>
          <w:sz w:val="20"/>
          <w:szCs w:val="20"/>
          <w:lang w:val="es-CO"/>
        </w:rPr>
      </w:pPr>
    </w:p>
    <w:p w14:paraId="5A4EEEA7" w14:textId="77777777" w:rsidR="001043D9" w:rsidRPr="00E86A8F" w:rsidRDefault="00CD0325"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ES"/>
        </w:rPr>
        <w:t xml:space="preserve">En sentido similar, el Comité de Derechos Humanos de Naciones Unidas indicó en su Observación General No. 34 </w:t>
      </w:r>
      <w:r w:rsidRPr="00E86A8F">
        <w:rPr>
          <w:rFonts w:asciiTheme="majorHAnsi" w:hAnsiTheme="majorHAnsi"/>
          <w:i/>
          <w:sz w:val="20"/>
          <w:szCs w:val="20"/>
          <w:lang w:val="es-ES"/>
        </w:rPr>
        <w:t>Artículo 19 Libertad de opinión y libertad de expresión,</w:t>
      </w:r>
      <w:r w:rsidRPr="00E86A8F">
        <w:rPr>
          <w:rFonts w:asciiTheme="majorHAnsi" w:hAnsiTheme="majorHAnsi"/>
          <w:sz w:val="20"/>
          <w:szCs w:val="20"/>
          <w:lang w:val="es-ES"/>
        </w:rPr>
        <w:t xml:space="preserve"> que</w:t>
      </w:r>
      <w:r w:rsidRPr="00E86A8F">
        <w:rPr>
          <w:rFonts w:asciiTheme="majorHAnsi" w:hAnsiTheme="majorHAnsi"/>
          <w:i/>
          <w:sz w:val="20"/>
          <w:szCs w:val="20"/>
          <w:lang w:val="es-ES"/>
        </w:rPr>
        <w:t xml:space="preserve"> “</w:t>
      </w:r>
      <w:r w:rsidRPr="00E86A8F">
        <w:rPr>
          <w:rFonts w:asciiTheme="majorHAnsi" w:hAnsiTheme="majorHAnsi"/>
          <w:sz w:val="20"/>
          <w:szCs w:val="20"/>
          <w:lang w:val="es-ES"/>
        </w:rPr>
        <w:t>[l]os Estados partes deberían considerar la posibilidad de despenalizar la difamación y, en todo caso, la normativa penal solo debería aplicarse en los casos más graves, y la pena de prisión no es nunca adecuada. No es permisible que un Estado parte acuse a alguien por el delito de difamación, pero no lo someta luego a juicio en forma expedita; esa práctica tiene un efecto disuasivo que puede restringir indebidamente el ejercicio de la libertad de expresión”</w:t>
      </w:r>
      <w:r w:rsidRPr="00E86A8F">
        <w:rPr>
          <w:rStyle w:val="FootnoteReference"/>
          <w:rFonts w:asciiTheme="majorHAnsi" w:hAnsiTheme="majorHAnsi"/>
          <w:sz w:val="20"/>
          <w:szCs w:val="20"/>
          <w:lang w:val="es-ES"/>
        </w:rPr>
        <w:footnoteReference w:id="74"/>
      </w:r>
      <w:r w:rsidRPr="00E86A8F">
        <w:rPr>
          <w:rFonts w:asciiTheme="majorHAnsi" w:hAnsiTheme="majorHAnsi"/>
          <w:sz w:val="20"/>
          <w:szCs w:val="20"/>
          <w:lang w:val="es-ES"/>
        </w:rPr>
        <w:t>.</w:t>
      </w:r>
    </w:p>
    <w:p w14:paraId="21265C6E" w14:textId="77777777" w:rsidR="001043D9" w:rsidRPr="00E86A8F" w:rsidRDefault="001043D9" w:rsidP="00073BB6">
      <w:pPr>
        <w:pStyle w:val="ListParagraph"/>
        <w:ind w:left="0"/>
        <w:jc w:val="both"/>
        <w:rPr>
          <w:rFonts w:asciiTheme="majorHAnsi" w:hAnsiTheme="majorHAnsi"/>
          <w:sz w:val="20"/>
          <w:szCs w:val="20"/>
          <w:lang w:val="es-CO"/>
        </w:rPr>
      </w:pPr>
    </w:p>
    <w:p w14:paraId="788F7B14" w14:textId="291F8153" w:rsidR="00187A84" w:rsidRPr="00E86A8F" w:rsidRDefault="00187A8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A</w:t>
      </w:r>
      <w:r w:rsidRPr="00E86A8F">
        <w:rPr>
          <w:rFonts w:asciiTheme="majorHAnsi" w:hAnsiTheme="majorHAnsi"/>
          <w:sz w:val="20"/>
          <w:szCs w:val="20"/>
          <w:lang w:val="es-ES"/>
        </w:rPr>
        <w:t xml:space="preserve"> este respecto, resulta relevante mencionar que la Corte Europea de Derechos Humanos reiteradamente ha considerado innecesaria y/o desproporcionada, y por tanto incompatible con el derecho a la libertad de expresión consagrado por el artículo 10 del Convenio Europeo, la imposición de sanciones penales (incluso cuando las mismas no han sido efectivas) con relación a expresiones sobre asuntos de interés público</w:t>
      </w:r>
      <w:r w:rsidRPr="00E86A8F">
        <w:rPr>
          <w:rFonts w:asciiTheme="majorHAnsi" w:hAnsiTheme="majorHAnsi"/>
          <w:sz w:val="20"/>
          <w:szCs w:val="20"/>
          <w:vertAlign w:val="superscript"/>
        </w:rPr>
        <w:footnoteReference w:id="75"/>
      </w:r>
      <w:r w:rsidRPr="00E86A8F">
        <w:rPr>
          <w:rFonts w:asciiTheme="majorHAnsi" w:hAnsiTheme="majorHAnsi"/>
          <w:sz w:val="20"/>
          <w:szCs w:val="20"/>
          <w:lang w:val="es-ES"/>
        </w:rPr>
        <w:t xml:space="preserve">, como consecuencia de la expresión de discursos evidentemente ofensivos o perturbadores que pueden afectar derechos de servidores públicos. En efecto, en el caso </w:t>
      </w:r>
      <w:r w:rsidRPr="00E86A8F">
        <w:rPr>
          <w:rFonts w:asciiTheme="majorHAnsi" w:hAnsiTheme="majorHAnsi"/>
          <w:i/>
          <w:sz w:val="20"/>
          <w:szCs w:val="20"/>
          <w:lang w:val="es-ES"/>
        </w:rPr>
        <w:t xml:space="preserve">Castells v. España, </w:t>
      </w:r>
      <w:r w:rsidRPr="00E86A8F">
        <w:rPr>
          <w:rFonts w:asciiTheme="majorHAnsi" w:hAnsiTheme="majorHAnsi"/>
          <w:sz w:val="20"/>
          <w:szCs w:val="20"/>
          <w:lang w:val="es-ES"/>
        </w:rPr>
        <w:t xml:space="preserve">la Corte Europea </w:t>
      </w:r>
      <w:r w:rsidRPr="00E86A8F">
        <w:rPr>
          <w:rFonts w:asciiTheme="majorHAnsi" w:hAnsiTheme="majorHAnsi"/>
          <w:sz w:val="20"/>
          <w:szCs w:val="20"/>
          <w:lang w:val="es-ES"/>
        </w:rPr>
        <w:lastRenderedPageBreak/>
        <w:t>determinó que el Estado español violó el artículo 10 al haber condenado a un año y un día de prisión a un senador que acusó al gobierno nacional y a la monarquía de complicidad en una serie de asesinatos ocurridos en el País Vasco</w:t>
      </w:r>
      <w:r w:rsidRPr="00E86A8F">
        <w:rPr>
          <w:rFonts w:asciiTheme="majorHAnsi" w:hAnsiTheme="majorHAnsi"/>
          <w:sz w:val="20"/>
          <w:szCs w:val="20"/>
          <w:vertAlign w:val="superscript"/>
        </w:rPr>
        <w:footnoteReference w:id="76"/>
      </w:r>
      <w:r w:rsidRPr="00E86A8F">
        <w:rPr>
          <w:rFonts w:asciiTheme="majorHAnsi" w:hAnsiTheme="majorHAnsi"/>
          <w:sz w:val="20"/>
          <w:szCs w:val="20"/>
          <w:lang w:val="es-ES"/>
        </w:rPr>
        <w:t xml:space="preserve">. </w:t>
      </w:r>
    </w:p>
    <w:p w14:paraId="7A4F4833" w14:textId="77777777" w:rsidR="00923303" w:rsidRPr="00E86A8F" w:rsidRDefault="00923303" w:rsidP="00073BB6">
      <w:pPr>
        <w:pStyle w:val="ListParagraph"/>
        <w:ind w:left="0"/>
        <w:jc w:val="both"/>
        <w:rPr>
          <w:rFonts w:asciiTheme="majorHAnsi" w:hAnsiTheme="majorHAnsi"/>
          <w:sz w:val="20"/>
          <w:szCs w:val="20"/>
          <w:lang w:val="es-CO"/>
        </w:rPr>
      </w:pPr>
    </w:p>
    <w:p w14:paraId="3371A6E7" w14:textId="46327BE8" w:rsidR="00187A84" w:rsidRPr="00E86A8F" w:rsidRDefault="00187A8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ES"/>
        </w:rPr>
        <w:t>Ahora bien, en la última década, la Corte Europea, además de encontrar que la aplicación del derecho penal es innecesaria y desproporcionada en el caso concreto, ha desarrollado una regla general sobre la naturaleza excepcional que deben tener las sanciones penales cuando se trata de expresiones sobre asuntos de interés público. Así, el Tribunal Europeo ha expresado que “una pena de prisión impuesta por una infracción cometida en el ámbito del discurso político sólo es compatible con la libertad de expresión garantizada por el artículo 10 del Convenio en circunstancias excepcionales, en particular, cuando se hayan afectado seriamente otros derechos fundamentales, como en la hipótesis, por ejemplo, de la difusión de un discurso de odio o incitación a la violencia”</w:t>
      </w:r>
      <w:r w:rsidRPr="00E86A8F">
        <w:rPr>
          <w:rFonts w:asciiTheme="majorHAnsi" w:hAnsiTheme="majorHAnsi"/>
          <w:sz w:val="20"/>
          <w:szCs w:val="20"/>
          <w:vertAlign w:val="superscript"/>
        </w:rPr>
        <w:footnoteReference w:id="77"/>
      </w:r>
      <w:r w:rsidRPr="00E86A8F">
        <w:rPr>
          <w:rFonts w:asciiTheme="majorHAnsi" w:hAnsiTheme="majorHAnsi"/>
          <w:sz w:val="20"/>
          <w:szCs w:val="20"/>
          <w:lang w:val="es-ES"/>
        </w:rPr>
        <w:t xml:space="preserve">. </w:t>
      </w:r>
    </w:p>
    <w:p w14:paraId="36E411AC" w14:textId="77777777" w:rsidR="00923303" w:rsidRPr="00E86A8F" w:rsidRDefault="00923303" w:rsidP="00073BB6">
      <w:pPr>
        <w:pStyle w:val="ListParagraph"/>
        <w:ind w:left="0"/>
        <w:jc w:val="both"/>
        <w:rPr>
          <w:rFonts w:asciiTheme="majorHAnsi" w:hAnsiTheme="majorHAnsi"/>
          <w:sz w:val="20"/>
          <w:szCs w:val="20"/>
          <w:lang w:val="es-CO"/>
        </w:rPr>
      </w:pPr>
    </w:p>
    <w:p w14:paraId="2A1CB07B" w14:textId="06514934" w:rsidR="00187A84" w:rsidRPr="00E86A8F" w:rsidRDefault="00187A8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ES"/>
        </w:rPr>
        <w:t xml:space="preserve">Esta regla jurisprudencial fue establecida por la Corte en 2004 en el caso </w:t>
      </w:r>
      <w:r w:rsidRPr="00E86A8F">
        <w:rPr>
          <w:rFonts w:asciiTheme="majorHAnsi" w:hAnsiTheme="majorHAnsi"/>
          <w:i/>
          <w:iCs/>
          <w:sz w:val="20"/>
          <w:szCs w:val="20"/>
          <w:lang w:val="es-ES"/>
        </w:rPr>
        <w:t>Cumpănă y Mazăre v. Rumania</w:t>
      </w:r>
      <w:r w:rsidRPr="00E86A8F">
        <w:rPr>
          <w:rFonts w:asciiTheme="majorHAnsi" w:hAnsiTheme="majorHAnsi"/>
          <w:sz w:val="20"/>
          <w:szCs w:val="20"/>
          <w:lang w:val="es-ES"/>
        </w:rPr>
        <w:t xml:space="preserve"> antes mencionado, y reiterado posteriormente en los casos </w:t>
      </w:r>
      <w:r w:rsidRPr="00E86A8F">
        <w:rPr>
          <w:rFonts w:asciiTheme="majorHAnsi" w:hAnsiTheme="majorHAnsi"/>
          <w:i/>
          <w:sz w:val="20"/>
          <w:szCs w:val="20"/>
          <w:lang w:val="es-ES"/>
        </w:rPr>
        <w:t xml:space="preserve">Fatullayev v. Azerbaijan </w:t>
      </w:r>
      <w:r w:rsidRPr="00E86A8F">
        <w:rPr>
          <w:rFonts w:asciiTheme="majorHAnsi" w:hAnsiTheme="majorHAnsi"/>
          <w:sz w:val="20"/>
          <w:szCs w:val="20"/>
          <w:lang w:val="es-ES"/>
        </w:rPr>
        <w:t xml:space="preserve">y </w:t>
      </w:r>
      <w:r w:rsidRPr="00E86A8F">
        <w:rPr>
          <w:rFonts w:asciiTheme="majorHAnsi" w:hAnsiTheme="majorHAnsi"/>
          <w:i/>
          <w:sz w:val="20"/>
          <w:szCs w:val="20"/>
          <w:lang w:val="es-ES"/>
        </w:rPr>
        <w:t>Otegi Mondragon v. España</w:t>
      </w:r>
      <w:r w:rsidRPr="00E86A8F">
        <w:rPr>
          <w:rFonts w:asciiTheme="majorHAnsi" w:hAnsiTheme="majorHAnsi"/>
          <w:sz w:val="20"/>
          <w:szCs w:val="20"/>
          <w:lang w:val="es-ES"/>
        </w:rPr>
        <w:t>, entre otros. Respecto a este último caso, el Tribunal analizó la existencia de una posible violación del derecho a la libertad de expresión en ocasión de una condena penal por el delito de injurias contra el Rey, proferidas por un político. El Tribunal entendió que las expresiones que dieron origen a la condena penal, según las cuales el funcionario cuestionado (en este caso el Rey) era el jefe de un ejército de torturadores que había impuesto el régimen político mediante el ejercicio del terror, incluso si eran molestas, perturbadoras o injustas, formaban parte del debate político o de interés público. Para ello</w:t>
      </w:r>
      <w:r w:rsidR="00C7029D" w:rsidRPr="00E86A8F">
        <w:rPr>
          <w:rFonts w:asciiTheme="majorHAnsi" w:hAnsiTheme="majorHAnsi"/>
          <w:sz w:val="20"/>
          <w:szCs w:val="20"/>
          <w:lang w:val="es-ES"/>
        </w:rPr>
        <w:t>,</w:t>
      </w:r>
      <w:r w:rsidRPr="00E86A8F">
        <w:rPr>
          <w:rFonts w:asciiTheme="majorHAnsi" w:hAnsiTheme="majorHAnsi"/>
          <w:sz w:val="20"/>
          <w:szCs w:val="20"/>
          <w:lang w:val="es-ES"/>
        </w:rPr>
        <w:t xml:space="preserve"> el Tribunal consideró </w:t>
      </w:r>
      <w:r w:rsidR="000F2099" w:rsidRPr="00E86A8F">
        <w:rPr>
          <w:rFonts w:asciiTheme="majorHAnsi" w:hAnsiTheme="majorHAnsi"/>
          <w:sz w:val="20"/>
          <w:szCs w:val="20"/>
          <w:lang w:val="es-ES"/>
        </w:rPr>
        <w:t>que,</w:t>
      </w:r>
      <w:r w:rsidRPr="00E86A8F">
        <w:rPr>
          <w:rFonts w:asciiTheme="majorHAnsi" w:hAnsiTheme="majorHAnsi"/>
          <w:sz w:val="20"/>
          <w:szCs w:val="20"/>
          <w:lang w:val="es-ES"/>
        </w:rPr>
        <w:t xml:space="preserve"> si bien la fijación de las penas es en principio, una prerrogativa de las jurisdicciones nacionales, la imposición de una pena de prisión no es compatible con la libertad de expresión cuando se aplique para sancionar expresiones emitidas contra personalidades públicas en el marco del debate político, salvo que se trate de casos extremos, como cuando se emiten expresiones que constituyen discurso de odio o incitación a la violencia</w:t>
      </w:r>
      <w:r w:rsidRPr="00E86A8F">
        <w:rPr>
          <w:rFonts w:asciiTheme="majorHAnsi" w:hAnsiTheme="majorHAnsi"/>
          <w:sz w:val="20"/>
          <w:szCs w:val="20"/>
          <w:vertAlign w:val="superscript"/>
        </w:rPr>
        <w:footnoteReference w:id="78"/>
      </w:r>
      <w:r w:rsidRPr="00E86A8F">
        <w:rPr>
          <w:rFonts w:asciiTheme="majorHAnsi" w:hAnsiTheme="majorHAnsi"/>
          <w:sz w:val="20"/>
          <w:szCs w:val="20"/>
          <w:lang w:val="es-ES"/>
        </w:rPr>
        <w:t xml:space="preserve">. </w:t>
      </w:r>
    </w:p>
    <w:p w14:paraId="420FD809" w14:textId="77777777" w:rsidR="00601CB8" w:rsidRPr="00E86A8F" w:rsidRDefault="00601CB8"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29AB19E1" w14:textId="112117C6" w:rsidR="00187A84" w:rsidRPr="00E86A8F" w:rsidRDefault="00187A8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ES"/>
        </w:rPr>
        <w:t>La Corte Europea ha hecho hincapié desde entonces, además, en el hecho que la existencia de sanciones privativas de libertad en materia de libertad de expresión tiene un “evidente” e “inevitable” efecto disuasivo (</w:t>
      </w:r>
      <w:r w:rsidRPr="00E86A8F">
        <w:rPr>
          <w:rFonts w:asciiTheme="majorHAnsi" w:hAnsiTheme="majorHAnsi"/>
          <w:i/>
          <w:sz w:val="20"/>
          <w:szCs w:val="20"/>
          <w:lang w:val="es-ES"/>
        </w:rPr>
        <w:t xml:space="preserve">“chilling effect”) </w:t>
      </w:r>
      <w:r w:rsidRPr="00E86A8F">
        <w:rPr>
          <w:rFonts w:asciiTheme="majorHAnsi" w:hAnsiTheme="majorHAnsi"/>
          <w:sz w:val="20"/>
          <w:szCs w:val="20"/>
          <w:lang w:val="es-ES"/>
        </w:rPr>
        <w:t>sobre el ejercicio de este derecho,</w:t>
      </w:r>
      <w:r w:rsidRPr="00E86A8F">
        <w:rPr>
          <w:rFonts w:asciiTheme="majorHAnsi" w:hAnsiTheme="majorHAnsi"/>
          <w:i/>
          <w:sz w:val="20"/>
          <w:szCs w:val="20"/>
          <w:lang w:val="es-ES"/>
        </w:rPr>
        <w:t xml:space="preserve"> </w:t>
      </w:r>
      <w:r w:rsidRPr="00E86A8F">
        <w:rPr>
          <w:rFonts w:asciiTheme="majorHAnsi" w:hAnsiTheme="majorHAnsi"/>
          <w:sz w:val="20"/>
          <w:szCs w:val="20"/>
          <w:lang w:val="es-ES"/>
        </w:rPr>
        <w:t>e inhibe a los periodistas de investigación reportar sobre asuntos de interés público general</w:t>
      </w:r>
      <w:r w:rsidRPr="00E86A8F">
        <w:rPr>
          <w:rFonts w:asciiTheme="majorHAnsi" w:hAnsiTheme="majorHAnsi"/>
          <w:sz w:val="20"/>
          <w:szCs w:val="20"/>
          <w:vertAlign w:val="superscript"/>
        </w:rPr>
        <w:footnoteReference w:id="79"/>
      </w:r>
      <w:r w:rsidRPr="00E86A8F">
        <w:rPr>
          <w:rFonts w:asciiTheme="majorHAnsi" w:hAnsiTheme="majorHAnsi"/>
          <w:sz w:val="20"/>
          <w:szCs w:val="20"/>
          <w:lang w:val="es-ES"/>
        </w:rPr>
        <w:t xml:space="preserve">. Para </w:t>
      </w:r>
      <w:r w:rsidR="003276F3" w:rsidRPr="00E86A8F">
        <w:rPr>
          <w:rFonts w:asciiTheme="majorHAnsi" w:hAnsiTheme="majorHAnsi"/>
          <w:sz w:val="20"/>
          <w:szCs w:val="20"/>
          <w:lang w:val="es-ES"/>
        </w:rPr>
        <w:t>esta institución</w:t>
      </w:r>
      <w:r w:rsidRPr="00E86A8F">
        <w:rPr>
          <w:rFonts w:asciiTheme="majorHAnsi" w:hAnsiTheme="majorHAnsi"/>
          <w:sz w:val="20"/>
          <w:szCs w:val="20"/>
          <w:lang w:val="es-ES"/>
        </w:rPr>
        <w:t xml:space="preserve">, los derechos a la reputación, honor y privacidad de los funcionarios deben ser protegidos mediante remedios adecuados y proporcionados que no inhiban el vigor del debate en temas de altísima relevancia pública, o que puedan silenciar a la crítica o a la disidencia. </w:t>
      </w:r>
    </w:p>
    <w:p w14:paraId="08B365B3" w14:textId="77777777" w:rsidR="00601CB8" w:rsidRPr="00E86A8F" w:rsidRDefault="00601CB8" w:rsidP="00073BB6">
      <w:pPr>
        <w:pStyle w:val="ListParagraph"/>
        <w:ind w:left="0"/>
        <w:jc w:val="both"/>
        <w:rPr>
          <w:rFonts w:asciiTheme="majorHAnsi" w:hAnsiTheme="majorHAnsi"/>
          <w:sz w:val="20"/>
          <w:szCs w:val="20"/>
          <w:lang w:val="es-CO"/>
        </w:rPr>
      </w:pPr>
    </w:p>
    <w:p w14:paraId="240C933F" w14:textId="3E9E41FB" w:rsidR="00187A84" w:rsidRPr="00E86A8F" w:rsidRDefault="003276F3"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Por su parte, l</w:t>
      </w:r>
      <w:r w:rsidR="00187A84" w:rsidRPr="00E86A8F">
        <w:rPr>
          <w:rFonts w:asciiTheme="majorHAnsi" w:hAnsiTheme="majorHAnsi"/>
          <w:sz w:val="20"/>
          <w:szCs w:val="20"/>
          <w:lang w:val="es-CO"/>
        </w:rPr>
        <w:t>a Corte Africana de Derechos Humanos y de los Pueblos ha considerado que “la libertad de expresión en una sociedad democrática debe ser objeto de un menor grado de interferencia cuando se origina en el contexto del debate público relativo a personas públicas”. Ha mencionado que "las personas que asumen un rol público altamente visible deben enfrentarse necesariamente a un mayor grado de crítica que los ciudadanos particulares. De lo contrario el debate público puede ser sofocado por completo”</w:t>
      </w:r>
      <w:r w:rsidR="00187A84" w:rsidRPr="00E86A8F">
        <w:rPr>
          <w:rStyle w:val="FootnoteReference"/>
          <w:rFonts w:asciiTheme="majorHAnsi" w:hAnsiTheme="majorHAnsi"/>
          <w:sz w:val="20"/>
          <w:szCs w:val="20"/>
          <w:lang w:val="es-CO"/>
        </w:rPr>
        <w:footnoteReference w:id="80"/>
      </w:r>
      <w:r w:rsidR="00187A84" w:rsidRPr="00E86A8F">
        <w:rPr>
          <w:rFonts w:asciiTheme="majorHAnsi" w:hAnsiTheme="majorHAnsi"/>
          <w:sz w:val="20"/>
          <w:szCs w:val="20"/>
          <w:lang w:val="es-CO"/>
        </w:rPr>
        <w:t xml:space="preserve">. En el fallo emitido en el caso </w:t>
      </w:r>
      <w:r w:rsidR="00187A84" w:rsidRPr="00E86A8F">
        <w:rPr>
          <w:rFonts w:asciiTheme="majorHAnsi" w:hAnsiTheme="majorHAnsi"/>
          <w:i/>
          <w:sz w:val="20"/>
          <w:szCs w:val="20"/>
          <w:lang w:val="es-CO"/>
        </w:rPr>
        <w:t>Lohé Issa Konaté v. Burkina Faso,</w:t>
      </w:r>
      <w:r w:rsidR="00187A84" w:rsidRPr="00E86A8F">
        <w:rPr>
          <w:rFonts w:asciiTheme="majorHAnsi" w:hAnsiTheme="majorHAnsi"/>
          <w:sz w:val="20"/>
          <w:szCs w:val="20"/>
          <w:lang w:val="es-CO"/>
        </w:rPr>
        <w:t xml:space="preserve"> la Corte Africana consideró como contraria al derecho a la libertad de expresión reconocido en el artículo 9 de la Carta Africana, la pena a prisión impuesta al editor general de un semanario por la publicación de un artículo en el que se denunciaba la falsificación y lavado de billetes falsos por parte de autoridades del poder judicial</w:t>
      </w:r>
      <w:r w:rsidR="00187A84" w:rsidRPr="00E86A8F">
        <w:rPr>
          <w:rStyle w:val="FootnoteReference"/>
          <w:rFonts w:asciiTheme="majorHAnsi" w:hAnsiTheme="majorHAnsi"/>
          <w:sz w:val="20"/>
          <w:szCs w:val="20"/>
          <w:lang w:val="es-CO"/>
        </w:rPr>
        <w:footnoteReference w:id="81"/>
      </w:r>
      <w:r w:rsidR="00187A84" w:rsidRPr="00E86A8F">
        <w:rPr>
          <w:rFonts w:asciiTheme="majorHAnsi" w:hAnsiTheme="majorHAnsi"/>
          <w:sz w:val="20"/>
          <w:szCs w:val="20"/>
          <w:lang w:val="es-CO"/>
        </w:rPr>
        <w:t xml:space="preserve">. La Corte Africana sostuvo que “salvo en casos graves y muy excepcionales, como por ejemplo, la incitación a crímenes internacionales, la incitación pública al odio, la discriminación o la violencia o las amenazas contra una persona o un grupo de personas, debido a </w:t>
      </w:r>
      <w:r w:rsidR="00187A84" w:rsidRPr="00E86A8F">
        <w:rPr>
          <w:rFonts w:asciiTheme="majorHAnsi" w:hAnsiTheme="majorHAnsi"/>
          <w:sz w:val="20"/>
          <w:szCs w:val="20"/>
          <w:lang w:val="es-CO"/>
        </w:rPr>
        <w:lastRenderedPageBreak/>
        <w:t>criterios específicos como la raza, el color, la religión o la nacionalidad, las infracciones a las leyes sobre la libertad de expresión y la prensa no pueden ser sancionadas con penas privativas de libertad”</w:t>
      </w:r>
      <w:r w:rsidR="00187A84" w:rsidRPr="00E86A8F">
        <w:rPr>
          <w:rStyle w:val="FootnoteReference"/>
          <w:rFonts w:asciiTheme="majorHAnsi" w:hAnsiTheme="majorHAnsi"/>
          <w:sz w:val="20"/>
          <w:szCs w:val="20"/>
          <w:lang w:val="es-CO"/>
        </w:rPr>
        <w:footnoteReference w:id="82"/>
      </w:r>
      <w:r w:rsidR="00187A84" w:rsidRPr="00E86A8F">
        <w:rPr>
          <w:rFonts w:asciiTheme="majorHAnsi" w:hAnsiTheme="majorHAnsi"/>
          <w:sz w:val="20"/>
          <w:szCs w:val="20"/>
          <w:lang w:val="es-CO"/>
        </w:rPr>
        <w:t xml:space="preserve">. </w:t>
      </w:r>
    </w:p>
    <w:p w14:paraId="585621CF" w14:textId="77777777" w:rsidR="002E5FC4" w:rsidRPr="00E86A8F" w:rsidRDefault="002E5FC4"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38180377" w14:textId="398F42AA" w:rsidR="002E5FC4" w:rsidRPr="00E86A8F" w:rsidRDefault="002E5FC4" w:rsidP="00073BB6">
      <w:pPr>
        <w:pStyle w:val="Heading3"/>
        <w:keepNext w:val="0"/>
        <w:spacing w:before="0" w:after="0"/>
        <w:ind w:left="0" w:firstLine="0"/>
      </w:pPr>
      <w:bookmarkStart w:id="30" w:name="_Toc6937383"/>
      <w:bookmarkStart w:id="31" w:name="_Toc11073111"/>
      <w:r w:rsidRPr="00E86A8F">
        <w:t xml:space="preserve">El discurso </w:t>
      </w:r>
      <w:r w:rsidR="00CB3A38" w:rsidRPr="00E86A8F">
        <w:t xml:space="preserve">en defensa del </w:t>
      </w:r>
      <w:r w:rsidRPr="00E86A8F">
        <w:t>medio ambiental como discurso protegido</w:t>
      </w:r>
      <w:bookmarkEnd w:id="30"/>
      <w:bookmarkEnd w:id="31"/>
    </w:p>
    <w:p w14:paraId="0769DEA5" w14:textId="77777777" w:rsidR="002E5FC4" w:rsidRPr="00E86A8F" w:rsidRDefault="002E5FC4"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BA121FC" w14:textId="32700264" w:rsidR="004202F8" w:rsidRPr="00E86A8F" w:rsidRDefault="004202F8"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Asimismo,</w:t>
      </w:r>
      <w:r w:rsidRPr="00E86A8F">
        <w:rPr>
          <w:rFonts w:asciiTheme="majorHAnsi" w:hAnsiTheme="majorHAnsi"/>
          <w:sz w:val="20"/>
          <w:szCs w:val="20"/>
          <w:lang w:val="es-PE"/>
        </w:rPr>
        <w:t xml:space="preserve"> l</w:t>
      </w:r>
      <w:r w:rsidR="000963AB" w:rsidRPr="00E86A8F">
        <w:rPr>
          <w:rFonts w:asciiTheme="majorHAnsi" w:hAnsiTheme="majorHAnsi"/>
          <w:sz w:val="20"/>
          <w:szCs w:val="20"/>
          <w:lang w:val="es-PE"/>
        </w:rPr>
        <w:t xml:space="preserve">a Comisión considera importante resaltar que el discurso </w:t>
      </w:r>
      <w:r w:rsidR="000C4FA4" w:rsidRPr="00E86A8F">
        <w:rPr>
          <w:rFonts w:asciiTheme="majorHAnsi" w:hAnsiTheme="majorHAnsi"/>
          <w:sz w:val="20"/>
          <w:szCs w:val="20"/>
          <w:lang w:val="es-PE"/>
        </w:rPr>
        <w:t xml:space="preserve">objeto de análisis </w:t>
      </w:r>
      <w:r w:rsidR="000963AB" w:rsidRPr="00E86A8F">
        <w:rPr>
          <w:rFonts w:asciiTheme="majorHAnsi" w:hAnsiTheme="majorHAnsi"/>
          <w:sz w:val="20"/>
          <w:szCs w:val="20"/>
          <w:lang w:val="es-PE"/>
        </w:rPr>
        <w:t>en el presente caso, está dirigido a la defensa del alerce, una especie</w:t>
      </w:r>
      <w:r w:rsidR="00AB4D88" w:rsidRPr="00E86A8F">
        <w:rPr>
          <w:rFonts w:asciiTheme="majorHAnsi" w:hAnsiTheme="majorHAnsi"/>
          <w:sz w:val="20"/>
          <w:szCs w:val="20"/>
          <w:lang w:val="es-PE"/>
        </w:rPr>
        <w:t xml:space="preserve"> de árbol</w:t>
      </w:r>
      <w:r w:rsidR="000963AB" w:rsidRPr="00E86A8F">
        <w:rPr>
          <w:rFonts w:asciiTheme="majorHAnsi" w:hAnsiTheme="majorHAnsi"/>
          <w:sz w:val="20"/>
          <w:szCs w:val="20"/>
          <w:lang w:val="es-PE"/>
        </w:rPr>
        <w:t xml:space="preserve"> milenari</w:t>
      </w:r>
      <w:r w:rsidR="00AB4D88" w:rsidRPr="00E86A8F">
        <w:rPr>
          <w:rFonts w:asciiTheme="majorHAnsi" w:hAnsiTheme="majorHAnsi"/>
          <w:sz w:val="20"/>
          <w:szCs w:val="20"/>
          <w:lang w:val="es-PE"/>
        </w:rPr>
        <w:t>o</w:t>
      </w:r>
      <w:r w:rsidR="000963AB" w:rsidRPr="00E86A8F">
        <w:rPr>
          <w:rFonts w:asciiTheme="majorHAnsi" w:hAnsiTheme="majorHAnsi"/>
          <w:sz w:val="20"/>
          <w:szCs w:val="20"/>
          <w:lang w:val="es-PE"/>
        </w:rPr>
        <w:t xml:space="preserve"> y pr</w:t>
      </w:r>
      <w:r w:rsidR="00AB4D88" w:rsidRPr="00E86A8F">
        <w:rPr>
          <w:rFonts w:asciiTheme="majorHAnsi" w:hAnsiTheme="majorHAnsi"/>
          <w:sz w:val="20"/>
          <w:szCs w:val="20"/>
          <w:lang w:val="es-PE"/>
        </w:rPr>
        <w:t>eservada</w:t>
      </w:r>
      <w:r w:rsidR="000963AB" w:rsidRPr="00E86A8F">
        <w:rPr>
          <w:rFonts w:asciiTheme="majorHAnsi" w:hAnsiTheme="majorHAnsi"/>
          <w:sz w:val="20"/>
          <w:szCs w:val="20"/>
          <w:lang w:val="es-PE"/>
        </w:rPr>
        <w:t xml:space="preserve"> en Chile, es decir que el discurso tiene como intención no solo contribuir con el debate sobre la existencia de presuntos actos irregulares, sino también a la protección </w:t>
      </w:r>
      <w:r w:rsidR="00261946" w:rsidRPr="00E86A8F">
        <w:rPr>
          <w:rFonts w:asciiTheme="majorHAnsi" w:hAnsiTheme="majorHAnsi"/>
          <w:sz w:val="20"/>
          <w:szCs w:val="20"/>
          <w:lang w:val="es-PE"/>
        </w:rPr>
        <w:t xml:space="preserve">y fiscalización de los asuntos relacionados con </w:t>
      </w:r>
      <w:r w:rsidR="000963AB" w:rsidRPr="00E86A8F">
        <w:rPr>
          <w:rFonts w:asciiTheme="majorHAnsi" w:hAnsiTheme="majorHAnsi"/>
          <w:sz w:val="20"/>
          <w:szCs w:val="20"/>
          <w:lang w:val="es-PE"/>
        </w:rPr>
        <w:t>el medio ambiente. Este tipo de discurso, por su propia naturaleza, se refiere a temas de interés público y generalmente, como ocurre en el caso que nos ocupa, está dirigido a criticar y fiscalizar las políticas públicas adoptadas en la materia, así como las actuaciones de los funcionarios públicos responsables. En este sentido, el ejercicio de la libertad de expresión en defensa del medio ambiente</w:t>
      </w:r>
      <w:r w:rsidR="00501F76" w:rsidRPr="00E86A8F">
        <w:rPr>
          <w:rFonts w:asciiTheme="majorHAnsi" w:hAnsiTheme="majorHAnsi"/>
          <w:sz w:val="20"/>
          <w:szCs w:val="20"/>
          <w:lang w:val="es-PE"/>
        </w:rPr>
        <w:t xml:space="preserve">, pertenece a la esfera de discursos </w:t>
      </w:r>
      <w:r w:rsidR="00DC2A67" w:rsidRPr="00E86A8F">
        <w:rPr>
          <w:rFonts w:asciiTheme="majorHAnsi" w:hAnsiTheme="majorHAnsi"/>
          <w:sz w:val="20"/>
          <w:szCs w:val="20"/>
          <w:lang w:val="es-PE"/>
        </w:rPr>
        <w:t>de interés común de la sociedad</w:t>
      </w:r>
      <w:r w:rsidR="00501F76" w:rsidRPr="00E86A8F">
        <w:rPr>
          <w:rFonts w:asciiTheme="majorHAnsi" w:hAnsiTheme="majorHAnsi"/>
          <w:sz w:val="20"/>
          <w:szCs w:val="20"/>
          <w:lang w:val="es-PE"/>
        </w:rPr>
        <w:t xml:space="preserve"> y</w:t>
      </w:r>
      <w:r w:rsidR="000963AB" w:rsidRPr="00E86A8F">
        <w:rPr>
          <w:rFonts w:asciiTheme="majorHAnsi" w:hAnsiTheme="majorHAnsi"/>
          <w:sz w:val="20"/>
          <w:szCs w:val="20"/>
          <w:lang w:val="es-PE"/>
        </w:rPr>
        <w:t xml:space="preserve"> no debería ser sancionado a través de la vía más lesiva del sistema de justicia, como lo es la vía penal.</w:t>
      </w:r>
    </w:p>
    <w:p w14:paraId="09C8B19D" w14:textId="77777777" w:rsidR="00F17329" w:rsidRPr="00E86A8F" w:rsidRDefault="00F17329" w:rsidP="00073BB6">
      <w:pPr>
        <w:pStyle w:val="ListParagraph"/>
        <w:ind w:left="0"/>
        <w:jc w:val="both"/>
        <w:rPr>
          <w:rFonts w:asciiTheme="majorHAnsi" w:hAnsiTheme="majorHAnsi"/>
          <w:sz w:val="20"/>
          <w:szCs w:val="20"/>
          <w:lang w:val="es-CO"/>
        </w:rPr>
      </w:pPr>
    </w:p>
    <w:p w14:paraId="74BA76E6" w14:textId="110799CD" w:rsidR="000963AB" w:rsidRPr="00E86A8F" w:rsidRDefault="000963AB"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PE"/>
        </w:rPr>
        <w:t xml:space="preserve"> El Tribunal Europeo de Derechos Humanos se ha pronunciado en casos de protección de discursos medio ambientales y ha establecido que “existe un fuerte interés público en permitir […] que grupos e individuos […] contribuyan con el debate público difundiendo información e ideas en temas de interés público general, como la salud y el medio ambiente”</w:t>
      </w:r>
      <w:r w:rsidRPr="00E86A8F">
        <w:rPr>
          <w:rStyle w:val="FootnoteReference"/>
          <w:rFonts w:asciiTheme="majorHAnsi" w:hAnsiTheme="majorHAnsi"/>
          <w:sz w:val="20"/>
          <w:szCs w:val="20"/>
          <w:lang w:val="es-PE"/>
        </w:rPr>
        <w:footnoteReference w:id="83"/>
      </w:r>
      <w:r w:rsidRPr="00E86A8F">
        <w:rPr>
          <w:rFonts w:asciiTheme="majorHAnsi" w:hAnsiTheme="majorHAnsi"/>
          <w:sz w:val="20"/>
          <w:szCs w:val="20"/>
          <w:lang w:val="es-PE"/>
        </w:rPr>
        <w:t xml:space="preserve">. Asimismo, si bien un caso sobre difamación por la vía civil, el Tribunal Europeo destacó el rol de los “environmental watchdog” en el caso </w:t>
      </w:r>
      <w:r w:rsidRPr="00E86A8F">
        <w:rPr>
          <w:rFonts w:asciiTheme="majorHAnsi" w:hAnsiTheme="majorHAnsi"/>
          <w:i/>
          <w:sz w:val="20"/>
          <w:szCs w:val="20"/>
          <w:lang w:val="es-PE"/>
        </w:rPr>
        <w:t>Vides Aizsardzibas Klubs Vs. Latvia</w:t>
      </w:r>
      <w:r w:rsidRPr="00E86A8F">
        <w:rPr>
          <w:rFonts w:asciiTheme="majorHAnsi" w:hAnsiTheme="majorHAnsi"/>
          <w:sz w:val="20"/>
          <w:szCs w:val="20"/>
          <w:lang w:val="es-PE"/>
        </w:rPr>
        <w:t xml:space="preserve">. El caso trató sobre la condena civil por daños y el pedido de disculpas con motivo de la publicación de información por parte de una organización en un periódico regional, mediante la cual se alegaba que el alcalde había firmado documentos ilegales </w:t>
      </w:r>
      <w:r w:rsidR="00B94D9C" w:rsidRPr="00E86A8F">
        <w:rPr>
          <w:rFonts w:asciiTheme="majorHAnsi" w:hAnsiTheme="majorHAnsi"/>
          <w:sz w:val="20"/>
          <w:szCs w:val="20"/>
          <w:lang w:val="es-PE"/>
        </w:rPr>
        <w:t>y</w:t>
      </w:r>
      <w:r w:rsidRPr="00E86A8F">
        <w:rPr>
          <w:rFonts w:asciiTheme="majorHAnsi" w:hAnsiTheme="majorHAnsi"/>
          <w:sz w:val="20"/>
          <w:szCs w:val="20"/>
          <w:lang w:val="es-PE"/>
        </w:rPr>
        <w:t xml:space="preserve"> habría intencionalmente omitido </w:t>
      </w:r>
      <w:r w:rsidR="00B94D9C" w:rsidRPr="00E86A8F">
        <w:rPr>
          <w:rFonts w:asciiTheme="majorHAnsi" w:hAnsiTheme="majorHAnsi"/>
          <w:sz w:val="20"/>
          <w:szCs w:val="20"/>
          <w:lang w:val="es-PE"/>
        </w:rPr>
        <w:t>detener</w:t>
      </w:r>
      <w:r w:rsidRPr="00E86A8F">
        <w:rPr>
          <w:rFonts w:asciiTheme="majorHAnsi" w:hAnsiTheme="majorHAnsi"/>
          <w:sz w:val="20"/>
          <w:szCs w:val="20"/>
          <w:lang w:val="es-PE"/>
        </w:rPr>
        <w:t xml:space="preserve"> construcciones ilegales que afectarían las dunas en un estrecho en la costa del Golfo de Riga. El Tribunal consideró que la organización estaba ejerciendo un rol fiscalizador del medio ambiente (“environmental watchdog”), con el objetivo de llamar la atención de las autoridades públicas en un asunto de interés público</w:t>
      </w:r>
      <w:r w:rsidRPr="00E86A8F">
        <w:rPr>
          <w:rStyle w:val="FootnoteReference"/>
          <w:rFonts w:asciiTheme="majorHAnsi" w:hAnsiTheme="majorHAnsi"/>
          <w:sz w:val="20"/>
          <w:szCs w:val="20"/>
          <w:lang w:val="es-PE"/>
        </w:rPr>
        <w:footnoteReference w:id="84"/>
      </w:r>
      <w:r w:rsidRPr="00E86A8F">
        <w:rPr>
          <w:rFonts w:asciiTheme="majorHAnsi" w:hAnsiTheme="majorHAnsi"/>
          <w:sz w:val="20"/>
          <w:szCs w:val="20"/>
          <w:lang w:val="es-PE"/>
        </w:rPr>
        <w:t>.</w:t>
      </w:r>
    </w:p>
    <w:p w14:paraId="6BA408F7" w14:textId="77777777" w:rsidR="00F17329" w:rsidRPr="00E86A8F" w:rsidRDefault="00F17329"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287ACCB6" w14:textId="51F4E6B4" w:rsidR="00EE6DDE" w:rsidRPr="00E86A8F" w:rsidRDefault="000171D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PE"/>
        </w:rPr>
        <w:t xml:space="preserve">Asimismo, el </w:t>
      </w:r>
      <w:r w:rsidR="00C526A3" w:rsidRPr="00E86A8F">
        <w:rPr>
          <w:rFonts w:asciiTheme="majorHAnsi" w:hAnsiTheme="majorHAnsi"/>
          <w:sz w:val="20"/>
          <w:szCs w:val="20"/>
          <w:lang w:val="es-PE"/>
        </w:rPr>
        <w:t xml:space="preserve">20 de marzo de 2019, el </w:t>
      </w:r>
      <w:r w:rsidRPr="00E86A8F">
        <w:rPr>
          <w:rFonts w:asciiTheme="majorHAnsi" w:hAnsiTheme="majorHAnsi"/>
          <w:sz w:val="20"/>
          <w:szCs w:val="20"/>
          <w:lang w:val="es-PE"/>
        </w:rPr>
        <w:t xml:space="preserve">Consejo de Derechos Humanos </w:t>
      </w:r>
      <w:r w:rsidR="00654B90" w:rsidRPr="00E86A8F">
        <w:rPr>
          <w:rFonts w:asciiTheme="majorHAnsi" w:hAnsiTheme="majorHAnsi"/>
          <w:sz w:val="20"/>
          <w:szCs w:val="20"/>
          <w:lang w:val="es-PE"/>
        </w:rPr>
        <w:t xml:space="preserve">aprobó </w:t>
      </w:r>
      <w:r w:rsidR="00C526A3" w:rsidRPr="00E86A8F">
        <w:rPr>
          <w:rFonts w:asciiTheme="majorHAnsi" w:hAnsiTheme="majorHAnsi"/>
          <w:sz w:val="20"/>
          <w:szCs w:val="20"/>
          <w:lang w:val="es-PE"/>
        </w:rPr>
        <w:t xml:space="preserve">una </w:t>
      </w:r>
      <w:r w:rsidR="00654B90" w:rsidRPr="00E86A8F">
        <w:rPr>
          <w:rFonts w:asciiTheme="majorHAnsi" w:hAnsiTheme="majorHAnsi"/>
          <w:sz w:val="20"/>
          <w:szCs w:val="20"/>
          <w:lang w:val="es-PE"/>
        </w:rPr>
        <w:t>Resolución</w:t>
      </w:r>
      <w:r w:rsidR="00C526A3" w:rsidRPr="00E86A8F">
        <w:rPr>
          <w:rFonts w:asciiTheme="majorHAnsi" w:hAnsiTheme="majorHAnsi"/>
          <w:sz w:val="20"/>
          <w:szCs w:val="20"/>
          <w:lang w:val="es-PE"/>
        </w:rPr>
        <w:t xml:space="preserve"> en “Reconocimiento de la contribución que hacen los defensores de los derechos humanos relacionados con el medio ambiente al disfrute de los derechos humanos, la protección del medio ambiente y el desarrollo sostenible”, en la cual exhortó a los Estados a que “[a]prueben y apliquen leyes o políticas firmes y eficaces para garantizar, entre otras cosas, […] la libertad de buscar, recibir y difundir información y la igualdad de acceso a la justicia, en particular a un recurso efectivo, en la esfera del medio ambiente”, y a que “[…] respeten, promuevan y protejan la libertad de todas las personas de buscar, recibir, publicar y difundir información sobre la corrupción, entre otras formas protegiendo a quienes lo hacen, incluidos los defensores de los derechos humanos relacionados con el medio ambiente”</w:t>
      </w:r>
      <w:r w:rsidR="00C526A3" w:rsidRPr="00E86A8F">
        <w:rPr>
          <w:rStyle w:val="FootnoteReference"/>
          <w:rFonts w:asciiTheme="majorHAnsi" w:hAnsiTheme="majorHAnsi"/>
          <w:sz w:val="20"/>
          <w:szCs w:val="20"/>
          <w:lang w:val="es-PE"/>
        </w:rPr>
        <w:footnoteReference w:id="85"/>
      </w:r>
      <w:r w:rsidR="00C526A3" w:rsidRPr="00E86A8F">
        <w:rPr>
          <w:rFonts w:asciiTheme="majorHAnsi" w:hAnsiTheme="majorHAnsi"/>
          <w:sz w:val="20"/>
          <w:szCs w:val="20"/>
          <w:lang w:val="es-PE"/>
        </w:rPr>
        <w:t>.</w:t>
      </w:r>
    </w:p>
    <w:p w14:paraId="3B43711D" w14:textId="77777777" w:rsidR="00C258EE" w:rsidRPr="00E86A8F" w:rsidRDefault="00C258EE"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883F6DB" w14:textId="77777777" w:rsidR="00FD5A99" w:rsidRPr="00E86A8F" w:rsidRDefault="00FD5A99" w:rsidP="00073BB6">
      <w:pPr>
        <w:pStyle w:val="Heading3"/>
        <w:keepNext w:val="0"/>
        <w:spacing w:before="0" w:after="0"/>
        <w:ind w:left="0" w:firstLine="0"/>
      </w:pPr>
      <w:bookmarkStart w:id="32" w:name="_Toc6937384"/>
      <w:bookmarkStart w:id="33" w:name="_Toc11073112"/>
      <w:r w:rsidRPr="00E86A8F">
        <w:t>Análisis del caso</w:t>
      </w:r>
      <w:bookmarkEnd w:id="32"/>
      <w:bookmarkEnd w:id="33"/>
    </w:p>
    <w:p w14:paraId="439B4E62" w14:textId="77777777" w:rsidR="007F5462" w:rsidRPr="00E86A8F" w:rsidRDefault="007F5462"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i/>
          <w:iCs/>
          <w:spacing w:val="-2"/>
          <w:sz w:val="20"/>
          <w:szCs w:val="20"/>
          <w:lang w:val="es-ES_tradnl"/>
        </w:rPr>
      </w:pPr>
    </w:p>
    <w:p w14:paraId="761DFDDC" w14:textId="4051ECFF" w:rsidR="007F5462" w:rsidRPr="00E86A8F" w:rsidRDefault="007F5462"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i/>
          <w:iCs/>
          <w:spacing w:val="-2"/>
          <w:sz w:val="20"/>
          <w:szCs w:val="20"/>
          <w:lang w:val="es-ES_tradnl"/>
        </w:rPr>
      </w:pPr>
      <w:r w:rsidRPr="00E86A8F">
        <w:rPr>
          <w:rFonts w:asciiTheme="majorHAnsi" w:hAnsiTheme="majorHAnsi"/>
          <w:sz w:val="20"/>
          <w:szCs w:val="20"/>
          <w:lang w:val="es-VE"/>
        </w:rPr>
        <w:t xml:space="preserve">La CIDH </w:t>
      </w:r>
      <w:r w:rsidR="00D5401C" w:rsidRPr="00E86A8F">
        <w:rPr>
          <w:rFonts w:asciiTheme="majorHAnsi" w:hAnsiTheme="majorHAnsi"/>
          <w:sz w:val="20"/>
          <w:szCs w:val="20"/>
          <w:lang w:val="es-VE"/>
        </w:rPr>
        <w:t>recuerda</w:t>
      </w:r>
      <w:r w:rsidRPr="00E86A8F">
        <w:rPr>
          <w:rFonts w:asciiTheme="majorHAnsi" w:hAnsiTheme="majorHAnsi"/>
          <w:sz w:val="20"/>
          <w:szCs w:val="20"/>
          <w:lang w:val="es-VE"/>
        </w:rPr>
        <w:t xml:space="preserve"> </w:t>
      </w:r>
      <w:r w:rsidR="0052293B" w:rsidRPr="00E86A8F">
        <w:rPr>
          <w:rFonts w:asciiTheme="majorHAnsi" w:hAnsiTheme="majorHAnsi"/>
          <w:sz w:val="20"/>
          <w:szCs w:val="20"/>
          <w:lang w:val="es-VE"/>
        </w:rPr>
        <w:t>que</w:t>
      </w:r>
      <w:r w:rsidR="004E3882" w:rsidRPr="00E86A8F">
        <w:rPr>
          <w:rFonts w:asciiTheme="majorHAnsi" w:hAnsiTheme="majorHAnsi"/>
          <w:sz w:val="20"/>
          <w:szCs w:val="20"/>
          <w:lang w:val="es-VE"/>
        </w:rPr>
        <w:t xml:space="preserve"> el abogado Carlos Baraona</w:t>
      </w:r>
      <w:r w:rsidRPr="00E86A8F">
        <w:rPr>
          <w:rFonts w:asciiTheme="majorHAnsi" w:hAnsiTheme="majorHAnsi"/>
          <w:sz w:val="20"/>
          <w:szCs w:val="20"/>
          <w:lang w:val="es-VE"/>
        </w:rPr>
        <w:t xml:space="preserve"> </w:t>
      </w:r>
      <w:r w:rsidR="009F719C" w:rsidRPr="00E86A8F">
        <w:rPr>
          <w:rFonts w:asciiTheme="majorHAnsi" w:hAnsiTheme="majorHAnsi"/>
          <w:sz w:val="20"/>
          <w:szCs w:val="20"/>
          <w:lang w:val="es-VE"/>
        </w:rPr>
        <w:t xml:space="preserve">manifestó opiniones y también se refirió a hechos </w:t>
      </w:r>
      <w:r w:rsidR="000B02F1" w:rsidRPr="00E86A8F">
        <w:rPr>
          <w:rFonts w:asciiTheme="majorHAnsi" w:hAnsiTheme="majorHAnsi"/>
          <w:sz w:val="20"/>
          <w:szCs w:val="20"/>
          <w:lang w:val="es-VE"/>
        </w:rPr>
        <w:t xml:space="preserve">relacionados con la actuación de un </w:t>
      </w:r>
      <w:r w:rsidR="00486700" w:rsidRPr="00E86A8F">
        <w:rPr>
          <w:rFonts w:asciiTheme="majorHAnsi" w:hAnsiTheme="majorHAnsi"/>
          <w:sz w:val="20"/>
          <w:szCs w:val="20"/>
          <w:lang w:val="es-VE"/>
        </w:rPr>
        <w:t>senador</w:t>
      </w:r>
      <w:r w:rsidR="000B02F1" w:rsidRPr="00E86A8F">
        <w:rPr>
          <w:rFonts w:asciiTheme="majorHAnsi" w:hAnsiTheme="majorHAnsi"/>
          <w:sz w:val="20"/>
          <w:szCs w:val="20"/>
          <w:lang w:val="es-VE"/>
        </w:rPr>
        <w:t xml:space="preserve"> </w:t>
      </w:r>
      <w:r w:rsidR="003F00CC" w:rsidRPr="00E86A8F">
        <w:rPr>
          <w:rFonts w:asciiTheme="majorHAnsi" w:hAnsiTheme="majorHAnsi"/>
          <w:sz w:val="20"/>
          <w:szCs w:val="20"/>
          <w:lang w:val="es-VE"/>
        </w:rPr>
        <w:t xml:space="preserve">y de otras autoridades del sector medio ambiental, </w:t>
      </w:r>
      <w:r w:rsidR="000B02F1" w:rsidRPr="00E86A8F">
        <w:rPr>
          <w:rFonts w:asciiTheme="majorHAnsi" w:hAnsiTheme="majorHAnsi"/>
          <w:sz w:val="20"/>
          <w:szCs w:val="20"/>
          <w:lang w:val="es-VE"/>
        </w:rPr>
        <w:t>con respecto a irregularidades en el saneamiento de propiedades en las que se alegaba existía</w:t>
      </w:r>
      <w:r w:rsidR="003F00CC" w:rsidRPr="00E86A8F">
        <w:rPr>
          <w:rFonts w:asciiTheme="majorHAnsi" w:hAnsiTheme="majorHAnsi"/>
          <w:sz w:val="20"/>
          <w:szCs w:val="20"/>
          <w:lang w:val="es-VE"/>
        </w:rPr>
        <w:t>n actividades de tala ilegal</w:t>
      </w:r>
      <w:r w:rsidR="007532BF" w:rsidRPr="00E86A8F">
        <w:rPr>
          <w:rFonts w:asciiTheme="majorHAnsi" w:hAnsiTheme="majorHAnsi"/>
          <w:sz w:val="20"/>
          <w:szCs w:val="20"/>
          <w:lang w:val="es-VE"/>
        </w:rPr>
        <w:t xml:space="preserve"> de alerce. </w:t>
      </w:r>
      <w:r w:rsidR="000547A5" w:rsidRPr="00E86A8F">
        <w:rPr>
          <w:rFonts w:asciiTheme="majorHAnsi" w:hAnsiTheme="majorHAnsi"/>
          <w:sz w:val="20"/>
          <w:szCs w:val="20"/>
          <w:lang w:val="es-VE"/>
        </w:rPr>
        <w:t>Estas opiniones e información divulgada se d</w:t>
      </w:r>
      <w:r w:rsidR="009C4C7B" w:rsidRPr="00E86A8F">
        <w:rPr>
          <w:rFonts w:asciiTheme="majorHAnsi" w:hAnsiTheme="majorHAnsi"/>
          <w:sz w:val="20"/>
          <w:szCs w:val="20"/>
          <w:lang w:val="es-VE"/>
        </w:rPr>
        <w:t>ifundieron</w:t>
      </w:r>
      <w:r w:rsidR="000547A5" w:rsidRPr="00E86A8F">
        <w:rPr>
          <w:rFonts w:asciiTheme="majorHAnsi" w:hAnsiTheme="majorHAnsi"/>
          <w:sz w:val="20"/>
          <w:szCs w:val="20"/>
          <w:lang w:val="es-VE"/>
        </w:rPr>
        <w:t xml:space="preserve"> en el marco de un intenso debate público inicia</w:t>
      </w:r>
      <w:r w:rsidR="00553875" w:rsidRPr="00E86A8F">
        <w:rPr>
          <w:rFonts w:asciiTheme="majorHAnsi" w:hAnsiTheme="majorHAnsi"/>
          <w:sz w:val="20"/>
          <w:szCs w:val="20"/>
          <w:lang w:val="es-VE"/>
        </w:rPr>
        <w:t>do luego de la detención del Director Ejecutivo de la CONAF</w:t>
      </w:r>
      <w:r w:rsidR="00A34716" w:rsidRPr="00E86A8F">
        <w:rPr>
          <w:rFonts w:asciiTheme="majorHAnsi" w:hAnsiTheme="majorHAnsi"/>
          <w:sz w:val="20"/>
          <w:szCs w:val="20"/>
          <w:lang w:val="es-VE"/>
        </w:rPr>
        <w:t xml:space="preserve">. </w:t>
      </w:r>
      <w:r w:rsidR="007532BF" w:rsidRPr="00E86A8F">
        <w:rPr>
          <w:rFonts w:asciiTheme="majorHAnsi" w:hAnsiTheme="majorHAnsi"/>
          <w:sz w:val="20"/>
          <w:szCs w:val="20"/>
          <w:lang w:val="es-VE"/>
        </w:rPr>
        <w:t xml:space="preserve">En este sentido, como ya fue establecido, </w:t>
      </w:r>
      <w:r w:rsidR="000547A5" w:rsidRPr="00E86A8F">
        <w:rPr>
          <w:rFonts w:asciiTheme="majorHAnsi" w:hAnsiTheme="majorHAnsi"/>
          <w:sz w:val="20"/>
          <w:szCs w:val="20"/>
          <w:lang w:val="es-VE"/>
        </w:rPr>
        <w:t>el debate</w:t>
      </w:r>
      <w:r w:rsidR="00A34716" w:rsidRPr="00E86A8F">
        <w:rPr>
          <w:rFonts w:asciiTheme="majorHAnsi" w:hAnsiTheme="majorHAnsi"/>
          <w:sz w:val="20"/>
          <w:szCs w:val="20"/>
          <w:lang w:val="es-VE"/>
        </w:rPr>
        <w:t xml:space="preserve"> del cual participó y contribuyó el señor Baraona era de </w:t>
      </w:r>
      <w:r w:rsidR="006432DD" w:rsidRPr="00E86A8F">
        <w:rPr>
          <w:rFonts w:asciiTheme="majorHAnsi" w:hAnsiTheme="majorHAnsi"/>
          <w:sz w:val="20"/>
          <w:szCs w:val="20"/>
          <w:lang w:val="es-VE"/>
        </w:rPr>
        <w:t xml:space="preserve">gran interés público en Chile, especialmente en la décima Región por la alta presencia del alerce en la zona. </w:t>
      </w:r>
      <w:r w:rsidR="009775F1" w:rsidRPr="00E86A8F">
        <w:rPr>
          <w:rFonts w:asciiTheme="majorHAnsi" w:hAnsiTheme="majorHAnsi"/>
          <w:sz w:val="20"/>
          <w:szCs w:val="20"/>
          <w:lang w:val="es-VE"/>
        </w:rPr>
        <w:t>Debido a la</w:t>
      </w:r>
      <w:r w:rsidR="00642E66" w:rsidRPr="00E86A8F">
        <w:rPr>
          <w:rFonts w:asciiTheme="majorHAnsi" w:hAnsiTheme="majorHAnsi"/>
          <w:sz w:val="20"/>
          <w:szCs w:val="20"/>
          <w:lang w:val="es-VE"/>
        </w:rPr>
        <w:t>s</w:t>
      </w:r>
      <w:r w:rsidR="009775F1" w:rsidRPr="00E86A8F">
        <w:rPr>
          <w:rFonts w:asciiTheme="majorHAnsi" w:hAnsiTheme="majorHAnsi"/>
          <w:sz w:val="20"/>
          <w:szCs w:val="20"/>
          <w:lang w:val="es-VE"/>
        </w:rPr>
        <w:t xml:space="preserve"> expresiones vertidas en distintos medios de comunicación</w:t>
      </w:r>
      <w:r w:rsidR="004132ED" w:rsidRPr="00E86A8F">
        <w:rPr>
          <w:rFonts w:asciiTheme="majorHAnsi" w:hAnsiTheme="majorHAnsi"/>
          <w:sz w:val="20"/>
          <w:szCs w:val="20"/>
          <w:lang w:val="es-VE"/>
        </w:rPr>
        <w:t xml:space="preserve">, el señor Baraona fue condenado en primera instancia, la cual fue luego ratificada por la Corte Suprema, por la comisión del delito de injurias graves a través de un medio de comunicación, </w:t>
      </w:r>
      <w:r w:rsidR="00DF788F" w:rsidRPr="00E86A8F">
        <w:rPr>
          <w:rFonts w:asciiTheme="majorHAnsi" w:hAnsiTheme="majorHAnsi"/>
          <w:sz w:val="20"/>
          <w:szCs w:val="20"/>
          <w:lang w:val="es-VE"/>
        </w:rPr>
        <w:t xml:space="preserve">a 300 </w:t>
      </w:r>
      <w:r w:rsidR="00DF788F" w:rsidRPr="00E86A8F">
        <w:rPr>
          <w:rFonts w:asciiTheme="majorHAnsi" w:hAnsiTheme="majorHAnsi"/>
          <w:sz w:val="20"/>
          <w:szCs w:val="20"/>
          <w:lang w:val="es-VE"/>
        </w:rPr>
        <w:lastRenderedPageBreak/>
        <w:t>días de prisión suspendida, al pago de una reparación civil y a la pena de inhabilitación para ejercer cargos públicos.</w:t>
      </w:r>
    </w:p>
    <w:p w14:paraId="0FA4AAAC" w14:textId="77777777" w:rsidR="00D81D52" w:rsidRPr="00E86A8F" w:rsidRDefault="00D81D52" w:rsidP="00073BB6">
      <w:pPr>
        <w:pStyle w:val="ListParagraph"/>
        <w:ind w:left="0"/>
        <w:jc w:val="both"/>
        <w:rPr>
          <w:rFonts w:asciiTheme="majorHAnsi" w:hAnsiTheme="majorHAnsi"/>
          <w:i/>
          <w:iCs/>
          <w:spacing w:val="-2"/>
          <w:sz w:val="20"/>
          <w:szCs w:val="20"/>
          <w:lang w:val="es-ES_tradnl"/>
        </w:rPr>
      </w:pPr>
    </w:p>
    <w:p w14:paraId="7BF11B0F" w14:textId="1F7AC2ED" w:rsidR="00F7424B" w:rsidRPr="00E86A8F" w:rsidRDefault="00D81D52"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i/>
          <w:iCs/>
          <w:spacing w:val="-2"/>
          <w:sz w:val="20"/>
          <w:szCs w:val="20"/>
          <w:lang w:val="es-ES_tradnl"/>
        </w:rPr>
      </w:pPr>
      <w:r w:rsidRPr="00E86A8F">
        <w:rPr>
          <w:rFonts w:asciiTheme="majorHAnsi" w:hAnsiTheme="majorHAnsi"/>
          <w:spacing w:val="-2"/>
          <w:sz w:val="20"/>
          <w:szCs w:val="20"/>
          <w:lang w:val="es-ES_tradnl"/>
        </w:rPr>
        <w:t>En</w:t>
      </w:r>
      <w:r w:rsidR="00D03185" w:rsidRPr="00E86A8F">
        <w:rPr>
          <w:rFonts w:asciiTheme="majorHAnsi" w:hAnsiTheme="majorHAnsi"/>
          <w:spacing w:val="-2"/>
          <w:sz w:val="20"/>
          <w:szCs w:val="20"/>
          <w:lang w:val="es-ES_tradnl"/>
        </w:rPr>
        <w:t xml:space="preserve"> </w:t>
      </w:r>
      <w:r w:rsidRPr="00E86A8F">
        <w:rPr>
          <w:rFonts w:asciiTheme="majorHAnsi" w:hAnsiTheme="majorHAnsi"/>
          <w:spacing w:val="-2"/>
          <w:sz w:val="20"/>
          <w:szCs w:val="20"/>
          <w:lang w:val="es-ES_tradnl"/>
        </w:rPr>
        <w:t xml:space="preserve">el presente caso, la Comisión deberá analizar el conflicto existente entre el derecho a la libertad de expresión, consagrado en el artículo 13 de la Convención, y la protección de la honra y la reputación, consagrada en el artículo 11 del mismo instrumento, de conformidad con </w:t>
      </w:r>
      <w:r w:rsidR="00CD4462" w:rsidRPr="00E86A8F">
        <w:rPr>
          <w:rFonts w:asciiTheme="majorHAnsi" w:hAnsiTheme="majorHAnsi"/>
          <w:spacing w:val="-2"/>
          <w:sz w:val="20"/>
          <w:szCs w:val="20"/>
          <w:lang w:val="es-ES_tradnl"/>
        </w:rPr>
        <w:t>los estándares</w:t>
      </w:r>
      <w:r w:rsidRPr="00E86A8F">
        <w:rPr>
          <w:rFonts w:asciiTheme="majorHAnsi" w:hAnsiTheme="majorHAnsi"/>
          <w:spacing w:val="-2"/>
          <w:sz w:val="20"/>
          <w:szCs w:val="20"/>
          <w:lang w:val="es-ES_tradnl"/>
        </w:rPr>
        <w:t xml:space="preserve"> establecid</w:t>
      </w:r>
      <w:r w:rsidR="00CD4462" w:rsidRPr="00E86A8F">
        <w:rPr>
          <w:rFonts w:asciiTheme="majorHAnsi" w:hAnsiTheme="majorHAnsi"/>
          <w:spacing w:val="-2"/>
          <w:sz w:val="20"/>
          <w:szCs w:val="20"/>
          <w:lang w:val="es-ES_tradnl"/>
        </w:rPr>
        <w:t>o</w:t>
      </w:r>
      <w:r w:rsidRPr="00E86A8F">
        <w:rPr>
          <w:rFonts w:asciiTheme="majorHAnsi" w:hAnsiTheme="majorHAnsi"/>
          <w:spacing w:val="-2"/>
          <w:sz w:val="20"/>
          <w:szCs w:val="20"/>
          <w:lang w:val="es-ES_tradnl"/>
        </w:rPr>
        <w:t xml:space="preserve">s anteriormente. Para ello, se analizará si el Estado cumplió con sus obligaciones internacionales derivadas de la Convención Americana, en virtud del conflicto de derechos suscitado entre un particular y un </w:t>
      </w:r>
      <w:r w:rsidR="00486700" w:rsidRPr="00E86A8F">
        <w:rPr>
          <w:rFonts w:asciiTheme="majorHAnsi" w:hAnsiTheme="majorHAnsi"/>
          <w:spacing w:val="-2"/>
          <w:sz w:val="20"/>
          <w:szCs w:val="20"/>
          <w:lang w:val="es-ES_tradnl"/>
        </w:rPr>
        <w:t>senador</w:t>
      </w:r>
      <w:r w:rsidRPr="00E86A8F">
        <w:rPr>
          <w:rFonts w:asciiTheme="majorHAnsi" w:hAnsiTheme="majorHAnsi"/>
          <w:spacing w:val="-2"/>
          <w:sz w:val="20"/>
          <w:szCs w:val="20"/>
          <w:lang w:val="es-ES_tradnl"/>
        </w:rPr>
        <w:t xml:space="preserve"> de la República</w:t>
      </w:r>
      <w:r w:rsidR="009634DA" w:rsidRPr="00E86A8F">
        <w:rPr>
          <w:rFonts w:asciiTheme="majorHAnsi" w:hAnsiTheme="majorHAnsi"/>
          <w:spacing w:val="-2"/>
          <w:sz w:val="20"/>
          <w:szCs w:val="20"/>
          <w:lang w:val="es-ES_tradnl"/>
        </w:rPr>
        <w:t>.</w:t>
      </w:r>
      <w:bookmarkStart w:id="34" w:name="_Ref359967361"/>
      <w:r w:rsidR="009634DA" w:rsidRPr="00E86A8F">
        <w:rPr>
          <w:rFonts w:asciiTheme="majorHAnsi" w:hAnsiTheme="majorHAnsi"/>
          <w:i/>
          <w:iCs/>
          <w:spacing w:val="-2"/>
          <w:sz w:val="20"/>
          <w:szCs w:val="20"/>
          <w:lang w:val="es-ES_tradnl"/>
        </w:rPr>
        <w:t xml:space="preserve"> </w:t>
      </w:r>
      <w:r w:rsidR="0031293A" w:rsidRPr="00E86A8F">
        <w:rPr>
          <w:rFonts w:asciiTheme="majorHAnsi" w:hAnsiTheme="majorHAnsi"/>
          <w:spacing w:val="-2"/>
          <w:sz w:val="20"/>
          <w:szCs w:val="20"/>
          <w:lang w:val="es-ES_tradnl"/>
        </w:rPr>
        <w:t>Como ya se mencionó, t</w:t>
      </w:r>
      <w:r w:rsidR="004E25F3" w:rsidRPr="00E86A8F">
        <w:rPr>
          <w:rFonts w:asciiTheme="majorHAnsi" w:hAnsiTheme="majorHAnsi"/>
          <w:spacing w:val="-2"/>
          <w:sz w:val="20"/>
          <w:szCs w:val="20"/>
          <w:lang w:val="es-ES_tradnl"/>
        </w:rPr>
        <w:t>anto la libertad de expresión como el derecho a la honra, derechos ambos protegidos  por la Convención, revisten suma importancia, por lo cual es necesario garantizar ambos derechos, de forma que coexistan de manera armoniosa</w:t>
      </w:r>
      <w:r w:rsidR="004E25F3" w:rsidRPr="00E86A8F">
        <w:rPr>
          <w:rStyle w:val="FootnoteReference"/>
          <w:rFonts w:asciiTheme="majorHAnsi" w:hAnsiTheme="majorHAnsi"/>
          <w:spacing w:val="-2"/>
          <w:sz w:val="20"/>
          <w:szCs w:val="20"/>
        </w:rPr>
        <w:footnoteReference w:id="86"/>
      </w:r>
      <w:r w:rsidR="004E25F3" w:rsidRPr="00E86A8F">
        <w:rPr>
          <w:rFonts w:asciiTheme="majorHAnsi" w:hAnsiTheme="majorHAnsi"/>
          <w:spacing w:val="-2"/>
          <w:sz w:val="20"/>
          <w:szCs w:val="20"/>
          <w:lang w:val="es-ES_tradnl"/>
        </w:rPr>
        <w:t>. La solución del conflicto que se presenta entre ambos derechos requiere de una ponderación entre los mismos, a través de un juicio de proporcionalidad, para lo cual deberá examinarse cada caso, conforme a sus características y circunstancias, a fin de apreciar la existencia e intensidad de los elementos en que se sustenta dicho juicio</w:t>
      </w:r>
      <w:r w:rsidR="004E25F3" w:rsidRPr="00E86A8F">
        <w:rPr>
          <w:rStyle w:val="FootnoteReference"/>
          <w:rFonts w:asciiTheme="majorHAnsi" w:hAnsiTheme="majorHAnsi"/>
          <w:spacing w:val="-2"/>
          <w:sz w:val="20"/>
          <w:szCs w:val="20"/>
        </w:rPr>
        <w:footnoteReference w:id="87"/>
      </w:r>
      <w:r w:rsidR="004E25F3" w:rsidRPr="00E86A8F">
        <w:rPr>
          <w:rFonts w:asciiTheme="majorHAnsi" w:hAnsiTheme="majorHAnsi"/>
          <w:spacing w:val="-2"/>
          <w:sz w:val="20"/>
          <w:szCs w:val="20"/>
          <w:lang w:val="es-ES_tradnl"/>
        </w:rPr>
        <w:t>.</w:t>
      </w:r>
      <w:bookmarkEnd w:id="34"/>
    </w:p>
    <w:p w14:paraId="50CCF32D" w14:textId="77777777" w:rsidR="00363C46" w:rsidRPr="00E86A8F" w:rsidRDefault="00363C4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i/>
          <w:iCs/>
          <w:spacing w:val="-2"/>
          <w:sz w:val="20"/>
          <w:szCs w:val="20"/>
          <w:lang w:val="es-ES_tradnl"/>
        </w:rPr>
      </w:pPr>
    </w:p>
    <w:p w14:paraId="1ACDDA7E" w14:textId="162EAAD1" w:rsidR="009F7792" w:rsidRPr="00E86A8F" w:rsidRDefault="00F36A1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i/>
          <w:iCs/>
          <w:spacing w:val="-2"/>
          <w:sz w:val="20"/>
          <w:szCs w:val="20"/>
          <w:lang w:val="es-ES_tradnl"/>
        </w:rPr>
      </w:pPr>
      <w:r w:rsidRPr="00E86A8F">
        <w:rPr>
          <w:rFonts w:asciiTheme="majorHAnsi" w:hAnsiTheme="majorHAnsi"/>
          <w:sz w:val="20"/>
          <w:szCs w:val="20"/>
          <w:lang w:val="es-AR"/>
        </w:rPr>
        <w:t>Conforme a las reglas fijadas por la Convención Americana</w:t>
      </w:r>
      <w:r w:rsidR="00AE7D00" w:rsidRPr="00E86A8F">
        <w:rPr>
          <w:rFonts w:asciiTheme="majorHAnsi" w:hAnsiTheme="majorHAnsi"/>
          <w:sz w:val="20"/>
          <w:szCs w:val="20"/>
          <w:lang w:val="es-AR"/>
        </w:rPr>
        <w:t xml:space="preserve"> en su artículo 13.2, </w:t>
      </w:r>
      <w:r w:rsidRPr="00E86A8F">
        <w:rPr>
          <w:rFonts w:asciiTheme="majorHAnsi" w:hAnsiTheme="majorHAnsi"/>
          <w:sz w:val="20"/>
          <w:szCs w:val="20"/>
          <w:lang w:val="es-AR"/>
        </w:rPr>
        <w:t>todas las limitaciones a la libertad de expresión, para ser legítimas, deben satisfacer un estricto test tripartito, el cual exige que las sanciones: (1) estén definidas en forma precisa y clara a través de una ley formal y material preexistente</w:t>
      </w:r>
      <w:r w:rsidR="00483A9A" w:rsidRPr="00E86A8F">
        <w:rPr>
          <w:rStyle w:val="FootnoteReference"/>
          <w:rFonts w:asciiTheme="majorHAnsi" w:hAnsiTheme="majorHAnsi"/>
          <w:spacing w:val="-2"/>
          <w:sz w:val="20"/>
          <w:szCs w:val="20"/>
          <w:lang w:eastAsia="de-DE"/>
        </w:rPr>
        <w:footnoteReference w:id="88"/>
      </w:r>
      <w:r w:rsidRPr="00E86A8F">
        <w:rPr>
          <w:rFonts w:asciiTheme="majorHAnsi" w:hAnsiTheme="majorHAnsi"/>
          <w:sz w:val="20"/>
          <w:szCs w:val="20"/>
          <w:lang w:val="es-AR"/>
        </w:rPr>
        <w:t xml:space="preserve">; (2) estén orientadas al logro de objetivos </w:t>
      </w:r>
      <w:r w:rsidR="009F7792" w:rsidRPr="00E86A8F">
        <w:rPr>
          <w:rFonts w:asciiTheme="majorHAnsi" w:hAnsiTheme="majorHAnsi"/>
          <w:sz w:val="20"/>
          <w:szCs w:val="20"/>
          <w:lang w:val="es-AR"/>
        </w:rPr>
        <w:t xml:space="preserve">legítimos </w:t>
      </w:r>
      <w:r w:rsidRPr="00E86A8F">
        <w:rPr>
          <w:rFonts w:asciiTheme="majorHAnsi" w:hAnsiTheme="majorHAnsi"/>
          <w:sz w:val="20"/>
          <w:szCs w:val="20"/>
          <w:lang w:val="es-AR"/>
        </w:rPr>
        <w:t>autorizados por la Convención</w:t>
      </w:r>
      <w:r w:rsidR="009F7792" w:rsidRPr="00E86A8F">
        <w:rPr>
          <w:rFonts w:asciiTheme="majorHAnsi" w:hAnsiTheme="majorHAnsi"/>
          <w:sz w:val="20"/>
          <w:szCs w:val="20"/>
          <w:lang w:val="es-AR"/>
        </w:rPr>
        <w:t xml:space="preserve"> </w:t>
      </w:r>
      <w:r w:rsidR="009F7792" w:rsidRPr="00E86A8F">
        <w:rPr>
          <w:rFonts w:asciiTheme="majorHAnsi" w:hAnsiTheme="majorHAnsi"/>
          <w:spacing w:val="-2"/>
          <w:sz w:val="20"/>
          <w:szCs w:val="20"/>
          <w:lang w:val="es-ES_tradnl"/>
        </w:rPr>
        <w:t>(“el respeto a los derechos o a la reputación de los demás” o “la protección de la seguridad nacional, el orden público o la salud o la moral públicas”)</w:t>
      </w:r>
      <w:r w:rsidRPr="00E86A8F">
        <w:rPr>
          <w:rFonts w:asciiTheme="majorHAnsi" w:hAnsiTheme="majorHAnsi"/>
          <w:sz w:val="20"/>
          <w:szCs w:val="20"/>
          <w:lang w:val="es-AR"/>
        </w:rPr>
        <w:t xml:space="preserve">; y (3) </w:t>
      </w:r>
      <w:r w:rsidR="009F7792" w:rsidRPr="00E86A8F">
        <w:rPr>
          <w:rFonts w:asciiTheme="majorHAnsi" w:hAnsiTheme="majorHAnsi"/>
          <w:spacing w:val="-2"/>
          <w:sz w:val="20"/>
          <w:szCs w:val="20"/>
          <w:lang w:val="es-ES_tradnl"/>
        </w:rPr>
        <w:t>ser necesaria</w:t>
      </w:r>
      <w:r w:rsidR="00A60F65" w:rsidRPr="00E86A8F">
        <w:rPr>
          <w:rFonts w:asciiTheme="majorHAnsi" w:hAnsiTheme="majorHAnsi"/>
          <w:spacing w:val="-2"/>
          <w:sz w:val="20"/>
          <w:szCs w:val="20"/>
          <w:lang w:val="es-ES_tradnl"/>
        </w:rPr>
        <w:t>s</w:t>
      </w:r>
      <w:r w:rsidR="009F7792" w:rsidRPr="00E86A8F">
        <w:rPr>
          <w:rFonts w:asciiTheme="majorHAnsi" w:hAnsiTheme="majorHAnsi"/>
          <w:spacing w:val="-2"/>
          <w:sz w:val="20"/>
          <w:szCs w:val="20"/>
          <w:lang w:val="es-ES_tradnl"/>
        </w:rPr>
        <w:t xml:space="preserve"> en una sociedad democrática (para lo cual deben </w:t>
      </w:r>
      <w:r w:rsidR="009F7792" w:rsidRPr="00E86A8F">
        <w:rPr>
          <w:rFonts w:asciiTheme="majorHAnsi" w:hAnsiTheme="majorHAnsi"/>
          <w:spacing w:val="-2"/>
          <w:sz w:val="20"/>
          <w:szCs w:val="20"/>
          <w:lang w:val="es-PE" w:eastAsia="de-DE"/>
        </w:rPr>
        <w:t>cumplir con los requisitos de idoneidad, necesidad y proporcionalidad</w:t>
      </w:r>
      <w:r w:rsidR="009F7792" w:rsidRPr="00E86A8F">
        <w:rPr>
          <w:rFonts w:asciiTheme="majorHAnsi" w:hAnsiTheme="majorHAnsi"/>
          <w:spacing w:val="-2"/>
          <w:sz w:val="20"/>
          <w:szCs w:val="20"/>
          <w:vertAlign w:val="superscript"/>
          <w:lang w:eastAsia="de-DE"/>
        </w:rPr>
        <w:footnoteReference w:id="89"/>
      </w:r>
      <w:r w:rsidR="009F7792" w:rsidRPr="00E86A8F">
        <w:rPr>
          <w:rFonts w:asciiTheme="majorHAnsi" w:hAnsiTheme="majorHAnsi"/>
          <w:spacing w:val="-2"/>
          <w:sz w:val="20"/>
          <w:szCs w:val="20"/>
          <w:lang w:val="es-PE" w:eastAsia="de-DE"/>
        </w:rPr>
        <w:t>).</w:t>
      </w:r>
      <w:r w:rsidR="009F7792" w:rsidRPr="00E86A8F">
        <w:rPr>
          <w:rFonts w:asciiTheme="majorHAnsi" w:hAnsiTheme="majorHAnsi"/>
          <w:spacing w:val="-2"/>
          <w:sz w:val="20"/>
          <w:szCs w:val="20"/>
          <w:lang w:val="es-ES_tradnl"/>
        </w:rPr>
        <w:t xml:space="preserve"> En el presente caso, la C</w:t>
      </w:r>
      <w:r w:rsidR="00A60F65" w:rsidRPr="00E86A8F">
        <w:rPr>
          <w:rFonts w:asciiTheme="majorHAnsi" w:hAnsiTheme="majorHAnsi"/>
          <w:spacing w:val="-2"/>
          <w:sz w:val="20"/>
          <w:szCs w:val="20"/>
          <w:lang w:val="es-ES_tradnl"/>
        </w:rPr>
        <w:t>IDH</w:t>
      </w:r>
      <w:r w:rsidR="009F7792" w:rsidRPr="00E86A8F">
        <w:rPr>
          <w:rFonts w:asciiTheme="majorHAnsi" w:hAnsiTheme="majorHAnsi"/>
          <w:spacing w:val="-2"/>
          <w:sz w:val="20"/>
          <w:szCs w:val="20"/>
          <w:lang w:val="es-ES_tradnl"/>
        </w:rPr>
        <w:t xml:space="preserve"> analizará si la condena por injurias</w:t>
      </w:r>
      <w:r w:rsidR="00A60F65" w:rsidRPr="00E86A8F">
        <w:rPr>
          <w:rFonts w:asciiTheme="majorHAnsi" w:hAnsiTheme="majorHAnsi"/>
          <w:spacing w:val="-2"/>
          <w:sz w:val="20"/>
          <w:szCs w:val="20"/>
          <w:lang w:val="es-ES_tradnl"/>
        </w:rPr>
        <w:t xml:space="preserve"> graves</w:t>
      </w:r>
      <w:r w:rsidR="009F7792" w:rsidRPr="00E86A8F">
        <w:rPr>
          <w:rFonts w:asciiTheme="majorHAnsi" w:hAnsiTheme="majorHAnsi"/>
          <w:spacing w:val="-2"/>
          <w:sz w:val="20"/>
          <w:szCs w:val="20"/>
          <w:lang w:val="es-ES_tradnl"/>
        </w:rPr>
        <w:t xml:space="preserve"> impuesta a</w:t>
      </w:r>
      <w:r w:rsidR="00A60F65" w:rsidRPr="00E86A8F">
        <w:rPr>
          <w:rFonts w:asciiTheme="majorHAnsi" w:hAnsiTheme="majorHAnsi"/>
          <w:spacing w:val="-2"/>
          <w:sz w:val="20"/>
          <w:szCs w:val="20"/>
          <w:lang w:val="es-ES_tradnl"/>
        </w:rPr>
        <w:t xml:space="preserve"> Carlos Baraona Bray cumplió</w:t>
      </w:r>
      <w:r w:rsidR="009F7792" w:rsidRPr="00E86A8F">
        <w:rPr>
          <w:rFonts w:asciiTheme="majorHAnsi" w:hAnsiTheme="majorHAnsi"/>
          <w:spacing w:val="-2"/>
          <w:sz w:val="20"/>
          <w:szCs w:val="20"/>
          <w:lang w:val="es-ES_tradnl"/>
        </w:rPr>
        <w:t xml:space="preserve"> con estos requisitos.</w:t>
      </w:r>
    </w:p>
    <w:p w14:paraId="286F5CAD" w14:textId="77777777" w:rsidR="00EA7301" w:rsidRPr="00E86A8F" w:rsidRDefault="00EA730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i/>
          <w:iCs/>
          <w:spacing w:val="-2"/>
          <w:sz w:val="20"/>
          <w:szCs w:val="20"/>
          <w:lang w:val="es-ES_tradnl"/>
        </w:rPr>
      </w:pPr>
    </w:p>
    <w:p w14:paraId="396D2C47" w14:textId="614500E4" w:rsidR="00F36A14" w:rsidRPr="00E86A8F" w:rsidRDefault="00F36A1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i/>
          <w:iCs/>
          <w:spacing w:val="-2"/>
          <w:sz w:val="20"/>
          <w:szCs w:val="20"/>
          <w:lang w:val="es-ES_tradnl"/>
        </w:rPr>
      </w:pPr>
      <w:r w:rsidRPr="00E86A8F">
        <w:rPr>
          <w:rFonts w:asciiTheme="majorHAnsi" w:hAnsiTheme="majorHAnsi"/>
          <w:sz w:val="20"/>
          <w:szCs w:val="20"/>
          <w:lang w:val="es-PE"/>
        </w:rPr>
        <w:t>Este test se aplica con una especial intensidad cuando las prohibiciones están establecidas a través de la ley pena</w:t>
      </w:r>
      <w:r w:rsidR="008377C2" w:rsidRPr="00E86A8F">
        <w:rPr>
          <w:rFonts w:asciiTheme="majorHAnsi" w:hAnsiTheme="majorHAnsi"/>
          <w:sz w:val="20"/>
          <w:szCs w:val="20"/>
          <w:lang w:val="es-PE"/>
        </w:rPr>
        <w:t>l</w:t>
      </w:r>
      <w:r w:rsidRPr="00E86A8F">
        <w:rPr>
          <w:rFonts w:asciiTheme="majorHAnsi" w:hAnsiTheme="majorHAnsi" w:cs="Univers"/>
          <w:sz w:val="20"/>
          <w:szCs w:val="20"/>
          <w:vertAlign w:val="superscript"/>
        </w:rPr>
        <w:footnoteReference w:id="90"/>
      </w:r>
      <w:r w:rsidRPr="00E86A8F">
        <w:rPr>
          <w:rFonts w:asciiTheme="majorHAnsi" w:hAnsiTheme="majorHAnsi"/>
          <w:sz w:val="20"/>
          <w:szCs w:val="20"/>
          <w:lang w:val="es-PE"/>
        </w:rPr>
        <w:t>. Asimismo, la CIDH y la Corte han sostenido consistentemente que el test de necesidad de las limitaciones debe ser aplicado en forma más estricta cuando quiera que se trate de expresiones atinentes al Estado, asuntos de interés público, de funcionarios públicos en ejercicio de sus funciones o candidatos a ocupar cargos públicos, o a particulares involucrados voluntariamente en asuntos públicos, así como al discurso y debate políticos</w:t>
      </w:r>
      <w:r w:rsidRPr="00E86A8F">
        <w:rPr>
          <w:rFonts w:asciiTheme="majorHAnsi" w:hAnsiTheme="majorHAnsi"/>
          <w:sz w:val="20"/>
          <w:szCs w:val="20"/>
          <w:vertAlign w:val="superscript"/>
        </w:rPr>
        <w:footnoteReference w:id="91"/>
      </w:r>
      <w:r w:rsidRPr="00E86A8F">
        <w:rPr>
          <w:rFonts w:asciiTheme="majorHAnsi" w:hAnsiTheme="majorHAnsi"/>
          <w:sz w:val="20"/>
          <w:szCs w:val="20"/>
          <w:lang w:val="es-PE"/>
        </w:rPr>
        <w:t xml:space="preserve">. </w:t>
      </w:r>
    </w:p>
    <w:p w14:paraId="2F401B5F" w14:textId="77777777" w:rsidR="00375280" w:rsidRPr="00E86A8F" w:rsidRDefault="00375280"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i/>
          <w:iCs/>
          <w:spacing w:val="-2"/>
          <w:sz w:val="20"/>
          <w:szCs w:val="20"/>
          <w:lang w:val="es-ES_tradnl"/>
        </w:rPr>
      </w:pPr>
    </w:p>
    <w:p w14:paraId="680FF8D0" w14:textId="5AD3552E" w:rsidR="00B748C7" w:rsidRPr="00E86A8F" w:rsidRDefault="00B748C7" w:rsidP="00073BB6">
      <w:pPr>
        <w:pStyle w:val="Heading4"/>
        <w:keepNext w:val="0"/>
        <w:keepLines w:val="0"/>
        <w:ind w:left="0" w:firstLine="0"/>
        <w:jc w:val="both"/>
      </w:pPr>
      <w:bookmarkStart w:id="35" w:name="_Toc534905537"/>
      <w:bookmarkStart w:id="36" w:name="_Toc4492615"/>
      <w:r w:rsidRPr="00E86A8F">
        <w:t>Test tripartito</w:t>
      </w:r>
      <w:bookmarkEnd w:id="35"/>
      <w:bookmarkEnd w:id="36"/>
    </w:p>
    <w:p w14:paraId="7877A325" w14:textId="77777777" w:rsidR="00E02E35" w:rsidRPr="00E86A8F" w:rsidRDefault="00E02E35" w:rsidP="00073BB6">
      <w:pPr>
        <w:jc w:val="both"/>
        <w:rPr>
          <w:rFonts w:asciiTheme="majorHAnsi" w:hAnsiTheme="majorHAnsi"/>
          <w:sz w:val="20"/>
          <w:szCs w:val="20"/>
          <w:lang w:val="es-CO"/>
        </w:rPr>
      </w:pPr>
    </w:p>
    <w:p w14:paraId="47C9377A" w14:textId="4269826B" w:rsidR="00B748C7" w:rsidRPr="00E86A8F" w:rsidRDefault="00B748C7" w:rsidP="00073BB6">
      <w:pPr>
        <w:pStyle w:val="Heading5"/>
        <w:ind w:left="0" w:firstLine="0"/>
        <w:jc w:val="both"/>
        <w:rPr>
          <w:rFonts w:asciiTheme="majorHAnsi" w:hAnsiTheme="majorHAnsi"/>
          <w:b/>
        </w:rPr>
      </w:pPr>
      <w:r w:rsidRPr="00E86A8F">
        <w:rPr>
          <w:rFonts w:asciiTheme="majorHAnsi" w:hAnsiTheme="majorHAnsi"/>
          <w:b/>
        </w:rPr>
        <w:t>Estricta formulación de la norma que consagra limitación o restricción (previsión legal)</w:t>
      </w:r>
    </w:p>
    <w:p w14:paraId="64BD2480" w14:textId="77777777" w:rsidR="00A60D2B" w:rsidRPr="00E86A8F" w:rsidRDefault="00A60D2B" w:rsidP="00073BB6">
      <w:pPr>
        <w:jc w:val="both"/>
        <w:rPr>
          <w:rFonts w:asciiTheme="majorHAnsi" w:hAnsiTheme="majorHAnsi"/>
          <w:sz w:val="20"/>
          <w:szCs w:val="20"/>
          <w:lang w:val="es-PE" w:eastAsia="es-ES"/>
        </w:rPr>
      </w:pPr>
    </w:p>
    <w:p w14:paraId="0D621D16" w14:textId="2F4978AB" w:rsidR="00B748C7" w:rsidRPr="00E86A8F" w:rsidRDefault="00B748C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De </w:t>
      </w:r>
      <w:r w:rsidRPr="00E86A8F">
        <w:rPr>
          <w:rFonts w:asciiTheme="majorHAnsi" w:hAnsiTheme="majorHAnsi"/>
          <w:sz w:val="20"/>
          <w:szCs w:val="20"/>
          <w:lang w:val="es-PE"/>
        </w:rPr>
        <w:t>acuerdo</w:t>
      </w:r>
      <w:r w:rsidRPr="00E86A8F">
        <w:rPr>
          <w:rFonts w:asciiTheme="majorHAnsi" w:hAnsiTheme="majorHAnsi"/>
          <w:sz w:val="20"/>
          <w:szCs w:val="20"/>
          <w:lang w:val="es-CO"/>
        </w:rPr>
        <w:t xml:space="preserve"> con la doctrina de la CIDH como de la Corte IDH, el requisito de </w:t>
      </w:r>
      <w:r w:rsidRPr="00E86A8F">
        <w:rPr>
          <w:rFonts w:asciiTheme="majorHAnsi" w:hAnsiTheme="majorHAnsi"/>
          <w:i/>
          <w:sz w:val="20"/>
          <w:szCs w:val="20"/>
          <w:lang w:val="es-CO"/>
        </w:rPr>
        <w:t>legalidad</w:t>
      </w:r>
      <w:r w:rsidRPr="00E86A8F">
        <w:rPr>
          <w:rFonts w:asciiTheme="majorHAnsi" w:hAnsiTheme="majorHAnsi"/>
          <w:sz w:val="20"/>
          <w:szCs w:val="20"/>
          <w:lang w:val="es-CO"/>
        </w:rPr>
        <w:t xml:space="preserve"> significa que la previsión legal que significa una restricción a la libertad de expresión debe estar contenida en una ley en </w:t>
      </w:r>
      <w:r w:rsidRPr="00E86A8F">
        <w:rPr>
          <w:rFonts w:asciiTheme="majorHAnsi" w:hAnsiTheme="majorHAnsi"/>
          <w:sz w:val="20"/>
          <w:szCs w:val="20"/>
          <w:lang w:val="es-CO"/>
        </w:rPr>
        <w:lastRenderedPageBreak/>
        <w:t>términos precisos y claros</w:t>
      </w:r>
      <w:r w:rsidRPr="00E86A8F">
        <w:rPr>
          <w:rStyle w:val="FootnoteReference"/>
          <w:rFonts w:asciiTheme="majorHAnsi" w:hAnsiTheme="majorHAnsi"/>
          <w:sz w:val="20"/>
          <w:szCs w:val="20"/>
          <w:lang w:val="es-CO"/>
        </w:rPr>
        <w:footnoteReference w:id="92"/>
      </w:r>
      <w:r w:rsidRPr="00E86A8F">
        <w:rPr>
          <w:rFonts w:asciiTheme="majorHAnsi" w:hAnsiTheme="majorHAnsi"/>
          <w:sz w:val="20"/>
          <w:szCs w:val="20"/>
          <w:lang w:val="es-CO"/>
        </w:rPr>
        <w:t>. La tipificación debe formularse “en forma expresa, precisa, taxativa y previa, más aún cuando el derecho penal es el medio más restrictivo y severo para establecer responsabilidades respecto de una conducta ilícita, teniendo en cuenta que el marco legal debe brindar seguridad jurídica al ciudadano”</w:t>
      </w:r>
      <w:r w:rsidRPr="00E86A8F">
        <w:rPr>
          <w:rStyle w:val="FootnoteReference"/>
          <w:rFonts w:asciiTheme="majorHAnsi" w:hAnsiTheme="majorHAnsi"/>
          <w:sz w:val="20"/>
          <w:szCs w:val="20"/>
          <w:lang w:val="es-CO"/>
        </w:rPr>
        <w:footnoteReference w:id="93"/>
      </w:r>
      <w:r w:rsidRPr="00E86A8F">
        <w:rPr>
          <w:rFonts w:asciiTheme="majorHAnsi" w:hAnsiTheme="majorHAnsi"/>
          <w:sz w:val="20"/>
          <w:szCs w:val="20"/>
          <w:lang w:val="es-CO"/>
        </w:rPr>
        <w:t xml:space="preserve">. </w:t>
      </w:r>
    </w:p>
    <w:p w14:paraId="03493E8E" w14:textId="77777777" w:rsidR="00DA56FD" w:rsidRPr="00E86A8F" w:rsidRDefault="00DA56FD"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08029FB3" w14:textId="55628D4C" w:rsidR="00B748C7" w:rsidRPr="00E86A8F" w:rsidRDefault="00B748C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La</w:t>
      </w:r>
      <w:r w:rsidR="00BA21BB" w:rsidRPr="00E86A8F">
        <w:rPr>
          <w:rFonts w:asciiTheme="majorHAnsi" w:hAnsiTheme="majorHAnsi"/>
          <w:sz w:val="20"/>
          <w:szCs w:val="20"/>
          <w:lang w:val="es-CO"/>
        </w:rPr>
        <w:t xml:space="preserve">s </w:t>
      </w:r>
      <w:r w:rsidRPr="00E86A8F">
        <w:rPr>
          <w:rFonts w:asciiTheme="majorHAnsi" w:hAnsiTheme="majorHAnsi"/>
          <w:sz w:val="20"/>
          <w:szCs w:val="20"/>
          <w:lang w:val="es-CO"/>
        </w:rPr>
        <w:t xml:space="preserve">normas </w:t>
      </w:r>
      <w:r w:rsidR="0074772D" w:rsidRPr="00E86A8F">
        <w:rPr>
          <w:rFonts w:asciiTheme="majorHAnsi" w:hAnsiTheme="majorHAnsi"/>
          <w:sz w:val="20"/>
          <w:szCs w:val="20"/>
          <w:lang w:val="es-CO"/>
        </w:rPr>
        <w:t xml:space="preserve">penales deben estar redactadas </w:t>
      </w:r>
      <w:r w:rsidR="00AD34CF" w:rsidRPr="00E86A8F">
        <w:rPr>
          <w:rFonts w:asciiTheme="majorHAnsi" w:hAnsiTheme="majorHAnsi"/>
          <w:sz w:val="20"/>
          <w:szCs w:val="20"/>
          <w:lang w:val="es-CO"/>
        </w:rPr>
        <w:t>utilizando términos</w:t>
      </w:r>
      <w:r w:rsidR="009156CA" w:rsidRPr="00E86A8F">
        <w:rPr>
          <w:rFonts w:asciiTheme="majorHAnsi" w:hAnsiTheme="majorHAnsi"/>
          <w:sz w:val="20"/>
          <w:szCs w:val="20"/>
          <w:lang w:val="es-CO"/>
        </w:rPr>
        <w:t xml:space="preserve"> estrictos y unívocos</w:t>
      </w:r>
      <w:r w:rsidR="00CD2E56" w:rsidRPr="00E86A8F">
        <w:rPr>
          <w:rFonts w:asciiTheme="majorHAnsi" w:hAnsiTheme="majorHAnsi"/>
          <w:sz w:val="20"/>
          <w:szCs w:val="20"/>
          <w:lang w:val="es-PE"/>
        </w:rPr>
        <w:t>, que acoten claramente las conductas punibles, dando pleno sentido al principio de legalidad penal. Este implica una clara definición de la conducta incriminada, que fije sus elementos y permita deslindarla de comportamientos no punibles o conductas ilícitas sancionables con medidas no penales.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002B706C" w:rsidRPr="00E86A8F">
        <w:rPr>
          <w:rStyle w:val="FootnoteReference"/>
          <w:rFonts w:asciiTheme="majorHAnsi" w:hAnsiTheme="majorHAnsi"/>
          <w:sz w:val="20"/>
          <w:szCs w:val="20"/>
          <w:lang w:val="es-PE"/>
        </w:rPr>
        <w:footnoteReference w:id="94"/>
      </w:r>
      <w:r w:rsidR="002B706C" w:rsidRPr="00E86A8F">
        <w:rPr>
          <w:rFonts w:asciiTheme="majorHAnsi" w:hAnsiTheme="majorHAnsi"/>
          <w:sz w:val="20"/>
          <w:szCs w:val="20"/>
          <w:lang w:val="es-PE"/>
        </w:rPr>
        <w:t>.</w:t>
      </w:r>
      <w:r w:rsidR="00AD34CF" w:rsidRPr="00E86A8F">
        <w:rPr>
          <w:rFonts w:asciiTheme="majorHAnsi" w:hAnsiTheme="majorHAnsi"/>
          <w:sz w:val="20"/>
          <w:szCs w:val="20"/>
          <w:lang w:val="es-CO"/>
        </w:rPr>
        <w:t xml:space="preserve"> </w:t>
      </w:r>
    </w:p>
    <w:p w14:paraId="30CC176F" w14:textId="77777777" w:rsidR="0050775E" w:rsidRPr="00E86A8F" w:rsidRDefault="0050775E"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229F716B" w14:textId="791D2B0F" w:rsidR="0050775E" w:rsidRPr="00E86A8F" w:rsidRDefault="00B748C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En el presente caso, </w:t>
      </w:r>
      <w:r w:rsidR="002534B4" w:rsidRPr="00E86A8F">
        <w:rPr>
          <w:rFonts w:asciiTheme="majorHAnsi" w:hAnsiTheme="majorHAnsi"/>
          <w:sz w:val="20"/>
          <w:szCs w:val="20"/>
          <w:lang w:val="es-CO"/>
        </w:rPr>
        <w:t xml:space="preserve">Carlos Baraona </w:t>
      </w:r>
      <w:r w:rsidR="002A4F51" w:rsidRPr="00E86A8F">
        <w:rPr>
          <w:rFonts w:asciiTheme="majorHAnsi" w:hAnsiTheme="majorHAnsi"/>
          <w:sz w:val="20"/>
          <w:szCs w:val="20"/>
          <w:lang w:val="es-CO"/>
        </w:rPr>
        <w:t xml:space="preserve">Bray fue condenado </w:t>
      </w:r>
      <w:r w:rsidRPr="00E86A8F">
        <w:rPr>
          <w:rFonts w:asciiTheme="majorHAnsi" w:hAnsiTheme="majorHAnsi" w:cs="Arial Narrow"/>
          <w:sz w:val="20"/>
          <w:szCs w:val="20"/>
          <w:lang w:val="es-CO"/>
        </w:rPr>
        <w:t>por la comisión del delito de</w:t>
      </w:r>
      <w:r w:rsidRPr="00E86A8F">
        <w:rPr>
          <w:rFonts w:asciiTheme="majorHAnsi" w:hAnsiTheme="majorHAnsi" w:cs="Arial Narrow"/>
          <w:b/>
          <w:sz w:val="20"/>
          <w:szCs w:val="20"/>
          <w:lang w:val="es-CO"/>
        </w:rPr>
        <w:t xml:space="preserve"> </w:t>
      </w:r>
      <w:r w:rsidRPr="00E86A8F">
        <w:rPr>
          <w:rFonts w:asciiTheme="majorHAnsi" w:hAnsiTheme="majorHAnsi" w:cs="Arial Narrow"/>
          <w:sz w:val="20"/>
          <w:szCs w:val="20"/>
          <w:lang w:val="es-CO"/>
        </w:rPr>
        <w:t xml:space="preserve">injurias </w:t>
      </w:r>
      <w:r w:rsidR="002A4F51" w:rsidRPr="00E86A8F">
        <w:rPr>
          <w:rFonts w:asciiTheme="majorHAnsi" w:hAnsiTheme="majorHAnsi" w:cs="Arial Narrow"/>
          <w:sz w:val="20"/>
          <w:szCs w:val="20"/>
          <w:lang w:val="es-CO"/>
        </w:rPr>
        <w:t>graves a trav</w:t>
      </w:r>
      <w:r w:rsidR="002A4F51" w:rsidRPr="00E86A8F">
        <w:rPr>
          <w:rFonts w:asciiTheme="majorHAnsi" w:hAnsiTheme="majorHAnsi" w:cs="Arial Narrow"/>
          <w:sz w:val="20"/>
          <w:szCs w:val="20"/>
          <w:lang w:val="es-PE"/>
        </w:rPr>
        <w:t xml:space="preserve">és de un medio de comunicación social </w:t>
      </w:r>
      <w:r w:rsidRPr="00E86A8F">
        <w:rPr>
          <w:rFonts w:asciiTheme="majorHAnsi" w:hAnsiTheme="majorHAnsi" w:cs="Arial Narrow"/>
          <w:sz w:val="20"/>
          <w:szCs w:val="20"/>
          <w:lang w:val="es-CO"/>
        </w:rPr>
        <w:t>de acuerdo con la interpretación del Código Penal</w:t>
      </w:r>
      <w:r w:rsidR="00411CF5" w:rsidRPr="00E86A8F">
        <w:rPr>
          <w:rFonts w:asciiTheme="majorHAnsi" w:hAnsiTheme="majorHAnsi" w:cs="Arial Narrow"/>
          <w:sz w:val="20"/>
          <w:szCs w:val="20"/>
          <w:lang w:val="es-CO"/>
        </w:rPr>
        <w:t xml:space="preserve"> y de la</w:t>
      </w:r>
      <w:r w:rsidR="00225BEC" w:rsidRPr="00E86A8F">
        <w:rPr>
          <w:rFonts w:asciiTheme="majorHAnsi" w:hAnsiTheme="majorHAnsi" w:cs="Arial Narrow"/>
          <w:sz w:val="20"/>
          <w:szCs w:val="20"/>
          <w:lang w:val="es-CO"/>
        </w:rPr>
        <w:t xml:space="preserve"> </w:t>
      </w:r>
      <w:r w:rsidR="00225BEC" w:rsidRPr="00E86A8F">
        <w:rPr>
          <w:rFonts w:asciiTheme="majorHAnsi" w:hAnsiTheme="majorHAnsi"/>
          <w:sz w:val="20"/>
          <w:szCs w:val="20"/>
          <w:lang w:val="es-PE"/>
        </w:rPr>
        <w:t xml:space="preserve">Ley No. 19.733 sobre Libertades de Opinión e Información y Ejercicio del Periodismo, </w:t>
      </w:r>
      <w:r w:rsidRPr="00E86A8F">
        <w:rPr>
          <w:rFonts w:asciiTheme="majorHAnsi" w:hAnsiTheme="majorHAnsi" w:cs="Arial Narrow"/>
          <w:sz w:val="20"/>
          <w:szCs w:val="20"/>
          <w:lang w:val="es-CO"/>
        </w:rPr>
        <w:t>vigente</w:t>
      </w:r>
      <w:r w:rsidR="00225BEC" w:rsidRPr="00E86A8F">
        <w:rPr>
          <w:rFonts w:asciiTheme="majorHAnsi" w:hAnsiTheme="majorHAnsi" w:cs="Arial Narrow"/>
          <w:sz w:val="20"/>
          <w:szCs w:val="20"/>
          <w:lang w:val="es-CO"/>
        </w:rPr>
        <w:t>s</w:t>
      </w:r>
      <w:r w:rsidRPr="00E86A8F">
        <w:rPr>
          <w:rFonts w:asciiTheme="majorHAnsi" w:hAnsiTheme="majorHAnsi" w:cs="Arial Narrow"/>
          <w:sz w:val="20"/>
          <w:szCs w:val="20"/>
          <w:lang w:val="es-CO"/>
        </w:rPr>
        <w:t xml:space="preserve"> en ese entonces</w:t>
      </w:r>
      <w:r w:rsidR="00225BEC" w:rsidRPr="00E86A8F">
        <w:rPr>
          <w:rFonts w:asciiTheme="majorHAnsi" w:hAnsiTheme="majorHAnsi" w:cs="Arial Narrow"/>
          <w:sz w:val="20"/>
          <w:szCs w:val="20"/>
          <w:lang w:val="es-CO"/>
        </w:rPr>
        <w:t>.</w:t>
      </w:r>
      <w:r w:rsidR="000F73E6" w:rsidRPr="00E86A8F">
        <w:rPr>
          <w:rFonts w:asciiTheme="majorHAnsi" w:hAnsiTheme="majorHAnsi"/>
          <w:sz w:val="20"/>
          <w:szCs w:val="20"/>
          <w:lang w:val="es-PE"/>
        </w:rPr>
        <w:t xml:space="preserve"> </w:t>
      </w:r>
      <w:r w:rsidRPr="00E86A8F">
        <w:rPr>
          <w:rFonts w:asciiTheme="majorHAnsi" w:hAnsiTheme="majorHAnsi"/>
          <w:sz w:val="20"/>
          <w:szCs w:val="20"/>
          <w:lang w:val="es-CO"/>
        </w:rPr>
        <w:t>El artículo 4</w:t>
      </w:r>
      <w:r w:rsidR="000F73E6" w:rsidRPr="00E86A8F">
        <w:rPr>
          <w:rFonts w:asciiTheme="majorHAnsi" w:hAnsiTheme="majorHAnsi"/>
          <w:sz w:val="20"/>
          <w:szCs w:val="20"/>
          <w:lang w:val="es-CO"/>
        </w:rPr>
        <w:t>16</w:t>
      </w:r>
      <w:r w:rsidRPr="00E86A8F">
        <w:rPr>
          <w:rFonts w:asciiTheme="majorHAnsi" w:hAnsiTheme="majorHAnsi"/>
          <w:sz w:val="20"/>
          <w:szCs w:val="20"/>
          <w:lang w:val="es-CO"/>
        </w:rPr>
        <w:t xml:space="preserve"> del Código Penal, prescribe lo siguiente: </w:t>
      </w:r>
      <w:r w:rsidR="00BB5AE5" w:rsidRPr="00E86A8F">
        <w:rPr>
          <w:rFonts w:asciiTheme="majorHAnsi" w:hAnsiTheme="majorHAnsi"/>
          <w:sz w:val="20"/>
          <w:szCs w:val="20"/>
          <w:lang w:val="es-PE"/>
        </w:rPr>
        <w:t>“[e]s injuria toda expresión proferida o acción ejecutada en deshonra, descrédito o menosprecio de otra persona.</w:t>
      </w:r>
      <w:r w:rsidR="000D15A8" w:rsidRPr="00E86A8F">
        <w:rPr>
          <w:rFonts w:asciiTheme="majorHAnsi" w:hAnsiTheme="majorHAnsi"/>
          <w:sz w:val="20"/>
          <w:szCs w:val="20"/>
          <w:lang w:val="es-PE"/>
        </w:rPr>
        <w:t xml:space="preserve"> El artículo 417, señala que: “[s]</w:t>
      </w:r>
      <w:r w:rsidR="00BB5AE5" w:rsidRPr="00E86A8F">
        <w:rPr>
          <w:rFonts w:asciiTheme="majorHAnsi" w:hAnsiTheme="majorHAnsi"/>
          <w:sz w:val="20"/>
          <w:szCs w:val="20"/>
          <w:lang w:val="es-PE"/>
        </w:rPr>
        <w:t>on injurias graves:</w:t>
      </w:r>
      <w:r w:rsidR="000D15A8" w:rsidRPr="00E86A8F">
        <w:rPr>
          <w:rFonts w:asciiTheme="majorHAnsi" w:hAnsiTheme="majorHAnsi"/>
          <w:sz w:val="20"/>
          <w:szCs w:val="20"/>
          <w:lang w:val="es-PE"/>
        </w:rPr>
        <w:t xml:space="preserve"> </w:t>
      </w:r>
      <w:r w:rsidR="00BB5AE5" w:rsidRPr="00E86A8F">
        <w:rPr>
          <w:rFonts w:asciiTheme="majorHAnsi" w:hAnsiTheme="majorHAnsi"/>
          <w:sz w:val="20"/>
          <w:szCs w:val="20"/>
          <w:lang w:val="es-PE"/>
        </w:rPr>
        <w:t>3.°</w:t>
      </w:r>
      <w:r w:rsidR="007E0184" w:rsidRPr="00E86A8F">
        <w:rPr>
          <w:rFonts w:asciiTheme="majorHAnsi" w:hAnsiTheme="majorHAnsi"/>
          <w:sz w:val="20"/>
          <w:szCs w:val="20"/>
          <w:lang w:val="es-PE"/>
        </w:rPr>
        <w:t xml:space="preserve"> </w:t>
      </w:r>
      <w:r w:rsidR="00BB5AE5" w:rsidRPr="00E86A8F">
        <w:rPr>
          <w:rFonts w:asciiTheme="majorHAnsi" w:hAnsiTheme="majorHAnsi"/>
          <w:sz w:val="20"/>
          <w:szCs w:val="20"/>
          <w:lang w:val="es-PE"/>
        </w:rPr>
        <w:t>La de un vicio o falta de moralidad cuyas consecuencias puedan perjudicar considerablemente la fama, crédito o intereses del agraviado.</w:t>
      </w:r>
      <w:r w:rsidR="007E0184" w:rsidRPr="00E86A8F">
        <w:rPr>
          <w:rFonts w:asciiTheme="majorHAnsi" w:hAnsiTheme="majorHAnsi"/>
          <w:sz w:val="20"/>
          <w:szCs w:val="20"/>
          <w:lang w:val="es-PE"/>
        </w:rPr>
        <w:t xml:space="preserve"> </w:t>
      </w:r>
      <w:r w:rsidR="00BB5AE5" w:rsidRPr="00E86A8F">
        <w:rPr>
          <w:rFonts w:asciiTheme="majorHAnsi" w:hAnsiTheme="majorHAnsi"/>
          <w:sz w:val="20"/>
          <w:szCs w:val="20"/>
          <w:lang w:val="es-PE"/>
        </w:rPr>
        <w:t>4.° Las injurias que por su naturaleza, ocasión o circunstancias fueren tenidas en el concepto público por afrentosas</w:t>
      </w:r>
      <w:r w:rsidR="007E0184" w:rsidRPr="00E86A8F">
        <w:rPr>
          <w:rFonts w:asciiTheme="majorHAnsi" w:hAnsiTheme="majorHAnsi"/>
          <w:sz w:val="20"/>
          <w:szCs w:val="20"/>
          <w:lang w:val="es-PE"/>
        </w:rPr>
        <w:t xml:space="preserve">. </w:t>
      </w:r>
      <w:r w:rsidR="00BB5AE5" w:rsidRPr="00E86A8F">
        <w:rPr>
          <w:rFonts w:asciiTheme="majorHAnsi" w:hAnsiTheme="majorHAnsi"/>
          <w:sz w:val="20"/>
          <w:szCs w:val="20"/>
          <w:lang w:val="es-PE"/>
        </w:rPr>
        <w:t>5.° Las que racionalmente merezcan la calificación de graves atendido el estado, dignidad y circunstancias del ofendido y del ofensor</w:t>
      </w:r>
      <w:r w:rsidR="007E0184" w:rsidRPr="00E86A8F">
        <w:rPr>
          <w:rFonts w:asciiTheme="majorHAnsi" w:hAnsiTheme="majorHAnsi"/>
          <w:sz w:val="20"/>
          <w:szCs w:val="20"/>
          <w:lang w:val="es-PE"/>
        </w:rPr>
        <w:t>”.</w:t>
      </w:r>
      <w:r w:rsidR="009767B3" w:rsidRPr="00E86A8F">
        <w:rPr>
          <w:rFonts w:asciiTheme="majorHAnsi" w:hAnsiTheme="majorHAnsi"/>
          <w:sz w:val="20"/>
          <w:szCs w:val="20"/>
          <w:lang w:val="es-PE"/>
        </w:rPr>
        <w:t xml:space="preserve"> Asimismo, el artículo 418</w:t>
      </w:r>
      <w:r w:rsidR="0050775E" w:rsidRPr="00E86A8F">
        <w:rPr>
          <w:rFonts w:asciiTheme="majorHAnsi" w:hAnsiTheme="majorHAnsi"/>
          <w:sz w:val="20"/>
          <w:szCs w:val="20"/>
          <w:lang w:val="es-PE"/>
        </w:rPr>
        <w:t xml:space="preserve"> establece que: </w:t>
      </w:r>
      <w:r w:rsidR="006D5A39" w:rsidRPr="00E86A8F">
        <w:rPr>
          <w:rFonts w:asciiTheme="majorHAnsi" w:hAnsiTheme="majorHAnsi"/>
          <w:sz w:val="20"/>
          <w:szCs w:val="20"/>
          <w:lang w:val="es-PE"/>
        </w:rPr>
        <w:t>“[l]</w:t>
      </w:r>
      <w:r w:rsidR="0050775E" w:rsidRPr="00E86A8F">
        <w:rPr>
          <w:rFonts w:asciiTheme="majorHAnsi" w:hAnsiTheme="majorHAnsi"/>
          <w:sz w:val="20"/>
          <w:szCs w:val="20"/>
          <w:lang w:val="es-PE"/>
        </w:rPr>
        <w:t>as injurias graves hechas por escrito y con publicidad, serán castigadas con las penas de reclusión menor en sus grados mínimo a medio y multa de once a veinte unidades tributarias mensuales</w:t>
      </w:r>
      <w:r w:rsidR="006D5A39" w:rsidRPr="00E86A8F">
        <w:rPr>
          <w:rFonts w:asciiTheme="majorHAnsi" w:hAnsiTheme="majorHAnsi"/>
          <w:sz w:val="20"/>
          <w:szCs w:val="20"/>
          <w:lang w:val="es-PE"/>
        </w:rPr>
        <w:t>”</w:t>
      </w:r>
      <w:r w:rsidR="0050775E" w:rsidRPr="00E86A8F">
        <w:rPr>
          <w:rFonts w:asciiTheme="majorHAnsi" w:hAnsiTheme="majorHAnsi"/>
          <w:sz w:val="20"/>
          <w:szCs w:val="20"/>
          <w:lang w:val="es-PE"/>
        </w:rPr>
        <w:t>.</w:t>
      </w:r>
      <w:r w:rsidR="006D5A39" w:rsidRPr="00E86A8F">
        <w:rPr>
          <w:rFonts w:asciiTheme="majorHAnsi" w:hAnsiTheme="majorHAnsi"/>
          <w:sz w:val="20"/>
          <w:szCs w:val="20"/>
          <w:lang w:val="es-PE"/>
        </w:rPr>
        <w:t xml:space="preserve"> De igual manera, el artículo 29 de la Ley No. 19.733</w:t>
      </w:r>
      <w:r w:rsidR="001C4E45" w:rsidRPr="00E86A8F">
        <w:rPr>
          <w:rFonts w:asciiTheme="majorHAnsi" w:hAnsiTheme="majorHAnsi"/>
          <w:sz w:val="20"/>
          <w:szCs w:val="20"/>
          <w:lang w:val="es-PE"/>
        </w:rPr>
        <w:t xml:space="preserve">, citado </w:t>
      </w:r>
      <w:r w:rsidR="001C4E45" w:rsidRPr="00E86A8F">
        <w:rPr>
          <w:rFonts w:asciiTheme="majorHAnsi" w:hAnsiTheme="majorHAnsi"/>
          <w:i/>
          <w:sz w:val="20"/>
          <w:szCs w:val="20"/>
          <w:lang w:val="es-PE"/>
        </w:rPr>
        <w:t>ut supra</w:t>
      </w:r>
      <w:r w:rsidR="001C4E45" w:rsidRPr="00E86A8F">
        <w:rPr>
          <w:rFonts w:asciiTheme="majorHAnsi" w:hAnsiTheme="majorHAnsi"/>
          <w:sz w:val="20"/>
          <w:szCs w:val="20"/>
          <w:lang w:val="es-PE"/>
        </w:rPr>
        <w:t>,</w:t>
      </w:r>
      <w:r w:rsidR="00D572DD" w:rsidRPr="00E86A8F">
        <w:rPr>
          <w:rFonts w:asciiTheme="majorHAnsi" w:hAnsiTheme="majorHAnsi"/>
          <w:sz w:val="20"/>
          <w:szCs w:val="20"/>
          <w:lang w:val="es-PE"/>
        </w:rPr>
        <w:t xml:space="preserve"> </w:t>
      </w:r>
      <w:r w:rsidR="001C4E45" w:rsidRPr="00E86A8F">
        <w:rPr>
          <w:rFonts w:asciiTheme="majorHAnsi" w:hAnsiTheme="majorHAnsi"/>
          <w:sz w:val="20"/>
          <w:szCs w:val="20"/>
          <w:lang w:val="es-PE"/>
        </w:rPr>
        <w:t>complementa las normas del Código Penal.</w:t>
      </w:r>
    </w:p>
    <w:p w14:paraId="6F09E338" w14:textId="77777777" w:rsidR="001C4E45" w:rsidRPr="00E86A8F" w:rsidRDefault="001C4E45"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112CD0E" w14:textId="737234E9" w:rsidR="00B748C7" w:rsidRPr="00E86A8F" w:rsidRDefault="0098371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En el caso </w:t>
      </w:r>
      <w:r w:rsidRPr="00E86A8F">
        <w:rPr>
          <w:rFonts w:asciiTheme="majorHAnsi" w:hAnsiTheme="majorHAnsi"/>
          <w:i/>
          <w:sz w:val="20"/>
          <w:szCs w:val="20"/>
          <w:lang w:val="es-CO"/>
        </w:rPr>
        <w:t>Kimel Vs. Argentina</w:t>
      </w:r>
      <w:r w:rsidRPr="00E86A8F">
        <w:rPr>
          <w:rFonts w:asciiTheme="majorHAnsi" w:hAnsiTheme="majorHAnsi"/>
          <w:sz w:val="20"/>
          <w:szCs w:val="20"/>
          <w:lang w:val="es-CO"/>
        </w:rPr>
        <w:t>, la Corte Interamericana determinó que la tipificación de los delitos de calumnia e injuria vulneraba los artículos 13 y 9 la Convención Americana, en relación con los artículos 1.1 y 2, por excesivamente ambigua y amplia</w:t>
      </w:r>
      <w:r w:rsidRPr="00E86A8F">
        <w:rPr>
          <w:rFonts w:asciiTheme="majorHAnsi" w:hAnsiTheme="majorHAnsi"/>
          <w:sz w:val="20"/>
          <w:szCs w:val="20"/>
          <w:vertAlign w:val="superscript"/>
          <w:lang w:val="es-CO"/>
        </w:rPr>
        <w:footnoteReference w:id="95"/>
      </w:r>
      <w:r w:rsidRPr="00E86A8F">
        <w:rPr>
          <w:rFonts w:asciiTheme="majorHAnsi" w:hAnsiTheme="majorHAnsi"/>
          <w:sz w:val="20"/>
          <w:szCs w:val="20"/>
          <w:lang w:val="es-CO"/>
        </w:rPr>
        <w:t>, y posteriormente en la etapa de supervisión declaró que el Estado había cumplido con la sentencia cuando reformó los tipos penales, precisando el elemento de intencionalidad de los delitos y delimitando el ámbito de aplicación de la norma penal con el fin de proteger los discursos referidas a asuntos de interés público, entre otros</w:t>
      </w:r>
      <w:r w:rsidRPr="00E86A8F">
        <w:rPr>
          <w:rFonts w:asciiTheme="majorHAnsi" w:hAnsiTheme="majorHAnsi"/>
          <w:sz w:val="20"/>
          <w:szCs w:val="20"/>
          <w:vertAlign w:val="superscript"/>
          <w:lang w:val="es-CO"/>
        </w:rPr>
        <w:footnoteReference w:id="96"/>
      </w:r>
      <w:r w:rsidRPr="00E86A8F">
        <w:rPr>
          <w:rFonts w:asciiTheme="majorHAnsi" w:hAnsiTheme="majorHAnsi"/>
          <w:sz w:val="20"/>
          <w:szCs w:val="20"/>
          <w:lang w:val="es-CO"/>
        </w:rPr>
        <w:t xml:space="preserve">. </w:t>
      </w:r>
      <w:r w:rsidR="00B748C7" w:rsidRPr="00E86A8F">
        <w:rPr>
          <w:rFonts w:asciiTheme="majorHAnsi" w:hAnsiTheme="majorHAnsi"/>
          <w:sz w:val="20"/>
          <w:szCs w:val="20"/>
          <w:lang w:val="es-CO"/>
        </w:rPr>
        <w:t xml:space="preserve">Asimismo, en el caso </w:t>
      </w:r>
      <w:r w:rsidR="00B748C7" w:rsidRPr="00E86A8F">
        <w:rPr>
          <w:rFonts w:asciiTheme="majorHAnsi" w:hAnsiTheme="majorHAnsi"/>
          <w:i/>
          <w:sz w:val="20"/>
          <w:szCs w:val="20"/>
          <w:lang w:val="es-CO"/>
        </w:rPr>
        <w:t>Usón Ramírez Vs. Venezuela</w:t>
      </w:r>
      <w:r w:rsidR="00B748C7" w:rsidRPr="00E86A8F">
        <w:rPr>
          <w:rFonts w:asciiTheme="majorHAnsi" w:hAnsiTheme="majorHAnsi"/>
          <w:sz w:val="20"/>
          <w:szCs w:val="20"/>
          <w:lang w:val="es-CO"/>
        </w:rPr>
        <w:t xml:space="preserve">, la Corte IDH determinó que un tipo penal referido a la “injuria, ofensa o menosprecio de las Fuerzas Armadas nacionales”, que no establecía claramente los elementos del delito, y no especificaba el dolo requerido del sujeto activo, permitiendo que la subjetividad del ofendido determinara la </w:t>
      </w:r>
      <w:r w:rsidRPr="00E86A8F">
        <w:rPr>
          <w:rFonts w:asciiTheme="majorHAnsi" w:hAnsiTheme="majorHAnsi"/>
          <w:sz w:val="20"/>
          <w:szCs w:val="20"/>
          <w:lang w:val="es-CO"/>
        </w:rPr>
        <w:t>e</w:t>
      </w:r>
      <w:r w:rsidR="00B748C7" w:rsidRPr="00E86A8F">
        <w:rPr>
          <w:rFonts w:asciiTheme="majorHAnsi" w:hAnsiTheme="majorHAnsi"/>
          <w:sz w:val="20"/>
          <w:szCs w:val="20"/>
          <w:lang w:val="es-CO"/>
        </w:rPr>
        <w:t>xistencia de un delito, vulneraba los artículos 9 y 13 de la Convención Americana, en relación con los artículos 1.1 y 2</w:t>
      </w:r>
      <w:r w:rsidR="00B748C7" w:rsidRPr="00E86A8F">
        <w:rPr>
          <w:rStyle w:val="FootnoteReference"/>
          <w:rFonts w:asciiTheme="majorHAnsi" w:hAnsiTheme="majorHAnsi"/>
          <w:sz w:val="20"/>
          <w:szCs w:val="20"/>
          <w:lang w:val="es-CO"/>
        </w:rPr>
        <w:footnoteReference w:id="97"/>
      </w:r>
      <w:r w:rsidR="00B748C7" w:rsidRPr="00E86A8F">
        <w:rPr>
          <w:rFonts w:asciiTheme="majorHAnsi" w:hAnsiTheme="majorHAnsi"/>
          <w:sz w:val="20"/>
          <w:szCs w:val="20"/>
          <w:lang w:val="es-CO"/>
        </w:rPr>
        <w:t xml:space="preserve">. </w:t>
      </w:r>
      <w:r w:rsidR="00B748C7" w:rsidRPr="00E86A8F">
        <w:rPr>
          <w:rFonts w:asciiTheme="majorHAnsi" w:hAnsiTheme="majorHAnsi"/>
          <w:sz w:val="20"/>
          <w:szCs w:val="20"/>
          <w:lang w:val="es-ES"/>
        </w:rPr>
        <w:t>En este sentido, estimó que l</w:t>
      </w:r>
      <w:r w:rsidR="00B748C7" w:rsidRPr="00E86A8F">
        <w:rPr>
          <w:rFonts w:asciiTheme="majorHAnsi" w:hAnsiTheme="majorHAnsi"/>
          <w:sz w:val="20"/>
          <w:szCs w:val="20"/>
          <w:lang w:val="es-CO"/>
        </w:rPr>
        <w:t>a ambigüedad y amplitud de la norma permitía que cualquier denuncia, crítica u objeción a las actuaciones de las autoridades públicas dieran origen a largos procesos penales que en sí mismos suponían costos psicológicos, sociales y económicos que la persona no está en la obligación de soportar dada la naturaleza ambigua de la norma que los ampara</w:t>
      </w:r>
      <w:r w:rsidR="00B748C7" w:rsidRPr="00E86A8F">
        <w:rPr>
          <w:rFonts w:asciiTheme="majorHAnsi" w:hAnsiTheme="majorHAnsi"/>
          <w:sz w:val="20"/>
          <w:szCs w:val="20"/>
          <w:vertAlign w:val="superscript"/>
          <w:lang w:val="es-CO"/>
        </w:rPr>
        <w:footnoteReference w:id="98"/>
      </w:r>
      <w:r w:rsidR="00B748C7" w:rsidRPr="00E86A8F">
        <w:rPr>
          <w:rFonts w:asciiTheme="majorHAnsi" w:hAnsiTheme="majorHAnsi"/>
          <w:sz w:val="20"/>
          <w:szCs w:val="20"/>
          <w:lang w:val="es-CO"/>
        </w:rPr>
        <w:t xml:space="preserve">. </w:t>
      </w:r>
      <w:r w:rsidR="00B748C7" w:rsidRPr="00E86A8F">
        <w:rPr>
          <w:rFonts w:asciiTheme="majorHAnsi" w:hAnsiTheme="majorHAnsi"/>
          <w:sz w:val="20"/>
          <w:szCs w:val="20"/>
          <w:lang w:val="es-ES"/>
        </w:rPr>
        <w:t xml:space="preserve">En consecuencia, reiteró que “[s]i el Estado decide conservar la normativa que </w:t>
      </w:r>
      <w:r w:rsidR="00B748C7" w:rsidRPr="00E86A8F">
        <w:rPr>
          <w:rFonts w:asciiTheme="majorHAnsi" w:hAnsiTheme="majorHAnsi"/>
          <w:sz w:val="20"/>
          <w:szCs w:val="20"/>
          <w:lang w:val="es-ES"/>
        </w:rPr>
        <w:lastRenderedPageBreak/>
        <w:t>sanciona las calumnias e injurias, deberá precisarla de forma tal que no se afecte la libre expresión sobre la actuación de los órganos públicos y sus integrantes”</w:t>
      </w:r>
      <w:r w:rsidR="00B748C7" w:rsidRPr="00E86A8F">
        <w:rPr>
          <w:rFonts w:asciiTheme="majorHAnsi" w:hAnsiTheme="majorHAnsi"/>
          <w:sz w:val="20"/>
          <w:szCs w:val="20"/>
          <w:vertAlign w:val="superscript"/>
        </w:rPr>
        <w:footnoteReference w:id="99"/>
      </w:r>
      <w:r w:rsidR="00B748C7" w:rsidRPr="00E86A8F">
        <w:rPr>
          <w:rFonts w:asciiTheme="majorHAnsi" w:hAnsiTheme="majorHAnsi"/>
          <w:sz w:val="20"/>
          <w:szCs w:val="20"/>
          <w:lang w:val="es-ES"/>
        </w:rPr>
        <w:t>.</w:t>
      </w:r>
    </w:p>
    <w:p w14:paraId="7F64B49E" w14:textId="77777777" w:rsidR="00495B3E" w:rsidRPr="00E86A8F" w:rsidRDefault="00495B3E"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146C8BD9" w14:textId="503DC1C8" w:rsidR="00B748C7" w:rsidRPr="00E86A8F" w:rsidRDefault="00B748C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La CIDH </w:t>
      </w:r>
      <w:r w:rsidR="00495B3E" w:rsidRPr="00E86A8F">
        <w:rPr>
          <w:rFonts w:asciiTheme="majorHAnsi" w:hAnsiTheme="majorHAnsi"/>
          <w:sz w:val="20"/>
          <w:szCs w:val="20"/>
          <w:lang w:val="es-CO"/>
        </w:rPr>
        <w:t>considera que</w:t>
      </w:r>
      <w:r w:rsidRPr="00E86A8F">
        <w:rPr>
          <w:rFonts w:asciiTheme="majorHAnsi" w:hAnsiTheme="majorHAnsi"/>
          <w:sz w:val="20"/>
          <w:szCs w:val="20"/>
          <w:lang w:val="es-CO"/>
        </w:rPr>
        <w:t xml:space="preserve"> </w:t>
      </w:r>
      <w:r w:rsidR="00495B3E" w:rsidRPr="00E86A8F">
        <w:rPr>
          <w:rFonts w:asciiTheme="majorHAnsi" w:hAnsiTheme="majorHAnsi"/>
          <w:sz w:val="20"/>
          <w:szCs w:val="20"/>
          <w:lang w:val="es-CO"/>
        </w:rPr>
        <w:t>los</w:t>
      </w:r>
      <w:r w:rsidRPr="00E86A8F">
        <w:rPr>
          <w:rFonts w:asciiTheme="majorHAnsi" w:hAnsiTheme="majorHAnsi"/>
          <w:sz w:val="20"/>
          <w:szCs w:val="20"/>
          <w:lang w:val="es-CO"/>
        </w:rPr>
        <w:t xml:space="preserve"> artículo</w:t>
      </w:r>
      <w:r w:rsidR="00495B3E" w:rsidRPr="00E86A8F">
        <w:rPr>
          <w:rFonts w:asciiTheme="majorHAnsi" w:hAnsiTheme="majorHAnsi"/>
          <w:sz w:val="20"/>
          <w:szCs w:val="20"/>
          <w:lang w:val="es-CO"/>
        </w:rPr>
        <w:t>s</w:t>
      </w:r>
      <w:r w:rsidRPr="00E86A8F">
        <w:rPr>
          <w:rFonts w:asciiTheme="majorHAnsi" w:hAnsiTheme="majorHAnsi"/>
          <w:sz w:val="20"/>
          <w:szCs w:val="20"/>
          <w:lang w:val="es-CO"/>
        </w:rPr>
        <w:t xml:space="preserve"> del Código Penal</w:t>
      </w:r>
      <w:r w:rsidR="0008172C" w:rsidRPr="00E86A8F">
        <w:rPr>
          <w:rFonts w:asciiTheme="majorHAnsi" w:hAnsiTheme="majorHAnsi"/>
          <w:sz w:val="20"/>
          <w:szCs w:val="20"/>
          <w:lang w:val="es-CO"/>
        </w:rPr>
        <w:t xml:space="preserve"> citados</w:t>
      </w:r>
      <w:r w:rsidRPr="00E86A8F">
        <w:rPr>
          <w:rFonts w:asciiTheme="majorHAnsi" w:hAnsiTheme="majorHAnsi"/>
          <w:sz w:val="20"/>
          <w:szCs w:val="20"/>
          <w:lang w:val="es-CO"/>
        </w:rPr>
        <w:t xml:space="preserve"> </w:t>
      </w:r>
      <w:r w:rsidR="000F2733" w:rsidRPr="00E86A8F">
        <w:rPr>
          <w:rFonts w:asciiTheme="majorHAnsi" w:hAnsiTheme="majorHAnsi"/>
          <w:sz w:val="20"/>
          <w:szCs w:val="20"/>
          <w:lang w:val="es-CO"/>
        </w:rPr>
        <w:t xml:space="preserve">y </w:t>
      </w:r>
      <w:r w:rsidRPr="00E86A8F">
        <w:rPr>
          <w:rFonts w:asciiTheme="majorHAnsi" w:hAnsiTheme="majorHAnsi"/>
          <w:sz w:val="20"/>
          <w:szCs w:val="20"/>
          <w:lang w:val="es-CO"/>
        </w:rPr>
        <w:t>aplicado</w:t>
      </w:r>
      <w:r w:rsidR="000F2733" w:rsidRPr="00E86A8F">
        <w:rPr>
          <w:rFonts w:asciiTheme="majorHAnsi" w:hAnsiTheme="majorHAnsi"/>
          <w:sz w:val="20"/>
          <w:szCs w:val="20"/>
          <w:lang w:val="es-CO"/>
        </w:rPr>
        <w:t>s</w:t>
      </w:r>
      <w:r w:rsidRPr="00E86A8F">
        <w:rPr>
          <w:rFonts w:asciiTheme="majorHAnsi" w:hAnsiTheme="majorHAnsi"/>
          <w:sz w:val="20"/>
          <w:szCs w:val="20"/>
          <w:lang w:val="es-CO"/>
        </w:rPr>
        <w:t xml:space="preserve"> en</w:t>
      </w:r>
      <w:r w:rsidR="000F2733" w:rsidRPr="00E86A8F">
        <w:rPr>
          <w:rFonts w:asciiTheme="majorHAnsi" w:hAnsiTheme="majorHAnsi"/>
          <w:sz w:val="20"/>
          <w:szCs w:val="20"/>
          <w:lang w:val="es-CO"/>
        </w:rPr>
        <w:t xml:space="preserve"> el caso</w:t>
      </w:r>
      <w:r w:rsidRPr="00E86A8F">
        <w:rPr>
          <w:rFonts w:asciiTheme="majorHAnsi" w:hAnsiTheme="majorHAnsi"/>
          <w:sz w:val="20"/>
          <w:szCs w:val="20"/>
          <w:lang w:val="es-CO"/>
        </w:rPr>
        <w:t xml:space="preserve"> </w:t>
      </w:r>
      <w:r w:rsidR="000F2733" w:rsidRPr="00E86A8F">
        <w:rPr>
          <w:rFonts w:asciiTheme="majorHAnsi" w:hAnsiTheme="majorHAnsi"/>
          <w:sz w:val="20"/>
          <w:szCs w:val="20"/>
          <w:lang w:val="es-CO"/>
        </w:rPr>
        <w:t xml:space="preserve">son </w:t>
      </w:r>
      <w:r w:rsidRPr="00E86A8F">
        <w:rPr>
          <w:rFonts w:asciiTheme="majorHAnsi" w:hAnsiTheme="majorHAnsi"/>
          <w:sz w:val="20"/>
          <w:szCs w:val="20"/>
          <w:lang w:val="es-CO"/>
        </w:rPr>
        <w:t>incompatible</w:t>
      </w:r>
      <w:r w:rsidR="000F2733" w:rsidRPr="00E86A8F">
        <w:rPr>
          <w:rFonts w:asciiTheme="majorHAnsi" w:hAnsiTheme="majorHAnsi"/>
          <w:sz w:val="20"/>
          <w:szCs w:val="20"/>
          <w:lang w:val="es-CO"/>
        </w:rPr>
        <w:t>s</w:t>
      </w:r>
      <w:r w:rsidRPr="00E86A8F">
        <w:rPr>
          <w:rFonts w:asciiTheme="majorHAnsi" w:hAnsiTheme="majorHAnsi"/>
          <w:sz w:val="20"/>
          <w:szCs w:val="20"/>
          <w:lang w:val="es-CO"/>
        </w:rPr>
        <w:t xml:space="preserve"> con el principio de estricta legalidad penal y el derecho a la libertad de expresión, porque </w:t>
      </w:r>
      <w:r w:rsidRPr="00E86A8F">
        <w:rPr>
          <w:rFonts w:asciiTheme="majorHAnsi" w:hAnsiTheme="majorHAnsi"/>
          <w:sz w:val="20"/>
          <w:szCs w:val="20"/>
          <w:lang w:val="es-US"/>
        </w:rPr>
        <w:t>no establecía parámetros claros que permitan prever la conducta prohibida y sus elementos</w:t>
      </w:r>
      <w:r w:rsidRPr="00E86A8F">
        <w:rPr>
          <w:rFonts w:asciiTheme="majorHAnsi" w:hAnsiTheme="majorHAnsi"/>
          <w:sz w:val="20"/>
          <w:szCs w:val="20"/>
          <w:lang w:val="es-CO"/>
        </w:rPr>
        <w:t>. E</w:t>
      </w:r>
      <w:r w:rsidR="00655980" w:rsidRPr="00E86A8F">
        <w:rPr>
          <w:rFonts w:asciiTheme="majorHAnsi" w:hAnsiTheme="majorHAnsi"/>
          <w:sz w:val="20"/>
          <w:szCs w:val="20"/>
          <w:lang w:val="es-CO"/>
        </w:rPr>
        <w:t>l artículo 416</w:t>
      </w:r>
      <w:r w:rsidRPr="00E86A8F">
        <w:rPr>
          <w:rFonts w:asciiTheme="majorHAnsi" w:hAnsiTheme="majorHAnsi"/>
          <w:sz w:val="20"/>
          <w:szCs w:val="20"/>
          <w:lang w:val="es-CO"/>
        </w:rPr>
        <w:t xml:space="preserve"> s</w:t>
      </w:r>
      <w:r w:rsidR="005254EC" w:rsidRPr="00E86A8F">
        <w:rPr>
          <w:rFonts w:asciiTheme="majorHAnsi" w:hAnsiTheme="majorHAnsi"/>
          <w:sz w:val="20"/>
          <w:szCs w:val="20"/>
          <w:lang w:val="es-CO"/>
        </w:rPr>
        <w:t>e refiere a toda expresión o acción que deshonre, desacredite o menosprecie</w:t>
      </w:r>
      <w:r w:rsidR="003932CD" w:rsidRPr="00E86A8F">
        <w:rPr>
          <w:rFonts w:asciiTheme="majorHAnsi" w:hAnsiTheme="majorHAnsi"/>
          <w:sz w:val="20"/>
          <w:szCs w:val="20"/>
          <w:lang w:val="es-CO"/>
        </w:rPr>
        <w:t xml:space="preserve">. </w:t>
      </w:r>
      <w:r w:rsidRPr="00E86A8F">
        <w:rPr>
          <w:rFonts w:asciiTheme="majorHAnsi" w:hAnsiTheme="majorHAnsi"/>
          <w:sz w:val="20"/>
          <w:szCs w:val="20"/>
          <w:lang w:val="es-US"/>
        </w:rPr>
        <w:t>Esta</w:t>
      </w:r>
      <w:r w:rsidRPr="00E86A8F">
        <w:rPr>
          <w:rFonts w:asciiTheme="majorHAnsi" w:hAnsiTheme="majorHAnsi"/>
          <w:sz w:val="20"/>
          <w:szCs w:val="20"/>
          <w:lang w:val="es-CO"/>
        </w:rPr>
        <w:t xml:space="preserve"> formulación no establece una frontera clara e inequívoca para determinar cuándo resulta lícito o no denunciar públicamente hechos de</w:t>
      </w:r>
      <w:r w:rsidR="004E0E1A" w:rsidRPr="00E86A8F">
        <w:rPr>
          <w:rFonts w:asciiTheme="majorHAnsi" w:hAnsiTheme="majorHAnsi"/>
          <w:sz w:val="20"/>
          <w:szCs w:val="20"/>
          <w:lang w:val="es-CO"/>
        </w:rPr>
        <w:t xml:space="preserve"> interés público</w:t>
      </w:r>
      <w:r w:rsidRPr="00E86A8F">
        <w:rPr>
          <w:rFonts w:asciiTheme="majorHAnsi" w:hAnsiTheme="majorHAnsi"/>
          <w:sz w:val="20"/>
          <w:szCs w:val="20"/>
          <w:lang w:val="es-CO"/>
        </w:rPr>
        <w:t xml:space="preserve"> o emitir una opinión crítica sobre una autoridad estatal. Por el contrario, la indeterminación de la norma abre camino al uso del derecho penal para generar un ambiente intimidatorio que inhibe el discurso</w:t>
      </w:r>
      <w:r w:rsidR="003D5044" w:rsidRPr="00E86A8F">
        <w:rPr>
          <w:rFonts w:asciiTheme="majorHAnsi" w:hAnsiTheme="majorHAnsi"/>
          <w:sz w:val="20"/>
          <w:szCs w:val="20"/>
          <w:lang w:val="es-CO"/>
        </w:rPr>
        <w:t xml:space="preserve"> </w:t>
      </w:r>
      <w:r w:rsidRPr="00E86A8F">
        <w:rPr>
          <w:rFonts w:asciiTheme="majorHAnsi" w:hAnsiTheme="majorHAnsi"/>
          <w:sz w:val="20"/>
          <w:szCs w:val="20"/>
          <w:lang w:val="es-CO"/>
        </w:rPr>
        <w:t>y el debate sobre episodios de interés público</w:t>
      </w:r>
      <w:r w:rsidRPr="00E86A8F">
        <w:rPr>
          <w:rFonts w:asciiTheme="majorHAnsi" w:hAnsiTheme="majorHAnsi"/>
          <w:sz w:val="20"/>
          <w:szCs w:val="20"/>
          <w:vertAlign w:val="superscript"/>
          <w:lang w:val="es-CO"/>
        </w:rPr>
        <w:footnoteReference w:id="100"/>
      </w:r>
      <w:r w:rsidRPr="00E86A8F">
        <w:rPr>
          <w:rFonts w:asciiTheme="majorHAnsi" w:hAnsiTheme="majorHAnsi"/>
          <w:sz w:val="20"/>
          <w:szCs w:val="20"/>
          <w:lang w:val="es-CO"/>
        </w:rPr>
        <w:t>.</w:t>
      </w:r>
      <w:r w:rsidR="003D5044" w:rsidRPr="00E86A8F">
        <w:rPr>
          <w:rFonts w:asciiTheme="majorHAnsi" w:hAnsiTheme="majorHAnsi"/>
          <w:sz w:val="20"/>
          <w:szCs w:val="20"/>
          <w:lang w:val="es-CO"/>
        </w:rPr>
        <w:t xml:space="preserve"> Asimismo, el artículo 417 que recoge las causales agravantes</w:t>
      </w:r>
      <w:r w:rsidR="00D65874" w:rsidRPr="00E86A8F">
        <w:rPr>
          <w:rFonts w:asciiTheme="majorHAnsi" w:hAnsiTheme="majorHAnsi"/>
          <w:sz w:val="20"/>
          <w:szCs w:val="20"/>
          <w:lang w:val="es-CO"/>
        </w:rPr>
        <w:t>,</w:t>
      </w:r>
      <w:r w:rsidR="003D5044" w:rsidRPr="00E86A8F">
        <w:rPr>
          <w:rFonts w:asciiTheme="majorHAnsi" w:hAnsiTheme="majorHAnsi"/>
          <w:sz w:val="20"/>
          <w:szCs w:val="20"/>
          <w:lang w:val="es-CO"/>
        </w:rPr>
        <w:t xml:space="preserve"> menciona criterios como</w:t>
      </w:r>
      <w:r w:rsidR="00430855" w:rsidRPr="00E86A8F">
        <w:rPr>
          <w:rFonts w:asciiTheme="majorHAnsi" w:hAnsiTheme="majorHAnsi"/>
          <w:sz w:val="20"/>
          <w:szCs w:val="20"/>
          <w:lang w:val="es-CO"/>
        </w:rPr>
        <w:t xml:space="preserve"> la imputación de</w:t>
      </w:r>
      <w:r w:rsidR="00D65874" w:rsidRPr="00E86A8F">
        <w:rPr>
          <w:rFonts w:asciiTheme="majorHAnsi" w:hAnsiTheme="majorHAnsi"/>
          <w:sz w:val="20"/>
          <w:szCs w:val="20"/>
          <w:lang w:val="es-CO"/>
        </w:rPr>
        <w:t xml:space="preserve"> </w:t>
      </w:r>
      <w:r w:rsidR="00430855" w:rsidRPr="00E86A8F">
        <w:rPr>
          <w:rFonts w:asciiTheme="majorHAnsi" w:hAnsiTheme="majorHAnsi"/>
          <w:sz w:val="20"/>
          <w:szCs w:val="20"/>
          <w:lang w:val="es-CO"/>
        </w:rPr>
        <w:t>“</w:t>
      </w:r>
      <w:r w:rsidR="00921438" w:rsidRPr="00E86A8F">
        <w:rPr>
          <w:rFonts w:asciiTheme="majorHAnsi" w:hAnsiTheme="majorHAnsi"/>
          <w:sz w:val="20"/>
          <w:szCs w:val="20"/>
          <w:lang w:val="es-PE"/>
        </w:rPr>
        <w:t>un vicio o falta de moralidad</w:t>
      </w:r>
      <w:r w:rsidR="00430855" w:rsidRPr="00E86A8F">
        <w:rPr>
          <w:rFonts w:asciiTheme="majorHAnsi" w:hAnsiTheme="majorHAnsi"/>
          <w:sz w:val="20"/>
          <w:szCs w:val="20"/>
          <w:lang w:val="es-PE"/>
        </w:rPr>
        <w:t>”,</w:t>
      </w:r>
      <w:r w:rsidR="00921438" w:rsidRPr="00E86A8F">
        <w:rPr>
          <w:rFonts w:asciiTheme="majorHAnsi" w:hAnsiTheme="majorHAnsi"/>
          <w:sz w:val="20"/>
          <w:szCs w:val="20"/>
          <w:lang w:val="es-PE"/>
        </w:rPr>
        <w:t xml:space="preserve"> </w:t>
      </w:r>
      <w:r w:rsidR="00D65874" w:rsidRPr="00E86A8F">
        <w:rPr>
          <w:rFonts w:asciiTheme="majorHAnsi" w:hAnsiTheme="majorHAnsi"/>
          <w:sz w:val="20"/>
          <w:szCs w:val="20"/>
          <w:lang w:val="es-CO"/>
        </w:rPr>
        <w:t>la</w:t>
      </w:r>
      <w:r w:rsidR="003D5044" w:rsidRPr="00E86A8F">
        <w:rPr>
          <w:rFonts w:asciiTheme="majorHAnsi" w:hAnsiTheme="majorHAnsi"/>
          <w:sz w:val="20"/>
          <w:szCs w:val="20"/>
          <w:lang w:val="es-CO"/>
        </w:rPr>
        <w:t xml:space="preserve"> “</w:t>
      </w:r>
      <w:r w:rsidR="00655980" w:rsidRPr="00E86A8F">
        <w:rPr>
          <w:rFonts w:asciiTheme="majorHAnsi" w:hAnsiTheme="majorHAnsi"/>
          <w:sz w:val="20"/>
          <w:szCs w:val="20"/>
          <w:lang w:val="es-PE"/>
        </w:rPr>
        <w:t>naturaleza, ocasión o circunstancias</w:t>
      </w:r>
      <w:r w:rsidR="00BF0EA8" w:rsidRPr="00E86A8F">
        <w:rPr>
          <w:rFonts w:asciiTheme="majorHAnsi" w:hAnsiTheme="majorHAnsi"/>
          <w:sz w:val="20"/>
          <w:szCs w:val="20"/>
          <w:lang w:val="es-PE"/>
        </w:rPr>
        <w:t xml:space="preserve"> [que]</w:t>
      </w:r>
      <w:r w:rsidR="00655980" w:rsidRPr="00E86A8F">
        <w:rPr>
          <w:rFonts w:asciiTheme="majorHAnsi" w:hAnsiTheme="majorHAnsi"/>
          <w:sz w:val="20"/>
          <w:szCs w:val="20"/>
          <w:lang w:val="es-PE"/>
        </w:rPr>
        <w:t xml:space="preserve"> fueren tenidas en el concepto público por afrentosas</w:t>
      </w:r>
      <w:r w:rsidR="00BF0EA8" w:rsidRPr="00E86A8F">
        <w:rPr>
          <w:rFonts w:asciiTheme="majorHAnsi" w:hAnsiTheme="majorHAnsi"/>
          <w:sz w:val="20"/>
          <w:szCs w:val="20"/>
          <w:lang w:val="es-PE"/>
        </w:rPr>
        <w:t>”, o “</w:t>
      </w:r>
      <w:r w:rsidR="00655980" w:rsidRPr="00E86A8F">
        <w:rPr>
          <w:rFonts w:asciiTheme="majorHAnsi" w:hAnsiTheme="majorHAnsi"/>
          <w:sz w:val="20"/>
          <w:szCs w:val="20"/>
          <w:lang w:val="es-PE"/>
        </w:rPr>
        <w:t>el estado, dignidad y circunstancias del ofendido y del ofensor”</w:t>
      </w:r>
      <w:r w:rsidR="00404ABE" w:rsidRPr="00E86A8F">
        <w:rPr>
          <w:rFonts w:asciiTheme="majorHAnsi" w:hAnsiTheme="majorHAnsi"/>
          <w:sz w:val="20"/>
          <w:szCs w:val="20"/>
          <w:lang w:val="es-PE"/>
        </w:rPr>
        <w:t xml:space="preserve">, para determinar si una injuria es o no grave. </w:t>
      </w:r>
      <w:r w:rsidRPr="00E86A8F">
        <w:rPr>
          <w:rFonts w:asciiTheme="majorHAnsi" w:hAnsiTheme="majorHAnsi"/>
          <w:sz w:val="20"/>
          <w:szCs w:val="20"/>
          <w:lang w:val="es-CO"/>
        </w:rPr>
        <w:t>Es decir</w:t>
      </w:r>
      <w:r w:rsidR="001841F7" w:rsidRPr="00E86A8F">
        <w:rPr>
          <w:rFonts w:asciiTheme="majorHAnsi" w:hAnsiTheme="majorHAnsi"/>
          <w:sz w:val="20"/>
          <w:szCs w:val="20"/>
          <w:lang w:val="es-CO"/>
        </w:rPr>
        <w:t xml:space="preserve"> que</w:t>
      </w:r>
      <w:r w:rsidRPr="00E86A8F">
        <w:rPr>
          <w:rFonts w:asciiTheme="majorHAnsi" w:hAnsiTheme="majorHAnsi"/>
          <w:sz w:val="20"/>
          <w:szCs w:val="20"/>
          <w:lang w:val="es-CO"/>
        </w:rPr>
        <w:t>,</w:t>
      </w:r>
      <w:r w:rsidR="00003079" w:rsidRPr="00E86A8F">
        <w:rPr>
          <w:rFonts w:asciiTheme="majorHAnsi" w:hAnsiTheme="majorHAnsi"/>
          <w:sz w:val="20"/>
          <w:szCs w:val="20"/>
          <w:lang w:val="es-CO"/>
        </w:rPr>
        <w:t xml:space="preserve"> establece criterios abstractos, incluso dejados </w:t>
      </w:r>
      <w:r w:rsidR="00542BF0" w:rsidRPr="00E86A8F">
        <w:rPr>
          <w:rFonts w:asciiTheme="majorHAnsi" w:hAnsiTheme="majorHAnsi"/>
          <w:sz w:val="20"/>
          <w:szCs w:val="20"/>
          <w:lang w:val="es-CO"/>
        </w:rPr>
        <w:t xml:space="preserve">al arbitrio de las consideraciones </w:t>
      </w:r>
      <w:r w:rsidR="0040304D" w:rsidRPr="00E86A8F">
        <w:rPr>
          <w:rFonts w:asciiTheme="majorHAnsi" w:hAnsiTheme="majorHAnsi"/>
          <w:sz w:val="20"/>
          <w:szCs w:val="20"/>
          <w:lang w:val="es-CO"/>
        </w:rPr>
        <w:t>del ofendido y del ofensor, o de la opinión pública. Además,</w:t>
      </w:r>
      <w:r w:rsidRPr="00E86A8F">
        <w:rPr>
          <w:rFonts w:asciiTheme="majorHAnsi" w:hAnsiTheme="majorHAnsi"/>
          <w:sz w:val="20"/>
          <w:szCs w:val="20"/>
          <w:lang w:val="es-CO"/>
        </w:rPr>
        <w:t xml:space="preserve"> </w:t>
      </w:r>
      <w:r w:rsidR="0040304D" w:rsidRPr="00E86A8F">
        <w:rPr>
          <w:rFonts w:asciiTheme="majorHAnsi" w:hAnsiTheme="majorHAnsi"/>
          <w:sz w:val="20"/>
          <w:szCs w:val="20"/>
          <w:lang w:val="es-CO"/>
        </w:rPr>
        <w:t xml:space="preserve">el artículo refiere </w:t>
      </w:r>
      <w:r w:rsidRPr="00E86A8F">
        <w:rPr>
          <w:rFonts w:asciiTheme="majorHAnsi" w:hAnsiTheme="majorHAnsi"/>
          <w:sz w:val="20"/>
          <w:szCs w:val="20"/>
          <w:lang w:val="es-CO"/>
        </w:rPr>
        <w:t xml:space="preserve">a </w:t>
      </w:r>
      <w:r w:rsidR="0040304D" w:rsidRPr="00E86A8F">
        <w:rPr>
          <w:rFonts w:asciiTheme="majorHAnsi" w:hAnsiTheme="majorHAnsi"/>
          <w:sz w:val="20"/>
          <w:szCs w:val="20"/>
          <w:lang w:val="es-CO"/>
        </w:rPr>
        <w:t>criterios</w:t>
      </w:r>
      <w:r w:rsidRPr="00E86A8F">
        <w:rPr>
          <w:rFonts w:asciiTheme="majorHAnsi" w:hAnsiTheme="majorHAnsi"/>
          <w:sz w:val="20"/>
          <w:szCs w:val="20"/>
          <w:lang w:val="es-CO"/>
        </w:rPr>
        <w:t xml:space="preserve"> que sólo podrán ser definidos por el juez </w:t>
      </w:r>
      <w:r w:rsidRPr="00E86A8F">
        <w:rPr>
          <w:rFonts w:asciiTheme="majorHAnsi" w:hAnsiTheme="majorHAnsi"/>
          <w:i/>
          <w:sz w:val="20"/>
          <w:szCs w:val="20"/>
          <w:lang w:val="es-CO"/>
        </w:rPr>
        <w:t>ex post facto</w:t>
      </w:r>
      <w:r w:rsidRPr="00E86A8F">
        <w:rPr>
          <w:rFonts w:asciiTheme="majorHAnsi" w:hAnsiTheme="majorHAnsi"/>
          <w:sz w:val="20"/>
          <w:szCs w:val="20"/>
          <w:lang w:val="es-CO"/>
        </w:rPr>
        <w:t xml:space="preserve"> y</w:t>
      </w:r>
      <w:r w:rsidRPr="00E86A8F">
        <w:rPr>
          <w:rFonts w:asciiTheme="majorHAnsi" w:hAnsiTheme="majorHAnsi"/>
          <w:i/>
          <w:sz w:val="20"/>
          <w:szCs w:val="20"/>
          <w:lang w:val="es-CO"/>
        </w:rPr>
        <w:t xml:space="preserve"> </w:t>
      </w:r>
      <w:r w:rsidRPr="00E86A8F">
        <w:rPr>
          <w:rFonts w:asciiTheme="majorHAnsi" w:hAnsiTheme="majorHAnsi"/>
          <w:sz w:val="20"/>
          <w:szCs w:val="20"/>
          <w:lang w:val="es-US"/>
        </w:rPr>
        <w:t>no es capaz de orientar la conducta de los individuos, frente a la grave consecuencia que significa la privación de la libertad personal</w:t>
      </w:r>
      <w:r w:rsidR="00BD62C3" w:rsidRPr="00E86A8F">
        <w:rPr>
          <w:rFonts w:asciiTheme="majorHAnsi" w:hAnsiTheme="majorHAnsi"/>
          <w:sz w:val="20"/>
          <w:szCs w:val="20"/>
          <w:lang w:val="es-US"/>
        </w:rPr>
        <w:t>.</w:t>
      </w:r>
    </w:p>
    <w:p w14:paraId="349AC23B" w14:textId="77777777" w:rsidR="00DA56FD" w:rsidRPr="00E86A8F" w:rsidRDefault="00DA56FD"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318F6641" w14:textId="3EA035B5" w:rsidR="00F93F4A" w:rsidRPr="00E86A8F" w:rsidRDefault="00BD62C3"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US"/>
        </w:rPr>
        <w:t>En el caso que nos ocu</w:t>
      </w:r>
      <w:r w:rsidR="003A11B5" w:rsidRPr="00E86A8F">
        <w:rPr>
          <w:rFonts w:asciiTheme="majorHAnsi" w:hAnsiTheme="majorHAnsi"/>
          <w:sz w:val="20"/>
          <w:szCs w:val="20"/>
          <w:lang w:val="es-US"/>
        </w:rPr>
        <w:t xml:space="preserve">pa, las autoridades judiciales </w:t>
      </w:r>
      <w:r w:rsidR="00C733FE" w:rsidRPr="00E86A8F">
        <w:rPr>
          <w:rFonts w:asciiTheme="majorHAnsi" w:hAnsiTheme="majorHAnsi"/>
          <w:sz w:val="20"/>
          <w:szCs w:val="20"/>
          <w:lang w:val="es-US"/>
        </w:rPr>
        <w:t>concluyeron que</w:t>
      </w:r>
      <w:r w:rsidR="00D1519B" w:rsidRPr="00E86A8F">
        <w:rPr>
          <w:rFonts w:asciiTheme="majorHAnsi" w:hAnsiTheme="majorHAnsi"/>
          <w:sz w:val="20"/>
          <w:szCs w:val="20"/>
          <w:lang w:val="es-US"/>
        </w:rPr>
        <w:t xml:space="preserve"> la gravedad de la injuria se basó en el hecho de que el </w:t>
      </w:r>
      <w:r w:rsidR="00486700" w:rsidRPr="00E86A8F">
        <w:rPr>
          <w:rFonts w:asciiTheme="majorHAnsi" w:hAnsiTheme="majorHAnsi"/>
          <w:sz w:val="20"/>
          <w:szCs w:val="20"/>
          <w:lang w:val="es-US"/>
        </w:rPr>
        <w:t>senador</w:t>
      </w:r>
      <w:r w:rsidR="00D1519B" w:rsidRPr="00E86A8F">
        <w:rPr>
          <w:rFonts w:asciiTheme="majorHAnsi" w:hAnsiTheme="majorHAnsi"/>
          <w:sz w:val="20"/>
          <w:szCs w:val="20"/>
          <w:lang w:val="es-US"/>
        </w:rPr>
        <w:t xml:space="preserve"> fue involucrado </w:t>
      </w:r>
      <w:r w:rsidR="00DA56FD" w:rsidRPr="00E86A8F">
        <w:rPr>
          <w:rFonts w:asciiTheme="majorHAnsi" w:hAnsiTheme="majorHAnsi"/>
          <w:sz w:val="20"/>
          <w:szCs w:val="20"/>
          <w:lang w:val="es-US"/>
        </w:rPr>
        <w:t>en ejercer</w:t>
      </w:r>
      <w:r w:rsidR="004753DD" w:rsidRPr="00E86A8F">
        <w:rPr>
          <w:rFonts w:asciiTheme="majorHAnsi" w:hAnsiTheme="majorHAnsi"/>
          <w:sz w:val="20"/>
          <w:szCs w:val="20"/>
          <w:lang w:val="es-US"/>
        </w:rPr>
        <w:t xml:space="preserve"> presiones políticas </w:t>
      </w:r>
      <w:r w:rsidR="00DA56FD" w:rsidRPr="00E86A8F">
        <w:rPr>
          <w:rFonts w:asciiTheme="majorHAnsi" w:hAnsiTheme="majorHAnsi"/>
          <w:sz w:val="20"/>
          <w:szCs w:val="20"/>
          <w:lang w:val="es-US"/>
        </w:rPr>
        <w:t>para permitir</w:t>
      </w:r>
      <w:r w:rsidR="004753DD" w:rsidRPr="00E86A8F">
        <w:rPr>
          <w:rFonts w:asciiTheme="majorHAnsi" w:hAnsiTheme="majorHAnsi"/>
          <w:sz w:val="20"/>
          <w:szCs w:val="20"/>
          <w:lang w:val="es-US"/>
        </w:rPr>
        <w:t xml:space="preserve"> la tala ilegal del alerce, </w:t>
      </w:r>
      <w:r w:rsidR="00BD71E0" w:rsidRPr="00E86A8F">
        <w:rPr>
          <w:rFonts w:asciiTheme="majorHAnsi" w:hAnsiTheme="majorHAnsi"/>
          <w:sz w:val="20"/>
          <w:szCs w:val="20"/>
          <w:lang w:val="es-US"/>
        </w:rPr>
        <w:t xml:space="preserve">actuando el señor Baraona con dolo, a sabiendas de que sus expresiones </w:t>
      </w:r>
      <w:r w:rsidR="003E5ECD" w:rsidRPr="00E86A8F">
        <w:rPr>
          <w:rFonts w:asciiTheme="majorHAnsi" w:hAnsiTheme="majorHAnsi"/>
          <w:sz w:val="20"/>
          <w:szCs w:val="20"/>
          <w:lang w:val="es-US"/>
        </w:rPr>
        <w:t xml:space="preserve">tenían un carácter deshonroso, a pesar </w:t>
      </w:r>
      <w:r w:rsidR="00F93F4A" w:rsidRPr="00E86A8F">
        <w:rPr>
          <w:rFonts w:asciiTheme="majorHAnsi" w:hAnsiTheme="majorHAnsi"/>
          <w:sz w:val="20"/>
          <w:szCs w:val="20"/>
          <w:lang w:val="es-US"/>
        </w:rPr>
        <w:t>que el contenido de lo informado se basaba en conjeturas y no estaba dotado de la “seriedad y razonabilidad necesarias”.</w:t>
      </w:r>
      <w:r w:rsidR="00CD4B11" w:rsidRPr="00E86A8F">
        <w:rPr>
          <w:rFonts w:asciiTheme="majorHAnsi" w:hAnsiTheme="majorHAnsi"/>
          <w:sz w:val="20"/>
          <w:szCs w:val="20"/>
          <w:lang w:val="es-US"/>
        </w:rPr>
        <w:t xml:space="preserve"> </w:t>
      </w:r>
    </w:p>
    <w:p w14:paraId="52AEE40D" w14:textId="77777777" w:rsidR="005B7129" w:rsidRPr="00E86A8F" w:rsidRDefault="005B7129"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3BC5F5FA" w14:textId="77777777" w:rsidR="00EC7E70" w:rsidRPr="00E86A8F" w:rsidRDefault="00B748C7" w:rsidP="00EC7E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US"/>
        </w:rPr>
        <w:t>En razón de lo expuesto, la Comisión concluye que</w:t>
      </w:r>
      <w:r w:rsidR="00C279C3" w:rsidRPr="00E86A8F">
        <w:rPr>
          <w:rFonts w:asciiTheme="majorHAnsi" w:hAnsiTheme="majorHAnsi"/>
          <w:sz w:val="20"/>
          <w:szCs w:val="20"/>
          <w:lang w:val="es-US"/>
        </w:rPr>
        <w:t xml:space="preserve">, si bien las normas sobre injurias estaban </w:t>
      </w:r>
      <w:r w:rsidR="00AC23CA" w:rsidRPr="00E86A8F">
        <w:rPr>
          <w:rFonts w:asciiTheme="majorHAnsi" w:hAnsiTheme="majorHAnsi"/>
          <w:sz w:val="20"/>
          <w:szCs w:val="20"/>
          <w:lang w:val="es-US"/>
        </w:rPr>
        <w:t>establecidas de manera previa en una ley,</w:t>
      </w:r>
      <w:r w:rsidRPr="00E86A8F">
        <w:rPr>
          <w:rFonts w:asciiTheme="majorHAnsi" w:hAnsiTheme="majorHAnsi"/>
          <w:sz w:val="20"/>
          <w:szCs w:val="20"/>
          <w:lang w:val="es-US"/>
        </w:rPr>
        <w:t xml:space="preserve"> la ambigüedad y amplitud de</w:t>
      </w:r>
      <w:r w:rsidR="005B7129" w:rsidRPr="00E86A8F">
        <w:rPr>
          <w:rFonts w:asciiTheme="majorHAnsi" w:hAnsiTheme="majorHAnsi"/>
          <w:sz w:val="20"/>
          <w:szCs w:val="20"/>
          <w:lang w:val="es-US"/>
        </w:rPr>
        <w:t xml:space="preserve"> los</w:t>
      </w:r>
      <w:r w:rsidRPr="00E86A8F">
        <w:rPr>
          <w:rFonts w:asciiTheme="majorHAnsi" w:hAnsiTheme="majorHAnsi"/>
          <w:sz w:val="20"/>
          <w:szCs w:val="20"/>
          <w:lang w:val="es-US"/>
        </w:rPr>
        <w:t xml:space="preserve"> artículo</w:t>
      </w:r>
      <w:r w:rsidR="005B7129" w:rsidRPr="00E86A8F">
        <w:rPr>
          <w:rFonts w:asciiTheme="majorHAnsi" w:hAnsiTheme="majorHAnsi"/>
          <w:sz w:val="20"/>
          <w:szCs w:val="20"/>
          <w:lang w:val="es-US"/>
        </w:rPr>
        <w:t>s 416 y 417</w:t>
      </w:r>
      <w:r w:rsidR="00C279C3" w:rsidRPr="00E86A8F">
        <w:rPr>
          <w:rFonts w:asciiTheme="majorHAnsi" w:hAnsiTheme="majorHAnsi"/>
          <w:sz w:val="20"/>
          <w:szCs w:val="20"/>
          <w:lang w:val="es-US"/>
        </w:rPr>
        <w:t xml:space="preserve">, incisos 3 a 5, </w:t>
      </w:r>
      <w:r w:rsidRPr="00E86A8F">
        <w:rPr>
          <w:rFonts w:asciiTheme="majorHAnsi" w:hAnsiTheme="majorHAnsi"/>
          <w:sz w:val="20"/>
          <w:szCs w:val="20"/>
          <w:lang w:val="es-US"/>
        </w:rPr>
        <w:t>del Código Penal, implica</w:t>
      </w:r>
      <w:r w:rsidR="00E42F86" w:rsidRPr="00E86A8F">
        <w:rPr>
          <w:rFonts w:asciiTheme="majorHAnsi" w:hAnsiTheme="majorHAnsi"/>
          <w:sz w:val="20"/>
          <w:szCs w:val="20"/>
          <w:lang w:val="es-US"/>
        </w:rPr>
        <w:t>n</w:t>
      </w:r>
      <w:r w:rsidRPr="00E86A8F">
        <w:rPr>
          <w:rFonts w:asciiTheme="majorHAnsi" w:hAnsiTheme="majorHAnsi"/>
          <w:sz w:val="20"/>
          <w:szCs w:val="20"/>
          <w:lang w:val="es-US"/>
        </w:rPr>
        <w:t xml:space="preserve"> un incumplimiento del requisito de estricta legalidad en la imposición de restricciones de los derechos a la libertad de expresión de</w:t>
      </w:r>
      <w:r w:rsidR="00E42F86" w:rsidRPr="00E86A8F">
        <w:rPr>
          <w:rFonts w:asciiTheme="majorHAnsi" w:hAnsiTheme="majorHAnsi"/>
          <w:sz w:val="20"/>
          <w:szCs w:val="20"/>
          <w:lang w:val="es-US"/>
        </w:rPr>
        <w:t xml:space="preserve"> Carlos Baraona Bray.</w:t>
      </w:r>
      <w:r w:rsidRPr="00E86A8F">
        <w:rPr>
          <w:rFonts w:asciiTheme="majorHAnsi" w:hAnsiTheme="majorHAnsi"/>
          <w:sz w:val="20"/>
          <w:szCs w:val="20"/>
          <w:lang w:val="es-US"/>
        </w:rPr>
        <w:t xml:space="preserve"> </w:t>
      </w:r>
      <w:r w:rsidR="00E42F86" w:rsidRPr="00E86A8F">
        <w:rPr>
          <w:rFonts w:asciiTheme="majorHAnsi" w:hAnsiTheme="majorHAnsi"/>
          <w:sz w:val="20"/>
          <w:szCs w:val="20"/>
          <w:lang w:val="es-US"/>
        </w:rPr>
        <w:t>Por ello, el Estado incurrió en</w:t>
      </w:r>
      <w:r w:rsidR="00D10319" w:rsidRPr="00E86A8F">
        <w:rPr>
          <w:rFonts w:asciiTheme="majorHAnsi" w:hAnsiTheme="majorHAnsi"/>
          <w:sz w:val="20"/>
          <w:szCs w:val="20"/>
          <w:lang w:val="es-US"/>
        </w:rPr>
        <w:t xml:space="preserve"> l</w:t>
      </w:r>
      <w:r w:rsidRPr="00E86A8F">
        <w:rPr>
          <w:rFonts w:asciiTheme="majorHAnsi" w:hAnsiTheme="majorHAnsi"/>
          <w:sz w:val="20"/>
          <w:szCs w:val="20"/>
          <w:lang w:val="es-US"/>
        </w:rPr>
        <w:t xml:space="preserve">a violación del artículo 13.1 y 13.2 de la Convención Americana, en relación con el artículo 1.1 de la misma. </w:t>
      </w:r>
      <w:r w:rsidRPr="00E86A8F">
        <w:rPr>
          <w:rFonts w:asciiTheme="majorHAnsi" w:hAnsiTheme="majorHAnsi"/>
          <w:sz w:val="20"/>
          <w:szCs w:val="20"/>
          <w:lang w:val="es-ES"/>
        </w:rPr>
        <w:t>Del mismo modo, al haberse producido esta violación como consecuencia de la aplicación de una ley que no cumple con los requisitos de estricta legalidad y, e</w:t>
      </w:r>
      <w:r w:rsidRPr="00E86A8F">
        <w:rPr>
          <w:rFonts w:asciiTheme="majorHAnsi" w:hAnsiTheme="majorHAnsi"/>
          <w:sz w:val="20"/>
          <w:szCs w:val="20"/>
          <w:lang w:val="es-ES_tradnl"/>
        </w:rPr>
        <w:t xml:space="preserve">n ejercicio de su competencia </w:t>
      </w:r>
      <w:r w:rsidRPr="00E86A8F">
        <w:rPr>
          <w:rFonts w:asciiTheme="majorHAnsi" w:hAnsiTheme="majorHAnsi"/>
          <w:i/>
          <w:sz w:val="20"/>
          <w:szCs w:val="20"/>
          <w:lang w:val="es-ES_tradnl"/>
        </w:rPr>
        <w:t xml:space="preserve">iura novit curia </w:t>
      </w:r>
      <w:r w:rsidRPr="00E86A8F">
        <w:rPr>
          <w:rFonts w:asciiTheme="majorHAnsi" w:hAnsiTheme="majorHAnsi"/>
          <w:sz w:val="20"/>
          <w:szCs w:val="20"/>
          <w:lang w:val="es-ES_tradnl"/>
        </w:rPr>
        <w:t>la Comisión concluye que</w:t>
      </w:r>
      <w:r w:rsidRPr="00E86A8F">
        <w:rPr>
          <w:rFonts w:asciiTheme="majorHAnsi" w:hAnsiTheme="majorHAnsi"/>
          <w:sz w:val="20"/>
          <w:szCs w:val="20"/>
          <w:lang w:val="es-ES"/>
        </w:rPr>
        <w:t xml:space="preserve"> el Estado también incumplió el artículo 9 y 2 de la Convención.</w:t>
      </w:r>
    </w:p>
    <w:p w14:paraId="541A0C60" w14:textId="77777777" w:rsidR="00EC7E70" w:rsidRPr="00E86A8F" w:rsidRDefault="00EC7E70" w:rsidP="00EC7E70">
      <w:pPr>
        <w:pStyle w:val="ListParagraph"/>
        <w:rPr>
          <w:rFonts w:asciiTheme="majorHAnsi" w:hAnsiTheme="majorHAnsi"/>
          <w:sz w:val="20"/>
          <w:szCs w:val="20"/>
          <w:lang w:val="es-CO"/>
        </w:rPr>
      </w:pPr>
    </w:p>
    <w:p w14:paraId="73A825EE" w14:textId="347A54F5" w:rsidR="00EC7E70" w:rsidRPr="00E86A8F" w:rsidRDefault="00EC7E70" w:rsidP="00EC7E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Sin perjuicio de lo anterior, </w:t>
      </w:r>
      <w:r w:rsidRPr="00E86A8F">
        <w:rPr>
          <w:rFonts w:asciiTheme="majorHAnsi" w:hAnsiTheme="majorHAnsi"/>
          <w:sz w:val="20"/>
          <w:szCs w:val="20"/>
          <w:lang w:val="es-US"/>
        </w:rPr>
        <w:t xml:space="preserve">la Comisión considera procedente analizar si la restricción en este caso buscó satisfacer un objetivo legítimo e imperioso del Estado y si fue estrictamente necesaria para el logro de ese fin. Ello para efectos de discutir de manera sistemática y completa las posibles afectaciones del derecho a la libertad de expresión que se presenta en el caso objeto de estudio. </w:t>
      </w:r>
    </w:p>
    <w:p w14:paraId="0E3E5479" w14:textId="77777777" w:rsidR="00D10319" w:rsidRPr="00E86A8F" w:rsidRDefault="00D10319"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4A8A669" w14:textId="68ECC346" w:rsidR="00B748C7" w:rsidRPr="00E86A8F" w:rsidRDefault="00B748C7" w:rsidP="00073BB6">
      <w:pPr>
        <w:pStyle w:val="Heading5"/>
        <w:ind w:left="0" w:firstLine="0"/>
        <w:jc w:val="both"/>
        <w:rPr>
          <w:rFonts w:asciiTheme="majorHAnsi" w:hAnsiTheme="majorHAnsi"/>
          <w:b/>
        </w:rPr>
      </w:pPr>
      <w:r w:rsidRPr="00E86A8F">
        <w:rPr>
          <w:rFonts w:asciiTheme="majorHAnsi" w:hAnsiTheme="majorHAnsi"/>
          <w:b/>
        </w:rPr>
        <w:t>Finalidad legítima de la restricción</w:t>
      </w:r>
    </w:p>
    <w:p w14:paraId="5E0C5647" w14:textId="77777777" w:rsidR="00D10319" w:rsidRPr="00E86A8F" w:rsidRDefault="00D10319" w:rsidP="00073BB6">
      <w:pPr>
        <w:jc w:val="both"/>
        <w:rPr>
          <w:rFonts w:asciiTheme="majorHAnsi" w:hAnsiTheme="majorHAnsi"/>
          <w:sz w:val="20"/>
          <w:szCs w:val="20"/>
          <w:lang w:val="es-PE" w:eastAsia="es-ES"/>
        </w:rPr>
      </w:pPr>
    </w:p>
    <w:p w14:paraId="3A74B1B1" w14:textId="29D1A6EC" w:rsidR="00BE574C" w:rsidRPr="00E86A8F" w:rsidRDefault="00B748C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Arial"/>
          <w:sz w:val="20"/>
          <w:szCs w:val="20"/>
          <w:lang w:val="es-CO"/>
        </w:rPr>
      </w:pPr>
      <w:r w:rsidRPr="00E86A8F">
        <w:rPr>
          <w:rFonts w:asciiTheme="majorHAnsi" w:hAnsiTheme="majorHAnsi"/>
          <w:sz w:val="20"/>
          <w:szCs w:val="20"/>
          <w:lang w:val="es-US"/>
        </w:rPr>
        <w:t>Las limitaciones a la libertad de expresión impuestas también deben perseguir el logro de</w:t>
      </w:r>
      <w:r w:rsidRPr="00E86A8F">
        <w:rPr>
          <w:rFonts w:asciiTheme="majorHAnsi" w:hAnsiTheme="majorHAnsi"/>
          <w:sz w:val="20"/>
          <w:szCs w:val="20"/>
          <w:lang w:val="es-CO"/>
        </w:rPr>
        <w:t xml:space="preserve"> alguno de los objetivos imperiosos establecidos taxativamente en la Convención Americana. </w:t>
      </w:r>
      <w:r w:rsidRPr="00E86A8F">
        <w:rPr>
          <w:rFonts w:asciiTheme="majorHAnsi" w:hAnsiTheme="majorHAnsi" w:cs="Arial"/>
          <w:sz w:val="20"/>
          <w:szCs w:val="20"/>
          <w:lang w:val="es-CO"/>
        </w:rPr>
        <w:t>Según el artículo 13.2 de la Convención Americana, la protección de la honra y reputación de los demás puede ser un motivo para fijar responsabilidades ulteriores por el ejercicio abusivo de la libertad de expresión</w:t>
      </w:r>
      <w:r w:rsidRPr="00E86A8F">
        <w:rPr>
          <w:rStyle w:val="FootnoteReference"/>
          <w:rFonts w:asciiTheme="majorHAnsi" w:hAnsiTheme="majorHAnsi" w:cs="Arial"/>
          <w:sz w:val="20"/>
          <w:szCs w:val="20"/>
          <w:lang w:val="es-CO"/>
        </w:rPr>
        <w:footnoteReference w:id="101"/>
      </w:r>
      <w:r w:rsidRPr="00E86A8F">
        <w:rPr>
          <w:rFonts w:asciiTheme="majorHAnsi" w:hAnsiTheme="majorHAnsi" w:cs="Arial"/>
          <w:sz w:val="20"/>
          <w:szCs w:val="20"/>
          <w:lang w:val="es-CO"/>
        </w:rPr>
        <w:t>, lo que implica que quien se considere vulnerado en su reputación, pueda recurrir a los medios judiciales del Estado disponibles para su protección</w:t>
      </w:r>
      <w:r w:rsidRPr="00E86A8F">
        <w:rPr>
          <w:rStyle w:val="FootnoteReference"/>
          <w:rFonts w:asciiTheme="majorHAnsi" w:hAnsiTheme="majorHAnsi" w:cs="Arial"/>
          <w:sz w:val="20"/>
          <w:szCs w:val="20"/>
          <w:lang w:val="es-CO"/>
        </w:rPr>
        <w:footnoteReference w:id="102"/>
      </w:r>
      <w:r w:rsidRPr="00E86A8F">
        <w:rPr>
          <w:rFonts w:asciiTheme="majorHAnsi" w:hAnsiTheme="majorHAnsi" w:cs="Arial"/>
          <w:sz w:val="20"/>
          <w:szCs w:val="20"/>
          <w:lang w:val="es-CO"/>
        </w:rPr>
        <w:t xml:space="preserve">. </w:t>
      </w:r>
    </w:p>
    <w:p w14:paraId="6AFD7A7B" w14:textId="77777777" w:rsidR="00BE574C" w:rsidRPr="00E86A8F" w:rsidRDefault="00BE574C"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CO"/>
        </w:rPr>
      </w:pPr>
    </w:p>
    <w:p w14:paraId="1A6E2C68" w14:textId="6475B74E" w:rsidR="00B748C7" w:rsidRPr="00E86A8F" w:rsidRDefault="00B748C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Arial"/>
          <w:sz w:val="20"/>
          <w:szCs w:val="20"/>
          <w:lang w:val="es-CO"/>
        </w:rPr>
      </w:pPr>
      <w:r w:rsidRPr="00E86A8F">
        <w:rPr>
          <w:rFonts w:asciiTheme="majorHAnsi" w:hAnsiTheme="majorHAnsi"/>
          <w:sz w:val="20"/>
          <w:szCs w:val="20"/>
          <w:lang w:val="es-CO"/>
        </w:rPr>
        <w:t>En el presente caso, la CIDH observa que el delito de "injuria</w:t>
      </w:r>
      <w:r w:rsidR="00BE574C" w:rsidRPr="00E86A8F">
        <w:rPr>
          <w:rFonts w:asciiTheme="majorHAnsi" w:hAnsiTheme="majorHAnsi"/>
          <w:sz w:val="20"/>
          <w:szCs w:val="20"/>
          <w:lang w:val="es-CO"/>
        </w:rPr>
        <w:t>s graves”</w:t>
      </w:r>
      <w:r w:rsidRPr="00E86A8F">
        <w:rPr>
          <w:rFonts w:asciiTheme="majorHAnsi" w:hAnsiTheme="majorHAnsi"/>
          <w:sz w:val="20"/>
          <w:szCs w:val="20"/>
          <w:lang w:val="es-CO"/>
        </w:rPr>
        <w:t xml:space="preserve">, por el que se condenó al </w:t>
      </w:r>
      <w:r w:rsidR="00BE574C" w:rsidRPr="00E86A8F">
        <w:rPr>
          <w:rFonts w:asciiTheme="majorHAnsi" w:hAnsiTheme="majorHAnsi"/>
          <w:sz w:val="20"/>
          <w:szCs w:val="20"/>
          <w:lang w:val="es-CO"/>
        </w:rPr>
        <w:t>abogado Carlos Baraona Bray</w:t>
      </w:r>
      <w:r w:rsidRPr="00E86A8F">
        <w:rPr>
          <w:rFonts w:asciiTheme="majorHAnsi" w:hAnsiTheme="majorHAnsi"/>
          <w:sz w:val="20"/>
          <w:szCs w:val="20"/>
          <w:lang w:val="es-CO"/>
        </w:rPr>
        <w:t xml:space="preserve"> buscó proteger la reputación y la honra del </w:t>
      </w:r>
      <w:r w:rsidR="00486700" w:rsidRPr="00E86A8F">
        <w:rPr>
          <w:rFonts w:asciiTheme="majorHAnsi" w:hAnsiTheme="majorHAnsi"/>
          <w:sz w:val="20"/>
          <w:szCs w:val="20"/>
          <w:lang w:val="es-CO"/>
        </w:rPr>
        <w:t>senador</w:t>
      </w:r>
      <w:r w:rsidR="00610CE7" w:rsidRPr="00E86A8F">
        <w:rPr>
          <w:rFonts w:asciiTheme="majorHAnsi" w:hAnsiTheme="majorHAnsi"/>
          <w:sz w:val="20"/>
          <w:szCs w:val="20"/>
          <w:lang w:val="es-CO"/>
        </w:rPr>
        <w:t xml:space="preserve"> Sergio Páez, por lo </w:t>
      </w:r>
      <w:r w:rsidRPr="00E86A8F">
        <w:rPr>
          <w:rFonts w:asciiTheme="majorHAnsi" w:hAnsiTheme="majorHAnsi"/>
          <w:sz w:val="20"/>
          <w:szCs w:val="20"/>
          <w:lang w:val="es-CO"/>
        </w:rPr>
        <w:t xml:space="preserve">que el segundo elemento del </w:t>
      </w:r>
      <w:r w:rsidRPr="00E86A8F">
        <w:rPr>
          <w:rFonts w:asciiTheme="majorHAnsi" w:hAnsiTheme="majorHAnsi"/>
          <w:i/>
          <w:sz w:val="20"/>
          <w:szCs w:val="20"/>
          <w:lang w:val="es-CO"/>
        </w:rPr>
        <w:t xml:space="preserve">test </w:t>
      </w:r>
      <w:r w:rsidRPr="00E86A8F">
        <w:rPr>
          <w:rFonts w:asciiTheme="majorHAnsi" w:hAnsiTheme="majorHAnsi"/>
          <w:sz w:val="20"/>
          <w:szCs w:val="20"/>
          <w:lang w:val="es-CO"/>
        </w:rPr>
        <w:t xml:space="preserve">estaría satisfecho. No obstante, la Comisión advierte que este elemento por sí solo no faculta la utilización del derecho penal en supuestos como el que está bajo análisis. </w:t>
      </w:r>
    </w:p>
    <w:p w14:paraId="159FF484" w14:textId="77777777" w:rsidR="00971642" w:rsidRPr="00E86A8F" w:rsidRDefault="00971642"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CO"/>
        </w:rPr>
      </w:pPr>
    </w:p>
    <w:p w14:paraId="0FAA5AD7" w14:textId="4A31AACB" w:rsidR="00B748C7" w:rsidRPr="00E86A8F" w:rsidRDefault="00B748C7" w:rsidP="00073BB6">
      <w:pPr>
        <w:pStyle w:val="Heading5"/>
        <w:ind w:left="0" w:firstLine="0"/>
        <w:jc w:val="both"/>
        <w:rPr>
          <w:rFonts w:asciiTheme="majorHAnsi" w:hAnsiTheme="majorHAnsi"/>
          <w:b/>
        </w:rPr>
      </w:pPr>
      <w:r w:rsidRPr="00E86A8F">
        <w:rPr>
          <w:rFonts w:asciiTheme="majorHAnsi" w:hAnsiTheme="majorHAnsi"/>
          <w:b/>
        </w:rPr>
        <w:t xml:space="preserve">Estricta necesidad y proporcionalidad de la restricción </w:t>
      </w:r>
    </w:p>
    <w:p w14:paraId="61C7AF1C" w14:textId="77777777" w:rsidR="00971642" w:rsidRPr="00E86A8F" w:rsidRDefault="00971642"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00421E2C" w14:textId="1B4DA095" w:rsidR="0073374C" w:rsidRPr="00E86A8F" w:rsidRDefault="007B2702"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Ya s</w:t>
      </w:r>
      <w:r w:rsidR="0073374C" w:rsidRPr="00E86A8F">
        <w:rPr>
          <w:rFonts w:asciiTheme="majorHAnsi" w:hAnsiTheme="majorHAnsi"/>
          <w:sz w:val="20"/>
          <w:szCs w:val="20"/>
          <w:lang w:val="es-CO"/>
        </w:rPr>
        <w:t xml:space="preserve">e ha dicho que el análisis de </w:t>
      </w:r>
      <w:r w:rsidRPr="00E86A8F">
        <w:rPr>
          <w:rFonts w:asciiTheme="majorHAnsi" w:hAnsiTheme="majorHAnsi"/>
          <w:sz w:val="20"/>
          <w:szCs w:val="20"/>
          <w:lang w:val="es-CO"/>
        </w:rPr>
        <w:t xml:space="preserve">necesidad y </w:t>
      </w:r>
      <w:r w:rsidR="0073374C" w:rsidRPr="00E86A8F">
        <w:rPr>
          <w:rFonts w:asciiTheme="majorHAnsi" w:hAnsiTheme="majorHAnsi"/>
          <w:sz w:val="20"/>
          <w:szCs w:val="20"/>
          <w:lang w:val="es-CO"/>
        </w:rPr>
        <w:t>proporcionalidad de las medidas restrictivas, debe tener en cuenta: “(1) el mayor grado de protección del que gozan las expresiones atinentes a la idoneidad de los funcionarios públicos y su gestión o de quienes aspiran a ejercer cargos públicos; (2) el debate político o sobre asuntos de interés público— dada la necesidad de un mayor margen de apertura para el debate amplio requerido por un  sistema democrático y el control ciudadano que le es inherente—; y (3) el correlativo umbral de mayor tolerancia a la crítica que las instituciones y funcionarios estatales deben demostrar frente a afirmaciones y apreciaciones vertidas por las personas en ejercicio de tal control democrático […]”. La Corte IDH subraya que, las “expresiones concernientes a la idoneidad de una persona para el desempeño de un cargo público o a los actos realizados por funcionarios públicos en el desempeño de sus labores gozan de mayor protección, de manera tal que se propicie el debate democrático”</w:t>
      </w:r>
      <w:r w:rsidR="0073374C" w:rsidRPr="00E86A8F">
        <w:rPr>
          <w:rStyle w:val="FootnoteReference"/>
          <w:rFonts w:asciiTheme="majorHAnsi" w:hAnsiTheme="majorHAnsi" w:cs="Arial"/>
          <w:sz w:val="20"/>
          <w:szCs w:val="20"/>
          <w:lang w:val="es-CO"/>
        </w:rPr>
        <w:footnoteReference w:id="103"/>
      </w:r>
      <w:r w:rsidR="0073374C" w:rsidRPr="00E86A8F">
        <w:rPr>
          <w:rFonts w:asciiTheme="majorHAnsi" w:hAnsiTheme="majorHAnsi"/>
          <w:sz w:val="20"/>
          <w:szCs w:val="20"/>
          <w:lang w:val="es-CO"/>
        </w:rPr>
        <w:t xml:space="preserve">. </w:t>
      </w:r>
    </w:p>
    <w:p w14:paraId="0C162BE1" w14:textId="77777777" w:rsidR="00981F35" w:rsidRPr="00E86A8F" w:rsidRDefault="00981F35"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30B60505" w14:textId="63573195" w:rsidR="00782F9C" w:rsidRPr="00E86A8F" w:rsidRDefault="00BD2670"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Asimismo, </w:t>
      </w:r>
      <w:r w:rsidR="009301E5" w:rsidRPr="00E86A8F">
        <w:rPr>
          <w:rFonts w:asciiTheme="majorHAnsi" w:hAnsiTheme="majorHAnsi"/>
          <w:sz w:val="20"/>
          <w:szCs w:val="20"/>
          <w:lang w:val="es-CO"/>
        </w:rPr>
        <w:t>como se mencionó anteriormente,</w:t>
      </w:r>
      <w:r w:rsidRPr="00E86A8F">
        <w:rPr>
          <w:rFonts w:asciiTheme="majorHAnsi" w:hAnsiTheme="majorHAnsi"/>
          <w:sz w:val="20"/>
          <w:szCs w:val="20"/>
          <w:lang w:val="es-CO"/>
        </w:rPr>
        <w:t xml:space="preserve"> la jurisprudencia del Tribunal Europeo</w:t>
      </w:r>
      <w:r w:rsidR="009301E5" w:rsidRPr="00E86A8F">
        <w:rPr>
          <w:rFonts w:asciiTheme="majorHAnsi" w:hAnsiTheme="majorHAnsi"/>
          <w:sz w:val="20"/>
          <w:szCs w:val="20"/>
          <w:lang w:val="es-CO"/>
        </w:rPr>
        <w:t xml:space="preserve"> establece como regla general</w:t>
      </w:r>
      <w:r w:rsidR="00782F9C" w:rsidRPr="00E86A8F">
        <w:rPr>
          <w:rFonts w:asciiTheme="majorHAnsi" w:hAnsiTheme="majorHAnsi"/>
          <w:sz w:val="20"/>
          <w:szCs w:val="20"/>
          <w:lang w:val="es-ES"/>
        </w:rPr>
        <w:t xml:space="preserve"> la naturaleza excepcional que deben tener las sanciones penales cuando se trata de expresiones sobre asuntos de interés público</w:t>
      </w:r>
      <w:r w:rsidR="00D50C10" w:rsidRPr="00E86A8F">
        <w:rPr>
          <w:rFonts w:asciiTheme="majorHAnsi" w:hAnsiTheme="majorHAnsi"/>
          <w:sz w:val="20"/>
          <w:szCs w:val="20"/>
          <w:lang w:val="es-ES"/>
        </w:rPr>
        <w:t xml:space="preserve">, como por ejemplo </w:t>
      </w:r>
      <w:r w:rsidR="00981F35" w:rsidRPr="00E86A8F">
        <w:rPr>
          <w:rFonts w:asciiTheme="majorHAnsi" w:hAnsiTheme="majorHAnsi"/>
          <w:sz w:val="20"/>
          <w:szCs w:val="20"/>
          <w:lang w:val="es-ES"/>
        </w:rPr>
        <w:t xml:space="preserve">con </w:t>
      </w:r>
      <w:r w:rsidR="00782F9C" w:rsidRPr="00E86A8F">
        <w:rPr>
          <w:rFonts w:asciiTheme="majorHAnsi" w:hAnsiTheme="majorHAnsi"/>
          <w:sz w:val="20"/>
          <w:szCs w:val="20"/>
          <w:lang w:val="es-ES"/>
        </w:rPr>
        <w:t>la difusión de un discurso de odio o incitación a la violencia</w:t>
      </w:r>
      <w:r w:rsidR="00A32A29" w:rsidRPr="00E86A8F">
        <w:rPr>
          <w:rFonts w:asciiTheme="majorHAnsi" w:hAnsiTheme="majorHAnsi"/>
          <w:sz w:val="20"/>
          <w:szCs w:val="20"/>
          <w:lang w:val="es-ES"/>
        </w:rPr>
        <w:t>. En este sentido, la CIDH observa que</w:t>
      </w:r>
      <w:r w:rsidR="001E0802" w:rsidRPr="00E86A8F">
        <w:rPr>
          <w:rFonts w:asciiTheme="majorHAnsi" w:hAnsiTheme="majorHAnsi"/>
          <w:sz w:val="20"/>
          <w:szCs w:val="20"/>
          <w:lang w:val="es-ES"/>
        </w:rPr>
        <w:t>,</w:t>
      </w:r>
      <w:r w:rsidR="00A32A29" w:rsidRPr="00E86A8F">
        <w:rPr>
          <w:rFonts w:asciiTheme="majorHAnsi" w:hAnsiTheme="majorHAnsi"/>
          <w:sz w:val="20"/>
          <w:szCs w:val="20"/>
          <w:lang w:val="es-ES"/>
        </w:rPr>
        <w:t xml:space="preserve"> si bien las expresiones </w:t>
      </w:r>
      <w:r w:rsidR="00B12E2A" w:rsidRPr="00E86A8F">
        <w:rPr>
          <w:rFonts w:asciiTheme="majorHAnsi" w:hAnsiTheme="majorHAnsi"/>
          <w:sz w:val="20"/>
          <w:szCs w:val="20"/>
          <w:lang w:val="es-ES"/>
        </w:rPr>
        <w:t xml:space="preserve">vertidas por Carlos Baraona pueden ser consideradas como </w:t>
      </w:r>
      <w:r w:rsidR="003C06D9" w:rsidRPr="00E86A8F">
        <w:rPr>
          <w:rFonts w:asciiTheme="majorHAnsi" w:hAnsiTheme="majorHAnsi"/>
          <w:sz w:val="20"/>
          <w:szCs w:val="20"/>
          <w:lang w:val="es-ES"/>
        </w:rPr>
        <w:t>molestas, perturbadoras</w:t>
      </w:r>
      <w:r w:rsidR="00223C37" w:rsidRPr="00E86A8F">
        <w:rPr>
          <w:rFonts w:asciiTheme="majorHAnsi" w:hAnsiTheme="majorHAnsi"/>
          <w:sz w:val="20"/>
          <w:szCs w:val="20"/>
          <w:lang w:val="es-ES"/>
        </w:rPr>
        <w:t xml:space="preserve"> u </w:t>
      </w:r>
      <w:r w:rsidR="001E0802" w:rsidRPr="00E86A8F">
        <w:rPr>
          <w:rFonts w:asciiTheme="majorHAnsi" w:hAnsiTheme="majorHAnsi"/>
          <w:sz w:val="20"/>
          <w:szCs w:val="20"/>
          <w:lang w:val="es-ES"/>
        </w:rPr>
        <w:t>ofensivas, no</w:t>
      </w:r>
      <w:r w:rsidR="00A95B35" w:rsidRPr="00E86A8F">
        <w:rPr>
          <w:rFonts w:asciiTheme="majorHAnsi" w:hAnsiTheme="majorHAnsi"/>
          <w:sz w:val="20"/>
          <w:szCs w:val="20"/>
          <w:lang w:val="es-ES"/>
        </w:rPr>
        <w:t xml:space="preserve"> constituían </w:t>
      </w:r>
      <w:r w:rsidR="00B12E2A" w:rsidRPr="00E86A8F">
        <w:rPr>
          <w:rFonts w:asciiTheme="majorHAnsi" w:hAnsiTheme="majorHAnsi"/>
          <w:sz w:val="20"/>
          <w:szCs w:val="20"/>
          <w:lang w:val="es-ES"/>
        </w:rPr>
        <w:t xml:space="preserve">expresiones de incitación a la violencia. Todo lo cual, de acuerdo con los estándares mencionados </w:t>
      </w:r>
      <w:r w:rsidR="00B12E2A" w:rsidRPr="00E86A8F">
        <w:rPr>
          <w:rFonts w:asciiTheme="majorHAnsi" w:hAnsiTheme="majorHAnsi"/>
          <w:i/>
          <w:sz w:val="20"/>
          <w:szCs w:val="20"/>
          <w:lang w:val="es-ES"/>
        </w:rPr>
        <w:t>ut supra</w:t>
      </w:r>
      <w:r w:rsidR="00B12E2A" w:rsidRPr="00E86A8F">
        <w:rPr>
          <w:rFonts w:asciiTheme="majorHAnsi" w:hAnsiTheme="majorHAnsi"/>
          <w:sz w:val="20"/>
          <w:szCs w:val="20"/>
          <w:lang w:val="es-ES"/>
        </w:rPr>
        <w:t>, no ingresa dentro de las hipótesis que hagan necesario el uso del derecho penal y las sanciones privativas de libertad.</w:t>
      </w:r>
    </w:p>
    <w:p w14:paraId="1F4C569E" w14:textId="77777777" w:rsidR="00AC5233" w:rsidRPr="00E86A8F" w:rsidRDefault="00AC5233" w:rsidP="00073BB6">
      <w:pPr>
        <w:pStyle w:val="ListParagraph"/>
        <w:ind w:left="0"/>
        <w:jc w:val="both"/>
        <w:rPr>
          <w:rFonts w:asciiTheme="majorHAnsi" w:hAnsiTheme="majorHAnsi"/>
          <w:sz w:val="20"/>
          <w:szCs w:val="20"/>
          <w:lang w:val="es-CO"/>
        </w:rPr>
      </w:pPr>
    </w:p>
    <w:p w14:paraId="45F3C4A6" w14:textId="2C754425" w:rsidR="00BD669B" w:rsidRPr="00E86A8F" w:rsidRDefault="000D131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De igual manera, la CIDH ha establecido que existen </w:t>
      </w:r>
      <w:r w:rsidR="005F0ABD" w:rsidRPr="00E86A8F">
        <w:rPr>
          <w:rFonts w:asciiTheme="majorHAnsi" w:hAnsiTheme="majorHAnsi"/>
          <w:sz w:val="20"/>
          <w:szCs w:val="20"/>
          <w:lang w:val="es-CO"/>
        </w:rPr>
        <w:t xml:space="preserve">otras alternativas de protección </w:t>
      </w:r>
      <w:r w:rsidR="00AB575D" w:rsidRPr="00E86A8F">
        <w:rPr>
          <w:rFonts w:asciiTheme="majorHAnsi" w:hAnsiTheme="majorHAnsi"/>
          <w:sz w:val="20"/>
          <w:szCs w:val="20"/>
          <w:lang w:val="es-CO"/>
        </w:rPr>
        <w:t>del</w:t>
      </w:r>
      <w:r w:rsidR="00F559A8" w:rsidRPr="00E86A8F">
        <w:rPr>
          <w:rFonts w:asciiTheme="majorHAnsi" w:hAnsiTheme="majorHAnsi"/>
          <w:sz w:val="20"/>
          <w:szCs w:val="20"/>
          <w:lang w:val="es-CO"/>
        </w:rPr>
        <w:t xml:space="preserve"> honor y la reputación de las personas, que son </w:t>
      </w:r>
      <w:r w:rsidR="00F304DA" w:rsidRPr="00E86A8F">
        <w:rPr>
          <w:rFonts w:asciiTheme="majorHAnsi" w:hAnsiTheme="majorHAnsi"/>
          <w:sz w:val="20"/>
          <w:szCs w:val="20"/>
          <w:lang w:val="es-CO"/>
        </w:rPr>
        <w:t>menos lesivas y restrictivas</w:t>
      </w:r>
      <w:r w:rsidR="006E71E8" w:rsidRPr="00E86A8F">
        <w:rPr>
          <w:rFonts w:asciiTheme="majorHAnsi" w:hAnsiTheme="majorHAnsi"/>
          <w:sz w:val="20"/>
          <w:szCs w:val="20"/>
          <w:lang w:val="es-CO"/>
        </w:rPr>
        <w:t xml:space="preserve"> que recurrir al derecho penal </w:t>
      </w:r>
      <w:r w:rsidR="00912FD9" w:rsidRPr="00E86A8F">
        <w:rPr>
          <w:rFonts w:asciiTheme="majorHAnsi" w:hAnsiTheme="majorHAnsi"/>
          <w:sz w:val="20"/>
          <w:szCs w:val="20"/>
          <w:lang w:val="es-CO"/>
        </w:rPr>
        <w:t>como mecanismo para establecer responsabilidades ulteriores</w:t>
      </w:r>
      <w:r w:rsidR="00AC5233" w:rsidRPr="00E86A8F">
        <w:rPr>
          <w:rFonts w:asciiTheme="majorHAnsi" w:hAnsiTheme="majorHAnsi"/>
          <w:sz w:val="20"/>
          <w:szCs w:val="20"/>
          <w:lang w:val="es-CO"/>
        </w:rPr>
        <w:t xml:space="preserve">, </w:t>
      </w:r>
      <w:r w:rsidR="00AC5233" w:rsidRPr="00E86A8F">
        <w:rPr>
          <w:rFonts w:asciiTheme="majorHAnsi" w:hAnsiTheme="majorHAnsi"/>
          <w:sz w:val="20"/>
          <w:szCs w:val="20"/>
          <w:lang w:val="es-ES"/>
        </w:rPr>
        <w:t>como lo son la vía civil y, la garantía del derecho de rectificación o respuesta</w:t>
      </w:r>
      <w:r w:rsidR="00AC5233" w:rsidRPr="00E86A8F">
        <w:rPr>
          <w:rStyle w:val="FootnoteReference"/>
          <w:rFonts w:asciiTheme="majorHAnsi" w:hAnsiTheme="majorHAnsi"/>
          <w:sz w:val="20"/>
          <w:szCs w:val="20"/>
          <w:lang w:val="es-ES"/>
        </w:rPr>
        <w:footnoteReference w:id="104"/>
      </w:r>
      <w:r w:rsidR="00AC5233" w:rsidRPr="00E86A8F">
        <w:rPr>
          <w:rFonts w:asciiTheme="majorHAnsi" w:hAnsiTheme="majorHAnsi"/>
          <w:sz w:val="20"/>
          <w:szCs w:val="20"/>
          <w:lang w:val="es-ES"/>
        </w:rPr>
        <w:t xml:space="preserve">. </w:t>
      </w:r>
      <w:r w:rsidR="00912FD9" w:rsidRPr="00E86A8F">
        <w:rPr>
          <w:rFonts w:asciiTheme="majorHAnsi" w:hAnsiTheme="majorHAnsi"/>
          <w:sz w:val="20"/>
          <w:szCs w:val="20"/>
          <w:lang w:val="es-CO"/>
        </w:rPr>
        <w:t xml:space="preserve">Es </w:t>
      </w:r>
      <w:r w:rsidR="00915492" w:rsidRPr="00E86A8F">
        <w:rPr>
          <w:rFonts w:asciiTheme="majorHAnsi" w:hAnsiTheme="majorHAnsi"/>
          <w:sz w:val="20"/>
          <w:szCs w:val="20"/>
          <w:lang w:val="es-CO"/>
        </w:rPr>
        <w:t xml:space="preserve">preciso </w:t>
      </w:r>
      <w:r w:rsidR="00912FD9" w:rsidRPr="00E86A8F">
        <w:rPr>
          <w:rFonts w:asciiTheme="majorHAnsi" w:hAnsiTheme="majorHAnsi"/>
          <w:sz w:val="20"/>
          <w:szCs w:val="20"/>
          <w:lang w:val="es-CO"/>
        </w:rPr>
        <w:t>resaltar que el derecho penal es el medio más restrictivo</w:t>
      </w:r>
      <w:r w:rsidR="00915492" w:rsidRPr="00E86A8F">
        <w:rPr>
          <w:rFonts w:asciiTheme="majorHAnsi" w:hAnsiTheme="majorHAnsi"/>
          <w:sz w:val="20"/>
          <w:szCs w:val="20"/>
          <w:lang w:val="es-CO"/>
        </w:rPr>
        <w:t xml:space="preserve">, el cual con base en el principio de mínima intervención </w:t>
      </w:r>
      <w:r w:rsidR="0095334A" w:rsidRPr="00E86A8F">
        <w:rPr>
          <w:rFonts w:asciiTheme="majorHAnsi" w:hAnsiTheme="majorHAnsi"/>
          <w:sz w:val="20"/>
          <w:szCs w:val="20"/>
          <w:lang w:val="es-CO"/>
        </w:rPr>
        <w:t xml:space="preserve">penal y de última ratio, debe ser utilizado solo en situaciones excepcionales </w:t>
      </w:r>
      <w:r w:rsidR="00C803D4" w:rsidRPr="00E86A8F">
        <w:rPr>
          <w:rFonts w:asciiTheme="majorHAnsi" w:hAnsiTheme="majorHAnsi"/>
          <w:sz w:val="20"/>
          <w:szCs w:val="20"/>
          <w:lang w:val="es-CO"/>
        </w:rPr>
        <w:t xml:space="preserve">que impliquen graves lesiones a los bienes que se quiere proteger. </w:t>
      </w:r>
      <w:r w:rsidR="00BD669B" w:rsidRPr="00E86A8F">
        <w:rPr>
          <w:rFonts w:asciiTheme="majorHAnsi" w:hAnsiTheme="majorHAnsi"/>
          <w:sz w:val="20"/>
          <w:szCs w:val="20"/>
          <w:lang w:val="es-VE"/>
        </w:rPr>
        <w:t>Es decir que, si se presenta efectivamente un abuso de la libertad de expresión que cause un perjuicio a los derechos ajenos, se debe acudir a las medidas menos restrictivas de la libertad de expresión para reparar dicho perjuicio: en primer lugar, al derecho de rectificación o respuesta consagrado en el artículo 14 de la Convención Americana; si ello no bastare, y se demuestra la existencia de un daño grave causado con la intención de dañar o con evidente desprecio por la verdad, podría acudirse a mecanismos de responsabilidad civil que cumplan con las condiciones estrictas derivadas del artículo 13.2 de la Convención Americana</w:t>
      </w:r>
      <w:r w:rsidR="00BD669B" w:rsidRPr="00E86A8F">
        <w:rPr>
          <w:rStyle w:val="FootnoteReference"/>
          <w:rFonts w:asciiTheme="majorHAnsi" w:hAnsiTheme="majorHAnsi"/>
          <w:sz w:val="20"/>
          <w:szCs w:val="20"/>
          <w:lang w:val="es-VE"/>
        </w:rPr>
        <w:footnoteReference w:id="105"/>
      </w:r>
      <w:r w:rsidR="00BD669B" w:rsidRPr="00E86A8F">
        <w:rPr>
          <w:rFonts w:asciiTheme="majorHAnsi" w:hAnsiTheme="majorHAnsi"/>
          <w:sz w:val="20"/>
          <w:szCs w:val="20"/>
          <w:lang w:val="es-VE"/>
        </w:rPr>
        <w:t>.</w:t>
      </w:r>
    </w:p>
    <w:p w14:paraId="29C414B6" w14:textId="77777777" w:rsidR="00791D1E" w:rsidRPr="00E86A8F" w:rsidRDefault="00791D1E"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5675313" w14:textId="1C1CCA21" w:rsidR="00791D1E" w:rsidRPr="00E86A8F" w:rsidRDefault="00A001CC"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Los mecanismos menos lesivos mencionados, </w:t>
      </w:r>
      <w:r w:rsidR="00AC479E" w:rsidRPr="00E86A8F">
        <w:rPr>
          <w:rFonts w:asciiTheme="majorHAnsi" w:hAnsiTheme="majorHAnsi"/>
          <w:sz w:val="20"/>
          <w:szCs w:val="20"/>
          <w:lang w:val="es-CO"/>
        </w:rPr>
        <w:t xml:space="preserve">si son aplicados de conformidad con la Convención, </w:t>
      </w:r>
      <w:r w:rsidRPr="00E86A8F">
        <w:rPr>
          <w:rFonts w:asciiTheme="majorHAnsi" w:hAnsiTheme="majorHAnsi"/>
          <w:sz w:val="20"/>
          <w:szCs w:val="20"/>
          <w:lang w:val="es-CO"/>
        </w:rPr>
        <w:t xml:space="preserve">pueden también contribuir a evitar </w:t>
      </w:r>
      <w:r w:rsidR="00E66887" w:rsidRPr="00E86A8F">
        <w:rPr>
          <w:rFonts w:asciiTheme="majorHAnsi" w:hAnsiTheme="majorHAnsi"/>
          <w:sz w:val="20"/>
          <w:szCs w:val="20"/>
          <w:lang w:val="es-CO"/>
        </w:rPr>
        <w:t xml:space="preserve">el efecto disuasivo </w:t>
      </w:r>
      <w:r w:rsidR="00AC479E" w:rsidRPr="00E86A8F">
        <w:rPr>
          <w:rFonts w:asciiTheme="majorHAnsi" w:hAnsiTheme="majorHAnsi"/>
          <w:sz w:val="20"/>
          <w:szCs w:val="20"/>
          <w:lang w:val="es-CO"/>
        </w:rPr>
        <w:t>(“</w:t>
      </w:r>
      <w:r w:rsidR="00AC479E" w:rsidRPr="00E86A8F">
        <w:rPr>
          <w:rFonts w:asciiTheme="majorHAnsi" w:hAnsiTheme="majorHAnsi"/>
          <w:i/>
          <w:sz w:val="20"/>
          <w:szCs w:val="20"/>
          <w:lang w:val="es-CO"/>
        </w:rPr>
        <w:t>chilling effect</w:t>
      </w:r>
      <w:r w:rsidR="00AC479E" w:rsidRPr="00E86A8F">
        <w:rPr>
          <w:rFonts w:asciiTheme="majorHAnsi" w:hAnsiTheme="majorHAnsi"/>
          <w:sz w:val="20"/>
          <w:szCs w:val="20"/>
          <w:lang w:val="es-CO"/>
        </w:rPr>
        <w:t xml:space="preserve">”) </w:t>
      </w:r>
      <w:r w:rsidR="00E66887" w:rsidRPr="00E86A8F">
        <w:rPr>
          <w:rFonts w:asciiTheme="majorHAnsi" w:hAnsiTheme="majorHAnsi"/>
          <w:sz w:val="20"/>
          <w:szCs w:val="20"/>
          <w:lang w:val="es-CO"/>
        </w:rPr>
        <w:t xml:space="preserve">que </w:t>
      </w:r>
      <w:r w:rsidR="00A804FC" w:rsidRPr="00E86A8F">
        <w:rPr>
          <w:rFonts w:asciiTheme="majorHAnsi" w:hAnsiTheme="majorHAnsi"/>
          <w:sz w:val="20"/>
          <w:szCs w:val="20"/>
          <w:lang w:val="es-CO"/>
        </w:rPr>
        <w:t xml:space="preserve">se genera con la existencia </w:t>
      </w:r>
      <w:r w:rsidR="00DF02F3" w:rsidRPr="00E86A8F">
        <w:rPr>
          <w:rFonts w:asciiTheme="majorHAnsi" w:hAnsiTheme="majorHAnsi"/>
          <w:sz w:val="20"/>
          <w:szCs w:val="20"/>
          <w:lang w:val="es-CO"/>
        </w:rPr>
        <w:t xml:space="preserve">y aplicación </w:t>
      </w:r>
      <w:r w:rsidR="00A804FC" w:rsidRPr="00E86A8F">
        <w:rPr>
          <w:rFonts w:asciiTheme="majorHAnsi" w:hAnsiTheme="majorHAnsi"/>
          <w:sz w:val="20"/>
          <w:szCs w:val="20"/>
          <w:lang w:val="es-CO"/>
        </w:rPr>
        <w:t>de normas penales que criminalizan la libertad de expresión</w:t>
      </w:r>
      <w:r w:rsidR="00A13286" w:rsidRPr="00E86A8F">
        <w:rPr>
          <w:rFonts w:asciiTheme="majorHAnsi" w:hAnsiTheme="majorHAnsi"/>
          <w:sz w:val="20"/>
          <w:szCs w:val="20"/>
          <w:lang w:val="es-CO"/>
        </w:rPr>
        <w:t xml:space="preserve">. Este tipo de normas inhiben la investigación y el reporte de asuntos de interés público general, afectando ambas esferas del derecho. En efecto, </w:t>
      </w:r>
      <w:r w:rsidR="005A29C6" w:rsidRPr="00E86A8F">
        <w:rPr>
          <w:rFonts w:asciiTheme="majorHAnsi" w:hAnsiTheme="majorHAnsi"/>
          <w:sz w:val="20"/>
          <w:szCs w:val="20"/>
          <w:lang w:val="es-CO"/>
        </w:rPr>
        <w:t xml:space="preserve">en el presente caso, el señor Baraona </w:t>
      </w:r>
      <w:r w:rsidR="008A3D39" w:rsidRPr="00E86A8F">
        <w:rPr>
          <w:rFonts w:asciiTheme="majorHAnsi" w:hAnsiTheme="majorHAnsi"/>
          <w:sz w:val="20"/>
          <w:szCs w:val="20"/>
          <w:lang w:val="es-CO"/>
        </w:rPr>
        <w:t>Bray</w:t>
      </w:r>
      <w:r w:rsidR="005F67A8" w:rsidRPr="00E86A8F">
        <w:rPr>
          <w:rFonts w:asciiTheme="majorHAnsi" w:hAnsiTheme="majorHAnsi"/>
          <w:sz w:val="20"/>
          <w:szCs w:val="20"/>
          <w:lang w:val="es-CO"/>
        </w:rPr>
        <w:t>, luego de su condena penal,</w:t>
      </w:r>
      <w:r w:rsidR="008A3D39" w:rsidRPr="00E86A8F">
        <w:rPr>
          <w:rFonts w:asciiTheme="majorHAnsi" w:hAnsiTheme="majorHAnsi"/>
          <w:sz w:val="20"/>
          <w:szCs w:val="20"/>
          <w:lang w:val="es-CO"/>
        </w:rPr>
        <w:t xml:space="preserve"> se inhibió de participar en </w:t>
      </w:r>
      <w:r w:rsidR="005F67A8" w:rsidRPr="00E86A8F">
        <w:rPr>
          <w:rFonts w:asciiTheme="majorHAnsi" w:hAnsiTheme="majorHAnsi"/>
          <w:sz w:val="20"/>
          <w:szCs w:val="20"/>
          <w:lang w:val="es-CO"/>
        </w:rPr>
        <w:t>el debate público existente en Chile respecto a los alegados actos de corrupción y tala ilegal de alerce</w:t>
      </w:r>
      <w:r w:rsidR="000604FB" w:rsidRPr="00E86A8F">
        <w:rPr>
          <w:rFonts w:asciiTheme="majorHAnsi" w:hAnsiTheme="majorHAnsi"/>
          <w:sz w:val="20"/>
          <w:szCs w:val="20"/>
          <w:lang w:val="es-CO"/>
        </w:rPr>
        <w:t>, al menos hasta el año 2006, en donde fue entrevistado para que contara sobre su proceso y condena penal.</w:t>
      </w:r>
      <w:r w:rsidR="005F67A8" w:rsidRPr="00E86A8F">
        <w:rPr>
          <w:rFonts w:asciiTheme="majorHAnsi" w:hAnsiTheme="majorHAnsi"/>
          <w:sz w:val="20"/>
          <w:szCs w:val="20"/>
          <w:lang w:val="es-CO"/>
        </w:rPr>
        <w:t xml:space="preserve"> Inclusive, luego </w:t>
      </w:r>
      <w:r w:rsidR="000604FB" w:rsidRPr="00E86A8F">
        <w:rPr>
          <w:rFonts w:asciiTheme="majorHAnsi" w:hAnsiTheme="majorHAnsi"/>
          <w:sz w:val="20"/>
          <w:szCs w:val="20"/>
          <w:lang w:val="es-CO"/>
        </w:rPr>
        <w:t xml:space="preserve">de ello, fue nuevamente querellado, esta vez con </w:t>
      </w:r>
      <w:r w:rsidR="00CE3024" w:rsidRPr="00E86A8F">
        <w:rPr>
          <w:rFonts w:asciiTheme="majorHAnsi" w:hAnsiTheme="majorHAnsi"/>
          <w:sz w:val="20"/>
          <w:szCs w:val="20"/>
          <w:lang w:val="es-CO"/>
        </w:rPr>
        <w:t xml:space="preserve">el peligro de prisión efectiva por su posible reincidencia. </w:t>
      </w:r>
      <w:r w:rsidR="00594734" w:rsidRPr="00E86A8F">
        <w:rPr>
          <w:rFonts w:asciiTheme="majorHAnsi" w:hAnsiTheme="majorHAnsi"/>
          <w:sz w:val="20"/>
          <w:szCs w:val="20"/>
          <w:lang w:val="es-CO"/>
        </w:rPr>
        <w:t>En el segundo proceso fue absuelto.</w:t>
      </w:r>
    </w:p>
    <w:p w14:paraId="17830FC9" w14:textId="0A1EF578" w:rsidR="00791D1E" w:rsidRPr="00E86A8F" w:rsidRDefault="00791D1E"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5CD5C894" w14:textId="4555BCB4" w:rsidR="004835FD" w:rsidRPr="00E86A8F" w:rsidRDefault="0059473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lastRenderedPageBreak/>
        <w:t xml:space="preserve">Además de lo anterior, es fundamental </w:t>
      </w:r>
      <w:r w:rsidR="00606532" w:rsidRPr="00E86A8F">
        <w:rPr>
          <w:rFonts w:asciiTheme="majorHAnsi" w:hAnsiTheme="majorHAnsi"/>
          <w:sz w:val="20"/>
          <w:szCs w:val="20"/>
          <w:lang w:val="es-CO"/>
        </w:rPr>
        <w:t>resaltar que</w:t>
      </w:r>
      <w:r w:rsidR="009436B7" w:rsidRPr="00E86A8F">
        <w:rPr>
          <w:rFonts w:asciiTheme="majorHAnsi" w:hAnsiTheme="majorHAnsi"/>
          <w:sz w:val="20"/>
          <w:szCs w:val="20"/>
          <w:lang w:val="es-CO"/>
        </w:rPr>
        <w:t>,</w:t>
      </w:r>
      <w:r w:rsidR="00606532" w:rsidRPr="00E86A8F">
        <w:rPr>
          <w:rFonts w:asciiTheme="majorHAnsi" w:hAnsiTheme="majorHAnsi"/>
          <w:sz w:val="20"/>
          <w:szCs w:val="20"/>
          <w:lang w:val="es-CO"/>
        </w:rPr>
        <w:t xml:space="preserve"> en casos como el presente, l</w:t>
      </w:r>
      <w:r w:rsidR="004669AA" w:rsidRPr="00E86A8F">
        <w:rPr>
          <w:rFonts w:asciiTheme="majorHAnsi" w:hAnsiTheme="majorHAnsi"/>
          <w:sz w:val="20"/>
          <w:szCs w:val="20"/>
          <w:lang w:val="es-VE"/>
        </w:rPr>
        <w:t xml:space="preserve">os </w:t>
      </w:r>
      <w:r w:rsidR="00DA56FD" w:rsidRPr="00E86A8F">
        <w:rPr>
          <w:rFonts w:asciiTheme="majorHAnsi" w:hAnsiTheme="majorHAnsi"/>
          <w:sz w:val="20"/>
          <w:szCs w:val="20"/>
          <w:lang w:val="es-VE"/>
        </w:rPr>
        <w:t>funcionarios electivos</w:t>
      </w:r>
      <w:r w:rsidR="001146D7" w:rsidRPr="00E86A8F">
        <w:rPr>
          <w:rFonts w:asciiTheme="majorHAnsi" w:hAnsiTheme="majorHAnsi"/>
          <w:sz w:val="20"/>
          <w:szCs w:val="20"/>
          <w:lang w:val="es-VE"/>
        </w:rPr>
        <w:t xml:space="preserve">, como un </w:t>
      </w:r>
      <w:r w:rsidR="00486700" w:rsidRPr="00E86A8F">
        <w:rPr>
          <w:rFonts w:asciiTheme="majorHAnsi" w:hAnsiTheme="majorHAnsi"/>
          <w:sz w:val="20"/>
          <w:szCs w:val="20"/>
          <w:lang w:val="es-VE"/>
        </w:rPr>
        <w:t>senador</w:t>
      </w:r>
      <w:r w:rsidR="001146D7" w:rsidRPr="00E86A8F">
        <w:rPr>
          <w:rFonts w:asciiTheme="majorHAnsi" w:hAnsiTheme="majorHAnsi"/>
          <w:sz w:val="20"/>
          <w:szCs w:val="20"/>
          <w:lang w:val="es-VE"/>
        </w:rPr>
        <w:t xml:space="preserve">, </w:t>
      </w:r>
      <w:r w:rsidR="004669AA" w:rsidRPr="00E86A8F">
        <w:rPr>
          <w:rFonts w:asciiTheme="majorHAnsi" w:hAnsiTheme="majorHAnsi"/>
          <w:sz w:val="20"/>
          <w:szCs w:val="20"/>
          <w:lang w:val="es-VE"/>
        </w:rPr>
        <w:t>tienen una posibilidad de mayor difusión a la hora de expresar y defender sus posiciones e incluso de replicar acusaciones que consideran injustas o agraviantes, dado que atraen la atención de los medios de comunicación y cuentan con los recursos del Estado para difundirlas. E</w:t>
      </w:r>
      <w:r w:rsidR="00EB270A" w:rsidRPr="00E86A8F">
        <w:rPr>
          <w:rFonts w:asciiTheme="majorHAnsi" w:hAnsiTheme="majorHAnsi"/>
          <w:sz w:val="20"/>
          <w:szCs w:val="20"/>
          <w:lang w:val="es-VE"/>
        </w:rPr>
        <w:t xml:space="preserve">n efecto, luego de </w:t>
      </w:r>
      <w:r w:rsidR="00022370" w:rsidRPr="00E86A8F">
        <w:rPr>
          <w:rFonts w:asciiTheme="majorHAnsi" w:hAnsiTheme="majorHAnsi"/>
          <w:sz w:val="20"/>
          <w:szCs w:val="20"/>
          <w:lang w:val="es-VE"/>
        </w:rPr>
        <w:t xml:space="preserve">las expresiones vertidas por </w:t>
      </w:r>
      <w:r w:rsidR="00EB270A" w:rsidRPr="00E86A8F">
        <w:rPr>
          <w:rFonts w:asciiTheme="majorHAnsi" w:hAnsiTheme="majorHAnsi"/>
          <w:sz w:val="20"/>
          <w:szCs w:val="20"/>
          <w:lang w:val="es-VE"/>
        </w:rPr>
        <w:t xml:space="preserve">Carlos Baraona </w:t>
      </w:r>
      <w:r w:rsidR="00022370" w:rsidRPr="00E86A8F">
        <w:rPr>
          <w:rFonts w:asciiTheme="majorHAnsi" w:hAnsiTheme="majorHAnsi"/>
          <w:sz w:val="20"/>
          <w:szCs w:val="20"/>
          <w:lang w:val="es-VE"/>
        </w:rPr>
        <w:t xml:space="preserve">ante los medios, el </w:t>
      </w:r>
      <w:r w:rsidR="00486700" w:rsidRPr="00E86A8F">
        <w:rPr>
          <w:rFonts w:asciiTheme="majorHAnsi" w:hAnsiTheme="majorHAnsi"/>
          <w:sz w:val="20"/>
          <w:szCs w:val="20"/>
          <w:lang w:val="es-VE"/>
        </w:rPr>
        <w:t>senador</w:t>
      </w:r>
      <w:r w:rsidR="00022370" w:rsidRPr="00E86A8F">
        <w:rPr>
          <w:rFonts w:asciiTheme="majorHAnsi" w:hAnsiTheme="majorHAnsi"/>
          <w:sz w:val="20"/>
          <w:szCs w:val="20"/>
          <w:lang w:val="es-VE"/>
        </w:rPr>
        <w:t xml:space="preserve"> </w:t>
      </w:r>
      <w:r w:rsidR="004835FD" w:rsidRPr="00E86A8F">
        <w:rPr>
          <w:rFonts w:asciiTheme="majorHAnsi" w:hAnsiTheme="majorHAnsi"/>
          <w:sz w:val="20"/>
          <w:szCs w:val="20"/>
          <w:lang w:val="es-VE"/>
        </w:rPr>
        <w:t xml:space="preserve">defendió su posición de manera pública y respondió a las críticas y cuestionamientos dirigidas contra su persona, negando cualquier participación en la tala ilegal y en las presiones políticas de las que se le acusaba ejercer. </w:t>
      </w:r>
    </w:p>
    <w:p w14:paraId="4A644323" w14:textId="77777777" w:rsidR="00FF5C7C" w:rsidRPr="00E86A8F" w:rsidRDefault="00FF5C7C" w:rsidP="00073BB6">
      <w:pPr>
        <w:jc w:val="both"/>
        <w:rPr>
          <w:rFonts w:asciiTheme="majorHAnsi" w:hAnsiTheme="majorHAnsi"/>
          <w:sz w:val="20"/>
          <w:szCs w:val="20"/>
          <w:lang w:val="es-CO"/>
        </w:rPr>
      </w:pPr>
    </w:p>
    <w:p w14:paraId="61FD5ED2" w14:textId="19C00BCA" w:rsidR="00B748C7" w:rsidRPr="00E86A8F" w:rsidRDefault="004835FD"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ES"/>
        </w:rPr>
        <w:t xml:space="preserve">Por lo antes, expuesto, </w:t>
      </w:r>
      <w:r w:rsidR="00B748C7" w:rsidRPr="00E86A8F">
        <w:rPr>
          <w:rFonts w:asciiTheme="majorHAnsi" w:hAnsiTheme="majorHAnsi"/>
          <w:sz w:val="20"/>
          <w:szCs w:val="20"/>
          <w:lang w:val="es-ES"/>
        </w:rPr>
        <w:t xml:space="preserve">la CIDH estima que el Estado no ha demostrado el cumplimiento del requisito de necesidad de la medida impuesta en este tipo de circunstancias.  </w:t>
      </w:r>
    </w:p>
    <w:p w14:paraId="13D432CE" w14:textId="77777777" w:rsidR="00F52A3D" w:rsidRPr="00E86A8F" w:rsidRDefault="00F52A3D" w:rsidP="00073BB6">
      <w:pPr>
        <w:pStyle w:val="ListParagraph"/>
        <w:ind w:left="0"/>
        <w:jc w:val="both"/>
        <w:rPr>
          <w:rFonts w:asciiTheme="majorHAnsi" w:hAnsiTheme="majorHAnsi"/>
          <w:sz w:val="20"/>
          <w:szCs w:val="20"/>
          <w:lang w:val="es-CO"/>
        </w:rPr>
      </w:pPr>
    </w:p>
    <w:p w14:paraId="7B0F863D" w14:textId="64D60B41" w:rsidR="004B01B9" w:rsidRPr="00E86A8F" w:rsidRDefault="00F52A3D"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Con respecto a la proporcionalidad de la utilización del derecho penal</w:t>
      </w:r>
      <w:r w:rsidR="00096613" w:rsidRPr="00E86A8F">
        <w:rPr>
          <w:rFonts w:asciiTheme="majorHAnsi" w:hAnsiTheme="majorHAnsi"/>
          <w:sz w:val="20"/>
          <w:szCs w:val="20"/>
          <w:lang w:val="es-CO"/>
        </w:rPr>
        <w:t xml:space="preserve">, si bien </w:t>
      </w:r>
      <w:r w:rsidR="003421FE" w:rsidRPr="00E86A8F">
        <w:rPr>
          <w:rFonts w:asciiTheme="majorHAnsi" w:hAnsiTheme="majorHAnsi"/>
          <w:sz w:val="20"/>
          <w:szCs w:val="20"/>
          <w:lang w:val="es-CO"/>
        </w:rPr>
        <w:t xml:space="preserve">la CIDH </w:t>
      </w:r>
      <w:r w:rsidR="00096613" w:rsidRPr="00E86A8F">
        <w:rPr>
          <w:rFonts w:asciiTheme="majorHAnsi" w:hAnsiTheme="majorHAnsi"/>
          <w:sz w:val="20"/>
          <w:szCs w:val="20"/>
          <w:lang w:val="es-CO"/>
        </w:rPr>
        <w:t xml:space="preserve">considera que </w:t>
      </w:r>
      <w:r w:rsidR="004B01B9" w:rsidRPr="00E86A8F">
        <w:rPr>
          <w:rFonts w:asciiTheme="majorHAnsi" w:hAnsiTheme="majorHAnsi"/>
          <w:sz w:val="20"/>
          <w:szCs w:val="20"/>
          <w:lang w:val="es-MX"/>
        </w:rPr>
        <w:t>la imposición de las sanciones penales a las ofensas contra funcionarios públicos relacionadas con el ejercicio de sus funciones es contraria a los criterios de necesidad y proporcionalidad en el marco de una sociedad democrátic</w:t>
      </w:r>
      <w:r w:rsidR="009B0281" w:rsidRPr="00E86A8F">
        <w:rPr>
          <w:rFonts w:asciiTheme="majorHAnsi" w:hAnsiTheme="majorHAnsi"/>
          <w:sz w:val="20"/>
          <w:szCs w:val="20"/>
          <w:lang w:val="es-MX"/>
        </w:rPr>
        <w:t>o</w:t>
      </w:r>
      <w:r w:rsidR="004B01B9" w:rsidRPr="00E86A8F">
        <w:rPr>
          <w:rStyle w:val="FootnoteReference"/>
          <w:rFonts w:asciiTheme="majorHAnsi" w:hAnsiTheme="majorHAnsi"/>
          <w:sz w:val="20"/>
          <w:szCs w:val="20"/>
        </w:rPr>
        <w:footnoteReference w:id="106"/>
      </w:r>
      <w:r w:rsidR="004B01B9" w:rsidRPr="00E86A8F">
        <w:rPr>
          <w:rFonts w:asciiTheme="majorHAnsi" w:hAnsiTheme="majorHAnsi"/>
          <w:sz w:val="20"/>
          <w:szCs w:val="20"/>
          <w:lang w:val="es-MX"/>
        </w:rPr>
        <w:t xml:space="preserve">, es </w:t>
      </w:r>
      <w:r w:rsidR="001F6FC8" w:rsidRPr="00E86A8F">
        <w:rPr>
          <w:rFonts w:asciiTheme="majorHAnsi" w:hAnsiTheme="majorHAnsi"/>
          <w:sz w:val="20"/>
          <w:szCs w:val="20"/>
          <w:lang w:val="es-MX"/>
        </w:rPr>
        <w:t>conveniente analizar si ente caso, la restricción al derecho a la libertad de expresión</w:t>
      </w:r>
      <w:r w:rsidR="000F7C95" w:rsidRPr="00E86A8F">
        <w:rPr>
          <w:rFonts w:asciiTheme="majorHAnsi" w:hAnsiTheme="majorHAnsi"/>
          <w:sz w:val="20"/>
          <w:szCs w:val="20"/>
          <w:lang w:val="es-MX"/>
        </w:rPr>
        <w:t xml:space="preserve"> fue proporcional de tal forma que el sacrificio de este derecho no resultó exagerado o desmedido en </w:t>
      </w:r>
      <w:r w:rsidR="004C2933" w:rsidRPr="00E86A8F">
        <w:rPr>
          <w:rFonts w:asciiTheme="majorHAnsi" w:hAnsiTheme="majorHAnsi"/>
          <w:sz w:val="20"/>
          <w:szCs w:val="20"/>
          <w:lang w:val="es-MX"/>
        </w:rPr>
        <w:t xml:space="preserve">beneficio del derecho al honor del </w:t>
      </w:r>
      <w:r w:rsidR="00486700" w:rsidRPr="00E86A8F">
        <w:rPr>
          <w:rFonts w:asciiTheme="majorHAnsi" w:hAnsiTheme="majorHAnsi"/>
          <w:sz w:val="20"/>
          <w:szCs w:val="20"/>
          <w:lang w:val="es-MX"/>
        </w:rPr>
        <w:t>senador</w:t>
      </w:r>
      <w:r w:rsidR="004C2933" w:rsidRPr="00E86A8F">
        <w:rPr>
          <w:rFonts w:asciiTheme="majorHAnsi" w:hAnsiTheme="majorHAnsi"/>
          <w:sz w:val="20"/>
          <w:szCs w:val="20"/>
          <w:lang w:val="es-MX"/>
        </w:rPr>
        <w:t>. Para ello, como la Corte ya lo ha establecido en su jurisprudencia,</w:t>
      </w:r>
      <w:r w:rsidR="00070889" w:rsidRPr="00E86A8F">
        <w:rPr>
          <w:rFonts w:asciiTheme="majorHAnsi" w:hAnsiTheme="majorHAnsi"/>
          <w:sz w:val="20"/>
          <w:szCs w:val="20"/>
          <w:lang w:val="es-MX"/>
        </w:rPr>
        <w:t xml:space="preserve"> se tomará en cuenta el grado de afectación de los bienes en juego, la importancia de</w:t>
      </w:r>
      <w:r w:rsidR="002939A3" w:rsidRPr="00E86A8F">
        <w:rPr>
          <w:rFonts w:asciiTheme="majorHAnsi" w:hAnsiTheme="majorHAnsi"/>
          <w:sz w:val="20"/>
          <w:szCs w:val="20"/>
          <w:lang w:val="es-MX"/>
        </w:rPr>
        <w:t xml:space="preserve"> la satisfacción del bien contrario y si </w:t>
      </w:r>
      <w:r w:rsidR="00B904BF" w:rsidRPr="00E86A8F">
        <w:rPr>
          <w:rFonts w:asciiTheme="majorHAnsi" w:hAnsiTheme="majorHAnsi"/>
          <w:sz w:val="20"/>
          <w:szCs w:val="20"/>
          <w:lang w:val="es-MX"/>
        </w:rPr>
        <w:t xml:space="preserve">la satisfacción del honor </w:t>
      </w:r>
      <w:r w:rsidR="008B2FD8" w:rsidRPr="00E86A8F">
        <w:rPr>
          <w:rFonts w:asciiTheme="majorHAnsi" w:hAnsiTheme="majorHAnsi"/>
          <w:sz w:val="20"/>
          <w:szCs w:val="20"/>
          <w:lang w:val="es-MX"/>
        </w:rPr>
        <w:t>justifica la restricción del derecho a la libertad de expresión</w:t>
      </w:r>
      <w:r w:rsidR="00003D2C" w:rsidRPr="00E86A8F">
        <w:rPr>
          <w:rStyle w:val="FootnoteReference"/>
          <w:rFonts w:asciiTheme="majorHAnsi" w:hAnsiTheme="majorHAnsi"/>
          <w:sz w:val="20"/>
          <w:szCs w:val="20"/>
          <w:lang w:val="es-MX"/>
        </w:rPr>
        <w:footnoteReference w:id="107"/>
      </w:r>
      <w:r w:rsidR="008B2FD8" w:rsidRPr="00E86A8F">
        <w:rPr>
          <w:rFonts w:asciiTheme="majorHAnsi" w:hAnsiTheme="majorHAnsi"/>
          <w:sz w:val="20"/>
          <w:szCs w:val="20"/>
          <w:lang w:val="es-MX"/>
        </w:rPr>
        <w:t>.</w:t>
      </w:r>
      <w:r w:rsidR="004C2933" w:rsidRPr="00E86A8F">
        <w:rPr>
          <w:rFonts w:asciiTheme="majorHAnsi" w:hAnsiTheme="majorHAnsi"/>
          <w:sz w:val="20"/>
          <w:szCs w:val="20"/>
          <w:lang w:val="es-MX"/>
        </w:rPr>
        <w:t xml:space="preserve"> </w:t>
      </w:r>
    </w:p>
    <w:p w14:paraId="634A389F" w14:textId="77777777" w:rsidR="00CC5C91" w:rsidRPr="00E86A8F" w:rsidRDefault="00CC5C9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02AB6FBA" w14:textId="4328BE78" w:rsidR="004B01B9" w:rsidRPr="00E86A8F" w:rsidRDefault="00645502"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A este respecto, la condena penal de 300 días de prisión, aunque sea suspendida, </w:t>
      </w:r>
      <w:r w:rsidR="0061668C" w:rsidRPr="00E86A8F">
        <w:rPr>
          <w:rFonts w:asciiTheme="majorHAnsi" w:hAnsiTheme="majorHAnsi"/>
          <w:sz w:val="20"/>
          <w:szCs w:val="20"/>
          <w:lang w:val="es-CO"/>
        </w:rPr>
        <w:t>el monto de reparación civil</w:t>
      </w:r>
      <w:r w:rsidR="00E62148" w:rsidRPr="00E86A8F">
        <w:rPr>
          <w:rFonts w:asciiTheme="majorHAnsi" w:hAnsiTheme="majorHAnsi"/>
          <w:sz w:val="20"/>
          <w:szCs w:val="20"/>
          <w:lang w:val="es-CO"/>
        </w:rPr>
        <w:t xml:space="preserve"> ($1.200 aproximadamente), </w:t>
      </w:r>
      <w:r w:rsidR="0061668C" w:rsidRPr="00E86A8F">
        <w:rPr>
          <w:rFonts w:asciiTheme="majorHAnsi" w:hAnsiTheme="majorHAnsi"/>
          <w:sz w:val="20"/>
          <w:szCs w:val="20"/>
          <w:lang w:val="es-CO"/>
        </w:rPr>
        <w:t xml:space="preserve"> así como la inhabilitación para ejercer cargos </w:t>
      </w:r>
      <w:r w:rsidR="005A442E" w:rsidRPr="00E86A8F">
        <w:rPr>
          <w:rFonts w:asciiTheme="majorHAnsi" w:hAnsiTheme="majorHAnsi"/>
          <w:sz w:val="20"/>
          <w:szCs w:val="20"/>
          <w:lang w:val="es-CO"/>
        </w:rPr>
        <w:t>públicos</w:t>
      </w:r>
      <w:r w:rsidR="0061668C" w:rsidRPr="00E86A8F">
        <w:rPr>
          <w:rFonts w:asciiTheme="majorHAnsi" w:hAnsiTheme="majorHAnsi"/>
          <w:sz w:val="20"/>
          <w:szCs w:val="20"/>
          <w:lang w:val="es-CO"/>
        </w:rPr>
        <w:t xml:space="preserve"> durante el periodo de la condena, </w:t>
      </w:r>
      <w:r w:rsidR="0016385D" w:rsidRPr="00E86A8F">
        <w:rPr>
          <w:rFonts w:asciiTheme="majorHAnsi" w:hAnsiTheme="majorHAnsi"/>
          <w:sz w:val="20"/>
          <w:szCs w:val="20"/>
          <w:lang w:val="es-CO"/>
        </w:rPr>
        <w:t xml:space="preserve">los antecedentes penales como consecuencia del proceso, así como la posibilidad de que la reincidencia implique una prisión efectiva, </w:t>
      </w:r>
      <w:r w:rsidR="005A442E" w:rsidRPr="00E86A8F">
        <w:rPr>
          <w:rFonts w:asciiTheme="majorHAnsi" w:hAnsiTheme="majorHAnsi"/>
          <w:sz w:val="20"/>
          <w:szCs w:val="20"/>
          <w:lang w:val="es-CO"/>
        </w:rPr>
        <w:t xml:space="preserve">demuestran las severas consecuencias de un proceso penal en sí mismo, las que </w:t>
      </w:r>
      <w:r w:rsidR="00105265" w:rsidRPr="00E86A8F">
        <w:rPr>
          <w:rFonts w:asciiTheme="majorHAnsi" w:hAnsiTheme="majorHAnsi"/>
          <w:sz w:val="20"/>
          <w:szCs w:val="20"/>
          <w:lang w:val="es-CO"/>
        </w:rPr>
        <w:t>lograron la autocensura del señor Baraona, quien según los hechos del caso, actuaba activamente en defensa del alerce en Chile.</w:t>
      </w:r>
    </w:p>
    <w:p w14:paraId="0D1FC93B" w14:textId="77777777" w:rsidR="00CC5C91" w:rsidRPr="00E86A8F" w:rsidRDefault="00CC5C9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7E7DBCF9" w14:textId="37F58342" w:rsidR="00F53D2B" w:rsidRPr="00E86A8F" w:rsidRDefault="00F53D2B"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Asimismo, si bien la Convención protege el derecho </w:t>
      </w:r>
      <w:r w:rsidR="00B30B88" w:rsidRPr="00E86A8F">
        <w:rPr>
          <w:rFonts w:asciiTheme="majorHAnsi" w:hAnsiTheme="majorHAnsi"/>
          <w:sz w:val="20"/>
          <w:szCs w:val="20"/>
          <w:lang w:val="es-CO"/>
        </w:rPr>
        <w:t xml:space="preserve">a la honra de los funcionarios públicos, </w:t>
      </w:r>
      <w:r w:rsidR="00D904FC" w:rsidRPr="00E86A8F">
        <w:rPr>
          <w:rFonts w:asciiTheme="majorHAnsi" w:hAnsiTheme="majorHAnsi"/>
          <w:sz w:val="20"/>
          <w:szCs w:val="20"/>
          <w:lang w:val="es-CO"/>
        </w:rPr>
        <w:t>si el discurso se centra en el desempeño de su cargo o actos realizados por el mismo</w:t>
      </w:r>
      <w:r w:rsidR="00776E9C" w:rsidRPr="00E86A8F">
        <w:rPr>
          <w:rFonts w:asciiTheme="majorHAnsi" w:hAnsiTheme="majorHAnsi"/>
          <w:sz w:val="20"/>
          <w:szCs w:val="20"/>
          <w:lang w:val="es-CO"/>
        </w:rPr>
        <w:t xml:space="preserve"> en el desempeño de sus labores</w:t>
      </w:r>
      <w:r w:rsidR="00D904FC" w:rsidRPr="00E86A8F">
        <w:rPr>
          <w:rFonts w:asciiTheme="majorHAnsi" w:hAnsiTheme="majorHAnsi"/>
          <w:sz w:val="20"/>
          <w:szCs w:val="20"/>
          <w:lang w:val="es-CO"/>
        </w:rPr>
        <w:t xml:space="preserve">, </w:t>
      </w:r>
      <w:r w:rsidR="009C0DB4" w:rsidRPr="00E86A8F">
        <w:rPr>
          <w:rFonts w:asciiTheme="majorHAnsi" w:hAnsiTheme="majorHAnsi"/>
          <w:sz w:val="20"/>
          <w:szCs w:val="20"/>
          <w:lang w:val="es-CO"/>
        </w:rPr>
        <w:t>el derecho a la libertad de expresión goza de especial protección, con el fin de propiciar el debate democrático sobre temas de interés público</w:t>
      </w:r>
      <w:r w:rsidRPr="00E86A8F">
        <w:rPr>
          <w:rFonts w:asciiTheme="majorHAnsi" w:hAnsiTheme="majorHAnsi"/>
          <w:sz w:val="20"/>
          <w:szCs w:val="20"/>
          <w:lang w:val="es-CO"/>
        </w:rPr>
        <w:t xml:space="preserve"> </w:t>
      </w:r>
      <w:r w:rsidR="00E24410" w:rsidRPr="00E86A8F">
        <w:rPr>
          <w:rFonts w:asciiTheme="majorHAnsi" w:hAnsiTheme="majorHAnsi"/>
          <w:sz w:val="20"/>
          <w:szCs w:val="20"/>
          <w:lang w:val="es-CO"/>
        </w:rPr>
        <w:t>y fomentar la transparencia y fiscalización sobre su gestión.</w:t>
      </w:r>
      <w:r w:rsidR="00F2544E" w:rsidRPr="00E86A8F">
        <w:rPr>
          <w:rFonts w:asciiTheme="majorHAnsi" w:hAnsiTheme="majorHAnsi"/>
          <w:sz w:val="20"/>
          <w:szCs w:val="20"/>
          <w:lang w:val="es-CO"/>
        </w:rPr>
        <w:t xml:space="preserve"> En el caso que nos ocupa, </w:t>
      </w:r>
      <w:r w:rsidR="00C37F3D" w:rsidRPr="00E86A8F">
        <w:rPr>
          <w:rFonts w:asciiTheme="majorHAnsi" w:hAnsiTheme="majorHAnsi"/>
          <w:sz w:val="20"/>
          <w:szCs w:val="20"/>
          <w:lang w:val="es-CO"/>
        </w:rPr>
        <w:t xml:space="preserve">el debate </w:t>
      </w:r>
      <w:r w:rsidR="00E031D0" w:rsidRPr="00E86A8F">
        <w:rPr>
          <w:rFonts w:asciiTheme="majorHAnsi" w:hAnsiTheme="majorHAnsi"/>
          <w:sz w:val="20"/>
          <w:szCs w:val="20"/>
          <w:lang w:val="es-CO"/>
        </w:rPr>
        <w:t xml:space="preserve">versaba </w:t>
      </w:r>
      <w:r w:rsidR="00C37F3D" w:rsidRPr="00E86A8F">
        <w:rPr>
          <w:rFonts w:asciiTheme="majorHAnsi" w:hAnsiTheme="majorHAnsi"/>
          <w:sz w:val="20"/>
          <w:szCs w:val="20"/>
          <w:lang w:val="es-CO"/>
        </w:rPr>
        <w:t xml:space="preserve">sobre </w:t>
      </w:r>
      <w:r w:rsidR="00A81EB4" w:rsidRPr="00E86A8F">
        <w:rPr>
          <w:rFonts w:asciiTheme="majorHAnsi" w:hAnsiTheme="majorHAnsi"/>
          <w:sz w:val="20"/>
          <w:szCs w:val="20"/>
          <w:lang w:val="es-CO"/>
        </w:rPr>
        <w:t>temas de</w:t>
      </w:r>
      <w:r w:rsidR="00486428" w:rsidRPr="00E86A8F">
        <w:rPr>
          <w:rFonts w:asciiTheme="majorHAnsi" w:hAnsiTheme="majorHAnsi"/>
          <w:sz w:val="20"/>
          <w:szCs w:val="20"/>
          <w:lang w:val="es-CO"/>
        </w:rPr>
        <w:t xml:space="preserve"> notorio </w:t>
      </w:r>
      <w:r w:rsidR="00C37F3D" w:rsidRPr="00E86A8F">
        <w:rPr>
          <w:rFonts w:asciiTheme="majorHAnsi" w:hAnsiTheme="majorHAnsi"/>
          <w:sz w:val="20"/>
          <w:szCs w:val="20"/>
          <w:lang w:val="es-CO"/>
        </w:rPr>
        <w:t>interés público</w:t>
      </w:r>
      <w:r w:rsidR="00A81EB4" w:rsidRPr="00E86A8F">
        <w:rPr>
          <w:rFonts w:asciiTheme="majorHAnsi" w:hAnsiTheme="majorHAnsi"/>
          <w:sz w:val="20"/>
          <w:szCs w:val="20"/>
          <w:lang w:val="es-CO"/>
        </w:rPr>
        <w:t>,</w:t>
      </w:r>
      <w:r w:rsidR="00C37F3D" w:rsidRPr="00E86A8F">
        <w:rPr>
          <w:rFonts w:asciiTheme="majorHAnsi" w:hAnsiTheme="majorHAnsi"/>
          <w:sz w:val="20"/>
          <w:szCs w:val="20"/>
          <w:lang w:val="es-CO"/>
        </w:rPr>
        <w:t xml:space="preserve"> enfocado</w:t>
      </w:r>
      <w:r w:rsidR="00A81EB4" w:rsidRPr="00E86A8F">
        <w:rPr>
          <w:rFonts w:asciiTheme="majorHAnsi" w:hAnsiTheme="majorHAnsi"/>
          <w:sz w:val="20"/>
          <w:szCs w:val="20"/>
          <w:lang w:val="es-CO"/>
        </w:rPr>
        <w:t>s además,</w:t>
      </w:r>
      <w:r w:rsidR="00C37F3D" w:rsidRPr="00E86A8F">
        <w:rPr>
          <w:rFonts w:asciiTheme="majorHAnsi" w:hAnsiTheme="majorHAnsi"/>
          <w:sz w:val="20"/>
          <w:szCs w:val="20"/>
          <w:lang w:val="es-CO"/>
        </w:rPr>
        <w:t xml:space="preserve"> en la protección del medio ambiente</w:t>
      </w:r>
      <w:r w:rsidR="004B2575" w:rsidRPr="00E86A8F">
        <w:rPr>
          <w:rFonts w:asciiTheme="majorHAnsi" w:hAnsiTheme="majorHAnsi"/>
          <w:sz w:val="20"/>
          <w:szCs w:val="20"/>
          <w:lang w:val="es-CO"/>
        </w:rPr>
        <w:t xml:space="preserve">. </w:t>
      </w:r>
      <w:r w:rsidR="00486428" w:rsidRPr="00E86A8F">
        <w:rPr>
          <w:rFonts w:asciiTheme="majorHAnsi" w:hAnsiTheme="majorHAnsi"/>
          <w:sz w:val="20"/>
          <w:szCs w:val="20"/>
          <w:lang w:val="es-CO"/>
        </w:rPr>
        <w:t>Si bien la</w:t>
      </w:r>
      <w:r w:rsidR="004B2575" w:rsidRPr="00E86A8F">
        <w:rPr>
          <w:rFonts w:asciiTheme="majorHAnsi" w:hAnsiTheme="majorHAnsi"/>
          <w:sz w:val="20"/>
          <w:szCs w:val="20"/>
          <w:lang w:val="es-CO"/>
        </w:rPr>
        <w:t>s</w:t>
      </w:r>
      <w:r w:rsidR="00486428" w:rsidRPr="00E86A8F">
        <w:rPr>
          <w:rFonts w:asciiTheme="majorHAnsi" w:hAnsiTheme="majorHAnsi"/>
          <w:sz w:val="20"/>
          <w:szCs w:val="20"/>
          <w:lang w:val="es-CO"/>
        </w:rPr>
        <w:t xml:space="preserve"> expresiones de Carlos Baraona no solo </w:t>
      </w:r>
      <w:r w:rsidR="00A81EB4" w:rsidRPr="00E86A8F">
        <w:rPr>
          <w:rFonts w:asciiTheme="majorHAnsi" w:hAnsiTheme="majorHAnsi"/>
          <w:sz w:val="20"/>
          <w:szCs w:val="20"/>
          <w:lang w:val="es-CO"/>
        </w:rPr>
        <w:t>se trataron</w:t>
      </w:r>
      <w:r w:rsidR="004B4434" w:rsidRPr="00E86A8F">
        <w:rPr>
          <w:rFonts w:asciiTheme="majorHAnsi" w:hAnsiTheme="majorHAnsi"/>
          <w:sz w:val="20"/>
          <w:szCs w:val="20"/>
          <w:lang w:val="es-CO"/>
        </w:rPr>
        <w:t xml:space="preserve"> de</w:t>
      </w:r>
      <w:r w:rsidR="00486428" w:rsidRPr="00E86A8F">
        <w:rPr>
          <w:rFonts w:asciiTheme="majorHAnsi" w:hAnsiTheme="majorHAnsi"/>
          <w:sz w:val="20"/>
          <w:szCs w:val="20"/>
          <w:lang w:val="es-CO"/>
        </w:rPr>
        <w:t xml:space="preserve"> opiniones</w:t>
      </w:r>
      <w:r w:rsidR="00E031D0" w:rsidRPr="00E86A8F">
        <w:rPr>
          <w:rFonts w:asciiTheme="majorHAnsi" w:hAnsiTheme="majorHAnsi"/>
          <w:sz w:val="20"/>
          <w:szCs w:val="20"/>
          <w:lang w:val="es-CO"/>
        </w:rPr>
        <w:t xml:space="preserve"> o juicios de valor, los cuales no pueden ser considerados como verdaderos o falsos</w:t>
      </w:r>
      <w:r w:rsidR="00C3058B" w:rsidRPr="00E86A8F">
        <w:rPr>
          <w:rStyle w:val="FootnoteReference"/>
          <w:rFonts w:asciiTheme="majorHAnsi" w:hAnsiTheme="majorHAnsi"/>
          <w:sz w:val="20"/>
          <w:szCs w:val="20"/>
          <w:lang w:val="es-CO"/>
        </w:rPr>
        <w:footnoteReference w:id="108"/>
      </w:r>
      <w:r w:rsidR="00E031D0" w:rsidRPr="00E86A8F">
        <w:rPr>
          <w:rFonts w:asciiTheme="majorHAnsi" w:hAnsiTheme="majorHAnsi"/>
          <w:sz w:val="20"/>
          <w:szCs w:val="20"/>
          <w:lang w:val="es-CO"/>
        </w:rPr>
        <w:t xml:space="preserve">, también </w:t>
      </w:r>
      <w:r w:rsidR="00F1182C" w:rsidRPr="00E86A8F">
        <w:rPr>
          <w:rFonts w:asciiTheme="majorHAnsi" w:hAnsiTheme="majorHAnsi"/>
          <w:sz w:val="20"/>
          <w:szCs w:val="20"/>
          <w:lang w:val="es-CO"/>
        </w:rPr>
        <w:t xml:space="preserve">se refirieron a </w:t>
      </w:r>
      <w:r w:rsidR="00E031D0" w:rsidRPr="00E86A8F">
        <w:rPr>
          <w:rFonts w:asciiTheme="majorHAnsi" w:hAnsiTheme="majorHAnsi"/>
          <w:sz w:val="20"/>
          <w:szCs w:val="20"/>
          <w:lang w:val="es-CO"/>
        </w:rPr>
        <w:t xml:space="preserve">hechos </w:t>
      </w:r>
      <w:r w:rsidR="00C3058B" w:rsidRPr="00E86A8F">
        <w:rPr>
          <w:rFonts w:asciiTheme="majorHAnsi" w:hAnsiTheme="majorHAnsi"/>
          <w:sz w:val="20"/>
          <w:szCs w:val="20"/>
          <w:lang w:val="es-CO"/>
        </w:rPr>
        <w:t xml:space="preserve">atribuidos al </w:t>
      </w:r>
      <w:r w:rsidR="00486700" w:rsidRPr="00E86A8F">
        <w:rPr>
          <w:rFonts w:asciiTheme="majorHAnsi" w:hAnsiTheme="majorHAnsi"/>
          <w:sz w:val="20"/>
          <w:szCs w:val="20"/>
          <w:lang w:val="es-CO"/>
        </w:rPr>
        <w:t>senador</w:t>
      </w:r>
      <w:r w:rsidR="00326A6F" w:rsidRPr="00E86A8F">
        <w:rPr>
          <w:rFonts w:asciiTheme="majorHAnsi" w:hAnsiTheme="majorHAnsi"/>
          <w:sz w:val="20"/>
          <w:szCs w:val="20"/>
          <w:lang w:val="es-CO"/>
        </w:rPr>
        <w:t>, los cuales pueden ser verificables.</w:t>
      </w:r>
    </w:p>
    <w:p w14:paraId="0582E367" w14:textId="77777777" w:rsidR="00A11EE1" w:rsidRPr="00E86A8F" w:rsidRDefault="00A11EE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5FBE316F" w14:textId="10D8D3D4" w:rsidR="00097336" w:rsidRPr="00E86A8F" w:rsidRDefault="001B6FC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E86A8F">
        <w:rPr>
          <w:rFonts w:asciiTheme="majorHAnsi" w:hAnsiTheme="majorHAnsi"/>
          <w:sz w:val="20"/>
          <w:szCs w:val="20"/>
          <w:lang w:val="es-CO"/>
        </w:rPr>
        <w:t xml:space="preserve">Respecto a esto último, </w:t>
      </w:r>
      <w:r w:rsidR="00CC5C91" w:rsidRPr="00E86A8F">
        <w:rPr>
          <w:rFonts w:asciiTheme="majorHAnsi" w:hAnsiTheme="majorHAnsi"/>
          <w:spacing w:val="-2"/>
          <w:sz w:val="20"/>
          <w:szCs w:val="20"/>
          <w:lang w:val="es-PE"/>
        </w:rPr>
        <w:t xml:space="preserve">en el marco de la libertad de información, </w:t>
      </w:r>
      <w:r w:rsidR="005F564D" w:rsidRPr="00E86A8F">
        <w:rPr>
          <w:rFonts w:asciiTheme="majorHAnsi" w:hAnsiTheme="majorHAnsi"/>
          <w:spacing w:val="-2"/>
          <w:sz w:val="20"/>
          <w:szCs w:val="20"/>
          <w:lang w:val="es-PE"/>
        </w:rPr>
        <w:t xml:space="preserve">existe un deber </w:t>
      </w:r>
      <w:r w:rsidR="00CC5C91" w:rsidRPr="00E86A8F">
        <w:rPr>
          <w:rFonts w:asciiTheme="majorHAnsi" w:hAnsiTheme="majorHAnsi"/>
          <w:spacing w:val="-2"/>
          <w:sz w:val="20"/>
          <w:szCs w:val="20"/>
          <w:lang w:val="es-PE"/>
        </w:rPr>
        <w:t>de constatar en forma razonable, aunque no necesariamente exhaustiva, los hechos en que fundamenta sus opiniones</w:t>
      </w:r>
      <w:r w:rsidR="00A04E95" w:rsidRPr="00E86A8F">
        <w:rPr>
          <w:rFonts w:asciiTheme="majorHAnsi" w:hAnsiTheme="majorHAnsi"/>
          <w:spacing w:val="-2"/>
          <w:sz w:val="20"/>
          <w:szCs w:val="20"/>
          <w:lang w:val="es-PE"/>
        </w:rPr>
        <w:t xml:space="preserve"> </w:t>
      </w:r>
      <w:r w:rsidR="00AA4FB6" w:rsidRPr="00E86A8F">
        <w:rPr>
          <w:rFonts w:asciiTheme="majorHAnsi" w:hAnsiTheme="majorHAnsi"/>
          <w:spacing w:val="-2"/>
          <w:sz w:val="20"/>
          <w:szCs w:val="20"/>
          <w:lang w:val="es-PE"/>
        </w:rPr>
        <w:t>y expresione</w:t>
      </w:r>
      <w:r w:rsidR="000C17CF" w:rsidRPr="00E86A8F">
        <w:rPr>
          <w:rFonts w:asciiTheme="majorHAnsi" w:hAnsiTheme="majorHAnsi"/>
          <w:spacing w:val="-2"/>
          <w:sz w:val="20"/>
          <w:szCs w:val="20"/>
          <w:lang w:val="es-PE"/>
        </w:rPr>
        <w:t>s</w:t>
      </w:r>
      <w:r w:rsidR="000C17CF" w:rsidRPr="00E86A8F">
        <w:rPr>
          <w:rStyle w:val="FootnoteReference"/>
          <w:rFonts w:asciiTheme="majorHAnsi" w:hAnsiTheme="majorHAnsi"/>
          <w:spacing w:val="-2"/>
          <w:sz w:val="20"/>
          <w:szCs w:val="20"/>
          <w:lang w:val="es-PE"/>
        </w:rPr>
        <w:footnoteReference w:id="109"/>
      </w:r>
      <w:r w:rsidR="005D7F07" w:rsidRPr="00E86A8F">
        <w:rPr>
          <w:rFonts w:asciiTheme="majorHAnsi" w:hAnsiTheme="majorHAnsi"/>
          <w:spacing w:val="-2"/>
          <w:sz w:val="20"/>
          <w:szCs w:val="20"/>
          <w:lang w:val="es-PE"/>
        </w:rPr>
        <w:t xml:space="preserve">. </w:t>
      </w:r>
      <w:r w:rsidR="005F564D" w:rsidRPr="00E86A8F">
        <w:rPr>
          <w:rFonts w:asciiTheme="majorHAnsi" w:hAnsiTheme="majorHAnsi"/>
          <w:spacing w:val="-2"/>
          <w:sz w:val="20"/>
          <w:szCs w:val="20"/>
          <w:lang w:val="es-PE"/>
        </w:rPr>
        <w:t>E</w:t>
      </w:r>
      <w:r w:rsidR="00CC5C91" w:rsidRPr="00E86A8F">
        <w:rPr>
          <w:rFonts w:asciiTheme="majorHAnsi" w:hAnsiTheme="majorHAnsi"/>
          <w:spacing w:val="-2"/>
          <w:sz w:val="20"/>
          <w:szCs w:val="20"/>
          <w:lang w:val="es-PE"/>
        </w:rPr>
        <w:t xml:space="preserve">l Tribunal Europeo ha señalado que la libertad de expresión no garantiza una protección ilimitada, inclusive en asuntos de interés público. </w:t>
      </w:r>
      <w:r w:rsidR="004C51CD" w:rsidRPr="00E86A8F">
        <w:rPr>
          <w:rFonts w:asciiTheme="majorHAnsi" w:hAnsiTheme="majorHAnsi"/>
          <w:spacing w:val="-2"/>
          <w:sz w:val="20"/>
          <w:szCs w:val="20"/>
          <w:lang w:val="es-PE"/>
        </w:rPr>
        <w:t>Aun</w:t>
      </w:r>
      <w:r w:rsidR="00CC5C91" w:rsidRPr="00E86A8F">
        <w:rPr>
          <w:rFonts w:asciiTheme="majorHAnsi" w:hAnsiTheme="majorHAnsi"/>
          <w:spacing w:val="-2"/>
          <w:sz w:val="20"/>
          <w:szCs w:val="20"/>
          <w:lang w:val="es-PE"/>
        </w:rPr>
        <w:t xml:space="preserve"> cuando están amparados bajo la protección de la libertad de expresión, los periodistas</w:t>
      </w:r>
      <w:r w:rsidR="004C51CD" w:rsidRPr="00E86A8F">
        <w:rPr>
          <w:rFonts w:asciiTheme="majorHAnsi" w:hAnsiTheme="majorHAnsi"/>
          <w:spacing w:val="-2"/>
          <w:sz w:val="20"/>
          <w:szCs w:val="20"/>
          <w:lang w:val="es-PE"/>
        </w:rPr>
        <w:t xml:space="preserve"> y las personas que informan </w:t>
      </w:r>
      <w:r w:rsidR="00CC5C91" w:rsidRPr="00E86A8F">
        <w:rPr>
          <w:rFonts w:asciiTheme="majorHAnsi" w:hAnsiTheme="majorHAnsi"/>
          <w:spacing w:val="-2"/>
          <w:sz w:val="20"/>
          <w:szCs w:val="20"/>
          <w:lang w:val="es-PE"/>
        </w:rPr>
        <w:t xml:space="preserve">deben </w:t>
      </w:r>
      <w:r w:rsidR="00FE2800" w:rsidRPr="00E86A8F">
        <w:rPr>
          <w:rFonts w:asciiTheme="majorHAnsi" w:hAnsiTheme="majorHAnsi"/>
          <w:spacing w:val="-2"/>
          <w:sz w:val="20"/>
          <w:szCs w:val="20"/>
          <w:lang w:val="es-PE"/>
        </w:rPr>
        <w:t xml:space="preserve">actuar </w:t>
      </w:r>
      <w:r w:rsidR="00CC5C91" w:rsidRPr="00E86A8F">
        <w:rPr>
          <w:rFonts w:asciiTheme="majorHAnsi" w:hAnsiTheme="majorHAnsi"/>
          <w:spacing w:val="-2"/>
          <w:sz w:val="20"/>
          <w:szCs w:val="20"/>
          <w:lang w:val="es-PE"/>
        </w:rPr>
        <w:t>de buena fe, brindar información precisa y confiable, reflejar de manera objetiva las opiniones de los involucrados en el debate público y abstenerse de caer en sensacionalismos</w:t>
      </w:r>
      <w:r w:rsidR="00CC5C91" w:rsidRPr="00E86A8F">
        <w:rPr>
          <w:rStyle w:val="FootnoteReference"/>
          <w:rFonts w:asciiTheme="majorHAnsi" w:hAnsiTheme="majorHAnsi"/>
          <w:spacing w:val="-2"/>
          <w:sz w:val="20"/>
          <w:szCs w:val="20"/>
        </w:rPr>
        <w:footnoteReference w:id="110"/>
      </w:r>
      <w:r w:rsidR="00CC5C91" w:rsidRPr="00E86A8F">
        <w:rPr>
          <w:rFonts w:asciiTheme="majorHAnsi" w:hAnsiTheme="majorHAnsi"/>
          <w:spacing w:val="-2"/>
          <w:sz w:val="20"/>
          <w:szCs w:val="20"/>
          <w:lang w:val="es-PE"/>
        </w:rPr>
        <w:t xml:space="preserve">. </w:t>
      </w:r>
      <w:r w:rsidR="00E51AF9" w:rsidRPr="00E86A8F">
        <w:rPr>
          <w:rFonts w:asciiTheme="majorHAnsi" w:hAnsiTheme="majorHAnsi"/>
          <w:spacing w:val="-2"/>
          <w:sz w:val="20"/>
          <w:szCs w:val="20"/>
          <w:lang w:val="es-PE"/>
        </w:rPr>
        <w:t xml:space="preserve">A este respecto, </w:t>
      </w:r>
      <w:r w:rsidR="004F4B58" w:rsidRPr="00E86A8F">
        <w:rPr>
          <w:rFonts w:asciiTheme="majorHAnsi" w:hAnsiTheme="majorHAnsi"/>
          <w:spacing w:val="-2"/>
          <w:sz w:val="20"/>
          <w:szCs w:val="20"/>
          <w:lang w:val="es-PE"/>
        </w:rPr>
        <w:t xml:space="preserve">la verosimilitud de la información no es sinónimo de verdad absoluta, </w:t>
      </w:r>
      <w:r w:rsidR="00097336" w:rsidRPr="00E86A8F">
        <w:rPr>
          <w:rFonts w:asciiTheme="majorHAnsi" w:hAnsiTheme="majorHAnsi"/>
          <w:spacing w:val="-2"/>
          <w:sz w:val="20"/>
          <w:szCs w:val="20"/>
          <w:lang w:val="es-PE"/>
        </w:rPr>
        <w:t xml:space="preserve">ya </w:t>
      </w:r>
      <w:r w:rsidR="00097336" w:rsidRPr="00E86A8F">
        <w:rPr>
          <w:rFonts w:asciiTheme="majorHAnsi" w:hAnsiTheme="majorHAnsi"/>
          <w:spacing w:val="-2"/>
          <w:sz w:val="20"/>
          <w:szCs w:val="20"/>
          <w:lang w:val="es-PE"/>
        </w:rPr>
        <w:lastRenderedPageBreak/>
        <w:t>que,</w:t>
      </w:r>
      <w:r w:rsidR="004F4B58" w:rsidRPr="00E86A8F">
        <w:rPr>
          <w:rFonts w:asciiTheme="majorHAnsi" w:hAnsiTheme="majorHAnsi"/>
          <w:spacing w:val="-2"/>
          <w:sz w:val="20"/>
          <w:szCs w:val="20"/>
          <w:lang w:val="es-PE"/>
        </w:rPr>
        <w:t xml:space="preserve"> </w:t>
      </w:r>
      <w:r w:rsidR="00A37046" w:rsidRPr="00E86A8F">
        <w:rPr>
          <w:rFonts w:asciiTheme="majorHAnsi" w:hAnsiTheme="majorHAnsi"/>
          <w:spacing w:val="-2"/>
          <w:sz w:val="20"/>
          <w:szCs w:val="20"/>
          <w:lang w:val="es-PE"/>
        </w:rPr>
        <w:t xml:space="preserve">si la persona que informa actúa con la diligencia necesaria y de buena fe en la búsqueda de </w:t>
      </w:r>
      <w:r w:rsidR="007867BE" w:rsidRPr="00E86A8F">
        <w:rPr>
          <w:rFonts w:asciiTheme="majorHAnsi" w:hAnsiTheme="majorHAnsi"/>
          <w:spacing w:val="-2"/>
          <w:sz w:val="20"/>
          <w:szCs w:val="20"/>
          <w:lang w:val="es-PE"/>
        </w:rPr>
        <w:t>información, la cual considera cierta</w:t>
      </w:r>
      <w:r w:rsidR="00D93751" w:rsidRPr="00E86A8F">
        <w:rPr>
          <w:rFonts w:asciiTheme="majorHAnsi" w:hAnsiTheme="majorHAnsi"/>
          <w:spacing w:val="-2"/>
          <w:sz w:val="20"/>
          <w:szCs w:val="20"/>
          <w:lang w:val="es-PE"/>
        </w:rPr>
        <w:t xml:space="preserve"> de acuerdo a las circunstancias de cada caso</w:t>
      </w:r>
      <w:r w:rsidR="007867BE" w:rsidRPr="00E86A8F">
        <w:rPr>
          <w:rFonts w:asciiTheme="majorHAnsi" w:hAnsiTheme="majorHAnsi"/>
          <w:spacing w:val="-2"/>
          <w:sz w:val="20"/>
          <w:szCs w:val="20"/>
          <w:lang w:val="es-PE"/>
        </w:rPr>
        <w:t>,</w:t>
      </w:r>
      <w:r w:rsidR="004053F3" w:rsidRPr="00E86A8F">
        <w:rPr>
          <w:rFonts w:asciiTheme="majorHAnsi" w:hAnsiTheme="majorHAnsi"/>
          <w:spacing w:val="-2"/>
          <w:sz w:val="20"/>
          <w:szCs w:val="20"/>
          <w:lang w:val="es-PE"/>
        </w:rPr>
        <w:t xml:space="preserve"> a pesar de que</w:t>
      </w:r>
      <w:r w:rsidR="007867BE" w:rsidRPr="00E86A8F">
        <w:rPr>
          <w:rFonts w:asciiTheme="majorHAnsi" w:hAnsiTheme="majorHAnsi"/>
          <w:spacing w:val="-2"/>
          <w:sz w:val="20"/>
          <w:szCs w:val="20"/>
          <w:lang w:val="es-PE"/>
        </w:rPr>
        <w:t xml:space="preserve"> </w:t>
      </w:r>
      <w:r w:rsidR="004053F3" w:rsidRPr="00E86A8F">
        <w:rPr>
          <w:rFonts w:asciiTheme="majorHAnsi" w:hAnsiTheme="majorHAnsi"/>
          <w:spacing w:val="-2"/>
          <w:sz w:val="20"/>
          <w:szCs w:val="20"/>
          <w:lang w:val="es-PE"/>
        </w:rPr>
        <w:t>la</w:t>
      </w:r>
      <w:r w:rsidR="00397CD1" w:rsidRPr="00E86A8F">
        <w:rPr>
          <w:rFonts w:asciiTheme="majorHAnsi" w:hAnsiTheme="majorHAnsi"/>
          <w:spacing w:val="-2"/>
          <w:sz w:val="20"/>
          <w:szCs w:val="20"/>
          <w:lang w:val="es-PE"/>
        </w:rPr>
        <w:t xml:space="preserve"> exactitud </w:t>
      </w:r>
      <w:r w:rsidR="004053F3" w:rsidRPr="00E86A8F">
        <w:rPr>
          <w:rFonts w:asciiTheme="majorHAnsi" w:hAnsiTheme="majorHAnsi"/>
          <w:spacing w:val="-2"/>
          <w:sz w:val="20"/>
          <w:szCs w:val="20"/>
          <w:lang w:val="es-PE"/>
        </w:rPr>
        <w:t>de la misma sea</w:t>
      </w:r>
      <w:r w:rsidR="00397CD1" w:rsidRPr="00E86A8F">
        <w:rPr>
          <w:rFonts w:asciiTheme="majorHAnsi" w:hAnsiTheme="majorHAnsi"/>
          <w:spacing w:val="-2"/>
          <w:sz w:val="20"/>
          <w:szCs w:val="20"/>
          <w:lang w:val="es-PE"/>
        </w:rPr>
        <w:t xml:space="preserve"> controvertible o se </w:t>
      </w:r>
      <w:r w:rsidR="004053F3" w:rsidRPr="00E86A8F">
        <w:rPr>
          <w:rFonts w:asciiTheme="majorHAnsi" w:hAnsiTheme="majorHAnsi"/>
          <w:spacing w:val="-2"/>
          <w:sz w:val="20"/>
          <w:szCs w:val="20"/>
          <w:lang w:val="es-PE"/>
        </w:rPr>
        <w:t xml:space="preserve">compruebe </w:t>
      </w:r>
      <w:r w:rsidR="00397CD1" w:rsidRPr="00E86A8F">
        <w:rPr>
          <w:rFonts w:asciiTheme="majorHAnsi" w:hAnsiTheme="majorHAnsi"/>
          <w:spacing w:val="-2"/>
          <w:sz w:val="20"/>
          <w:szCs w:val="20"/>
          <w:lang w:val="es-PE"/>
        </w:rPr>
        <w:t>errónea</w:t>
      </w:r>
      <w:r w:rsidR="004053F3" w:rsidRPr="00E86A8F">
        <w:rPr>
          <w:rFonts w:asciiTheme="majorHAnsi" w:hAnsiTheme="majorHAnsi"/>
          <w:spacing w:val="-2"/>
          <w:sz w:val="20"/>
          <w:szCs w:val="20"/>
          <w:lang w:val="es-PE"/>
        </w:rPr>
        <w:t>, dicho discurso estará protegido por el derecho a la libertad de expresión</w:t>
      </w:r>
      <w:r w:rsidR="00D93751" w:rsidRPr="00E86A8F">
        <w:rPr>
          <w:rFonts w:asciiTheme="majorHAnsi" w:hAnsiTheme="majorHAnsi"/>
          <w:spacing w:val="-2"/>
          <w:sz w:val="20"/>
          <w:szCs w:val="20"/>
          <w:lang w:val="es-PE"/>
        </w:rPr>
        <w:t xml:space="preserve"> y de información.</w:t>
      </w:r>
      <w:r w:rsidR="002F2A03" w:rsidRPr="00E86A8F">
        <w:rPr>
          <w:rFonts w:asciiTheme="majorHAnsi" w:hAnsiTheme="majorHAnsi"/>
          <w:sz w:val="20"/>
          <w:szCs w:val="20"/>
          <w:lang w:val="es-PE"/>
        </w:rPr>
        <w:t xml:space="preserve"> </w:t>
      </w:r>
      <w:r w:rsidR="00097336" w:rsidRPr="00E86A8F">
        <w:rPr>
          <w:rFonts w:asciiTheme="majorHAnsi" w:hAnsiTheme="majorHAnsi" w:cstheme="minorHAnsi"/>
          <w:sz w:val="20"/>
          <w:szCs w:val="20"/>
          <w:lang w:val="es-AR"/>
        </w:rPr>
        <w:t>En consecuencia, incluso si los hechos que se afirman no pueden ser demostrados en un proceso judicial, quien realizó las afirmaciones correspondientes estará protegido siempre que no tuviera conocimiento de la falsedad de lo que afirmaba o no hubiere actuado con negligencia grave (absoluto desprecio por la verdad).</w:t>
      </w:r>
    </w:p>
    <w:p w14:paraId="3908CD76" w14:textId="77777777" w:rsidR="00073BB6" w:rsidRPr="00E86A8F" w:rsidRDefault="00073BB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1668209F" w14:textId="746D8125" w:rsidR="004D2123" w:rsidRPr="00E86A8F" w:rsidRDefault="00BD75AF"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Ahora bien, los hechos que le fueron atribuidos al </w:t>
      </w:r>
      <w:r w:rsidR="00486700" w:rsidRPr="00E86A8F">
        <w:rPr>
          <w:rFonts w:asciiTheme="majorHAnsi" w:hAnsiTheme="majorHAnsi"/>
          <w:sz w:val="20"/>
          <w:szCs w:val="20"/>
          <w:lang w:val="es-CO"/>
        </w:rPr>
        <w:t>senador</w:t>
      </w:r>
      <w:r w:rsidR="005F564D" w:rsidRPr="00E86A8F">
        <w:rPr>
          <w:rFonts w:asciiTheme="majorHAnsi" w:hAnsiTheme="majorHAnsi"/>
          <w:sz w:val="20"/>
          <w:szCs w:val="20"/>
          <w:lang w:val="es-CO"/>
        </w:rPr>
        <w:t xml:space="preserve"> cuestionado</w:t>
      </w:r>
      <w:r w:rsidR="0054242E" w:rsidRPr="00E86A8F">
        <w:rPr>
          <w:rFonts w:asciiTheme="majorHAnsi" w:hAnsiTheme="majorHAnsi"/>
          <w:sz w:val="20"/>
          <w:szCs w:val="20"/>
          <w:lang w:val="es-CO"/>
        </w:rPr>
        <w:t xml:space="preserve"> por Carlos Baraona</w:t>
      </w:r>
      <w:r w:rsidRPr="00E86A8F">
        <w:rPr>
          <w:rFonts w:asciiTheme="majorHAnsi" w:hAnsiTheme="majorHAnsi"/>
          <w:sz w:val="20"/>
          <w:szCs w:val="20"/>
          <w:lang w:val="es-CO"/>
        </w:rPr>
        <w:t xml:space="preserve">, </w:t>
      </w:r>
      <w:r w:rsidR="005F564D" w:rsidRPr="00E86A8F">
        <w:rPr>
          <w:rFonts w:asciiTheme="majorHAnsi" w:hAnsiTheme="majorHAnsi"/>
          <w:sz w:val="20"/>
          <w:szCs w:val="20"/>
          <w:lang w:val="es-CO"/>
        </w:rPr>
        <w:t>se pueden resumir en las siguientes:</w:t>
      </w:r>
      <w:r w:rsidRPr="00E86A8F">
        <w:rPr>
          <w:rFonts w:asciiTheme="majorHAnsi" w:hAnsiTheme="majorHAnsi"/>
          <w:sz w:val="20"/>
          <w:szCs w:val="20"/>
          <w:lang w:val="es-CO"/>
        </w:rPr>
        <w:t xml:space="preserve"> “ejercer presiones políticas” </w:t>
      </w:r>
      <w:r w:rsidR="00576C46" w:rsidRPr="00E86A8F">
        <w:rPr>
          <w:rFonts w:asciiTheme="majorHAnsi" w:hAnsiTheme="majorHAnsi"/>
          <w:sz w:val="20"/>
          <w:szCs w:val="20"/>
          <w:lang w:val="es-CO"/>
        </w:rPr>
        <w:t xml:space="preserve">a distintas autoridades </w:t>
      </w:r>
      <w:r w:rsidRPr="00E86A8F">
        <w:rPr>
          <w:rFonts w:asciiTheme="majorHAnsi" w:hAnsiTheme="majorHAnsi"/>
          <w:sz w:val="20"/>
          <w:szCs w:val="20"/>
          <w:lang w:val="es-CO"/>
        </w:rPr>
        <w:t xml:space="preserve">para que </w:t>
      </w:r>
      <w:r w:rsidR="009A4B9D" w:rsidRPr="00E86A8F">
        <w:rPr>
          <w:rFonts w:asciiTheme="majorHAnsi" w:hAnsiTheme="majorHAnsi"/>
          <w:sz w:val="20"/>
          <w:szCs w:val="20"/>
          <w:lang w:val="es-VE"/>
        </w:rPr>
        <w:t>d</w:t>
      </w:r>
      <w:r w:rsidR="005B4075" w:rsidRPr="00E86A8F">
        <w:rPr>
          <w:rFonts w:asciiTheme="majorHAnsi" w:hAnsiTheme="majorHAnsi"/>
          <w:sz w:val="20"/>
          <w:szCs w:val="20"/>
          <w:lang w:val="es-VE"/>
        </w:rPr>
        <w:t xml:space="preserve">eterminadas </w:t>
      </w:r>
      <w:r w:rsidR="009A4B9D" w:rsidRPr="00E86A8F">
        <w:rPr>
          <w:rFonts w:asciiTheme="majorHAnsi" w:hAnsiTheme="majorHAnsi"/>
          <w:sz w:val="20"/>
          <w:szCs w:val="20"/>
          <w:lang w:val="es-VE"/>
        </w:rPr>
        <w:t xml:space="preserve">personas </w:t>
      </w:r>
      <w:r w:rsidR="005B4075" w:rsidRPr="00E86A8F">
        <w:rPr>
          <w:rFonts w:asciiTheme="majorHAnsi" w:hAnsiTheme="majorHAnsi"/>
          <w:sz w:val="20"/>
          <w:szCs w:val="20"/>
          <w:lang w:val="es-VE"/>
        </w:rPr>
        <w:t xml:space="preserve">de la décima Región </w:t>
      </w:r>
      <w:r w:rsidR="009A4B9D" w:rsidRPr="00E86A8F">
        <w:rPr>
          <w:rFonts w:asciiTheme="majorHAnsi" w:hAnsiTheme="majorHAnsi"/>
          <w:sz w:val="20"/>
          <w:szCs w:val="20"/>
          <w:lang w:val="es-VE"/>
        </w:rPr>
        <w:t>consiguieran títulos de propiedad y puedan explotar el alerce</w:t>
      </w:r>
      <w:r w:rsidR="004D2123" w:rsidRPr="00E86A8F">
        <w:rPr>
          <w:rFonts w:asciiTheme="majorHAnsi" w:hAnsiTheme="majorHAnsi"/>
          <w:sz w:val="20"/>
          <w:szCs w:val="20"/>
          <w:lang w:val="es-VE"/>
        </w:rPr>
        <w:t>. Durante el proceso penal seguido contra este abogado y defensor ambiental</w:t>
      </w:r>
      <w:r w:rsidR="005B4075" w:rsidRPr="00E86A8F">
        <w:rPr>
          <w:rFonts w:asciiTheme="majorHAnsi" w:hAnsiTheme="majorHAnsi"/>
          <w:sz w:val="20"/>
          <w:szCs w:val="20"/>
          <w:lang w:val="es-VE"/>
        </w:rPr>
        <w:t>,</w:t>
      </w:r>
      <w:r w:rsidR="004D2123" w:rsidRPr="00E86A8F">
        <w:rPr>
          <w:rFonts w:asciiTheme="majorHAnsi" w:hAnsiTheme="majorHAnsi"/>
          <w:sz w:val="20"/>
          <w:szCs w:val="20"/>
          <w:lang w:val="es-VE"/>
        </w:rPr>
        <w:t xml:space="preserve"> qued</w:t>
      </w:r>
      <w:r w:rsidR="008B0B04" w:rsidRPr="00E86A8F">
        <w:rPr>
          <w:rFonts w:asciiTheme="majorHAnsi" w:hAnsiTheme="majorHAnsi"/>
          <w:sz w:val="20"/>
          <w:szCs w:val="20"/>
          <w:lang w:val="es-VE"/>
        </w:rPr>
        <w:t>ó</w:t>
      </w:r>
      <w:r w:rsidR="004D2123" w:rsidRPr="00E86A8F">
        <w:rPr>
          <w:rFonts w:asciiTheme="majorHAnsi" w:hAnsiTheme="majorHAnsi"/>
          <w:sz w:val="20"/>
          <w:szCs w:val="20"/>
          <w:lang w:val="es-VE"/>
        </w:rPr>
        <w:t xml:space="preserve"> probado que sus dichos</w:t>
      </w:r>
      <w:r w:rsidR="005B4075" w:rsidRPr="00E86A8F">
        <w:rPr>
          <w:rFonts w:asciiTheme="majorHAnsi" w:hAnsiTheme="majorHAnsi"/>
          <w:sz w:val="20"/>
          <w:szCs w:val="20"/>
          <w:lang w:val="es-VE"/>
        </w:rPr>
        <w:t xml:space="preserve"> </w:t>
      </w:r>
      <w:r w:rsidR="00E35C5D" w:rsidRPr="00E86A8F">
        <w:rPr>
          <w:rFonts w:asciiTheme="majorHAnsi" w:hAnsiTheme="majorHAnsi"/>
          <w:sz w:val="20"/>
          <w:szCs w:val="20"/>
          <w:lang w:val="es-VE"/>
        </w:rPr>
        <w:t xml:space="preserve">se basaron en distinta información que el propio Baraona señaló </w:t>
      </w:r>
      <w:r w:rsidR="005F564D" w:rsidRPr="00E86A8F">
        <w:rPr>
          <w:rFonts w:asciiTheme="majorHAnsi" w:hAnsiTheme="majorHAnsi"/>
          <w:sz w:val="20"/>
          <w:szCs w:val="20"/>
          <w:lang w:val="es-VE"/>
        </w:rPr>
        <w:t xml:space="preserve">haber recibido </w:t>
      </w:r>
      <w:r w:rsidR="00E35C5D" w:rsidRPr="00E86A8F">
        <w:rPr>
          <w:rFonts w:asciiTheme="majorHAnsi" w:hAnsiTheme="majorHAnsi"/>
          <w:sz w:val="20"/>
          <w:szCs w:val="20"/>
          <w:lang w:val="es-VE"/>
        </w:rPr>
        <w:t>de</w:t>
      </w:r>
      <w:r w:rsidR="006B2937" w:rsidRPr="00E86A8F">
        <w:rPr>
          <w:rFonts w:asciiTheme="majorHAnsi" w:hAnsiTheme="majorHAnsi"/>
          <w:sz w:val="20"/>
          <w:szCs w:val="20"/>
          <w:lang w:val="es-VE"/>
        </w:rPr>
        <w:t xml:space="preserve"> diversas </w:t>
      </w:r>
      <w:r w:rsidR="00E35C5D" w:rsidRPr="00E86A8F">
        <w:rPr>
          <w:rFonts w:asciiTheme="majorHAnsi" w:hAnsiTheme="majorHAnsi"/>
          <w:sz w:val="20"/>
          <w:szCs w:val="20"/>
          <w:lang w:val="es-VE"/>
        </w:rPr>
        <w:t>fuentes</w:t>
      </w:r>
      <w:r w:rsidR="004D2123" w:rsidRPr="00E86A8F">
        <w:rPr>
          <w:rFonts w:asciiTheme="majorHAnsi" w:hAnsiTheme="majorHAnsi"/>
          <w:sz w:val="20"/>
          <w:szCs w:val="20"/>
          <w:lang w:val="es-VE"/>
        </w:rPr>
        <w:t xml:space="preserve"> que reveló</w:t>
      </w:r>
      <w:r w:rsidR="000535C9" w:rsidRPr="00E86A8F">
        <w:rPr>
          <w:rFonts w:asciiTheme="majorHAnsi" w:hAnsiTheme="majorHAnsi"/>
          <w:sz w:val="20"/>
          <w:szCs w:val="20"/>
          <w:lang w:val="es-VE"/>
        </w:rPr>
        <w:t>,</w:t>
      </w:r>
      <w:r w:rsidR="004D2123" w:rsidRPr="00E86A8F">
        <w:rPr>
          <w:rFonts w:asciiTheme="majorHAnsi" w:hAnsiTheme="majorHAnsi"/>
          <w:sz w:val="20"/>
          <w:szCs w:val="20"/>
          <w:lang w:val="es-VE"/>
        </w:rPr>
        <w:t xml:space="preserve"> tales</w:t>
      </w:r>
      <w:r w:rsidR="00E35C5D" w:rsidRPr="00E86A8F">
        <w:rPr>
          <w:rFonts w:asciiTheme="majorHAnsi" w:hAnsiTheme="majorHAnsi"/>
          <w:sz w:val="20"/>
          <w:szCs w:val="20"/>
          <w:lang w:val="es-VE"/>
        </w:rPr>
        <w:t xml:space="preserve"> como por ejemplo </w:t>
      </w:r>
      <w:r w:rsidR="000535C9" w:rsidRPr="00E86A8F">
        <w:rPr>
          <w:rFonts w:asciiTheme="majorHAnsi" w:hAnsiTheme="majorHAnsi"/>
          <w:sz w:val="20"/>
          <w:szCs w:val="20"/>
          <w:lang w:val="es-VE"/>
        </w:rPr>
        <w:t xml:space="preserve">de </w:t>
      </w:r>
      <w:r w:rsidR="00E35C5D" w:rsidRPr="00E86A8F">
        <w:rPr>
          <w:rFonts w:asciiTheme="majorHAnsi" w:hAnsiTheme="majorHAnsi"/>
          <w:sz w:val="20"/>
          <w:szCs w:val="20"/>
          <w:lang w:val="es-VE"/>
        </w:rPr>
        <w:t>una autoridad del Seremi del Ministerio de Bienes Naturales</w:t>
      </w:r>
      <w:r w:rsidR="00E52E26" w:rsidRPr="00E86A8F">
        <w:rPr>
          <w:rFonts w:asciiTheme="majorHAnsi" w:hAnsiTheme="majorHAnsi"/>
          <w:sz w:val="20"/>
          <w:szCs w:val="20"/>
          <w:lang w:val="es-VE"/>
        </w:rPr>
        <w:t xml:space="preserve">; </w:t>
      </w:r>
      <w:r w:rsidR="00E35C5D" w:rsidRPr="00E86A8F">
        <w:rPr>
          <w:rFonts w:asciiTheme="majorHAnsi" w:hAnsiTheme="majorHAnsi"/>
          <w:sz w:val="20"/>
          <w:szCs w:val="20"/>
          <w:lang w:val="es-VE"/>
        </w:rPr>
        <w:t>de los ingenieros forestales que tuvieron una reunión con el Director Ejecutivo de la CONAF</w:t>
      </w:r>
      <w:r w:rsidR="009D498F" w:rsidRPr="00E86A8F">
        <w:rPr>
          <w:rFonts w:asciiTheme="majorHAnsi" w:hAnsiTheme="majorHAnsi"/>
          <w:sz w:val="20"/>
          <w:szCs w:val="20"/>
          <w:lang w:val="es-VE"/>
        </w:rPr>
        <w:t xml:space="preserve"> e informaron de estas presiones conforme a lo señalado por el mismo Director</w:t>
      </w:r>
      <w:r w:rsidR="00E52E26" w:rsidRPr="00E86A8F">
        <w:rPr>
          <w:rFonts w:asciiTheme="majorHAnsi" w:hAnsiTheme="majorHAnsi"/>
          <w:sz w:val="20"/>
          <w:szCs w:val="20"/>
          <w:lang w:val="es-VE"/>
        </w:rPr>
        <w:t>;</w:t>
      </w:r>
      <w:r w:rsidR="00E35C5D" w:rsidRPr="00E86A8F">
        <w:rPr>
          <w:rFonts w:asciiTheme="majorHAnsi" w:hAnsiTheme="majorHAnsi"/>
          <w:sz w:val="20"/>
          <w:szCs w:val="20"/>
          <w:lang w:val="es-VE"/>
        </w:rPr>
        <w:t xml:space="preserve"> de </w:t>
      </w:r>
      <w:r w:rsidR="009D498F" w:rsidRPr="00E86A8F">
        <w:rPr>
          <w:rFonts w:asciiTheme="majorHAnsi" w:hAnsiTheme="majorHAnsi"/>
          <w:sz w:val="20"/>
          <w:szCs w:val="20"/>
          <w:lang w:val="es-VE"/>
        </w:rPr>
        <w:t xml:space="preserve">personas que laboraban en el Seremi y CONAF, que lo conocían porque Baraona había trabajado </w:t>
      </w:r>
      <w:r w:rsidR="00E52E26" w:rsidRPr="00E86A8F">
        <w:rPr>
          <w:rFonts w:asciiTheme="majorHAnsi" w:hAnsiTheme="majorHAnsi"/>
          <w:sz w:val="20"/>
          <w:szCs w:val="20"/>
          <w:lang w:val="es-VE"/>
        </w:rPr>
        <w:t xml:space="preserve">en dichas instituciones </w:t>
      </w:r>
      <w:r w:rsidR="009D498F" w:rsidRPr="00E86A8F">
        <w:rPr>
          <w:rFonts w:asciiTheme="majorHAnsi" w:hAnsiTheme="majorHAnsi"/>
          <w:sz w:val="20"/>
          <w:szCs w:val="20"/>
          <w:lang w:val="es-VE"/>
        </w:rPr>
        <w:t>en el pasado</w:t>
      </w:r>
      <w:r w:rsidR="000D3604" w:rsidRPr="00E86A8F">
        <w:rPr>
          <w:rFonts w:asciiTheme="majorHAnsi" w:hAnsiTheme="majorHAnsi"/>
          <w:sz w:val="20"/>
          <w:szCs w:val="20"/>
          <w:lang w:val="es-VE"/>
        </w:rPr>
        <w:t xml:space="preserve">. </w:t>
      </w:r>
      <w:r w:rsidR="00BC2E65" w:rsidRPr="00E86A8F">
        <w:rPr>
          <w:rFonts w:asciiTheme="majorHAnsi" w:hAnsiTheme="majorHAnsi"/>
          <w:sz w:val="20"/>
          <w:szCs w:val="20"/>
          <w:lang w:val="es-VE"/>
        </w:rPr>
        <w:t xml:space="preserve">Además, los hechos atribuidos al </w:t>
      </w:r>
      <w:r w:rsidR="00486700" w:rsidRPr="00E86A8F">
        <w:rPr>
          <w:rFonts w:asciiTheme="majorHAnsi" w:hAnsiTheme="majorHAnsi"/>
          <w:sz w:val="20"/>
          <w:szCs w:val="20"/>
          <w:lang w:val="es-VE"/>
        </w:rPr>
        <w:t>senador</w:t>
      </w:r>
      <w:r w:rsidR="00BC2E65" w:rsidRPr="00E86A8F">
        <w:rPr>
          <w:rFonts w:asciiTheme="majorHAnsi" w:hAnsiTheme="majorHAnsi"/>
          <w:sz w:val="20"/>
          <w:szCs w:val="20"/>
          <w:lang w:val="es-VE"/>
        </w:rPr>
        <w:t xml:space="preserve"> se dieron en el marco de un debate público en donde inclusive se </w:t>
      </w:r>
      <w:r w:rsidR="00D66EB8" w:rsidRPr="00E86A8F">
        <w:rPr>
          <w:rFonts w:asciiTheme="majorHAnsi" w:hAnsiTheme="majorHAnsi"/>
          <w:sz w:val="20"/>
          <w:szCs w:val="20"/>
          <w:lang w:val="es-VE"/>
        </w:rPr>
        <w:t>creó</w:t>
      </w:r>
      <w:r w:rsidR="00BC2E65" w:rsidRPr="00E86A8F">
        <w:rPr>
          <w:rFonts w:asciiTheme="majorHAnsi" w:hAnsiTheme="majorHAnsi"/>
          <w:sz w:val="20"/>
          <w:szCs w:val="20"/>
          <w:lang w:val="es-VE"/>
        </w:rPr>
        <w:t xml:space="preserve"> una Comisión en el Parlamento de Chile debido a que existían </w:t>
      </w:r>
      <w:r w:rsidR="00E05A95" w:rsidRPr="00E86A8F">
        <w:rPr>
          <w:rFonts w:asciiTheme="majorHAnsi" w:hAnsiTheme="majorHAnsi"/>
          <w:sz w:val="20"/>
          <w:szCs w:val="20"/>
          <w:lang w:val="es-VE"/>
        </w:rPr>
        <w:t>alegaciones sobre la participación de</w:t>
      </w:r>
      <w:r w:rsidR="004D2123" w:rsidRPr="00E86A8F">
        <w:rPr>
          <w:rFonts w:asciiTheme="majorHAnsi" w:hAnsiTheme="majorHAnsi"/>
          <w:sz w:val="20"/>
          <w:szCs w:val="20"/>
          <w:lang w:val="es-VE"/>
        </w:rPr>
        <w:t xml:space="preserve"> altos</w:t>
      </w:r>
      <w:r w:rsidR="00E05A95" w:rsidRPr="00E86A8F">
        <w:rPr>
          <w:rFonts w:asciiTheme="majorHAnsi" w:hAnsiTheme="majorHAnsi"/>
          <w:sz w:val="20"/>
          <w:szCs w:val="20"/>
          <w:lang w:val="es-VE"/>
        </w:rPr>
        <w:t xml:space="preserve"> funcionarios </w:t>
      </w:r>
      <w:r w:rsidR="00D66EB8" w:rsidRPr="00E86A8F">
        <w:rPr>
          <w:rFonts w:asciiTheme="majorHAnsi" w:hAnsiTheme="majorHAnsi"/>
          <w:sz w:val="20"/>
          <w:szCs w:val="20"/>
          <w:lang w:val="es-VE"/>
        </w:rPr>
        <w:t>públicos</w:t>
      </w:r>
      <w:r w:rsidR="00E05A95" w:rsidRPr="00E86A8F">
        <w:rPr>
          <w:rFonts w:asciiTheme="majorHAnsi" w:hAnsiTheme="majorHAnsi"/>
          <w:sz w:val="20"/>
          <w:szCs w:val="20"/>
          <w:lang w:val="es-VE"/>
        </w:rPr>
        <w:t xml:space="preserve"> en la tala ilegal del alerce. </w:t>
      </w:r>
    </w:p>
    <w:p w14:paraId="3D82DCDD" w14:textId="77777777" w:rsidR="004D2123" w:rsidRPr="00E86A8F" w:rsidRDefault="004D2123"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D3534C8" w14:textId="5644A5E2" w:rsidR="00C3058B" w:rsidRPr="00E86A8F" w:rsidRDefault="000D3604"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VE"/>
        </w:rPr>
        <w:t>En este sentido, la CID</w:t>
      </w:r>
      <w:r w:rsidR="00E05A95" w:rsidRPr="00E86A8F">
        <w:rPr>
          <w:rFonts w:asciiTheme="majorHAnsi" w:hAnsiTheme="majorHAnsi"/>
          <w:sz w:val="20"/>
          <w:szCs w:val="20"/>
          <w:lang w:val="es-VE"/>
        </w:rPr>
        <w:t xml:space="preserve">H </w:t>
      </w:r>
      <w:r w:rsidRPr="00E86A8F">
        <w:rPr>
          <w:rFonts w:asciiTheme="majorHAnsi" w:hAnsiTheme="majorHAnsi"/>
          <w:sz w:val="20"/>
          <w:szCs w:val="20"/>
          <w:lang w:val="es-VE"/>
        </w:rPr>
        <w:t>considera que el señor Baraona</w:t>
      </w:r>
      <w:r w:rsidR="00AB7EC8" w:rsidRPr="00E86A8F">
        <w:rPr>
          <w:rFonts w:asciiTheme="majorHAnsi" w:hAnsiTheme="majorHAnsi"/>
          <w:sz w:val="20"/>
          <w:szCs w:val="20"/>
          <w:lang w:val="es-VE"/>
        </w:rPr>
        <w:t xml:space="preserve">, en el contexto en el cual </w:t>
      </w:r>
      <w:r w:rsidR="00E47FE5" w:rsidRPr="00E86A8F">
        <w:rPr>
          <w:rFonts w:asciiTheme="majorHAnsi" w:hAnsiTheme="majorHAnsi"/>
          <w:sz w:val="20"/>
          <w:szCs w:val="20"/>
          <w:lang w:val="es-VE"/>
        </w:rPr>
        <w:t>se manifestó,</w:t>
      </w:r>
      <w:r w:rsidRPr="00E86A8F">
        <w:rPr>
          <w:rFonts w:asciiTheme="majorHAnsi" w:hAnsiTheme="majorHAnsi"/>
          <w:sz w:val="20"/>
          <w:szCs w:val="20"/>
          <w:lang w:val="es-VE"/>
        </w:rPr>
        <w:t xml:space="preserve"> </w:t>
      </w:r>
      <w:r w:rsidR="00EC35A6" w:rsidRPr="00E86A8F">
        <w:rPr>
          <w:rFonts w:asciiTheme="majorHAnsi" w:hAnsiTheme="majorHAnsi"/>
          <w:sz w:val="20"/>
          <w:szCs w:val="20"/>
          <w:lang w:val="es-VE"/>
        </w:rPr>
        <w:t>cont</w:t>
      </w:r>
      <w:r w:rsidR="00A9125B" w:rsidRPr="00E86A8F">
        <w:rPr>
          <w:rFonts w:asciiTheme="majorHAnsi" w:hAnsiTheme="majorHAnsi"/>
          <w:sz w:val="20"/>
          <w:szCs w:val="20"/>
          <w:lang w:val="es-VE"/>
        </w:rPr>
        <w:t>ó</w:t>
      </w:r>
      <w:r w:rsidR="00EC35A6" w:rsidRPr="00E86A8F">
        <w:rPr>
          <w:rFonts w:asciiTheme="majorHAnsi" w:hAnsiTheme="majorHAnsi"/>
          <w:sz w:val="20"/>
          <w:szCs w:val="20"/>
          <w:lang w:val="es-VE"/>
        </w:rPr>
        <w:t xml:space="preserve"> con diversos elementos</w:t>
      </w:r>
      <w:r w:rsidR="00A9125B" w:rsidRPr="00E86A8F">
        <w:rPr>
          <w:rFonts w:asciiTheme="majorHAnsi" w:hAnsiTheme="majorHAnsi"/>
          <w:sz w:val="20"/>
          <w:szCs w:val="20"/>
          <w:lang w:val="es-VE"/>
        </w:rPr>
        <w:t xml:space="preserve"> </w:t>
      </w:r>
      <w:r w:rsidR="00355694" w:rsidRPr="00E86A8F">
        <w:rPr>
          <w:rFonts w:asciiTheme="majorHAnsi" w:hAnsiTheme="majorHAnsi"/>
          <w:sz w:val="20"/>
          <w:szCs w:val="20"/>
          <w:lang w:val="es-VE"/>
        </w:rPr>
        <w:t xml:space="preserve">razonables </w:t>
      </w:r>
      <w:r w:rsidR="00A9125B" w:rsidRPr="00E86A8F">
        <w:rPr>
          <w:rFonts w:asciiTheme="majorHAnsi" w:hAnsiTheme="majorHAnsi"/>
          <w:sz w:val="20"/>
          <w:szCs w:val="20"/>
          <w:lang w:val="es-VE"/>
        </w:rPr>
        <w:t>de información y apreciación</w:t>
      </w:r>
      <w:r w:rsidR="00355694" w:rsidRPr="00E86A8F">
        <w:rPr>
          <w:rFonts w:asciiTheme="majorHAnsi" w:hAnsiTheme="majorHAnsi"/>
          <w:sz w:val="20"/>
          <w:szCs w:val="20"/>
          <w:lang w:val="es-VE"/>
        </w:rPr>
        <w:t xml:space="preserve"> que le permitieron </w:t>
      </w:r>
      <w:r w:rsidR="00355694" w:rsidRPr="00E86A8F">
        <w:rPr>
          <w:rFonts w:asciiTheme="majorHAnsi" w:hAnsiTheme="majorHAnsi" w:cstheme="minorHAnsi"/>
          <w:sz w:val="20"/>
          <w:szCs w:val="20"/>
          <w:lang w:val="es-AR"/>
        </w:rPr>
        <w:t>considerar que su</w:t>
      </w:r>
      <w:r w:rsidR="005501C6" w:rsidRPr="00E86A8F">
        <w:rPr>
          <w:rFonts w:asciiTheme="majorHAnsi" w:hAnsiTheme="majorHAnsi" w:cstheme="minorHAnsi"/>
          <w:sz w:val="20"/>
          <w:szCs w:val="20"/>
          <w:lang w:val="es-AR"/>
        </w:rPr>
        <w:t>s</w:t>
      </w:r>
      <w:r w:rsidR="00355694" w:rsidRPr="00E86A8F">
        <w:rPr>
          <w:rFonts w:asciiTheme="majorHAnsi" w:hAnsiTheme="majorHAnsi" w:cstheme="minorHAnsi"/>
          <w:sz w:val="20"/>
          <w:szCs w:val="20"/>
          <w:lang w:val="es-AR"/>
        </w:rPr>
        <w:t xml:space="preserve"> afirmaci</w:t>
      </w:r>
      <w:r w:rsidR="005501C6" w:rsidRPr="00E86A8F">
        <w:rPr>
          <w:rFonts w:asciiTheme="majorHAnsi" w:hAnsiTheme="majorHAnsi" w:cstheme="minorHAnsi"/>
          <w:sz w:val="20"/>
          <w:szCs w:val="20"/>
          <w:lang w:val="es-AR"/>
        </w:rPr>
        <w:t xml:space="preserve">ones </w:t>
      </w:r>
      <w:r w:rsidR="00336D14" w:rsidRPr="00E86A8F">
        <w:rPr>
          <w:rFonts w:asciiTheme="majorHAnsi" w:hAnsiTheme="majorHAnsi" w:cstheme="minorHAnsi"/>
          <w:sz w:val="20"/>
          <w:szCs w:val="20"/>
          <w:lang w:val="es-AR"/>
        </w:rPr>
        <w:t>correspondían a hechos ciertos</w:t>
      </w:r>
      <w:r w:rsidR="00A723F7" w:rsidRPr="00E86A8F">
        <w:rPr>
          <w:rFonts w:asciiTheme="majorHAnsi" w:hAnsiTheme="majorHAnsi" w:cstheme="minorHAnsi"/>
          <w:sz w:val="20"/>
          <w:szCs w:val="20"/>
          <w:lang w:val="es-AR"/>
        </w:rPr>
        <w:t xml:space="preserve"> y</w:t>
      </w:r>
      <w:r w:rsidR="00336D14" w:rsidRPr="00E86A8F">
        <w:rPr>
          <w:rFonts w:asciiTheme="majorHAnsi" w:hAnsiTheme="majorHAnsi" w:cstheme="minorHAnsi"/>
          <w:sz w:val="20"/>
          <w:szCs w:val="20"/>
          <w:lang w:val="es-AR"/>
        </w:rPr>
        <w:t xml:space="preserve"> </w:t>
      </w:r>
      <w:r w:rsidR="00355694" w:rsidRPr="00E86A8F">
        <w:rPr>
          <w:rFonts w:asciiTheme="majorHAnsi" w:hAnsiTheme="majorHAnsi" w:cstheme="minorHAnsi"/>
          <w:sz w:val="20"/>
          <w:szCs w:val="20"/>
          <w:lang w:val="es-AR"/>
        </w:rPr>
        <w:t>no estaba</w:t>
      </w:r>
      <w:r w:rsidR="005501C6" w:rsidRPr="00E86A8F">
        <w:rPr>
          <w:rFonts w:asciiTheme="majorHAnsi" w:hAnsiTheme="majorHAnsi" w:cstheme="minorHAnsi"/>
          <w:sz w:val="20"/>
          <w:szCs w:val="20"/>
          <w:lang w:val="es-AR"/>
        </w:rPr>
        <w:t>n</w:t>
      </w:r>
      <w:r w:rsidR="00355694" w:rsidRPr="00E86A8F">
        <w:rPr>
          <w:rFonts w:asciiTheme="majorHAnsi" w:hAnsiTheme="majorHAnsi" w:cstheme="minorHAnsi"/>
          <w:sz w:val="20"/>
          <w:szCs w:val="20"/>
          <w:lang w:val="es-AR"/>
        </w:rPr>
        <w:t xml:space="preserve"> desprovista</w:t>
      </w:r>
      <w:r w:rsidR="00336D14" w:rsidRPr="00E86A8F">
        <w:rPr>
          <w:rFonts w:asciiTheme="majorHAnsi" w:hAnsiTheme="majorHAnsi" w:cstheme="minorHAnsi"/>
          <w:sz w:val="20"/>
          <w:szCs w:val="20"/>
          <w:lang w:val="es-AR"/>
        </w:rPr>
        <w:t>s</w:t>
      </w:r>
      <w:r w:rsidR="00355694" w:rsidRPr="00E86A8F">
        <w:rPr>
          <w:rFonts w:asciiTheme="majorHAnsi" w:hAnsiTheme="majorHAnsi" w:cstheme="minorHAnsi"/>
          <w:sz w:val="20"/>
          <w:szCs w:val="20"/>
          <w:lang w:val="es-AR"/>
        </w:rPr>
        <w:t xml:space="preserve"> de fundamento respecto de la</w:t>
      </w:r>
      <w:r w:rsidR="005501C6" w:rsidRPr="00E86A8F">
        <w:rPr>
          <w:rFonts w:asciiTheme="majorHAnsi" w:hAnsiTheme="majorHAnsi" w:cstheme="minorHAnsi"/>
          <w:sz w:val="20"/>
          <w:szCs w:val="20"/>
          <w:lang w:val="es-AR"/>
        </w:rPr>
        <w:t xml:space="preserve"> participación del </w:t>
      </w:r>
      <w:r w:rsidR="00486700" w:rsidRPr="00E86A8F">
        <w:rPr>
          <w:rFonts w:asciiTheme="majorHAnsi" w:hAnsiTheme="majorHAnsi" w:cstheme="minorHAnsi"/>
          <w:sz w:val="20"/>
          <w:szCs w:val="20"/>
          <w:lang w:val="es-AR"/>
        </w:rPr>
        <w:t>senador</w:t>
      </w:r>
      <w:r w:rsidR="005501C6" w:rsidRPr="00E86A8F">
        <w:rPr>
          <w:rFonts w:asciiTheme="majorHAnsi" w:hAnsiTheme="majorHAnsi" w:cstheme="minorHAnsi"/>
          <w:sz w:val="20"/>
          <w:szCs w:val="20"/>
          <w:lang w:val="es-AR"/>
        </w:rPr>
        <w:t xml:space="preserve"> Páez</w:t>
      </w:r>
      <w:r w:rsidR="00A723F7" w:rsidRPr="00E86A8F">
        <w:rPr>
          <w:rFonts w:asciiTheme="majorHAnsi" w:hAnsiTheme="majorHAnsi" w:cstheme="minorHAnsi"/>
          <w:sz w:val="20"/>
          <w:szCs w:val="20"/>
          <w:lang w:val="es-AR"/>
        </w:rPr>
        <w:t xml:space="preserve">. En este sentido, el señor Baraona </w:t>
      </w:r>
      <w:r w:rsidR="00910B62" w:rsidRPr="00E86A8F">
        <w:rPr>
          <w:rFonts w:asciiTheme="majorHAnsi" w:hAnsiTheme="majorHAnsi" w:cstheme="minorHAnsi"/>
          <w:sz w:val="20"/>
          <w:szCs w:val="20"/>
          <w:lang w:val="es-AR"/>
        </w:rPr>
        <w:t>se expresó con base en la noción de que</w:t>
      </w:r>
      <w:r w:rsidR="005501C6" w:rsidRPr="00E86A8F">
        <w:rPr>
          <w:rFonts w:asciiTheme="majorHAnsi" w:hAnsiTheme="majorHAnsi" w:cstheme="minorHAnsi"/>
          <w:sz w:val="20"/>
          <w:szCs w:val="20"/>
          <w:lang w:val="es-AR"/>
        </w:rPr>
        <w:t xml:space="preserve"> </w:t>
      </w:r>
      <w:r w:rsidR="00E47FE5" w:rsidRPr="00E86A8F">
        <w:rPr>
          <w:rFonts w:asciiTheme="majorHAnsi" w:hAnsiTheme="majorHAnsi" w:cstheme="minorHAnsi"/>
          <w:sz w:val="20"/>
          <w:szCs w:val="20"/>
          <w:lang w:val="es-AR"/>
        </w:rPr>
        <w:t>estaba difundiendo información verdadera</w:t>
      </w:r>
      <w:r w:rsidR="00CE066C" w:rsidRPr="00E86A8F">
        <w:rPr>
          <w:rStyle w:val="FootnoteReference"/>
          <w:rFonts w:asciiTheme="majorHAnsi" w:hAnsiTheme="majorHAnsi" w:cstheme="minorHAnsi"/>
          <w:sz w:val="20"/>
          <w:szCs w:val="20"/>
          <w:lang w:val="es-AR"/>
        </w:rPr>
        <w:footnoteReference w:id="111"/>
      </w:r>
      <w:r w:rsidR="00480880" w:rsidRPr="00E86A8F">
        <w:rPr>
          <w:rFonts w:asciiTheme="majorHAnsi" w:hAnsiTheme="majorHAnsi" w:cstheme="minorHAnsi"/>
          <w:sz w:val="20"/>
          <w:szCs w:val="20"/>
          <w:lang w:val="es-AR"/>
        </w:rPr>
        <w:t>, y el lenguaje utilizado no fue desmedido</w:t>
      </w:r>
      <w:r w:rsidR="000A2D17" w:rsidRPr="00E86A8F">
        <w:rPr>
          <w:rFonts w:asciiTheme="majorHAnsi" w:hAnsiTheme="majorHAnsi" w:cstheme="minorHAnsi"/>
          <w:sz w:val="20"/>
          <w:szCs w:val="20"/>
          <w:lang w:val="es-AR"/>
        </w:rPr>
        <w:t xml:space="preserve"> ni generó un</w:t>
      </w:r>
      <w:r w:rsidR="005E3707" w:rsidRPr="00E86A8F">
        <w:rPr>
          <w:rFonts w:asciiTheme="majorHAnsi" w:hAnsiTheme="majorHAnsi" w:cstheme="minorHAnsi"/>
          <w:sz w:val="20"/>
          <w:szCs w:val="20"/>
          <w:lang w:val="es-AR"/>
        </w:rPr>
        <w:t>a</w:t>
      </w:r>
      <w:r w:rsidR="000A2D17" w:rsidRPr="00E86A8F">
        <w:rPr>
          <w:rFonts w:asciiTheme="majorHAnsi" w:hAnsiTheme="majorHAnsi" w:cstheme="minorHAnsi"/>
          <w:sz w:val="20"/>
          <w:szCs w:val="20"/>
          <w:lang w:val="es-AR"/>
        </w:rPr>
        <w:t xml:space="preserve"> grave</w:t>
      </w:r>
      <w:r w:rsidR="005E3707" w:rsidRPr="00E86A8F">
        <w:rPr>
          <w:rFonts w:asciiTheme="majorHAnsi" w:hAnsiTheme="majorHAnsi" w:cstheme="minorHAnsi"/>
          <w:sz w:val="20"/>
          <w:szCs w:val="20"/>
          <w:lang w:val="es-AR"/>
        </w:rPr>
        <w:t xml:space="preserve"> afectación en el honor del </w:t>
      </w:r>
      <w:r w:rsidR="00486700" w:rsidRPr="00E86A8F">
        <w:rPr>
          <w:rFonts w:asciiTheme="majorHAnsi" w:hAnsiTheme="majorHAnsi" w:cstheme="minorHAnsi"/>
          <w:sz w:val="20"/>
          <w:szCs w:val="20"/>
          <w:lang w:val="es-AR"/>
        </w:rPr>
        <w:t>senador</w:t>
      </w:r>
      <w:r w:rsidR="000A2D17" w:rsidRPr="00E86A8F">
        <w:rPr>
          <w:rFonts w:asciiTheme="majorHAnsi" w:hAnsiTheme="majorHAnsi" w:cstheme="minorHAnsi"/>
          <w:sz w:val="20"/>
          <w:szCs w:val="20"/>
          <w:lang w:val="es-AR"/>
        </w:rPr>
        <w:t>,</w:t>
      </w:r>
      <w:r w:rsidR="005E3707" w:rsidRPr="00E86A8F">
        <w:rPr>
          <w:rFonts w:asciiTheme="majorHAnsi" w:hAnsiTheme="majorHAnsi" w:cstheme="minorHAnsi"/>
          <w:sz w:val="20"/>
          <w:szCs w:val="20"/>
          <w:lang w:val="es-AR"/>
        </w:rPr>
        <w:t xml:space="preserve"> quien desmintió los hechos en público y tuvo </w:t>
      </w:r>
      <w:r w:rsidR="00E02DC0" w:rsidRPr="00E86A8F">
        <w:rPr>
          <w:rFonts w:asciiTheme="majorHAnsi" w:hAnsiTheme="majorHAnsi" w:cstheme="minorHAnsi"/>
          <w:sz w:val="20"/>
          <w:szCs w:val="20"/>
          <w:lang w:val="es-AR"/>
        </w:rPr>
        <w:t>amplias oportunidades</w:t>
      </w:r>
      <w:r w:rsidR="004D2123" w:rsidRPr="00E86A8F">
        <w:rPr>
          <w:rFonts w:asciiTheme="majorHAnsi" w:hAnsiTheme="majorHAnsi" w:cstheme="minorHAnsi"/>
          <w:sz w:val="20"/>
          <w:szCs w:val="20"/>
          <w:lang w:val="es-AR"/>
        </w:rPr>
        <w:t xml:space="preserve"> en los mismos medios de prensa</w:t>
      </w:r>
      <w:r w:rsidR="00E02DC0" w:rsidRPr="00E86A8F">
        <w:rPr>
          <w:rFonts w:asciiTheme="majorHAnsi" w:hAnsiTheme="majorHAnsi" w:cstheme="minorHAnsi"/>
          <w:sz w:val="20"/>
          <w:szCs w:val="20"/>
          <w:lang w:val="es-AR"/>
        </w:rPr>
        <w:t xml:space="preserve"> para dar respuesta de lo alegado por la víctima,</w:t>
      </w:r>
      <w:r w:rsidR="000A2D17" w:rsidRPr="00E86A8F">
        <w:rPr>
          <w:rFonts w:asciiTheme="majorHAnsi" w:hAnsiTheme="majorHAnsi" w:cstheme="minorHAnsi"/>
          <w:sz w:val="20"/>
          <w:szCs w:val="20"/>
          <w:lang w:val="es-AR"/>
        </w:rPr>
        <w:t xml:space="preserve"> todo ello </w:t>
      </w:r>
      <w:r w:rsidR="00E02DC0" w:rsidRPr="00E86A8F">
        <w:rPr>
          <w:rFonts w:asciiTheme="majorHAnsi" w:hAnsiTheme="majorHAnsi" w:cstheme="minorHAnsi"/>
          <w:sz w:val="20"/>
          <w:szCs w:val="20"/>
          <w:lang w:val="es-AR"/>
        </w:rPr>
        <w:t>e</w:t>
      </w:r>
      <w:r w:rsidR="00480880" w:rsidRPr="00E86A8F">
        <w:rPr>
          <w:rFonts w:asciiTheme="majorHAnsi" w:hAnsiTheme="majorHAnsi" w:cstheme="minorHAnsi"/>
          <w:sz w:val="20"/>
          <w:szCs w:val="20"/>
          <w:lang w:val="es-AR"/>
        </w:rPr>
        <w:t>n aras de</w:t>
      </w:r>
      <w:r w:rsidR="00E02DC0" w:rsidRPr="00E86A8F">
        <w:rPr>
          <w:rFonts w:asciiTheme="majorHAnsi" w:hAnsiTheme="majorHAnsi" w:cstheme="minorHAnsi"/>
          <w:sz w:val="20"/>
          <w:szCs w:val="20"/>
          <w:lang w:val="es-AR"/>
        </w:rPr>
        <w:t>l debate público.</w:t>
      </w:r>
    </w:p>
    <w:p w14:paraId="61032633" w14:textId="77777777" w:rsidR="00CD0B67" w:rsidRPr="00E86A8F" w:rsidRDefault="00CD0B67"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4FD764E" w14:textId="27755DF4" w:rsidR="004C62EF" w:rsidRPr="00E86A8F" w:rsidRDefault="00947867"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cstheme="minorHAnsi"/>
          <w:sz w:val="20"/>
          <w:szCs w:val="20"/>
          <w:lang w:val="es-AR"/>
        </w:rPr>
        <w:t>En el proceso penal del señ</w:t>
      </w:r>
      <w:r w:rsidR="00870AC0" w:rsidRPr="00E86A8F">
        <w:rPr>
          <w:rFonts w:asciiTheme="majorHAnsi" w:hAnsiTheme="majorHAnsi" w:cstheme="minorHAnsi"/>
          <w:sz w:val="20"/>
          <w:szCs w:val="20"/>
          <w:lang w:val="es-AR"/>
        </w:rPr>
        <w:t>or Baraona, lo anterior no fue dilucidado, sino que</w:t>
      </w:r>
      <w:r w:rsidR="00A80A31" w:rsidRPr="00E86A8F">
        <w:rPr>
          <w:rFonts w:asciiTheme="majorHAnsi" w:hAnsiTheme="majorHAnsi" w:cstheme="minorHAnsi"/>
          <w:sz w:val="20"/>
          <w:szCs w:val="20"/>
          <w:lang w:val="es-AR"/>
        </w:rPr>
        <w:t>,</w:t>
      </w:r>
      <w:r w:rsidR="00870AC0" w:rsidRPr="00E86A8F">
        <w:rPr>
          <w:rFonts w:asciiTheme="majorHAnsi" w:hAnsiTheme="majorHAnsi" w:cstheme="minorHAnsi"/>
          <w:sz w:val="20"/>
          <w:szCs w:val="20"/>
          <w:lang w:val="es-AR"/>
        </w:rPr>
        <w:t xml:space="preserve"> por el contrario, </w:t>
      </w:r>
      <w:r w:rsidR="00A80A31" w:rsidRPr="00E86A8F">
        <w:rPr>
          <w:rFonts w:asciiTheme="majorHAnsi" w:hAnsiTheme="majorHAnsi" w:cstheme="minorHAnsi"/>
          <w:sz w:val="20"/>
          <w:szCs w:val="20"/>
          <w:lang w:val="es-AR"/>
        </w:rPr>
        <w:t xml:space="preserve">una de las principales razones de su condena </w:t>
      </w:r>
      <w:r w:rsidR="00EE1164" w:rsidRPr="00E86A8F">
        <w:rPr>
          <w:rFonts w:asciiTheme="majorHAnsi" w:hAnsiTheme="majorHAnsi" w:cstheme="minorHAnsi"/>
          <w:sz w:val="20"/>
          <w:szCs w:val="20"/>
          <w:lang w:val="es-AR"/>
        </w:rPr>
        <w:t>se basó en</w:t>
      </w:r>
      <w:r w:rsidR="00A80A31" w:rsidRPr="00E86A8F">
        <w:rPr>
          <w:rFonts w:asciiTheme="majorHAnsi" w:hAnsiTheme="majorHAnsi" w:cstheme="minorHAnsi"/>
          <w:sz w:val="20"/>
          <w:szCs w:val="20"/>
          <w:lang w:val="es-AR"/>
        </w:rPr>
        <w:t xml:space="preserve"> el hecho de que no present</w:t>
      </w:r>
      <w:r w:rsidR="00FE7CE0" w:rsidRPr="00E86A8F">
        <w:rPr>
          <w:rFonts w:asciiTheme="majorHAnsi" w:hAnsiTheme="majorHAnsi" w:cstheme="minorHAnsi"/>
          <w:sz w:val="20"/>
          <w:szCs w:val="20"/>
          <w:lang w:val="es-AR"/>
        </w:rPr>
        <w:t xml:space="preserve">ó </w:t>
      </w:r>
      <w:r w:rsidR="00A80A31" w:rsidRPr="00E86A8F">
        <w:rPr>
          <w:rFonts w:asciiTheme="majorHAnsi" w:hAnsiTheme="majorHAnsi" w:cstheme="minorHAnsi"/>
          <w:sz w:val="20"/>
          <w:szCs w:val="20"/>
          <w:lang w:val="es-AR"/>
        </w:rPr>
        <w:t xml:space="preserve">medios probatorios que </w:t>
      </w:r>
      <w:r w:rsidR="00FE7CE0" w:rsidRPr="00E86A8F">
        <w:rPr>
          <w:rFonts w:asciiTheme="majorHAnsi" w:hAnsiTheme="majorHAnsi" w:cstheme="minorHAnsi"/>
          <w:sz w:val="20"/>
          <w:szCs w:val="20"/>
          <w:lang w:val="es-AR"/>
        </w:rPr>
        <w:t xml:space="preserve">comprobaran sus alegaciones, actuando con base en “conjeturas”, </w:t>
      </w:r>
      <w:r w:rsidR="00870AC0" w:rsidRPr="00E86A8F">
        <w:rPr>
          <w:rFonts w:asciiTheme="majorHAnsi" w:hAnsiTheme="majorHAnsi" w:cstheme="minorHAnsi"/>
          <w:sz w:val="20"/>
          <w:szCs w:val="20"/>
          <w:lang w:val="es-AR"/>
        </w:rPr>
        <w:t>invirti</w:t>
      </w:r>
      <w:r w:rsidR="00FE7CE0" w:rsidRPr="00E86A8F">
        <w:rPr>
          <w:rFonts w:asciiTheme="majorHAnsi" w:hAnsiTheme="majorHAnsi" w:cstheme="minorHAnsi"/>
          <w:sz w:val="20"/>
          <w:szCs w:val="20"/>
          <w:lang w:val="es-AR"/>
        </w:rPr>
        <w:t>endo con ello,</w:t>
      </w:r>
      <w:r w:rsidR="00870AC0" w:rsidRPr="00E86A8F">
        <w:rPr>
          <w:rFonts w:asciiTheme="majorHAnsi" w:hAnsiTheme="majorHAnsi" w:cstheme="minorHAnsi"/>
          <w:sz w:val="20"/>
          <w:szCs w:val="20"/>
          <w:lang w:val="es-AR"/>
        </w:rPr>
        <w:t xml:space="preserve"> la carga de la prueba</w:t>
      </w:r>
      <w:r w:rsidR="00FE7CE0" w:rsidRPr="00E86A8F">
        <w:rPr>
          <w:rFonts w:asciiTheme="majorHAnsi" w:hAnsiTheme="majorHAnsi" w:cstheme="minorHAnsi"/>
          <w:sz w:val="20"/>
          <w:szCs w:val="20"/>
          <w:lang w:val="es-AR"/>
        </w:rPr>
        <w:t>.</w:t>
      </w:r>
      <w:r w:rsidR="005C34E1" w:rsidRPr="00E86A8F">
        <w:rPr>
          <w:rFonts w:asciiTheme="majorHAnsi" w:hAnsiTheme="majorHAnsi"/>
          <w:sz w:val="20"/>
          <w:szCs w:val="20"/>
          <w:lang w:val="es-CO"/>
        </w:rPr>
        <w:t xml:space="preserve"> La Comisión</w:t>
      </w:r>
      <w:r w:rsidR="00F51F16" w:rsidRPr="00E86A8F">
        <w:rPr>
          <w:rFonts w:asciiTheme="majorHAnsi" w:hAnsiTheme="majorHAnsi"/>
          <w:sz w:val="20"/>
          <w:szCs w:val="20"/>
          <w:lang w:val="es-CO"/>
        </w:rPr>
        <w:t xml:space="preserve"> y la Corte</w:t>
      </w:r>
      <w:r w:rsidR="005C34E1" w:rsidRPr="00E86A8F">
        <w:rPr>
          <w:rFonts w:asciiTheme="majorHAnsi" w:hAnsiTheme="majorHAnsi"/>
          <w:sz w:val="20"/>
          <w:szCs w:val="20"/>
          <w:lang w:val="es-CO"/>
        </w:rPr>
        <w:t xml:space="preserve"> ha</w:t>
      </w:r>
      <w:r w:rsidR="00F51F16" w:rsidRPr="00E86A8F">
        <w:rPr>
          <w:rFonts w:asciiTheme="majorHAnsi" w:hAnsiTheme="majorHAnsi"/>
          <w:sz w:val="20"/>
          <w:szCs w:val="20"/>
          <w:lang w:val="es-CO"/>
        </w:rPr>
        <w:t>n</w:t>
      </w:r>
      <w:r w:rsidR="005C34E1" w:rsidRPr="00E86A8F">
        <w:rPr>
          <w:rFonts w:asciiTheme="majorHAnsi" w:hAnsiTheme="majorHAnsi"/>
          <w:sz w:val="20"/>
          <w:szCs w:val="20"/>
          <w:lang w:val="es-CO"/>
        </w:rPr>
        <w:t xml:space="preserve"> destacado que, </w:t>
      </w:r>
      <w:r w:rsidR="005C34E1" w:rsidRPr="00E86A8F">
        <w:rPr>
          <w:rFonts w:asciiTheme="majorHAnsi" w:hAnsiTheme="majorHAnsi" w:cstheme="minorHAnsi"/>
          <w:sz w:val="20"/>
          <w:szCs w:val="20"/>
          <w:lang w:val="es-AR"/>
        </w:rPr>
        <w:t>e</w:t>
      </w:r>
      <w:r w:rsidR="00C623CB" w:rsidRPr="00E86A8F">
        <w:rPr>
          <w:rFonts w:asciiTheme="majorHAnsi" w:hAnsiTheme="majorHAnsi" w:cstheme="minorHAnsi"/>
          <w:sz w:val="20"/>
          <w:szCs w:val="20"/>
          <w:lang w:val="es-AR"/>
        </w:rPr>
        <w:t>n los casos en que se pretenda hacer efectiva la responsabilidad de quien ha abusado de su derecho a la libertad de expresión, quien alega que se causó un daño es quien debe soportar la carga de la prueba de demostrar que las expresiones pertinentes eran falsas y causaron efectivamente el daño alegado</w:t>
      </w:r>
      <w:r w:rsidR="00A72373" w:rsidRPr="00E86A8F">
        <w:rPr>
          <w:rStyle w:val="FootnoteReference"/>
          <w:rFonts w:asciiTheme="majorHAnsi" w:hAnsiTheme="majorHAnsi" w:cstheme="minorHAnsi"/>
          <w:sz w:val="20"/>
          <w:szCs w:val="20"/>
          <w:lang w:val="es-AR"/>
        </w:rPr>
        <w:footnoteReference w:id="112"/>
      </w:r>
      <w:r w:rsidR="00C623CB" w:rsidRPr="00E86A8F">
        <w:rPr>
          <w:rFonts w:asciiTheme="majorHAnsi" w:hAnsiTheme="majorHAnsi" w:cstheme="minorHAnsi"/>
          <w:sz w:val="20"/>
          <w:szCs w:val="20"/>
          <w:lang w:val="es-AR"/>
        </w:rPr>
        <w:t>.</w:t>
      </w:r>
      <w:r w:rsidR="004C62EF" w:rsidRPr="00E86A8F">
        <w:rPr>
          <w:rFonts w:asciiTheme="majorHAnsi" w:hAnsiTheme="majorHAnsi" w:cstheme="minorHAnsi"/>
          <w:sz w:val="20"/>
          <w:szCs w:val="20"/>
          <w:lang w:val="es-AR"/>
        </w:rPr>
        <w:t xml:space="preserve"> La aplicación de una </w:t>
      </w:r>
      <w:r w:rsidR="004C62EF" w:rsidRPr="00E86A8F">
        <w:rPr>
          <w:rFonts w:asciiTheme="majorHAnsi" w:hAnsiTheme="majorHAnsi" w:cstheme="minorHAnsi"/>
          <w:i/>
          <w:iCs/>
          <w:sz w:val="20"/>
          <w:szCs w:val="20"/>
          <w:lang w:val="es-AR"/>
        </w:rPr>
        <w:t>exceptio veritatis</w:t>
      </w:r>
      <w:r w:rsidR="004C62EF" w:rsidRPr="00E86A8F">
        <w:rPr>
          <w:rFonts w:asciiTheme="majorHAnsi" w:hAnsiTheme="majorHAnsi" w:cstheme="minorHAnsi"/>
          <w:sz w:val="20"/>
          <w:szCs w:val="20"/>
          <w:lang w:val="es-AR"/>
        </w:rPr>
        <w:t xml:space="preserve">, en su caso, no debe significar inversión </w:t>
      </w:r>
      <w:r w:rsidR="004C62EF" w:rsidRPr="00E86A8F">
        <w:rPr>
          <w:rFonts w:asciiTheme="majorHAnsi" w:hAnsiTheme="majorHAnsi" w:cstheme="minorHAnsi"/>
          <w:sz w:val="20"/>
          <w:szCs w:val="20"/>
          <w:lang w:val="es-AR"/>
        </w:rPr>
        <w:lastRenderedPageBreak/>
        <w:t>en la carga de la prueba que contradiga las derivaciones probatorias de ese principi</w:t>
      </w:r>
      <w:r w:rsidR="007B10F0" w:rsidRPr="00E86A8F">
        <w:rPr>
          <w:rFonts w:asciiTheme="majorHAnsi" w:hAnsiTheme="majorHAnsi" w:cstheme="minorHAnsi"/>
          <w:sz w:val="20"/>
          <w:szCs w:val="20"/>
          <w:lang w:val="es-AR"/>
        </w:rPr>
        <w:t>o</w:t>
      </w:r>
      <w:r w:rsidR="00F81F14" w:rsidRPr="00E86A8F">
        <w:rPr>
          <w:rFonts w:asciiTheme="majorHAnsi" w:hAnsiTheme="majorHAnsi" w:cstheme="minorHAnsi"/>
          <w:sz w:val="20"/>
          <w:szCs w:val="20"/>
          <w:lang w:val="es-AR"/>
        </w:rPr>
        <w:t>, sin perjuicio de esto, basta con que las aseveraciones cuestionadas resulten razonables, para excluir la responsabilidad frente a afirmaciones que revisten un interés público actual</w:t>
      </w:r>
      <w:r w:rsidR="00BB4ECB" w:rsidRPr="00E86A8F">
        <w:rPr>
          <w:rStyle w:val="FootnoteReference"/>
          <w:rFonts w:asciiTheme="majorHAnsi" w:hAnsiTheme="majorHAnsi" w:cstheme="minorHAnsi"/>
          <w:sz w:val="20"/>
          <w:szCs w:val="20"/>
          <w:lang w:val="es-AR"/>
        </w:rPr>
        <w:footnoteReference w:id="113"/>
      </w:r>
      <w:r w:rsidR="00493161" w:rsidRPr="00E86A8F">
        <w:rPr>
          <w:rFonts w:asciiTheme="majorHAnsi" w:hAnsiTheme="majorHAnsi" w:cstheme="minorHAnsi"/>
          <w:sz w:val="20"/>
          <w:szCs w:val="20"/>
          <w:lang w:val="es-AR"/>
        </w:rPr>
        <w:t>, como ocurrió en el presente caso.</w:t>
      </w:r>
    </w:p>
    <w:p w14:paraId="475EDF37" w14:textId="77777777" w:rsidR="00506C81" w:rsidRPr="00E86A8F" w:rsidRDefault="00506C81"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54A3402B" w14:textId="63AB0CBA" w:rsidR="00D74829" w:rsidRPr="00E86A8F" w:rsidRDefault="00DD3EE9"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Todo lo anteriormente señalado, </w:t>
      </w:r>
      <w:r w:rsidR="00B748C7" w:rsidRPr="00E86A8F">
        <w:rPr>
          <w:rFonts w:asciiTheme="majorHAnsi" w:hAnsiTheme="majorHAnsi"/>
          <w:sz w:val="20"/>
          <w:szCs w:val="20"/>
          <w:lang w:val="es-CO"/>
        </w:rPr>
        <w:t>“no significa, de modo alguno, que el honor de los funcionarios públicos o de las personas públicas no deba ser jurídicamente protegido, sino que éste debe serlo de manera acorde con los principios del pluralismo democrático</w:t>
      </w:r>
      <w:r w:rsidR="00D74829" w:rsidRPr="00E86A8F">
        <w:rPr>
          <w:rFonts w:asciiTheme="majorHAnsi" w:hAnsiTheme="majorHAnsi"/>
          <w:sz w:val="20"/>
          <w:szCs w:val="20"/>
          <w:lang w:val="es-CO"/>
        </w:rPr>
        <w:t>”</w:t>
      </w:r>
      <w:r w:rsidR="00D74829" w:rsidRPr="00E86A8F">
        <w:rPr>
          <w:rFonts w:asciiTheme="majorHAnsi" w:hAnsiTheme="majorHAnsi"/>
          <w:sz w:val="20"/>
          <w:szCs w:val="20"/>
          <w:vertAlign w:val="superscript"/>
          <w:lang w:val="es-CO"/>
        </w:rPr>
        <w:footnoteReference w:id="114"/>
      </w:r>
      <w:r w:rsidR="00D74829" w:rsidRPr="00E86A8F">
        <w:rPr>
          <w:rFonts w:asciiTheme="majorHAnsi" w:hAnsiTheme="majorHAnsi"/>
          <w:sz w:val="20"/>
          <w:szCs w:val="20"/>
          <w:lang w:val="es-CO"/>
        </w:rPr>
        <w:t xml:space="preserve"> y acudiendo a mecanismos menos lesivos de protección de los derechos. </w:t>
      </w:r>
    </w:p>
    <w:p w14:paraId="3414158F" w14:textId="77777777" w:rsidR="00702306" w:rsidRPr="00E86A8F" w:rsidRDefault="00702306"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05AA0322" w14:textId="0261C0FE" w:rsidR="00422F42" w:rsidRPr="00E86A8F" w:rsidRDefault="00D74829"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CO"/>
        </w:rPr>
        <w:t xml:space="preserve">Con base en lo expuesto, </w:t>
      </w:r>
      <w:r w:rsidRPr="00E86A8F">
        <w:rPr>
          <w:rFonts w:asciiTheme="majorHAnsi" w:hAnsiTheme="majorHAnsi"/>
          <w:sz w:val="20"/>
          <w:szCs w:val="20"/>
          <w:lang w:val="es-VE"/>
        </w:rPr>
        <w:t>l</w:t>
      </w:r>
      <w:r w:rsidR="00B748C7" w:rsidRPr="00E86A8F">
        <w:rPr>
          <w:rFonts w:asciiTheme="majorHAnsi" w:hAnsiTheme="majorHAnsi"/>
          <w:sz w:val="20"/>
          <w:szCs w:val="20"/>
          <w:lang w:val="es-VE"/>
        </w:rPr>
        <w:t>a Comisión considera que la s</w:t>
      </w:r>
      <w:r w:rsidR="003F5524" w:rsidRPr="00E86A8F">
        <w:rPr>
          <w:rFonts w:asciiTheme="majorHAnsi" w:hAnsiTheme="majorHAnsi"/>
          <w:sz w:val="20"/>
          <w:szCs w:val="20"/>
          <w:lang w:val="es-VE"/>
        </w:rPr>
        <w:t>a</w:t>
      </w:r>
      <w:r w:rsidR="00B748C7" w:rsidRPr="00E86A8F">
        <w:rPr>
          <w:rFonts w:asciiTheme="majorHAnsi" w:hAnsiTheme="majorHAnsi"/>
          <w:sz w:val="20"/>
          <w:szCs w:val="20"/>
          <w:lang w:val="es-VE"/>
        </w:rPr>
        <w:t xml:space="preserve">nción penal </w:t>
      </w:r>
      <w:r w:rsidR="001E3030" w:rsidRPr="00E86A8F">
        <w:rPr>
          <w:rFonts w:asciiTheme="majorHAnsi" w:hAnsiTheme="majorHAnsi"/>
          <w:sz w:val="20"/>
          <w:szCs w:val="20"/>
          <w:lang w:val="es-VE"/>
        </w:rPr>
        <w:t>y civil, así como las demás medidas adoptadas</w:t>
      </w:r>
      <w:r w:rsidR="00B6125B" w:rsidRPr="00E86A8F">
        <w:rPr>
          <w:rFonts w:asciiTheme="majorHAnsi" w:hAnsiTheme="majorHAnsi"/>
          <w:sz w:val="20"/>
          <w:szCs w:val="20"/>
          <w:lang w:val="es-VE"/>
        </w:rPr>
        <w:t xml:space="preserve"> en perjuicio de Carlos Baraona Bray</w:t>
      </w:r>
      <w:r w:rsidR="00B748C7" w:rsidRPr="00E86A8F">
        <w:rPr>
          <w:rFonts w:asciiTheme="majorHAnsi" w:hAnsiTheme="majorHAnsi"/>
          <w:sz w:val="20"/>
          <w:szCs w:val="20"/>
          <w:lang w:val="es-VE"/>
        </w:rPr>
        <w:t xml:space="preserve">, constituyeron sanciones innecesarias y manifiestamente desproporcionadas, por excesivas. </w:t>
      </w:r>
    </w:p>
    <w:p w14:paraId="6AD9E0A2" w14:textId="77777777" w:rsidR="004F5A95" w:rsidRPr="00E86A8F" w:rsidRDefault="004F5A95" w:rsidP="005247AF">
      <w:pPr>
        <w:pStyle w:val="ListParagraph"/>
        <w:rPr>
          <w:rFonts w:asciiTheme="majorHAnsi" w:hAnsiTheme="majorHAnsi"/>
          <w:sz w:val="20"/>
          <w:szCs w:val="20"/>
          <w:lang w:val="es-CO"/>
        </w:rPr>
      </w:pPr>
    </w:p>
    <w:p w14:paraId="438B91C6" w14:textId="2F498B12" w:rsidR="004F5A95" w:rsidRPr="00E86A8F" w:rsidRDefault="004F5A95" w:rsidP="005247AF">
      <w:pPr>
        <w:pStyle w:val="Heading2"/>
        <w:tabs>
          <w:tab w:val="clear" w:pos="1418"/>
        </w:tabs>
        <w:ind w:left="0"/>
        <w:rPr>
          <w:rFonts w:asciiTheme="majorHAnsi" w:hAnsiTheme="majorHAnsi" w:cs="Cambria"/>
          <w:color w:val="000000"/>
          <w:lang w:val="es-US"/>
        </w:rPr>
      </w:pPr>
      <w:bookmarkStart w:id="37" w:name="_Toc11073113"/>
      <w:r w:rsidRPr="00E86A8F">
        <w:rPr>
          <w:rFonts w:asciiTheme="majorHAnsi" w:hAnsiTheme="majorHAnsi"/>
          <w:lang w:val="es-CO"/>
        </w:rPr>
        <w:t>D</w:t>
      </w:r>
      <w:r w:rsidRPr="00E86A8F">
        <w:rPr>
          <w:rFonts w:asciiTheme="majorHAnsi" w:hAnsiTheme="majorHAnsi"/>
        </w:rPr>
        <w:t>erecho a la protección judicial</w:t>
      </w:r>
      <w:r w:rsidR="004F278D" w:rsidRPr="00E86A8F">
        <w:rPr>
          <w:rFonts w:asciiTheme="majorHAnsi" w:hAnsiTheme="majorHAnsi"/>
        </w:rPr>
        <w:t xml:space="preserve"> (artículo 25.1)</w:t>
      </w:r>
      <w:r w:rsidR="004F278D" w:rsidRPr="00E86A8F">
        <w:rPr>
          <w:rStyle w:val="FootnoteReference"/>
          <w:rFonts w:asciiTheme="majorHAnsi" w:hAnsiTheme="majorHAnsi"/>
        </w:rPr>
        <w:footnoteReference w:id="115"/>
      </w:r>
      <w:r w:rsidR="004F278D" w:rsidRPr="00E86A8F">
        <w:rPr>
          <w:rFonts w:asciiTheme="majorHAnsi" w:hAnsiTheme="majorHAnsi"/>
        </w:rPr>
        <w:t xml:space="preserve"> </w:t>
      </w:r>
      <w:r w:rsidRPr="00E86A8F">
        <w:rPr>
          <w:rFonts w:asciiTheme="majorHAnsi" w:hAnsiTheme="majorHAnsi"/>
        </w:rPr>
        <w:t>y la efectividad del recurso de nulidad</w:t>
      </w:r>
      <w:bookmarkEnd w:id="37"/>
    </w:p>
    <w:p w14:paraId="1A45ED3A" w14:textId="77777777" w:rsidR="00662DEB" w:rsidRPr="00E86A8F" w:rsidRDefault="00662DEB" w:rsidP="005247AF">
      <w:pPr>
        <w:rPr>
          <w:rFonts w:asciiTheme="majorHAnsi" w:hAnsiTheme="majorHAnsi"/>
          <w:sz w:val="20"/>
          <w:szCs w:val="20"/>
          <w:lang w:val="es-CO"/>
        </w:rPr>
      </w:pPr>
    </w:p>
    <w:p w14:paraId="689CAC86" w14:textId="243CE46E" w:rsidR="00615C56" w:rsidRPr="00E86A8F" w:rsidRDefault="00615C56" w:rsidP="005247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E86A8F">
        <w:rPr>
          <w:rFonts w:asciiTheme="majorHAnsi" w:hAnsiTheme="majorHAnsi"/>
          <w:sz w:val="20"/>
          <w:szCs w:val="20"/>
          <w:lang w:val="es-MX"/>
        </w:rPr>
        <w:t>La Comisión concluyó en los párrafos precedentes que las decisiones judic</w:t>
      </w:r>
      <w:r w:rsidR="00931B5D" w:rsidRPr="00E86A8F">
        <w:rPr>
          <w:rFonts w:asciiTheme="majorHAnsi" w:hAnsiTheme="majorHAnsi"/>
          <w:sz w:val="20"/>
          <w:szCs w:val="20"/>
          <w:lang w:val="es-MX"/>
        </w:rPr>
        <w:t>iales adoptadas a nivel interno violaron el derecho a la libertad de pensamiento y expresión</w:t>
      </w:r>
      <w:r w:rsidR="00C343CD" w:rsidRPr="00E86A8F">
        <w:rPr>
          <w:rFonts w:asciiTheme="majorHAnsi" w:hAnsiTheme="majorHAnsi"/>
          <w:sz w:val="20"/>
          <w:szCs w:val="20"/>
          <w:lang w:val="es-MX"/>
        </w:rPr>
        <w:t xml:space="preserve"> de Carlos Baraona.</w:t>
      </w:r>
      <w:r w:rsidR="00931B5D" w:rsidRPr="00E86A8F">
        <w:rPr>
          <w:rFonts w:asciiTheme="majorHAnsi" w:hAnsiTheme="majorHAnsi"/>
          <w:sz w:val="20"/>
          <w:szCs w:val="20"/>
          <w:lang w:val="es-MX"/>
        </w:rPr>
        <w:t xml:space="preserve"> Asimismo, conforme a los hechos del caso, el señor Baraona interpuso un recurso de nulidad </w:t>
      </w:r>
      <w:r w:rsidR="0054122E" w:rsidRPr="00E86A8F">
        <w:rPr>
          <w:rFonts w:asciiTheme="majorHAnsi" w:hAnsiTheme="majorHAnsi"/>
          <w:sz w:val="20"/>
          <w:szCs w:val="20"/>
          <w:lang w:val="es-MX"/>
        </w:rPr>
        <w:t xml:space="preserve">con el fin de que su derecho fuera protegido, el </w:t>
      </w:r>
      <w:r w:rsidR="00931B5D" w:rsidRPr="00E86A8F">
        <w:rPr>
          <w:rFonts w:asciiTheme="majorHAnsi" w:hAnsiTheme="majorHAnsi"/>
          <w:sz w:val="20"/>
          <w:szCs w:val="20"/>
          <w:lang w:val="es-MX"/>
        </w:rPr>
        <w:t>que fue decidido por la Corte Suprema en el sentido de ratificar la condena dictada</w:t>
      </w:r>
      <w:r w:rsidR="00C343CD" w:rsidRPr="00E86A8F">
        <w:rPr>
          <w:rFonts w:asciiTheme="majorHAnsi" w:hAnsiTheme="majorHAnsi"/>
          <w:sz w:val="20"/>
          <w:szCs w:val="20"/>
          <w:lang w:val="es-MX"/>
        </w:rPr>
        <w:t xml:space="preserve"> por la primera instancia penal. Ello,</w:t>
      </w:r>
      <w:r w:rsidR="00931B5D" w:rsidRPr="00E86A8F">
        <w:rPr>
          <w:rFonts w:asciiTheme="majorHAnsi" w:hAnsiTheme="majorHAnsi"/>
          <w:sz w:val="20"/>
          <w:szCs w:val="20"/>
          <w:lang w:val="es-MX"/>
        </w:rPr>
        <w:t xml:space="preserve"> </w:t>
      </w:r>
      <w:r w:rsidR="00C343CD" w:rsidRPr="00E86A8F">
        <w:rPr>
          <w:rFonts w:asciiTheme="majorHAnsi" w:hAnsiTheme="majorHAnsi"/>
          <w:sz w:val="20"/>
          <w:szCs w:val="20"/>
          <w:lang w:val="es-MX"/>
        </w:rPr>
        <w:t xml:space="preserve">al considerar en el caso concreto, </w:t>
      </w:r>
      <w:r w:rsidR="00E3217B" w:rsidRPr="00E86A8F">
        <w:rPr>
          <w:rFonts w:asciiTheme="majorHAnsi" w:hAnsiTheme="majorHAnsi"/>
          <w:sz w:val="20"/>
          <w:szCs w:val="20"/>
          <w:lang w:val="es-MX"/>
        </w:rPr>
        <w:t xml:space="preserve">que </w:t>
      </w:r>
      <w:r w:rsidR="00C343CD" w:rsidRPr="00E86A8F">
        <w:rPr>
          <w:rFonts w:asciiTheme="majorHAnsi" w:hAnsiTheme="majorHAnsi"/>
          <w:sz w:val="20"/>
          <w:szCs w:val="20"/>
          <w:lang w:val="es-MX"/>
        </w:rPr>
        <w:t>el derecho a la honra debía primar sobre el derecho a la libertad de expresión en relación con temas de interés público</w:t>
      </w:r>
      <w:r w:rsidR="00E3217B" w:rsidRPr="00E86A8F">
        <w:rPr>
          <w:rFonts w:asciiTheme="majorHAnsi" w:hAnsiTheme="majorHAnsi"/>
          <w:sz w:val="20"/>
          <w:szCs w:val="20"/>
          <w:lang w:val="es-MX"/>
        </w:rPr>
        <w:t>.</w:t>
      </w:r>
      <w:r w:rsidR="00DC5EC1" w:rsidRPr="00E86A8F">
        <w:rPr>
          <w:rFonts w:asciiTheme="majorHAnsi" w:hAnsiTheme="majorHAnsi"/>
          <w:sz w:val="20"/>
          <w:szCs w:val="20"/>
          <w:lang w:val="es-MX"/>
        </w:rPr>
        <w:t xml:space="preserve"> De este modo, la </w:t>
      </w:r>
      <w:r w:rsidR="00DC5EC1" w:rsidRPr="00E86A8F">
        <w:rPr>
          <w:rFonts w:asciiTheme="majorHAnsi" w:hAnsiTheme="majorHAnsi"/>
          <w:sz w:val="20"/>
          <w:szCs w:val="20"/>
          <w:lang w:val="es-VE"/>
        </w:rPr>
        <w:t xml:space="preserve">Segunda Sala de la Corte Suprema no realizó una ponderación del caso a la luz de los estándares interamericanos sobre libertad de expresión respecto a la protección de los discursos de interés público sobre funcionarios públicos. </w:t>
      </w:r>
      <w:r w:rsidR="00C343CD" w:rsidRPr="00E86A8F">
        <w:rPr>
          <w:rFonts w:asciiTheme="majorHAnsi" w:hAnsiTheme="majorHAnsi"/>
          <w:sz w:val="20"/>
          <w:szCs w:val="20"/>
          <w:lang w:val="es-MX"/>
        </w:rPr>
        <w:t xml:space="preserve"> </w:t>
      </w:r>
    </w:p>
    <w:p w14:paraId="66FC7E47" w14:textId="77777777" w:rsidR="00C343CD" w:rsidRPr="00E86A8F" w:rsidRDefault="00C343CD" w:rsidP="005247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50B6E483" w14:textId="3B737124" w:rsidR="00615C56" w:rsidRPr="00E86A8F" w:rsidRDefault="0054122E" w:rsidP="003138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E86A8F">
        <w:rPr>
          <w:rFonts w:asciiTheme="majorHAnsi" w:hAnsiTheme="majorHAnsi"/>
          <w:sz w:val="20"/>
          <w:szCs w:val="20"/>
          <w:lang w:val="es-ES_tradnl"/>
        </w:rPr>
        <w:t>L</w:t>
      </w:r>
      <w:r w:rsidR="00615C56" w:rsidRPr="00E86A8F">
        <w:rPr>
          <w:rFonts w:asciiTheme="majorHAnsi" w:hAnsiTheme="majorHAnsi"/>
          <w:sz w:val="20"/>
          <w:szCs w:val="20"/>
          <w:lang w:val="es-CO"/>
        </w:rPr>
        <w:t xml:space="preserve">a Corte ha entendido que para </w:t>
      </w:r>
      <w:r w:rsidRPr="00E86A8F">
        <w:rPr>
          <w:rFonts w:asciiTheme="majorHAnsi" w:hAnsiTheme="majorHAnsi"/>
          <w:sz w:val="20"/>
          <w:szCs w:val="20"/>
          <w:lang w:val="es-PE"/>
        </w:rPr>
        <w:t>que un Estado cumpla con lo dispuesto en el artículo 25 de la Convención, no basta con que los recursos existan formalmente, sino que es preciso que tengan efectivi</w:t>
      </w:r>
      <w:r w:rsidR="00901523" w:rsidRPr="00E86A8F">
        <w:rPr>
          <w:rFonts w:asciiTheme="majorHAnsi" w:hAnsiTheme="majorHAnsi"/>
          <w:sz w:val="20"/>
          <w:szCs w:val="20"/>
          <w:lang w:val="es-PE"/>
        </w:rPr>
        <w:t>dad en los términos del mismo</w:t>
      </w:r>
      <w:r w:rsidRPr="00E86A8F">
        <w:rPr>
          <w:rFonts w:asciiTheme="majorHAnsi" w:hAnsiTheme="majorHAnsi"/>
          <w:sz w:val="20"/>
          <w:szCs w:val="20"/>
          <w:lang w:val="es-PE"/>
        </w:rPr>
        <w:t>, es decir, que den resultados o respuestas a las violaciones de derechos reconocidos, ya sea en la Convención, e</w:t>
      </w:r>
      <w:r w:rsidR="00901523" w:rsidRPr="00E86A8F">
        <w:rPr>
          <w:rFonts w:asciiTheme="majorHAnsi" w:hAnsiTheme="majorHAnsi"/>
          <w:sz w:val="20"/>
          <w:szCs w:val="20"/>
          <w:lang w:val="es-PE"/>
        </w:rPr>
        <w:t>n la Constitución o en la ley</w:t>
      </w:r>
      <w:r w:rsidR="00610717" w:rsidRPr="00E86A8F">
        <w:rPr>
          <w:rStyle w:val="FootnoteReference"/>
          <w:rFonts w:asciiTheme="majorHAnsi" w:hAnsiTheme="majorHAnsi"/>
          <w:sz w:val="20"/>
          <w:szCs w:val="20"/>
          <w:lang w:val="es-PE"/>
        </w:rPr>
        <w:footnoteReference w:id="116"/>
      </w:r>
      <w:r w:rsidR="00901523" w:rsidRPr="00E86A8F">
        <w:rPr>
          <w:rFonts w:asciiTheme="majorHAnsi" w:hAnsiTheme="majorHAnsi"/>
          <w:sz w:val="20"/>
          <w:szCs w:val="20"/>
          <w:lang w:val="es-PE"/>
        </w:rPr>
        <w:t xml:space="preserve">, </w:t>
      </w:r>
      <w:r w:rsidR="00901523" w:rsidRPr="00E86A8F">
        <w:rPr>
          <w:rFonts w:asciiTheme="majorHAnsi" w:hAnsiTheme="majorHAnsi"/>
          <w:sz w:val="20"/>
          <w:szCs w:val="20"/>
          <w:lang w:val="es-CO"/>
        </w:rPr>
        <w:t xml:space="preserve">y de especial relevancia para el presente caso, </w:t>
      </w:r>
      <w:r w:rsidR="00DE3A61" w:rsidRPr="00E86A8F">
        <w:rPr>
          <w:rFonts w:asciiTheme="majorHAnsi" w:hAnsiTheme="majorHAnsi"/>
          <w:sz w:val="20"/>
          <w:szCs w:val="20"/>
          <w:lang w:val="es-CO"/>
        </w:rPr>
        <w:t>que provean lo necesario para remediar un acto que viole esos derechos</w:t>
      </w:r>
      <w:r w:rsidR="00901523" w:rsidRPr="00E86A8F">
        <w:rPr>
          <w:rFonts w:asciiTheme="majorHAnsi" w:hAnsiTheme="majorHAnsi"/>
          <w:sz w:val="20"/>
          <w:szCs w:val="20"/>
          <w:vertAlign w:val="superscript"/>
        </w:rPr>
        <w:footnoteReference w:id="117"/>
      </w:r>
      <w:r w:rsidR="00901523" w:rsidRPr="00E86A8F">
        <w:rPr>
          <w:rFonts w:asciiTheme="majorHAnsi" w:hAnsiTheme="majorHAnsi"/>
          <w:sz w:val="20"/>
          <w:szCs w:val="20"/>
          <w:lang w:val="es-CO"/>
        </w:rPr>
        <w:t>.</w:t>
      </w:r>
    </w:p>
    <w:p w14:paraId="09C9F439" w14:textId="77777777" w:rsidR="00DE3A61" w:rsidRPr="00E86A8F" w:rsidRDefault="00DE3A61" w:rsidP="005247AF">
      <w:pPr>
        <w:pStyle w:val="ListParagraph"/>
        <w:rPr>
          <w:rFonts w:asciiTheme="majorHAnsi" w:hAnsiTheme="majorHAnsi"/>
          <w:sz w:val="20"/>
          <w:szCs w:val="20"/>
          <w:lang w:val="es-MX"/>
        </w:rPr>
      </w:pPr>
    </w:p>
    <w:p w14:paraId="6DA26357" w14:textId="6E99DC44" w:rsidR="00DE3A61" w:rsidRPr="00E86A8F" w:rsidRDefault="00DE3A61" w:rsidP="003138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E86A8F">
        <w:rPr>
          <w:rFonts w:asciiTheme="majorHAnsi" w:hAnsiTheme="majorHAnsi"/>
          <w:sz w:val="20"/>
          <w:szCs w:val="20"/>
          <w:lang w:val="es-MX"/>
        </w:rPr>
        <w:t xml:space="preserve">El señor Baraona Bray interpuso el recurso de nulidad con la intención de </w:t>
      </w:r>
      <w:r w:rsidR="00135380" w:rsidRPr="00E86A8F">
        <w:rPr>
          <w:rFonts w:asciiTheme="majorHAnsi" w:hAnsiTheme="majorHAnsi"/>
          <w:sz w:val="20"/>
          <w:szCs w:val="20"/>
          <w:lang w:val="es-MX"/>
        </w:rPr>
        <w:t>que la instancia superior amparara</w:t>
      </w:r>
      <w:r w:rsidRPr="00E86A8F">
        <w:rPr>
          <w:rFonts w:asciiTheme="majorHAnsi" w:hAnsiTheme="majorHAnsi"/>
          <w:sz w:val="20"/>
          <w:szCs w:val="20"/>
          <w:lang w:val="es-MX"/>
        </w:rPr>
        <w:t xml:space="preserve"> su derecho a la libertad de expresión, violado a través del fallo judicial de primera instancia. Sin embargo, la instancia superior </w:t>
      </w:r>
      <w:r w:rsidR="00DC5EC1" w:rsidRPr="00E86A8F">
        <w:rPr>
          <w:rFonts w:asciiTheme="majorHAnsi" w:hAnsiTheme="majorHAnsi"/>
          <w:sz w:val="20"/>
          <w:szCs w:val="20"/>
          <w:lang w:val="es-MX"/>
        </w:rPr>
        <w:t xml:space="preserve">a cargo de la </w:t>
      </w:r>
      <w:r w:rsidR="00DC5EC1" w:rsidRPr="00E86A8F">
        <w:rPr>
          <w:rFonts w:asciiTheme="majorHAnsi" w:hAnsiTheme="majorHAnsi"/>
          <w:sz w:val="20"/>
          <w:szCs w:val="20"/>
          <w:lang w:val="es-VE"/>
        </w:rPr>
        <w:t xml:space="preserve">Segunda Sala de la Corte Suprema, </w:t>
      </w:r>
      <w:r w:rsidR="00DC5EC1" w:rsidRPr="00E86A8F">
        <w:rPr>
          <w:rFonts w:asciiTheme="majorHAnsi" w:hAnsiTheme="majorHAnsi"/>
          <w:sz w:val="20"/>
          <w:szCs w:val="20"/>
          <w:lang w:val="es-MX"/>
        </w:rPr>
        <w:t>no tomó</w:t>
      </w:r>
      <w:r w:rsidR="00135380" w:rsidRPr="00E86A8F">
        <w:rPr>
          <w:rFonts w:asciiTheme="majorHAnsi" w:hAnsiTheme="majorHAnsi"/>
          <w:sz w:val="20"/>
          <w:szCs w:val="20"/>
          <w:lang w:val="es-MX"/>
        </w:rPr>
        <w:t xml:space="preserve"> en cuenta los estándares desarrollados </w:t>
      </w:r>
      <w:r w:rsidR="00135380" w:rsidRPr="00E86A8F">
        <w:rPr>
          <w:rFonts w:asciiTheme="majorHAnsi" w:hAnsiTheme="majorHAnsi"/>
          <w:i/>
          <w:sz w:val="20"/>
          <w:szCs w:val="20"/>
          <w:lang w:val="es-MX"/>
        </w:rPr>
        <w:t>ut supra</w:t>
      </w:r>
      <w:r w:rsidR="00135380" w:rsidRPr="00E86A8F">
        <w:rPr>
          <w:rFonts w:asciiTheme="majorHAnsi" w:hAnsiTheme="majorHAnsi"/>
          <w:sz w:val="20"/>
          <w:szCs w:val="20"/>
          <w:lang w:val="es-MX"/>
        </w:rPr>
        <w:t xml:space="preserve"> en aplicación de</w:t>
      </w:r>
      <w:r w:rsidR="00DD1381" w:rsidRPr="00E86A8F">
        <w:rPr>
          <w:rFonts w:asciiTheme="majorHAnsi" w:hAnsiTheme="majorHAnsi"/>
          <w:sz w:val="20"/>
          <w:szCs w:val="20"/>
          <w:lang w:val="es-MX"/>
        </w:rPr>
        <w:t>l control de convencionalidad correspondiente, ratific</w:t>
      </w:r>
      <w:r w:rsidR="00DC5EC1" w:rsidRPr="00E86A8F">
        <w:rPr>
          <w:rFonts w:asciiTheme="majorHAnsi" w:hAnsiTheme="majorHAnsi"/>
          <w:sz w:val="20"/>
          <w:szCs w:val="20"/>
          <w:lang w:val="es-MX"/>
        </w:rPr>
        <w:t>ando</w:t>
      </w:r>
      <w:r w:rsidR="00DD1381" w:rsidRPr="00E86A8F">
        <w:rPr>
          <w:rFonts w:asciiTheme="majorHAnsi" w:hAnsiTheme="majorHAnsi"/>
          <w:sz w:val="20"/>
          <w:szCs w:val="20"/>
          <w:lang w:val="es-MX"/>
        </w:rPr>
        <w:t xml:space="preserve"> la decisión </w:t>
      </w:r>
      <w:r w:rsidR="00396612" w:rsidRPr="00E86A8F">
        <w:rPr>
          <w:rFonts w:asciiTheme="majorHAnsi" w:hAnsiTheme="majorHAnsi"/>
          <w:sz w:val="20"/>
          <w:szCs w:val="20"/>
          <w:lang w:val="es-MX"/>
        </w:rPr>
        <w:t>de primera instancia</w:t>
      </w:r>
      <w:r w:rsidR="00DC5EC1" w:rsidRPr="00E86A8F">
        <w:rPr>
          <w:rFonts w:asciiTheme="majorHAnsi" w:hAnsiTheme="majorHAnsi"/>
          <w:sz w:val="20"/>
          <w:szCs w:val="20"/>
          <w:lang w:val="es-MX"/>
        </w:rPr>
        <w:t xml:space="preserve"> a cargo del Juzgado de Garantía de Puerto Montt</w:t>
      </w:r>
      <w:r w:rsidR="00206E90" w:rsidRPr="00E86A8F">
        <w:rPr>
          <w:rFonts w:asciiTheme="majorHAnsi" w:hAnsiTheme="majorHAnsi"/>
          <w:sz w:val="20"/>
          <w:szCs w:val="20"/>
          <w:lang w:val="es-MX"/>
        </w:rPr>
        <w:t>,</w:t>
      </w:r>
      <w:r w:rsidR="00396612" w:rsidRPr="00E86A8F">
        <w:rPr>
          <w:rFonts w:asciiTheme="majorHAnsi" w:hAnsiTheme="majorHAnsi"/>
          <w:sz w:val="20"/>
          <w:szCs w:val="20"/>
          <w:lang w:val="es-MX"/>
        </w:rPr>
        <w:t xml:space="preserve"> a</w:t>
      </w:r>
      <w:r w:rsidR="00DD1381" w:rsidRPr="00E86A8F">
        <w:rPr>
          <w:rFonts w:asciiTheme="majorHAnsi" w:hAnsiTheme="majorHAnsi"/>
          <w:sz w:val="20"/>
          <w:szCs w:val="20"/>
          <w:lang w:val="es-MX"/>
        </w:rPr>
        <w:t xml:space="preserve"> pesar de que los hechos y opiniones vertidos por la víctima se relacionaban con temas de elevado interés p</w:t>
      </w:r>
      <w:r w:rsidR="00396612" w:rsidRPr="00E86A8F">
        <w:rPr>
          <w:rFonts w:asciiTheme="majorHAnsi" w:hAnsiTheme="majorHAnsi"/>
          <w:sz w:val="20"/>
          <w:szCs w:val="20"/>
          <w:lang w:val="es-MX"/>
        </w:rPr>
        <w:t>úblico en Chile</w:t>
      </w:r>
      <w:r w:rsidR="00DC5EC1" w:rsidRPr="00E86A8F">
        <w:rPr>
          <w:rFonts w:asciiTheme="majorHAnsi" w:hAnsiTheme="majorHAnsi"/>
          <w:sz w:val="20"/>
          <w:szCs w:val="20"/>
          <w:lang w:val="es-MX"/>
        </w:rPr>
        <w:t xml:space="preserve"> y podían ser considerados verosímiles.</w:t>
      </w:r>
      <w:r w:rsidR="00396612" w:rsidRPr="00E86A8F">
        <w:rPr>
          <w:rFonts w:asciiTheme="majorHAnsi" w:hAnsiTheme="majorHAnsi"/>
          <w:sz w:val="20"/>
          <w:szCs w:val="20"/>
          <w:lang w:val="es-MX"/>
        </w:rPr>
        <w:t xml:space="preserve"> </w:t>
      </w:r>
      <w:r w:rsidR="00DC5EC1" w:rsidRPr="00E86A8F">
        <w:rPr>
          <w:rFonts w:asciiTheme="majorHAnsi" w:hAnsiTheme="majorHAnsi"/>
          <w:sz w:val="20"/>
          <w:szCs w:val="20"/>
          <w:lang w:val="es-MX"/>
        </w:rPr>
        <w:t>Por el contrario, l</w:t>
      </w:r>
      <w:r w:rsidR="00396612" w:rsidRPr="00E86A8F">
        <w:rPr>
          <w:rFonts w:asciiTheme="majorHAnsi" w:hAnsiTheme="majorHAnsi"/>
          <w:sz w:val="20"/>
          <w:szCs w:val="20"/>
          <w:lang w:val="es-MX"/>
        </w:rPr>
        <w:t>a Corte Suprema exigió que la víctima</w:t>
      </w:r>
      <w:r w:rsidR="00DD1381" w:rsidRPr="00E86A8F">
        <w:rPr>
          <w:rFonts w:asciiTheme="majorHAnsi" w:hAnsiTheme="majorHAnsi"/>
          <w:sz w:val="20"/>
          <w:szCs w:val="20"/>
          <w:lang w:val="es-MX"/>
        </w:rPr>
        <w:t xml:space="preserve"> comprobara la veracidad de sus dichos, a pesar de que Carlos Baraona había detallado las fuentes en las cuales se basó</w:t>
      </w:r>
      <w:r w:rsidR="00396612" w:rsidRPr="00E86A8F">
        <w:rPr>
          <w:rFonts w:asciiTheme="majorHAnsi" w:hAnsiTheme="majorHAnsi"/>
          <w:sz w:val="20"/>
          <w:szCs w:val="20"/>
          <w:lang w:val="es-MX"/>
        </w:rPr>
        <w:t>, las que lo llevaron a considerar razonablemente, con base en las circunstancias del debate público,</w:t>
      </w:r>
      <w:r w:rsidR="00DD1381" w:rsidRPr="00E86A8F">
        <w:rPr>
          <w:rFonts w:asciiTheme="majorHAnsi" w:hAnsiTheme="majorHAnsi"/>
          <w:sz w:val="20"/>
          <w:szCs w:val="20"/>
          <w:lang w:val="es-MX"/>
        </w:rPr>
        <w:t xml:space="preserve"> </w:t>
      </w:r>
      <w:r w:rsidR="00396612" w:rsidRPr="00E86A8F">
        <w:rPr>
          <w:rFonts w:asciiTheme="majorHAnsi" w:hAnsiTheme="majorHAnsi"/>
          <w:sz w:val="20"/>
          <w:szCs w:val="20"/>
          <w:lang w:val="es-MX"/>
        </w:rPr>
        <w:t xml:space="preserve">que la información vertida respecto </w:t>
      </w:r>
      <w:r w:rsidR="00206E90" w:rsidRPr="00E86A8F">
        <w:rPr>
          <w:rFonts w:asciiTheme="majorHAnsi" w:hAnsiTheme="majorHAnsi"/>
          <w:sz w:val="20"/>
          <w:szCs w:val="20"/>
          <w:lang w:val="es-MX"/>
        </w:rPr>
        <w:t>de</w:t>
      </w:r>
      <w:r w:rsidR="00396612" w:rsidRPr="00E86A8F">
        <w:rPr>
          <w:rFonts w:asciiTheme="majorHAnsi" w:hAnsiTheme="majorHAnsi"/>
          <w:sz w:val="20"/>
          <w:szCs w:val="20"/>
          <w:lang w:val="es-MX"/>
        </w:rPr>
        <w:t xml:space="preserve">l actuar del </w:t>
      </w:r>
      <w:r w:rsidR="00486700" w:rsidRPr="00E86A8F">
        <w:rPr>
          <w:rFonts w:asciiTheme="majorHAnsi" w:hAnsiTheme="majorHAnsi"/>
          <w:sz w:val="20"/>
          <w:szCs w:val="20"/>
          <w:lang w:val="es-MX"/>
        </w:rPr>
        <w:t>senador</w:t>
      </w:r>
      <w:r w:rsidR="00396612" w:rsidRPr="00E86A8F">
        <w:rPr>
          <w:rFonts w:asciiTheme="majorHAnsi" w:hAnsiTheme="majorHAnsi"/>
          <w:sz w:val="20"/>
          <w:szCs w:val="20"/>
          <w:lang w:val="es-MX"/>
        </w:rPr>
        <w:t>, era ver</w:t>
      </w:r>
      <w:r w:rsidR="00206E90" w:rsidRPr="00E86A8F">
        <w:rPr>
          <w:rFonts w:asciiTheme="majorHAnsi" w:hAnsiTheme="majorHAnsi"/>
          <w:sz w:val="20"/>
          <w:szCs w:val="20"/>
          <w:lang w:val="es-MX"/>
        </w:rPr>
        <w:t>osímil</w:t>
      </w:r>
      <w:r w:rsidR="00396612" w:rsidRPr="00E86A8F">
        <w:rPr>
          <w:rFonts w:asciiTheme="majorHAnsi" w:hAnsiTheme="majorHAnsi"/>
          <w:sz w:val="20"/>
          <w:szCs w:val="20"/>
          <w:lang w:val="es-MX"/>
        </w:rPr>
        <w:t>.</w:t>
      </w:r>
    </w:p>
    <w:p w14:paraId="31E5D3A3" w14:textId="77777777" w:rsidR="00396612" w:rsidRPr="00E86A8F" w:rsidRDefault="00396612" w:rsidP="005247AF">
      <w:pPr>
        <w:pStyle w:val="ListParagraph"/>
        <w:rPr>
          <w:rFonts w:asciiTheme="majorHAnsi" w:hAnsiTheme="majorHAnsi"/>
          <w:sz w:val="20"/>
          <w:szCs w:val="20"/>
          <w:lang w:val="es-MX"/>
        </w:rPr>
      </w:pPr>
    </w:p>
    <w:p w14:paraId="29036E8A" w14:textId="24E9A470" w:rsidR="00C605CC" w:rsidRPr="00E86A8F" w:rsidRDefault="00DD1381" w:rsidP="005247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MX"/>
        </w:rPr>
        <w:lastRenderedPageBreak/>
        <w:t xml:space="preserve">En virtud de lo anterior, </w:t>
      </w:r>
      <w:r w:rsidR="00141E56" w:rsidRPr="00E86A8F">
        <w:rPr>
          <w:rFonts w:asciiTheme="majorHAnsi" w:hAnsiTheme="majorHAnsi"/>
          <w:sz w:val="20"/>
          <w:szCs w:val="20"/>
          <w:lang w:val="es-MX"/>
        </w:rPr>
        <w:t xml:space="preserve">la Comisión considera que la Corte Suprema no efectuó un análisis de conformidad con los estándares derivados del artículo 13 de la Convención y no proporcionó una protección judicial efectiva del derecho a la libertad de expresión de </w:t>
      </w:r>
      <w:r w:rsidR="0031389F" w:rsidRPr="00E86A8F">
        <w:rPr>
          <w:rFonts w:asciiTheme="majorHAnsi" w:hAnsiTheme="majorHAnsi"/>
          <w:sz w:val="20"/>
          <w:szCs w:val="20"/>
          <w:lang w:val="es-MX"/>
        </w:rPr>
        <w:t>la víctima</w:t>
      </w:r>
      <w:r w:rsidR="00141E56" w:rsidRPr="00E86A8F">
        <w:rPr>
          <w:rFonts w:asciiTheme="majorHAnsi" w:hAnsiTheme="majorHAnsi"/>
          <w:sz w:val="20"/>
          <w:szCs w:val="20"/>
          <w:lang w:val="es-MX"/>
        </w:rPr>
        <w:t xml:space="preserve">. En este sentido, </w:t>
      </w:r>
      <w:r w:rsidR="00C605CC" w:rsidRPr="00E86A8F">
        <w:rPr>
          <w:rFonts w:asciiTheme="majorHAnsi" w:hAnsiTheme="majorHAnsi"/>
          <w:sz w:val="20"/>
          <w:szCs w:val="20"/>
          <w:lang w:val="es-ES"/>
        </w:rPr>
        <w:t>e</w:t>
      </w:r>
      <w:r w:rsidR="00C605CC" w:rsidRPr="00E86A8F">
        <w:rPr>
          <w:rFonts w:asciiTheme="majorHAnsi" w:hAnsiTheme="majorHAnsi"/>
          <w:sz w:val="20"/>
          <w:szCs w:val="20"/>
          <w:lang w:val="es-ES_tradnl"/>
        </w:rPr>
        <w:t xml:space="preserve">n ejercicio de su competencia </w:t>
      </w:r>
      <w:r w:rsidR="00C605CC" w:rsidRPr="00E86A8F">
        <w:rPr>
          <w:rFonts w:asciiTheme="majorHAnsi" w:hAnsiTheme="majorHAnsi"/>
          <w:i/>
          <w:sz w:val="20"/>
          <w:szCs w:val="20"/>
          <w:lang w:val="es-ES_tradnl"/>
        </w:rPr>
        <w:t>iura novit curia</w:t>
      </w:r>
      <w:r w:rsidR="00141E56" w:rsidRPr="00E86A8F">
        <w:rPr>
          <w:rFonts w:asciiTheme="majorHAnsi" w:hAnsiTheme="majorHAnsi"/>
          <w:i/>
          <w:sz w:val="20"/>
          <w:szCs w:val="20"/>
          <w:lang w:val="es-ES_tradnl"/>
        </w:rPr>
        <w:t>,</w:t>
      </w:r>
      <w:r w:rsidR="00C605CC" w:rsidRPr="00E86A8F">
        <w:rPr>
          <w:rFonts w:asciiTheme="majorHAnsi" w:hAnsiTheme="majorHAnsi"/>
          <w:i/>
          <w:sz w:val="20"/>
          <w:szCs w:val="20"/>
          <w:lang w:val="es-ES_tradnl"/>
        </w:rPr>
        <w:t xml:space="preserve"> </w:t>
      </w:r>
      <w:r w:rsidR="00C605CC" w:rsidRPr="00E86A8F">
        <w:rPr>
          <w:rFonts w:asciiTheme="majorHAnsi" w:hAnsiTheme="majorHAnsi"/>
          <w:sz w:val="20"/>
          <w:szCs w:val="20"/>
          <w:lang w:val="es-ES_tradnl"/>
        </w:rPr>
        <w:t>la Comisión concluye que</w:t>
      </w:r>
      <w:r w:rsidR="00C605CC" w:rsidRPr="00E86A8F">
        <w:rPr>
          <w:rFonts w:asciiTheme="majorHAnsi" w:hAnsiTheme="majorHAnsi"/>
          <w:sz w:val="20"/>
          <w:szCs w:val="20"/>
          <w:lang w:val="es-ES"/>
        </w:rPr>
        <w:t xml:space="preserve"> el Estado también incumplió el artículo </w:t>
      </w:r>
      <w:r w:rsidR="00141E56" w:rsidRPr="00E86A8F">
        <w:rPr>
          <w:rFonts w:asciiTheme="majorHAnsi" w:hAnsiTheme="majorHAnsi"/>
          <w:sz w:val="20"/>
          <w:szCs w:val="20"/>
          <w:lang w:val="es-ES"/>
        </w:rPr>
        <w:t xml:space="preserve">25.1 </w:t>
      </w:r>
      <w:r w:rsidR="00C605CC" w:rsidRPr="00E86A8F">
        <w:rPr>
          <w:rFonts w:asciiTheme="majorHAnsi" w:hAnsiTheme="majorHAnsi"/>
          <w:sz w:val="20"/>
          <w:szCs w:val="20"/>
          <w:lang w:val="es-ES"/>
        </w:rPr>
        <w:t>de la Convención</w:t>
      </w:r>
      <w:r w:rsidR="00141E56" w:rsidRPr="00E86A8F">
        <w:rPr>
          <w:rFonts w:asciiTheme="majorHAnsi" w:hAnsiTheme="majorHAnsi"/>
          <w:sz w:val="20"/>
          <w:szCs w:val="20"/>
          <w:lang w:val="es-ES"/>
        </w:rPr>
        <w:t>, en relación con el artículo 1.1 del mismo instrumento, en perjuicio de Carlos Baraona.</w:t>
      </w:r>
    </w:p>
    <w:p w14:paraId="4D008BE3" w14:textId="77777777" w:rsidR="00C605CC" w:rsidRPr="00E86A8F" w:rsidRDefault="00C605CC" w:rsidP="0039661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49A48B6" w14:textId="77777777" w:rsidR="00014876" w:rsidRPr="00E86A8F" w:rsidRDefault="00014876" w:rsidP="00073BB6">
      <w:pPr>
        <w:pStyle w:val="Heading1"/>
        <w:suppressAutoHyphens w:val="0"/>
        <w:ind w:left="0" w:firstLine="0"/>
        <w:jc w:val="both"/>
        <w:rPr>
          <w:color w:val="auto"/>
          <w:lang w:val="es-CO"/>
        </w:rPr>
      </w:pPr>
      <w:bookmarkStart w:id="38" w:name="_Toc534905542"/>
      <w:bookmarkStart w:id="39" w:name="_Toc4492624"/>
      <w:bookmarkStart w:id="40" w:name="_Toc6937385"/>
      <w:bookmarkStart w:id="41" w:name="_Toc11073114"/>
      <w:r w:rsidRPr="00E86A8F">
        <w:rPr>
          <w:color w:val="auto"/>
          <w:lang w:val="es-CO"/>
        </w:rPr>
        <w:t>CONCLUSIONES</w:t>
      </w:r>
      <w:bookmarkEnd w:id="38"/>
      <w:bookmarkEnd w:id="39"/>
      <w:bookmarkEnd w:id="40"/>
      <w:bookmarkEnd w:id="41"/>
    </w:p>
    <w:p w14:paraId="05C4E8F3" w14:textId="77777777" w:rsidR="00D87908" w:rsidRPr="00E86A8F" w:rsidRDefault="00D87908"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D23AE87" w14:textId="3256230C" w:rsidR="00C441CB" w:rsidRPr="00E86A8F" w:rsidRDefault="00014876"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E86A8F">
        <w:rPr>
          <w:rFonts w:asciiTheme="majorHAnsi" w:hAnsiTheme="majorHAnsi"/>
          <w:sz w:val="20"/>
          <w:szCs w:val="20"/>
          <w:lang w:val="es-VE"/>
        </w:rPr>
        <w:t>Con</w:t>
      </w:r>
      <w:r w:rsidRPr="00E86A8F">
        <w:rPr>
          <w:rFonts w:asciiTheme="majorHAnsi" w:hAnsiTheme="majorHAnsi"/>
          <w:sz w:val="20"/>
          <w:szCs w:val="20"/>
          <w:lang w:val="es-CL"/>
        </w:rPr>
        <w:t xml:space="preserve"> base en las consideraciones de hecho y de derecho contenidas en el presente informe, l</w:t>
      </w:r>
      <w:r w:rsidRPr="00E86A8F">
        <w:rPr>
          <w:rFonts w:asciiTheme="majorHAnsi" w:hAnsiTheme="majorHAnsi"/>
          <w:sz w:val="20"/>
          <w:szCs w:val="20"/>
          <w:lang w:val="es-ES"/>
        </w:rPr>
        <w:t xml:space="preserve">a CIDH concluye que el Estado de </w:t>
      </w:r>
      <w:r w:rsidR="00A253E8" w:rsidRPr="00E86A8F">
        <w:rPr>
          <w:rFonts w:asciiTheme="majorHAnsi" w:hAnsiTheme="majorHAnsi"/>
          <w:sz w:val="20"/>
          <w:szCs w:val="20"/>
          <w:lang w:val="es-ES"/>
        </w:rPr>
        <w:t>Chile</w:t>
      </w:r>
      <w:r w:rsidRPr="00E86A8F">
        <w:rPr>
          <w:rFonts w:asciiTheme="majorHAnsi" w:hAnsiTheme="majorHAnsi"/>
          <w:sz w:val="20"/>
          <w:szCs w:val="20"/>
          <w:lang w:val="es-ES"/>
        </w:rPr>
        <w:t xml:space="preserve"> violó, en perjuicio del señor</w:t>
      </w:r>
      <w:r w:rsidR="00A253E8" w:rsidRPr="00E86A8F">
        <w:rPr>
          <w:rFonts w:asciiTheme="majorHAnsi" w:hAnsiTheme="majorHAnsi"/>
          <w:sz w:val="20"/>
          <w:szCs w:val="20"/>
          <w:lang w:val="es-ES"/>
        </w:rPr>
        <w:t xml:space="preserve"> </w:t>
      </w:r>
      <w:r w:rsidR="00A253E8" w:rsidRPr="00E86A8F">
        <w:rPr>
          <w:rFonts w:asciiTheme="majorHAnsi" w:hAnsiTheme="majorHAnsi"/>
          <w:sz w:val="20"/>
          <w:szCs w:val="20"/>
          <w:lang w:val="es-VE"/>
        </w:rPr>
        <w:t>Carlos Baraona Bray</w:t>
      </w:r>
      <w:r w:rsidRPr="00E86A8F">
        <w:rPr>
          <w:rFonts w:asciiTheme="majorHAnsi" w:hAnsiTheme="majorHAnsi"/>
          <w:sz w:val="20"/>
          <w:szCs w:val="20"/>
          <w:lang w:val="es-ES"/>
        </w:rPr>
        <w:t>,</w:t>
      </w:r>
      <w:r w:rsidRPr="00E86A8F">
        <w:rPr>
          <w:rFonts w:asciiTheme="majorHAnsi" w:hAnsiTheme="majorHAnsi" w:cs="Arial"/>
          <w:bCs/>
          <w:sz w:val="20"/>
          <w:szCs w:val="20"/>
          <w:lang w:val="es-CO"/>
        </w:rPr>
        <w:t xml:space="preserve"> los derechos </w:t>
      </w:r>
      <w:r w:rsidR="00374BF6" w:rsidRPr="00E86A8F">
        <w:rPr>
          <w:rFonts w:asciiTheme="majorHAnsi" w:hAnsiTheme="majorHAnsi" w:cs="Arial"/>
          <w:bCs/>
          <w:sz w:val="20"/>
          <w:szCs w:val="20"/>
          <w:lang w:val="es-CO"/>
        </w:rPr>
        <w:t xml:space="preserve">reconocidos </w:t>
      </w:r>
      <w:r w:rsidR="00A153A3" w:rsidRPr="00E86A8F">
        <w:rPr>
          <w:rFonts w:asciiTheme="majorHAnsi" w:hAnsiTheme="majorHAnsi" w:cs="Arial"/>
          <w:bCs/>
          <w:sz w:val="20"/>
          <w:szCs w:val="20"/>
          <w:lang w:val="es-CO"/>
        </w:rPr>
        <w:t>en los artículos 13 (libertad de pensamiento y expresión)</w:t>
      </w:r>
      <w:r w:rsidR="003F2963" w:rsidRPr="00E86A8F">
        <w:rPr>
          <w:rFonts w:asciiTheme="majorHAnsi" w:hAnsiTheme="majorHAnsi" w:cs="Arial"/>
          <w:bCs/>
          <w:sz w:val="20"/>
          <w:szCs w:val="20"/>
          <w:lang w:val="es-CO"/>
        </w:rPr>
        <w:t xml:space="preserve">; </w:t>
      </w:r>
      <w:r w:rsidR="00A153A3" w:rsidRPr="00E86A8F">
        <w:rPr>
          <w:rFonts w:asciiTheme="majorHAnsi" w:hAnsiTheme="majorHAnsi" w:cs="Arial"/>
          <w:bCs/>
          <w:sz w:val="20"/>
          <w:szCs w:val="20"/>
          <w:lang w:val="es-CO"/>
        </w:rPr>
        <w:t>9 (principio de legalidad y retroactividad</w:t>
      </w:r>
      <w:r w:rsidR="00913EF8" w:rsidRPr="00E86A8F">
        <w:rPr>
          <w:rFonts w:asciiTheme="majorHAnsi" w:hAnsiTheme="majorHAnsi" w:cs="Arial"/>
          <w:bCs/>
          <w:sz w:val="20"/>
          <w:szCs w:val="20"/>
          <w:lang w:val="es-CO"/>
        </w:rPr>
        <w:t xml:space="preserve">) </w:t>
      </w:r>
      <w:r w:rsidR="003F2963" w:rsidRPr="00E86A8F">
        <w:rPr>
          <w:rFonts w:asciiTheme="majorHAnsi" w:hAnsiTheme="majorHAnsi" w:cs="Arial"/>
          <w:bCs/>
          <w:sz w:val="20"/>
          <w:szCs w:val="20"/>
          <w:lang w:val="es-CO"/>
        </w:rPr>
        <w:t xml:space="preserve">y 25.1 (protección judicial) </w:t>
      </w:r>
      <w:r w:rsidRPr="00E86A8F">
        <w:rPr>
          <w:rFonts w:asciiTheme="majorHAnsi" w:hAnsiTheme="majorHAnsi" w:cs="Arial"/>
          <w:bCs/>
          <w:sz w:val="20"/>
          <w:szCs w:val="20"/>
          <w:lang w:val="es-CO"/>
        </w:rPr>
        <w:t xml:space="preserve">de la Convención Americana, en relación con los artículos 1.1 (obligación de respetar los derechos) y 2 (deber de adoptar disposiciones de derecho interno) de dicho instrumento.  </w:t>
      </w:r>
    </w:p>
    <w:p w14:paraId="08B31359" w14:textId="77777777" w:rsidR="00CD0B67" w:rsidRPr="00E86A8F" w:rsidRDefault="00CD0B67" w:rsidP="00073B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7A5BDD5D" w14:textId="7DC610DE" w:rsidR="00CD0B67" w:rsidRPr="00E86A8F" w:rsidRDefault="00014876" w:rsidP="00073BB6">
      <w:pPr>
        <w:pStyle w:val="Heading1"/>
        <w:suppressAutoHyphens w:val="0"/>
        <w:ind w:left="0" w:firstLine="0"/>
        <w:jc w:val="both"/>
        <w:rPr>
          <w:color w:val="auto"/>
          <w:lang w:val="es-CO"/>
        </w:rPr>
      </w:pPr>
      <w:bookmarkStart w:id="42" w:name="_Toc534905543"/>
      <w:bookmarkStart w:id="43" w:name="_Toc4492625"/>
      <w:bookmarkStart w:id="44" w:name="_Toc6937386"/>
      <w:bookmarkStart w:id="45" w:name="_Toc11073115"/>
      <w:r w:rsidRPr="00E86A8F">
        <w:rPr>
          <w:color w:val="auto"/>
          <w:lang w:val="es-CO"/>
        </w:rPr>
        <w:t>RECOMENDACIONES</w:t>
      </w:r>
      <w:bookmarkEnd w:id="42"/>
      <w:bookmarkEnd w:id="43"/>
      <w:bookmarkEnd w:id="44"/>
      <w:bookmarkEnd w:id="45"/>
    </w:p>
    <w:p w14:paraId="171322C3" w14:textId="77777777" w:rsidR="00A660B7" w:rsidRPr="00E86A8F" w:rsidRDefault="00A660B7" w:rsidP="00A660B7">
      <w:pPr>
        <w:rPr>
          <w:rFonts w:asciiTheme="majorHAnsi" w:hAnsiTheme="majorHAnsi"/>
          <w:sz w:val="20"/>
          <w:szCs w:val="20"/>
          <w:lang w:val="es-CO" w:eastAsia="es-ES"/>
        </w:rPr>
      </w:pPr>
    </w:p>
    <w:p w14:paraId="1D3CF67E" w14:textId="1B153B84" w:rsidR="0083596A" w:rsidRPr="00E86A8F" w:rsidRDefault="00014876" w:rsidP="00073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E86A8F">
        <w:rPr>
          <w:rFonts w:asciiTheme="majorHAnsi" w:hAnsiTheme="majorHAnsi"/>
          <w:sz w:val="20"/>
          <w:szCs w:val="20"/>
          <w:lang w:val="es-VE"/>
        </w:rPr>
        <w:t>Con fundamento en el análisis y las conclusiones del presente informe,</w:t>
      </w:r>
    </w:p>
    <w:p w14:paraId="55A33219" w14:textId="77777777" w:rsidR="00073BB6" w:rsidRPr="00E86A8F" w:rsidRDefault="00073BB6" w:rsidP="00073BB6">
      <w:pPr>
        <w:jc w:val="both"/>
        <w:rPr>
          <w:rFonts w:asciiTheme="majorHAnsi" w:hAnsiTheme="majorHAnsi"/>
          <w:b/>
          <w:bCs/>
          <w:sz w:val="20"/>
          <w:szCs w:val="20"/>
          <w:lang w:val="es-CL"/>
        </w:rPr>
      </w:pPr>
    </w:p>
    <w:p w14:paraId="522825F7" w14:textId="4E3AEBFF" w:rsidR="00014876" w:rsidRPr="00E86A8F" w:rsidRDefault="00014876" w:rsidP="00073BB6">
      <w:pPr>
        <w:jc w:val="both"/>
        <w:rPr>
          <w:rFonts w:asciiTheme="majorHAnsi" w:hAnsiTheme="majorHAnsi"/>
          <w:b/>
          <w:bCs/>
          <w:sz w:val="20"/>
          <w:szCs w:val="20"/>
          <w:lang w:val="es-CL"/>
        </w:rPr>
      </w:pPr>
      <w:r w:rsidRPr="00E86A8F">
        <w:rPr>
          <w:rFonts w:asciiTheme="majorHAnsi" w:hAnsiTheme="majorHAnsi"/>
          <w:b/>
          <w:bCs/>
          <w:sz w:val="20"/>
          <w:szCs w:val="20"/>
          <w:lang w:val="es-CL"/>
        </w:rPr>
        <w:t xml:space="preserve">LA COMISIÓN INTERAMERICANA DE DERECHOS HUMANOS RECOMIENDA AL ESTADO DE </w:t>
      </w:r>
      <w:r w:rsidR="008B5651" w:rsidRPr="00E86A8F">
        <w:rPr>
          <w:rFonts w:asciiTheme="majorHAnsi" w:hAnsiTheme="majorHAnsi"/>
          <w:b/>
          <w:bCs/>
          <w:sz w:val="20"/>
          <w:szCs w:val="20"/>
          <w:lang w:val="es-CL"/>
        </w:rPr>
        <w:t>CHILE</w:t>
      </w:r>
      <w:r w:rsidRPr="00E86A8F">
        <w:rPr>
          <w:rFonts w:asciiTheme="majorHAnsi" w:hAnsiTheme="majorHAnsi"/>
          <w:b/>
          <w:bCs/>
          <w:sz w:val="20"/>
          <w:szCs w:val="20"/>
          <w:lang w:val="es-CL"/>
        </w:rPr>
        <w:t>:</w:t>
      </w:r>
    </w:p>
    <w:p w14:paraId="70C5B9ED" w14:textId="77777777" w:rsidR="00073BB6" w:rsidRPr="00E86A8F" w:rsidRDefault="00073BB6" w:rsidP="00073BB6">
      <w:pPr>
        <w:jc w:val="both"/>
        <w:rPr>
          <w:rFonts w:asciiTheme="majorHAnsi" w:hAnsiTheme="majorHAnsi"/>
          <w:sz w:val="20"/>
          <w:szCs w:val="20"/>
          <w:lang w:val="es-ES"/>
        </w:rPr>
      </w:pPr>
    </w:p>
    <w:p w14:paraId="69456126" w14:textId="72E5E186" w:rsidR="00014876" w:rsidRPr="00E86A8F" w:rsidRDefault="00014876" w:rsidP="00073BB6">
      <w:pPr>
        <w:pStyle w:val="ListParagraph"/>
        <w:numPr>
          <w:ilvl w:val="0"/>
          <w:numId w:val="64"/>
        </w:numPr>
        <w:ind w:left="0" w:firstLine="0"/>
        <w:jc w:val="both"/>
        <w:rPr>
          <w:rFonts w:asciiTheme="majorHAnsi" w:hAnsiTheme="majorHAnsi"/>
          <w:sz w:val="20"/>
          <w:szCs w:val="20"/>
          <w:lang w:val="es-ES"/>
        </w:rPr>
      </w:pPr>
      <w:r w:rsidRPr="00E86A8F">
        <w:rPr>
          <w:rFonts w:asciiTheme="majorHAnsi" w:hAnsiTheme="majorHAnsi"/>
          <w:sz w:val="20"/>
          <w:szCs w:val="20"/>
          <w:lang w:val="es-ES"/>
        </w:rPr>
        <w:t xml:space="preserve">Dejar sin efecto la condena penal impuesta a </w:t>
      </w:r>
      <w:r w:rsidR="0083596A" w:rsidRPr="00E86A8F">
        <w:rPr>
          <w:rFonts w:asciiTheme="majorHAnsi" w:hAnsiTheme="majorHAnsi"/>
          <w:sz w:val="20"/>
          <w:szCs w:val="20"/>
          <w:lang w:val="es-VE"/>
        </w:rPr>
        <w:t>Carlos Baraona Bray</w:t>
      </w:r>
      <w:r w:rsidR="0083596A" w:rsidRPr="00E86A8F">
        <w:rPr>
          <w:rFonts w:asciiTheme="majorHAnsi" w:hAnsiTheme="majorHAnsi"/>
          <w:sz w:val="20"/>
          <w:szCs w:val="20"/>
          <w:lang w:val="es-ES"/>
        </w:rPr>
        <w:t>,</w:t>
      </w:r>
      <w:r w:rsidRPr="00E86A8F">
        <w:rPr>
          <w:rFonts w:asciiTheme="majorHAnsi" w:hAnsiTheme="majorHAnsi"/>
          <w:sz w:val="20"/>
          <w:szCs w:val="20"/>
          <w:lang w:val="es-ES"/>
        </w:rPr>
        <w:t xml:space="preserve"> </w:t>
      </w:r>
      <w:r w:rsidR="00EC1F75" w:rsidRPr="00E86A8F">
        <w:rPr>
          <w:rFonts w:asciiTheme="majorHAnsi" w:hAnsiTheme="majorHAnsi"/>
          <w:sz w:val="20"/>
          <w:szCs w:val="20"/>
          <w:lang w:val="es-ES"/>
        </w:rPr>
        <w:t xml:space="preserve">así como </w:t>
      </w:r>
      <w:r w:rsidRPr="00E86A8F">
        <w:rPr>
          <w:rFonts w:asciiTheme="majorHAnsi" w:hAnsiTheme="majorHAnsi"/>
          <w:sz w:val="20"/>
          <w:szCs w:val="20"/>
          <w:lang w:val="es-ES"/>
        </w:rPr>
        <w:t>todas las consecuencias que de ella se deriven;</w:t>
      </w:r>
    </w:p>
    <w:p w14:paraId="4DFC35A5" w14:textId="77777777" w:rsidR="00A660B7" w:rsidRPr="00E86A8F" w:rsidRDefault="00A660B7" w:rsidP="00A660B7">
      <w:pPr>
        <w:pStyle w:val="ListParagraph"/>
        <w:ind w:left="0"/>
        <w:jc w:val="both"/>
        <w:rPr>
          <w:rFonts w:asciiTheme="majorHAnsi" w:hAnsiTheme="majorHAnsi"/>
          <w:sz w:val="20"/>
          <w:szCs w:val="20"/>
          <w:lang w:val="es-ES"/>
        </w:rPr>
      </w:pPr>
    </w:p>
    <w:p w14:paraId="60995267" w14:textId="17FF4E43" w:rsidR="00EB2CFB" w:rsidRPr="00E86A8F" w:rsidRDefault="00EB2CFB" w:rsidP="00073BB6">
      <w:pPr>
        <w:pStyle w:val="ListParagraph"/>
        <w:numPr>
          <w:ilvl w:val="0"/>
          <w:numId w:val="64"/>
        </w:numPr>
        <w:ind w:left="0" w:firstLine="0"/>
        <w:jc w:val="both"/>
        <w:rPr>
          <w:rFonts w:asciiTheme="majorHAnsi" w:hAnsiTheme="majorHAnsi"/>
          <w:sz w:val="20"/>
          <w:szCs w:val="20"/>
          <w:lang w:val="es-ES"/>
        </w:rPr>
      </w:pPr>
      <w:r w:rsidRPr="00E86A8F">
        <w:rPr>
          <w:rFonts w:asciiTheme="majorHAnsi" w:eastAsia="Times New Roman" w:hAnsiTheme="majorHAnsi" w:cs="Tahoma"/>
          <w:sz w:val="20"/>
          <w:szCs w:val="20"/>
          <w:bdr w:val="none" w:sz="0" w:space="0" w:color="auto"/>
          <w:lang w:val="es-ES"/>
        </w:rPr>
        <w:t xml:space="preserve">Reparar integralmente las violaciones de derechos humanos declaradas en el presente informe tanto en el aspecto material como inmaterial. El Estado deberá adoptar las medidas de compensación económica y satisfacción. </w:t>
      </w:r>
    </w:p>
    <w:p w14:paraId="6C7AB8EC" w14:textId="77777777" w:rsidR="00073BB6" w:rsidRPr="00E86A8F" w:rsidRDefault="00073BB6" w:rsidP="00073BB6">
      <w:pPr>
        <w:pStyle w:val="ListParagraph"/>
        <w:ind w:left="0"/>
        <w:jc w:val="both"/>
        <w:rPr>
          <w:rFonts w:asciiTheme="majorHAnsi" w:hAnsiTheme="majorHAnsi"/>
          <w:sz w:val="20"/>
          <w:szCs w:val="20"/>
          <w:lang w:val="es-ES"/>
        </w:rPr>
      </w:pPr>
    </w:p>
    <w:p w14:paraId="775EEB10" w14:textId="58B59F40" w:rsidR="00983E9B" w:rsidRPr="00E86A8F" w:rsidRDefault="00014876" w:rsidP="00073BB6">
      <w:pPr>
        <w:pStyle w:val="ListParagraph"/>
        <w:numPr>
          <w:ilvl w:val="0"/>
          <w:numId w:val="64"/>
        </w:numPr>
        <w:ind w:left="0" w:firstLine="0"/>
        <w:jc w:val="both"/>
        <w:rPr>
          <w:rFonts w:asciiTheme="majorHAnsi" w:hAnsiTheme="majorHAnsi"/>
          <w:color w:val="auto"/>
          <w:sz w:val="20"/>
          <w:szCs w:val="20"/>
          <w:lang w:val="es-ES"/>
        </w:rPr>
      </w:pPr>
      <w:r w:rsidRPr="00E86A8F">
        <w:rPr>
          <w:rFonts w:asciiTheme="majorHAnsi" w:hAnsiTheme="majorHAnsi" w:cs="Arial"/>
          <w:color w:val="auto"/>
          <w:sz w:val="20"/>
          <w:szCs w:val="20"/>
          <w:shd w:val="clear" w:color="auto" w:fill="FFFFFF"/>
          <w:lang w:val="es-PE"/>
        </w:rPr>
        <w:t xml:space="preserve">Adecuar la normatividad penal interna, de acuerdo con las obligaciones estatales derivadas de la Convención Americana de Derechos Humanos en materia de libertad de expresión, </w:t>
      </w:r>
      <w:r w:rsidR="00852F35" w:rsidRPr="00E86A8F">
        <w:rPr>
          <w:rFonts w:asciiTheme="majorHAnsi" w:hAnsiTheme="majorHAnsi" w:cs="Arial"/>
          <w:color w:val="auto"/>
          <w:sz w:val="20"/>
          <w:szCs w:val="20"/>
          <w:shd w:val="clear" w:color="auto" w:fill="FFFFFF"/>
          <w:lang w:val="es-PE"/>
        </w:rPr>
        <w:t>despenalizando los delitos de difamación, injurias y calumnia</w:t>
      </w:r>
      <w:r w:rsidR="00983E9B" w:rsidRPr="00E86A8F">
        <w:rPr>
          <w:rFonts w:asciiTheme="majorHAnsi" w:hAnsiTheme="majorHAnsi" w:cs="Arial"/>
          <w:color w:val="auto"/>
          <w:sz w:val="20"/>
          <w:szCs w:val="20"/>
          <w:shd w:val="clear" w:color="auto" w:fill="FFFFFF"/>
          <w:lang w:val="es-PE"/>
        </w:rPr>
        <w:t>s</w:t>
      </w:r>
      <w:r w:rsidR="00852F35" w:rsidRPr="00E86A8F">
        <w:rPr>
          <w:rFonts w:asciiTheme="majorHAnsi" w:hAnsiTheme="majorHAnsi" w:cs="Arial"/>
          <w:color w:val="auto"/>
          <w:sz w:val="20"/>
          <w:szCs w:val="20"/>
          <w:shd w:val="clear" w:color="auto" w:fill="FFFFFF"/>
          <w:lang w:val="es-PE"/>
        </w:rPr>
        <w:t xml:space="preserve"> cuando se </w:t>
      </w:r>
      <w:r w:rsidR="00983E9B" w:rsidRPr="00E86A8F">
        <w:rPr>
          <w:rFonts w:asciiTheme="majorHAnsi" w:hAnsiTheme="majorHAnsi" w:cs="Arial"/>
          <w:color w:val="auto"/>
          <w:sz w:val="20"/>
          <w:szCs w:val="20"/>
          <w:shd w:val="clear" w:color="auto" w:fill="FFFFFF"/>
          <w:lang w:val="es-PE"/>
        </w:rPr>
        <w:t xml:space="preserve">trate de </w:t>
      </w:r>
      <w:r w:rsidR="00983E9B" w:rsidRPr="00E86A8F">
        <w:rPr>
          <w:rFonts w:asciiTheme="majorHAnsi" w:hAnsiTheme="majorHAnsi"/>
          <w:sz w:val="20"/>
          <w:szCs w:val="20"/>
          <w:lang w:val="es-ES"/>
        </w:rPr>
        <w:t>casos en que la persona ofendida sea un funcionario público o persona pública</w:t>
      </w:r>
      <w:r w:rsidR="00C673CC" w:rsidRPr="00E86A8F">
        <w:rPr>
          <w:rFonts w:asciiTheme="majorHAnsi" w:hAnsiTheme="majorHAnsi"/>
          <w:sz w:val="20"/>
          <w:szCs w:val="20"/>
          <w:lang w:val="es-ES"/>
        </w:rPr>
        <w:t>,</w:t>
      </w:r>
      <w:r w:rsidR="00983E9B" w:rsidRPr="00E86A8F">
        <w:rPr>
          <w:rFonts w:asciiTheme="majorHAnsi" w:hAnsiTheme="majorHAnsi"/>
          <w:sz w:val="20"/>
          <w:szCs w:val="20"/>
          <w:lang w:val="es-ES"/>
        </w:rPr>
        <w:t xml:space="preserve"> o</w:t>
      </w:r>
      <w:r w:rsidR="005A30B1" w:rsidRPr="00E86A8F">
        <w:rPr>
          <w:rFonts w:asciiTheme="majorHAnsi" w:hAnsiTheme="majorHAnsi"/>
          <w:sz w:val="20"/>
          <w:szCs w:val="20"/>
          <w:lang w:val="es-ES"/>
        </w:rPr>
        <w:t xml:space="preserve"> particular que se haya involucrado voluntariamente en asuntos de interés público.</w:t>
      </w:r>
    </w:p>
    <w:p w14:paraId="5C836E76" w14:textId="088DA63A" w:rsidR="007231C8" w:rsidRPr="00E86A8F" w:rsidRDefault="007231C8" w:rsidP="00516520">
      <w:pPr>
        <w:jc w:val="both"/>
        <w:rPr>
          <w:rFonts w:asciiTheme="majorHAnsi" w:hAnsiTheme="majorHAnsi"/>
          <w:sz w:val="20"/>
          <w:szCs w:val="20"/>
          <w:lang w:val="es-ES"/>
        </w:rPr>
      </w:pPr>
    </w:p>
    <w:p w14:paraId="356AC7E5" w14:textId="4FBA9F8F" w:rsidR="007231C8" w:rsidRPr="00E86A8F" w:rsidRDefault="007231C8" w:rsidP="00516520">
      <w:pPr>
        <w:pStyle w:val="ListParagraph"/>
        <w:numPr>
          <w:ilvl w:val="0"/>
          <w:numId w:val="64"/>
        </w:numPr>
        <w:ind w:left="0" w:firstLine="0"/>
        <w:jc w:val="both"/>
        <w:rPr>
          <w:rFonts w:asciiTheme="majorHAnsi" w:hAnsiTheme="majorHAnsi"/>
          <w:color w:val="auto"/>
          <w:sz w:val="20"/>
          <w:szCs w:val="20"/>
          <w:lang w:val="es-ES"/>
        </w:rPr>
      </w:pPr>
      <w:r w:rsidRPr="00E86A8F">
        <w:rPr>
          <w:rFonts w:asciiTheme="majorHAnsi" w:hAnsiTheme="majorHAnsi"/>
          <w:color w:val="auto"/>
          <w:sz w:val="20"/>
          <w:szCs w:val="20"/>
          <w:lang w:val="es-UY"/>
        </w:rPr>
        <w:t>Adecuar el régimen de sanciones civiles en materia de libertad de expresión respecto de casos en que la persona ofendida sea un funcionario público o persona pública, o particular que se haya involucrado voluntariamente en asuntos de interés público. Para estos casos, las sanciones civiles sólo deberían aplicarse cuando se pruebe que el comunicador tuvo intención de infligir un daño, o pleno conocimiento de que estaba difundiendo información falsa o se condujo con manifiesta negligencia en la búsqueda de la verdad o falsedad de las noticias. Asimismo, el establecimiento de indemnizaciones, de</w:t>
      </w:r>
      <w:r w:rsidR="003D6146" w:rsidRPr="00E86A8F">
        <w:rPr>
          <w:rFonts w:asciiTheme="majorHAnsi" w:hAnsiTheme="majorHAnsi"/>
          <w:color w:val="auto"/>
          <w:sz w:val="20"/>
          <w:szCs w:val="20"/>
          <w:lang w:val="es-UY"/>
        </w:rPr>
        <w:t>be responder a los principios de</w:t>
      </w:r>
      <w:r w:rsidRPr="00E86A8F">
        <w:rPr>
          <w:rFonts w:asciiTheme="majorHAnsi" w:hAnsiTheme="majorHAnsi"/>
          <w:color w:val="auto"/>
          <w:sz w:val="20"/>
          <w:szCs w:val="20"/>
          <w:lang w:val="es-UY"/>
        </w:rPr>
        <w:t xml:space="preserve"> necesidad y proporcionalidad.</w:t>
      </w:r>
    </w:p>
    <w:p w14:paraId="7B4D9CF4" w14:textId="77777777" w:rsidR="00073BB6" w:rsidRPr="00E86A8F" w:rsidRDefault="00073BB6" w:rsidP="00073BB6">
      <w:pPr>
        <w:pStyle w:val="ListParagraph"/>
        <w:ind w:left="0"/>
        <w:jc w:val="both"/>
        <w:rPr>
          <w:rFonts w:asciiTheme="majorHAnsi" w:hAnsiTheme="majorHAnsi"/>
          <w:sz w:val="20"/>
          <w:szCs w:val="20"/>
          <w:lang w:val="es-ES"/>
        </w:rPr>
      </w:pPr>
    </w:p>
    <w:p w14:paraId="5485BAF7" w14:textId="7DDD3D33" w:rsidR="00014876" w:rsidRPr="00E86A8F" w:rsidRDefault="00014876" w:rsidP="00073BB6">
      <w:pPr>
        <w:pStyle w:val="ListParagraph"/>
        <w:numPr>
          <w:ilvl w:val="0"/>
          <w:numId w:val="64"/>
        </w:numPr>
        <w:ind w:left="0" w:firstLine="0"/>
        <w:jc w:val="both"/>
        <w:rPr>
          <w:rFonts w:asciiTheme="majorHAnsi" w:hAnsiTheme="majorHAnsi"/>
          <w:sz w:val="20"/>
          <w:szCs w:val="20"/>
          <w:lang w:val="es-ES"/>
        </w:rPr>
      </w:pPr>
      <w:r w:rsidRPr="00E86A8F">
        <w:rPr>
          <w:rFonts w:asciiTheme="majorHAnsi" w:hAnsiTheme="majorHAnsi"/>
          <w:sz w:val="20"/>
          <w:szCs w:val="20"/>
          <w:lang w:val="es-ES"/>
        </w:rPr>
        <w:t xml:space="preserve">Divulgar el presente informe en el Poder Judicial de </w:t>
      </w:r>
      <w:r w:rsidR="00485C93" w:rsidRPr="00E86A8F">
        <w:rPr>
          <w:rFonts w:asciiTheme="majorHAnsi" w:hAnsiTheme="majorHAnsi"/>
          <w:sz w:val="20"/>
          <w:szCs w:val="20"/>
          <w:lang w:val="es-ES"/>
        </w:rPr>
        <w:t>Chile.</w:t>
      </w:r>
    </w:p>
    <w:p w14:paraId="1C469BED" w14:textId="77777777" w:rsidR="00B748C7" w:rsidRPr="00E86A8F" w:rsidRDefault="00B748C7" w:rsidP="00073BB6">
      <w:pPr>
        <w:rPr>
          <w:rFonts w:asciiTheme="majorHAnsi" w:hAnsiTheme="majorHAnsi"/>
          <w:sz w:val="20"/>
          <w:szCs w:val="20"/>
          <w:lang w:val="es-ES"/>
        </w:rPr>
      </w:pPr>
    </w:p>
    <w:p w14:paraId="50C83821" w14:textId="5E3A13E1" w:rsidR="00E86A8F" w:rsidRPr="00E86A8F" w:rsidRDefault="001744BA" w:rsidP="00E86A8F">
      <w:pPr>
        <w:ind w:firstLine="720"/>
        <w:jc w:val="both"/>
        <w:rPr>
          <w:rFonts w:asciiTheme="majorHAnsi" w:hAnsiTheme="majorHAnsi" w:cs="Arial"/>
          <w:noProof/>
          <w:spacing w:val="-2"/>
          <w:sz w:val="20"/>
          <w:szCs w:val="20"/>
          <w:lang w:val="es-CL"/>
        </w:rPr>
      </w:pPr>
      <w:r w:rsidRPr="00E86A8F">
        <w:rPr>
          <w:rFonts w:asciiTheme="majorHAnsi" w:hAnsiTheme="majorHAnsi" w:cs="Arial"/>
          <w:noProof/>
          <w:spacing w:val="-2"/>
          <w:sz w:val="20"/>
          <w:szCs w:val="20"/>
          <w:lang w:val="es-CL"/>
        </w:rPr>
        <w:t>Aprobado por la Comisión Interamericana de Derechos Humanos en la ciudad de Kingston, Jamaica a los 4 días del mes de mayo de 2019</w:t>
      </w:r>
      <w:r w:rsidR="00E86A8F" w:rsidRPr="00E86A8F">
        <w:rPr>
          <w:rFonts w:asciiTheme="majorHAnsi" w:hAnsiTheme="majorHAnsi" w:cs="Arial"/>
          <w:noProof/>
          <w:spacing w:val="-2"/>
          <w:sz w:val="20"/>
          <w:szCs w:val="20"/>
          <w:lang w:val="es-CL"/>
        </w:rPr>
        <w:t>.</w:t>
      </w:r>
    </w:p>
    <w:p w14:paraId="2C1E2C12" w14:textId="77777777" w:rsidR="00E86A8F" w:rsidRPr="00E86A8F" w:rsidRDefault="00E86A8F" w:rsidP="00E86A8F">
      <w:pPr>
        <w:suppressAutoHyphens/>
        <w:ind w:firstLine="720"/>
        <w:jc w:val="both"/>
        <w:rPr>
          <w:rFonts w:asciiTheme="majorHAnsi" w:hAnsiTheme="majorHAnsi" w:cs="Arial"/>
          <w:noProof/>
          <w:spacing w:val="-2"/>
          <w:sz w:val="20"/>
          <w:szCs w:val="20"/>
          <w:lang w:val="es-CL"/>
        </w:rPr>
      </w:pPr>
    </w:p>
    <w:p w14:paraId="1C8D7F77" w14:textId="6C1D58FB" w:rsidR="00E86A8F" w:rsidRDefault="00E86A8F" w:rsidP="00E86A8F">
      <w:pPr>
        <w:suppressAutoHyphens/>
        <w:ind w:firstLine="720"/>
        <w:jc w:val="both"/>
        <w:rPr>
          <w:rFonts w:asciiTheme="majorHAnsi" w:hAnsiTheme="majorHAnsi" w:cs="Arial"/>
          <w:noProof/>
          <w:spacing w:val="-2"/>
          <w:sz w:val="20"/>
          <w:szCs w:val="20"/>
          <w:lang w:val="es-CL"/>
        </w:rPr>
      </w:pPr>
    </w:p>
    <w:p w14:paraId="3CEB77A4" w14:textId="51415252" w:rsidR="00E86A8F" w:rsidRDefault="00E86A8F" w:rsidP="00E86A8F">
      <w:pPr>
        <w:suppressAutoHyphens/>
        <w:ind w:firstLine="720"/>
        <w:jc w:val="both"/>
        <w:rPr>
          <w:rFonts w:asciiTheme="majorHAnsi" w:hAnsiTheme="majorHAnsi" w:cs="Arial"/>
          <w:noProof/>
          <w:spacing w:val="-2"/>
          <w:sz w:val="20"/>
          <w:szCs w:val="20"/>
          <w:lang w:val="es-CL"/>
        </w:rPr>
      </w:pPr>
    </w:p>
    <w:p w14:paraId="51FFF352" w14:textId="77777777" w:rsidR="00E86A8F" w:rsidRPr="00E86A8F" w:rsidRDefault="00E86A8F" w:rsidP="00E86A8F">
      <w:pPr>
        <w:suppressAutoHyphens/>
        <w:ind w:firstLine="720"/>
        <w:jc w:val="both"/>
        <w:rPr>
          <w:rFonts w:asciiTheme="majorHAnsi" w:hAnsiTheme="majorHAnsi" w:cs="Arial"/>
          <w:noProof/>
          <w:spacing w:val="-2"/>
          <w:sz w:val="20"/>
          <w:szCs w:val="20"/>
          <w:lang w:val="es-CL"/>
        </w:rPr>
      </w:pPr>
    </w:p>
    <w:p w14:paraId="7B5FB24C" w14:textId="77777777" w:rsidR="00E86A8F" w:rsidRPr="00E86A8F" w:rsidRDefault="00E86A8F" w:rsidP="00E86A8F">
      <w:pPr>
        <w:suppressAutoHyphens/>
        <w:ind w:firstLine="720"/>
        <w:jc w:val="both"/>
        <w:rPr>
          <w:rFonts w:asciiTheme="majorHAnsi" w:hAnsiTheme="majorHAnsi" w:cs="Arial"/>
          <w:noProof/>
          <w:spacing w:val="-2"/>
          <w:sz w:val="20"/>
          <w:szCs w:val="20"/>
          <w:lang w:val="es-CL"/>
        </w:rPr>
      </w:pPr>
    </w:p>
    <w:tbl>
      <w:tblPr>
        <w:tblW w:w="0" w:type="auto"/>
        <w:jc w:val="center"/>
        <w:tblLook w:val="01E0" w:firstRow="1" w:lastRow="1" w:firstColumn="1" w:lastColumn="1" w:noHBand="0" w:noVBand="0"/>
      </w:tblPr>
      <w:tblGrid>
        <w:gridCol w:w="4683"/>
        <w:gridCol w:w="4677"/>
      </w:tblGrid>
      <w:tr w:rsidR="00E86A8F" w:rsidRPr="00E86A8F" w14:paraId="62F66583" w14:textId="77777777" w:rsidTr="001638BD">
        <w:trPr>
          <w:trHeight w:val="693"/>
          <w:jc w:val="center"/>
        </w:trPr>
        <w:tc>
          <w:tcPr>
            <w:tcW w:w="9576" w:type="dxa"/>
            <w:gridSpan w:val="2"/>
            <w:shd w:val="clear" w:color="auto" w:fill="auto"/>
          </w:tcPr>
          <w:p w14:paraId="2148050C" w14:textId="77777777" w:rsidR="00E86A8F" w:rsidRPr="00E86A8F" w:rsidRDefault="00E86A8F" w:rsidP="001638BD">
            <w:pPr>
              <w:suppressAutoHyphens/>
              <w:jc w:val="center"/>
              <w:rPr>
                <w:rFonts w:asciiTheme="majorHAnsi" w:hAnsiTheme="majorHAnsi"/>
                <w:spacing w:val="-2"/>
                <w:sz w:val="20"/>
                <w:szCs w:val="20"/>
                <w:lang w:val="fr-CA"/>
              </w:rPr>
            </w:pPr>
            <w:r w:rsidRPr="00E86A8F">
              <w:rPr>
                <w:rFonts w:asciiTheme="majorHAnsi" w:hAnsiTheme="majorHAnsi"/>
                <w:spacing w:val="-2"/>
                <w:sz w:val="20"/>
                <w:szCs w:val="20"/>
                <w:lang w:val="es-ES_tradnl"/>
              </w:rPr>
              <w:t>Esmeralda E. Arosemena Bernal de Troitiño</w:t>
            </w:r>
            <w:r w:rsidRPr="00E86A8F">
              <w:rPr>
                <w:rFonts w:asciiTheme="majorHAnsi" w:hAnsiTheme="majorHAnsi"/>
                <w:spacing w:val="-2"/>
                <w:sz w:val="20"/>
                <w:szCs w:val="20"/>
                <w:lang w:val="es-ES_tradnl"/>
              </w:rPr>
              <w:br/>
            </w:r>
            <w:r w:rsidRPr="00E86A8F">
              <w:rPr>
                <w:rFonts w:asciiTheme="majorHAnsi" w:hAnsiTheme="majorHAnsi"/>
                <w:spacing w:val="-2"/>
                <w:sz w:val="20"/>
                <w:szCs w:val="20"/>
                <w:lang w:val="fr-CA"/>
              </w:rPr>
              <w:t>Presidenta</w:t>
            </w:r>
          </w:p>
        </w:tc>
      </w:tr>
      <w:tr w:rsidR="00E86A8F" w:rsidRPr="00E86A8F" w14:paraId="2FAE27C0" w14:textId="77777777" w:rsidTr="001638BD">
        <w:trPr>
          <w:trHeight w:val="1314"/>
          <w:jc w:val="center"/>
        </w:trPr>
        <w:tc>
          <w:tcPr>
            <w:tcW w:w="4788" w:type="dxa"/>
            <w:shd w:val="clear" w:color="auto" w:fill="auto"/>
          </w:tcPr>
          <w:p w14:paraId="21A14FB9" w14:textId="77777777" w:rsidR="00E86A8F" w:rsidRPr="00E86A8F" w:rsidRDefault="00E86A8F" w:rsidP="001638BD">
            <w:pPr>
              <w:suppressAutoHyphens/>
              <w:jc w:val="center"/>
              <w:rPr>
                <w:rFonts w:asciiTheme="majorHAnsi" w:hAnsiTheme="majorHAnsi"/>
                <w:spacing w:val="-2"/>
                <w:sz w:val="20"/>
                <w:szCs w:val="20"/>
                <w:lang w:val="es-ES_tradnl"/>
              </w:rPr>
            </w:pPr>
          </w:p>
          <w:p w14:paraId="447C2CB8" w14:textId="09DD514D" w:rsidR="00E86A8F" w:rsidRDefault="00E86A8F" w:rsidP="001638BD">
            <w:pPr>
              <w:suppressAutoHyphens/>
              <w:jc w:val="center"/>
              <w:rPr>
                <w:rFonts w:asciiTheme="majorHAnsi" w:hAnsiTheme="majorHAnsi"/>
                <w:spacing w:val="-2"/>
                <w:sz w:val="20"/>
                <w:szCs w:val="20"/>
                <w:lang w:val="es-ES_tradnl"/>
              </w:rPr>
            </w:pPr>
          </w:p>
          <w:p w14:paraId="0A849D6A" w14:textId="77777777" w:rsidR="00E86A8F" w:rsidRPr="00E86A8F" w:rsidRDefault="00E86A8F" w:rsidP="001638BD">
            <w:pPr>
              <w:suppressAutoHyphens/>
              <w:jc w:val="center"/>
              <w:rPr>
                <w:rFonts w:asciiTheme="majorHAnsi" w:hAnsiTheme="majorHAnsi"/>
                <w:spacing w:val="-2"/>
                <w:sz w:val="20"/>
                <w:szCs w:val="20"/>
                <w:lang w:val="es-ES_tradnl"/>
              </w:rPr>
            </w:pPr>
          </w:p>
          <w:p w14:paraId="6ACC77BE" w14:textId="77777777" w:rsidR="00E86A8F" w:rsidRPr="00E86A8F" w:rsidRDefault="00E86A8F" w:rsidP="001638BD">
            <w:pPr>
              <w:suppressAutoHyphens/>
              <w:jc w:val="center"/>
              <w:rPr>
                <w:rFonts w:asciiTheme="majorHAnsi" w:hAnsiTheme="majorHAnsi"/>
                <w:spacing w:val="-2"/>
                <w:sz w:val="20"/>
                <w:szCs w:val="20"/>
              </w:rPr>
            </w:pPr>
            <w:r w:rsidRPr="00E86A8F">
              <w:rPr>
                <w:rFonts w:asciiTheme="majorHAnsi" w:hAnsiTheme="majorHAnsi"/>
                <w:spacing w:val="-2"/>
                <w:sz w:val="20"/>
                <w:szCs w:val="20"/>
                <w:lang w:val="es-ES_tradnl"/>
              </w:rPr>
              <w:t>Joel Hernández</w:t>
            </w:r>
            <w:r w:rsidRPr="00E86A8F">
              <w:rPr>
                <w:rFonts w:asciiTheme="majorHAnsi" w:hAnsiTheme="majorHAnsi"/>
                <w:spacing w:val="-2"/>
                <w:sz w:val="20"/>
                <w:szCs w:val="20"/>
              </w:rPr>
              <w:t xml:space="preserve"> </w:t>
            </w:r>
          </w:p>
          <w:p w14:paraId="411A9940" w14:textId="77777777" w:rsidR="00E86A8F" w:rsidRPr="00E86A8F" w:rsidRDefault="00E86A8F" w:rsidP="001638BD">
            <w:pPr>
              <w:suppressAutoHyphens/>
              <w:jc w:val="center"/>
              <w:rPr>
                <w:rFonts w:asciiTheme="majorHAnsi" w:hAnsiTheme="majorHAnsi"/>
                <w:spacing w:val="-2"/>
                <w:sz w:val="20"/>
                <w:szCs w:val="20"/>
              </w:rPr>
            </w:pPr>
            <w:r w:rsidRPr="00E86A8F">
              <w:rPr>
                <w:rFonts w:asciiTheme="majorHAnsi" w:hAnsiTheme="majorHAnsi"/>
                <w:spacing w:val="-2"/>
                <w:sz w:val="20"/>
                <w:szCs w:val="20"/>
              </w:rPr>
              <w:t>Primer Vicepresidente</w:t>
            </w:r>
          </w:p>
        </w:tc>
        <w:tc>
          <w:tcPr>
            <w:tcW w:w="4788" w:type="dxa"/>
            <w:shd w:val="clear" w:color="auto" w:fill="auto"/>
          </w:tcPr>
          <w:p w14:paraId="34761560" w14:textId="5F02C736" w:rsidR="00E86A8F" w:rsidRDefault="00E86A8F" w:rsidP="001638BD">
            <w:pPr>
              <w:suppressAutoHyphens/>
              <w:jc w:val="center"/>
              <w:rPr>
                <w:rFonts w:asciiTheme="majorHAnsi" w:hAnsiTheme="majorHAnsi"/>
                <w:spacing w:val="-2"/>
                <w:sz w:val="20"/>
                <w:szCs w:val="20"/>
                <w:lang w:val="es-ES_tradnl"/>
              </w:rPr>
            </w:pPr>
          </w:p>
          <w:p w14:paraId="08A14ED1" w14:textId="596AE166" w:rsidR="00E86A8F" w:rsidRDefault="00E86A8F" w:rsidP="001638BD">
            <w:pPr>
              <w:suppressAutoHyphens/>
              <w:jc w:val="center"/>
              <w:rPr>
                <w:rFonts w:asciiTheme="majorHAnsi" w:hAnsiTheme="majorHAnsi"/>
                <w:spacing w:val="-2"/>
                <w:sz w:val="20"/>
                <w:szCs w:val="20"/>
                <w:lang w:val="es-ES_tradnl"/>
              </w:rPr>
            </w:pPr>
          </w:p>
          <w:p w14:paraId="7455E583" w14:textId="77777777" w:rsidR="00E86A8F" w:rsidRPr="00E86A8F" w:rsidRDefault="00E86A8F" w:rsidP="001638BD">
            <w:pPr>
              <w:suppressAutoHyphens/>
              <w:jc w:val="center"/>
              <w:rPr>
                <w:rFonts w:asciiTheme="majorHAnsi" w:hAnsiTheme="majorHAnsi"/>
                <w:spacing w:val="-2"/>
                <w:sz w:val="20"/>
                <w:szCs w:val="20"/>
                <w:lang w:val="es-ES_tradnl"/>
              </w:rPr>
            </w:pPr>
          </w:p>
          <w:p w14:paraId="311ED7A5" w14:textId="77777777" w:rsidR="00E86A8F" w:rsidRPr="00E86A8F" w:rsidRDefault="00E86A8F" w:rsidP="001638BD">
            <w:pPr>
              <w:suppressAutoHyphens/>
              <w:jc w:val="center"/>
              <w:rPr>
                <w:rFonts w:asciiTheme="majorHAnsi" w:hAnsiTheme="majorHAnsi"/>
                <w:spacing w:val="-2"/>
                <w:sz w:val="20"/>
                <w:szCs w:val="20"/>
                <w:lang w:val="es-ES_tradnl"/>
              </w:rPr>
            </w:pPr>
          </w:p>
          <w:p w14:paraId="0743B1A2" w14:textId="77777777" w:rsidR="00E86A8F" w:rsidRPr="00E86A8F" w:rsidRDefault="00E86A8F" w:rsidP="001638BD">
            <w:pPr>
              <w:suppressAutoHyphens/>
              <w:jc w:val="center"/>
              <w:rPr>
                <w:rFonts w:asciiTheme="majorHAnsi" w:hAnsiTheme="majorHAnsi"/>
                <w:spacing w:val="-2"/>
                <w:sz w:val="20"/>
                <w:szCs w:val="20"/>
                <w:lang w:val="fr-CA"/>
              </w:rPr>
            </w:pPr>
            <w:r w:rsidRPr="00E86A8F">
              <w:rPr>
                <w:rFonts w:asciiTheme="majorHAnsi" w:hAnsiTheme="majorHAnsi"/>
                <w:spacing w:val="-2"/>
                <w:sz w:val="20"/>
                <w:szCs w:val="20"/>
                <w:lang w:val="es-ES_tradnl"/>
              </w:rPr>
              <w:t xml:space="preserve">Margarette May Macaulay </w:t>
            </w:r>
          </w:p>
          <w:p w14:paraId="4B023B6A" w14:textId="77777777" w:rsidR="00E86A8F" w:rsidRPr="00E86A8F" w:rsidRDefault="00E86A8F" w:rsidP="001638BD">
            <w:pPr>
              <w:suppressAutoHyphens/>
              <w:jc w:val="center"/>
              <w:rPr>
                <w:rFonts w:asciiTheme="majorHAnsi" w:hAnsiTheme="majorHAnsi"/>
                <w:spacing w:val="-2"/>
                <w:sz w:val="20"/>
                <w:szCs w:val="20"/>
              </w:rPr>
            </w:pPr>
            <w:r w:rsidRPr="00E86A8F">
              <w:rPr>
                <w:rFonts w:asciiTheme="majorHAnsi" w:hAnsiTheme="majorHAnsi" w:cs="Arial"/>
                <w:noProof/>
                <w:spacing w:val="-2"/>
                <w:sz w:val="20"/>
                <w:szCs w:val="20"/>
                <w:lang w:val="es-CL"/>
              </w:rPr>
              <w:t>Comisionada</w:t>
            </w:r>
          </w:p>
        </w:tc>
      </w:tr>
      <w:tr w:rsidR="00E86A8F" w:rsidRPr="00E86A8F" w14:paraId="5D29C665" w14:textId="77777777" w:rsidTr="001638BD">
        <w:trPr>
          <w:trHeight w:val="1224"/>
          <w:jc w:val="center"/>
        </w:trPr>
        <w:tc>
          <w:tcPr>
            <w:tcW w:w="4788" w:type="dxa"/>
            <w:shd w:val="clear" w:color="auto" w:fill="auto"/>
          </w:tcPr>
          <w:p w14:paraId="42C87000" w14:textId="7B1955D7" w:rsidR="00E86A8F" w:rsidRDefault="00E86A8F" w:rsidP="001638BD">
            <w:pPr>
              <w:suppressAutoHyphens/>
              <w:jc w:val="center"/>
              <w:rPr>
                <w:rFonts w:asciiTheme="majorHAnsi" w:hAnsiTheme="majorHAnsi"/>
                <w:spacing w:val="-2"/>
                <w:sz w:val="20"/>
                <w:szCs w:val="20"/>
                <w:lang w:val="es-ES_tradnl"/>
              </w:rPr>
            </w:pPr>
          </w:p>
          <w:p w14:paraId="15FF0887" w14:textId="1500DD31" w:rsidR="00E86A8F" w:rsidRDefault="00E86A8F" w:rsidP="001638BD">
            <w:pPr>
              <w:suppressAutoHyphens/>
              <w:jc w:val="center"/>
              <w:rPr>
                <w:rFonts w:asciiTheme="majorHAnsi" w:hAnsiTheme="majorHAnsi"/>
                <w:spacing w:val="-2"/>
                <w:sz w:val="20"/>
                <w:szCs w:val="20"/>
                <w:lang w:val="es-ES_tradnl"/>
              </w:rPr>
            </w:pPr>
          </w:p>
          <w:p w14:paraId="5D326462" w14:textId="77777777" w:rsidR="00E86A8F" w:rsidRDefault="00E86A8F" w:rsidP="001638BD">
            <w:pPr>
              <w:suppressAutoHyphens/>
              <w:jc w:val="center"/>
              <w:rPr>
                <w:rFonts w:asciiTheme="majorHAnsi" w:hAnsiTheme="majorHAnsi"/>
                <w:spacing w:val="-2"/>
                <w:sz w:val="20"/>
                <w:szCs w:val="20"/>
                <w:lang w:val="es-ES_tradnl"/>
              </w:rPr>
            </w:pPr>
          </w:p>
          <w:p w14:paraId="4D2E71AC" w14:textId="77777777" w:rsidR="00E86A8F" w:rsidRPr="00E86A8F" w:rsidRDefault="00E86A8F" w:rsidP="001638BD">
            <w:pPr>
              <w:suppressAutoHyphens/>
              <w:jc w:val="center"/>
              <w:rPr>
                <w:rFonts w:asciiTheme="majorHAnsi" w:hAnsiTheme="majorHAnsi"/>
                <w:spacing w:val="-2"/>
                <w:sz w:val="20"/>
                <w:szCs w:val="20"/>
                <w:lang w:val="es-ES_tradnl"/>
              </w:rPr>
            </w:pPr>
          </w:p>
          <w:p w14:paraId="1E7D929C" w14:textId="77777777" w:rsidR="00E86A8F" w:rsidRPr="00E86A8F" w:rsidRDefault="00E86A8F" w:rsidP="001638BD">
            <w:pPr>
              <w:suppressAutoHyphens/>
              <w:jc w:val="center"/>
              <w:rPr>
                <w:rFonts w:asciiTheme="majorHAnsi" w:hAnsiTheme="majorHAnsi"/>
                <w:spacing w:val="-2"/>
                <w:sz w:val="20"/>
                <w:szCs w:val="20"/>
                <w:lang w:val="es-ES_tradnl"/>
              </w:rPr>
            </w:pPr>
            <w:r w:rsidRPr="00E86A8F">
              <w:rPr>
                <w:rFonts w:asciiTheme="majorHAnsi" w:hAnsiTheme="majorHAnsi"/>
                <w:spacing w:val="-2"/>
                <w:sz w:val="20"/>
                <w:szCs w:val="20"/>
                <w:lang w:val="es-ES_tradnl"/>
              </w:rPr>
              <w:t>Francisco José Eguiguren</w:t>
            </w:r>
            <w:r w:rsidRPr="00E86A8F">
              <w:rPr>
                <w:rFonts w:asciiTheme="majorHAnsi" w:hAnsiTheme="majorHAnsi"/>
                <w:spacing w:val="-2"/>
                <w:sz w:val="20"/>
                <w:szCs w:val="20"/>
                <w:lang w:val="es-ES_tradnl"/>
              </w:rPr>
              <w:br/>
              <w:t>Comisionado</w:t>
            </w:r>
          </w:p>
        </w:tc>
        <w:tc>
          <w:tcPr>
            <w:tcW w:w="4788" w:type="dxa"/>
            <w:shd w:val="clear" w:color="auto" w:fill="auto"/>
          </w:tcPr>
          <w:p w14:paraId="65C0E6E3" w14:textId="07B59DC6" w:rsidR="00E86A8F" w:rsidRDefault="00E86A8F" w:rsidP="001638BD">
            <w:pPr>
              <w:suppressAutoHyphens/>
              <w:jc w:val="center"/>
              <w:rPr>
                <w:rFonts w:asciiTheme="majorHAnsi" w:hAnsiTheme="majorHAnsi"/>
                <w:spacing w:val="-2"/>
                <w:sz w:val="20"/>
                <w:szCs w:val="20"/>
              </w:rPr>
            </w:pPr>
          </w:p>
          <w:p w14:paraId="5D726A34" w14:textId="0D39430B" w:rsidR="00E86A8F" w:rsidRDefault="00E86A8F" w:rsidP="001638BD">
            <w:pPr>
              <w:suppressAutoHyphens/>
              <w:jc w:val="center"/>
              <w:rPr>
                <w:rFonts w:asciiTheme="majorHAnsi" w:hAnsiTheme="majorHAnsi"/>
                <w:spacing w:val="-2"/>
                <w:sz w:val="20"/>
                <w:szCs w:val="20"/>
              </w:rPr>
            </w:pPr>
          </w:p>
          <w:p w14:paraId="68CDBE1B" w14:textId="77777777" w:rsidR="00E86A8F" w:rsidRPr="00E86A8F" w:rsidRDefault="00E86A8F" w:rsidP="001638BD">
            <w:pPr>
              <w:suppressAutoHyphens/>
              <w:jc w:val="center"/>
              <w:rPr>
                <w:rFonts w:asciiTheme="majorHAnsi" w:hAnsiTheme="majorHAnsi"/>
                <w:spacing w:val="-2"/>
                <w:sz w:val="20"/>
                <w:szCs w:val="20"/>
              </w:rPr>
            </w:pPr>
          </w:p>
          <w:p w14:paraId="34668C86" w14:textId="77777777" w:rsidR="00E86A8F" w:rsidRPr="00E86A8F" w:rsidRDefault="00E86A8F" w:rsidP="001638BD">
            <w:pPr>
              <w:suppressAutoHyphens/>
              <w:jc w:val="center"/>
              <w:rPr>
                <w:rFonts w:asciiTheme="majorHAnsi" w:hAnsiTheme="majorHAnsi"/>
                <w:spacing w:val="-2"/>
                <w:sz w:val="20"/>
                <w:szCs w:val="20"/>
                <w:lang w:val="es-ES_tradnl"/>
              </w:rPr>
            </w:pPr>
            <w:r w:rsidRPr="00E86A8F">
              <w:rPr>
                <w:rFonts w:asciiTheme="majorHAnsi" w:hAnsiTheme="majorHAnsi"/>
                <w:spacing w:val="-2"/>
                <w:sz w:val="20"/>
                <w:szCs w:val="20"/>
              </w:rPr>
              <w:t>Luis Ernesto Vargas Silva</w:t>
            </w:r>
            <w:r w:rsidRPr="00E86A8F">
              <w:rPr>
                <w:rFonts w:asciiTheme="majorHAnsi" w:hAnsiTheme="majorHAnsi"/>
                <w:spacing w:val="-2"/>
                <w:sz w:val="20"/>
                <w:szCs w:val="20"/>
              </w:rPr>
              <w:br/>
              <w:t>Comisionado</w:t>
            </w:r>
          </w:p>
        </w:tc>
      </w:tr>
    </w:tbl>
    <w:p w14:paraId="26AD091A" w14:textId="141B3938" w:rsidR="00E86A8F" w:rsidRDefault="00E86A8F" w:rsidP="00E86A8F">
      <w:pPr>
        <w:suppressAutoHyphens/>
        <w:jc w:val="center"/>
        <w:rPr>
          <w:rFonts w:asciiTheme="majorHAnsi" w:hAnsiTheme="majorHAnsi"/>
          <w:spacing w:val="-2"/>
          <w:sz w:val="20"/>
          <w:szCs w:val="20"/>
        </w:rPr>
      </w:pPr>
    </w:p>
    <w:p w14:paraId="736EE88B" w14:textId="442159CC" w:rsidR="00E86A8F" w:rsidRDefault="00E86A8F" w:rsidP="00E86A8F">
      <w:pPr>
        <w:suppressAutoHyphens/>
        <w:jc w:val="center"/>
        <w:rPr>
          <w:rFonts w:asciiTheme="majorHAnsi" w:hAnsiTheme="majorHAnsi"/>
          <w:spacing w:val="-2"/>
          <w:sz w:val="20"/>
          <w:szCs w:val="20"/>
        </w:rPr>
      </w:pPr>
    </w:p>
    <w:p w14:paraId="4E7EBC27" w14:textId="1AF90346" w:rsidR="00E86A8F" w:rsidRDefault="00E86A8F" w:rsidP="00E86A8F">
      <w:pPr>
        <w:suppressAutoHyphens/>
        <w:jc w:val="center"/>
        <w:rPr>
          <w:rFonts w:asciiTheme="majorHAnsi" w:hAnsiTheme="majorHAnsi"/>
          <w:spacing w:val="-2"/>
          <w:sz w:val="20"/>
          <w:szCs w:val="20"/>
        </w:rPr>
      </w:pPr>
    </w:p>
    <w:p w14:paraId="5DFF6281" w14:textId="4C3A0C68" w:rsidR="00E86A8F" w:rsidRDefault="00E86A8F" w:rsidP="00E86A8F">
      <w:pPr>
        <w:suppressAutoHyphens/>
        <w:jc w:val="center"/>
        <w:rPr>
          <w:rFonts w:asciiTheme="majorHAnsi" w:hAnsiTheme="majorHAnsi"/>
          <w:spacing w:val="-2"/>
          <w:sz w:val="20"/>
          <w:szCs w:val="20"/>
        </w:rPr>
      </w:pPr>
    </w:p>
    <w:p w14:paraId="6825FFBB" w14:textId="65BD5DB6" w:rsidR="00E86A8F" w:rsidRDefault="00E86A8F" w:rsidP="00E86A8F">
      <w:pPr>
        <w:suppressAutoHyphens/>
        <w:jc w:val="center"/>
        <w:rPr>
          <w:rFonts w:asciiTheme="majorHAnsi" w:hAnsiTheme="majorHAnsi"/>
          <w:spacing w:val="-2"/>
          <w:sz w:val="20"/>
          <w:szCs w:val="20"/>
        </w:rPr>
      </w:pPr>
    </w:p>
    <w:p w14:paraId="2CC102F5" w14:textId="77777777" w:rsidR="00E86A8F" w:rsidRPr="00E86A8F" w:rsidRDefault="00E86A8F" w:rsidP="00E86A8F">
      <w:pPr>
        <w:suppressAutoHyphens/>
        <w:jc w:val="center"/>
        <w:rPr>
          <w:rFonts w:asciiTheme="majorHAnsi" w:hAnsiTheme="majorHAnsi"/>
          <w:spacing w:val="-2"/>
          <w:sz w:val="20"/>
          <w:szCs w:val="20"/>
        </w:rPr>
      </w:pPr>
    </w:p>
    <w:p w14:paraId="57430050" w14:textId="77777777" w:rsidR="00E86A8F" w:rsidRPr="00E86A8F" w:rsidRDefault="00E86A8F" w:rsidP="00E86A8F">
      <w:pPr>
        <w:suppressAutoHyphens/>
        <w:jc w:val="center"/>
        <w:rPr>
          <w:rFonts w:asciiTheme="majorHAnsi" w:hAnsiTheme="majorHAnsi"/>
          <w:spacing w:val="-2"/>
          <w:sz w:val="20"/>
          <w:szCs w:val="20"/>
        </w:rPr>
      </w:pPr>
      <w:r w:rsidRPr="00E86A8F">
        <w:rPr>
          <w:rFonts w:asciiTheme="majorHAnsi" w:hAnsiTheme="majorHAnsi"/>
          <w:spacing w:val="-2"/>
          <w:sz w:val="20"/>
          <w:szCs w:val="20"/>
        </w:rPr>
        <w:t>Flávia Piovesan</w:t>
      </w:r>
    </w:p>
    <w:p w14:paraId="406FDD0C" w14:textId="77777777" w:rsidR="00E86A8F" w:rsidRPr="00E86A8F" w:rsidRDefault="00E86A8F" w:rsidP="00E86A8F">
      <w:pPr>
        <w:suppressAutoHyphens/>
        <w:jc w:val="center"/>
        <w:rPr>
          <w:rFonts w:asciiTheme="majorHAnsi" w:hAnsiTheme="majorHAnsi"/>
          <w:spacing w:val="-2"/>
          <w:sz w:val="20"/>
          <w:szCs w:val="20"/>
        </w:rPr>
      </w:pPr>
      <w:r w:rsidRPr="00E86A8F">
        <w:rPr>
          <w:rFonts w:asciiTheme="majorHAnsi" w:hAnsiTheme="majorHAnsi"/>
          <w:spacing w:val="-2"/>
          <w:sz w:val="20"/>
          <w:szCs w:val="20"/>
        </w:rPr>
        <w:t>Comisionada</w:t>
      </w:r>
    </w:p>
    <w:p w14:paraId="1E7FE2FD" w14:textId="77777777" w:rsidR="00E86A8F" w:rsidRPr="00E86A8F" w:rsidRDefault="00E86A8F" w:rsidP="00E86A8F">
      <w:pPr>
        <w:suppressAutoHyphens/>
        <w:jc w:val="both"/>
        <w:rPr>
          <w:rFonts w:asciiTheme="majorHAnsi" w:hAnsiTheme="majorHAnsi"/>
          <w:spacing w:val="-2"/>
          <w:sz w:val="20"/>
          <w:szCs w:val="20"/>
        </w:rPr>
      </w:pPr>
    </w:p>
    <w:p w14:paraId="2B33BE48" w14:textId="77777777" w:rsidR="00E86A8F" w:rsidRPr="00E86A8F" w:rsidRDefault="00E86A8F" w:rsidP="00E86A8F">
      <w:pPr>
        <w:suppressAutoHyphens/>
        <w:jc w:val="both"/>
        <w:rPr>
          <w:rFonts w:asciiTheme="majorHAnsi" w:hAnsiTheme="majorHAnsi"/>
          <w:spacing w:val="-2"/>
          <w:sz w:val="20"/>
          <w:szCs w:val="20"/>
          <w:lang w:val="es-SV"/>
        </w:rPr>
      </w:pPr>
      <w:r w:rsidRPr="00E86A8F">
        <w:rPr>
          <w:rFonts w:asciiTheme="majorHAnsi" w:hAnsiTheme="majorHAnsi"/>
          <w:spacing w:val="-2"/>
          <w:sz w:val="20"/>
          <w:szCs w:val="20"/>
        </w:rPr>
        <w:tab/>
      </w:r>
      <w:r w:rsidRPr="00E86A8F">
        <w:rPr>
          <w:rFonts w:asciiTheme="majorHAnsi" w:hAnsiTheme="majorHAnsi"/>
          <w:spacing w:val="-2"/>
          <w:sz w:val="20"/>
          <w:szCs w:val="20"/>
          <w:lang w:val="es-SV"/>
        </w:rPr>
        <w:t>Regístrese y notifíquese conforme a lo acordado.</w:t>
      </w:r>
    </w:p>
    <w:p w14:paraId="7B1796BC" w14:textId="77777777" w:rsidR="00E86A8F" w:rsidRPr="00E86A8F" w:rsidRDefault="00E86A8F" w:rsidP="00E86A8F">
      <w:pPr>
        <w:suppressAutoHyphens/>
        <w:jc w:val="both"/>
        <w:rPr>
          <w:rFonts w:asciiTheme="majorHAnsi" w:hAnsiTheme="majorHAnsi"/>
          <w:spacing w:val="-2"/>
          <w:sz w:val="20"/>
          <w:szCs w:val="20"/>
          <w:lang w:val="es-SV"/>
        </w:rPr>
      </w:pPr>
    </w:p>
    <w:p w14:paraId="52FEAE8B" w14:textId="177A4E8B" w:rsidR="00E86A8F" w:rsidRDefault="00E86A8F" w:rsidP="00E86A8F">
      <w:pPr>
        <w:suppressAutoHyphens/>
        <w:jc w:val="center"/>
        <w:rPr>
          <w:rFonts w:asciiTheme="majorHAnsi" w:hAnsiTheme="majorHAnsi"/>
          <w:spacing w:val="-2"/>
          <w:sz w:val="20"/>
          <w:szCs w:val="20"/>
          <w:lang w:val="es-SV"/>
        </w:rPr>
      </w:pPr>
    </w:p>
    <w:p w14:paraId="4A23F1E7" w14:textId="5C2AE760" w:rsidR="00E86A8F" w:rsidRDefault="00E86A8F" w:rsidP="00E86A8F">
      <w:pPr>
        <w:suppressAutoHyphens/>
        <w:jc w:val="center"/>
        <w:rPr>
          <w:rFonts w:asciiTheme="majorHAnsi" w:hAnsiTheme="majorHAnsi"/>
          <w:spacing w:val="-2"/>
          <w:sz w:val="20"/>
          <w:szCs w:val="20"/>
          <w:lang w:val="es-SV"/>
        </w:rPr>
      </w:pPr>
    </w:p>
    <w:p w14:paraId="74FB3C3E" w14:textId="77777777" w:rsidR="00E86A8F" w:rsidRPr="00E86A8F" w:rsidRDefault="00E86A8F" w:rsidP="00E86A8F">
      <w:pPr>
        <w:suppressAutoHyphens/>
        <w:jc w:val="center"/>
        <w:rPr>
          <w:rFonts w:asciiTheme="majorHAnsi" w:hAnsiTheme="majorHAnsi"/>
          <w:spacing w:val="-2"/>
          <w:sz w:val="20"/>
          <w:szCs w:val="20"/>
          <w:lang w:val="es-SV"/>
        </w:rPr>
      </w:pPr>
    </w:p>
    <w:p w14:paraId="0F7AFB44" w14:textId="77777777" w:rsidR="00E86A8F" w:rsidRPr="00E86A8F" w:rsidRDefault="00E86A8F" w:rsidP="00E86A8F">
      <w:pPr>
        <w:suppressAutoHyphens/>
        <w:jc w:val="center"/>
        <w:rPr>
          <w:rFonts w:asciiTheme="majorHAnsi" w:hAnsiTheme="majorHAnsi"/>
          <w:spacing w:val="-2"/>
          <w:sz w:val="20"/>
          <w:szCs w:val="20"/>
          <w:lang w:val="es-SV"/>
        </w:rPr>
      </w:pPr>
    </w:p>
    <w:p w14:paraId="7C062156" w14:textId="77777777" w:rsidR="00E86A8F" w:rsidRPr="00E86A8F" w:rsidRDefault="00E86A8F" w:rsidP="00E86A8F">
      <w:pPr>
        <w:suppressAutoHyphens/>
        <w:jc w:val="center"/>
        <w:rPr>
          <w:rFonts w:asciiTheme="majorHAnsi" w:hAnsiTheme="majorHAnsi"/>
          <w:spacing w:val="-2"/>
          <w:sz w:val="20"/>
          <w:szCs w:val="20"/>
          <w:lang w:val="es-SV"/>
        </w:rPr>
      </w:pPr>
      <w:r w:rsidRPr="00E86A8F">
        <w:rPr>
          <w:rFonts w:asciiTheme="majorHAnsi" w:hAnsiTheme="majorHAnsi"/>
          <w:spacing w:val="-2"/>
          <w:sz w:val="20"/>
          <w:szCs w:val="20"/>
          <w:lang w:val="es-SV"/>
        </w:rPr>
        <w:t>Paulo Abr</w:t>
      </w:r>
      <w:r w:rsidRPr="00E86A8F">
        <w:rPr>
          <w:rFonts w:asciiTheme="majorHAnsi" w:hAnsiTheme="majorHAnsi" w:cs="Arial"/>
          <w:spacing w:val="-2"/>
          <w:sz w:val="20"/>
          <w:szCs w:val="20"/>
          <w:lang w:val="es-SV"/>
        </w:rPr>
        <w:t>ã</w:t>
      </w:r>
      <w:r w:rsidRPr="00E86A8F">
        <w:rPr>
          <w:rFonts w:asciiTheme="majorHAnsi" w:hAnsiTheme="majorHAnsi"/>
          <w:spacing w:val="-2"/>
          <w:sz w:val="20"/>
          <w:szCs w:val="20"/>
          <w:lang w:val="es-SV"/>
        </w:rPr>
        <w:t>o</w:t>
      </w:r>
    </w:p>
    <w:p w14:paraId="1239E4F1" w14:textId="77777777" w:rsidR="00E86A8F" w:rsidRPr="00E86A8F" w:rsidRDefault="00E86A8F" w:rsidP="00E86A8F">
      <w:pPr>
        <w:suppressAutoHyphens/>
        <w:jc w:val="center"/>
        <w:rPr>
          <w:rFonts w:asciiTheme="majorHAnsi" w:hAnsiTheme="majorHAnsi"/>
          <w:spacing w:val="-2"/>
          <w:sz w:val="20"/>
          <w:szCs w:val="20"/>
          <w:lang w:val="es-SV"/>
        </w:rPr>
      </w:pPr>
      <w:r w:rsidRPr="00E86A8F">
        <w:rPr>
          <w:rFonts w:asciiTheme="majorHAnsi" w:hAnsiTheme="majorHAnsi"/>
          <w:spacing w:val="-2"/>
          <w:sz w:val="20"/>
          <w:szCs w:val="20"/>
          <w:lang w:val="es-SV"/>
        </w:rPr>
        <w:t>Secretario Ejecutivo</w:t>
      </w:r>
    </w:p>
    <w:p w14:paraId="1C793A2C" w14:textId="77777777" w:rsidR="001744BA" w:rsidRPr="00E86A8F" w:rsidRDefault="001744BA" w:rsidP="00E86A8F">
      <w:pPr>
        <w:ind w:firstLine="720"/>
        <w:jc w:val="both"/>
        <w:rPr>
          <w:rFonts w:asciiTheme="majorHAnsi" w:hAnsiTheme="majorHAnsi"/>
          <w:sz w:val="20"/>
          <w:szCs w:val="20"/>
          <w:lang w:val="es-CL"/>
        </w:rPr>
      </w:pPr>
    </w:p>
    <w:sectPr w:rsidR="001744BA" w:rsidRPr="00E86A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88C88" w14:textId="77777777" w:rsidR="00720A89" w:rsidRDefault="00720A89">
      <w:r>
        <w:separator/>
      </w:r>
    </w:p>
  </w:endnote>
  <w:endnote w:type="continuationSeparator" w:id="0">
    <w:p w14:paraId="79102FDE" w14:textId="77777777" w:rsidR="00720A89" w:rsidRDefault="0072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1ABA063A" w14:textId="54208068" w:rsidR="00945C50" w:rsidRPr="00934A2C" w:rsidRDefault="00945C5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86A8F">
          <w:rPr>
            <w:noProof/>
            <w:sz w:val="16"/>
            <w:szCs w:val="22"/>
          </w:rPr>
          <w:t>29</w:t>
        </w:r>
        <w:r w:rsidRPr="00934A2C">
          <w:rPr>
            <w:noProof/>
            <w:sz w:val="16"/>
            <w:szCs w:val="22"/>
          </w:rPr>
          <w:fldChar w:fldCharType="end"/>
        </w:r>
      </w:p>
    </w:sdtContent>
  </w:sdt>
  <w:p w14:paraId="6D8DA87F" w14:textId="77777777" w:rsidR="00945C50" w:rsidRDefault="00945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2AD6" w14:textId="77777777" w:rsidR="00945C50" w:rsidRPr="00934A2C" w:rsidRDefault="00945C50">
    <w:pPr>
      <w:pStyle w:val="Footer"/>
      <w:jc w:val="center"/>
      <w:rPr>
        <w:sz w:val="16"/>
        <w:szCs w:val="22"/>
      </w:rPr>
    </w:pPr>
  </w:p>
  <w:p w14:paraId="342D23B1" w14:textId="77777777" w:rsidR="00945C50" w:rsidRDefault="00945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9F473" w14:textId="77777777" w:rsidR="00720A89" w:rsidRPr="000F35ED" w:rsidRDefault="00720A8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99B0F8" w14:textId="77777777" w:rsidR="00720A89" w:rsidRPr="000F35ED" w:rsidRDefault="00720A89" w:rsidP="000F35ED">
      <w:pPr>
        <w:rPr>
          <w:rFonts w:asciiTheme="majorHAnsi" w:hAnsiTheme="majorHAnsi"/>
          <w:sz w:val="16"/>
          <w:szCs w:val="16"/>
        </w:rPr>
      </w:pPr>
      <w:r w:rsidRPr="000F35ED">
        <w:rPr>
          <w:rFonts w:asciiTheme="majorHAnsi" w:hAnsiTheme="majorHAnsi"/>
          <w:sz w:val="16"/>
          <w:szCs w:val="16"/>
        </w:rPr>
        <w:separator/>
      </w:r>
    </w:p>
    <w:p w14:paraId="5A26DD4E" w14:textId="77777777" w:rsidR="00720A89" w:rsidRPr="000F35ED" w:rsidRDefault="00720A8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3C19B8B" w14:textId="77777777" w:rsidR="00720A89" w:rsidRPr="000F35ED" w:rsidRDefault="00720A8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FB82F2" w14:textId="1CBB38CE"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ES"/>
        </w:rPr>
        <w:t xml:space="preserve"> Conforme a lo dispuesto en el artículo 17.2 del Reglamento de la Comisión, la Comisionada Antonia Urrejola, de nacionalidad chilena, no participó en el debate ni en la decisión del presente caso</w:t>
      </w:r>
      <w:r w:rsidRPr="0086009F">
        <w:rPr>
          <w:rFonts w:ascii="Cambria" w:hAnsi="Cambria"/>
          <w:color w:val="auto"/>
          <w:lang w:val="es-PE"/>
        </w:rPr>
        <w:t xml:space="preserve">.  </w:t>
      </w:r>
    </w:p>
  </w:footnote>
  <w:footnote w:id="3">
    <w:p w14:paraId="072C5D22" w14:textId="397CE54D" w:rsidR="00945C50" w:rsidRPr="0086009F" w:rsidRDefault="00945C50" w:rsidP="00E4013E">
      <w:pPr>
        <w:pStyle w:val="FootnoteText"/>
        <w:tabs>
          <w:tab w:val="left" w:pos="9360"/>
        </w:tabs>
        <w:rPr>
          <w:rFonts w:ascii="Cambria" w:hAnsi="Cambria"/>
          <w:color w:val="auto"/>
          <w:lang w:val="es-MX"/>
        </w:rPr>
      </w:pPr>
      <w:r w:rsidRPr="0086009F">
        <w:rPr>
          <w:rStyle w:val="FootnoteReference"/>
          <w:rFonts w:ascii="Cambria" w:hAnsi="Cambria"/>
          <w:color w:val="auto"/>
        </w:rPr>
        <w:footnoteRef/>
      </w:r>
      <w:r w:rsidRPr="0086009F">
        <w:rPr>
          <w:rFonts w:ascii="Cambria" w:hAnsi="Cambria"/>
          <w:color w:val="auto"/>
          <w:lang w:val="es-PE"/>
        </w:rPr>
        <w:t xml:space="preserve"> </w:t>
      </w:r>
      <w:r w:rsidRPr="0086009F">
        <w:rPr>
          <w:rFonts w:ascii="Cambria" w:hAnsi="Cambria"/>
          <w:color w:val="auto"/>
          <w:lang w:val="es-MX"/>
        </w:rPr>
        <w:t xml:space="preserve">CIDH. </w:t>
      </w:r>
      <w:r w:rsidRPr="0086009F">
        <w:rPr>
          <w:rFonts w:ascii="Cambria" w:hAnsi="Cambria"/>
          <w:color w:val="auto"/>
          <w:lang w:val="es-PE"/>
        </w:rPr>
        <w:t>Informe No. 50/07</w:t>
      </w:r>
      <w:r w:rsidRPr="0086009F">
        <w:rPr>
          <w:rFonts w:ascii="Cambria" w:hAnsi="Cambria"/>
          <w:color w:val="auto"/>
          <w:lang w:val="es-MX"/>
        </w:rPr>
        <w:t>. Petición 232-05. Admisibilidad. Carlos Baraona Bray. Chile. 24 de julio de 2007. La CIDH declaró admisible la petición respecto del artículo 13, en relación con los artículos 1.1 y 2 de la Convención Americana, e inadmisible el reclamo relacionado con el artículo 24 del mismo instrumento.</w:t>
      </w:r>
    </w:p>
  </w:footnote>
  <w:footnote w:id="4">
    <w:p w14:paraId="3E8732B2" w14:textId="43C255E7" w:rsidR="00945C50" w:rsidRPr="0086009F" w:rsidRDefault="00945C50" w:rsidP="00E4013E">
      <w:pPr>
        <w:pStyle w:val="FootnoteText"/>
        <w:rPr>
          <w:rFonts w:ascii="Cambria" w:hAnsi="Cambria"/>
          <w:lang w:val="es-PE"/>
        </w:rPr>
      </w:pPr>
      <w:r w:rsidRPr="0086009F">
        <w:rPr>
          <w:rStyle w:val="FootnoteReference"/>
          <w:rFonts w:ascii="Cambria" w:hAnsi="Cambria"/>
        </w:rPr>
        <w:footnoteRef/>
      </w:r>
      <w:r w:rsidRPr="0086009F">
        <w:rPr>
          <w:rFonts w:ascii="Cambria" w:hAnsi="Cambria"/>
          <w:lang w:val="es-PE"/>
        </w:rPr>
        <w:t xml:space="preserve"> Código Penal de Chile, publicado el 12 de noviembre de 1874. Algunas de las normas sobre injuria fueron modificadas en años posteriores (1996). Disponible en: </w:t>
      </w:r>
      <w:hyperlink r:id="rId1" w:history="1">
        <w:r w:rsidRPr="0086009F">
          <w:rPr>
            <w:rStyle w:val="Hyperlink"/>
            <w:rFonts w:ascii="Cambria" w:hAnsi="Cambria"/>
            <w:lang w:val="es-PE"/>
          </w:rPr>
          <w:t>https://www.leychile.cl/Navegar?idNorma=1984</w:t>
        </w:r>
      </w:hyperlink>
      <w:r w:rsidRPr="0086009F">
        <w:rPr>
          <w:rFonts w:ascii="Cambria" w:hAnsi="Cambria"/>
          <w:lang w:val="es-PE"/>
        </w:rPr>
        <w:t xml:space="preserve">. Fecha de consulta: 17 de abril de 2019. Véase también, </w:t>
      </w:r>
      <w:r w:rsidRPr="0086009F">
        <w:rPr>
          <w:rFonts w:ascii="Cambria" w:hAnsi="Cambria"/>
          <w:color w:val="auto"/>
          <w:lang w:val="es-PE"/>
        </w:rPr>
        <w:t>Petición inicial de 4 de marzo de 2005</w:t>
      </w:r>
      <w:r w:rsidRPr="0086009F">
        <w:rPr>
          <w:rFonts w:ascii="Cambria" w:hAnsi="Cambria"/>
          <w:b/>
          <w:color w:val="auto"/>
          <w:lang w:val="es-PE"/>
        </w:rPr>
        <w:t xml:space="preserve">, </w:t>
      </w:r>
      <w:r w:rsidRPr="0086009F">
        <w:rPr>
          <w:rFonts w:ascii="Cambria" w:hAnsi="Cambria"/>
          <w:color w:val="auto"/>
          <w:lang w:val="es-PE"/>
        </w:rPr>
        <w:t>y escrito del Estado de 23 de junio de</w:t>
      </w:r>
      <w:r w:rsidRPr="0086009F">
        <w:rPr>
          <w:rFonts w:ascii="Cambria" w:hAnsi="Cambria"/>
          <w:b/>
          <w:color w:val="auto"/>
          <w:lang w:val="es-PE"/>
        </w:rPr>
        <w:t xml:space="preserve"> </w:t>
      </w:r>
      <w:r w:rsidRPr="0086009F">
        <w:rPr>
          <w:rFonts w:ascii="Cambria" w:hAnsi="Cambria"/>
          <w:color w:val="auto"/>
          <w:lang w:val="es-PE"/>
        </w:rPr>
        <w:t>2008</w:t>
      </w:r>
      <w:r w:rsidRPr="0086009F">
        <w:rPr>
          <w:rFonts w:ascii="Cambria" w:hAnsi="Cambria"/>
          <w:b/>
          <w:color w:val="auto"/>
          <w:lang w:val="es-PE"/>
        </w:rPr>
        <w:t>.</w:t>
      </w:r>
    </w:p>
  </w:footnote>
  <w:footnote w:id="5">
    <w:p w14:paraId="5A62437D" w14:textId="51F899CA" w:rsidR="00945C50" w:rsidRPr="0086009F" w:rsidRDefault="00945C50" w:rsidP="00E4013E">
      <w:pPr>
        <w:pStyle w:val="FootnoteText"/>
        <w:rPr>
          <w:rFonts w:ascii="Cambria" w:hAnsi="Cambria"/>
          <w:lang w:val="es-PE"/>
        </w:rPr>
      </w:pPr>
      <w:r w:rsidRPr="0086009F">
        <w:rPr>
          <w:rStyle w:val="FootnoteReference"/>
          <w:rFonts w:ascii="Cambria" w:hAnsi="Cambria"/>
        </w:rPr>
        <w:footnoteRef/>
      </w:r>
      <w:r w:rsidRPr="0086009F">
        <w:rPr>
          <w:rFonts w:ascii="Cambria" w:hAnsi="Cambria"/>
          <w:lang w:val="es-PE"/>
        </w:rPr>
        <w:t xml:space="preserve"> Ley No. Ley No. 19.733 sobre Libertades de Opinión e Información y Ejercicio del Periodismo, publicada el 4 de junio de 2001. Disponible en: </w:t>
      </w:r>
      <w:hyperlink r:id="rId2" w:history="1">
        <w:r w:rsidRPr="0086009F">
          <w:rPr>
            <w:rStyle w:val="Hyperlink"/>
            <w:rFonts w:ascii="Cambria" w:hAnsi="Cambria"/>
            <w:lang w:val="es-PE"/>
          </w:rPr>
          <w:t>https://www.leychile.cl/Navegar?idNorma=186049</w:t>
        </w:r>
      </w:hyperlink>
      <w:r w:rsidRPr="0086009F">
        <w:rPr>
          <w:rFonts w:ascii="Cambria" w:hAnsi="Cambria"/>
          <w:lang w:val="es-PE"/>
        </w:rPr>
        <w:t>. Fecha de consulta: 17 de abril de 2019.</w:t>
      </w:r>
    </w:p>
  </w:footnote>
  <w:footnote w:id="6">
    <w:p w14:paraId="7A0A511C" w14:textId="0CAA621F"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Petición inicial de 4 de marzo de 2005, y escrito del Estado de 23 de junio de</w:t>
      </w:r>
      <w:r w:rsidRPr="0086009F">
        <w:rPr>
          <w:rFonts w:ascii="Cambria" w:hAnsi="Cambria"/>
          <w:b/>
          <w:color w:val="auto"/>
          <w:lang w:val="es-PE"/>
        </w:rPr>
        <w:t xml:space="preserve"> </w:t>
      </w:r>
      <w:r w:rsidRPr="0086009F">
        <w:rPr>
          <w:rFonts w:ascii="Cambria" w:hAnsi="Cambria"/>
          <w:color w:val="auto"/>
          <w:lang w:val="es-PE"/>
        </w:rPr>
        <w:t>2008</w:t>
      </w:r>
      <w:r w:rsidRPr="0086009F">
        <w:rPr>
          <w:rFonts w:ascii="Cambria" w:hAnsi="Cambria"/>
          <w:b/>
          <w:color w:val="auto"/>
          <w:lang w:val="es-PE"/>
        </w:rPr>
        <w:t xml:space="preserve">. </w:t>
      </w:r>
    </w:p>
  </w:footnote>
  <w:footnote w:id="7">
    <w:p w14:paraId="78D6AA03" w14:textId="77777777"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Decreto Supremo No. 490. Declara Monumento Natural a la Especie Forestal Alerce. Publicado en mayo de 1977, última versión de mayo de 2003. Disponible en: </w:t>
      </w:r>
      <w:hyperlink r:id="rId3" w:history="1">
        <w:r w:rsidRPr="0086009F">
          <w:rPr>
            <w:rStyle w:val="Hyperlink"/>
            <w:rFonts w:ascii="Cambria" w:hAnsi="Cambria"/>
            <w:color w:val="auto"/>
            <w:lang w:val="es-PE"/>
          </w:rPr>
          <w:t>http://www.conaf.cl/cms/editorweb/transparencia/potestades/Dto-490_alerce.pdf</w:t>
        </w:r>
      </w:hyperlink>
      <w:r w:rsidRPr="0086009F">
        <w:rPr>
          <w:rFonts w:ascii="Cambria" w:hAnsi="Cambria"/>
          <w:color w:val="auto"/>
          <w:lang w:val="es-PE"/>
        </w:rPr>
        <w:t>. Fecha de consulta: 08 de abril de 2019.</w:t>
      </w:r>
    </w:p>
  </w:footnote>
  <w:footnote w:id="8">
    <w:p w14:paraId="5E452542" w14:textId="3021C352"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Petición inicial de 4 de marzo de 2005</w:t>
      </w:r>
      <w:r w:rsidRPr="0086009F">
        <w:rPr>
          <w:rFonts w:ascii="Cambria" w:hAnsi="Cambria"/>
          <w:b/>
          <w:color w:val="auto"/>
          <w:lang w:val="es-PE"/>
        </w:rPr>
        <w:t xml:space="preserve">, </w:t>
      </w:r>
      <w:r w:rsidRPr="0086009F">
        <w:rPr>
          <w:rFonts w:ascii="Cambria" w:hAnsi="Cambria"/>
          <w:color w:val="auto"/>
          <w:lang w:val="es-PE"/>
        </w:rPr>
        <w:t>y escrito del Estado de 23 de junio de</w:t>
      </w:r>
      <w:r w:rsidRPr="0086009F">
        <w:rPr>
          <w:rFonts w:ascii="Cambria" w:hAnsi="Cambria"/>
          <w:b/>
          <w:color w:val="auto"/>
          <w:lang w:val="es-PE"/>
        </w:rPr>
        <w:t xml:space="preserve"> </w:t>
      </w:r>
      <w:r w:rsidRPr="0086009F">
        <w:rPr>
          <w:rFonts w:ascii="Cambria" w:hAnsi="Cambria"/>
          <w:color w:val="auto"/>
          <w:lang w:val="es-PE"/>
        </w:rPr>
        <w:t>2008</w:t>
      </w:r>
      <w:r w:rsidRPr="0086009F">
        <w:rPr>
          <w:rFonts w:ascii="Cambria" w:hAnsi="Cambria"/>
          <w:b/>
          <w:color w:val="auto"/>
          <w:lang w:val="es-PE"/>
        </w:rPr>
        <w:t xml:space="preserve">. </w:t>
      </w:r>
    </w:p>
  </w:footnote>
  <w:footnote w:id="9">
    <w:p w14:paraId="1BFDE578" w14:textId="1A4EEFB1"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citando la Resolución sobre recurso de amparo de 13 de mayo de 2004, adoptada por la Corte de Apelaciones de Puerto Montt, por la cual se deja sin efecto la orden de detención decretada contra Carlos Weber el 10 de mayo de 2004. Anexo al escrito de los peticionarios de 5 de abril de 2005. Véase también, Anexo 2. Notas periodísticas. Nota de prensa publicada en el Mostrador el 11 de mayo de 2004, titulada “Detenido director nacional de Conaf”, y Comunicado de prensa publicado en Chiloeweb, titulado “Comisión investigadora para tala ilegal del alerce”. </w:t>
      </w:r>
      <w:r w:rsidRPr="0086009F">
        <w:rPr>
          <w:rFonts w:ascii="Cambria" w:hAnsi="Cambria"/>
          <w:color w:val="auto"/>
          <w:lang w:val="es-AR"/>
        </w:rPr>
        <w:t>Anexo a la petición inicial presentada a la Comisión el 4 de marzo de 2005.</w:t>
      </w:r>
    </w:p>
  </w:footnote>
  <w:footnote w:id="10">
    <w:p w14:paraId="1DB32BAC" w14:textId="28A40FB8"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Petición inicial de 4 de marzo de 2005, y escrito del Estado de 23 de junio de</w:t>
      </w:r>
      <w:r w:rsidRPr="0086009F">
        <w:rPr>
          <w:rFonts w:ascii="Cambria" w:hAnsi="Cambria"/>
          <w:b/>
          <w:color w:val="auto"/>
          <w:lang w:val="es-PE"/>
        </w:rPr>
        <w:t xml:space="preserve"> </w:t>
      </w:r>
      <w:r w:rsidRPr="0086009F">
        <w:rPr>
          <w:rFonts w:ascii="Cambria" w:hAnsi="Cambria"/>
          <w:color w:val="auto"/>
          <w:lang w:val="es-PE"/>
        </w:rPr>
        <w:t xml:space="preserve">2008. </w:t>
      </w:r>
      <w:r w:rsidRPr="0086009F">
        <w:rPr>
          <w:rFonts w:ascii="Cambria" w:hAnsi="Cambria"/>
          <w:color w:val="auto"/>
          <w:lang w:val="es-VE"/>
        </w:rPr>
        <w:t xml:space="preserve">Véase también, </w:t>
      </w:r>
      <w:r w:rsidRPr="0086009F">
        <w:rPr>
          <w:rFonts w:ascii="Cambria" w:hAnsi="Cambria"/>
          <w:color w:val="auto"/>
          <w:lang w:val="es-PE"/>
        </w:rPr>
        <w:t>Anexo 1. Sentencia del Juzgado de Garantía de Puerto Montt, 22 de junio de 2004, folio 8. Anexo al escrito de los peticionarios de 5 de abril de 2005.</w:t>
      </w:r>
    </w:p>
  </w:footnote>
  <w:footnote w:id="11">
    <w:p w14:paraId="2494DD55" w14:textId="38FBBB6B" w:rsidR="00945C50" w:rsidRPr="0086009F" w:rsidRDefault="00945C50" w:rsidP="00E4013E">
      <w:pPr>
        <w:pStyle w:val="FootnoteText"/>
        <w:rPr>
          <w:rFonts w:ascii="Cambria" w:hAnsi="Cambria"/>
          <w:color w:val="auto"/>
          <w:lang w:val="es-AR"/>
        </w:rPr>
      </w:pPr>
      <w:r w:rsidRPr="0086009F">
        <w:rPr>
          <w:rStyle w:val="FootnoteReference"/>
          <w:rFonts w:ascii="Cambria" w:hAnsi="Cambria"/>
          <w:color w:val="auto"/>
        </w:rPr>
        <w:footnoteRef/>
      </w:r>
      <w:r w:rsidRPr="0086009F">
        <w:rPr>
          <w:rFonts w:ascii="Cambria" w:hAnsi="Cambria"/>
          <w:color w:val="auto"/>
          <w:lang w:val="es-AR"/>
        </w:rPr>
        <w:t xml:space="preserve"> Anexo 2. Notas periodísticas. Nota de prensa publicada el 12 de diciembre de 2003, titulada “Tala de alerce en la X Región: Conaf legitimó su labor”. Anexo a la petición inicial presentada a la Comisión el 4 de marzo de 2005.</w:t>
      </w:r>
    </w:p>
  </w:footnote>
  <w:footnote w:id="12">
    <w:p w14:paraId="49536862" w14:textId="2C51CCD7" w:rsidR="00945C50" w:rsidRPr="0086009F" w:rsidRDefault="00945C50" w:rsidP="00E4013E">
      <w:pPr>
        <w:pStyle w:val="FootnoteText"/>
        <w:rPr>
          <w:rFonts w:ascii="Cambria" w:hAnsi="Cambria"/>
          <w:color w:val="auto"/>
          <w:lang w:val="es-AR"/>
        </w:rPr>
      </w:pPr>
      <w:r w:rsidRPr="0086009F">
        <w:rPr>
          <w:rStyle w:val="FootnoteReference"/>
          <w:rFonts w:ascii="Cambria" w:hAnsi="Cambria"/>
          <w:color w:val="auto"/>
        </w:rPr>
        <w:footnoteRef/>
      </w:r>
      <w:r w:rsidRPr="0086009F">
        <w:rPr>
          <w:rFonts w:ascii="Cambria" w:hAnsi="Cambria"/>
          <w:color w:val="auto"/>
          <w:lang w:val="es-AR"/>
        </w:rPr>
        <w:t xml:space="preserve"> Anexo 2. Notas periodísticas. Nota de prensa titulada “Alerce con ministro en visita”. Anexo a la petición inicial presentada a la Comisión el 4 de marzo de 2005.</w:t>
      </w:r>
    </w:p>
  </w:footnote>
  <w:footnote w:id="13">
    <w:p w14:paraId="1FD840E2" w14:textId="592C2D32" w:rsidR="00945C50" w:rsidRPr="0086009F" w:rsidRDefault="00945C50" w:rsidP="00E4013E">
      <w:pPr>
        <w:pStyle w:val="FootnoteText"/>
        <w:rPr>
          <w:rFonts w:ascii="Cambria" w:hAnsi="Cambria"/>
          <w:color w:val="auto"/>
          <w:lang w:val="es-AR"/>
        </w:rPr>
      </w:pPr>
      <w:r w:rsidRPr="0086009F">
        <w:rPr>
          <w:rStyle w:val="FootnoteReference"/>
          <w:rFonts w:ascii="Cambria" w:hAnsi="Cambria"/>
          <w:color w:val="auto"/>
        </w:rPr>
        <w:footnoteRef/>
      </w:r>
      <w:r w:rsidRPr="0086009F">
        <w:rPr>
          <w:rFonts w:ascii="Cambria" w:hAnsi="Cambria"/>
          <w:color w:val="auto"/>
          <w:lang w:val="es-AR"/>
        </w:rPr>
        <w:t xml:space="preserve"> Anexo 2. Notas periodísticas. Nota de prensa publicada en el Diario “El Mostrador online” el 11 de mayo de 2004, titulada “Detenido director nacional de Conaf”. Anexo a la petición inicial presentada a la Comisión el 4 de marzo de 2005.</w:t>
      </w:r>
    </w:p>
  </w:footnote>
  <w:footnote w:id="14">
    <w:p w14:paraId="463DEA4E" w14:textId="0ECEAFE2" w:rsidR="00945C50" w:rsidRPr="0086009F" w:rsidRDefault="00945C50" w:rsidP="00E4013E">
      <w:pPr>
        <w:pStyle w:val="FootnoteText"/>
        <w:rPr>
          <w:rFonts w:ascii="Cambria" w:hAnsi="Cambria"/>
          <w:color w:val="auto"/>
          <w:lang w:val="es-AR"/>
        </w:rPr>
      </w:pPr>
      <w:r w:rsidRPr="0086009F">
        <w:rPr>
          <w:rStyle w:val="FootnoteReference"/>
          <w:rFonts w:ascii="Cambria" w:hAnsi="Cambria"/>
          <w:color w:val="auto"/>
        </w:rPr>
        <w:footnoteRef/>
      </w:r>
      <w:r w:rsidRPr="0086009F">
        <w:rPr>
          <w:rFonts w:ascii="Cambria" w:hAnsi="Cambria"/>
          <w:color w:val="auto"/>
          <w:lang w:val="es-AR"/>
        </w:rPr>
        <w:t xml:space="preserve"> Anexo 2. Notas periodísticas. Nota de prensa publicada el 15 de mayo de 2004, titulada “Alerce: Aseguran que director de Conaf recibió presiones políticas”. Anexo a la petición inicial presentada a la Comisión el 4 de marzo de 2005.</w:t>
      </w:r>
    </w:p>
  </w:footnote>
  <w:footnote w:id="15">
    <w:p w14:paraId="505281C2" w14:textId="2A3E26FA" w:rsidR="00945C50" w:rsidRPr="0086009F" w:rsidRDefault="00945C50" w:rsidP="00E4013E">
      <w:pPr>
        <w:pStyle w:val="FootnoteText"/>
        <w:rPr>
          <w:rFonts w:ascii="Cambria" w:hAnsi="Cambria"/>
          <w:color w:val="auto"/>
          <w:lang w:val="es-AR"/>
        </w:rPr>
      </w:pPr>
      <w:r w:rsidRPr="0086009F">
        <w:rPr>
          <w:rStyle w:val="FootnoteReference"/>
          <w:rFonts w:ascii="Cambria" w:hAnsi="Cambria"/>
          <w:color w:val="auto"/>
        </w:rPr>
        <w:footnoteRef/>
      </w:r>
      <w:r w:rsidRPr="0086009F">
        <w:rPr>
          <w:rFonts w:ascii="Cambria" w:hAnsi="Cambria"/>
          <w:color w:val="auto"/>
          <w:lang w:val="es-AR"/>
        </w:rPr>
        <w:t xml:space="preserve"> Anexo 2. Notas periodísticas. Nota de prensa publicada el 11 de mayo de 2004, titulada “Ecologistas piden ministro en visita por caso de tala de alerces”. Anexo a la petición inicial presentada a la Comisión el 4 de marzo de 2005.</w:t>
      </w:r>
    </w:p>
  </w:footnote>
  <w:footnote w:id="16">
    <w:p w14:paraId="0848DE00" w14:textId="2D6A0F4D" w:rsidR="00945C50" w:rsidRPr="0086009F" w:rsidRDefault="00945C50" w:rsidP="00E4013E">
      <w:pPr>
        <w:pStyle w:val="FootnoteText"/>
        <w:rPr>
          <w:rFonts w:ascii="Cambria" w:hAnsi="Cambria"/>
          <w:color w:val="auto"/>
          <w:lang w:val="es-AR"/>
        </w:rPr>
      </w:pPr>
      <w:r w:rsidRPr="0086009F">
        <w:rPr>
          <w:rStyle w:val="FootnoteReference"/>
          <w:rFonts w:ascii="Cambria" w:hAnsi="Cambria"/>
          <w:color w:val="auto"/>
        </w:rPr>
        <w:footnoteRef/>
      </w:r>
      <w:r w:rsidRPr="0086009F">
        <w:rPr>
          <w:rFonts w:ascii="Cambria" w:hAnsi="Cambria"/>
          <w:color w:val="auto"/>
          <w:lang w:val="es-AR"/>
        </w:rPr>
        <w:t xml:space="preserve"> Anexo 2. Notas periodísticas. Nota de prensa publicada el 12 de mayo de 2004, titulada “Si alguien cree que hay políticos involucrados, que lo diga”. Anexo a la petición inicial presentada a la Comisión el 4 de marzo de 2005.</w:t>
      </w:r>
    </w:p>
  </w:footnote>
  <w:footnote w:id="17">
    <w:p w14:paraId="6E795667" w14:textId="58D9C594" w:rsidR="00945C50" w:rsidRPr="0086009F" w:rsidRDefault="00945C50" w:rsidP="00E4013E">
      <w:pPr>
        <w:pStyle w:val="FootnoteText"/>
        <w:rPr>
          <w:rFonts w:ascii="Cambria" w:hAnsi="Cambria"/>
          <w:color w:val="auto"/>
          <w:lang w:val="es-AR"/>
        </w:rPr>
      </w:pPr>
      <w:r w:rsidRPr="0086009F">
        <w:rPr>
          <w:rStyle w:val="FootnoteReference"/>
          <w:rFonts w:ascii="Cambria" w:hAnsi="Cambria"/>
          <w:color w:val="auto"/>
        </w:rPr>
        <w:footnoteRef/>
      </w:r>
      <w:r w:rsidRPr="0086009F">
        <w:rPr>
          <w:rFonts w:ascii="Cambria" w:hAnsi="Cambria"/>
          <w:color w:val="auto"/>
          <w:lang w:val="es-AR"/>
        </w:rPr>
        <w:t>Anexo 2. Notas periodísticas. Nota de prensa publicada el 12 de mayo de 2004, titulada “Si alguien cree que hay políticos involucrados, que lo diga”. Anexo a la petición inicial presentada a la Comisión el 4 de marzo de 2005.</w:t>
      </w:r>
    </w:p>
  </w:footnote>
  <w:footnote w:id="18">
    <w:p w14:paraId="2224BC4C" w14:textId="1920DF07"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Anexo al escrito de los peticionarios de 5 de abril de 2005.</w:t>
      </w:r>
    </w:p>
  </w:footnote>
  <w:footnote w:id="19">
    <w:p w14:paraId="57B76A16" w14:textId="1D0D5F09" w:rsidR="00945C50" w:rsidRPr="0086009F" w:rsidRDefault="00945C50" w:rsidP="00E4013E">
      <w:pPr>
        <w:pStyle w:val="FootnoteText"/>
        <w:rPr>
          <w:rFonts w:ascii="Cambria" w:hAnsi="Cambria"/>
          <w:b/>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Anexo al escrito de los peticionarios de 5 de abril de 2005. Véase también, Diario El Llanquihue, ediciones de los días 13, 14 y 16 de mayo de 2004; Diario La Segunda de 13 de mayo de 2004, nota titulada “Ex asesor de CONAF: espero la querella del senador Páez”; Diario La Tercera de 13 de mayo de 2004, nota titulada “Abogado involucra a senador DC en escándalo de CONAF por tala de alerce”, y Diario El Mercurio de 18 de mayo de 2004, nota titulada “Jueza del caso alerce es amenazada de muerte”. Estas notas son citadas en la Sentencia del Juzgado de Garantía de Puerto Montt, 22 de junio de 2004, folios 3, 17, 18 y 19.</w:t>
      </w:r>
    </w:p>
  </w:footnote>
  <w:footnote w:id="20">
    <w:p w14:paraId="73CD41B6" w14:textId="577E02E5"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Anexo al escrito de los peticionarios de 5 de abril de 2005.</w:t>
      </w:r>
    </w:p>
  </w:footnote>
  <w:footnote w:id="21">
    <w:p w14:paraId="1AC4A10A" w14:textId="61858956"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Anexo al escrito de los peticionarios de 5 de abril de 2005. Véase también, Nota de prensa publicada en el Diario “El Llanquihue” el 18 de mayo de 2004, titulada “Abogado Baraona sostiene que Jueza habría recibido presiones del senador Sergio Páez”, Nota de prensa publicada en el Diario “El Mercurio” el 18 de mayo de 2004, titulada “Jueza del caso alerce es amenazada de muerte”. Estas notas son citadas en la Sentencia del Juzgado de Garantía de Puerto Montt, 22 de junio de 2004, folio 19.</w:t>
      </w:r>
    </w:p>
  </w:footnote>
  <w:footnote w:id="22">
    <w:p w14:paraId="3B9F49F2" w14:textId="5AF2A3B9"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19 y 20. Anexo al escrito de los peticionarios de 5 de abril de 2005.</w:t>
      </w:r>
    </w:p>
  </w:footnote>
  <w:footnote w:id="23">
    <w:p w14:paraId="30998B1D" w14:textId="713B988C"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Según la Resolución del Juzgado de Letras de Los Muermos de 17 de mayo de 2004, por medio de la cual la Jueza Rosa Muñoz se declaró inhabilitada en la causa de tala ilegal de alerce por haber recibido presiones y amenazas y llamadas telefónicas anónimas, una de ellas presumiblemente del senador Páez, la Magistrada señaló que no le constaba el origen de dicha llamada ni la veracidad de los dichos a ese respecto. Véase Anexo 1. Sentencia del Juzgado de Garantía de Puerto Montt, 22 de junio de 2004. Anexo al escrito de los peticionarios de 5 de abril de 2005.</w:t>
      </w:r>
    </w:p>
  </w:footnote>
  <w:footnote w:id="24">
    <w:p w14:paraId="305C8726" w14:textId="57E0B185" w:rsidR="00945C50" w:rsidRPr="0086009F" w:rsidRDefault="00945C50" w:rsidP="00E4013E">
      <w:pPr>
        <w:pStyle w:val="FootnoteText"/>
        <w:rPr>
          <w:rFonts w:ascii="Cambria" w:hAnsi="Cambria"/>
          <w:b/>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10, 11, 20 y 37, citando las declaraciones de </w:t>
      </w:r>
      <w:r w:rsidRPr="0086009F">
        <w:rPr>
          <w:rFonts w:ascii="Cambria" w:hAnsi="Cambria"/>
          <w:color w:val="auto"/>
          <w:lang w:val="es-VE"/>
        </w:rPr>
        <w:t>Pedro Bahamondez, Lisandro Barriga y Nelson Bustos</w:t>
      </w:r>
      <w:r w:rsidRPr="0086009F">
        <w:rPr>
          <w:rFonts w:ascii="Cambria" w:hAnsi="Cambria"/>
          <w:color w:val="auto"/>
          <w:lang w:val="es-PE"/>
        </w:rPr>
        <w:t xml:space="preserve"> ante el Juzgado de Garantía. Anexo al escrito de los peticionarios de 5 de abril de 2005. Véase también, Notas de prensa publicadas en el Diario “El Llanquihue” el 14 de mayo de 2004 tituladas “Directivo niega haber recibido presiones” y “No he sido objeto de ninguna presión”, en las que Pedro Bahamondez y Nelson Bustos, respectivamente niegan haber recibido presiones del senador Páez o de ningún otro tipo. Asimismo, véase Nota de prensa publicada en el Diario “El Llanquihue” el 17 de mayo de 2004 titulada “Weber niega presiones”. Estas notas son citadas en la Sentencia del Juzgado de Garantía de Puerto Montt, 22 de junio de 2004, folios 19 y 20.</w:t>
      </w:r>
    </w:p>
  </w:footnote>
  <w:footnote w:id="25">
    <w:p w14:paraId="728306D7" w14:textId="62072770"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 32, citando la Nota de prensa publicada en el Diario “El Mercurio on line” el 23 de mayo de 2004 titulada “</w:t>
      </w:r>
      <w:r w:rsidRPr="0086009F">
        <w:rPr>
          <w:rFonts w:ascii="Cambria" w:hAnsi="Cambria"/>
          <w:color w:val="auto"/>
          <w:lang w:val="es-VE"/>
        </w:rPr>
        <w:t>El Cacique Páez</w:t>
      </w:r>
      <w:r w:rsidRPr="0086009F">
        <w:rPr>
          <w:rFonts w:ascii="Cambria" w:hAnsi="Cambria"/>
          <w:color w:val="auto"/>
          <w:lang w:val="es-PE"/>
        </w:rPr>
        <w:t>”. Anexo al escrito de los peticionarios de 5 de abril de 2005.</w:t>
      </w:r>
    </w:p>
  </w:footnote>
  <w:footnote w:id="26">
    <w:p w14:paraId="54C7B250" w14:textId="33F79E9A"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 32, citando la Nota de prensa publicada en el Diario “El Mercurio on line” el 23 de mayo de 2004 titulada “</w:t>
      </w:r>
      <w:r w:rsidRPr="0086009F">
        <w:rPr>
          <w:rFonts w:ascii="Cambria" w:hAnsi="Cambria"/>
          <w:color w:val="auto"/>
          <w:lang w:val="es-VE"/>
        </w:rPr>
        <w:t>Hace muchos años me llamaban la rata engominada</w:t>
      </w:r>
      <w:r w:rsidRPr="0086009F">
        <w:rPr>
          <w:rFonts w:ascii="Cambria" w:hAnsi="Cambria"/>
          <w:color w:val="auto"/>
          <w:lang w:val="es-PE"/>
        </w:rPr>
        <w:t>”. Anexo al escrito de los peticionarios de 5 de abril de 2005.</w:t>
      </w:r>
    </w:p>
  </w:footnote>
  <w:footnote w:id="27">
    <w:p w14:paraId="72D2C919" w14:textId="4BECF263" w:rsidR="00945C50" w:rsidRPr="0086009F" w:rsidRDefault="00945C50" w:rsidP="00E4013E">
      <w:pPr>
        <w:pStyle w:val="FootnoteText"/>
        <w:rPr>
          <w:rFonts w:ascii="Cambria" w:hAnsi="Cambria"/>
          <w:color w:val="auto"/>
          <w:lang w:val="es-PE"/>
        </w:rPr>
      </w:pPr>
      <w:r w:rsidRPr="0086009F">
        <w:rPr>
          <w:rStyle w:val="FootnoteReference"/>
          <w:rFonts w:ascii="Cambria" w:hAnsi="Cambria"/>
        </w:rPr>
        <w:footnoteRef/>
      </w:r>
      <w:r w:rsidRPr="0086009F">
        <w:rPr>
          <w:rFonts w:ascii="Cambria" w:hAnsi="Cambria"/>
          <w:lang w:val="es-PE"/>
        </w:rPr>
        <w:t xml:space="preserve"> Anexo 2. Notas periodísticas. Nota de prensa publicada en “El Bosque chileno”, titulada “Suspendidos planes de extracción de alerce”; nota de prensa publicada en “Eco Prensa”, titulada “Alerce con ministro en visita”, y nota de prensa publicada en el Diario “El Llanquihue” el 14 de mayo de 2004, titulada “Senador Páez se querellará por injurias”. </w:t>
      </w:r>
      <w:r w:rsidRPr="0086009F">
        <w:rPr>
          <w:rFonts w:ascii="Cambria" w:hAnsi="Cambria"/>
          <w:color w:val="auto"/>
          <w:lang w:val="es-AR"/>
        </w:rPr>
        <w:t>Anexo a la petición inicial presentada a la Comisión el 4 de marzo de 2005.</w:t>
      </w:r>
    </w:p>
  </w:footnote>
  <w:footnote w:id="28">
    <w:p w14:paraId="32D5FFBD" w14:textId="5C1BB035"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 6. Anexo al escrito de los peticionarios de 5 de abril de 2005.</w:t>
      </w:r>
    </w:p>
  </w:footnote>
  <w:footnote w:id="29">
    <w:p w14:paraId="16792402" w14:textId="1AFD12ED"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2, 22 y 23. Anexo al escrito de los peticionarios de 5 de abril de 2005.</w:t>
      </w:r>
    </w:p>
  </w:footnote>
  <w:footnote w:id="30">
    <w:p w14:paraId="226F4F97" w14:textId="79CBD93F"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7 y 8. Anexo al escrito de los peticionarios de 5 de abril de 2005.</w:t>
      </w:r>
    </w:p>
  </w:footnote>
  <w:footnote w:id="31">
    <w:p w14:paraId="2D0848B3" w14:textId="1C5A4D36"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26 a 28, citando las declaraciones de Carlos Baraona Bray y José Antonio Comandary Sommella ante el Juzgado de Garantía. Anexo al escrito de los peticionarios de 5 de abril de 2005.</w:t>
      </w:r>
    </w:p>
  </w:footnote>
  <w:footnote w:id="32">
    <w:p w14:paraId="15704071" w14:textId="68BEDB8B"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24 a 32, citando las declaraciones de Carlos Baraona Bray, José Antonio Comandary Sommella, Soledad Juanita Neira Farías, Rodrigo Pizarro Gariazzo y Réne Reyes Gallardo ante el Juzgado de Garantía. Anexo al escrito de los peticionarios de 5 de abril de 2005.</w:t>
      </w:r>
    </w:p>
  </w:footnote>
  <w:footnote w:id="33">
    <w:p w14:paraId="46CD105E" w14:textId="7CF9554F"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8 y 9. Anexo al escrito de los peticionarios de 5 de abril de 2005.</w:t>
      </w:r>
    </w:p>
  </w:footnote>
  <w:footnote w:id="34">
    <w:p w14:paraId="6E5F5312" w14:textId="044AB489"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34 a 36 y 41 a 42. Anexo al escrito de los peticionarios de 5 de abril de 2005.</w:t>
      </w:r>
    </w:p>
  </w:footnote>
  <w:footnote w:id="35">
    <w:p w14:paraId="487F1295" w14:textId="40FC9069"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36 a 40. Anexo al escrito de los peticionarios de 5 de abril de 2005.</w:t>
      </w:r>
    </w:p>
  </w:footnote>
  <w:footnote w:id="36">
    <w:p w14:paraId="45E7C582" w14:textId="343CDF2B"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1. Sentencia del Juzgado de Garantía de Puerto Montt, 22 de junio de 2004, folios 40 a 41. Anexo al escrito de los peticionarios de 5 de abril de 2005.</w:t>
      </w:r>
    </w:p>
  </w:footnote>
  <w:footnote w:id="37">
    <w:p w14:paraId="530C28A4" w14:textId="1F6C87AF"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3. Sentencia de la Corte Suprema, 9 de septiembre de 2004, folios 1 a 4. Anexo al escrito de los peticionarios de 5 de abril de 2005.</w:t>
      </w:r>
    </w:p>
  </w:footnote>
  <w:footnote w:id="38">
    <w:p w14:paraId="07FC0D42" w14:textId="219E1713"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3. Sentencia de la Corte Suprema, 9 de septiembre de 2004. Párrs. 355 a 390. Anexo al escrito de los peticionarios de 5 de abril de 2005.</w:t>
      </w:r>
    </w:p>
  </w:footnote>
  <w:footnote w:id="39">
    <w:p w14:paraId="7BF73A86" w14:textId="48E7E6DA"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3. Sentencia de la Corte Suprema, 9 de septiembre de 2004. Párrs. 410 a 440. Anexo al escrito de los peticionarios de 5 de abril de 2005.</w:t>
      </w:r>
    </w:p>
  </w:footnote>
  <w:footnote w:id="40">
    <w:p w14:paraId="30C7303E" w14:textId="4C2DEFCD"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Anexo 4. Sentencia del Juzgado de Garantía, 4 de octubre de 2007, folios 33 y ss. Anexo al escrito de los peticionarios de 29 de octubre de 2007.</w:t>
      </w:r>
    </w:p>
  </w:footnote>
  <w:footnote w:id="41">
    <w:p w14:paraId="43620BD2" w14:textId="5F549E09"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Escrito de los peticionarios de 29 de octubre de 2007.</w:t>
      </w:r>
    </w:p>
  </w:footnote>
  <w:footnote w:id="42">
    <w:p w14:paraId="4F9E9950" w14:textId="1000DE74" w:rsidR="00945C50" w:rsidRPr="0086009F" w:rsidRDefault="00945C50" w:rsidP="00E4013E">
      <w:pPr>
        <w:pStyle w:val="FootnoteText"/>
        <w:rPr>
          <w:rFonts w:ascii="Cambria" w:hAnsi="Cambria"/>
          <w:color w:val="auto"/>
          <w:lang w:val="es-MX"/>
        </w:rPr>
      </w:pPr>
      <w:r w:rsidRPr="0086009F">
        <w:rPr>
          <w:rStyle w:val="FootnoteReference"/>
          <w:rFonts w:ascii="Cambria" w:hAnsi="Cambria"/>
          <w:color w:val="auto"/>
        </w:rPr>
        <w:footnoteRef/>
      </w:r>
      <w:r w:rsidRPr="0086009F">
        <w:rPr>
          <w:rFonts w:ascii="Cambria" w:hAnsi="Cambria"/>
          <w:color w:val="auto"/>
          <w:lang w:val="es-MX"/>
        </w:rPr>
        <w:t xml:space="preserve"> El artículo 13 de la Convención Americana dispone en lo pertinente que:</w:t>
      </w:r>
    </w:p>
    <w:p w14:paraId="126C7126" w14:textId="77777777" w:rsidR="00945C50" w:rsidRPr="0086009F" w:rsidRDefault="00945C50" w:rsidP="00E4013E">
      <w:pPr>
        <w:pStyle w:val="FootnoteText"/>
        <w:rPr>
          <w:rFonts w:ascii="Cambria" w:hAnsi="Cambria"/>
          <w:color w:val="auto"/>
          <w:lang w:val="es-MX"/>
        </w:rPr>
      </w:pPr>
      <w:r w:rsidRPr="0086009F">
        <w:rPr>
          <w:rFonts w:ascii="Cambria" w:hAnsi="Cambria"/>
          <w:color w:val="auto"/>
          <w:lang w:val="es-MX"/>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653D8589" w14:textId="77777777" w:rsidR="00945C50" w:rsidRPr="0086009F" w:rsidRDefault="00945C50" w:rsidP="00E4013E">
      <w:pPr>
        <w:pStyle w:val="FootnoteText"/>
        <w:rPr>
          <w:rFonts w:ascii="Cambria" w:hAnsi="Cambria"/>
          <w:color w:val="auto"/>
          <w:lang w:val="es-MX"/>
        </w:rPr>
      </w:pPr>
      <w:r w:rsidRPr="0086009F">
        <w:rPr>
          <w:rFonts w:ascii="Cambria" w:hAnsi="Cambria"/>
          <w:color w:val="auto"/>
          <w:lang w:val="es-MX"/>
        </w:rPr>
        <w:t>2. El ejercicio del derecho previsto en el inciso precedente no puede estar sujeto a previa censura sino a responsabilidades ulteriores, las que deben estar expresamente fijadas por la ley y ser necesarias para asegurar:</w:t>
      </w:r>
    </w:p>
    <w:p w14:paraId="0438C498" w14:textId="77777777" w:rsidR="00945C50" w:rsidRPr="0086009F" w:rsidRDefault="00945C50" w:rsidP="00E4013E">
      <w:pPr>
        <w:pStyle w:val="FootnoteText"/>
        <w:rPr>
          <w:rFonts w:ascii="Cambria" w:hAnsi="Cambria"/>
          <w:color w:val="auto"/>
          <w:lang w:val="es-MX"/>
        </w:rPr>
      </w:pPr>
      <w:r w:rsidRPr="0086009F">
        <w:rPr>
          <w:rFonts w:ascii="Cambria" w:hAnsi="Cambria"/>
          <w:color w:val="auto"/>
          <w:lang w:val="es-MX"/>
        </w:rPr>
        <w:t>a. el respeto a los derechos o a la reputación de los demás, o</w:t>
      </w:r>
    </w:p>
    <w:p w14:paraId="10DABD4F" w14:textId="77777777" w:rsidR="00945C50" w:rsidRPr="0086009F" w:rsidRDefault="00945C50" w:rsidP="00E4013E">
      <w:pPr>
        <w:pStyle w:val="FootnoteText"/>
        <w:rPr>
          <w:rFonts w:ascii="Cambria" w:hAnsi="Cambria"/>
          <w:color w:val="auto"/>
          <w:lang w:val="es-MX"/>
        </w:rPr>
      </w:pPr>
      <w:r w:rsidRPr="0086009F">
        <w:rPr>
          <w:rFonts w:ascii="Cambria" w:hAnsi="Cambria"/>
          <w:color w:val="auto"/>
          <w:lang w:val="es-MX"/>
        </w:rPr>
        <w:t>b. la protección de la seguridad nacional, el orden público o la salud o la moral públicas.</w:t>
      </w:r>
    </w:p>
    <w:p w14:paraId="329D3B1E" w14:textId="77777777" w:rsidR="00945C50" w:rsidRPr="0086009F" w:rsidRDefault="00945C50" w:rsidP="00E4013E">
      <w:pPr>
        <w:pStyle w:val="FootnoteText"/>
        <w:rPr>
          <w:rFonts w:ascii="Cambria" w:hAnsi="Cambria"/>
          <w:color w:val="auto"/>
          <w:lang w:val="es-MX"/>
        </w:rPr>
      </w:pPr>
      <w:r w:rsidRPr="0086009F">
        <w:rPr>
          <w:rFonts w:ascii="Cambria" w:hAnsi="Cambria"/>
          <w:color w:val="auto"/>
          <w:lang w:val="es-MX"/>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635D5E8B" w14:textId="078AFC1D" w:rsidR="00945C50" w:rsidRPr="0086009F" w:rsidRDefault="00945C50" w:rsidP="00E4013E">
      <w:pPr>
        <w:pStyle w:val="FootnoteText"/>
        <w:rPr>
          <w:rFonts w:ascii="Cambria" w:hAnsi="Cambria"/>
          <w:color w:val="auto"/>
          <w:lang w:val="es-MX"/>
        </w:rPr>
      </w:pPr>
      <w:r w:rsidRPr="0086009F">
        <w:rPr>
          <w:rFonts w:ascii="Cambria" w:hAnsi="Cambria"/>
          <w:color w:val="auto"/>
          <w:lang w:val="es-MX"/>
        </w:rPr>
        <w:t>[…]</w:t>
      </w:r>
    </w:p>
  </w:footnote>
  <w:footnote w:id="43">
    <w:p w14:paraId="5A6715BF" w14:textId="51D49F29"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El </w:t>
      </w:r>
      <w:r w:rsidRPr="0086009F">
        <w:rPr>
          <w:rFonts w:ascii="Cambria" w:hAnsi="Cambria"/>
          <w:color w:val="auto"/>
          <w:bdr w:val="none" w:sz="0" w:space="0" w:color="auto" w:frame="1"/>
          <w:lang w:val="es-MX"/>
        </w:rPr>
        <w:t xml:space="preserve">artículo 1.1 </w:t>
      </w:r>
      <w:r w:rsidRPr="0086009F">
        <w:rPr>
          <w:rFonts w:ascii="Cambria" w:hAnsi="Cambria"/>
          <w:color w:val="auto"/>
          <w:lang w:val="es-MX"/>
        </w:rPr>
        <w:t>de la Convención Americana dispone que</w:t>
      </w:r>
      <w:r w:rsidRPr="0086009F">
        <w:rPr>
          <w:rFonts w:ascii="Cambria" w:hAnsi="Cambria"/>
          <w:color w:val="auto"/>
          <w:bdr w:val="none" w:sz="0" w:space="0" w:color="auto" w:frame="1"/>
          <w:lang w:val="es-MX"/>
        </w:rPr>
        <w:t xml:space="preserve">: </w:t>
      </w:r>
      <w:r w:rsidRPr="0086009F">
        <w:rPr>
          <w:rFonts w:ascii="Cambria" w:eastAsia="Batang" w:hAnsi="Cambria"/>
          <w:color w:val="auto"/>
          <w:bdr w:val="none" w:sz="0" w:space="0" w:color="auto" w:frame="1"/>
          <w:lang w:val="es-ES_tradnl"/>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44">
    <w:p w14:paraId="448A99A3" w14:textId="53D12B20" w:rsidR="00945C50" w:rsidRPr="0086009F" w:rsidRDefault="00945C50" w:rsidP="00577FC4">
      <w:pPr>
        <w:pStyle w:val="NormalWeb"/>
        <w:jc w:val="both"/>
        <w:rPr>
          <w:rFonts w:ascii="Cambria" w:hAnsi="Cambria" w:cs="Tahoma"/>
          <w:color w:val="000000"/>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El </w:t>
      </w:r>
      <w:r w:rsidRPr="0086009F">
        <w:rPr>
          <w:rFonts w:ascii="Cambria" w:hAnsi="Cambria"/>
          <w:sz w:val="16"/>
          <w:szCs w:val="16"/>
          <w:bdr w:val="none" w:sz="0" w:space="0" w:color="auto" w:frame="1"/>
          <w:lang w:val="es-MX"/>
        </w:rPr>
        <w:t xml:space="preserve">artículo 2 </w:t>
      </w:r>
      <w:r w:rsidRPr="0086009F">
        <w:rPr>
          <w:rFonts w:ascii="Cambria" w:hAnsi="Cambria"/>
          <w:sz w:val="16"/>
          <w:szCs w:val="16"/>
          <w:lang w:val="es-MX"/>
        </w:rPr>
        <w:t>de la Convención Americana dispone que</w:t>
      </w:r>
      <w:r w:rsidRPr="0086009F">
        <w:rPr>
          <w:rFonts w:ascii="Cambria" w:hAnsi="Cambria"/>
          <w:sz w:val="16"/>
          <w:szCs w:val="16"/>
          <w:bdr w:val="none" w:sz="0" w:space="0" w:color="auto" w:frame="1"/>
          <w:lang w:val="es-MX"/>
        </w:rPr>
        <w:t xml:space="preserve">: </w:t>
      </w:r>
      <w:r w:rsidRPr="0086009F">
        <w:rPr>
          <w:rFonts w:ascii="Cambria" w:hAnsi="Cambria" w:cs="Tahoma"/>
          <w:color w:val="000000"/>
          <w:sz w:val="16"/>
          <w:szCs w:val="16"/>
          <w:lang w:val="es-PE"/>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45">
    <w:p w14:paraId="612C7BF8" w14:textId="728BA127"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rPr>
        <w:footnoteRef/>
      </w:r>
      <w:r w:rsidRPr="0086009F">
        <w:rPr>
          <w:rFonts w:ascii="Cambria" w:hAnsi="Cambria"/>
          <w:sz w:val="16"/>
          <w:szCs w:val="16"/>
          <w:lang w:val="es-ES"/>
        </w:rPr>
        <w:t xml:space="preserve"> Corte IDH. </w:t>
      </w:r>
      <w:r w:rsidRPr="0086009F">
        <w:rPr>
          <w:rFonts w:ascii="Cambria" w:hAnsi="Cambria"/>
          <w:i/>
          <w:sz w:val="16"/>
          <w:szCs w:val="16"/>
          <w:lang w:val="es-ES"/>
        </w:rPr>
        <w:t>La Colegiación Obligatoria de Periodistas (arts. 13 y 29 Convención Americana sobre Derechos Humanos).</w:t>
      </w:r>
      <w:r w:rsidRPr="0086009F">
        <w:rPr>
          <w:rFonts w:ascii="Cambria" w:hAnsi="Cambria"/>
          <w:sz w:val="16"/>
          <w:szCs w:val="16"/>
          <w:lang w:val="es-ES"/>
        </w:rPr>
        <w:t xml:space="preserve"> Opinión Consultiva OC-5/85 del 13 de noviembre de 1985. Serie A No. 5. Párr. 30, y </w:t>
      </w:r>
      <w:r w:rsidRPr="0086009F">
        <w:rPr>
          <w:rFonts w:ascii="Cambria" w:hAnsi="Cambria"/>
          <w:i/>
          <w:sz w:val="16"/>
          <w:szCs w:val="16"/>
          <w:lang w:val="es-ES"/>
        </w:rPr>
        <w:t>Caso Mémoli Vs. Argentina.</w:t>
      </w:r>
      <w:r w:rsidRPr="0086009F">
        <w:rPr>
          <w:rFonts w:ascii="Cambria" w:hAnsi="Cambria"/>
          <w:sz w:val="16"/>
          <w:szCs w:val="16"/>
          <w:lang w:val="es-ES"/>
        </w:rPr>
        <w:t xml:space="preserve"> Excepciones Preliminares, </w:t>
      </w:r>
      <w:r w:rsidRPr="0086009F">
        <w:rPr>
          <w:rFonts w:ascii="Cambria" w:hAnsi="Cambria"/>
          <w:spacing w:val="-2"/>
          <w:sz w:val="16"/>
          <w:szCs w:val="16"/>
          <w:lang w:val="es-PE"/>
        </w:rPr>
        <w:t>Fondo, Reparaciones y Costas. Sentencia de 22 de agosto de 2013. Serie C No. 265</w:t>
      </w:r>
      <w:r w:rsidRPr="0086009F">
        <w:rPr>
          <w:rFonts w:ascii="Cambria" w:hAnsi="Cambria"/>
          <w:sz w:val="16"/>
          <w:szCs w:val="16"/>
          <w:lang w:val="es-PE"/>
        </w:rPr>
        <w:t>. Párr. 119</w:t>
      </w:r>
      <w:r w:rsidRPr="0086009F">
        <w:rPr>
          <w:rFonts w:ascii="Cambria" w:hAnsi="Cambria"/>
          <w:sz w:val="16"/>
          <w:szCs w:val="16"/>
          <w:lang w:val="es-ES"/>
        </w:rPr>
        <w:t xml:space="preserve">; CIDH. Informe No. 82/10, Caso 12.524, Fondo, Jorge Fontevecchia y Hector d’Amico, Argentina, 13 de julio de 2010. Párr. 86. </w:t>
      </w:r>
    </w:p>
  </w:footnote>
  <w:footnote w:id="46">
    <w:p w14:paraId="2FE1157D" w14:textId="79FA584E" w:rsidR="00945C50" w:rsidRPr="0086009F" w:rsidRDefault="00945C50" w:rsidP="00E4013E">
      <w:pPr>
        <w:pStyle w:val="FootnoteText"/>
        <w:tabs>
          <w:tab w:val="left" w:pos="567"/>
        </w:tabs>
        <w:rPr>
          <w:rFonts w:ascii="Cambria" w:hAnsi="Cambria" w:cs="Times New Roman"/>
          <w:color w:val="auto"/>
          <w:spacing w:val="-2"/>
          <w:lang w:val="es-PE"/>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Corte IDH.</w:t>
      </w:r>
      <w:r w:rsidRPr="0086009F">
        <w:rPr>
          <w:rFonts w:ascii="Cambria" w:hAnsi="Cambria"/>
          <w:i/>
          <w:iCs/>
          <w:color w:val="auto"/>
          <w:spacing w:val="-2"/>
          <w:lang w:val="es-ES"/>
        </w:rPr>
        <w:t xml:space="preserve"> La Colegiación Obligatoria de Periodistas (Arts. 13 y 29 de la Convención Americana sobre Derechos Humanos), supra</w:t>
      </w:r>
      <w:r w:rsidRPr="0086009F">
        <w:rPr>
          <w:rFonts w:ascii="Cambria" w:hAnsi="Cambria"/>
          <w:color w:val="auto"/>
          <w:spacing w:val="-2"/>
          <w:lang w:val="es-ES"/>
        </w:rPr>
        <w:t xml:space="preserve">. Párrs. 30 al 33, y </w:t>
      </w:r>
      <w:r w:rsidRPr="0086009F">
        <w:rPr>
          <w:rFonts w:ascii="Cambria" w:hAnsi="Cambria"/>
          <w:i/>
          <w:color w:val="auto"/>
          <w:spacing w:val="-2"/>
          <w:lang w:val="es-ES"/>
        </w:rPr>
        <w:t>Caso Vélez Restrepo y familiares Vs. Colombia</w:t>
      </w:r>
      <w:r w:rsidRPr="0086009F">
        <w:rPr>
          <w:rFonts w:ascii="Cambria" w:hAnsi="Cambria"/>
          <w:color w:val="auto"/>
          <w:spacing w:val="-2"/>
          <w:lang w:val="es-ES"/>
        </w:rPr>
        <w:t xml:space="preserve">. </w:t>
      </w:r>
      <w:r w:rsidRPr="0086009F">
        <w:rPr>
          <w:rFonts w:ascii="Cambria" w:hAnsi="Cambria"/>
          <w:lang w:val="es-ES"/>
        </w:rPr>
        <w:t xml:space="preserve">Excepción Preliminar, </w:t>
      </w:r>
      <w:r w:rsidRPr="0086009F">
        <w:rPr>
          <w:rFonts w:ascii="Cambria" w:hAnsi="Cambria"/>
          <w:spacing w:val="-2"/>
          <w:lang w:val="es-PE"/>
        </w:rPr>
        <w:t>Fondo, Reparaciones y Costas. Sentencia de 3 de septiembre de 2012. Serie C No. 248</w:t>
      </w:r>
      <w:r w:rsidRPr="0086009F">
        <w:rPr>
          <w:rFonts w:ascii="Cambria" w:hAnsi="Cambria"/>
          <w:lang w:val="es-PE"/>
        </w:rPr>
        <w:t xml:space="preserve">. </w:t>
      </w:r>
      <w:r w:rsidRPr="0086009F">
        <w:rPr>
          <w:rFonts w:ascii="Cambria" w:hAnsi="Cambria"/>
          <w:color w:val="auto"/>
          <w:spacing w:val="-2"/>
          <w:lang w:val="es-ES"/>
        </w:rPr>
        <w:t>Párr. 137.</w:t>
      </w:r>
    </w:p>
  </w:footnote>
  <w:footnote w:id="47">
    <w:p w14:paraId="6902369F" w14:textId="5B19E9BE" w:rsidR="00945C50" w:rsidRPr="0086009F" w:rsidRDefault="00945C50" w:rsidP="00E4013E">
      <w:pPr>
        <w:pStyle w:val="FootnoteText"/>
        <w:tabs>
          <w:tab w:val="left" w:pos="567"/>
        </w:tabs>
        <w:rPr>
          <w:rFonts w:ascii="Cambria" w:hAnsi="Cambria" w:cs="Times New Roman"/>
          <w:color w:val="auto"/>
          <w:spacing w:val="-2"/>
          <w:lang w:val="es-PE"/>
        </w:rPr>
      </w:pPr>
      <w:r w:rsidRPr="0086009F">
        <w:rPr>
          <w:rStyle w:val="FootnoteReference"/>
          <w:rFonts w:ascii="Cambria" w:eastAsia="Batang" w:hAnsi="Cambria" w:cs="Times New Roman"/>
          <w:color w:val="auto"/>
          <w:spacing w:val="-2"/>
        </w:rPr>
        <w:footnoteRef/>
      </w:r>
      <w:r w:rsidRPr="0086009F">
        <w:rPr>
          <w:rFonts w:ascii="Cambria" w:hAnsi="Cambria"/>
          <w:i/>
          <w:iCs/>
          <w:color w:val="auto"/>
          <w:spacing w:val="-2"/>
          <w:lang w:val="es-ES"/>
        </w:rPr>
        <w:t xml:space="preserve"> </w:t>
      </w:r>
      <w:r w:rsidRPr="0086009F">
        <w:rPr>
          <w:rFonts w:ascii="Cambria" w:hAnsi="Cambria"/>
          <w:iCs/>
          <w:color w:val="auto"/>
          <w:spacing w:val="-2"/>
          <w:lang w:val="es-ES"/>
        </w:rPr>
        <w:t>Corte</w:t>
      </w:r>
      <w:r w:rsidRPr="0086009F">
        <w:rPr>
          <w:rFonts w:ascii="Cambria" w:hAnsi="Cambria"/>
          <w:i/>
          <w:iCs/>
          <w:color w:val="auto"/>
          <w:spacing w:val="-2"/>
          <w:lang w:val="es-ES"/>
        </w:rPr>
        <w:t xml:space="preserve"> </w:t>
      </w:r>
      <w:r w:rsidRPr="0086009F">
        <w:rPr>
          <w:rFonts w:ascii="Cambria" w:hAnsi="Cambria"/>
          <w:iCs/>
          <w:color w:val="auto"/>
          <w:spacing w:val="-2"/>
          <w:lang w:val="es-ES"/>
        </w:rPr>
        <w:t>IDH</w:t>
      </w:r>
      <w:r w:rsidRPr="0086009F">
        <w:rPr>
          <w:rFonts w:ascii="Cambria" w:hAnsi="Cambria"/>
          <w:i/>
          <w:iCs/>
          <w:color w:val="auto"/>
          <w:spacing w:val="-2"/>
          <w:lang w:val="es-ES"/>
        </w:rPr>
        <w:t>. La Colegiación Obligatoria de Periodistas (Arts. 13 y 29 de la Convención Americana sobre Derechos Humanos), supra</w:t>
      </w:r>
      <w:r w:rsidRPr="0086009F">
        <w:rPr>
          <w:rFonts w:ascii="Cambria" w:hAnsi="Cambria"/>
          <w:color w:val="auto"/>
          <w:spacing w:val="-2"/>
          <w:lang w:val="es-ES"/>
        </w:rPr>
        <w:t xml:space="preserve">. Párr. 33, y </w:t>
      </w:r>
      <w:r w:rsidRPr="0086009F">
        <w:rPr>
          <w:rFonts w:ascii="Cambria" w:hAnsi="Cambria"/>
          <w:i/>
          <w:color w:val="auto"/>
          <w:spacing w:val="-2"/>
          <w:lang w:val="es-ES"/>
        </w:rPr>
        <w:t>Caso Vélez Restrepo y familiares Vs. Colombia, supra</w:t>
      </w:r>
      <w:r w:rsidRPr="0086009F">
        <w:rPr>
          <w:rFonts w:ascii="Cambria" w:hAnsi="Cambria"/>
          <w:color w:val="auto"/>
          <w:spacing w:val="-2"/>
          <w:lang w:val="es-ES"/>
        </w:rPr>
        <w:t xml:space="preserve">. Párr. 137. </w:t>
      </w:r>
    </w:p>
  </w:footnote>
  <w:footnote w:id="48">
    <w:p w14:paraId="2DC7C827" w14:textId="11723CC6"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w:t>
      </w:r>
      <w:r w:rsidRPr="0086009F">
        <w:rPr>
          <w:rFonts w:ascii="Cambria" w:hAnsi="Cambria"/>
          <w:sz w:val="16"/>
          <w:szCs w:val="16"/>
          <w:lang w:val="es-ES"/>
        </w:rPr>
        <w:t xml:space="preserve">Corte IDH. </w:t>
      </w:r>
      <w:r w:rsidRPr="0086009F">
        <w:rPr>
          <w:rFonts w:ascii="Cambria" w:hAnsi="Cambria"/>
          <w:i/>
          <w:sz w:val="16"/>
          <w:szCs w:val="16"/>
          <w:lang w:val="es-ES"/>
        </w:rPr>
        <w:t>La Colegiación Obligatoria de Periodistas (arts. 13 y 29 Convención Americana sobre Derechos Humanos)</w:t>
      </w:r>
      <w:r w:rsidRPr="0086009F">
        <w:rPr>
          <w:rFonts w:ascii="Cambria" w:hAnsi="Cambria"/>
          <w:sz w:val="16"/>
          <w:szCs w:val="16"/>
          <w:lang w:val="es-ES"/>
        </w:rPr>
        <w:t>, s</w:t>
      </w:r>
      <w:r w:rsidRPr="0086009F">
        <w:rPr>
          <w:rFonts w:ascii="Cambria" w:hAnsi="Cambria"/>
          <w:i/>
          <w:sz w:val="16"/>
          <w:szCs w:val="16"/>
          <w:lang w:val="es-ES"/>
        </w:rPr>
        <w:t>upra</w:t>
      </w:r>
      <w:r w:rsidRPr="0086009F">
        <w:rPr>
          <w:rFonts w:ascii="Cambria" w:hAnsi="Cambria"/>
          <w:sz w:val="16"/>
          <w:szCs w:val="16"/>
          <w:lang w:val="es-ES"/>
        </w:rPr>
        <w:t>. Párr. 31.</w:t>
      </w:r>
    </w:p>
  </w:footnote>
  <w:footnote w:id="49">
    <w:p w14:paraId="64563943" w14:textId="28C873C8"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Corte IDH. </w:t>
      </w:r>
      <w:r w:rsidRPr="0086009F">
        <w:rPr>
          <w:rFonts w:ascii="Cambria" w:hAnsi="Cambria"/>
          <w:i/>
          <w:sz w:val="16"/>
          <w:szCs w:val="16"/>
          <w:lang w:val="es-PE"/>
        </w:rPr>
        <w:t xml:space="preserve">Caso Kimel Vs. </w:t>
      </w:r>
      <w:r w:rsidRPr="0086009F">
        <w:rPr>
          <w:rFonts w:ascii="Cambria" w:hAnsi="Cambria"/>
          <w:i/>
          <w:sz w:val="16"/>
          <w:szCs w:val="16"/>
          <w:lang w:val="es-VE"/>
        </w:rPr>
        <w:t>Argentina.</w:t>
      </w:r>
      <w:r w:rsidRPr="0086009F">
        <w:rPr>
          <w:rFonts w:ascii="Cambria" w:hAnsi="Cambria"/>
          <w:sz w:val="16"/>
          <w:szCs w:val="16"/>
          <w:lang w:val="es-VE"/>
        </w:rPr>
        <w:t xml:space="preserve"> </w:t>
      </w:r>
      <w:r w:rsidRPr="0086009F">
        <w:rPr>
          <w:rFonts w:ascii="Cambria" w:hAnsi="Cambria"/>
          <w:sz w:val="16"/>
          <w:szCs w:val="16"/>
          <w:lang w:val="es-PE"/>
        </w:rPr>
        <w:t xml:space="preserve">Fondo, Reparaciones y Costas. Sentencia de 2 de mayo de 2008. Serie C No. 177. Párr. 53; </w:t>
      </w:r>
      <w:r w:rsidRPr="0086009F">
        <w:rPr>
          <w:rFonts w:ascii="Cambria" w:hAnsi="Cambria"/>
          <w:i/>
          <w:sz w:val="16"/>
          <w:szCs w:val="16"/>
          <w:lang w:val="es-PE"/>
        </w:rPr>
        <w:t>Caso Claude Reyes y otros</w:t>
      </w:r>
      <w:r w:rsidRPr="0086009F">
        <w:rPr>
          <w:rFonts w:ascii="Cambria" w:hAnsi="Cambria"/>
          <w:sz w:val="16"/>
          <w:szCs w:val="16"/>
          <w:lang w:val="es-PE"/>
        </w:rPr>
        <w:t xml:space="preserve">. Sentencia de 19 de septiembre de 2006. Serie C No. 151. Párr. 75; </w:t>
      </w:r>
      <w:r w:rsidRPr="0086009F">
        <w:rPr>
          <w:rFonts w:ascii="Cambria" w:hAnsi="Cambria"/>
          <w:i/>
          <w:sz w:val="16"/>
          <w:szCs w:val="16"/>
          <w:lang w:val="es-PE"/>
        </w:rPr>
        <w:t>Caso López Álvarez Vs. Honduras.</w:t>
      </w:r>
      <w:r w:rsidRPr="0086009F">
        <w:rPr>
          <w:rFonts w:ascii="Cambria" w:hAnsi="Cambria"/>
          <w:sz w:val="16"/>
          <w:szCs w:val="16"/>
          <w:lang w:val="es-PE"/>
        </w:rPr>
        <w:t xml:space="preserve"> Sentencia de 1 de febrero de 2006. Serie C No. 141. Párr. 163; </w:t>
      </w:r>
      <w:r w:rsidRPr="0086009F">
        <w:rPr>
          <w:rFonts w:ascii="Cambria" w:hAnsi="Cambria"/>
          <w:i/>
          <w:sz w:val="16"/>
          <w:szCs w:val="16"/>
          <w:lang w:val="es-PE"/>
        </w:rPr>
        <w:t>Caso Ricardo Canese Vs. Paraguay.</w:t>
      </w:r>
      <w:r w:rsidRPr="0086009F">
        <w:rPr>
          <w:rFonts w:ascii="Cambria" w:hAnsi="Cambria"/>
          <w:sz w:val="16"/>
          <w:szCs w:val="16"/>
          <w:lang w:val="es-PE"/>
        </w:rPr>
        <w:t xml:space="preserve"> Sentencia de 31 de agosto de 2004, Serie C No. 111. Párr. 77; </w:t>
      </w:r>
      <w:r w:rsidRPr="0086009F">
        <w:rPr>
          <w:rFonts w:ascii="Cambria" w:hAnsi="Cambria"/>
          <w:i/>
          <w:sz w:val="16"/>
          <w:szCs w:val="16"/>
          <w:lang w:val="es-PE"/>
        </w:rPr>
        <w:t>Caso Herrera Ulloa Vs. Costa Rica</w:t>
      </w:r>
      <w:r w:rsidRPr="0086009F">
        <w:rPr>
          <w:rFonts w:ascii="Cambria" w:hAnsi="Cambria"/>
          <w:sz w:val="16"/>
          <w:szCs w:val="16"/>
          <w:lang w:val="es-PE"/>
        </w:rPr>
        <w:t xml:space="preserve">. Sentencia del 2 de julio de 2004, Serie C No. 107. Párr. 108; </w:t>
      </w:r>
      <w:r w:rsidRPr="0086009F">
        <w:rPr>
          <w:rFonts w:ascii="Cambria" w:hAnsi="Cambria"/>
          <w:i/>
          <w:sz w:val="16"/>
          <w:szCs w:val="16"/>
          <w:lang w:val="es-PE"/>
        </w:rPr>
        <w:t>Caso Ivcher Bronstein Vs. Perú.</w:t>
      </w:r>
      <w:r w:rsidRPr="0086009F">
        <w:rPr>
          <w:rFonts w:ascii="Cambria" w:hAnsi="Cambria"/>
          <w:sz w:val="16"/>
          <w:szCs w:val="16"/>
          <w:lang w:val="es-PE"/>
        </w:rPr>
        <w:t xml:space="preserve"> Sentencia de 6 de febrero de 2001. Serie C No. 74. Párr. 146; </w:t>
      </w:r>
      <w:r w:rsidRPr="0086009F">
        <w:rPr>
          <w:rFonts w:ascii="Cambria" w:hAnsi="Cambria"/>
          <w:i/>
          <w:sz w:val="16"/>
          <w:szCs w:val="16"/>
          <w:lang w:val="es-PE"/>
        </w:rPr>
        <w:t>Caso "La Última Tentación de Cristo" (Olmedo Bustos y otros) Vs. Chile.</w:t>
      </w:r>
      <w:r w:rsidRPr="0086009F">
        <w:rPr>
          <w:rFonts w:ascii="Cambria" w:hAnsi="Cambria"/>
          <w:sz w:val="16"/>
          <w:szCs w:val="16"/>
          <w:lang w:val="es-PE"/>
        </w:rPr>
        <w:t xml:space="preserve"> Sentencia de 5 de febrero de 2001. Serie C No. 73. Párr. 64; </w:t>
      </w:r>
      <w:r w:rsidRPr="0086009F">
        <w:rPr>
          <w:rFonts w:ascii="Cambria" w:hAnsi="Cambria"/>
          <w:i/>
          <w:sz w:val="16"/>
          <w:szCs w:val="16"/>
          <w:lang w:val="es-PE"/>
        </w:rPr>
        <w:t xml:space="preserve">La Colegiación Obligatoria de Periodistas (arts. 13 y 29 Convención Americana sobre Derechos </w:t>
      </w:r>
      <w:r w:rsidRPr="0086009F">
        <w:rPr>
          <w:rFonts w:ascii="Cambria" w:hAnsi="Cambria"/>
          <w:i/>
          <w:sz w:val="16"/>
          <w:szCs w:val="16"/>
          <w:lang w:val="es-ES"/>
        </w:rPr>
        <w:t>Humanos)</w:t>
      </w:r>
      <w:r w:rsidRPr="0086009F">
        <w:rPr>
          <w:rFonts w:ascii="Cambria" w:hAnsi="Cambria"/>
          <w:sz w:val="16"/>
          <w:szCs w:val="16"/>
          <w:lang w:val="es-ES"/>
        </w:rPr>
        <w:t>, s</w:t>
      </w:r>
      <w:r w:rsidRPr="0086009F">
        <w:rPr>
          <w:rFonts w:ascii="Cambria" w:hAnsi="Cambria"/>
          <w:i/>
          <w:sz w:val="16"/>
          <w:szCs w:val="16"/>
          <w:lang w:val="es-ES"/>
        </w:rPr>
        <w:t>upra</w:t>
      </w:r>
      <w:r w:rsidRPr="0086009F">
        <w:rPr>
          <w:rFonts w:ascii="Cambria" w:hAnsi="Cambria"/>
          <w:sz w:val="16"/>
          <w:szCs w:val="16"/>
          <w:lang w:val="es-ES"/>
        </w:rPr>
        <w:t xml:space="preserve">. </w:t>
      </w:r>
      <w:r w:rsidRPr="0086009F">
        <w:rPr>
          <w:rFonts w:ascii="Cambria" w:hAnsi="Cambria"/>
          <w:sz w:val="16"/>
          <w:szCs w:val="16"/>
          <w:lang w:val="es-PE"/>
        </w:rPr>
        <w:t xml:space="preserve">Párr. 30; CIDH. Alegatos ante la Corte Interamericana en el caso Herrera Ulloa Vs. Costa Rica. Transcritos en: Corte IDH, </w:t>
      </w:r>
      <w:r w:rsidRPr="0086009F">
        <w:rPr>
          <w:rFonts w:ascii="Cambria" w:hAnsi="Cambria"/>
          <w:i/>
          <w:sz w:val="16"/>
          <w:szCs w:val="16"/>
          <w:lang w:val="es-PE"/>
        </w:rPr>
        <w:t>Caso Herrera Ulloa Vs. Costa Rica</w:t>
      </w:r>
      <w:r w:rsidRPr="0086009F">
        <w:rPr>
          <w:rFonts w:ascii="Cambria" w:hAnsi="Cambria"/>
          <w:sz w:val="16"/>
          <w:szCs w:val="16"/>
          <w:lang w:val="es-PE"/>
        </w:rPr>
        <w:t xml:space="preserve">, </w:t>
      </w:r>
      <w:r w:rsidRPr="0086009F">
        <w:rPr>
          <w:rFonts w:ascii="Cambria" w:hAnsi="Cambria"/>
          <w:i/>
          <w:sz w:val="16"/>
          <w:szCs w:val="16"/>
          <w:lang w:val="es-PE"/>
        </w:rPr>
        <w:t>supra</w:t>
      </w:r>
      <w:r w:rsidRPr="0086009F">
        <w:rPr>
          <w:rFonts w:ascii="Cambria" w:hAnsi="Cambria"/>
          <w:sz w:val="16"/>
          <w:szCs w:val="16"/>
          <w:lang w:val="es-PE"/>
        </w:rPr>
        <w:t xml:space="preserve">. Párr. 101.1 a); CIDH. Informe Anual 1994. Capítulo V: Informe sobre la Compatibilidad entre las Leyes de Desacato y la Convención Americana sobre Derechos Humanos. Título III. OEA/Ser. L/V/II.88. doc. 9 rev. 17 de febrero de 1995; Informe No. 130/99. Caso No. 11.740. Víctor Manuel Oropeza. México. 19 de noviembre de 1999. Párr. 51, e Informe No. 11/96, Caso No. 11.230. Francisco Martorell. Chile. 3 de mayo de 1996. </w:t>
      </w:r>
      <w:r w:rsidRPr="0086009F">
        <w:rPr>
          <w:rFonts w:ascii="Cambria" w:hAnsi="Cambria"/>
          <w:sz w:val="16"/>
          <w:szCs w:val="16"/>
          <w:lang w:val="es-ES"/>
        </w:rPr>
        <w:t>Párr. 53.</w:t>
      </w:r>
    </w:p>
  </w:footnote>
  <w:footnote w:id="50">
    <w:p w14:paraId="5ADFA8EA" w14:textId="4D643D04"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MX"/>
        </w:rPr>
        <w:t xml:space="preserve"> Corte IDH. </w:t>
      </w:r>
      <w:r w:rsidRPr="0086009F">
        <w:rPr>
          <w:rFonts w:ascii="Cambria" w:hAnsi="Cambria"/>
          <w:i/>
          <w:iCs/>
          <w:sz w:val="16"/>
          <w:szCs w:val="16"/>
          <w:lang w:val="es-MX"/>
        </w:rPr>
        <w:t xml:space="preserve">Caso Herrera Ulloa Vs. Costa Rica, supra. </w:t>
      </w:r>
      <w:r w:rsidRPr="0086009F">
        <w:rPr>
          <w:rFonts w:ascii="Cambria" w:hAnsi="Cambria"/>
          <w:sz w:val="16"/>
          <w:szCs w:val="16"/>
          <w:lang w:val="es-ES"/>
        </w:rPr>
        <w:t xml:space="preserve">Párr. 110; </w:t>
      </w:r>
      <w:r w:rsidRPr="0086009F">
        <w:rPr>
          <w:rFonts w:ascii="Cambria" w:hAnsi="Cambria"/>
          <w:i/>
          <w:iCs/>
          <w:sz w:val="16"/>
          <w:szCs w:val="16"/>
          <w:lang w:val="es-ES"/>
        </w:rPr>
        <w:t>Caso Ricardo Canese Vs. Paraguay</w:t>
      </w:r>
      <w:r w:rsidRPr="0086009F">
        <w:rPr>
          <w:rFonts w:ascii="Cambria" w:hAnsi="Cambria"/>
          <w:sz w:val="16"/>
          <w:szCs w:val="16"/>
          <w:lang w:val="es-ES"/>
        </w:rPr>
        <w:t xml:space="preserve">, </w:t>
      </w:r>
      <w:r w:rsidRPr="0086009F">
        <w:rPr>
          <w:rFonts w:ascii="Cambria" w:hAnsi="Cambria"/>
          <w:i/>
          <w:sz w:val="16"/>
          <w:szCs w:val="16"/>
          <w:lang w:val="es-ES"/>
        </w:rPr>
        <w:t>supra.</w:t>
      </w:r>
      <w:r w:rsidRPr="0086009F">
        <w:rPr>
          <w:rFonts w:ascii="Cambria" w:hAnsi="Cambria"/>
          <w:sz w:val="16"/>
          <w:szCs w:val="16"/>
          <w:lang w:val="es-ES"/>
        </w:rPr>
        <w:t xml:space="preserve"> Párr. 79; </w:t>
      </w:r>
      <w:r w:rsidRPr="0086009F">
        <w:rPr>
          <w:rFonts w:ascii="Cambria" w:hAnsi="Cambria"/>
          <w:i/>
          <w:sz w:val="16"/>
          <w:szCs w:val="16"/>
          <w:lang w:val="es-ES"/>
        </w:rPr>
        <w:t xml:space="preserve">Caso </w:t>
      </w:r>
      <w:r w:rsidRPr="0086009F">
        <w:rPr>
          <w:rFonts w:ascii="Cambria" w:hAnsi="Cambria"/>
          <w:i/>
          <w:iCs/>
          <w:sz w:val="16"/>
          <w:szCs w:val="16"/>
          <w:lang w:val="es-ES"/>
        </w:rPr>
        <w:t>“La Última Tentación de Cristo”</w:t>
      </w:r>
      <w:r w:rsidRPr="0086009F">
        <w:rPr>
          <w:rFonts w:ascii="Cambria" w:hAnsi="Cambria"/>
          <w:i/>
          <w:sz w:val="16"/>
          <w:szCs w:val="16"/>
          <w:lang w:val="es-ES"/>
        </w:rPr>
        <w:t xml:space="preserve"> (Olmedo Bustos y otros) Vs. Chile</w:t>
      </w:r>
      <w:r w:rsidRPr="0086009F">
        <w:rPr>
          <w:rFonts w:ascii="Cambria" w:hAnsi="Cambria"/>
          <w:sz w:val="16"/>
          <w:szCs w:val="16"/>
          <w:lang w:val="es-ES"/>
        </w:rPr>
        <w:t xml:space="preserve">, </w:t>
      </w:r>
      <w:r w:rsidRPr="0086009F">
        <w:rPr>
          <w:rFonts w:ascii="Cambria" w:hAnsi="Cambria"/>
          <w:i/>
          <w:sz w:val="16"/>
          <w:szCs w:val="16"/>
          <w:lang w:val="es-ES"/>
        </w:rPr>
        <w:t xml:space="preserve">supra. </w:t>
      </w:r>
      <w:r w:rsidRPr="0086009F">
        <w:rPr>
          <w:rFonts w:ascii="Cambria" w:hAnsi="Cambria"/>
          <w:sz w:val="16"/>
          <w:szCs w:val="16"/>
          <w:lang w:val="es-ES"/>
        </w:rPr>
        <w:t>Párr. 66</w:t>
      </w:r>
      <w:r w:rsidRPr="0086009F">
        <w:rPr>
          <w:rFonts w:ascii="Cambria" w:hAnsi="Cambria"/>
          <w:sz w:val="16"/>
          <w:szCs w:val="16"/>
          <w:lang w:val="es-PE"/>
        </w:rPr>
        <w:t>.</w:t>
      </w:r>
    </w:p>
  </w:footnote>
  <w:footnote w:id="51">
    <w:p w14:paraId="14F66647" w14:textId="5A52A7F5" w:rsidR="00945C50" w:rsidRPr="0086009F" w:rsidRDefault="00945C50" w:rsidP="00E4013E">
      <w:pPr>
        <w:pStyle w:val="FootnoteText"/>
        <w:tabs>
          <w:tab w:val="left" w:pos="567"/>
        </w:tabs>
        <w:rPr>
          <w:rFonts w:ascii="Cambria" w:hAnsi="Cambria" w:cs="Times New Roman"/>
          <w:color w:val="auto"/>
          <w:spacing w:val="-2"/>
          <w:lang w:val="es-PE"/>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w:t>
      </w:r>
      <w:r w:rsidRPr="0086009F">
        <w:rPr>
          <w:rFonts w:ascii="Cambria" w:hAnsi="Cambria"/>
          <w:color w:val="auto"/>
          <w:spacing w:val="-2"/>
          <w:lang w:val="es-ES"/>
        </w:rPr>
        <w:t xml:space="preserve">Corte IDH. </w:t>
      </w:r>
      <w:r w:rsidRPr="0086009F">
        <w:rPr>
          <w:rFonts w:ascii="Cambria" w:hAnsi="Cambria"/>
          <w:i/>
          <w:iCs/>
          <w:color w:val="auto"/>
          <w:spacing w:val="-2"/>
          <w:lang w:val="es-ES"/>
        </w:rPr>
        <w:t>La Colegiación Obligatoria de Periodistas (Arts. 13 y 29 de la Convención Americana sobre Derechos Humanos), supra</w:t>
      </w:r>
      <w:r w:rsidRPr="0086009F">
        <w:rPr>
          <w:rFonts w:ascii="Cambria" w:hAnsi="Cambria"/>
          <w:i/>
          <w:color w:val="auto"/>
          <w:spacing w:val="-2"/>
          <w:lang w:val="es-ES"/>
        </w:rPr>
        <w:t>.</w:t>
      </w:r>
      <w:r w:rsidRPr="0086009F">
        <w:rPr>
          <w:rFonts w:ascii="Cambria" w:hAnsi="Cambria"/>
          <w:color w:val="auto"/>
          <w:spacing w:val="-2"/>
          <w:lang w:val="es-ES"/>
        </w:rPr>
        <w:t xml:space="preserve"> Párr. 32, y </w:t>
      </w:r>
      <w:r w:rsidRPr="0086009F">
        <w:rPr>
          <w:rFonts w:ascii="Cambria" w:hAnsi="Cambria"/>
          <w:i/>
          <w:color w:val="auto"/>
          <w:spacing w:val="-2"/>
          <w:lang w:val="es-ES"/>
        </w:rPr>
        <w:t>Caso Vélez Restrepo y familiares Vs. Colombia, supra</w:t>
      </w:r>
      <w:r w:rsidRPr="0086009F">
        <w:rPr>
          <w:rFonts w:ascii="Cambria" w:hAnsi="Cambria"/>
          <w:color w:val="auto"/>
          <w:spacing w:val="-2"/>
          <w:lang w:val="es-ES"/>
        </w:rPr>
        <w:t>. Párr. 138.</w:t>
      </w:r>
    </w:p>
  </w:footnote>
  <w:footnote w:id="52">
    <w:p w14:paraId="4BBE7694" w14:textId="61628627" w:rsidR="00945C50" w:rsidRPr="0086009F" w:rsidRDefault="00945C50" w:rsidP="00E4013E">
      <w:pPr>
        <w:pStyle w:val="FootnoteText"/>
        <w:tabs>
          <w:tab w:val="left" w:pos="567"/>
        </w:tabs>
        <w:rPr>
          <w:rFonts w:ascii="Cambria" w:hAnsi="Cambria" w:cs="Verdana"/>
          <w:color w:val="auto"/>
          <w:spacing w:val="-2"/>
          <w:lang w:val="es-ES"/>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w:t>
      </w:r>
      <w:r w:rsidRPr="0086009F">
        <w:rPr>
          <w:rFonts w:ascii="Cambria" w:hAnsi="Cambria"/>
          <w:iCs/>
          <w:color w:val="auto"/>
          <w:spacing w:val="-2"/>
          <w:lang w:val="es-ES"/>
        </w:rPr>
        <w:t xml:space="preserve">Corte IDH. </w:t>
      </w:r>
      <w:r w:rsidRPr="0086009F">
        <w:rPr>
          <w:rFonts w:ascii="Cambria" w:hAnsi="Cambria"/>
          <w:i/>
          <w:iCs/>
          <w:color w:val="auto"/>
          <w:spacing w:val="-2"/>
          <w:lang w:val="es-ES"/>
        </w:rPr>
        <w:t>La Colegiación Obligatoria de Periodistas (Arts. 13 y 29 de la Convención Americana sobre Derechos Humanos), supra</w:t>
      </w:r>
      <w:r w:rsidRPr="0086009F">
        <w:rPr>
          <w:rFonts w:ascii="Cambria" w:hAnsi="Cambria"/>
          <w:i/>
          <w:color w:val="auto"/>
          <w:spacing w:val="-2"/>
          <w:lang w:val="es-ES"/>
        </w:rPr>
        <w:t>.</w:t>
      </w:r>
      <w:r w:rsidRPr="0086009F">
        <w:rPr>
          <w:rFonts w:ascii="Cambria" w:hAnsi="Cambria"/>
          <w:color w:val="auto"/>
          <w:spacing w:val="-2"/>
          <w:lang w:val="es-ES"/>
        </w:rPr>
        <w:t xml:space="preserve"> Párr. 30, y </w:t>
      </w:r>
      <w:r w:rsidRPr="0086009F">
        <w:rPr>
          <w:rFonts w:ascii="Cambria" w:hAnsi="Cambria"/>
          <w:i/>
          <w:color w:val="auto"/>
          <w:spacing w:val="-2"/>
          <w:lang w:val="es-ES"/>
        </w:rPr>
        <w:t>Caso Vélez Restrepo y familiares Vs. Colombia, supra.</w:t>
      </w:r>
      <w:r w:rsidRPr="0086009F">
        <w:rPr>
          <w:rFonts w:ascii="Cambria" w:hAnsi="Cambria"/>
          <w:color w:val="auto"/>
          <w:spacing w:val="-2"/>
          <w:lang w:val="es-ES"/>
        </w:rPr>
        <w:t xml:space="preserve"> Párr. 138.</w:t>
      </w:r>
    </w:p>
  </w:footnote>
  <w:footnote w:id="53">
    <w:p w14:paraId="68C80612" w14:textId="20D5514C"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CIDH. Alegatos ante la Corte Interamericana en el caso Ivcher Bronstein Vs. Perú. Transcritos en: Corte IDH, </w:t>
      </w:r>
      <w:r w:rsidRPr="0086009F">
        <w:rPr>
          <w:rFonts w:ascii="Cambria" w:hAnsi="Cambria"/>
          <w:i/>
          <w:sz w:val="16"/>
          <w:szCs w:val="16"/>
          <w:lang w:val="es-PE"/>
        </w:rPr>
        <w:t>Caso Ivcher Bronstein Vs. Perú.</w:t>
      </w:r>
      <w:r w:rsidRPr="0086009F">
        <w:rPr>
          <w:rFonts w:ascii="Cambria" w:hAnsi="Cambria"/>
          <w:sz w:val="16"/>
          <w:szCs w:val="16"/>
          <w:lang w:val="es-PE"/>
        </w:rPr>
        <w:t xml:space="preserve"> Sentencia de 6 de febrero de 2001. Serie C No. 74. Párr. 143. d); Alegatos ante la Corte Interamericana en el caso "La Última Tentación de Cristo" (Olmedo Bustos y otros) Vs. Chile. Transcritos en: Corte IDH, </w:t>
      </w:r>
      <w:r w:rsidRPr="0086009F">
        <w:rPr>
          <w:rFonts w:ascii="Cambria" w:hAnsi="Cambria"/>
          <w:i/>
          <w:sz w:val="16"/>
          <w:szCs w:val="16"/>
          <w:lang w:val="es-PE"/>
        </w:rPr>
        <w:t>Caso "La Última Tentación de Cristo" (Olmedo Bustos y otros) Vs. Chile, supra.</w:t>
      </w:r>
      <w:r w:rsidRPr="0086009F">
        <w:rPr>
          <w:rFonts w:ascii="Cambria" w:hAnsi="Cambria"/>
          <w:sz w:val="16"/>
          <w:szCs w:val="16"/>
          <w:lang w:val="es-PE"/>
        </w:rPr>
        <w:t>. Párr. 61. b).</w:t>
      </w:r>
    </w:p>
  </w:footnote>
  <w:footnote w:id="54">
    <w:p w14:paraId="5C9DDFEA" w14:textId="29B2068E"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Corte IDH. </w:t>
      </w:r>
      <w:r w:rsidRPr="0086009F">
        <w:rPr>
          <w:rFonts w:ascii="Cambria" w:hAnsi="Cambria"/>
          <w:i/>
          <w:iCs/>
          <w:sz w:val="16"/>
          <w:szCs w:val="16"/>
          <w:lang w:val="es-PE"/>
        </w:rPr>
        <w:t xml:space="preserve">Caso “La Última Tentación de Cristo” (Olmedo Bustos y otros), supra. </w:t>
      </w:r>
      <w:r w:rsidRPr="0086009F">
        <w:rPr>
          <w:rFonts w:ascii="Cambria" w:hAnsi="Cambria"/>
          <w:sz w:val="16"/>
          <w:szCs w:val="16"/>
          <w:lang w:val="es-PE"/>
        </w:rPr>
        <w:t xml:space="preserve">Párr. 69; </w:t>
      </w:r>
      <w:r w:rsidRPr="0086009F">
        <w:rPr>
          <w:rFonts w:ascii="Cambria" w:hAnsi="Cambria"/>
          <w:i/>
          <w:sz w:val="16"/>
          <w:szCs w:val="16"/>
          <w:lang w:val="es-PE"/>
        </w:rPr>
        <w:t xml:space="preserve">Caso Ivcher Bronstein Vs. Perú, supra. </w:t>
      </w:r>
      <w:r w:rsidRPr="0086009F">
        <w:rPr>
          <w:rFonts w:ascii="Cambria" w:hAnsi="Cambria"/>
          <w:sz w:val="16"/>
          <w:szCs w:val="16"/>
          <w:lang w:val="es-PE"/>
        </w:rPr>
        <w:t>Párr. 152</w:t>
      </w:r>
      <w:r w:rsidRPr="0086009F">
        <w:rPr>
          <w:rFonts w:ascii="Cambria" w:hAnsi="Cambria"/>
          <w:i/>
          <w:sz w:val="16"/>
          <w:szCs w:val="16"/>
          <w:lang w:val="es-PE"/>
        </w:rPr>
        <w:t xml:space="preserve">; Caso Herrera Ulloa Vs. Costa Rica, supra. </w:t>
      </w:r>
      <w:r w:rsidRPr="0086009F">
        <w:rPr>
          <w:rFonts w:ascii="Cambria" w:hAnsi="Cambria"/>
          <w:sz w:val="16"/>
          <w:szCs w:val="16"/>
          <w:lang w:val="es-PE"/>
        </w:rPr>
        <w:t xml:space="preserve">Párr. 113, y </w:t>
      </w:r>
      <w:r w:rsidRPr="0086009F">
        <w:rPr>
          <w:rFonts w:ascii="Cambria" w:hAnsi="Cambria"/>
          <w:i/>
          <w:iCs/>
          <w:sz w:val="16"/>
          <w:szCs w:val="16"/>
          <w:lang w:val="es-PE"/>
        </w:rPr>
        <w:t>Caso Ricardo Canese Vs. Paraguay</w:t>
      </w:r>
      <w:r w:rsidRPr="0086009F">
        <w:rPr>
          <w:rFonts w:ascii="Cambria" w:hAnsi="Cambria"/>
          <w:sz w:val="16"/>
          <w:szCs w:val="16"/>
          <w:lang w:val="es-PE"/>
        </w:rPr>
        <w:t xml:space="preserve">, </w:t>
      </w:r>
      <w:r w:rsidRPr="0086009F">
        <w:rPr>
          <w:rFonts w:ascii="Cambria" w:hAnsi="Cambria"/>
          <w:i/>
          <w:sz w:val="16"/>
          <w:szCs w:val="16"/>
          <w:lang w:val="es-PE"/>
        </w:rPr>
        <w:t>supra</w:t>
      </w:r>
      <w:r w:rsidRPr="0086009F">
        <w:rPr>
          <w:rFonts w:ascii="Cambria" w:hAnsi="Cambria"/>
          <w:sz w:val="16"/>
          <w:szCs w:val="16"/>
          <w:lang w:val="es-PE"/>
        </w:rPr>
        <w:t>. Párr.</w:t>
      </w:r>
      <w:r w:rsidRPr="0086009F">
        <w:rPr>
          <w:rFonts w:ascii="Cambria" w:hAnsi="Cambria"/>
          <w:iCs/>
          <w:sz w:val="16"/>
          <w:szCs w:val="16"/>
          <w:lang w:val="es-PE"/>
        </w:rPr>
        <w:t xml:space="preserve"> 83. </w:t>
      </w:r>
      <w:r w:rsidRPr="0086009F">
        <w:rPr>
          <w:rFonts w:ascii="Cambria" w:hAnsi="Cambria"/>
          <w:sz w:val="16"/>
          <w:szCs w:val="16"/>
          <w:lang w:val="es-PE"/>
        </w:rPr>
        <w:t xml:space="preserve">Véase también, TEDH, </w:t>
      </w:r>
      <w:r w:rsidRPr="0086009F">
        <w:rPr>
          <w:rFonts w:ascii="Cambria" w:hAnsi="Cambria"/>
          <w:i/>
          <w:sz w:val="16"/>
          <w:szCs w:val="16"/>
          <w:lang w:val="es-PE"/>
        </w:rPr>
        <w:t xml:space="preserve">Caso </w:t>
      </w:r>
      <w:r w:rsidRPr="0086009F">
        <w:rPr>
          <w:rFonts w:ascii="Cambria" w:hAnsi="Cambria"/>
          <w:i/>
          <w:iCs/>
          <w:sz w:val="16"/>
          <w:szCs w:val="16"/>
          <w:lang w:val="es-PE"/>
        </w:rPr>
        <w:t>Scharsach</w:t>
      </w:r>
      <w:r w:rsidRPr="0086009F">
        <w:rPr>
          <w:rFonts w:ascii="Cambria" w:hAnsi="Cambria"/>
          <w:i/>
          <w:sz w:val="16"/>
          <w:szCs w:val="16"/>
          <w:lang w:val="es-PE"/>
        </w:rPr>
        <w:t xml:space="preserve"> </w:t>
      </w:r>
      <w:r w:rsidRPr="0086009F">
        <w:rPr>
          <w:rFonts w:ascii="Cambria" w:hAnsi="Cambria"/>
          <w:i/>
          <w:iCs/>
          <w:sz w:val="16"/>
          <w:szCs w:val="16"/>
          <w:lang w:val="es-PE"/>
        </w:rPr>
        <w:t>y News Verlagsgesellschaft Vs. Austria</w:t>
      </w:r>
      <w:r w:rsidRPr="0086009F">
        <w:rPr>
          <w:rFonts w:ascii="Cambria" w:hAnsi="Cambria"/>
          <w:sz w:val="16"/>
          <w:szCs w:val="16"/>
          <w:lang w:val="es-PE"/>
        </w:rPr>
        <w:t xml:space="preserve">. No. 39394/98. Sentencia de 13 de noviembre de 2003. Párr. 29; </w:t>
      </w:r>
      <w:r w:rsidRPr="0086009F">
        <w:rPr>
          <w:rFonts w:ascii="Cambria" w:hAnsi="Cambria"/>
          <w:i/>
          <w:sz w:val="16"/>
          <w:szCs w:val="16"/>
          <w:lang w:val="es-PE"/>
        </w:rPr>
        <w:t xml:space="preserve">Caso </w:t>
      </w:r>
      <w:r w:rsidRPr="0086009F">
        <w:rPr>
          <w:rFonts w:ascii="Cambria" w:hAnsi="Cambria"/>
          <w:i/>
          <w:iCs/>
          <w:sz w:val="16"/>
          <w:szCs w:val="16"/>
          <w:lang w:val="es-PE"/>
        </w:rPr>
        <w:t>Perna Vs. Italia</w:t>
      </w:r>
      <w:r w:rsidRPr="0086009F">
        <w:rPr>
          <w:rFonts w:ascii="Cambria" w:hAnsi="Cambria"/>
          <w:iCs/>
          <w:sz w:val="16"/>
          <w:szCs w:val="16"/>
          <w:lang w:val="es-PE"/>
        </w:rPr>
        <w:t xml:space="preserve"> [GS]</w:t>
      </w:r>
      <w:r w:rsidRPr="0086009F">
        <w:rPr>
          <w:rFonts w:ascii="Cambria" w:hAnsi="Cambria"/>
          <w:sz w:val="16"/>
          <w:szCs w:val="16"/>
          <w:lang w:val="es-PE"/>
        </w:rPr>
        <w:t xml:space="preserve">. No. 48898/98. Sentencia de 6 de mayo de 2003. Párr. 39; </w:t>
      </w:r>
      <w:r w:rsidRPr="0086009F">
        <w:rPr>
          <w:rFonts w:ascii="Cambria" w:hAnsi="Cambria"/>
          <w:iCs/>
          <w:sz w:val="16"/>
          <w:szCs w:val="16"/>
          <w:lang w:val="es-PE"/>
        </w:rPr>
        <w:t>Dichand y otros Vs. Austria</w:t>
      </w:r>
      <w:r w:rsidRPr="0086009F">
        <w:rPr>
          <w:rFonts w:ascii="Cambria" w:hAnsi="Cambria"/>
          <w:sz w:val="16"/>
          <w:szCs w:val="16"/>
          <w:lang w:val="es-PE"/>
        </w:rPr>
        <w:t xml:space="preserve">. No. 29271/95. Sentencia de 26 de febrero de 2002.Párr. 37; </w:t>
      </w:r>
      <w:r w:rsidRPr="0086009F">
        <w:rPr>
          <w:rFonts w:ascii="Cambria" w:hAnsi="Cambria"/>
          <w:i/>
          <w:iCs/>
          <w:sz w:val="16"/>
          <w:szCs w:val="16"/>
          <w:lang w:val="es-PE"/>
        </w:rPr>
        <w:t>Caso Lehideux e Isorni Vs. Francia</w:t>
      </w:r>
      <w:r w:rsidRPr="0086009F">
        <w:rPr>
          <w:rFonts w:ascii="Cambria" w:hAnsi="Cambria"/>
          <w:sz w:val="16"/>
          <w:szCs w:val="16"/>
          <w:lang w:val="es-PE"/>
        </w:rPr>
        <w:t xml:space="preserve">. Sentencia de 23 de septiembre de1998. Párr. 55; </w:t>
      </w:r>
      <w:r w:rsidRPr="0086009F">
        <w:rPr>
          <w:rFonts w:ascii="Cambria" w:hAnsi="Cambria"/>
          <w:i/>
          <w:iCs/>
          <w:sz w:val="16"/>
          <w:szCs w:val="16"/>
          <w:lang w:val="es-PE"/>
        </w:rPr>
        <w:t xml:space="preserve">Caso Otto-Preminger-Institut Vs. </w:t>
      </w:r>
      <w:r w:rsidRPr="0086009F">
        <w:rPr>
          <w:rFonts w:ascii="Cambria" w:hAnsi="Cambria"/>
          <w:i/>
          <w:iCs/>
          <w:sz w:val="16"/>
          <w:szCs w:val="16"/>
        </w:rPr>
        <w:t>Austria</w:t>
      </w:r>
      <w:r w:rsidRPr="0086009F">
        <w:rPr>
          <w:rFonts w:ascii="Cambria" w:hAnsi="Cambria"/>
          <w:sz w:val="16"/>
          <w:szCs w:val="16"/>
        </w:rPr>
        <w:t xml:space="preserve">. </w:t>
      </w:r>
      <w:r w:rsidRPr="0086009F">
        <w:rPr>
          <w:rFonts w:ascii="Cambria" w:hAnsi="Cambria"/>
          <w:sz w:val="16"/>
          <w:szCs w:val="16"/>
          <w:lang w:val="es-PE"/>
        </w:rPr>
        <w:t xml:space="preserve">No. 13470/87. Sentencia de 20 de septiembre de 1994. Párr. 49; </w:t>
      </w:r>
      <w:r w:rsidRPr="0086009F">
        <w:rPr>
          <w:rFonts w:ascii="Cambria" w:hAnsi="Cambria"/>
          <w:i/>
          <w:sz w:val="16"/>
          <w:szCs w:val="16"/>
          <w:lang w:val="es-PE"/>
        </w:rPr>
        <w:t>Castells v. España.</w:t>
      </w:r>
      <w:r w:rsidRPr="0086009F">
        <w:rPr>
          <w:rFonts w:ascii="Cambria" w:hAnsi="Cambria"/>
          <w:sz w:val="16"/>
          <w:szCs w:val="16"/>
          <w:lang w:val="es-PE"/>
        </w:rPr>
        <w:t xml:space="preserve"> </w:t>
      </w:r>
      <w:r w:rsidRPr="0086009F">
        <w:rPr>
          <w:rFonts w:ascii="Cambria" w:hAnsi="Cambria"/>
          <w:sz w:val="16"/>
          <w:szCs w:val="16"/>
        </w:rPr>
        <w:t xml:space="preserve">No. 11798/85. Sentencia de 23 de abril de 1992. Párr. 42; </w:t>
      </w:r>
      <w:r w:rsidRPr="0086009F">
        <w:rPr>
          <w:rFonts w:ascii="Cambria" w:hAnsi="Cambria"/>
          <w:i/>
          <w:iCs/>
          <w:sz w:val="16"/>
          <w:szCs w:val="16"/>
        </w:rPr>
        <w:t>Caso Oberschlick Vs. Austria.</w:t>
      </w:r>
      <w:r w:rsidRPr="0086009F">
        <w:rPr>
          <w:rFonts w:ascii="Cambria" w:hAnsi="Cambria"/>
          <w:iCs/>
          <w:sz w:val="16"/>
          <w:szCs w:val="16"/>
        </w:rPr>
        <w:t xml:space="preserve"> </w:t>
      </w:r>
      <w:r w:rsidRPr="0086009F">
        <w:rPr>
          <w:rFonts w:ascii="Cambria" w:hAnsi="Cambria"/>
          <w:iCs/>
          <w:sz w:val="16"/>
          <w:szCs w:val="16"/>
          <w:lang w:val="es-PE"/>
        </w:rPr>
        <w:t>No. 11662/85. Sentencia de 23 de mayo de 1991.</w:t>
      </w:r>
      <w:r w:rsidRPr="0086009F">
        <w:rPr>
          <w:rFonts w:ascii="Cambria" w:hAnsi="Cambria"/>
          <w:sz w:val="16"/>
          <w:szCs w:val="16"/>
          <w:lang w:val="es-PE"/>
        </w:rPr>
        <w:t xml:space="preserve">Párr. 57; </w:t>
      </w:r>
      <w:r w:rsidRPr="0086009F">
        <w:rPr>
          <w:rFonts w:ascii="Cambria" w:hAnsi="Cambria"/>
          <w:iCs/>
          <w:sz w:val="16"/>
          <w:szCs w:val="16"/>
          <w:lang w:val="es-PE"/>
        </w:rPr>
        <w:t>Caso Müller y otros Vs. Suiza. No. 10737/84. Sentencia de.</w:t>
      </w:r>
      <w:r w:rsidRPr="0086009F">
        <w:rPr>
          <w:rFonts w:ascii="Cambria" w:hAnsi="Cambria"/>
          <w:sz w:val="16"/>
          <w:szCs w:val="16"/>
          <w:lang w:val="es-PE"/>
        </w:rPr>
        <w:t xml:space="preserve">24 de mayo de 1988.. Párr. 33; </w:t>
      </w:r>
      <w:r w:rsidRPr="0086009F">
        <w:rPr>
          <w:rFonts w:ascii="Cambria" w:hAnsi="Cambria"/>
          <w:i/>
          <w:iCs/>
          <w:sz w:val="16"/>
          <w:szCs w:val="16"/>
          <w:lang w:val="es-PE"/>
        </w:rPr>
        <w:t>Caso Lingens Vs. Austria</w:t>
      </w:r>
      <w:r w:rsidRPr="0086009F">
        <w:rPr>
          <w:rFonts w:ascii="Cambria" w:hAnsi="Cambria"/>
          <w:i/>
          <w:sz w:val="16"/>
          <w:szCs w:val="16"/>
          <w:lang w:val="es-PE"/>
        </w:rPr>
        <w:t>.</w:t>
      </w:r>
      <w:r w:rsidRPr="0086009F">
        <w:rPr>
          <w:rFonts w:ascii="Cambria" w:hAnsi="Cambria"/>
          <w:sz w:val="16"/>
          <w:szCs w:val="16"/>
          <w:lang w:val="es-PE"/>
        </w:rPr>
        <w:t xml:space="preserve"> No. 9815/82. Sentencia de 8 de julio de 1986. Párr. 41; </w:t>
      </w:r>
      <w:r w:rsidRPr="0086009F">
        <w:rPr>
          <w:rFonts w:ascii="Cambria" w:hAnsi="Cambria"/>
          <w:iCs/>
          <w:sz w:val="16"/>
          <w:szCs w:val="16"/>
          <w:lang w:val="es-PE"/>
        </w:rPr>
        <w:t xml:space="preserve">Caso Barthold Vs. </w:t>
      </w:r>
      <w:r w:rsidRPr="0086009F">
        <w:rPr>
          <w:rFonts w:ascii="Cambria" w:hAnsi="Cambria"/>
          <w:iCs/>
          <w:sz w:val="16"/>
          <w:szCs w:val="16"/>
        </w:rPr>
        <w:t xml:space="preserve">Alemania. </w:t>
      </w:r>
      <w:r w:rsidRPr="0086009F">
        <w:rPr>
          <w:rFonts w:ascii="Cambria" w:hAnsi="Cambria"/>
          <w:iCs/>
          <w:sz w:val="16"/>
          <w:szCs w:val="16"/>
          <w:lang w:val="es-PE"/>
        </w:rPr>
        <w:t>No. 8734/79. Sentencia de 25 de marzo de</w:t>
      </w:r>
      <w:r w:rsidRPr="0086009F">
        <w:rPr>
          <w:rFonts w:ascii="Cambria" w:hAnsi="Cambria"/>
          <w:sz w:val="16"/>
          <w:szCs w:val="16"/>
          <w:lang w:val="es-PE"/>
        </w:rPr>
        <w:t xml:space="preserve"> 1985. Párr. 58; </w:t>
      </w:r>
      <w:r w:rsidRPr="0086009F">
        <w:rPr>
          <w:rFonts w:ascii="Cambria" w:hAnsi="Cambria"/>
          <w:iCs/>
          <w:sz w:val="16"/>
          <w:szCs w:val="16"/>
          <w:lang w:val="es-PE"/>
        </w:rPr>
        <w:t xml:space="preserve">Caso The Sunday Times Vs. </w:t>
      </w:r>
      <w:r w:rsidRPr="0086009F">
        <w:rPr>
          <w:rFonts w:ascii="Cambria" w:hAnsi="Cambria"/>
          <w:iCs/>
          <w:sz w:val="16"/>
          <w:szCs w:val="16"/>
        </w:rPr>
        <w:t xml:space="preserve">Reino Unido. </w:t>
      </w:r>
      <w:r w:rsidRPr="0086009F">
        <w:rPr>
          <w:rFonts w:ascii="Cambria" w:hAnsi="Cambria"/>
          <w:iCs/>
          <w:sz w:val="16"/>
          <w:szCs w:val="16"/>
          <w:lang w:val="es-PE"/>
        </w:rPr>
        <w:t xml:space="preserve">No. 6538/74. Sentencia de 26 de abril de </w:t>
      </w:r>
      <w:r w:rsidRPr="0086009F">
        <w:rPr>
          <w:rFonts w:ascii="Cambria" w:hAnsi="Cambria"/>
          <w:sz w:val="16"/>
          <w:szCs w:val="16"/>
          <w:lang w:val="es-PE"/>
        </w:rPr>
        <w:t xml:space="preserve">1979. Párr. 65, y </w:t>
      </w:r>
      <w:r w:rsidRPr="0086009F">
        <w:rPr>
          <w:rFonts w:ascii="Cambria" w:hAnsi="Cambria"/>
          <w:iCs/>
          <w:sz w:val="16"/>
          <w:szCs w:val="16"/>
          <w:lang w:val="es-PE"/>
        </w:rPr>
        <w:t>Caso Handyside Vs. Reino Unido.</w:t>
      </w:r>
      <w:r w:rsidRPr="0086009F">
        <w:rPr>
          <w:rFonts w:ascii="Cambria" w:hAnsi="Cambria"/>
          <w:sz w:val="16"/>
          <w:szCs w:val="16"/>
          <w:lang w:val="es-PE"/>
        </w:rPr>
        <w:t>Sentencia de 7 de diciembre de 1976.. Párr. 49.</w:t>
      </w:r>
    </w:p>
  </w:footnote>
  <w:footnote w:id="55">
    <w:p w14:paraId="2FA40C1F" w14:textId="1131E3BC"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ONU. Comité de Derechos Humanos. </w:t>
      </w:r>
      <w:r w:rsidRPr="0086009F">
        <w:rPr>
          <w:rFonts w:ascii="Cambria" w:hAnsi="Cambria"/>
          <w:i/>
          <w:iCs/>
          <w:sz w:val="16"/>
          <w:szCs w:val="16"/>
          <w:lang w:val="es-PE"/>
        </w:rPr>
        <w:t>Aduayom y otros c. Togo</w:t>
      </w:r>
      <w:r w:rsidRPr="0086009F">
        <w:rPr>
          <w:rFonts w:ascii="Cambria" w:hAnsi="Cambria"/>
          <w:sz w:val="16"/>
          <w:szCs w:val="16"/>
          <w:lang w:val="es-PE"/>
        </w:rPr>
        <w:t xml:space="preserve">. Comunicaciones Nos. 422/1990, 423/1990 y 424/1990. Dictamen de 12 de julio de 1996. Párr. </w:t>
      </w:r>
      <w:r w:rsidRPr="0086009F">
        <w:rPr>
          <w:rFonts w:ascii="Cambria" w:hAnsi="Cambria"/>
          <w:sz w:val="16"/>
          <w:szCs w:val="16"/>
          <w:lang w:val="es-ES"/>
        </w:rPr>
        <w:t xml:space="preserve">7.4, y Comité de Derechos Humanos. Observación General Nº 34: Artículo 19 Libertad de opinión y libertad de expresión. </w:t>
      </w:r>
      <w:r w:rsidRPr="0086009F">
        <w:rPr>
          <w:rFonts w:ascii="Cambria" w:hAnsi="Cambria"/>
          <w:sz w:val="16"/>
          <w:szCs w:val="16"/>
          <w:lang w:val="es-PE"/>
        </w:rPr>
        <w:t>12 de septiembre de 2011.</w:t>
      </w:r>
    </w:p>
  </w:footnote>
  <w:footnote w:id="56">
    <w:p w14:paraId="4371BB42" w14:textId="663FE128"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rPr>
        <w:footnoteRef/>
      </w:r>
      <w:r w:rsidRPr="0086009F">
        <w:rPr>
          <w:rFonts w:ascii="Cambria" w:hAnsi="Cambria"/>
          <w:sz w:val="16"/>
          <w:szCs w:val="16"/>
          <w:lang w:val="es-PE"/>
        </w:rPr>
        <w:t xml:space="preserve"> Comisión Africana de Derechos Humanos y de los Pueblos. </w:t>
      </w:r>
      <w:r w:rsidRPr="0086009F">
        <w:rPr>
          <w:rFonts w:ascii="Cambria" w:hAnsi="Cambria"/>
          <w:sz w:val="16"/>
          <w:szCs w:val="16"/>
        </w:rPr>
        <w:t xml:space="preserve">Media Rights Agenda y Constitutional Rights Project Vs. </w:t>
      </w:r>
      <w:r w:rsidRPr="0086009F">
        <w:rPr>
          <w:rFonts w:ascii="Cambria" w:hAnsi="Cambria"/>
          <w:sz w:val="16"/>
          <w:szCs w:val="16"/>
          <w:lang w:val="es-PE"/>
        </w:rPr>
        <w:t xml:space="preserve">Nigeria, Comunicaciones Nos. 105/93, 128/94, 130/94 y 152/96. Decision de 31 de Octubre de 1998. Párr. 54; Declaración de Principios sobre Libertad de Expresión en África, adoptada por la Comisión Africana de Derechos Humanos y de los Pueblos en su 32 sesión, celebrada del 17-23 de octubre de 2002, y Corte Africana de Derechos Humanos y de los Pueblos. </w:t>
      </w:r>
      <w:r w:rsidRPr="0086009F">
        <w:rPr>
          <w:rFonts w:ascii="Cambria" w:hAnsi="Cambria"/>
          <w:i/>
          <w:sz w:val="16"/>
          <w:szCs w:val="16"/>
          <w:lang w:val="es-PE"/>
        </w:rPr>
        <w:t>Lohé Issa Konaté Vs.. Burkina Faso.</w:t>
      </w:r>
      <w:r w:rsidRPr="0086009F">
        <w:rPr>
          <w:rFonts w:ascii="Cambria" w:hAnsi="Cambria"/>
          <w:sz w:val="16"/>
          <w:szCs w:val="16"/>
          <w:lang w:val="es-PE"/>
        </w:rPr>
        <w:t xml:space="preserve"> Aplicación No. 004/2013. Sentencia de 5 de Diciembre de 2014. Párr. 164.</w:t>
      </w:r>
    </w:p>
  </w:footnote>
  <w:footnote w:id="57">
    <w:p w14:paraId="7D299D14" w14:textId="2CEBBE8F"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ES"/>
        </w:rPr>
        <w:t xml:space="preserve"> Artículo 4, Carta Democrá</w:t>
      </w:r>
      <w:r w:rsidRPr="0086009F">
        <w:rPr>
          <w:rFonts w:ascii="Cambria" w:hAnsi="Cambria"/>
          <w:sz w:val="16"/>
          <w:szCs w:val="16"/>
          <w:lang w:val="es-PE"/>
        </w:rPr>
        <w:t xml:space="preserve">tica Interamericana, aprobada 11 de septiembre de 2001. </w:t>
      </w:r>
    </w:p>
  </w:footnote>
  <w:footnote w:id="58">
    <w:p w14:paraId="3689107E" w14:textId="4C61F1CD" w:rsidR="00945C50" w:rsidRPr="0086009F" w:rsidRDefault="00945C50" w:rsidP="00E4013E">
      <w:pPr>
        <w:pStyle w:val="FootnoteText"/>
        <w:tabs>
          <w:tab w:val="left" w:pos="567"/>
        </w:tabs>
        <w:rPr>
          <w:rFonts w:ascii="Cambria" w:hAnsi="Cambria" w:cs="Times New Roman"/>
          <w:color w:val="auto"/>
          <w:spacing w:val="-2"/>
          <w:lang w:val="es-ES_tradnl"/>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Corte IDH. </w:t>
      </w:r>
      <w:r w:rsidRPr="0086009F">
        <w:rPr>
          <w:rFonts w:ascii="Cambria" w:hAnsi="Cambria"/>
          <w:i/>
          <w:iCs/>
          <w:color w:val="auto"/>
          <w:spacing w:val="-2"/>
          <w:lang w:val="es-ES"/>
        </w:rPr>
        <w:t>La Colegiación Obligatoria de Periodistas (Arts. 13 y 29 de la Convención Americana sobre Derechos Humanos), supra</w:t>
      </w:r>
      <w:r w:rsidRPr="0086009F">
        <w:rPr>
          <w:rFonts w:ascii="Cambria" w:hAnsi="Cambria"/>
          <w:i/>
          <w:color w:val="auto"/>
          <w:spacing w:val="-2"/>
          <w:lang w:val="es-ES"/>
        </w:rPr>
        <w:t>.</w:t>
      </w:r>
      <w:r w:rsidRPr="0086009F">
        <w:rPr>
          <w:rFonts w:ascii="Cambria" w:hAnsi="Cambria"/>
          <w:color w:val="auto"/>
          <w:spacing w:val="-2"/>
          <w:lang w:val="es-ES"/>
        </w:rPr>
        <w:t xml:space="preserve"> Párr. 36</w:t>
      </w:r>
      <w:r w:rsidRPr="0086009F">
        <w:rPr>
          <w:rFonts w:ascii="Cambria" w:hAnsi="Cambria"/>
          <w:color w:val="auto"/>
          <w:spacing w:val="-2"/>
          <w:lang w:val="es-PE"/>
        </w:rPr>
        <w:t xml:space="preserve">, y </w:t>
      </w:r>
      <w:r w:rsidRPr="0086009F">
        <w:rPr>
          <w:rFonts w:ascii="Cambria" w:hAnsi="Cambria"/>
          <w:i/>
          <w:color w:val="auto"/>
          <w:spacing w:val="-2"/>
          <w:lang w:val="es-PE"/>
        </w:rPr>
        <w:t>Caso Fontevecchia y D’Amico Vs. Argentina</w:t>
      </w:r>
      <w:r w:rsidRPr="0086009F">
        <w:rPr>
          <w:rFonts w:ascii="Cambria" w:hAnsi="Cambria"/>
          <w:color w:val="auto"/>
          <w:spacing w:val="-2"/>
          <w:lang w:val="es-PE"/>
        </w:rPr>
        <w:t>. Fondo, Reparaciones y Costas. Sentencia de 29 de noviembre de 2011. Serie C No. 238</w:t>
      </w:r>
      <w:r w:rsidRPr="0086009F">
        <w:rPr>
          <w:rFonts w:ascii="Cambria" w:hAnsi="Cambria"/>
          <w:color w:val="auto"/>
          <w:lang w:val="es-PE"/>
        </w:rPr>
        <w:t>. Párr. 43.</w:t>
      </w:r>
    </w:p>
  </w:footnote>
  <w:footnote w:id="59">
    <w:p w14:paraId="434A773B" w14:textId="0AE75528" w:rsidR="00945C50" w:rsidRPr="0086009F" w:rsidRDefault="00945C50" w:rsidP="00E4013E">
      <w:pPr>
        <w:pStyle w:val="FootnoteText"/>
        <w:tabs>
          <w:tab w:val="left" w:pos="567"/>
        </w:tabs>
        <w:rPr>
          <w:rFonts w:ascii="Cambria" w:hAnsi="Cambria" w:cs="Times New Roman"/>
          <w:color w:val="auto"/>
          <w:spacing w:val="-2"/>
          <w:lang w:val="es-PE"/>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Corte IDH. </w:t>
      </w:r>
      <w:r w:rsidRPr="0086009F">
        <w:rPr>
          <w:rFonts w:ascii="Cambria" w:hAnsi="Cambria"/>
          <w:i/>
          <w:iCs/>
          <w:color w:val="auto"/>
          <w:spacing w:val="-2"/>
          <w:lang w:val="es-PE"/>
        </w:rPr>
        <w:t>Caso Kimel Vs. Argentina, supra</w:t>
      </w:r>
      <w:r w:rsidRPr="0086009F">
        <w:rPr>
          <w:rFonts w:ascii="Cambria" w:hAnsi="Cambria"/>
          <w:i/>
          <w:color w:val="auto"/>
          <w:spacing w:val="-2"/>
          <w:lang w:val="es-PE"/>
        </w:rPr>
        <w:t>.</w:t>
      </w:r>
      <w:r w:rsidRPr="0086009F">
        <w:rPr>
          <w:rFonts w:ascii="Cambria" w:hAnsi="Cambria"/>
          <w:color w:val="auto"/>
          <w:spacing w:val="-2"/>
          <w:lang w:val="es-PE"/>
        </w:rPr>
        <w:t xml:space="preserve"> Párr. 56, y </w:t>
      </w:r>
      <w:r w:rsidRPr="0086009F">
        <w:rPr>
          <w:rFonts w:ascii="Cambria" w:hAnsi="Cambria"/>
          <w:i/>
          <w:iCs/>
          <w:color w:val="auto"/>
          <w:spacing w:val="-2"/>
          <w:lang w:val="es-PE"/>
        </w:rPr>
        <w:t>Caso Usón Ramírez Vs. Venezuela</w:t>
      </w:r>
      <w:r w:rsidRPr="0086009F">
        <w:rPr>
          <w:rFonts w:ascii="Cambria" w:hAnsi="Cambria"/>
          <w:i/>
          <w:color w:val="auto"/>
          <w:spacing w:val="-2"/>
          <w:lang w:val="es-PE"/>
        </w:rPr>
        <w:t>.</w:t>
      </w:r>
      <w:r w:rsidRPr="0086009F">
        <w:rPr>
          <w:rFonts w:ascii="Cambria" w:hAnsi="Cambria"/>
          <w:color w:val="auto"/>
          <w:spacing w:val="-2"/>
          <w:lang w:val="es-PE"/>
        </w:rPr>
        <w:t xml:space="preserve"> Excepción Preliminar, Fondo, Reparaciones y Costas. Sentencia de 20 de noviembre de 2009. Serie C No. 207. Párr. 48.</w:t>
      </w:r>
    </w:p>
  </w:footnote>
  <w:footnote w:id="60">
    <w:p w14:paraId="407BFAC2" w14:textId="30D8EBC4"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rPr>
        <w:footnoteRef/>
      </w:r>
      <w:r w:rsidRPr="0086009F">
        <w:rPr>
          <w:rFonts w:ascii="Cambria" w:hAnsi="Cambria"/>
          <w:sz w:val="16"/>
          <w:szCs w:val="16"/>
          <w:lang w:val="es-PE"/>
        </w:rPr>
        <w:t xml:space="preserve"> Corte IDH. </w:t>
      </w:r>
      <w:r w:rsidRPr="0086009F">
        <w:rPr>
          <w:rFonts w:ascii="Cambria" w:hAnsi="Cambria"/>
          <w:i/>
          <w:iCs/>
          <w:sz w:val="16"/>
          <w:szCs w:val="16"/>
          <w:lang w:val="es-PE"/>
        </w:rPr>
        <w:t>Caso Herrera Ulloa Vs. Costa Rica</w:t>
      </w:r>
      <w:r w:rsidRPr="0086009F">
        <w:rPr>
          <w:rFonts w:ascii="Cambria" w:hAnsi="Cambria"/>
          <w:sz w:val="16"/>
          <w:szCs w:val="16"/>
          <w:lang w:val="es-PE"/>
        </w:rPr>
        <w:t xml:space="preserve">, </w:t>
      </w:r>
      <w:r w:rsidRPr="0086009F">
        <w:rPr>
          <w:rFonts w:ascii="Cambria" w:hAnsi="Cambria"/>
          <w:i/>
          <w:sz w:val="16"/>
          <w:szCs w:val="16"/>
          <w:lang w:val="es-PE"/>
        </w:rPr>
        <w:t>supra</w:t>
      </w:r>
      <w:r w:rsidRPr="0086009F">
        <w:rPr>
          <w:rFonts w:ascii="Cambria" w:hAnsi="Cambria"/>
          <w:sz w:val="16"/>
          <w:szCs w:val="16"/>
          <w:lang w:val="es-PE"/>
        </w:rPr>
        <w:t xml:space="preserve">. Párr. 120; </w:t>
      </w:r>
      <w:r w:rsidRPr="0086009F">
        <w:rPr>
          <w:rFonts w:ascii="Cambria" w:hAnsi="Cambria"/>
          <w:i/>
          <w:sz w:val="16"/>
          <w:szCs w:val="16"/>
          <w:lang w:val="es-PE"/>
        </w:rPr>
        <w:t>Caso Ricardo Canese Vs. Paraguay</w:t>
      </w:r>
      <w:r w:rsidRPr="0086009F">
        <w:rPr>
          <w:rFonts w:ascii="Cambria" w:hAnsi="Cambria"/>
          <w:sz w:val="16"/>
          <w:szCs w:val="16"/>
          <w:lang w:val="es-PE"/>
        </w:rPr>
        <w:t xml:space="preserve">, </w:t>
      </w:r>
      <w:r w:rsidRPr="0086009F">
        <w:rPr>
          <w:rFonts w:ascii="Cambria" w:hAnsi="Cambria"/>
          <w:i/>
          <w:sz w:val="16"/>
          <w:szCs w:val="16"/>
          <w:lang w:val="es-PE"/>
        </w:rPr>
        <w:t>supra</w:t>
      </w:r>
      <w:r w:rsidRPr="0086009F">
        <w:rPr>
          <w:rFonts w:ascii="Cambria" w:hAnsi="Cambria"/>
          <w:sz w:val="16"/>
          <w:szCs w:val="16"/>
          <w:lang w:val="es-PE"/>
        </w:rPr>
        <w:t xml:space="preserve">. Párr. 95; </w:t>
      </w:r>
      <w:r w:rsidRPr="0086009F">
        <w:rPr>
          <w:rFonts w:ascii="Cambria" w:hAnsi="Cambria"/>
          <w:i/>
          <w:iCs/>
          <w:sz w:val="16"/>
          <w:szCs w:val="16"/>
          <w:lang w:val="es-PE"/>
        </w:rPr>
        <w:t>Caso Palamara Iribarne Vs. Chile</w:t>
      </w:r>
      <w:r w:rsidRPr="0086009F">
        <w:rPr>
          <w:rFonts w:ascii="Cambria" w:hAnsi="Cambria"/>
          <w:i/>
          <w:sz w:val="16"/>
          <w:szCs w:val="16"/>
          <w:lang w:val="es-PE"/>
        </w:rPr>
        <w:t xml:space="preserve">. </w:t>
      </w:r>
      <w:r w:rsidRPr="0086009F">
        <w:rPr>
          <w:rFonts w:ascii="Cambria" w:hAnsi="Cambria"/>
          <w:sz w:val="16"/>
          <w:szCs w:val="16"/>
          <w:lang w:val="es-PE"/>
        </w:rPr>
        <w:t xml:space="preserve">Fondo, Reparaciones y Costas. Sentencia de 22 de noviembre de </w:t>
      </w:r>
      <w:r w:rsidRPr="0086009F">
        <w:rPr>
          <w:rFonts w:ascii="Cambria" w:hAnsi="Cambria"/>
          <w:sz w:val="16"/>
          <w:szCs w:val="16"/>
          <w:lang w:val="es-AR"/>
        </w:rPr>
        <w:t>2005, Serie C No. 135. Párr.</w:t>
      </w:r>
      <w:r w:rsidRPr="0086009F">
        <w:rPr>
          <w:rFonts w:ascii="Cambria" w:hAnsi="Cambria"/>
          <w:sz w:val="16"/>
          <w:szCs w:val="16"/>
          <w:lang w:val="es-ES"/>
        </w:rPr>
        <w:t xml:space="preserve"> 79, y </w:t>
      </w:r>
      <w:r w:rsidRPr="0086009F">
        <w:rPr>
          <w:rFonts w:ascii="Cambria" w:hAnsi="Cambria"/>
          <w:bCs/>
          <w:i/>
          <w:sz w:val="16"/>
          <w:szCs w:val="16"/>
          <w:lang w:val="es-ES"/>
        </w:rPr>
        <w:t>Caso Kimel Vs. Argentina</w:t>
      </w:r>
      <w:r w:rsidRPr="0086009F">
        <w:rPr>
          <w:rFonts w:ascii="Cambria" w:hAnsi="Cambria"/>
          <w:sz w:val="16"/>
          <w:szCs w:val="16"/>
          <w:lang w:val="es-ES"/>
        </w:rPr>
        <w:t xml:space="preserve">, </w:t>
      </w:r>
      <w:r w:rsidRPr="0086009F">
        <w:rPr>
          <w:rFonts w:ascii="Cambria" w:hAnsi="Cambria"/>
          <w:i/>
          <w:sz w:val="16"/>
          <w:szCs w:val="16"/>
          <w:lang w:val="es-ES"/>
        </w:rPr>
        <w:t>supra.</w:t>
      </w:r>
      <w:r w:rsidRPr="0086009F">
        <w:rPr>
          <w:rFonts w:ascii="Cambria" w:hAnsi="Cambria"/>
          <w:sz w:val="16"/>
          <w:szCs w:val="16"/>
          <w:lang w:val="es-ES"/>
        </w:rPr>
        <w:t xml:space="preserve"> Párr. 54. Véase también: CIDH</w:t>
      </w:r>
      <w:r w:rsidRPr="0086009F">
        <w:rPr>
          <w:rFonts w:ascii="Cambria" w:hAnsi="Cambria"/>
          <w:sz w:val="16"/>
          <w:szCs w:val="16"/>
          <w:lang w:val="es-VE"/>
        </w:rPr>
        <w:t>. Informe Anual 2009. Informe de la Relatoría Especial para la Libertad de Expresión. Capítulo III (Marco Jurídico Interamericano del Derecho a la Libertad de Expresión). OEA/Ser.L/V/II. Doc. 51. 30 de diciembre de 2009. Párrs. 68 y 69.</w:t>
      </w:r>
    </w:p>
  </w:footnote>
  <w:footnote w:id="61">
    <w:p w14:paraId="7C854776" w14:textId="0CD3C061" w:rsidR="00945C50" w:rsidRPr="0086009F" w:rsidRDefault="00945C50" w:rsidP="00E4013E">
      <w:pPr>
        <w:pStyle w:val="FootnoteText"/>
        <w:tabs>
          <w:tab w:val="left" w:pos="567"/>
        </w:tabs>
        <w:rPr>
          <w:rFonts w:ascii="Cambria" w:hAnsi="Cambria" w:cs="Times New Roman"/>
          <w:color w:val="auto"/>
          <w:spacing w:val="-2"/>
          <w:lang w:val="es-PE"/>
        </w:rPr>
      </w:pPr>
      <w:r w:rsidRPr="0086009F">
        <w:rPr>
          <w:rStyle w:val="FootnoteReference"/>
          <w:rFonts w:ascii="Cambria" w:eastAsia="Batang" w:hAnsi="Cambria" w:cs="Times New Roman"/>
          <w:color w:val="auto"/>
          <w:spacing w:val="-2"/>
        </w:rPr>
        <w:footnoteRef/>
      </w:r>
      <w:r w:rsidRPr="001744BA">
        <w:rPr>
          <w:rFonts w:ascii="Cambria" w:hAnsi="Cambria"/>
          <w:color w:val="auto"/>
          <w:spacing w:val="-2"/>
          <w:lang w:val="pt-BR"/>
        </w:rPr>
        <w:t xml:space="preserve"> Corte IDH. </w:t>
      </w:r>
      <w:r w:rsidRPr="001744BA">
        <w:rPr>
          <w:rFonts w:ascii="Cambria" w:hAnsi="Cambria"/>
          <w:i/>
          <w:iCs/>
          <w:color w:val="auto"/>
          <w:spacing w:val="-2"/>
          <w:lang w:val="pt-BR"/>
        </w:rPr>
        <w:t xml:space="preserve">Caso Herrera Ulloa Vs. </w:t>
      </w:r>
      <w:r w:rsidRPr="0086009F">
        <w:rPr>
          <w:rFonts w:ascii="Cambria" w:hAnsi="Cambria"/>
          <w:i/>
          <w:iCs/>
          <w:color w:val="auto"/>
          <w:spacing w:val="-2"/>
          <w:lang w:val="es-PE"/>
        </w:rPr>
        <w:t>Costa Rica, supra</w:t>
      </w:r>
      <w:r w:rsidRPr="0086009F">
        <w:rPr>
          <w:rFonts w:ascii="Cambria" w:hAnsi="Cambria"/>
          <w:i/>
          <w:color w:val="auto"/>
          <w:spacing w:val="-2"/>
          <w:lang w:val="es-CR"/>
        </w:rPr>
        <w:t>.</w:t>
      </w:r>
      <w:r w:rsidRPr="0086009F">
        <w:rPr>
          <w:rFonts w:ascii="Cambria" w:hAnsi="Cambria"/>
          <w:color w:val="auto"/>
          <w:spacing w:val="-2"/>
          <w:lang w:val="es-CR"/>
        </w:rPr>
        <w:t xml:space="preserve"> Párr. 120, </w:t>
      </w:r>
      <w:r w:rsidRPr="0086009F">
        <w:rPr>
          <w:rFonts w:ascii="Cambria" w:hAnsi="Cambria"/>
          <w:color w:val="auto"/>
          <w:spacing w:val="-2"/>
          <w:lang w:val="es-PE"/>
        </w:rPr>
        <w:t xml:space="preserve">y </w:t>
      </w:r>
      <w:r w:rsidRPr="0086009F">
        <w:rPr>
          <w:rFonts w:ascii="Cambria" w:hAnsi="Cambria"/>
          <w:i/>
          <w:iCs/>
          <w:color w:val="auto"/>
          <w:spacing w:val="-2"/>
          <w:lang w:val="es-PE"/>
        </w:rPr>
        <w:t>Caso Fontevecchia y D’Amico Vs. Argentina, supra</w:t>
      </w:r>
      <w:r w:rsidRPr="0086009F">
        <w:rPr>
          <w:rFonts w:ascii="Cambria" w:hAnsi="Cambria"/>
          <w:color w:val="auto"/>
          <w:spacing w:val="-2"/>
          <w:lang w:val="es-PE"/>
        </w:rPr>
        <w:t>. Párr. 43.</w:t>
      </w:r>
    </w:p>
  </w:footnote>
  <w:footnote w:id="62">
    <w:p w14:paraId="7466C664" w14:textId="4FAA77BB" w:rsidR="00945C50" w:rsidRPr="0086009F" w:rsidRDefault="00945C50" w:rsidP="00E4013E">
      <w:pPr>
        <w:pStyle w:val="FootnoteText"/>
        <w:tabs>
          <w:tab w:val="left" w:pos="567"/>
        </w:tabs>
        <w:rPr>
          <w:rFonts w:ascii="Cambria" w:hAnsi="Cambria" w:cs="Times New Roman"/>
          <w:color w:val="auto"/>
          <w:spacing w:val="-2"/>
          <w:lang w:val="es-PE"/>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w:t>
      </w:r>
      <w:r w:rsidRPr="0086009F">
        <w:rPr>
          <w:rFonts w:ascii="Cambria" w:hAnsi="Cambria"/>
          <w:color w:val="auto"/>
          <w:spacing w:val="-2"/>
          <w:lang w:val="es-CR"/>
        </w:rPr>
        <w:t xml:space="preserve">En el mismo sentido se ha pronunciado el Relator Especial de Naciones Unidas sobre la promoción y protección del derecho a la libertad de opinión y expresión. </w:t>
      </w:r>
      <w:r w:rsidRPr="0086009F">
        <w:rPr>
          <w:rFonts w:ascii="Cambria" w:hAnsi="Cambria"/>
          <w:iCs/>
          <w:color w:val="auto"/>
          <w:spacing w:val="-2"/>
          <w:lang w:val="es-PE"/>
        </w:rPr>
        <w:t>Véase, por ejemplo</w:t>
      </w:r>
      <w:r w:rsidRPr="0086009F">
        <w:rPr>
          <w:rFonts w:ascii="Cambria" w:hAnsi="Cambria"/>
          <w:i/>
          <w:iCs/>
          <w:color w:val="auto"/>
          <w:spacing w:val="-2"/>
          <w:lang w:val="es-PE"/>
        </w:rPr>
        <w:t>, I</w:t>
      </w:r>
      <w:r w:rsidRPr="0086009F">
        <w:rPr>
          <w:rFonts w:ascii="Cambria" w:hAnsi="Cambria"/>
          <w:i/>
          <w:color w:val="auto"/>
          <w:spacing w:val="-2"/>
          <w:lang w:val="es-PE"/>
        </w:rPr>
        <w:t>nforme del Relator Especial sobre la promoción y protección del derecho a la libertad de opinión y expresión, señor Frank La Rue.</w:t>
      </w:r>
      <w:r w:rsidRPr="0086009F">
        <w:rPr>
          <w:rFonts w:ascii="Cambria" w:hAnsi="Cambria"/>
          <w:color w:val="auto"/>
          <w:spacing w:val="-2"/>
          <w:lang w:val="es-PE"/>
        </w:rPr>
        <w:t xml:space="preserve"> A/HRC/14/23. 4 de junio de 2012. Párr. 80; </w:t>
      </w:r>
      <w:r w:rsidRPr="0086009F">
        <w:rPr>
          <w:rFonts w:ascii="Cambria" w:hAnsi="Cambria"/>
          <w:i/>
          <w:color w:val="auto"/>
          <w:spacing w:val="-2"/>
          <w:lang w:val="es-PE"/>
        </w:rPr>
        <w:t>Informe del Relator Especial sobre la promoción y protección del derecho a la libertad de opinión y expresión, señor Ambeyi Ligabo.</w:t>
      </w:r>
      <w:r w:rsidRPr="0086009F">
        <w:rPr>
          <w:rFonts w:ascii="Cambria" w:hAnsi="Cambria"/>
          <w:color w:val="auto"/>
          <w:spacing w:val="-2"/>
          <w:lang w:val="es-PE"/>
        </w:rPr>
        <w:t xml:space="preserve"> </w:t>
      </w:r>
      <w:r w:rsidRPr="0086009F">
        <w:rPr>
          <w:rFonts w:ascii="Cambria" w:hAnsi="Cambria"/>
          <w:i/>
          <w:color w:val="auto"/>
          <w:spacing w:val="-2"/>
          <w:lang w:val="es-PE"/>
        </w:rPr>
        <w:t>Promoción y protección de todos los derechos humanos, civiles, políticos, económicos, sociales y culturales, incluido el derecho al desarrollo</w:t>
      </w:r>
      <w:r w:rsidRPr="0086009F">
        <w:rPr>
          <w:rFonts w:ascii="Cambria" w:hAnsi="Cambria"/>
          <w:color w:val="auto"/>
          <w:spacing w:val="-2"/>
          <w:lang w:val="es-PE"/>
        </w:rPr>
        <w:t xml:space="preserve">. A/HRC/7/14. 28 de febrero de 2008. Párr. 39, e </w:t>
      </w:r>
      <w:r w:rsidRPr="0086009F">
        <w:rPr>
          <w:rFonts w:ascii="Cambria" w:hAnsi="Cambria"/>
          <w:i/>
          <w:color w:val="auto"/>
          <w:spacing w:val="-2"/>
          <w:lang w:val="es-PE"/>
        </w:rPr>
        <w:t>Informe del Relator Especial sobre la promoción y protección del derecho a la libertad de opinión y expresión, señor Ambeyi Ligabo</w:t>
      </w:r>
      <w:r w:rsidRPr="0086009F">
        <w:rPr>
          <w:rFonts w:ascii="Cambria" w:hAnsi="Cambria"/>
          <w:color w:val="auto"/>
          <w:spacing w:val="-2"/>
          <w:lang w:val="es-PE"/>
        </w:rPr>
        <w:t>, Aplicación de la Resolución 60/251 de la Asamblea General, de 15 de marzo de 2006, titulada “Consejo de Derechos Humanos”. A/HRC/4/27. 2 de enero de 2007. Párr. 46.</w:t>
      </w:r>
    </w:p>
  </w:footnote>
  <w:footnote w:id="63">
    <w:p w14:paraId="7BB04D4E" w14:textId="02DFE064" w:rsidR="00945C50" w:rsidRPr="0086009F" w:rsidRDefault="00945C50" w:rsidP="00E4013E">
      <w:pPr>
        <w:pStyle w:val="FootnoteText"/>
        <w:tabs>
          <w:tab w:val="left" w:pos="567"/>
        </w:tabs>
        <w:rPr>
          <w:rFonts w:ascii="Cambria" w:hAnsi="Cambria" w:cs="Times New Roman"/>
          <w:color w:val="auto"/>
          <w:spacing w:val="-2"/>
          <w:lang w:val="pt-BR"/>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Corte IDH. </w:t>
      </w:r>
      <w:r w:rsidRPr="0086009F">
        <w:rPr>
          <w:rFonts w:ascii="Cambria" w:hAnsi="Cambria"/>
          <w:i/>
          <w:color w:val="auto"/>
          <w:spacing w:val="-2"/>
          <w:lang w:val="es-PE"/>
        </w:rPr>
        <w:t>Caso Ricardo Canese Vs. Paraguay</w:t>
      </w:r>
      <w:r w:rsidRPr="0086009F">
        <w:rPr>
          <w:rFonts w:ascii="Cambria" w:hAnsi="Cambria"/>
          <w:bCs/>
          <w:color w:val="auto"/>
          <w:spacing w:val="-2"/>
          <w:lang w:val="es-PE"/>
        </w:rPr>
        <w:t>,</w:t>
      </w:r>
      <w:r w:rsidRPr="0086009F">
        <w:rPr>
          <w:rFonts w:ascii="Cambria" w:hAnsi="Cambria"/>
          <w:b/>
          <w:bCs/>
          <w:color w:val="auto"/>
          <w:spacing w:val="-2"/>
          <w:lang w:val="es-PE"/>
        </w:rPr>
        <w:t xml:space="preserve"> </w:t>
      </w:r>
      <w:r w:rsidRPr="0086009F">
        <w:rPr>
          <w:rFonts w:ascii="Cambria" w:hAnsi="Cambria"/>
          <w:bCs/>
          <w:i/>
          <w:color w:val="auto"/>
          <w:spacing w:val="-2"/>
          <w:lang w:val="es-PE"/>
        </w:rPr>
        <w:t>supra.</w:t>
      </w:r>
      <w:r w:rsidRPr="0086009F">
        <w:rPr>
          <w:rFonts w:ascii="Cambria" w:hAnsi="Cambria"/>
          <w:b/>
          <w:bCs/>
          <w:color w:val="auto"/>
          <w:spacing w:val="-2"/>
          <w:lang w:val="es-PE"/>
        </w:rPr>
        <w:t xml:space="preserve"> </w:t>
      </w:r>
      <w:r w:rsidRPr="0086009F">
        <w:rPr>
          <w:rFonts w:ascii="Cambria" w:hAnsi="Cambria"/>
          <w:color w:val="auto"/>
          <w:spacing w:val="-2"/>
          <w:lang w:val="es-PE"/>
        </w:rPr>
        <w:t>Párr. 101, y</w:t>
      </w:r>
      <w:r w:rsidRPr="0086009F">
        <w:rPr>
          <w:rFonts w:ascii="Cambria" w:hAnsi="Cambria"/>
          <w:iCs/>
          <w:color w:val="auto"/>
          <w:spacing w:val="-2"/>
          <w:lang w:val="es-PE"/>
        </w:rPr>
        <w:t xml:space="preserve"> </w:t>
      </w:r>
      <w:r w:rsidRPr="0086009F">
        <w:rPr>
          <w:rFonts w:ascii="Cambria" w:hAnsi="Cambria"/>
          <w:i/>
          <w:iCs/>
          <w:color w:val="auto"/>
          <w:spacing w:val="-2"/>
          <w:lang w:val="es-PE"/>
        </w:rPr>
        <w:t xml:space="preserve">Caso Usón Ramírez Vs. </w:t>
      </w:r>
      <w:r w:rsidRPr="0086009F">
        <w:rPr>
          <w:rFonts w:ascii="Cambria" w:hAnsi="Cambria"/>
          <w:i/>
          <w:iCs/>
          <w:color w:val="auto"/>
          <w:spacing w:val="-2"/>
          <w:lang w:val="pt-BR"/>
        </w:rPr>
        <w:t>Venezuela</w:t>
      </w:r>
      <w:r w:rsidRPr="0086009F">
        <w:rPr>
          <w:rFonts w:ascii="Cambria" w:hAnsi="Cambria"/>
          <w:i/>
          <w:color w:val="auto"/>
          <w:spacing w:val="-2"/>
          <w:lang w:val="pt-BR"/>
        </w:rPr>
        <w:t>, supra.</w:t>
      </w:r>
      <w:r w:rsidRPr="0086009F">
        <w:rPr>
          <w:rFonts w:ascii="Cambria" w:hAnsi="Cambria"/>
          <w:color w:val="auto"/>
          <w:spacing w:val="-2"/>
          <w:lang w:val="pt-BR"/>
        </w:rPr>
        <w:t xml:space="preserve"> Párr. 46.</w:t>
      </w:r>
    </w:p>
  </w:footnote>
  <w:footnote w:id="64">
    <w:p w14:paraId="0EF2AD55" w14:textId="49DE40C9" w:rsidR="00945C50" w:rsidRPr="0086009F" w:rsidRDefault="00945C50" w:rsidP="00E4013E">
      <w:pPr>
        <w:pStyle w:val="FootnoteText"/>
        <w:tabs>
          <w:tab w:val="left" w:pos="567"/>
        </w:tabs>
        <w:rPr>
          <w:rFonts w:ascii="Cambria" w:hAnsi="Cambria" w:cs="Times New Roman"/>
          <w:color w:val="auto"/>
          <w:spacing w:val="-2"/>
          <w:lang w:val="pt-BR"/>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pt-BR"/>
        </w:rPr>
        <w:t xml:space="preserve"> Corte IDH. </w:t>
      </w:r>
      <w:r w:rsidRPr="0086009F">
        <w:rPr>
          <w:rFonts w:ascii="Cambria" w:hAnsi="Cambria"/>
          <w:i/>
          <w:iCs/>
          <w:color w:val="auto"/>
          <w:spacing w:val="-2"/>
          <w:lang w:val="pt-BR"/>
        </w:rPr>
        <w:t>Caso Fontevecchia y D’Amico Vs. Argentina, supra</w:t>
      </w:r>
      <w:r w:rsidRPr="0086009F">
        <w:rPr>
          <w:rFonts w:ascii="Cambria" w:hAnsi="Cambria"/>
          <w:i/>
          <w:color w:val="auto"/>
          <w:spacing w:val="-2"/>
          <w:lang w:val="pt-BR"/>
        </w:rPr>
        <w:t>.</w:t>
      </w:r>
      <w:r w:rsidRPr="0086009F">
        <w:rPr>
          <w:rFonts w:ascii="Cambria" w:hAnsi="Cambria"/>
          <w:color w:val="auto"/>
          <w:spacing w:val="-2"/>
          <w:lang w:val="pt-BR"/>
        </w:rPr>
        <w:t xml:space="preserve"> Párr. 49. </w:t>
      </w:r>
    </w:p>
  </w:footnote>
  <w:footnote w:id="65">
    <w:p w14:paraId="20F06B30" w14:textId="2E872151" w:rsidR="00945C50" w:rsidRPr="0086009F" w:rsidRDefault="00945C50" w:rsidP="00E4013E">
      <w:pPr>
        <w:jc w:val="both"/>
        <w:rPr>
          <w:rFonts w:ascii="Cambria" w:hAnsi="Cambria"/>
          <w:sz w:val="16"/>
          <w:szCs w:val="16"/>
          <w:lang w:val="es-US"/>
        </w:rPr>
      </w:pPr>
      <w:r w:rsidRPr="0086009F">
        <w:rPr>
          <w:rStyle w:val="FootnoteReference"/>
          <w:rFonts w:ascii="Cambria" w:hAnsi="Cambria"/>
          <w:sz w:val="16"/>
          <w:szCs w:val="16"/>
        </w:rPr>
        <w:footnoteRef/>
      </w:r>
      <w:r w:rsidRPr="00E86A8F">
        <w:rPr>
          <w:rFonts w:ascii="Cambria" w:hAnsi="Cambria"/>
          <w:sz w:val="16"/>
          <w:szCs w:val="16"/>
          <w:lang w:val="pt-BR"/>
        </w:rPr>
        <w:t xml:space="preserve"> CIDH. Informe Anual 1994. </w:t>
      </w:r>
      <w:r w:rsidRPr="0086009F">
        <w:rPr>
          <w:rFonts w:ascii="Cambria" w:hAnsi="Cambria"/>
          <w:sz w:val="16"/>
          <w:szCs w:val="16"/>
          <w:lang w:val="es-ES"/>
        </w:rPr>
        <w:t xml:space="preserve">Capítulo V: Informe sobre la Compatibilidad entre las Leyes de Desacato y la Convención Americana sobre Derechos Humanos.  </w:t>
      </w:r>
      <w:r w:rsidRPr="0086009F">
        <w:rPr>
          <w:rFonts w:ascii="Cambria" w:hAnsi="Cambria"/>
          <w:sz w:val="16"/>
          <w:szCs w:val="16"/>
          <w:lang w:val="pt-BR"/>
        </w:rPr>
        <w:t xml:space="preserve">OEA/Ser. L/V/II.88. doc. 9 rev. 17 de febrero de 1995, e </w:t>
      </w:r>
      <w:hyperlink r:id="rId4" w:history="1">
        <w:r w:rsidRPr="0086009F">
          <w:rPr>
            <w:rStyle w:val="Hyperlink"/>
            <w:rFonts w:ascii="Cambria" w:hAnsi="Cambria"/>
            <w:sz w:val="16"/>
            <w:szCs w:val="16"/>
            <w:u w:val="none"/>
            <w:lang w:val="pt-BR"/>
          </w:rPr>
          <w:t xml:space="preserve">Informe Anual 2009. </w:t>
        </w:r>
        <w:r w:rsidRPr="0086009F">
          <w:rPr>
            <w:rStyle w:val="Hyperlink"/>
            <w:rFonts w:ascii="Cambria" w:hAnsi="Cambria"/>
            <w:sz w:val="16"/>
            <w:szCs w:val="16"/>
            <w:u w:val="none"/>
            <w:lang w:val="es-UY"/>
          </w:rPr>
          <w:t>Informe de la Relatoría Especial para la Libertad de Expresión</w:t>
        </w:r>
      </w:hyperlink>
      <w:r w:rsidRPr="0086009F">
        <w:rPr>
          <w:rFonts w:ascii="Cambria" w:hAnsi="Cambria"/>
          <w:sz w:val="16"/>
          <w:szCs w:val="16"/>
          <w:lang w:val="es-UY"/>
        </w:rPr>
        <w:t xml:space="preserve">. </w:t>
      </w:r>
      <w:r w:rsidRPr="0086009F">
        <w:rPr>
          <w:rFonts w:ascii="Cambria" w:hAnsi="Cambria"/>
          <w:sz w:val="16"/>
          <w:szCs w:val="16"/>
          <w:lang w:val="es-ES_tradnl"/>
        </w:rPr>
        <w:t xml:space="preserve">Capítulo III (Marco Jurídico Interamericano del Derecho a la Libertad de Expresión). OEA/Ser.L/V/II. Doc. 51. 30 de diciembre de 2009. Párr </w:t>
      </w:r>
      <w:r w:rsidRPr="0086009F">
        <w:rPr>
          <w:rFonts w:ascii="Cambria" w:hAnsi="Cambria"/>
          <w:sz w:val="16"/>
          <w:szCs w:val="16"/>
          <w:lang w:val="es-ES"/>
        </w:rPr>
        <w:t xml:space="preserve">100. Véase también, </w:t>
      </w:r>
      <w:r w:rsidRPr="0086009F">
        <w:rPr>
          <w:rFonts w:ascii="Cambria" w:hAnsi="Cambria"/>
          <w:sz w:val="16"/>
          <w:szCs w:val="16"/>
          <w:lang w:val="es-US"/>
        </w:rPr>
        <w:t xml:space="preserve">Corte IDH. </w:t>
      </w:r>
      <w:r w:rsidRPr="0086009F">
        <w:rPr>
          <w:rFonts w:ascii="Cambria" w:hAnsi="Cambria"/>
          <w:i/>
          <w:sz w:val="16"/>
          <w:szCs w:val="16"/>
          <w:lang w:val="es-US"/>
        </w:rPr>
        <w:t xml:space="preserve">Caso Ivcher Bronstein Vs. </w:t>
      </w:r>
      <w:r w:rsidRPr="0086009F">
        <w:rPr>
          <w:rFonts w:ascii="Cambria" w:hAnsi="Cambria"/>
          <w:i/>
          <w:sz w:val="16"/>
          <w:szCs w:val="16"/>
          <w:lang w:val="es-ES"/>
        </w:rPr>
        <w:t>Perú</w:t>
      </w:r>
      <w:r w:rsidRPr="0086009F">
        <w:rPr>
          <w:rFonts w:ascii="Cambria" w:hAnsi="Cambria"/>
          <w:sz w:val="16"/>
          <w:szCs w:val="16"/>
          <w:lang w:val="es-ES"/>
        </w:rPr>
        <w:t xml:space="preserve">, </w:t>
      </w:r>
      <w:r w:rsidRPr="0086009F">
        <w:rPr>
          <w:rFonts w:ascii="Cambria" w:hAnsi="Cambria"/>
          <w:i/>
          <w:sz w:val="16"/>
          <w:szCs w:val="16"/>
          <w:lang w:val="es-ES"/>
        </w:rPr>
        <w:t>supra</w:t>
      </w:r>
      <w:r w:rsidRPr="0086009F">
        <w:rPr>
          <w:rFonts w:ascii="Cambria" w:hAnsi="Cambria"/>
          <w:sz w:val="16"/>
          <w:szCs w:val="16"/>
          <w:lang w:val="es-ES"/>
        </w:rPr>
        <w:t xml:space="preserve">; </w:t>
      </w:r>
      <w:r w:rsidRPr="0086009F">
        <w:rPr>
          <w:rFonts w:ascii="Cambria" w:hAnsi="Cambria"/>
          <w:i/>
          <w:sz w:val="16"/>
          <w:szCs w:val="16"/>
          <w:lang w:val="es-ES"/>
        </w:rPr>
        <w:t>Caso Herrera Ulloa Vs. Costa Rica</w:t>
      </w:r>
      <w:r w:rsidRPr="0086009F">
        <w:rPr>
          <w:rFonts w:ascii="Cambria" w:hAnsi="Cambria"/>
          <w:sz w:val="16"/>
          <w:szCs w:val="16"/>
          <w:lang w:val="es-ES"/>
        </w:rPr>
        <w:t xml:space="preserve">, </w:t>
      </w:r>
      <w:r w:rsidRPr="0086009F">
        <w:rPr>
          <w:rFonts w:ascii="Cambria" w:hAnsi="Cambria"/>
          <w:i/>
          <w:sz w:val="16"/>
          <w:szCs w:val="16"/>
          <w:lang w:val="es-ES"/>
        </w:rPr>
        <w:t>supra</w:t>
      </w:r>
      <w:r w:rsidRPr="0086009F">
        <w:rPr>
          <w:rFonts w:ascii="Cambria" w:hAnsi="Cambria"/>
          <w:sz w:val="16"/>
          <w:szCs w:val="16"/>
          <w:lang w:val="es-ES"/>
        </w:rPr>
        <w:t xml:space="preserve">; </w:t>
      </w:r>
      <w:r w:rsidRPr="0086009F">
        <w:rPr>
          <w:rFonts w:ascii="Cambria" w:hAnsi="Cambria"/>
          <w:i/>
          <w:sz w:val="16"/>
          <w:szCs w:val="16"/>
          <w:lang w:val="es-ES"/>
        </w:rPr>
        <w:t xml:space="preserve">Caso Ricardo Canese Vs. </w:t>
      </w:r>
      <w:r w:rsidRPr="0086009F">
        <w:rPr>
          <w:rFonts w:ascii="Cambria" w:hAnsi="Cambria"/>
          <w:i/>
          <w:sz w:val="16"/>
          <w:szCs w:val="16"/>
          <w:lang w:val="es-US"/>
        </w:rPr>
        <w:t>Paraguay, supra</w:t>
      </w:r>
      <w:r w:rsidRPr="0086009F">
        <w:rPr>
          <w:rFonts w:ascii="Cambria" w:hAnsi="Cambria"/>
          <w:sz w:val="16"/>
          <w:szCs w:val="16"/>
          <w:lang w:val="es-US"/>
        </w:rPr>
        <w:t xml:space="preserve">; </w:t>
      </w:r>
      <w:r w:rsidRPr="0086009F">
        <w:rPr>
          <w:rFonts w:ascii="Cambria" w:hAnsi="Cambria"/>
          <w:i/>
          <w:sz w:val="16"/>
          <w:szCs w:val="16"/>
          <w:lang w:val="es-US"/>
        </w:rPr>
        <w:t>Caso Palamara Iribarne Vs. Chile</w:t>
      </w:r>
      <w:r w:rsidRPr="0086009F">
        <w:rPr>
          <w:rFonts w:ascii="Cambria" w:hAnsi="Cambria"/>
          <w:sz w:val="16"/>
          <w:szCs w:val="16"/>
          <w:lang w:val="es-US"/>
        </w:rPr>
        <w:t xml:space="preserve">, </w:t>
      </w:r>
      <w:r w:rsidRPr="0086009F">
        <w:rPr>
          <w:rFonts w:ascii="Cambria" w:hAnsi="Cambria"/>
          <w:i/>
          <w:sz w:val="16"/>
          <w:szCs w:val="16"/>
          <w:lang w:val="es-US"/>
        </w:rPr>
        <w:t>supra</w:t>
      </w:r>
      <w:r w:rsidRPr="0086009F">
        <w:rPr>
          <w:rFonts w:ascii="Cambria" w:hAnsi="Cambria"/>
          <w:sz w:val="16"/>
          <w:szCs w:val="16"/>
          <w:lang w:val="es-US"/>
        </w:rPr>
        <w:t xml:space="preserve">, y </w:t>
      </w:r>
      <w:r w:rsidRPr="0086009F">
        <w:rPr>
          <w:rFonts w:ascii="Cambria" w:hAnsi="Cambria"/>
          <w:i/>
          <w:sz w:val="16"/>
          <w:szCs w:val="16"/>
          <w:lang w:val="es-US"/>
        </w:rPr>
        <w:t xml:space="preserve">Caso Kimel Vs. </w:t>
      </w:r>
      <w:r w:rsidRPr="0086009F">
        <w:rPr>
          <w:rFonts w:ascii="Cambria" w:hAnsi="Cambria"/>
          <w:i/>
          <w:sz w:val="16"/>
          <w:szCs w:val="16"/>
          <w:lang w:val="es-ES"/>
        </w:rPr>
        <w:t>Argentina, supra.</w:t>
      </w:r>
    </w:p>
  </w:footnote>
  <w:footnote w:id="66">
    <w:p w14:paraId="502ADE68" w14:textId="77777777" w:rsidR="00945C50" w:rsidRPr="0086009F" w:rsidRDefault="00945C50" w:rsidP="00E4013E">
      <w:pPr>
        <w:jc w:val="both"/>
        <w:rPr>
          <w:rFonts w:ascii="Cambria" w:hAnsi="Cambria"/>
          <w:sz w:val="16"/>
          <w:szCs w:val="16"/>
          <w:lang w:val="es-VE"/>
        </w:rPr>
      </w:pPr>
      <w:r w:rsidRPr="0086009F">
        <w:rPr>
          <w:rStyle w:val="FootnoteReference"/>
          <w:rFonts w:ascii="Cambria" w:hAnsi="Cambria"/>
          <w:sz w:val="16"/>
          <w:szCs w:val="16"/>
        </w:rPr>
        <w:footnoteRef/>
      </w:r>
      <w:r w:rsidRPr="0086009F">
        <w:rPr>
          <w:rFonts w:ascii="Cambria" w:hAnsi="Cambria"/>
          <w:sz w:val="16"/>
          <w:szCs w:val="16"/>
          <w:lang w:val="es-VE"/>
        </w:rPr>
        <w:t xml:space="preserve"> CIDH. Informe Anual 2009. Informe de la Relatoría Especial para la Libertad de Expresión. Capítulo III (Marco Jurídico Interamericano del Derecho a la Libertad de Expresión). OEA/Ser.L/V/II. Doc. 51. 30 de diciembre de 2009. Párr. 40.</w:t>
      </w:r>
    </w:p>
  </w:footnote>
  <w:footnote w:id="67">
    <w:p w14:paraId="3119E42E" w14:textId="77777777" w:rsidR="00945C50" w:rsidRPr="00E86A8F" w:rsidRDefault="00945C50" w:rsidP="00E4013E">
      <w:pPr>
        <w:jc w:val="both"/>
        <w:rPr>
          <w:rFonts w:ascii="Cambria" w:hAnsi="Cambria"/>
          <w:sz w:val="16"/>
          <w:szCs w:val="16"/>
          <w:lang w:val="pt-BR"/>
        </w:rPr>
      </w:pPr>
      <w:r w:rsidRPr="0086009F">
        <w:rPr>
          <w:rStyle w:val="FootnoteReference"/>
          <w:rFonts w:ascii="Cambria" w:hAnsi="Cambria"/>
          <w:sz w:val="16"/>
          <w:szCs w:val="16"/>
        </w:rPr>
        <w:footnoteRef/>
      </w:r>
      <w:r w:rsidRPr="0086009F">
        <w:rPr>
          <w:rFonts w:ascii="Cambria" w:hAnsi="Cambria"/>
          <w:sz w:val="16"/>
          <w:szCs w:val="16"/>
          <w:lang w:val="es-VE"/>
        </w:rPr>
        <w:t xml:space="preserve"> CIDH. Informe Anual 2009. Informe de la Relatoría Especial para la Libertad de Expresión. Capítulo III (Marco Jurídico Interamericano del Derecho a la Libertad de Expresión). OEA/Ser.L/V/II. Doc. 51. 30 de diciembre de 2009. Párr. 41. CIDH. Informe Anual 1994. Capítulo V: Informe sobre la Compatibilidad entre las Leyes de Desacato y la Convención Americana sobre Derechos Humanos. </w:t>
      </w:r>
      <w:r w:rsidRPr="00E86A8F">
        <w:rPr>
          <w:rFonts w:ascii="Cambria" w:hAnsi="Cambria"/>
          <w:sz w:val="16"/>
          <w:szCs w:val="16"/>
          <w:lang w:val="pt-BR"/>
        </w:rPr>
        <w:t>Título III Apartado B. OEA/Ser. L/V/II.88. doc. 9 rev. 17 de febrero de 1995.</w:t>
      </w:r>
    </w:p>
  </w:footnote>
  <w:footnote w:id="68">
    <w:p w14:paraId="24B1434A" w14:textId="6E71E0A6" w:rsidR="00945C50" w:rsidRPr="0086009F" w:rsidRDefault="00945C50" w:rsidP="00E4013E">
      <w:pPr>
        <w:jc w:val="both"/>
        <w:rPr>
          <w:rFonts w:ascii="Cambria" w:hAnsi="Cambria"/>
          <w:sz w:val="16"/>
          <w:szCs w:val="16"/>
          <w:lang w:val="es-US"/>
        </w:rPr>
      </w:pPr>
      <w:r w:rsidRPr="0086009F">
        <w:rPr>
          <w:rStyle w:val="FootnoteReference"/>
          <w:rFonts w:ascii="Cambria" w:hAnsi="Cambria" w:cs="Univers"/>
          <w:sz w:val="16"/>
          <w:szCs w:val="16"/>
        </w:rPr>
        <w:footnoteRef/>
      </w:r>
      <w:r w:rsidRPr="00E86A8F">
        <w:rPr>
          <w:rFonts w:ascii="Cambria" w:hAnsi="Cambria"/>
          <w:sz w:val="16"/>
          <w:szCs w:val="16"/>
          <w:lang w:val="pt-BR"/>
        </w:rPr>
        <w:t xml:space="preserve"> CIDH. </w:t>
      </w:r>
      <w:hyperlink r:id="rId5" w:history="1">
        <w:r w:rsidRPr="00E86A8F">
          <w:rPr>
            <w:rStyle w:val="Hyperlink"/>
            <w:rFonts w:ascii="Cambria" w:hAnsi="Cambria" w:cs="Univers"/>
            <w:iCs/>
            <w:sz w:val="16"/>
            <w:szCs w:val="16"/>
            <w:u w:color="A6A6A6" w:themeColor="background1" w:themeShade="A6"/>
            <w:lang w:val="pt-BR"/>
          </w:rPr>
          <w:t>Informe Anual 1994</w:t>
        </w:r>
      </w:hyperlink>
      <w:r w:rsidRPr="00E86A8F">
        <w:rPr>
          <w:rFonts w:ascii="Cambria" w:hAnsi="Cambria"/>
          <w:sz w:val="16"/>
          <w:szCs w:val="16"/>
          <w:lang w:val="pt-BR"/>
        </w:rPr>
        <w:t xml:space="preserve">. </w:t>
      </w:r>
      <w:r w:rsidRPr="0086009F">
        <w:rPr>
          <w:rFonts w:ascii="Cambria" w:hAnsi="Cambria"/>
          <w:sz w:val="16"/>
          <w:szCs w:val="16"/>
          <w:lang w:val="es-ES"/>
        </w:rPr>
        <w:t xml:space="preserve">Capítulo V: Informe sobre la Compatibilidad entre las Leyes de Desacato y la Convención Americana sobre Derechos Humanos. OEA/Ser. L/V/II.88. doc. 9 rev. 17 de febrero de 1995; </w:t>
      </w:r>
      <w:hyperlink r:id="rId6" w:history="1">
        <w:r w:rsidRPr="0086009F">
          <w:rPr>
            <w:rStyle w:val="Hyperlink"/>
            <w:rFonts w:ascii="Cambria" w:hAnsi="Cambria"/>
            <w:sz w:val="16"/>
            <w:szCs w:val="16"/>
            <w:u w:val="none"/>
            <w:lang w:val="es-UY"/>
          </w:rPr>
          <w:t>Informe Anual 2004. Informe de la Relatoría Especial para la Libertad de Expresión</w:t>
        </w:r>
      </w:hyperlink>
      <w:r w:rsidRPr="0086009F">
        <w:rPr>
          <w:rFonts w:ascii="Cambria" w:hAnsi="Cambria"/>
          <w:sz w:val="16"/>
          <w:szCs w:val="16"/>
          <w:lang w:val="es-ES"/>
        </w:rPr>
        <w:t>. Capítulo VI (Leyes de Desacato y Difamación criminal). OEA/Ser.L/V/II.122. Doc. 5 rev. 1. 23 febrero 2005. Párr. 155 y ss;</w:t>
      </w:r>
      <w:r w:rsidRPr="0086009F">
        <w:rPr>
          <w:rFonts w:ascii="Cambria" w:hAnsi="Cambria"/>
          <w:sz w:val="16"/>
          <w:szCs w:val="16"/>
          <w:lang w:val="es-UY"/>
        </w:rPr>
        <w:t xml:space="preserve"> </w:t>
      </w:r>
      <w:hyperlink r:id="rId7" w:history="1">
        <w:r w:rsidRPr="0086009F">
          <w:rPr>
            <w:rStyle w:val="Hyperlink"/>
            <w:rFonts w:ascii="Cambria" w:hAnsi="Cambria"/>
            <w:sz w:val="16"/>
            <w:szCs w:val="16"/>
            <w:u w:val="none"/>
            <w:lang w:val="es-UY"/>
          </w:rPr>
          <w:t>Informe Anual 2009. Informe de la Relatoría Especial para la Libertad de Expresión</w:t>
        </w:r>
      </w:hyperlink>
      <w:r w:rsidRPr="0086009F">
        <w:rPr>
          <w:rFonts w:ascii="Cambria" w:hAnsi="Cambria"/>
          <w:sz w:val="16"/>
          <w:szCs w:val="16"/>
          <w:lang w:val="es-UY"/>
        </w:rPr>
        <w:t xml:space="preserve">. </w:t>
      </w:r>
      <w:r w:rsidRPr="0086009F">
        <w:rPr>
          <w:rFonts w:ascii="Cambria" w:hAnsi="Cambria"/>
          <w:sz w:val="16"/>
          <w:szCs w:val="16"/>
          <w:lang w:val="es-ES"/>
        </w:rPr>
        <w:t xml:space="preserve">Capítulo III (Marco Jurídico interamericano del Derecho a la Libertad de Expresión). OEA/Ser.L/V/II. Doc. 51. 30 de diciembre de 2009. Pág. 245 y ss. Véase también, </w:t>
      </w:r>
      <w:r w:rsidRPr="0086009F">
        <w:rPr>
          <w:rFonts w:ascii="Cambria" w:hAnsi="Cambria"/>
          <w:sz w:val="16"/>
          <w:szCs w:val="16"/>
          <w:lang w:val="es-US"/>
        </w:rPr>
        <w:t xml:space="preserve">Corte IDH. </w:t>
      </w:r>
      <w:r w:rsidRPr="0086009F">
        <w:rPr>
          <w:rFonts w:ascii="Cambria" w:hAnsi="Cambria"/>
          <w:i/>
          <w:sz w:val="16"/>
          <w:szCs w:val="16"/>
          <w:lang w:val="es-US"/>
        </w:rPr>
        <w:t xml:space="preserve">Caso Ivcher Bronstein Vs. </w:t>
      </w:r>
      <w:r w:rsidRPr="0086009F">
        <w:rPr>
          <w:rFonts w:ascii="Cambria" w:hAnsi="Cambria"/>
          <w:i/>
          <w:sz w:val="16"/>
          <w:szCs w:val="16"/>
          <w:lang w:val="es-ES"/>
        </w:rPr>
        <w:t>Perú</w:t>
      </w:r>
      <w:r w:rsidRPr="0086009F">
        <w:rPr>
          <w:rFonts w:ascii="Cambria" w:hAnsi="Cambria"/>
          <w:sz w:val="16"/>
          <w:szCs w:val="16"/>
          <w:lang w:val="es-ES"/>
        </w:rPr>
        <w:t xml:space="preserve">, </w:t>
      </w:r>
      <w:r w:rsidRPr="0086009F">
        <w:rPr>
          <w:rFonts w:ascii="Cambria" w:hAnsi="Cambria"/>
          <w:i/>
          <w:sz w:val="16"/>
          <w:szCs w:val="16"/>
          <w:lang w:val="es-ES"/>
        </w:rPr>
        <w:t>supra</w:t>
      </w:r>
      <w:r w:rsidRPr="0086009F">
        <w:rPr>
          <w:rFonts w:ascii="Cambria" w:hAnsi="Cambria"/>
          <w:sz w:val="16"/>
          <w:szCs w:val="16"/>
          <w:lang w:val="es-ES"/>
        </w:rPr>
        <w:t xml:space="preserve">; </w:t>
      </w:r>
      <w:r w:rsidRPr="0086009F">
        <w:rPr>
          <w:rFonts w:ascii="Cambria" w:hAnsi="Cambria"/>
          <w:i/>
          <w:sz w:val="16"/>
          <w:szCs w:val="16"/>
          <w:lang w:val="es-ES"/>
        </w:rPr>
        <w:t>Caso Herrera Ulloa Vs. Costa Rica</w:t>
      </w:r>
      <w:r w:rsidRPr="0086009F">
        <w:rPr>
          <w:rFonts w:ascii="Cambria" w:hAnsi="Cambria"/>
          <w:sz w:val="16"/>
          <w:szCs w:val="16"/>
          <w:lang w:val="es-ES"/>
        </w:rPr>
        <w:t xml:space="preserve">, </w:t>
      </w:r>
      <w:r w:rsidRPr="0086009F">
        <w:rPr>
          <w:rFonts w:ascii="Cambria" w:hAnsi="Cambria"/>
          <w:i/>
          <w:sz w:val="16"/>
          <w:szCs w:val="16"/>
          <w:lang w:val="es-ES"/>
        </w:rPr>
        <w:t>supra</w:t>
      </w:r>
      <w:r w:rsidRPr="0086009F">
        <w:rPr>
          <w:rFonts w:ascii="Cambria" w:hAnsi="Cambria"/>
          <w:sz w:val="16"/>
          <w:szCs w:val="16"/>
          <w:lang w:val="es-ES"/>
        </w:rPr>
        <w:t xml:space="preserve">; </w:t>
      </w:r>
      <w:r w:rsidRPr="0086009F">
        <w:rPr>
          <w:rFonts w:ascii="Cambria" w:hAnsi="Cambria"/>
          <w:i/>
          <w:sz w:val="16"/>
          <w:szCs w:val="16"/>
          <w:lang w:val="es-ES"/>
        </w:rPr>
        <w:t xml:space="preserve">Caso Ricardo Canese Vs. </w:t>
      </w:r>
      <w:r w:rsidRPr="0086009F">
        <w:rPr>
          <w:rFonts w:ascii="Cambria" w:hAnsi="Cambria"/>
          <w:i/>
          <w:sz w:val="16"/>
          <w:szCs w:val="16"/>
          <w:lang w:val="es-US"/>
        </w:rPr>
        <w:t>Paraguay, supra</w:t>
      </w:r>
      <w:r w:rsidRPr="0086009F">
        <w:rPr>
          <w:rFonts w:ascii="Cambria" w:hAnsi="Cambria"/>
          <w:sz w:val="16"/>
          <w:szCs w:val="16"/>
          <w:lang w:val="es-US"/>
        </w:rPr>
        <w:t xml:space="preserve">; </w:t>
      </w:r>
      <w:r w:rsidRPr="0086009F">
        <w:rPr>
          <w:rFonts w:ascii="Cambria" w:hAnsi="Cambria"/>
          <w:i/>
          <w:sz w:val="16"/>
          <w:szCs w:val="16"/>
          <w:lang w:val="es-US"/>
        </w:rPr>
        <w:t>Caso Palamara Iribarne Vs. Chile</w:t>
      </w:r>
      <w:r w:rsidRPr="0086009F">
        <w:rPr>
          <w:rFonts w:ascii="Cambria" w:hAnsi="Cambria"/>
          <w:sz w:val="16"/>
          <w:szCs w:val="16"/>
          <w:lang w:val="es-US"/>
        </w:rPr>
        <w:t xml:space="preserve">, </w:t>
      </w:r>
      <w:r w:rsidRPr="0086009F">
        <w:rPr>
          <w:rFonts w:ascii="Cambria" w:hAnsi="Cambria"/>
          <w:i/>
          <w:sz w:val="16"/>
          <w:szCs w:val="16"/>
          <w:lang w:val="es-US"/>
        </w:rPr>
        <w:t>supra</w:t>
      </w:r>
      <w:r w:rsidRPr="0086009F">
        <w:rPr>
          <w:rFonts w:ascii="Cambria" w:hAnsi="Cambria"/>
          <w:sz w:val="16"/>
          <w:szCs w:val="16"/>
          <w:lang w:val="es-US"/>
        </w:rPr>
        <w:t xml:space="preserve">, y </w:t>
      </w:r>
      <w:r w:rsidRPr="0086009F">
        <w:rPr>
          <w:rFonts w:ascii="Cambria" w:hAnsi="Cambria"/>
          <w:i/>
          <w:sz w:val="16"/>
          <w:szCs w:val="16"/>
          <w:lang w:val="es-US"/>
        </w:rPr>
        <w:t xml:space="preserve">Caso Kimel Vs. </w:t>
      </w:r>
      <w:r w:rsidRPr="0086009F">
        <w:rPr>
          <w:rFonts w:ascii="Cambria" w:hAnsi="Cambria"/>
          <w:i/>
          <w:sz w:val="16"/>
          <w:szCs w:val="16"/>
          <w:lang w:val="es-ES"/>
        </w:rPr>
        <w:t>Argentina, supra.</w:t>
      </w:r>
    </w:p>
  </w:footnote>
  <w:footnote w:id="69">
    <w:p w14:paraId="3F6F36CA" w14:textId="6E683B98" w:rsidR="00945C50" w:rsidRPr="0086009F" w:rsidRDefault="00945C50" w:rsidP="00E4013E">
      <w:pPr>
        <w:pStyle w:val="footnote"/>
        <w:spacing w:after="0"/>
        <w:rPr>
          <w:rFonts w:ascii="Cambria" w:hAnsi="Cambria"/>
        </w:rPr>
      </w:pPr>
      <w:r w:rsidRPr="0086009F">
        <w:rPr>
          <w:rStyle w:val="FootnoteReference"/>
          <w:rFonts w:ascii="Cambria" w:hAnsi="Cambria"/>
        </w:rPr>
        <w:footnoteRef/>
      </w:r>
      <w:r w:rsidRPr="0086009F">
        <w:rPr>
          <w:rFonts w:ascii="Cambria" w:hAnsi="Cambria"/>
          <w:lang w:val="es-US"/>
        </w:rPr>
        <w:t xml:space="preserve"> Corte IDH. </w:t>
      </w:r>
      <w:r w:rsidRPr="0086009F">
        <w:rPr>
          <w:rFonts w:ascii="Cambria" w:hAnsi="Cambria"/>
          <w:i/>
        </w:rPr>
        <w:t>Caso Tristán Donoso Vs. Panamá</w:t>
      </w:r>
      <w:r w:rsidRPr="0086009F">
        <w:rPr>
          <w:rFonts w:ascii="Cambria" w:hAnsi="Cambria"/>
        </w:rPr>
        <w:t>. Excepción Preliminar, Fondo, Reparaciones y Costas. Sentencia de 27 de enero de 2009 Serie C No. 193. Párr. 122.</w:t>
      </w:r>
    </w:p>
  </w:footnote>
  <w:footnote w:id="70">
    <w:p w14:paraId="540BE614" w14:textId="6A8AF2EA" w:rsidR="00945C50" w:rsidRPr="0086009F" w:rsidRDefault="00945C50" w:rsidP="00E4013E">
      <w:pPr>
        <w:pStyle w:val="footnote"/>
        <w:spacing w:after="0"/>
        <w:rPr>
          <w:rFonts w:ascii="Cambria" w:hAnsi="Cambria"/>
        </w:rPr>
      </w:pPr>
      <w:r w:rsidRPr="0086009F">
        <w:rPr>
          <w:rStyle w:val="FootnoteReference"/>
          <w:rFonts w:ascii="Cambria" w:hAnsi="Cambria"/>
          <w:lang w:val="es-CO"/>
        </w:rPr>
        <w:footnoteRef/>
      </w:r>
      <w:r w:rsidRPr="0086009F">
        <w:rPr>
          <w:rFonts w:ascii="Cambria" w:hAnsi="Cambria"/>
        </w:rPr>
        <w:t xml:space="preserve"> CIDH, Alegatos ante la Corte Interamericana en el caso Herrera Ulloa Vs. Costa Rica. Transcritos en: Corte IDH. </w:t>
      </w:r>
      <w:r w:rsidRPr="0086009F">
        <w:rPr>
          <w:rFonts w:ascii="Cambria" w:hAnsi="Cambria"/>
          <w:i/>
        </w:rPr>
        <w:t>Caso Herrera Ulloa Vs. Costa Rica</w:t>
      </w:r>
      <w:r w:rsidRPr="0086009F">
        <w:rPr>
          <w:rFonts w:ascii="Cambria" w:hAnsi="Cambria"/>
        </w:rPr>
        <w:t xml:space="preserve">. Sentencia de 2 de julio de 2004. Serie C No. 107. Párr. 101.2); CIDH. Alegatos ante la Corte Interamericana en el caso Ricardo Canese Vs. Paraguay. Transcritos en: Corte IDH. </w:t>
      </w:r>
      <w:r w:rsidRPr="0086009F">
        <w:rPr>
          <w:rFonts w:ascii="Cambria" w:hAnsi="Cambria"/>
          <w:i/>
        </w:rPr>
        <w:t>Caso Ricardo Canese Vs. Paraguay</w:t>
      </w:r>
      <w:r w:rsidRPr="0086009F">
        <w:rPr>
          <w:rFonts w:ascii="Cambria" w:hAnsi="Cambria"/>
        </w:rPr>
        <w:t>. Sentencia de 31 de agosto de 2004. Serie C No. 111. Párr. 72.h).</w:t>
      </w:r>
    </w:p>
  </w:footnote>
  <w:footnote w:id="71">
    <w:p w14:paraId="678676D6" w14:textId="07004600" w:rsidR="00945C50" w:rsidRPr="0086009F" w:rsidRDefault="00945C50" w:rsidP="00E4013E">
      <w:pPr>
        <w:pStyle w:val="footnote"/>
        <w:spacing w:after="0"/>
        <w:rPr>
          <w:rFonts w:ascii="Cambria" w:hAnsi="Cambria"/>
        </w:rPr>
      </w:pPr>
      <w:r w:rsidRPr="0086009F">
        <w:rPr>
          <w:rStyle w:val="FootnoteReference"/>
          <w:rFonts w:ascii="Cambria" w:hAnsi="Cambria"/>
          <w:lang w:val="es-CO"/>
        </w:rPr>
        <w:footnoteRef/>
      </w:r>
      <w:r w:rsidRPr="0086009F">
        <w:rPr>
          <w:rFonts w:ascii="Cambria" w:hAnsi="Cambria"/>
        </w:rPr>
        <w:t xml:space="preserve"> Al respecto, el Principio 10 de la Declaración de Principios sobre Libertad de Expresión adoptada por la CIDH dispone que “[l]as leyes de privacidad no deben inhibir ni restringir la investigación y difusión de información de interés público. La protección a la reputación debe estar garantizada sólo a través de sanciones civiles, en los casos en que la persona ofendida sea un funcionario público o persona pública o particular que se haya involucrado voluntariamente en asuntos de interés público. Además, en estos casos, debe probarse que en la difusión de las noticias el comunicador tuvo intención de infligir daño o pleno conocimiento de que se estaba difundiendo noticias falsas o se condujo con manifiesta negligencia en la búsqueda de la verdad o falsedad de las mismas”. CIDH, Declaración de Principios sobre Libertad de Expresión Disponible en: </w:t>
      </w:r>
      <w:hyperlink r:id="rId8" w:history="1">
        <w:r w:rsidRPr="0086009F">
          <w:rPr>
            <w:rStyle w:val="Hyperlink"/>
            <w:rFonts w:ascii="Cambria" w:hAnsi="Cambria"/>
            <w:u w:color="A6A6A6" w:themeColor="background1" w:themeShade="A6"/>
            <w:lang w:val="es-CO"/>
          </w:rPr>
          <w:t>http://www.cidh.oas.org/basicos/basicos13.htm</w:t>
        </w:r>
      </w:hyperlink>
      <w:r w:rsidRPr="0086009F">
        <w:rPr>
          <w:rFonts w:ascii="Cambria" w:hAnsi="Cambria"/>
        </w:rPr>
        <w:t>.</w:t>
      </w:r>
    </w:p>
  </w:footnote>
  <w:footnote w:id="72">
    <w:p w14:paraId="7414CC52" w14:textId="6F95E541" w:rsidR="00945C50" w:rsidRPr="0086009F" w:rsidRDefault="00945C50" w:rsidP="00E4013E">
      <w:pPr>
        <w:jc w:val="both"/>
        <w:rPr>
          <w:rFonts w:ascii="Cambria" w:hAnsi="Cambria"/>
          <w:sz w:val="16"/>
          <w:szCs w:val="16"/>
          <w:lang w:val="es-CO"/>
        </w:rPr>
      </w:pPr>
      <w:r w:rsidRPr="0086009F">
        <w:rPr>
          <w:rStyle w:val="FootnoteReference"/>
          <w:rFonts w:ascii="Cambria" w:hAnsi="Cambria"/>
          <w:sz w:val="16"/>
          <w:szCs w:val="16"/>
          <w:lang w:val="es-CO"/>
        </w:rPr>
        <w:footnoteRef/>
      </w:r>
      <w:r w:rsidRPr="0086009F">
        <w:rPr>
          <w:rFonts w:ascii="Cambria" w:hAnsi="Cambria"/>
          <w:sz w:val="16"/>
          <w:szCs w:val="16"/>
          <w:lang w:val="pt-BR"/>
        </w:rPr>
        <w:t xml:space="preserve"> Corte IDH, </w:t>
      </w:r>
      <w:r w:rsidRPr="0086009F">
        <w:rPr>
          <w:rFonts w:ascii="Cambria" w:hAnsi="Cambria"/>
          <w:i/>
          <w:sz w:val="16"/>
          <w:szCs w:val="16"/>
          <w:lang w:val="pt-BR"/>
        </w:rPr>
        <w:t xml:space="preserve">Caso Herrera Ulloa Vs. </w:t>
      </w:r>
      <w:r w:rsidRPr="0086009F">
        <w:rPr>
          <w:rFonts w:ascii="Cambria" w:hAnsi="Cambria"/>
          <w:i/>
          <w:sz w:val="16"/>
          <w:szCs w:val="16"/>
          <w:lang w:val="es-CO"/>
        </w:rPr>
        <w:t>Costa Rica.</w:t>
      </w:r>
      <w:r w:rsidRPr="0086009F">
        <w:rPr>
          <w:rFonts w:ascii="Cambria" w:hAnsi="Cambria"/>
          <w:sz w:val="16"/>
          <w:szCs w:val="16"/>
          <w:lang w:val="es-CO"/>
        </w:rPr>
        <w:t xml:space="preserve"> Sentencia del 2 de julio de 2004. Serie C No. 107. Párr. 128.</w:t>
      </w:r>
    </w:p>
  </w:footnote>
  <w:footnote w:id="73">
    <w:p w14:paraId="5CEF6E28" w14:textId="21C42F20" w:rsidR="00945C50" w:rsidRPr="0086009F" w:rsidRDefault="00945C50" w:rsidP="00E4013E">
      <w:pPr>
        <w:jc w:val="both"/>
        <w:rPr>
          <w:rFonts w:ascii="Cambria" w:hAnsi="Cambria"/>
          <w:sz w:val="16"/>
          <w:szCs w:val="16"/>
          <w:lang w:val="es-CO"/>
        </w:rPr>
      </w:pPr>
      <w:r w:rsidRPr="0086009F">
        <w:rPr>
          <w:rStyle w:val="FootnoteReference"/>
          <w:rFonts w:ascii="Cambria" w:hAnsi="Cambria"/>
          <w:sz w:val="16"/>
          <w:szCs w:val="16"/>
          <w:lang w:val="es-CO"/>
        </w:rPr>
        <w:footnoteRef/>
      </w:r>
      <w:r w:rsidRPr="0086009F">
        <w:rPr>
          <w:rFonts w:ascii="Cambria" w:hAnsi="Cambria"/>
          <w:sz w:val="16"/>
          <w:szCs w:val="16"/>
          <w:lang w:val="es-CO"/>
        </w:rPr>
        <w:t xml:space="preserve"> CIDH. Alegatos ante la Corte Interamericana en el caso Herrera Ulloa Vs. Costa Rica. Transcritos en: Corte IDH, </w:t>
      </w:r>
      <w:r w:rsidRPr="0086009F">
        <w:rPr>
          <w:rFonts w:ascii="Cambria" w:hAnsi="Cambria"/>
          <w:i/>
          <w:sz w:val="16"/>
          <w:szCs w:val="16"/>
          <w:lang w:val="es-CO"/>
        </w:rPr>
        <w:t xml:space="preserve">Caso Herrera Ulloa Vs. Costa Rica. </w:t>
      </w:r>
      <w:r w:rsidRPr="0086009F">
        <w:rPr>
          <w:rFonts w:ascii="Cambria" w:hAnsi="Cambria"/>
          <w:sz w:val="16"/>
          <w:szCs w:val="16"/>
          <w:lang w:val="es-CO"/>
        </w:rPr>
        <w:t xml:space="preserve">Sentencia de 2 de julio de 2004. Serie C No. 107. Párr. 101.2); Alegatos ante la Corte Interamericana en el caso Ricardo Canese Vs. Paraguay. Transcritos en: Corte IDH, </w:t>
      </w:r>
      <w:r w:rsidRPr="0086009F">
        <w:rPr>
          <w:rFonts w:ascii="Cambria" w:hAnsi="Cambria"/>
          <w:i/>
          <w:sz w:val="16"/>
          <w:szCs w:val="16"/>
          <w:lang w:val="es-CO"/>
        </w:rPr>
        <w:t>Caso Ricardo Canese Vs. Paraguay.</w:t>
      </w:r>
      <w:r w:rsidRPr="0086009F">
        <w:rPr>
          <w:rFonts w:ascii="Cambria" w:hAnsi="Cambria"/>
          <w:sz w:val="16"/>
          <w:szCs w:val="16"/>
          <w:lang w:val="es-CO"/>
        </w:rPr>
        <w:t xml:space="preserve"> Sentencia de 31 de agosto de 2004. Serie C No. 111. Párr. 72.h).</w:t>
      </w:r>
    </w:p>
  </w:footnote>
  <w:footnote w:id="74">
    <w:p w14:paraId="3D095C50" w14:textId="77BC162E"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rPr>
        <w:footnoteRef/>
      </w:r>
      <w:r w:rsidRPr="0086009F">
        <w:rPr>
          <w:rFonts w:ascii="Cambria" w:hAnsi="Cambria"/>
          <w:sz w:val="16"/>
          <w:szCs w:val="16"/>
          <w:lang w:val="es-ES"/>
        </w:rPr>
        <w:t xml:space="preserve"> ONU. Comité de Derechos Humanos. Observación General Nº 34: Artículo 19 Libertad de opinión y libertad de expresión. 12 de septiembre de 2011. Párr. 47.</w:t>
      </w:r>
    </w:p>
  </w:footnote>
  <w:footnote w:id="75">
    <w:p w14:paraId="6861E4D9" w14:textId="02420B87"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lang w:val="es-ES"/>
        </w:rPr>
        <w:footnoteRef/>
      </w:r>
      <w:r w:rsidRPr="0086009F">
        <w:rPr>
          <w:rFonts w:ascii="Cambria" w:hAnsi="Cambria"/>
          <w:sz w:val="16"/>
          <w:szCs w:val="16"/>
          <w:lang w:val="es-ES"/>
        </w:rPr>
        <w:t xml:space="preserve"> Ver, por ejemplo, TEDH. </w:t>
      </w:r>
      <w:r w:rsidRPr="0086009F">
        <w:rPr>
          <w:rFonts w:ascii="Cambria" w:hAnsi="Cambria"/>
          <w:i/>
          <w:sz w:val="16"/>
          <w:szCs w:val="16"/>
          <w:lang w:val="es-ES"/>
        </w:rPr>
        <w:t>Castells v. España.</w:t>
      </w:r>
      <w:r w:rsidRPr="0086009F">
        <w:rPr>
          <w:rFonts w:ascii="Cambria" w:hAnsi="Cambria"/>
          <w:sz w:val="16"/>
          <w:szCs w:val="16"/>
          <w:lang w:val="es-ES"/>
        </w:rPr>
        <w:t xml:space="preserve"> No. 11798/85. Sentencia de 23 de abril de 1992; </w:t>
      </w:r>
      <w:r w:rsidRPr="0086009F">
        <w:rPr>
          <w:rFonts w:ascii="Cambria" w:hAnsi="Cambria"/>
          <w:i/>
          <w:sz w:val="16"/>
          <w:szCs w:val="16"/>
          <w:lang w:val="es-ES"/>
        </w:rPr>
        <w:t>Dalban v. Rumania.</w:t>
      </w:r>
      <w:r w:rsidRPr="0086009F">
        <w:rPr>
          <w:rFonts w:ascii="Cambria" w:hAnsi="Cambria"/>
          <w:sz w:val="16"/>
          <w:szCs w:val="16"/>
          <w:lang w:val="es-ES"/>
        </w:rPr>
        <w:t xml:space="preserve"> No. 28114/95. Sentencia de 28 de septiembre de 1999; </w:t>
      </w:r>
      <w:r w:rsidRPr="0086009F">
        <w:rPr>
          <w:rFonts w:ascii="Cambria" w:hAnsi="Cambria"/>
          <w:i/>
          <w:sz w:val="16"/>
          <w:szCs w:val="16"/>
          <w:lang w:val="es-ES"/>
        </w:rPr>
        <w:t>Şener vs. Turquía.</w:t>
      </w:r>
      <w:r w:rsidRPr="0086009F">
        <w:rPr>
          <w:rFonts w:ascii="Cambria" w:hAnsi="Cambria"/>
          <w:sz w:val="16"/>
          <w:szCs w:val="16"/>
          <w:lang w:val="es-ES"/>
        </w:rPr>
        <w:t xml:space="preserve"> No. 26680/95. Sentencia de 18 de julio de 2000; </w:t>
      </w:r>
      <w:r w:rsidRPr="0086009F">
        <w:rPr>
          <w:rFonts w:ascii="Cambria" w:hAnsi="Cambria"/>
          <w:i/>
          <w:sz w:val="16"/>
          <w:szCs w:val="16"/>
          <w:lang w:val="es-ES"/>
        </w:rPr>
        <w:t>Halis v. Turquía.</w:t>
      </w:r>
      <w:r w:rsidRPr="0086009F">
        <w:rPr>
          <w:rFonts w:ascii="Cambria" w:hAnsi="Cambria"/>
          <w:sz w:val="16"/>
          <w:szCs w:val="16"/>
          <w:lang w:val="es-ES"/>
        </w:rPr>
        <w:t xml:space="preserve"> No. 30007/96. Sentencia de 11 de enero de 2005; </w:t>
      </w:r>
      <w:r w:rsidRPr="0086009F">
        <w:rPr>
          <w:rFonts w:ascii="Cambria" w:hAnsi="Cambria"/>
          <w:i/>
          <w:sz w:val="16"/>
          <w:szCs w:val="16"/>
          <w:lang w:val="es-ES"/>
        </w:rPr>
        <w:t>Fatullayev v. Azerbaijan.</w:t>
      </w:r>
      <w:r w:rsidRPr="0086009F">
        <w:rPr>
          <w:rFonts w:ascii="Cambria" w:hAnsi="Cambria"/>
          <w:sz w:val="16"/>
          <w:szCs w:val="16"/>
          <w:lang w:val="es-ES"/>
        </w:rPr>
        <w:t xml:space="preserve"> No. 40984/07. Sentencia de 22 de abril de 2010, y </w:t>
      </w:r>
      <w:r w:rsidRPr="0086009F">
        <w:rPr>
          <w:rFonts w:ascii="Cambria" w:hAnsi="Cambria"/>
          <w:i/>
          <w:sz w:val="16"/>
          <w:szCs w:val="16"/>
          <w:lang w:val="es-ES"/>
        </w:rPr>
        <w:t>Gutiérrez Suarez v. España.</w:t>
      </w:r>
      <w:r w:rsidRPr="0086009F">
        <w:rPr>
          <w:rFonts w:ascii="Cambria" w:hAnsi="Cambria"/>
          <w:sz w:val="16"/>
          <w:szCs w:val="16"/>
          <w:lang w:val="es-ES"/>
        </w:rPr>
        <w:t xml:space="preserve"> No. 16023/07. Sentencia de 1 de junio de 2010. </w:t>
      </w:r>
    </w:p>
  </w:footnote>
  <w:footnote w:id="76">
    <w:p w14:paraId="0E953D64" w14:textId="5087C541"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lang w:val="es-ES"/>
        </w:rPr>
        <w:footnoteRef/>
      </w:r>
      <w:r w:rsidRPr="0086009F">
        <w:rPr>
          <w:rFonts w:ascii="Cambria" w:hAnsi="Cambria"/>
          <w:sz w:val="16"/>
          <w:szCs w:val="16"/>
          <w:lang w:val="es-ES"/>
        </w:rPr>
        <w:t xml:space="preserve"> TEDH. </w:t>
      </w:r>
      <w:r w:rsidRPr="0086009F">
        <w:rPr>
          <w:rFonts w:ascii="Cambria" w:hAnsi="Cambria"/>
          <w:i/>
          <w:sz w:val="16"/>
          <w:szCs w:val="16"/>
          <w:lang w:val="es-ES"/>
        </w:rPr>
        <w:t>Castells v. España.</w:t>
      </w:r>
      <w:r w:rsidRPr="0086009F">
        <w:rPr>
          <w:rFonts w:ascii="Cambria" w:hAnsi="Cambria"/>
          <w:sz w:val="16"/>
          <w:szCs w:val="16"/>
          <w:lang w:val="es-ES"/>
        </w:rPr>
        <w:t xml:space="preserve"> No. 11798/85. Sentencia de 23 de abril de 1992. </w:t>
      </w:r>
    </w:p>
  </w:footnote>
  <w:footnote w:id="77">
    <w:p w14:paraId="0E60CFAA" w14:textId="3EB4C2F4"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lang w:val="es-ES"/>
        </w:rPr>
        <w:footnoteRef/>
      </w:r>
      <w:r w:rsidRPr="0086009F">
        <w:rPr>
          <w:rFonts w:ascii="Cambria" w:hAnsi="Cambria"/>
          <w:sz w:val="16"/>
          <w:szCs w:val="16"/>
          <w:lang w:val="es-ES"/>
        </w:rPr>
        <w:t xml:space="preserve"> TEDH. </w:t>
      </w:r>
      <w:r w:rsidRPr="0086009F">
        <w:rPr>
          <w:rFonts w:ascii="Cambria" w:hAnsi="Cambria"/>
          <w:i/>
          <w:iCs/>
          <w:sz w:val="16"/>
          <w:szCs w:val="16"/>
          <w:lang w:val="es-ES"/>
        </w:rPr>
        <w:t>Cumpănă y Mazăre v. Rumania</w:t>
      </w:r>
      <w:r w:rsidRPr="0086009F">
        <w:rPr>
          <w:rFonts w:ascii="Cambria" w:hAnsi="Cambria"/>
          <w:sz w:val="16"/>
          <w:szCs w:val="16"/>
          <w:lang w:val="es-ES"/>
        </w:rPr>
        <w:t xml:space="preserve">. No. 33348/96. Sentencia de 17 de diciembre de 2004. Párr. 115; </w:t>
      </w:r>
      <w:r w:rsidRPr="0086009F">
        <w:rPr>
          <w:rFonts w:ascii="Cambria" w:hAnsi="Cambria"/>
          <w:i/>
          <w:sz w:val="16"/>
          <w:szCs w:val="16"/>
          <w:lang w:val="es-ES"/>
        </w:rPr>
        <w:t>Fatullayev v. Azerbaijan.</w:t>
      </w:r>
      <w:r w:rsidRPr="0086009F">
        <w:rPr>
          <w:rFonts w:ascii="Cambria" w:hAnsi="Cambria"/>
          <w:sz w:val="16"/>
          <w:szCs w:val="16"/>
          <w:lang w:val="es-ES"/>
        </w:rPr>
        <w:t xml:space="preserve">  No. 40984/07. Sentencia de 22 de abril de 2010. Párr. 103, y </w:t>
      </w:r>
      <w:r w:rsidRPr="0086009F">
        <w:rPr>
          <w:rFonts w:ascii="Cambria" w:hAnsi="Cambria"/>
          <w:i/>
          <w:sz w:val="16"/>
          <w:szCs w:val="16"/>
          <w:lang w:val="es-ES"/>
        </w:rPr>
        <w:t xml:space="preserve">Otegi Mondragon v. España. </w:t>
      </w:r>
      <w:r w:rsidRPr="0086009F">
        <w:rPr>
          <w:rFonts w:ascii="Cambria" w:hAnsi="Cambria"/>
          <w:sz w:val="16"/>
          <w:szCs w:val="16"/>
          <w:lang w:val="es-ES"/>
        </w:rPr>
        <w:t xml:space="preserve">No. 2034/07. Sentencia de 15 de septiembre de 2011. Párr. 59. </w:t>
      </w:r>
    </w:p>
  </w:footnote>
  <w:footnote w:id="78">
    <w:p w14:paraId="330B7849" w14:textId="3C5CE9E6"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lang w:val="es-ES"/>
        </w:rPr>
        <w:footnoteRef/>
      </w:r>
      <w:r w:rsidRPr="0086009F">
        <w:rPr>
          <w:rFonts w:ascii="Cambria" w:hAnsi="Cambria"/>
          <w:sz w:val="16"/>
          <w:szCs w:val="16"/>
          <w:lang w:val="es-PE"/>
        </w:rPr>
        <w:t xml:space="preserve"> TEDH. </w:t>
      </w:r>
      <w:r w:rsidRPr="0086009F">
        <w:rPr>
          <w:rFonts w:ascii="Cambria" w:hAnsi="Cambria"/>
          <w:i/>
          <w:sz w:val="16"/>
          <w:szCs w:val="16"/>
          <w:lang w:val="es-PE"/>
        </w:rPr>
        <w:t>Otegi Mondragon v. España</w:t>
      </w:r>
      <w:r w:rsidRPr="0086009F">
        <w:rPr>
          <w:rFonts w:ascii="Cambria" w:hAnsi="Cambria"/>
          <w:sz w:val="16"/>
          <w:szCs w:val="16"/>
          <w:lang w:val="es-PE"/>
        </w:rPr>
        <w:t xml:space="preserve">. No. 2034/07. </w:t>
      </w:r>
      <w:r w:rsidRPr="0086009F">
        <w:rPr>
          <w:rFonts w:ascii="Cambria" w:hAnsi="Cambria"/>
          <w:sz w:val="16"/>
          <w:szCs w:val="16"/>
          <w:lang w:val="es-ES"/>
        </w:rPr>
        <w:t xml:space="preserve">Sentencia de </w:t>
      </w:r>
      <w:r w:rsidRPr="0086009F">
        <w:rPr>
          <w:rFonts w:ascii="Cambria" w:hAnsi="Cambria"/>
          <w:sz w:val="16"/>
          <w:szCs w:val="16"/>
          <w:lang w:val="es-PE"/>
        </w:rPr>
        <w:t>15 de septiembre de 201. Párrs. 50 y 59.</w:t>
      </w:r>
    </w:p>
  </w:footnote>
  <w:footnote w:id="79">
    <w:p w14:paraId="5A1265F4" w14:textId="5F85B644"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lang w:val="es-ES"/>
        </w:rPr>
        <w:footnoteRef/>
      </w:r>
      <w:r w:rsidRPr="0086009F">
        <w:rPr>
          <w:rFonts w:ascii="Cambria" w:hAnsi="Cambria"/>
          <w:sz w:val="16"/>
          <w:szCs w:val="16"/>
          <w:lang w:val="es-PE"/>
        </w:rPr>
        <w:t xml:space="preserve"> TEDH. </w:t>
      </w:r>
      <w:r w:rsidRPr="0086009F">
        <w:rPr>
          <w:rFonts w:ascii="Cambria" w:hAnsi="Cambria"/>
          <w:i/>
          <w:iCs/>
          <w:sz w:val="16"/>
          <w:szCs w:val="16"/>
          <w:lang w:val="es-PE"/>
        </w:rPr>
        <w:t>Cumpănă y Mazăre v. Rumania</w:t>
      </w:r>
      <w:r w:rsidRPr="0086009F">
        <w:rPr>
          <w:rFonts w:ascii="Cambria" w:hAnsi="Cambria"/>
          <w:sz w:val="16"/>
          <w:szCs w:val="16"/>
          <w:lang w:val="es-PE"/>
        </w:rPr>
        <w:t xml:space="preserve">. No. 33348/96. </w:t>
      </w:r>
      <w:r w:rsidRPr="0086009F">
        <w:rPr>
          <w:rFonts w:ascii="Cambria" w:hAnsi="Cambria"/>
          <w:sz w:val="16"/>
          <w:szCs w:val="16"/>
          <w:lang w:val="es-ES"/>
        </w:rPr>
        <w:t xml:space="preserve">Sentencia de </w:t>
      </w:r>
      <w:r w:rsidRPr="0086009F">
        <w:rPr>
          <w:rFonts w:ascii="Cambria" w:hAnsi="Cambria"/>
          <w:sz w:val="16"/>
          <w:szCs w:val="16"/>
          <w:lang w:val="es-PE"/>
        </w:rPr>
        <w:t xml:space="preserve">17 de diciembre de 2004. Párrs. 113 a 114, y </w:t>
      </w:r>
      <w:r w:rsidRPr="0086009F">
        <w:rPr>
          <w:rFonts w:ascii="Cambria" w:hAnsi="Cambria"/>
          <w:i/>
          <w:sz w:val="16"/>
          <w:szCs w:val="16"/>
          <w:lang w:val="es-PE"/>
        </w:rPr>
        <w:t>Fatullayev v. Azerbaijan.</w:t>
      </w:r>
      <w:r w:rsidRPr="0086009F">
        <w:rPr>
          <w:rFonts w:ascii="Cambria" w:hAnsi="Cambria"/>
          <w:sz w:val="16"/>
          <w:szCs w:val="16"/>
          <w:lang w:val="es-PE"/>
        </w:rPr>
        <w:t xml:space="preserve">  No. 40984/07. </w:t>
      </w:r>
      <w:r w:rsidRPr="0086009F">
        <w:rPr>
          <w:rFonts w:ascii="Cambria" w:hAnsi="Cambria"/>
          <w:sz w:val="16"/>
          <w:szCs w:val="16"/>
          <w:lang w:val="es-ES"/>
        </w:rPr>
        <w:t xml:space="preserve">Sentencia de </w:t>
      </w:r>
      <w:r w:rsidRPr="0086009F">
        <w:rPr>
          <w:rFonts w:ascii="Cambria" w:hAnsi="Cambria"/>
          <w:sz w:val="16"/>
          <w:szCs w:val="16"/>
          <w:lang w:val="es-PE"/>
        </w:rPr>
        <w:t xml:space="preserve">22 de abril de 2010. Párr. 102. </w:t>
      </w:r>
    </w:p>
  </w:footnote>
  <w:footnote w:id="80">
    <w:p w14:paraId="0EDE2EE4" w14:textId="5A85B1D4"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vertAlign w:val="superscript"/>
          <w:lang w:val="es-PE"/>
        </w:rPr>
        <w:t xml:space="preserve">  </w:t>
      </w:r>
      <w:r w:rsidRPr="0086009F">
        <w:rPr>
          <w:rFonts w:ascii="Cambria" w:hAnsi="Cambria"/>
          <w:sz w:val="16"/>
          <w:szCs w:val="16"/>
          <w:lang w:val="es-PE"/>
        </w:rPr>
        <w:t xml:space="preserve">Corte Africana de Derechos Humanos y de los Pueblos. </w:t>
      </w:r>
      <w:r w:rsidRPr="0086009F">
        <w:rPr>
          <w:rFonts w:ascii="Cambria" w:hAnsi="Cambria"/>
          <w:i/>
          <w:sz w:val="16"/>
          <w:szCs w:val="16"/>
          <w:lang w:val="pt-BR"/>
        </w:rPr>
        <w:t>Lohé Issa Konaté Vs. Burkina Faso.</w:t>
      </w:r>
      <w:r w:rsidRPr="0086009F">
        <w:rPr>
          <w:rFonts w:ascii="Cambria" w:hAnsi="Cambria"/>
          <w:sz w:val="16"/>
          <w:szCs w:val="16"/>
          <w:lang w:val="pt-BR"/>
        </w:rPr>
        <w:t xml:space="preserve"> </w:t>
      </w:r>
      <w:r w:rsidRPr="0086009F">
        <w:rPr>
          <w:rFonts w:ascii="Cambria" w:hAnsi="Cambria"/>
          <w:sz w:val="16"/>
          <w:szCs w:val="16"/>
          <w:lang w:val="es-PE"/>
        </w:rPr>
        <w:t>Aplicación No. 004/2013. Sentencia de 5 de Diciembre de 2014. Párr. 155.</w:t>
      </w:r>
    </w:p>
  </w:footnote>
  <w:footnote w:id="81">
    <w:p w14:paraId="7CB98DDB" w14:textId="5604094D"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Corte Africana de Derechos Humanos y de los Pueblos. </w:t>
      </w:r>
      <w:r w:rsidRPr="0086009F">
        <w:rPr>
          <w:rFonts w:ascii="Cambria" w:hAnsi="Cambria"/>
          <w:i/>
          <w:sz w:val="16"/>
          <w:szCs w:val="16"/>
          <w:lang w:val="pt-BR"/>
        </w:rPr>
        <w:t>Lohé Issa Konaté Vs.. Burkina Faso.</w:t>
      </w:r>
      <w:r w:rsidRPr="0086009F">
        <w:rPr>
          <w:rFonts w:ascii="Cambria" w:hAnsi="Cambria"/>
          <w:sz w:val="16"/>
          <w:szCs w:val="16"/>
          <w:lang w:val="pt-BR"/>
        </w:rPr>
        <w:t xml:space="preserve"> </w:t>
      </w:r>
      <w:r w:rsidRPr="0086009F">
        <w:rPr>
          <w:rFonts w:ascii="Cambria" w:hAnsi="Cambria"/>
          <w:sz w:val="16"/>
          <w:szCs w:val="16"/>
          <w:lang w:val="es-PE"/>
        </w:rPr>
        <w:t>Aplicación No. 004/2013. Sentencia de 5 de Diciembre de 2014. Párr. 164.</w:t>
      </w:r>
    </w:p>
  </w:footnote>
  <w:footnote w:id="82">
    <w:p w14:paraId="75841120" w14:textId="73E5AF67"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rPr>
        <w:footnoteRef/>
      </w:r>
      <w:r w:rsidRPr="0086009F">
        <w:rPr>
          <w:rFonts w:ascii="Cambria" w:hAnsi="Cambria"/>
          <w:sz w:val="16"/>
          <w:szCs w:val="16"/>
          <w:lang w:val="es-PE"/>
        </w:rPr>
        <w:t xml:space="preserve"> Corte Africana de Derechos Humanos y de los Pueblos. </w:t>
      </w:r>
      <w:r w:rsidRPr="0086009F">
        <w:rPr>
          <w:rFonts w:ascii="Cambria" w:hAnsi="Cambria"/>
          <w:i/>
          <w:sz w:val="16"/>
          <w:szCs w:val="16"/>
          <w:lang w:val="pt-BR"/>
        </w:rPr>
        <w:t>Lohé Issa Konaté Vs.. Burkina Faso.</w:t>
      </w:r>
      <w:r w:rsidRPr="0086009F">
        <w:rPr>
          <w:rFonts w:ascii="Cambria" w:hAnsi="Cambria"/>
          <w:sz w:val="16"/>
          <w:szCs w:val="16"/>
          <w:lang w:val="pt-BR"/>
        </w:rPr>
        <w:t xml:space="preserve"> </w:t>
      </w:r>
      <w:r w:rsidRPr="0086009F">
        <w:rPr>
          <w:rFonts w:ascii="Cambria" w:hAnsi="Cambria"/>
          <w:sz w:val="16"/>
          <w:szCs w:val="16"/>
          <w:lang w:val="es-PE"/>
        </w:rPr>
        <w:t xml:space="preserve">Aplicación No. 004/2013. Sentencia de 5 de Diciembre de 2014. </w:t>
      </w:r>
      <w:r w:rsidRPr="0086009F">
        <w:rPr>
          <w:rFonts w:ascii="Cambria" w:hAnsi="Cambria"/>
          <w:sz w:val="16"/>
          <w:szCs w:val="16"/>
          <w:lang w:val="es-ES"/>
        </w:rPr>
        <w:t>Párr. 165.</w:t>
      </w:r>
    </w:p>
  </w:footnote>
  <w:footnote w:id="83">
    <w:p w14:paraId="30705648" w14:textId="4E2C0E90"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TEDH. Steel y Morris c. Reino Unido. No. 68416/01. Sentencia de 15 de febrero de 2005. Párr 89. </w:t>
      </w:r>
    </w:p>
  </w:footnote>
  <w:footnote w:id="84">
    <w:p w14:paraId="60AAE464" w14:textId="599B9226"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TEDH. Vides Aizsardzibas Klubs Vs. Latvia. No. 57829/00. Sentencia de 27 de mayo de 2004.</w:t>
      </w:r>
    </w:p>
  </w:footnote>
  <w:footnote w:id="85">
    <w:p w14:paraId="7F6FA42E" w14:textId="41C7F25A" w:rsidR="00945C50" w:rsidRPr="0086009F" w:rsidRDefault="00945C50" w:rsidP="00E4013E">
      <w:pPr>
        <w:pStyle w:val="FootnoteText"/>
        <w:rPr>
          <w:rFonts w:ascii="Cambria" w:hAnsi="Cambria"/>
          <w:color w:val="auto"/>
          <w:lang w:val="es-PE"/>
        </w:rPr>
      </w:pPr>
      <w:r w:rsidRPr="0086009F">
        <w:rPr>
          <w:rStyle w:val="FootnoteReference"/>
          <w:rFonts w:ascii="Cambria" w:hAnsi="Cambria"/>
          <w:color w:val="auto"/>
        </w:rPr>
        <w:footnoteRef/>
      </w:r>
      <w:r w:rsidRPr="0086009F">
        <w:rPr>
          <w:rFonts w:ascii="Cambria" w:hAnsi="Cambria"/>
          <w:color w:val="auto"/>
          <w:lang w:val="es-PE"/>
        </w:rPr>
        <w:t xml:space="preserve"> ONU. Consejo de Derechos Humanos. Reconocimiento de la contribución que hacen los defensores de los derechos humanos relacionados con el medio ambiente al disfrute de los derechos humanos, la protección del medio ambiente y el desarrollo sostenible. Resolución A/HRC/40/L.22/Rev.1. 20 de marzo de 2019. Párrs. 14.b) y 15.</w:t>
      </w:r>
    </w:p>
  </w:footnote>
  <w:footnote w:id="86">
    <w:p w14:paraId="1DA9A9F0" w14:textId="4A4AB742" w:rsidR="00945C50" w:rsidRPr="0086009F" w:rsidRDefault="00945C50" w:rsidP="00E4013E">
      <w:pPr>
        <w:pStyle w:val="FootnoteText"/>
        <w:tabs>
          <w:tab w:val="left" w:pos="567"/>
        </w:tabs>
        <w:rPr>
          <w:rFonts w:ascii="Cambria" w:hAnsi="Cambria" w:cs="Times New Roman"/>
          <w:color w:val="auto"/>
          <w:spacing w:val="-2"/>
          <w:lang w:val="es-ES_tradnl"/>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w:t>
      </w:r>
      <w:r w:rsidRPr="0086009F">
        <w:rPr>
          <w:rFonts w:ascii="Cambria" w:hAnsi="Cambria"/>
          <w:i/>
          <w:iCs/>
          <w:color w:val="auto"/>
          <w:spacing w:val="-2"/>
          <w:lang w:val="es-PE"/>
        </w:rPr>
        <w:t>Caso Kimel Vs. Argentina, supra</w:t>
      </w:r>
      <w:r w:rsidRPr="0086009F">
        <w:rPr>
          <w:rFonts w:ascii="Cambria" w:hAnsi="Cambria"/>
          <w:color w:val="auto"/>
          <w:spacing w:val="-2"/>
          <w:lang w:val="es-PE"/>
        </w:rPr>
        <w:t xml:space="preserve">. Párr. 51, y </w:t>
      </w:r>
      <w:r w:rsidRPr="0086009F">
        <w:rPr>
          <w:rFonts w:ascii="Cambria" w:hAnsi="Cambria"/>
          <w:i/>
          <w:iCs/>
          <w:color w:val="auto"/>
          <w:spacing w:val="-2"/>
          <w:lang w:val="es-PE"/>
        </w:rPr>
        <w:t>Caso Mémoli Vs. Argentina</w:t>
      </w:r>
      <w:r w:rsidRPr="0086009F">
        <w:rPr>
          <w:rFonts w:ascii="Cambria" w:hAnsi="Cambria"/>
          <w:i/>
          <w:lang w:val="es-ES"/>
        </w:rPr>
        <w:t>.</w:t>
      </w:r>
      <w:r w:rsidRPr="0086009F">
        <w:rPr>
          <w:rFonts w:ascii="Cambria" w:hAnsi="Cambria"/>
          <w:lang w:val="es-ES"/>
        </w:rPr>
        <w:t xml:space="preserve"> Excepciones Preliminares, </w:t>
      </w:r>
      <w:r w:rsidRPr="0086009F">
        <w:rPr>
          <w:rFonts w:ascii="Cambria" w:hAnsi="Cambria"/>
          <w:color w:val="auto"/>
          <w:spacing w:val="-2"/>
          <w:lang w:val="es-PE"/>
        </w:rPr>
        <w:t>Fondo, Reparaciones y Costas. Sentencia de 2</w:t>
      </w:r>
      <w:r w:rsidRPr="0086009F">
        <w:rPr>
          <w:rFonts w:ascii="Cambria" w:hAnsi="Cambria"/>
          <w:spacing w:val="-2"/>
          <w:lang w:val="es-PE"/>
        </w:rPr>
        <w:t>2 de agosto</w:t>
      </w:r>
      <w:r w:rsidRPr="0086009F">
        <w:rPr>
          <w:rFonts w:ascii="Cambria" w:hAnsi="Cambria"/>
          <w:color w:val="auto"/>
          <w:spacing w:val="-2"/>
          <w:lang w:val="es-PE"/>
        </w:rPr>
        <w:t xml:space="preserve"> de 201</w:t>
      </w:r>
      <w:r w:rsidRPr="0086009F">
        <w:rPr>
          <w:rFonts w:ascii="Cambria" w:hAnsi="Cambria"/>
          <w:spacing w:val="-2"/>
          <w:lang w:val="es-PE"/>
        </w:rPr>
        <w:t>3</w:t>
      </w:r>
      <w:r w:rsidRPr="0086009F">
        <w:rPr>
          <w:rFonts w:ascii="Cambria" w:hAnsi="Cambria"/>
          <w:color w:val="auto"/>
          <w:spacing w:val="-2"/>
          <w:lang w:val="es-PE"/>
        </w:rPr>
        <w:t>. Serie C No. 2</w:t>
      </w:r>
      <w:r w:rsidRPr="0086009F">
        <w:rPr>
          <w:rFonts w:ascii="Cambria" w:hAnsi="Cambria"/>
          <w:spacing w:val="-2"/>
          <w:lang w:val="es-PE"/>
        </w:rPr>
        <w:t>65</w:t>
      </w:r>
      <w:r w:rsidRPr="0086009F">
        <w:rPr>
          <w:rFonts w:ascii="Cambria" w:hAnsi="Cambria"/>
          <w:color w:val="auto"/>
          <w:lang w:val="es-PE"/>
        </w:rPr>
        <w:t xml:space="preserve">. Párr. </w:t>
      </w:r>
      <w:r w:rsidRPr="0086009F">
        <w:rPr>
          <w:rFonts w:ascii="Cambria" w:hAnsi="Cambria"/>
          <w:lang w:val="es-PE"/>
        </w:rPr>
        <w:t>127.</w:t>
      </w:r>
    </w:p>
  </w:footnote>
  <w:footnote w:id="87">
    <w:p w14:paraId="735E03F9" w14:textId="23A8FD27" w:rsidR="00945C50" w:rsidRPr="0086009F" w:rsidRDefault="00945C50" w:rsidP="00E4013E">
      <w:pPr>
        <w:pStyle w:val="FootnoteText"/>
        <w:tabs>
          <w:tab w:val="left" w:pos="567"/>
        </w:tabs>
        <w:rPr>
          <w:rFonts w:ascii="Cambria" w:hAnsi="Cambria" w:cs="Times New Roman"/>
          <w:color w:val="auto"/>
          <w:spacing w:val="-2"/>
          <w:lang w:val="es-PE"/>
        </w:rPr>
      </w:pPr>
      <w:r w:rsidRPr="0086009F">
        <w:rPr>
          <w:rStyle w:val="FootnoteReference"/>
          <w:rFonts w:ascii="Cambria" w:eastAsia="Batang" w:hAnsi="Cambria" w:cs="Times New Roman"/>
          <w:color w:val="auto"/>
          <w:spacing w:val="-2"/>
        </w:rPr>
        <w:footnoteRef/>
      </w:r>
      <w:r w:rsidRPr="0086009F">
        <w:rPr>
          <w:rFonts w:ascii="Cambria" w:hAnsi="Cambria"/>
          <w:color w:val="auto"/>
          <w:spacing w:val="-2"/>
          <w:lang w:val="es-PE"/>
        </w:rPr>
        <w:t xml:space="preserve"> </w:t>
      </w:r>
      <w:r w:rsidRPr="0086009F">
        <w:rPr>
          <w:rFonts w:ascii="Cambria" w:hAnsi="Cambria"/>
          <w:i/>
          <w:iCs/>
          <w:color w:val="auto"/>
          <w:spacing w:val="-2"/>
          <w:lang w:val="es-PE"/>
        </w:rPr>
        <w:t xml:space="preserve"> </w:t>
      </w:r>
      <w:r w:rsidRPr="0086009F">
        <w:rPr>
          <w:rFonts w:ascii="Cambria" w:hAnsi="Cambria"/>
          <w:lang w:val="es-VE"/>
        </w:rPr>
        <w:t xml:space="preserve">Corte IDH. </w:t>
      </w:r>
      <w:r w:rsidRPr="0086009F">
        <w:rPr>
          <w:rFonts w:ascii="Cambria" w:hAnsi="Cambria"/>
          <w:i/>
          <w:iCs/>
          <w:color w:val="auto"/>
          <w:spacing w:val="-2"/>
          <w:lang w:val="es-PE"/>
        </w:rPr>
        <w:t>Caso Kimel Vs. Argentina, supra</w:t>
      </w:r>
      <w:r w:rsidRPr="0086009F">
        <w:rPr>
          <w:rFonts w:ascii="Cambria" w:hAnsi="Cambria"/>
          <w:color w:val="auto"/>
          <w:spacing w:val="-2"/>
          <w:lang w:val="es-PE"/>
        </w:rPr>
        <w:t xml:space="preserve">. Párr. 51, y </w:t>
      </w:r>
      <w:r w:rsidRPr="0086009F">
        <w:rPr>
          <w:rFonts w:ascii="Cambria" w:hAnsi="Cambria"/>
          <w:i/>
          <w:color w:val="auto"/>
          <w:lang w:val="es-ES"/>
        </w:rPr>
        <w:t>Caso Mémoli</w:t>
      </w:r>
      <w:r w:rsidRPr="0086009F">
        <w:rPr>
          <w:rFonts w:ascii="Cambria" w:hAnsi="Cambria"/>
          <w:i/>
          <w:lang w:val="es-ES"/>
        </w:rPr>
        <w:t xml:space="preserve"> Vs. Argentina.</w:t>
      </w:r>
      <w:r w:rsidRPr="0086009F">
        <w:rPr>
          <w:rFonts w:ascii="Cambria" w:hAnsi="Cambria"/>
          <w:lang w:val="es-ES"/>
        </w:rPr>
        <w:t xml:space="preserve"> Excepciones Preliminares, </w:t>
      </w:r>
      <w:r w:rsidRPr="0086009F">
        <w:rPr>
          <w:rFonts w:ascii="Cambria" w:hAnsi="Cambria"/>
          <w:color w:val="auto"/>
          <w:spacing w:val="-2"/>
          <w:lang w:val="es-PE"/>
        </w:rPr>
        <w:t>Fondo, Reparaciones y Costas. Sentencia de 2</w:t>
      </w:r>
      <w:r w:rsidRPr="0086009F">
        <w:rPr>
          <w:rFonts w:ascii="Cambria" w:hAnsi="Cambria"/>
          <w:spacing w:val="-2"/>
          <w:lang w:val="es-PE"/>
        </w:rPr>
        <w:t>2 de agosto</w:t>
      </w:r>
      <w:r w:rsidRPr="0086009F">
        <w:rPr>
          <w:rFonts w:ascii="Cambria" w:hAnsi="Cambria"/>
          <w:color w:val="auto"/>
          <w:spacing w:val="-2"/>
          <w:lang w:val="es-PE"/>
        </w:rPr>
        <w:t xml:space="preserve"> de 201</w:t>
      </w:r>
      <w:r w:rsidRPr="0086009F">
        <w:rPr>
          <w:rFonts w:ascii="Cambria" w:hAnsi="Cambria"/>
          <w:spacing w:val="-2"/>
          <w:lang w:val="es-PE"/>
        </w:rPr>
        <w:t>3</w:t>
      </w:r>
      <w:r w:rsidRPr="0086009F">
        <w:rPr>
          <w:rFonts w:ascii="Cambria" w:hAnsi="Cambria"/>
          <w:color w:val="auto"/>
          <w:spacing w:val="-2"/>
          <w:lang w:val="es-PE"/>
        </w:rPr>
        <w:t>. Serie C No. 2</w:t>
      </w:r>
      <w:r w:rsidRPr="0086009F">
        <w:rPr>
          <w:rFonts w:ascii="Cambria" w:hAnsi="Cambria"/>
          <w:spacing w:val="-2"/>
          <w:lang w:val="es-PE"/>
        </w:rPr>
        <w:t>65</w:t>
      </w:r>
      <w:r w:rsidRPr="0086009F">
        <w:rPr>
          <w:rFonts w:ascii="Cambria" w:hAnsi="Cambria"/>
          <w:color w:val="auto"/>
          <w:lang w:val="es-PE"/>
        </w:rPr>
        <w:t xml:space="preserve">. Párr. </w:t>
      </w:r>
      <w:r w:rsidRPr="0086009F">
        <w:rPr>
          <w:rFonts w:ascii="Cambria" w:hAnsi="Cambria"/>
          <w:lang w:val="es-PE"/>
        </w:rPr>
        <w:t>127.</w:t>
      </w:r>
    </w:p>
  </w:footnote>
  <w:footnote w:id="88">
    <w:p w14:paraId="5138E2FE" w14:textId="25048594" w:rsidR="00945C50" w:rsidRPr="0086009F" w:rsidRDefault="00945C50" w:rsidP="00E4013E">
      <w:pPr>
        <w:pStyle w:val="FootnoteText"/>
        <w:tabs>
          <w:tab w:val="left" w:pos="567"/>
        </w:tabs>
        <w:rPr>
          <w:rFonts w:ascii="Cambria" w:hAnsi="Cambria" w:cs="Times New Roman"/>
          <w:spacing w:val="-2"/>
          <w:lang w:val="es-PE"/>
        </w:rPr>
      </w:pPr>
      <w:r w:rsidRPr="0086009F">
        <w:rPr>
          <w:rStyle w:val="FootnoteReference"/>
          <w:rFonts w:ascii="Cambria" w:hAnsi="Cambria" w:cs="Times New Roman"/>
          <w:spacing w:val="-2"/>
        </w:rPr>
        <w:footnoteRef/>
      </w:r>
      <w:r w:rsidRPr="0086009F">
        <w:rPr>
          <w:rFonts w:ascii="Cambria" w:hAnsi="Cambria"/>
          <w:spacing w:val="-2"/>
          <w:lang w:val="es-PE"/>
        </w:rPr>
        <w:t xml:space="preserve"> </w:t>
      </w:r>
      <w:r w:rsidRPr="0086009F">
        <w:rPr>
          <w:rFonts w:ascii="Cambria" w:hAnsi="Cambria"/>
          <w:lang w:val="es-VE"/>
        </w:rPr>
        <w:t xml:space="preserve">Corte IDH. </w:t>
      </w:r>
      <w:r w:rsidRPr="0086009F">
        <w:rPr>
          <w:rFonts w:ascii="Cambria" w:hAnsi="Cambria"/>
          <w:i/>
          <w:iCs/>
          <w:spacing w:val="-2"/>
          <w:lang w:val="es-PE"/>
        </w:rPr>
        <w:t xml:space="preserve">La Expresión "Leyes" en el Artículo 30 de la Convención Americana sobre Derechos Humanos. </w:t>
      </w:r>
      <w:r w:rsidRPr="0086009F">
        <w:rPr>
          <w:rFonts w:ascii="Cambria" w:hAnsi="Cambria"/>
          <w:spacing w:val="-2"/>
          <w:lang w:val="es-PE"/>
        </w:rPr>
        <w:t xml:space="preserve">Opinión Consultiva OC-6/86 de 9 de mayo de 1986. Serie A No. 6. Párrs. 35 y 37, y </w:t>
      </w:r>
      <w:r w:rsidRPr="0086009F">
        <w:rPr>
          <w:rFonts w:ascii="Cambria" w:hAnsi="Cambria"/>
          <w:i/>
          <w:color w:val="auto"/>
          <w:lang w:val="es-ES"/>
        </w:rPr>
        <w:t>Caso Mémoli</w:t>
      </w:r>
      <w:r w:rsidRPr="0086009F">
        <w:rPr>
          <w:rFonts w:ascii="Cambria" w:hAnsi="Cambria"/>
          <w:i/>
          <w:lang w:val="es-ES"/>
        </w:rPr>
        <w:t xml:space="preserve"> Vs. Argentina.</w:t>
      </w:r>
      <w:r w:rsidRPr="0086009F">
        <w:rPr>
          <w:rFonts w:ascii="Cambria" w:hAnsi="Cambria"/>
          <w:lang w:val="es-ES"/>
        </w:rPr>
        <w:t xml:space="preserve"> Excepciones Preliminares, </w:t>
      </w:r>
      <w:r w:rsidRPr="0086009F">
        <w:rPr>
          <w:rFonts w:ascii="Cambria" w:hAnsi="Cambria"/>
          <w:color w:val="auto"/>
          <w:spacing w:val="-2"/>
          <w:lang w:val="es-PE"/>
        </w:rPr>
        <w:t>Fondo, Reparaciones y Costas. Sentencia de 2</w:t>
      </w:r>
      <w:r w:rsidRPr="0086009F">
        <w:rPr>
          <w:rFonts w:ascii="Cambria" w:hAnsi="Cambria"/>
          <w:spacing w:val="-2"/>
          <w:lang w:val="es-PE"/>
        </w:rPr>
        <w:t>2 de agosto</w:t>
      </w:r>
      <w:r w:rsidRPr="0086009F">
        <w:rPr>
          <w:rFonts w:ascii="Cambria" w:hAnsi="Cambria"/>
          <w:color w:val="auto"/>
          <w:spacing w:val="-2"/>
          <w:lang w:val="es-PE"/>
        </w:rPr>
        <w:t xml:space="preserve"> de 201</w:t>
      </w:r>
      <w:r w:rsidRPr="0086009F">
        <w:rPr>
          <w:rFonts w:ascii="Cambria" w:hAnsi="Cambria"/>
          <w:spacing w:val="-2"/>
          <w:lang w:val="es-PE"/>
        </w:rPr>
        <w:t>3</w:t>
      </w:r>
      <w:r w:rsidRPr="0086009F">
        <w:rPr>
          <w:rFonts w:ascii="Cambria" w:hAnsi="Cambria"/>
          <w:color w:val="auto"/>
          <w:spacing w:val="-2"/>
          <w:lang w:val="es-PE"/>
        </w:rPr>
        <w:t>. Serie C No. 2</w:t>
      </w:r>
      <w:r w:rsidRPr="0086009F">
        <w:rPr>
          <w:rFonts w:ascii="Cambria" w:hAnsi="Cambria"/>
          <w:spacing w:val="-2"/>
          <w:lang w:val="es-PE"/>
        </w:rPr>
        <w:t>65</w:t>
      </w:r>
      <w:r w:rsidRPr="0086009F">
        <w:rPr>
          <w:rFonts w:ascii="Cambria" w:hAnsi="Cambria"/>
          <w:color w:val="auto"/>
          <w:lang w:val="es-PE"/>
        </w:rPr>
        <w:t xml:space="preserve">. Párr. </w:t>
      </w:r>
      <w:r w:rsidRPr="0086009F">
        <w:rPr>
          <w:rFonts w:ascii="Cambria" w:hAnsi="Cambria"/>
          <w:lang w:val="es-PE"/>
        </w:rPr>
        <w:t>130.</w:t>
      </w:r>
    </w:p>
  </w:footnote>
  <w:footnote w:id="89">
    <w:p w14:paraId="6643CEBD" w14:textId="39855263" w:rsidR="00945C50" w:rsidRPr="0086009F" w:rsidRDefault="00945C50" w:rsidP="00E4013E">
      <w:pPr>
        <w:pStyle w:val="FootnoteText"/>
        <w:tabs>
          <w:tab w:val="left" w:pos="426"/>
          <w:tab w:val="left" w:pos="567"/>
        </w:tabs>
        <w:rPr>
          <w:rFonts w:ascii="Cambria" w:hAnsi="Cambria"/>
          <w:spacing w:val="-2"/>
          <w:lang w:val="es-PE"/>
        </w:rPr>
      </w:pPr>
      <w:r w:rsidRPr="0086009F">
        <w:rPr>
          <w:rStyle w:val="FootnoteReference"/>
          <w:rFonts w:ascii="Cambria" w:hAnsi="Cambria" w:cs="Times New Roman"/>
          <w:spacing w:val="-2"/>
        </w:rPr>
        <w:footnoteRef/>
      </w:r>
      <w:r w:rsidRPr="0086009F">
        <w:rPr>
          <w:rFonts w:ascii="Cambria" w:hAnsi="Cambria"/>
          <w:spacing w:val="-2"/>
          <w:lang w:val="es-PE"/>
        </w:rPr>
        <w:t xml:space="preserve"> </w:t>
      </w:r>
      <w:r w:rsidRPr="0086009F">
        <w:rPr>
          <w:rFonts w:ascii="Cambria" w:hAnsi="Cambria"/>
          <w:lang w:val="es-VE"/>
        </w:rPr>
        <w:t xml:space="preserve">Corte IDH. </w:t>
      </w:r>
      <w:r w:rsidRPr="0086009F">
        <w:rPr>
          <w:rFonts w:ascii="Cambria" w:hAnsi="Cambria"/>
          <w:i/>
          <w:iCs/>
          <w:spacing w:val="-2"/>
          <w:lang w:val="es-CO"/>
        </w:rPr>
        <w:t>Caso Tristán Donoso</w:t>
      </w:r>
      <w:r w:rsidRPr="0086009F">
        <w:rPr>
          <w:rFonts w:ascii="Cambria" w:hAnsi="Cambria"/>
          <w:spacing w:val="-2"/>
          <w:lang w:val="es-CO"/>
        </w:rPr>
        <w:t xml:space="preserve"> </w:t>
      </w:r>
      <w:r w:rsidRPr="0086009F">
        <w:rPr>
          <w:rFonts w:ascii="Cambria" w:hAnsi="Cambria"/>
          <w:i/>
          <w:iCs/>
          <w:spacing w:val="-2"/>
          <w:lang w:val="es-CO"/>
        </w:rPr>
        <w:t>Vs. Panamá, supra</w:t>
      </w:r>
      <w:r w:rsidRPr="0086009F">
        <w:rPr>
          <w:rFonts w:ascii="Cambria" w:hAnsi="Cambria"/>
          <w:spacing w:val="-2"/>
          <w:lang w:val="es-CO"/>
        </w:rPr>
        <w:t>. Párr. 56</w:t>
      </w:r>
      <w:r w:rsidRPr="0086009F">
        <w:rPr>
          <w:rFonts w:ascii="Cambria" w:hAnsi="Cambria"/>
          <w:spacing w:val="-2"/>
          <w:lang w:val="es-PE"/>
        </w:rPr>
        <w:t xml:space="preserve">, y </w:t>
      </w:r>
      <w:r w:rsidRPr="0086009F">
        <w:rPr>
          <w:rFonts w:ascii="Cambria" w:hAnsi="Cambria"/>
          <w:i/>
          <w:color w:val="auto"/>
          <w:lang w:val="es-ES"/>
        </w:rPr>
        <w:t>Caso Mémoli</w:t>
      </w:r>
      <w:r w:rsidRPr="0086009F">
        <w:rPr>
          <w:rFonts w:ascii="Cambria" w:hAnsi="Cambria"/>
          <w:i/>
          <w:lang w:val="es-ES"/>
        </w:rPr>
        <w:t xml:space="preserve"> Vs. Argentina.</w:t>
      </w:r>
      <w:r w:rsidRPr="0086009F">
        <w:rPr>
          <w:rFonts w:ascii="Cambria" w:hAnsi="Cambria"/>
          <w:lang w:val="es-ES"/>
        </w:rPr>
        <w:t xml:space="preserve"> Excepciones Preliminares, </w:t>
      </w:r>
      <w:r w:rsidRPr="0086009F">
        <w:rPr>
          <w:rFonts w:ascii="Cambria" w:hAnsi="Cambria"/>
          <w:color w:val="auto"/>
          <w:spacing w:val="-2"/>
          <w:lang w:val="es-PE"/>
        </w:rPr>
        <w:t>Fondo, Reparaciones y Costas. Sentencia de 2</w:t>
      </w:r>
      <w:r w:rsidRPr="0086009F">
        <w:rPr>
          <w:rFonts w:ascii="Cambria" w:hAnsi="Cambria"/>
          <w:spacing w:val="-2"/>
          <w:lang w:val="es-PE"/>
        </w:rPr>
        <w:t>2 de agosto</w:t>
      </w:r>
      <w:r w:rsidRPr="0086009F">
        <w:rPr>
          <w:rFonts w:ascii="Cambria" w:hAnsi="Cambria"/>
          <w:color w:val="auto"/>
          <w:spacing w:val="-2"/>
          <w:lang w:val="es-PE"/>
        </w:rPr>
        <w:t xml:space="preserve"> de 201</w:t>
      </w:r>
      <w:r w:rsidRPr="0086009F">
        <w:rPr>
          <w:rFonts w:ascii="Cambria" w:hAnsi="Cambria"/>
          <w:spacing w:val="-2"/>
          <w:lang w:val="es-PE"/>
        </w:rPr>
        <w:t>3</w:t>
      </w:r>
      <w:r w:rsidRPr="0086009F">
        <w:rPr>
          <w:rFonts w:ascii="Cambria" w:hAnsi="Cambria"/>
          <w:color w:val="auto"/>
          <w:spacing w:val="-2"/>
          <w:lang w:val="es-PE"/>
        </w:rPr>
        <w:t>. Serie C No. 2</w:t>
      </w:r>
      <w:r w:rsidRPr="0086009F">
        <w:rPr>
          <w:rFonts w:ascii="Cambria" w:hAnsi="Cambria"/>
          <w:spacing w:val="-2"/>
          <w:lang w:val="es-PE"/>
        </w:rPr>
        <w:t>65</w:t>
      </w:r>
      <w:r w:rsidRPr="0086009F">
        <w:rPr>
          <w:rFonts w:ascii="Cambria" w:hAnsi="Cambria"/>
          <w:color w:val="auto"/>
          <w:lang w:val="es-PE"/>
        </w:rPr>
        <w:t xml:space="preserve">. Párr. </w:t>
      </w:r>
      <w:r w:rsidRPr="0086009F">
        <w:rPr>
          <w:rFonts w:ascii="Cambria" w:hAnsi="Cambria"/>
          <w:lang w:val="es-PE"/>
        </w:rPr>
        <w:t>130.</w:t>
      </w:r>
    </w:p>
  </w:footnote>
  <w:footnote w:id="90">
    <w:p w14:paraId="71724469" w14:textId="313A4655" w:rsidR="00945C50" w:rsidRPr="0086009F" w:rsidRDefault="00945C50" w:rsidP="00E4013E">
      <w:pPr>
        <w:pStyle w:val="footnote"/>
        <w:spacing w:after="0"/>
        <w:rPr>
          <w:rFonts w:ascii="Cambria" w:hAnsi="Cambria"/>
        </w:rPr>
      </w:pPr>
      <w:r w:rsidRPr="0086009F">
        <w:rPr>
          <w:rStyle w:val="FootnoteReference"/>
          <w:rFonts w:ascii="Cambria" w:hAnsi="Cambria"/>
        </w:rPr>
        <w:footnoteRef/>
      </w:r>
      <w:r w:rsidRPr="0086009F">
        <w:rPr>
          <w:rFonts w:ascii="Cambria" w:hAnsi="Cambria"/>
          <w:lang w:val="es-VE"/>
        </w:rPr>
        <w:t xml:space="preserve"> Corte IDH. </w:t>
      </w:r>
      <w:r w:rsidRPr="0086009F">
        <w:rPr>
          <w:rFonts w:ascii="Cambria" w:hAnsi="Cambria"/>
          <w:i/>
          <w:lang w:val="es-VE"/>
        </w:rPr>
        <w:t xml:space="preserve">Caso Ivcher Bronstein Vs. </w:t>
      </w:r>
      <w:r w:rsidRPr="0086009F">
        <w:rPr>
          <w:rFonts w:ascii="Cambria" w:hAnsi="Cambria"/>
          <w:i/>
        </w:rPr>
        <w:t>Perú</w:t>
      </w:r>
      <w:r w:rsidRPr="0086009F">
        <w:rPr>
          <w:rFonts w:ascii="Cambria" w:hAnsi="Cambria"/>
        </w:rPr>
        <w:t xml:space="preserve">. Fondo, Reparaciones y Costas. Sentencia de 6 de febrero de 2001. </w:t>
      </w:r>
      <w:r w:rsidRPr="0086009F">
        <w:rPr>
          <w:rFonts w:ascii="Cambria" w:hAnsi="Cambria"/>
          <w:lang w:val="es-AR"/>
        </w:rPr>
        <w:t xml:space="preserve">Serie C No. 74; </w:t>
      </w:r>
      <w:r w:rsidRPr="0086009F">
        <w:rPr>
          <w:rFonts w:ascii="Cambria" w:hAnsi="Cambria"/>
          <w:i/>
        </w:rPr>
        <w:t>Caso Herrera Ulloa Vs. Costa Rica</w:t>
      </w:r>
      <w:r w:rsidRPr="0086009F">
        <w:rPr>
          <w:rFonts w:ascii="Cambria" w:hAnsi="Cambria"/>
        </w:rPr>
        <w:t xml:space="preserve">. Excepciones Preliminares, Fondo, Reparaciones y Costas. Sentencia de 2 de julio de 2004. Serie C No. 107; </w:t>
      </w:r>
      <w:r w:rsidRPr="0086009F">
        <w:rPr>
          <w:rFonts w:ascii="Cambria" w:hAnsi="Cambria"/>
          <w:i/>
        </w:rPr>
        <w:t>Caso Ricardo Canese Vs. Paraguay</w:t>
      </w:r>
      <w:r w:rsidRPr="0086009F">
        <w:rPr>
          <w:rFonts w:ascii="Cambria" w:hAnsi="Cambria"/>
        </w:rPr>
        <w:t xml:space="preserve">. Fondo, Reparaciones y Costas. </w:t>
      </w:r>
      <w:r w:rsidRPr="0086009F">
        <w:rPr>
          <w:rFonts w:ascii="Cambria" w:hAnsi="Cambria"/>
          <w:lang w:val="es-AR"/>
        </w:rPr>
        <w:t xml:space="preserve">Sentencia de 31 de agosto de 2004. </w:t>
      </w:r>
      <w:r w:rsidRPr="0086009F">
        <w:rPr>
          <w:rFonts w:ascii="Cambria" w:hAnsi="Cambria"/>
        </w:rPr>
        <w:t xml:space="preserve">Serie C No. 111; </w:t>
      </w:r>
      <w:r w:rsidRPr="0086009F">
        <w:rPr>
          <w:rFonts w:ascii="Cambria" w:hAnsi="Cambria"/>
          <w:i/>
        </w:rPr>
        <w:t>Caso Palamara Iribarne Vs. Chile</w:t>
      </w:r>
      <w:r w:rsidRPr="0086009F">
        <w:rPr>
          <w:rFonts w:ascii="Cambria" w:hAnsi="Cambria"/>
        </w:rPr>
        <w:t>. Fondo, Reparaciones y Costas. Sentencia de 22 de noviembre de 2005. Serie C No. 135</w:t>
      </w:r>
      <w:r w:rsidRPr="0086009F">
        <w:rPr>
          <w:rFonts w:ascii="Cambria" w:hAnsi="Cambria"/>
          <w:lang w:val="es-AR"/>
        </w:rPr>
        <w:t xml:space="preserve">; </w:t>
      </w:r>
      <w:r w:rsidRPr="0086009F">
        <w:rPr>
          <w:rFonts w:ascii="Cambria" w:hAnsi="Cambria"/>
          <w:i/>
        </w:rPr>
        <w:t>Caso Kimel Vs. Argentina</w:t>
      </w:r>
      <w:r w:rsidRPr="0086009F">
        <w:rPr>
          <w:rFonts w:ascii="Cambria" w:hAnsi="Cambria"/>
        </w:rPr>
        <w:t>. Fondo, Reparaciones y Costas. Sentencia de 2 de mayo de 2008 Serie C No. 177</w:t>
      </w:r>
      <w:r w:rsidRPr="0086009F">
        <w:rPr>
          <w:rFonts w:ascii="Cambria" w:hAnsi="Cambria"/>
          <w:lang w:val="es-CO"/>
        </w:rPr>
        <w:t>;</w:t>
      </w:r>
      <w:r w:rsidRPr="0086009F">
        <w:rPr>
          <w:rFonts w:ascii="Cambria" w:hAnsi="Cambria"/>
          <w:lang w:val="es-CR"/>
        </w:rPr>
        <w:t xml:space="preserve"> </w:t>
      </w:r>
      <w:r w:rsidRPr="0086009F">
        <w:rPr>
          <w:rFonts w:ascii="Cambria" w:hAnsi="Cambria"/>
        </w:rPr>
        <w:t xml:space="preserve">CIDH, </w:t>
      </w:r>
      <w:hyperlink r:id="rId9" w:history="1">
        <w:r w:rsidRPr="0086009F">
          <w:rPr>
            <w:rStyle w:val="Hyperlink"/>
            <w:rFonts w:ascii="Cambria" w:hAnsi="Cambria"/>
            <w:i/>
            <w:iCs/>
            <w:u w:color="A6A6A6" w:themeColor="background1" w:themeShade="A6"/>
          </w:rPr>
          <w:t>Informe Anual 1994</w:t>
        </w:r>
      </w:hyperlink>
      <w:r w:rsidRPr="0086009F">
        <w:rPr>
          <w:rFonts w:ascii="Cambria" w:hAnsi="Cambria"/>
          <w:lang w:val="es-CR"/>
        </w:rPr>
        <w:t xml:space="preserve">, Capítulo V: </w:t>
      </w:r>
      <w:r w:rsidRPr="0086009F">
        <w:rPr>
          <w:rFonts w:ascii="Cambria" w:hAnsi="Cambria"/>
          <w:iCs/>
          <w:lang w:val="es-CR"/>
        </w:rPr>
        <w:t>Informe sobre la Compatibilidad entre las Leyes de Desacato y la Convención Americana sobre Derechos Humanos</w:t>
      </w:r>
      <w:r w:rsidRPr="0086009F">
        <w:rPr>
          <w:rFonts w:ascii="Cambria" w:hAnsi="Cambria"/>
          <w:lang w:val="es-CR"/>
        </w:rPr>
        <w:t>. OEA/Ser. L/V/II.88. doc. 9 rev. 17 de febrero de 1995</w:t>
      </w:r>
      <w:r w:rsidRPr="0086009F">
        <w:rPr>
          <w:rFonts w:ascii="Cambria" w:hAnsi="Cambria"/>
          <w:iCs/>
          <w:lang w:val="es-CR"/>
        </w:rPr>
        <w:t>.</w:t>
      </w:r>
    </w:p>
  </w:footnote>
  <w:footnote w:id="91">
    <w:p w14:paraId="47B7706C" w14:textId="4AB66EB7" w:rsidR="00945C50" w:rsidRPr="0086009F" w:rsidRDefault="00945C50" w:rsidP="00E4013E">
      <w:pPr>
        <w:pStyle w:val="footnote"/>
        <w:spacing w:after="0"/>
        <w:rPr>
          <w:rFonts w:ascii="Cambria" w:hAnsi="Cambria"/>
        </w:rPr>
      </w:pPr>
      <w:r w:rsidRPr="0086009F">
        <w:rPr>
          <w:rStyle w:val="FootnoteReference"/>
          <w:rFonts w:ascii="Cambria" w:hAnsi="Cambria"/>
        </w:rPr>
        <w:footnoteRef/>
      </w:r>
      <w:r w:rsidRPr="0086009F">
        <w:rPr>
          <w:rFonts w:ascii="Cambria" w:hAnsi="Cambria"/>
          <w:lang w:val="pt-BR"/>
        </w:rPr>
        <w:t xml:space="preserve"> Corte IDH. </w:t>
      </w:r>
      <w:r w:rsidRPr="0086009F">
        <w:rPr>
          <w:rFonts w:ascii="Cambria" w:hAnsi="Cambria"/>
          <w:i/>
          <w:lang w:val="pt-BR"/>
        </w:rPr>
        <w:t xml:space="preserve">Caso Ivcher Bronstein Vs. </w:t>
      </w:r>
      <w:r w:rsidRPr="0086009F">
        <w:rPr>
          <w:rFonts w:ascii="Cambria" w:hAnsi="Cambria"/>
          <w:i/>
        </w:rPr>
        <w:t>Perú</w:t>
      </w:r>
      <w:r w:rsidRPr="0086009F">
        <w:rPr>
          <w:rFonts w:ascii="Cambria" w:hAnsi="Cambria"/>
        </w:rPr>
        <w:t xml:space="preserve">. Fondo, Reparaciones y Costas. Sentencia de 6 de febrero de 2001. </w:t>
      </w:r>
      <w:r w:rsidRPr="0086009F">
        <w:rPr>
          <w:rFonts w:ascii="Cambria" w:hAnsi="Cambria"/>
          <w:lang w:val="es-AR"/>
        </w:rPr>
        <w:t xml:space="preserve">Serie C No. 74; </w:t>
      </w:r>
      <w:r w:rsidRPr="0086009F">
        <w:rPr>
          <w:rFonts w:ascii="Cambria" w:hAnsi="Cambria"/>
          <w:i/>
        </w:rPr>
        <w:t>Caso Herrera Ulloa Vs. Costa Rica</w:t>
      </w:r>
      <w:r w:rsidRPr="0086009F">
        <w:rPr>
          <w:rFonts w:ascii="Cambria" w:hAnsi="Cambria"/>
        </w:rPr>
        <w:t xml:space="preserve">. Excepciones Preliminares, Fondo, Reparaciones y Costas. Sentencia de 2 de julio de 2004. Serie C No. 107; </w:t>
      </w:r>
      <w:r w:rsidRPr="0086009F">
        <w:rPr>
          <w:rFonts w:ascii="Cambria" w:hAnsi="Cambria"/>
          <w:i/>
        </w:rPr>
        <w:t>Caso Ricardo Canese Vs. Paraguay</w:t>
      </w:r>
      <w:r w:rsidRPr="0086009F">
        <w:rPr>
          <w:rFonts w:ascii="Cambria" w:hAnsi="Cambria"/>
        </w:rPr>
        <w:t xml:space="preserve">. Fondo, Reparaciones y Costas. </w:t>
      </w:r>
      <w:r w:rsidRPr="0086009F">
        <w:rPr>
          <w:rFonts w:ascii="Cambria" w:hAnsi="Cambria"/>
          <w:lang w:val="es-AR"/>
        </w:rPr>
        <w:t xml:space="preserve">Sentencia de 31 de agosto de 2004. </w:t>
      </w:r>
      <w:r w:rsidRPr="0086009F">
        <w:rPr>
          <w:rFonts w:ascii="Cambria" w:hAnsi="Cambria"/>
        </w:rPr>
        <w:t xml:space="preserve">Serie C No. 111; </w:t>
      </w:r>
      <w:r w:rsidRPr="0086009F">
        <w:rPr>
          <w:rFonts w:ascii="Cambria" w:hAnsi="Cambria"/>
          <w:i/>
        </w:rPr>
        <w:t>Caso Palamara Iribarne Vs. Chile</w:t>
      </w:r>
      <w:r w:rsidRPr="0086009F">
        <w:rPr>
          <w:rFonts w:ascii="Cambria" w:hAnsi="Cambria"/>
        </w:rPr>
        <w:t>. Fondo, Reparaciones y Costas. Sentencia de 22 de noviembre de 2005. Serie C No. 135</w:t>
      </w:r>
      <w:r w:rsidRPr="0086009F">
        <w:rPr>
          <w:rFonts w:ascii="Cambria" w:hAnsi="Cambria"/>
          <w:lang w:val="es-AR"/>
        </w:rPr>
        <w:t xml:space="preserve">; </w:t>
      </w:r>
      <w:r w:rsidRPr="0086009F">
        <w:rPr>
          <w:rFonts w:ascii="Cambria" w:hAnsi="Cambria"/>
          <w:i/>
        </w:rPr>
        <w:t>Caso Kimel Vs. Argentina</w:t>
      </w:r>
      <w:r w:rsidRPr="0086009F">
        <w:rPr>
          <w:rFonts w:ascii="Cambria" w:hAnsi="Cambria"/>
        </w:rPr>
        <w:t>. Fondo, Reparaciones y Costas. Sentencia de 2 de mayo de 2008 Serie C No. 177</w:t>
      </w:r>
      <w:r w:rsidRPr="0086009F">
        <w:rPr>
          <w:rFonts w:ascii="Cambria" w:hAnsi="Cambria"/>
          <w:lang w:val="es-AR"/>
        </w:rPr>
        <w:t xml:space="preserve">; </w:t>
      </w:r>
      <w:r w:rsidRPr="0086009F">
        <w:rPr>
          <w:rFonts w:ascii="Cambria" w:hAnsi="Cambria"/>
        </w:rPr>
        <w:t xml:space="preserve">CIDH, </w:t>
      </w:r>
      <w:hyperlink r:id="rId10" w:history="1">
        <w:r w:rsidRPr="0086009F">
          <w:rPr>
            <w:rStyle w:val="Hyperlink"/>
            <w:rFonts w:ascii="Cambria" w:hAnsi="Cambria"/>
            <w:i/>
            <w:iCs/>
            <w:u w:color="A6A6A6" w:themeColor="background1" w:themeShade="A6"/>
          </w:rPr>
          <w:t>Informe Anual 1994</w:t>
        </w:r>
      </w:hyperlink>
      <w:r w:rsidRPr="0086009F">
        <w:rPr>
          <w:rFonts w:ascii="Cambria" w:hAnsi="Cambria"/>
          <w:lang w:val="es-CR"/>
        </w:rPr>
        <w:t xml:space="preserve">, Capítulo V: </w:t>
      </w:r>
      <w:r w:rsidRPr="0086009F">
        <w:rPr>
          <w:rFonts w:ascii="Cambria" w:hAnsi="Cambria"/>
          <w:iCs/>
          <w:lang w:val="es-CR"/>
        </w:rPr>
        <w:t>Informe sobre la Compatibilidad entre las Leyes de Desacato y la Convención Americana sobre Derechos Humanos</w:t>
      </w:r>
      <w:r w:rsidRPr="0086009F">
        <w:rPr>
          <w:rFonts w:ascii="Cambria" w:hAnsi="Cambria"/>
          <w:lang w:val="es-CR"/>
        </w:rPr>
        <w:t>. OEA/Ser. L/V/II.88. doc. 9 rev. 17 de febrero de 1995</w:t>
      </w:r>
      <w:r w:rsidRPr="0086009F">
        <w:rPr>
          <w:rFonts w:ascii="Cambria" w:hAnsi="Cambria"/>
          <w:iCs/>
          <w:lang w:val="es-CR"/>
        </w:rPr>
        <w:t>.</w:t>
      </w:r>
    </w:p>
  </w:footnote>
  <w:footnote w:id="92">
    <w:p w14:paraId="78F61217" w14:textId="558BF8B6"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lang w:val="es-CO"/>
        </w:rPr>
        <w:footnoteRef/>
      </w:r>
      <w:r w:rsidRPr="0086009F">
        <w:rPr>
          <w:rFonts w:ascii="Cambria" w:hAnsi="Cambria"/>
          <w:sz w:val="16"/>
          <w:szCs w:val="16"/>
          <w:lang w:val="es-MX"/>
        </w:rPr>
        <w:t xml:space="preserve"> </w:t>
      </w:r>
      <w:r w:rsidRPr="0086009F">
        <w:rPr>
          <w:rFonts w:ascii="Cambria" w:hAnsi="Cambria"/>
          <w:sz w:val="16"/>
          <w:szCs w:val="16"/>
          <w:lang w:val="es-VE"/>
        </w:rPr>
        <w:t xml:space="preserve">CIDH. Informe No. 4/7. Caso 12.663. Fondo. Tulio Alberto Álvarez. Venezuela. 26 de enero de 2017. Párr. 65. Disponible en: </w:t>
      </w:r>
      <w:hyperlink r:id="rId11" w:history="1">
        <w:r w:rsidRPr="0086009F">
          <w:rPr>
            <w:rStyle w:val="Hyperlink"/>
            <w:rFonts w:ascii="Cambria" w:hAnsi="Cambria"/>
            <w:sz w:val="16"/>
            <w:szCs w:val="16"/>
            <w:lang w:val="es-VE"/>
          </w:rPr>
          <w:t>https://www.oas.org/es/cidh/decisiones/corte/2017/12663FondoEs.pdf</w:t>
        </w:r>
      </w:hyperlink>
    </w:p>
  </w:footnote>
  <w:footnote w:id="93">
    <w:p w14:paraId="13210268" w14:textId="76FF6E78" w:rsidR="00945C50" w:rsidRPr="0086009F" w:rsidRDefault="00945C50" w:rsidP="00E4013E">
      <w:pPr>
        <w:jc w:val="both"/>
        <w:rPr>
          <w:rFonts w:ascii="Cambria" w:hAnsi="Cambria"/>
          <w:sz w:val="16"/>
          <w:szCs w:val="16"/>
          <w:lang w:val="es-VE"/>
        </w:rPr>
      </w:pPr>
      <w:r w:rsidRPr="0086009F">
        <w:rPr>
          <w:rStyle w:val="FootnoteReference"/>
          <w:rFonts w:ascii="Cambria" w:hAnsi="Cambria"/>
          <w:sz w:val="16"/>
          <w:szCs w:val="16"/>
          <w:lang w:val="es-CO"/>
        </w:rPr>
        <w:footnoteRef/>
      </w:r>
      <w:r w:rsidRPr="0086009F">
        <w:rPr>
          <w:rFonts w:ascii="Cambria" w:hAnsi="Cambria"/>
          <w:sz w:val="16"/>
          <w:szCs w:val="16"/>
          <w:lang w:val="es-MX"/>
        </w:rPr>
        <w:t xml:space="preserve"> </w:t>
      </w:r>
      <w:r w:rsidRPr="0086009F">
        <w:rPr>
          <w:rFonts w:ascii="Cambria" w:hAnsi="Cambria"/>
          <w:sz w:val="16"/>
          <w:szCs w:val="16"/>
          <w:lang w:val="es-VE"/>
        </w:rPr>
        <w:t xml:space="preserve">CIDH. Informe No. 4/7. Caso 12.663. Fondo. Tulio Alberto Álvarez. Venezuela. 26 de enero de 2017. Párr. 65. Disponible en: </w:t>
      </w:r>
      <w:hyperlink r:id="rId12" w:history="1">
        <w:r w:rsidRPr="0086009F">
          <w:rPr>
            <w:rStyle w:val="Hyperlink"/>
            <w:rFonts w:ascii="Cambria" w:hAnsi="Cambria"/>
            <w:sz w:val="16"/>
            <w:szCs w:val="16"/>
            <w:lang w:val="es-VE"/>
          </w:rPr>
          <w:t>https://www.oas.org/es/cidh/decisiones/corte/2017/12663FondoEs.pdf</w:t>
        </w:r>
      </w:hyperlink>
      <w:r w:rsidRPr="0086009F">
        <w:rPr>
          <w:rStyle w:val="Hyperlink"/>
          <w:rFonts w:ascii="Cambria" w:hAnsi="Cambria"/>
          <w:sz w:val="16"/>
          <w:szCs w:val="16"/>
          <w:lang w:val="es-VE"/>
        </w:rPr>
        <w:t xml:space="preserve">. </w:t>
      </w:r>
      <w:r w:rsidRPr="0086009F">
        <w:rPr>
          <w:rStyle w:val="Hyperlink"/>
          <w:rFonts w:ascii="Cambria" w:hAnsi="Cambria"/>
          <w:sz w:val="16"/>
          <w:szCs w:val="16"/>
          <w:u w:val="none"/>
          <w:lang w:val="es-VE"/>
        </w:rPr>
        <w:t xml:space="preserve">Véase también, Corte IDH. </w:t>
      </w:r>
      <w:r w:rsidRPr="0086009F">
        <w:rPr>
          <w:rStyle w:val="Hyperlink"/>
          <w:rFonts w:ascii="Cambria" w:hAnsi="Cambria"/>
          <w:i/>
          <w:sz w:val="16"/>
          <w:szCs w:val="16"/>
          <w:u w:val="none"/>
          <w:lang w:val="es-VE"/>
        </w:rPr>
        <w:t xml:space="preserve">Caso Kimel Vs. Argentina, supra. </w:t>
      </w:r>
      <w:r w:rsidRPr="0086009F">
        <w:rPr>
          <w:rStyle w:val="Hyperlink"/>
          <w:rFonts w:ascii="Cambria" w:hAnsi="Cambria"/>
          <w:sz w:val="16"/>
          <w:szCs w:val="16"/>
          <w:u w:val="none"/>
          <w:lang w:val="es-VE"/>
        </w:rPr>
        <w:t>Párr 63.</w:t>
      </w:r>
    </w:p>
  </w:footnote>
  <w:footnote w:id="94">
    <w:p w14:paraId="2D190E30" w14:textId="02108B22"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VE"/>
        </w:rPr>
        <w:t xml:space="preserve"> </w:t>
      </w:r>
      <w:r w:rsidRPr="0086009F">
        <w:rPr>
          <w:rStyle w:val="Hyperlink"/>
          <w:rFonts w:ascii="Cambria" w:hAnsi="Cambria"/>
          <w:sz w:val="16"/>
          <w:szCs w:val="16"/>
          <w:u w:val="none"/>
          <w:lang w:val="es-VE"/>
        </w:rPr>
        <w:t xml:space="preserve">Corte IDH. </w:t>
      </w:r>
      <w:r w:rsidRPr="0086009F">
        <w:rPr>
          <w:rFonts w:ascii="Cambria" w:hAnsi="Cambria"/>
          <w:i/>
          <w:sz w:val="16"/>
          <w:szCs w:val="16"/>
          <w:lang w:val="es-VE"/>
        </w:rPr>
        <w:t>Caso Ricardo Canese</w:t>
      </w:r>
      <w:r w:rsidRPr="0086009F">
        <w:rPr>
          <w:rFonts w:ascii="Cambria" w:hAnsi="Cambria"/>
          <w:sz w:val="16"/>
          <w:szCs w:val="16"/>
          <w:lang w:val="es-VE"/>
        </w:rPr>
        <w:t xml:space="preserve"> Vs. Paraguay, </w:t>
      </w:r>
      <w:r w:rsidRPr="0086009F">
        <w:rPr>
          <w:rFonts w:ascii="Cambria" w:hAnsi="Cambria"/>
          <w:i/>
          <w:sz w:val="16"/>
          <w:szCs w:val="16"/>
          <w:lang w:val="es-VE"/>
        </w:rPr>
        <w:t>supra</w:t>
      </w:r>
      <w:r w:rsidRPr="0086009F">
        <w:rPr>
          <w:rFonts w:ascii="Cambria" w:hAnsi="Cambria"/>
          <w:sz w:val="16"/>
          <w:szCs w:val="16"/>
          <w:lang w:val="es-VE"/>
        </w:rPr>
        <w:t xml:space="preserve">. </w:t>
      </w:r>
      <w:r w:rsidRPr="0086009F">
        <w:rPr>
          <w:rFonts w:ascii="Cambria" w:hAnsi="Cambria"/>
          <w:sz w:val="16"/>
          <w:szCs w:val="16"/>
          <w:lang w:val="es-PE"/>
        </w:rPr>
        <w:t xml:space="preserve">Párr. 124, y </w:t>
      </w:r>
      <w:r w:rsidRPr="0086009F">
        <w:rPr>
          <w:rStyle w:val="Hyperlink"/>
          <w:rFonts w:ascii="Cambria" w:hAnsi="Cambria"/>
          <w:i/>
          <w:sz w:val="16"/>
          <w:szCs w:val="16"/>
          <w:u w:val="none"/>
          <w:lang w:val="es-VE"/>
        </w:rPr>
        <w:t xml:space="preserve">Caso Kimel Vs. Argentina, supra. </w:t>
      </w:r>
      <w:r w:rsidRPr="0086009F">
        <w:rPr>
          <w:rStyle w:val="Hyperlink"/>
          <w:rFonts w:ascii="Cambria" w:hAnsi="Cambria"/>
          <w:sz w:val="16"/>
          <w:szCs w:val="16"/>
          <w:u w:val="none"/>
          <w:lang w:val="es-VE"/>
        </w:rPr>
        <w:t>Párr 63.</w:t>
      </w:r>
    </w:p>
  </w:footnote>
  <w:footnote w:id="95">
    <w:p w14:paraId="0F1D014B" w14:textId="05D6C38E" w:rsidR="00945C50" w:rsidRPr="0086009F" w:rsidRDefault="00945C50" w:rsidP="00E4013E">
      <w:pPr>
        <w:jc w:val="both"/>
        <w:rPr>
          <w:rFonts w:ascii="Cambria" w:hAnsi="Cambria"/>
          <w:sz w:val="16"/>
          <w:szCs w:val="16"/>
          <w:lang w:val="pt-BR"/>
        </w:rPr>
      </w:pPr>
      <w:r w:rsidRPr="0086009F">
        <w:rPr>
          <w:rStyle w:val="FootnoteReference"/>
          <w:rFonts w:ascii="Cambria" w:hAnsi="Cambria"/>
          <w:sz w:val="16"/>
          <w:szCs w:val="16"/>
          <w:lang w:val="es-CO"/>
        </w:rPr>
        <w:footnoteRef/>
      </w:r>
      <w:r w:rsidRPr="0086009F">
        <w:rPr>
          <w:rFonts w:ascii="Cambria" w:hAnsi="Cambria"/>
          <w:sz w:val="16"/>
          <w:szCs w:val="16"/>
          <w:lang w:val="es-CO"/>
        </w:rPr>
        <w:t xml:space="preserve"> La Corte analizó la formulación del artículo 109, el que disponía que “[l]a calumnia o falsa imputación de un delito que dé lugar a la acción pública, será reprimida con prisión de uno a tres años”, y del artículo 110, el que disponía que “[e]l que deshonrare o desacreditare a otro, será reprimido con multa de pesos mil quinientos a pesos noventa mil o prisión de un mes a un año”, y encontró que “la deficiente regulación penal de esta materia” en la tipificación penal configuraba una vulneración de los artículos 9 y 13.1 de la Convención Americana. </w:t>
      </w:r>
      <w:r w:rsidRPr="0086009F">
        <w:rPr>
          <w:rFonts w:ascii="Cambria" w:hAnsi="Cambria"/>
          <w:sz w:val="16"/>
          <w:szCs w:val="16"/>
          <w:lang w:val="pt-BR"/>
        </w:rPr>
        <w:t xml:space="preserve">Corte IDH. </w:t>
      </w:r>
      <w:r w:rsidRPr="0086009F">
        <w:rPr>
          <w:rFonts w:ascii="Cambria" w:hAnsi="Cambria"/>
          <w:i/>
          <w:iCs/>
          <w:sz w:val="16"/>
          <w:szCs w:val="16"/>
          <w:lang w:val="pt-BR"/>
        </w:rPr>
        <w:t xml:space="preserve">Caso Kimel Vs. Argentina, supra. </w:t>
      </w:r>
      <w:r w:rsidRPr="0086009F">
        <w:rPr>
          <w:rFonts w:ascii="Cambria" w:hAnsi="Cambria"/>
          <w:sz w:val="16"/>
          <w:szCs w:val="16"/>
          <w:lang w:val="pt-BR"/>
        </w:rPr>
        <w:t>Párrs. 64-67.</w:t>
      </w:r>
    </w:p>
  </w:footnote>
  <w:footnote w:id="96">
    <w:p w14:paraId="66C74C85" w14:textId="3CC019C4" w:rsidR="00945C50" w:rsidRPr="0086009F" w:rsidRDefault="00945C50" w:rsidP="00E4013E">
      <w:pPr>
        <w:jc w:val="both"/>
        <w:rPr>
          <w:rFonts w:ascii="Cambria" w:hAnsi="Cambria"/>
          <w:sz w:val="16"/>
          <w:szCs w:val="16"/>
          <w:lang w:val="es-CO"/>
        </w:rPr>
      </w:pPr>
      <w:r w:rsidRPr="0086009F">
        <w:rPr>
          <w:rStyle w:val="FootnoteReference"/>
          <w:rFonts w:ascii="Cambria" w:hAnsi="Cambria"/>
          <w:sz w:val="16"/>
          <w:szCs w:val="16"/>
          <w:lang w:val="es-CO"/>
        </w:rPr>
        <w:footnoteRef/>
      </w:r>
      <w:r w:rsidRPr="0086009F">
        <w:rPr>
          <w:rFonts w:ascii="Cambria" w:hAnsi="Cambria"/>
          <w:sz w:val="16"/>
          <w:szCs w:val="16"/>
          <w:lang w:val="pt-BR"/>
        </w:rPr>
        <w:t xml:space="preserve"> Corte IDH. </w:t>
      </w:r>
      <w:r w:rsidRPr="00E86A8F">
        <w:rPr>
          <w:rFonts w:ascii="Cambria" w:hAnsi="Cambria"/>
          <w:i/>
          <w:iCs/>
          <w:sz w:val="16"/>
          <w:szCs w:val="16"/>
          <w:lang w:val="pt-BR"/>
        </w:rPr>
        <w:t xml:space="preserve">Caso Kimel Vs. </w:t>
      </w:r>
      <w:r w:rsidRPr="0086009F">
        <w:rPr>
          <w:rFonts w:ascii="Cambria" w:hAnsi="Cambria"/>
          <w:i/>
          <w:iCs/>
          <w:sz w:val="16"/>
          <w:szCs w:val="16"/>
          <w:lang w:val="es-CO"/>
        </w:rPr>
        <w:t>Argentina</w:t>
      </w:r>
      <w:r w:rsidRPr="0086009F">
        <w:rPr>
          <w:rFonts w:ascii="Cambria" w:hAnsi="Cambria"/>
          <w:i/>
          <w:sz w:val="16"/>
          <w:szCs w:val="16"/>
          <w:lang w:val="es-CO"/>
        </w:rPr>
        <w:t>.</w:t>
      </w:r>
      <w:r w:rsidRPr="0086009F">
        <w:rPr>
          <w:rFonts w:ascii="Cambria" w:hAnsi="Cambria"/>
          <w:sz w:val="16"/>
          <w:szCs w:val="16"/>
          <w:lang w:val="es-CO"/>
        </w:rPr>
        <w:t xml:space="preserve"> Supervisión de Cumplimiento de Sentencia. Resolución de la Corte Interamericana de Derechos Humanos de 18 de mayo de 2010. Párrs. 30-35. Véase también, Ley 26.551, promulgada el 26 de noviembre de 2009, disponible en: </w:t>
      </w:r>
      <w:hyperlink r:id="rId13" w:history="1">
        <w:r w:rsidRPr="0086009F">
          <w:rPr>
            <w:rStyle w:val="Hyperlink"/>
            <w:rFonts w:ascii="Cambria" w:hAnsi="Cambria"/>
            <w:sz w:val="16"/>
            <w:szCs w:val="16"/>
            <w:lang w:val="es-CO"/>
          </w:rPr>
          <w:t>http://infoleg.gov.ar/infolegInternet/anexos/160000-164999/160774/norma.htm</w:t>
        </w:r>
      </w:hyperlink>
      <w:r w:rsidRPr="0086009F">
        <w:rPr>
          <w:rFonts w:ascii="Cambria" w:hAnsi="Cambria"/>
          <w:sz w:val="16"/>
          <w:szCs w:val="16"/>
          <w:lang w:val="es-CO"/>
        </w:rPr>
        <w:t xml:space="preserve">. </w:t>
      </w:r>
    </w:p>
  </w:footnote>
  <w:footnote w:id="97">
    <w:p w14:paraId="5A5A0376" w14:textId="30A94BA5" w:rsidR="00945C50" w:rsidRPr="0086009F" w:rsidRDefault="00945C50" w:rsidP="00E4013E">
      <w:pPr>
        <w:jc w:val="both"/>
        <w:rPr>
          <w:rFonts w:ascii="Cambria" w:hAnsi="Cambria"/>
          <w:sz w:val="16"/>
          <w:szCs w:val="16"/>
          <w:lang w:val="es-CO"/>
        </w:rPr>
      </w:pPr>
      <w:r w:rsidRPr="0086009F">
        <w:rPr>
          <w:rStyle w:val="FootnoteReference"/>
          <w:rFonts w:ascii="Cambria" w:hAnsi="Cambria"/>
          <w:sz w:val="16"/>
          <w:szCs w:val="16"/>
          <w:lang w:val="es-CO"/>
        </w:rPr>
        <w:footnoteRef/>
      </w:r>
      <w:r w:rsidRPr="0086009F">
        <w:rPr>
          <w:rFonts w:ascii="Cambria" w:hAnsi="Cambria"/>
          <w:sz w:val="16"/>
          <w:szCs w:val="16"/>
          <w:lang w:val="pt-BR"/>
        </w:rPr>
        <w:t xml:space="preserve"> Corte IDH. Caso Usón Ramírez Vs. </w:t>
      </w:r>
      <w:r w:rsidRPr="0086009F">
        <w:rPr>
          <w:rFonts w:ascii="Cambria" w:hAnsi="Cambria"/>
          <w:sz w:val="16"/>
          <w:szCs w:val="16"/>
          <w:lang w:val="es-CO"/>
        </w:rPr>
        <w:t>Venezuela. Excepción Preliminar, Fondo, Reparaciones y Costas. Sentencia de 20 de noviembre de 2009. Serie C No. 207. Párrs. 56-57.</w:t>
      </w:r>
    </w:p>
  </w:footnote>
  <w:footnote w:id="98">
    <w:p w14:paraId="4A43B12A" w14:textId="69C7D1CE" w:rsidR="00945C50" w:rsidRPr="0086009F" w:rsidRDefault="00945C50" w:rsidP="00E4013E">
      <w:pPr>
        <w:jc w:val="both"/>
        <w:rPr>
          <w:rFonts w:ascii="Cambria" w:hAnsi="Cambria"/>
          <w:sz w:val="16"/>
          <w:szCs w:val="16"/>
          <w:lang w:val="es-CO"/>
        </w:rPr>
      </w:pPr>
      <w:r w:rsidRPr="0086009F">
        <w:rPr>
          <w:rStyle w:val="FootnoteReference"/>
          <w:rFonts w:ascii="Cambria" w:hAnsi="Cambria"/>
          <w:sz w:val="16"/>
          <w:szCs w:val="16"/>
          <w:lang w:val="es-CO"/>
        </w:rPr>
        <w:footnoteRef/>
      </w:r>
      <w:r w:rsidRPr="0086009F">
        <w:rPr>
          <w:rFonts w:ascii="Cambria" w:hAnsi="Cambria"/>
          <w:sz w:val="16"/>
          <w:szCs w:val="16"/>
          <w:lang w:val="es-CO"/>
        </w:rPr>
        <w:t xml:space="preserve"> CIDH, Informe No. 88/10, Caso 12.661, Fondo, Néstor José y Luís Uzcátegui y otros, Venezuela, 14 de julio de 2010. Párr. 279.</w:t>
      </w:r>
    </w:p>
  </w:footnote>
  <w:footnote w:id="99">
    <w:p w14:paraId="21F0764C" w14:textId="71DAD849"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lang w:val="es-ES"/>
        </w:rPr>
        <w:footnoteRef/>
      </w:r>
      <w:r w:rsidRPr="0086009F">
        <w:rPr>
          <w:rFonts w:ascii="Cambria" w:hAnsi="Cambria"/>
          <w:sz w:val="16"/>
          <w:szCs w:val="16"/>
          <w:lang w:val="es-ES"/>
        </w:rPr>
        <w:t xml:space="preserve"> Alegatos de la Comisión Interamericana en el Caso Kimel vs. Argentina, Corte IDH, </w:t>
      </w:r>
      <w:r w:rsidRPr="0086009F">
        <w:rPr>
          <w:rFonts w:ascii="Cambria" w:hAnsi="Cambria"/>
          <w:i/>
          <w:sz w:val="16"/>
          <w:szCs w:val="16"/>
          <w:lang w:val="es-ES"/>
        </w:rPr>
        <w:t xml:space="preserve">Caso Kimel Vs. Argentina, supra. </w:t>
      </w:r>
      <w:r w:rsidRPr="0086009F">
        <w:rPr>
          <w:rFonts w:ascii="Cambria" w:hAnsi="Cambria"/>
          <w:sz w:val="16"/>
          <w:szCs w:val="16"/>
          <w:lang w:val="es-ES"/>
        </w:rPr>
        <w:t>Párr. 29.</w:t>
      </w:r>
    </w:p>
  </w:footnote>
  <w:footnote w:id="100">
    <w:p w14:paraId="20F6F384" w14:textId="31C8B603"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rPr>
        <w:footnoteRef/>
      </w:r>
      <w:r w:rsidRPr="0086009F">
        <w:rPr>
          <w:rFonts w:ascii="Cambria" w:hAnsi="Cambria"/>
          <w:sz w:val="16"/>
          <w:szCs w:val="16"/>
          <w:lang w:val="es-ES"/>
        </w:rPr>
        <w:t xml:space="preserve"> </w:t>
      </w:r>
      <w:r w:rsidRPr="0086009F">
        <w:rPr>
          <w:rFonts w:ascii="Cambria" w:hAnsi="Cambria"/>
          <w:sz w:val="16"/>
          <w:szCs w:val="16"/>
          <w:lang w:val="es-CO"/>
        </w:rPr>
        <w:t xml:space="preserve">CIDH, </w:t>
      </w:r>
      <w:r w:rsidRPr="0086009F">
        <w:rPr>
          <w:rFonts w:ascii="Cambria" w:hAnsi="Cambria"/>
          <w:i/>
          <w:sz w:val="16"/>
          <w:szCs w:val="16"/>
          <w:lang w:val="es-CO"/>
        </w:rPr>
        <w:t>Informe No. 88/10, Caso 12.661</w:t>
      </w:r>
      <w:r w:rsidRPr="0086009F">
        <w:rPr>
          <w:rFonts w:ascii="Cambria" w:hAnsi="Cambria"/>
          <w:sz w:val="16"/>
          <w:szCs w:val="16"/>
          <w:lang w:val="es-CO"/>
        </w:rPr>
        <w:t>, Fondo, Néstor José y Luís Uzcátegui y otros, Venezuela, 14 de julio de 2010. Párr. 279.</w:t>
      </w:r>
    </w:p>
  </w:footnote>
  <w:footnote w:id="101">
    <w:p w14:paraId="2E58A0C6" w14:textId="0ECD3D65" w:rsidR="00945C50" w:rsidRPr="0086009F" w:rsidRDefault="00945C50" w:rsidP="00E4013E">
      <w:pPr>
        <w:jc w:val="both"/>
        <w:rPr>
          <w:rFonts w:ascii="Cambria" w:hAnsi="Cambria"/>
          <w:sz w:val="16"/>
          <w:szCs w:val="16"/>
          <w:lang w:val="pt-BR"/>
        </w:rPr>
      </w:pPr>
      <w:r w:rsidRPr="0086009F">
        <w:rPr>
          <w:rStyle w:val="FootnoteReference"/>
          <w:rFonts w:ascii="Cambria" w:hAnsi="Cambria"/>
          <w:sz w:val="16"/>
          <w:szCs w:val="16"/>
          <w:lang w:val="es-CO"/>
        </w:rPr>
        <w:footnoteRef/>
      </w:r>
      <w:r w:rsidRPr="0086009F">
        <w:rPr>
          <w:rFonts w:ascii="Cambria" w:hAnsi="Cambria"/>
          <w:sz w:val="16"/>
          <w:szCs w:val="16"/>
          <w:lang w:val="es-PE"/>
        </w:rPr>
        <w:t xml:space="preserve"> Corte IDH, </w:t>
      </w:r>
      <w:r w:rsidRPr="0086009F">
        <w:rPr>
          <w:rFonts w:ascii="Cambria" w:hAnsi="Cambria"/>
          <w:i/>
          <w:sz w:val="16"/>
          <w:szCs w:val="16"/>
          <w:lang w:val="es-PE"/>
        </w:rPr>
        <w:t xml:space="preserve">Caso Kimel Vs. </w:t>
      </w:r>
      <w:r w:rsidRPr="0086009F">
        <w:rPr>
          <w:rFonts w:ascii="Cambria" w:hAnsi="Cambria"/>
          <w:i/>
          <w:sz w:val="16"/>
          <w:szCs w:val="16"/>
          <w:lang w:val="es-VE"/>
        </w:rPr>
        <w:t>Argentina, supra.</w:t>
      </w:r>
      <w:r w:rsidRPr="0086009F">
        <w:rPr>
          <w:rFonts w:ascii="Cambria" w:hAnsi="Cambria"/>
          <w:sz w:val="16"/>
          <w:szCs w:val="16"/>
          <w:lang w:val="es-VE"/>
        </w:rPr>
        <w:t xml:space="preserve"> </w:t>
      </w:r>
      <w:r w:rsidRPr="0086009F">
        <w:rPr>
          <w:rFonts w:ascii="Cambria" w:hAnsi="Cambria"/>
          <w:sz w:val="16"/>
          <w:szCs w:val="16"/>
          <w:lang w:val="es-CO"/>
        </w:rPr>
        <w:t xml:space="preserve">Párr.71, y  </w:t>
      </w:r>
      <w:r w:rsidRPr="0086009F">
        <w:rPr>
          <w:rFonts w:ascii="Cambria" w:hAnsi="Cambria"/>
          <w:i/>
          <w:sz w:val="16"/>
          <w:szCs w:val="16"/>
          <w:lang w:val="es-CO"/>
        </w:rPr>
        <w:t xml:space="preserve">Caso Tristán Donoso Vs. </w:t>
      </w:r>
      <w:r w:rsidRPr="0086009F">
        <w:rPr>
          <w:rFonts w:ascii="Cambria" w:hAnsi="Cambria"/>
          <w:i/>
          <w:sz w:val="16"/>
          <w:szCs w:val="16"/>
          <w:lang w:val="pt-BR"/>
        </w:rPr>
        <w:t>Panamá, supra</w:t>
      </w:r>
      <w:r w:rsidRPr="0086009F">
        <w:rPr>
          <w:rFonts w:ascii="Cambria" w:hAnsi="Cambria"/>
          <w:sz w:val="16"/>
          <w:szCs w:val="16"/>
          <w:lang w:val="pt-BR"/>
        </w:rPr>
        <w:t>. Párr. 118.</w:t>
      </w:r>
    </w:p>
  </w:footnote>
  <w:footnote w:id="102">
    <w:p w14:paraId="191C94EA" w14:textId="020FD844" w:rsidR="00945C50" w:rsidRPr="0086009F" w:rsidRDefault="00945C50" w:rsidP="00E4013E">
      <w:pPr>
        <w:jc w:val="both"/>
        <w:rPr>
          <w:rFonts w:ascii="Cambria" w:hAnsi="Cambria"/>
          <w:sz w:val="16"/>
          <w:szCs w:val="16"/>
          <w:lang w:val="es-PE"/>
        </w:rPr>
      </w:pPr>
      <w:r w:rsidRPr="0086009F">
        <w:rPr>
          <w:rStyle w:val="FootnoteReference"/>
          <w:rFonts w:ascii="Cambria" w:hAnsi="Cambria"/>
          <w:sz w:val="16"/>
          <w:szCs w:val="16"/>
          <w:lang w:val="es-CO"/>
        </w:rPr>
        <w:footnoteRef/>
      </w:r>
      <w:r w:rsidRPr="0086009F">
        <w:rPr>
          <w:rFonts w:ascii="Cambria" w:hAnsi="Cambria"/>
          <w:sz w:val="16"/>
          <w:szCs w:val="16"/>
          <w:lang w:val="pt-BR"/>
        </w:rPr>
        <w:t xml:space="preserve"> Corte IDH, </w:t>
      </w:r>
      <w:r w:rsidRPr="0086009F">
        <w:rPr>
          <w:rFonts w:ascii="Cambria" w:hAnsi="Cambria"/>
          <w:i/>
          <w:sz w:val="16"/>
          <w:szCs w:val="16"/>
          <w:lang w:val="pt-BR"/>
        </w:rPr>
        <w:t xml:space="preserve">Caso Ricardo Canese Vs. Paraguay, supra. </w:t>
      </w:r>
      <w:r w:rsidRPr="0086009F">
        <w:rPr>
          <w:rFonts w:ascii="Cambria" w:hAnsi="Cambria"/>
          <w:sz w:val="16"/>
          <w:szCs w:val="16"/>
          <w:lang w:val="es-PE"/>
        </w:rPr>
        <w:t xml:space="preserve">Párr. 101, y </w:t>
      </w:r>
      <w:r w:rsidRPr="0086009F">
        <w:rPr>
          <w:rFonts w:ascii="Cambria" w:hAnsi="Cambria"/>
          <w:i/>
          <w:sz w:val="16"/>
          <w:szCs w:val="16"/>
          <w:lang w:val="es-PE"/>
        </w:rPr>
        <w:t xml:space="preserve">Caso Kimel Vs. Argentina, supra. </w:t>
      </w:r>
      <w:r w:rsidRPr="0086009F">
        <w:rPr>
          <w:rFonts w:ascii="Cambria" w:hAnsi="Cambria"/>
          <w:sz w:val="16"/>
          <w:szCs w:val="16"/>
          <w:lang w:val="es-PE"/>
        </w:rPr>
        <w:t>Párr. 55.</w:t>
      </w:r>
    </w:p>
  </w:footnote>
  <w:footnote w:id="103">
    <w:p w14:paraId="038C288C" w14:textId="77777777" w:rsidR="00945C50" w:rsidRPr="0086009F" w:rsidRDefault="00945C50" w:rsidP="00E4013E">
      <w:pPr>
        <w:jc w:val="both"/>
        <w:rPr>
          <w:rFonts w:ascii="Cambria" w:hAnsi="Cambria"/>
          <w:sz w:val="16"/>
          <w:szCs w:val="16"/>
          <w:lang w:val="es-ES"/>
        </w:rPr>
      </w:pPr>
      <w:r w:rsidRPr="0086009F">
        <w:rPr>
          <w:rStyle w:val="FootnoteReference"/>
          <w:rFonts w:ascii="Cambria" w:hAnsi="Cambria"/>
          <w:sz w:val="16"/>
          <w:szCs w:val="16"/>
        </w:rPr>
        <w:footnoteRef/>
      </w:r>
      <w:r w:rsidRPr="0086009F">
        <w:rPr>
          <w:rFonts w:ascii="Cambria" w:hAnsi="Cambria"/>
          <w:sz w:val="16"/>
          <w:szCs w:val="16"/>
          <w:lang w:val="es-PE"/>
        </w:rPr>
        <w:t xml:space="preserve"> CIDH. </w:t>
      </w:r>
      <w:hyperlink r:id="rId14" w:history="1">
        <w:r w:rsidRPr="0086009F">
          <w:rPr>
            <w:rStyle w:val="Hyperlink"/>
            <w:rFonts w:ascii="Cambria" w:hAnsi="Cambria"/>
            <w:sz w:val="16"/>
            <w:szCs w:val="16"/>
            <w:u w:val="none"/>
            <w:lang w:val="es-PE"/>
          </w:rPr>
          <w:t xml:space="preserve">Informe Anual 2009. </w:t>
        </w:r>
        <w:r w:rsidRPr="0086009F">
          <w:rPr>
            <w:rStyle w:val="Hyperlink"/>
            <w:rFonts w:ascii="Cambria" w:hAnsi="Cambria"/>
            <w:sz w:val="16"/>
            <w:szCs w:val="16"/>
            <w:u w:val="none"/>
            <w:lang w:val="es-UY"/>
          </w:rPr>
          <w:t>Informe de la Relatoría Especial para la Libertad de Expresión</w:t>
        </w:r>
      </w:hyperlink>
      <w:r w:rsidRPr="0086009F">
        <w:rPr>
          <w:rFonts w:ascii="Cambria" w:hAnsi="Cambria"/>
          <w:sz w:val="16"/>
          <w:szCs w:val="16"/>
          <w:lang w:val="es-UY"/>
        </w:rPr>
        <w:t xml:space="preserve">. </w:t>
      </w:r>
      <w:r w:rsidRPr="0086009F">
        <w:rPr>
          <w:rFonts w:ascii="Cambria" w:hAnsi="Cambria"/>
          <w:sz w:val="16"/>
          <w:szCs w:val="16"/>
          <w:lang w:val="es-ES_tradnl"/>
        </w:rPr>
        <w:t xml:space="preserve">Capítulo III (Marco Jurídico Interamericano del Derecho a la Libertad de Expresión). OEA/Ser.L/V/II. Doc. 51. 30 de diciembre de 2009. Párr. </w:t>
      </w:r>
      <w:r w:rsidRPr="0086009F">
        <w:rPr>
          <w:rFonts w:ascii="Cambria" w:hAnsi="Cambria"/>
          <w:sz w:val="16"/>
          <w:szCs w:val="16"/>
          <w:lang w:val="es-ES"/>
        </w:rPr>
        <w:t xml:space="preserve">101. </w:t>
      </w:r>
    </w:p>
  </w:footnote>
  <w:footnote w:id="104">
    <w:p w14:paraId="24120BB0" w14:textId="77777777" w:rsidR="00945C50" w:rsidRPr="0086009F" w:rsidRDefault="00945C50" w:rsidP="00E401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VE"/>
        </w:rPr>
      </w:pPr>
      <w:r w:rsidRPr="0086009F">
        <w:rPr>
          <w:rStyle w:val="FootnoteReference"/>
          <w:rFonts w:ascii="Cambria" w:hAnsi="Cambria"/>
          <w:sz w:val="16"/>
          <w:szCs w:val="16"/>
        </w:rPr>
        <w:footnoteRef/>
      </w:r>
      <w:r w:rsidRPr="0086009F">
        <w:rPr>
          <w:rFonts w:ascii="Cambria" w:hAnsi="Cambria"/>
          <w:sz w:val="16"/>
          <w:szCs w:val="16"/>
          <w:lang w:val="es-PE"/>
        </w:rPr>
        <w:t xml:space="preserve"> </w:t>
      </w:r>
      <w:r w:rsidRPr="0086009F">
        <w:rPr>
          <w:rFonts w:ascii="Cambria" w:hAnsi="Cambria"/>
          <w:sz w:val="16"/>
          <w:szCs w:val="16"/>
          <w:lang w:val="es-AR"/>
        </w:rPr>
        <w:t>CIDH</w:t>
      </w:r>
      <w:r w:rsidRPr="0086009F">
        <w:rPr>
          <w:rFonts w:ascii="Cambria" w:hAnsi="Cambria"/>
          <w:sz w:val="16"/>
          <w:szCs w:val="16"/>
          <w:lang w:val="es-UY"/>
        </w:rPr>
        <w:t xml:space="preserve">. </w:t>
      </w:r>
      <w:hyperlink r:id="rId15" w:history="1">
        <w:r w:rsidRPr="0086009F">
          <w:rPr>
            <w:rStyle w:val="Hyperlink"/>
            <w:rFonts w:ascii="Cambria" w:hAnsi="Cambria"/>
            <w:sz w:val="16"/>
            <w:szCs w:val="16"/>
            <w:u w:val="none"/>
            <w:lang w:val="es-UY"/>
          </w:rPr>
          <w:t>Informe de la Relatoría Especial para la Libertad de Expresión</w:t>
        </w:r>
      </w:hyperlink>
      <w:r w:rsidRPr="0086009F">
        <w:rPr>
          <w:rFonts w:ascii="Cambria" w:hAnsi="Cambria"/>
          <w:sz w:val="16"/>
          <w:szCs w:val="16"/>
          <w:lang w:val="es-UY"/>
        </w:rPr>
        <w:t xml:space="preserve">. </w:t>
      </w:r>
      <w:r w:rsidRPr="0086009F">
        <w:rPr>
          <w:rFonts w:ascii="Cambria" w:hAnsi="Cambria"/>
          <w:sz w:val="16"/>
          <w:szCs w:val="16"/>
          <w:lang w:val="es-ES_tradnl"/>
        </w:rPr>
        <w:t xml:space="preserve">Marco Jurídico Interamericano del Derecho a la Libertad de Expresión Capítulo III. </w:t>
      </w:r>
      <w:r w:rsidRPr="0086009F">
        <w:rPr>
          <w:rFonts w:ascii="Cambria" w:hAnsi="Cambria"/>
          <w:sz w:val="16"/>
          <w:szCs w:val="16"/>
          <w:lang w:val="es-VE"/>
        </w:rPr>
        <w:t xml:space="preserve">OEA/Ser.L/V/II CIDH/RELE/INF. 2/09. </w:t>
      </w:r>
      <w:r w:rsidRPr="0086009F">
        <w:rPr>
          <w:rFonts w:ascii="Cambria" w:hAnsi="Cambria"/>
          <w:sz w:val="16"/>
          <w:szCs w:val="16"/>
          <w:lang w:val="es-ES_tradnl"/>
        </w:rPr>
        <w:t xml:space="preserve">30 de diciembre de 2009. Párr. </w:t>
      </w:r>
      <w:r w:rsidRPr="0086009F">
        <w:rPr>
          <w:rFonts w:ascii="Cambria" w:hAnsi="Cambria"/>
          <w:sz w:val="16"/>
          <w:szCs w:val="16"/>
          <w:lang w:val="es-ES"/>
        </w:rPr>
        <w:t>79.</w:t>
      </w:r>
    </w:p>
  </w:footnote>
  <w:footnote w:id="105">
    <w:p w14:paraId="32F7420B" w14:textId="20AD429D" w:rsidR="00945C50" w:rsidRPr="0086009F" w:rsidRDefault="00945C50" w:rsidP="00E401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VE"/>
        </w:rPr>
      </w:pPr>
      <w:r w:rsidRPr="0086009F">
        <w:rPr>
          <w:rStyle w:val="FootnoteReference"/>
          <w:rFonts w:ascii="Cambria" w:hAnsi="Cambria"/>
          <w:sz w:val="16"/>
          <w:szCs w:val="16"/>
        </w:rPr>
        <w:footnoteRef/>
      </w:r>
      <w:r w:rsidRPr="0086009F">
        <w:rPr>
          <w:rFonts w:ascii="Cambria" w:hAnsi="Cambria"/>
          <w:sz w:val="16"/>
          <w:szCs w:val="16"/>
          <w:lang w:val="es-PE"/>
        </w:rPr>
        <w:t xml:space="preserve"> </w:t>
      </w:r>
      <w:r w:rsidRPr="0086009F">
        <w:rPr>
          <w:rFonts w:ascii="Cambria" w:hAnsi="Cambria"/>
          <w:sz w:val="16"/>
          <w:szCs w:val="16"/>
          <w:lang w:val="es-VE"/>
        </w:rPr>
        <w:t xml:space="preserve">“Estas sanciones civiles, de conformidad con la Declaración Conjunta de 2000 de los relatores para la libertad de expresión de la ONU, la OEA y la OSCE, “no deben ser de tales proporciones que susciten un efecto inhibitorio sobre la libertad de expresión, y deben ser diseñadas de modo de restablecer la reputación dañada, y no de indemnizar al demandante o castigar al demandado; en especial, las sanciones pecuniarias deben ser estrictamente proporcionales a los daños reales causados, y la ley debe dar prioridad a la utilización de una gama de reparaciones no pecuniarias”. </w:t>
      </w:r>
      <w:r w:rsidRPr="0086009F">
        <w:rPr>
          <w:rFonts w:ascii="Cambria" w:hAnsi="Cambria"/>
          <w:sz w:val="16"/>
          <w:szCs w:val="16"/>
          <w:lang w:val="es-AR"/>
        </w:rPr>
        <w:t>CIDH</w:t>
      </w:r>
      <w:r w:rsidRPr="0086009F">
        <w:rPr>
          <w:rFonts w:ascii="Cambria" w:hAnsi="Cambria"/>
          <w:sz w:val="16"/>
          <w:szCs w:val="16"/>
          <w:lang w:val="es-UY"/>
        </w:rPr>
        <w:t xml:space="preserve">. </w:t>
      </w:r>
      <w:hyperlink r:id="rId16" w:history="1">
        <w:r w:rsidRPr="0086009F">
          <w:rPr>
            <w:rStyle w:val="Hyperlink"/>
            <w:rFonts w:ascii="Cambria" w:hAnsi="Cambria"/>
            <w:sz w:val="16"/>
            <w:szCs w:val="16"/>
            <w:u w:val="none"/>
            <w:lang w:val="es-UY"/>
          </w:rPr>
          <w:t>Informe de la Relatoría Especial para la Libertad de Expresión</w:t>
        </w:r>
      </w:hyperlink>
      <w:r w:rsidRPr="0086009F">
        <w:rPr>
          <w:rFonts w:ascii="Cambria" w:hAnsi="Cambria"/>
          <w:sz w:val="16"/>
          <w:szCs w:val="16"/>
          <w:lang w:val="es-UY"/>
        </w:rPr>
        <w:t xml:space="preserve">. </w:t>
      </w:r>
      <w:r w:rsidRPr="0086009F">
        <w:rPr>
          <w:rFonts w:ascii="Cambria" w:hAnsi="Cambria"/>
          <w:sz w:val="16"/>
          <w:szCs w:val="16"/>
          <w:lang w:val="es-ES_tradnl"/>
        </w:rPr>
        <w:t xml:space="preserve">Marco Jurídico Interamericano del Derecho a la Libertad de Expresión Capítulo III. </w:t>
      </w:r>
      <w:r w:rsidRPr="0086009F">
        <w:rPr>
          <w:rFonts w:ascii="Cambria" w:hAnsi="Cambria"/>
          <w:sz w:val="16"/>
          <w:szCs w:val="16"/>
          <w:lang w:val="es-VE"/>
        </w:rPr>
        <w:t xml:space="preserve">OEA/Ser.L/V/II CIDH/RELE/INF. 2/09. </w:t>
      </w:r>
      <w:r w:rsidRPr="0086009F">
        <w:rPr>
          <w:rFonts w:ascii="Cambria" w:hAnsi="Cambria"/>
          <w:sz w:val="16"/>
          <w:szCs w:val="16"/>
          <w:lang w:val="es-ES_tradnl"/>
        </w:rPr>
        <w:t xml:space="preserve">30 de diciembre de 2009. Párr. </w:t>
      </w:r>
      <w:r w:rsidRPr="0086009F">
        <w:rPr>
          <w:rFonts w:ascii="Cambria" w:hAnsi="Cambria"/>
          <w:sz w:val="16"/>
          <w:szCs w:val="16"/>
          <w:lang w:val="es-ES"/>
        </w:rPr>
        <w:t>110.</w:t>
      </w:r>
    </w:p>
  </w:footnote>
  <w:footnote w:id="106">
    <w:p w14:paraId="1D9DD1DE" w14:textId="3E7B82D7" w:rsidR="00945C50" w:rsidRPr="0086009F" w:rsidRDefault="00945C50" w:rsidP="00E4013E">
      <w:pPr>
        <w:pStyle w:val="footnote"/>
        <w:spacing w:after="0"/>
        <w:rPr>
          <w:rFonts w:ascii="Cambria" w:hAnsi="Cambria"/>
          <w:lang w:val="es-CR"/>
        </w:rPr>
      </w:pPr>
      <w:r w:rsidRPr="0086009F">
        <w:rPr>
          <w:rStyle w:val="FootnoteReference"/>
          <w:rFonts w:ascii="Cambria" w:hAnsi="Cambria"/>
        </w:rPr>
        <w:footnoteRef/>
      </w:r>
      <w:r w:rsidRPr="0086009F">
        <w:rPr>
          <w:rFonts w:ascii="Cambria" w:hAnsi="Cambria"/>
        </w:rPr>
        <w:t xml:space="preserve"> CIDH, </w:t>
      </w:r>
      <w:hyperlink r:id="rId17" w:history="1">
        <w:r w:rsidRPr="0086009F">
          <w:rPr>
            <w:rStyle w:val="Hyperlink"/>
            <w:rFonts w:ascii="Cambria" w:hAnsi="Cambria"/>
            <w:u w:val="none"/>
            <w:lang w:val="es-UY"/>
          </w:rPr>
          <w:t>Informe Anual 2004. Informe de la Relatoría Especial para la Libertad de Expresión</w:t>
        </w:r>
      </w:hyperlink>
      <w:r w:rsidRPr="0086009F">
        <w:rPr>
          <w:rFonts w:ascii="Cambria" w:hAnsi="Cambria"/>
          <w:lang w:val="es-ES_tradnl"/>
        </w:rPr>
        <w:t xml:space="preserve">. Capítulo </w:t>
      </w:r>
      <w:r w:rsidRPr="0086009F">
        <w:rPr>
          <w:rFonts w:ascii="Cambria" w:hAnsi="Cambria"/>
        </w:rPr>
        <w:t>VI</w:t>
      </w:r>
      <w:r w:rsidRPr="0086009F">
        <w:rPr>
          <w:rFonts w:ascii="Cambria" w:hAnsi="Cambria"/>
          <w:lang w:val="es-ES_tradnl"/>
        </w:rPr>
        <w:t xml:space="preserve"> (</w:t>
      </w:r>
      <w:r w:rsidRPr="0086009F">
        <w:rPr>
          <w:rFonts w:ascii="Cambria" w:hAnsi="Cambria"/>
        </w:rPr>
        <w:t xml:space="preserve">Leyes de Desacato y </w:t>
      </w:r>
      <w:r w:rsidRPr="0086009F">
        <w:rPr>
          <w:rFonts w:ascii="Cambria" w:hAnsi="Cambria"/>
          <w:lang w:val="es-CR"/>
        </w:rPr>
        <w:t>Difamación criminal). OEA/Ser.L/V/II.122. Doc. 5 rev. 1. 23 febrero 2005. Párr. 11.</w:t>
      </w:r>
    </w:p>
  </w:footnote>
  <w:footnote w:id="107">
    <w:p w14:paraId="7A1D0446" w14:textId="1B21E1D4" w:rsidR="00945C50" w:rsidRPr="0086009F" w:rsidRDefault="00945C50" w:rsidP="00E4013E">
      <w:pPr>
        <w:pStyle w:val="FootnoteText"/>
        <w:rPr>
          <w:rFonts w:ascii="Cambria" w:hAnsi="Cambria"/>
          <w:lang w:val="es-PE"/>
        </w:rPr>
      </w:pPr>
      <w:r w:rsidRPr="0086009F">
        <w:rPr>
          <w:rStyle w:val="FootnoteReference"/>
          <w:rFonts w:ascii="Cambria" w:hAnsi="Cambria"/>
        </w:rPr>
        <w:footnoteRef/>
      </w:r>
      <w:r w:rsidRPr="0086009F">
        <w:rPr>
          <w:rFonts w:ascii="Cambria" w:hAnsi="Cambria"/>
          <w:lang w:val="es-PE"/>
        </w:rPr>
        <w:t xml:space="preserve"> Corte IDH.  </w:t>
      </w:r>
      <w:r w:rsidRPr="0086009F">
        <w:rPr>
          <w:rFonts w:ascii="Cambria" w:hAnsi="Cambria"/>
          <w:i/>
          <w:lang w:val="es-PE"/>
        </w:rPr>
        <w:t xml:space="preserve">Caso Kimel Vs. </w:t>
      </w:r>
      <w:r w:rsidRPr="0086009F">
        <w:rPr>
          <w:rFonts w:ascii="Cambria" w:hAnsi="Cambria"/>
          <w:i/>
          <w:lang w:val="es-MX"/>
        </w:rPr>
        <w:t>Argentina, supra.</w:t>
      </w:r>
      <w:r w:rsidRPr="0086009F">
        <w:rPr>
          <w:rFonts w:ascii="Cambria" w:hAnsi="Cambria"/>
          <w:lang w:val="es-MX"/>
        </w:rPr>
        <w:t xml:space="preserve"> </w:t>
      </w:r>
      <w:r w:rsidRPr="0086009F">
        <w:rPr>
          <w:rFonts w:ascii="Cambria" w:hAnsi="Cambria"/>
          <w:lang w:val="es-VE"/>
        </w:rPr>
        <w:t>Párr. 93.</w:t>
      </w:r>
    </w:p>
  </w:footnote>
  <w:footnote w:id="108">
    <w:p w14:paraId="088AE639" w14:textId="7A8E1974" w:rsidR="00945C50" w:rsidRPr="0086009F" w:rsidRDefault="00945C50" w:rsidP="00E4013E">
      <w:pPr>
        <w:pStyle w:val="FootnoteText"/>
        <w:rPr>
          <w:rFonts w:ascii="Cambria" w:hAnsi="Cambria"/>
          <w:lang w:val="pt-BR"/>
        </w:rPr>
      </w:pPr>
      <w:r w:rsidRPr="0086009F">
        <w:rPr>
          <w:rStyle w:val="FootnoteReference"/>
          <w:rFonts w:ascii="Cambria" w:hAnsi="Cambria"/>
        </w:rPr>
        <w:footnoteRef/>
      </w:r>
      <w:r w:rsidRPr="0086009F">
        <w:rPr>
          <w:rFonts w:ascii="Cambria" w:hAnsi="Cambria"/>
          <w:lang w:val="es-PE"/>
        </w:rPr>
        <w:t xml:space="preserve"> La Corte IDH has establecido que </w:t>
      </w:r>
      <w:r w:rsidRPr="0086009F">
        <w:rPr>
          <w:rFonts w:ascii="Cambria" w:hAnsi="Cambria"/>
          <w:lang w:val="es-US"/>
        </w:rPr>
        <w:t xml:space="preserve">"las opiniones no pueden considerarse ni verdades ni falsas; como tal una opinión no puede ser objeto de sanción, más aún cuando se trata de un juicio de valor sobre un acto oficial de un funcionario público en el desempeño de su cargo”. </w:t>
      </w:r>
      <w:r w:rsidRPr="0086009F">
        <w:rPr>
          <w:rFonts w:ascii="Cambria" w:hAnsi="Cambria"/>
          <w:lang w:val="pt-BR"/>
        </w:rPr>
        <w:t xml:space="preserve">Corte IDH. </w:t>
      </w:r>
      <w:r w:rsidRPr="0086009F">
        <w:rPr>
          <w:rFonts w:ascii="Cambria" w:hAnsi="Cambria"/>
          <w:i/>
          <w:lang w:val="pt-BR"/>
        </w:rPr>
        <w:t>Caso Kimel Vs. Argentina, supra.</w:t>
      </w:r>
      <w:r w:rsidRPr="0086009F">
        <w:rPr>
          <w:rFonts w:ascii="Cambria" w:hAnsi="Cambria"/>
          <w:lang w:val="pt-BR"/>
        </w:rPr>
        <w:t xml:space="preserve"> Párr. 93.</w:t>
      </w:r>
    </w:p>
  </w:footnote>
  <w:footnote w:id="109">
    <w:p w14:paraId="69431393" w14:textId="38737DA3" w:rsidR="00945C50" w:rsidRPr="0086009F" w:rsidRDefault="00945C50" w:rsidP="00E4013E">
      <w:pPr>
        <w:pStyle w:val="FootnoteText"/>
        <w:rPr>
          <w:rFonts w:ascii="Cambria" w:hAnsi="Cambria"/>
          <w:lang w:val="es-PE"/>
        </w:rPr>
      </w:pPr>
      <w:r w:rsidRPr="0086009F">
        <w:rPr>
          <w:rStyle w:val="FootnoteReference"/>
          <w:rFonts w:ascii="Cambria" w:hAnsi="Cambria"/>
        </w:rPr>
        <w:footnoteRef/>
      </w:r>
      <w:r w:rsidRPr="0086009F">
        <w:rPr>
          <w:rFonts w:ascii="Cambria" w:hAnsi="Cambria"/>
          <w:lang w:val="pt-BR"/>
        </w:rPr>
        <w:t xml:space="preserve"> Corte IDH. </w:t>
      </w:r>
      <w:r w:rsidRPr="0086009F">
        <w:rPr>
          <w:rFonts w:ascii="Cambria" w:hAnsi="Cambria"/>
          <w:i/>
          <w:lang w:val="es-UY"/>
        </w:rPr>
        <w:t>Caso Granier y otros (Radio Caracas Televisión) Vs. Venezuela</w:t>
      </w:r>
      <w:r w:rsidRPr="0086009F">
        <w:rPr>
          <w:rFonts w:ascii="Cambria" w:hAnsi="Cambria"/>
          <w:lang w:val="es-UY"/>
        </w:rPr>
        <w:t>. Excepciones Preliminares, Fondo, Reparaciones y Costas. Sentencia de 22 de junio de 2015. Serie C No. 293. Párr. 139.</w:t>
      </w:r>
    </w:p>
  </w:footnote>
  <w:footnote w:id="110">
    <w:p w14:paraId="0F25503F" w14:textId="4134373C" w:rsidR="00945C50" w:rsidRPr="0086009F" w:rsidRDefault="00945C50" w:rsidP="00E4013E">
      <w:pPr>
        <w:pStyle w:val="FootnoteText"/>
        <w:tabs>
          <w:tab w:val="left" w:pos="567"/>
        </w:tabs>
        <w:rPr>
          <w:rFonts w:ascii="Cambria" w:hAnsi="Cambria" w:cs="Times New Roman"/>
          <w:spacing w:val="-2"/>
          <w:lang w:val="es-CR"/>
        </w:rPr>
      </w:pPr>
      <w:r w:rsidRPr="0086009F">
        <w:rPr>
          <w:rStyle w:val="FootnoteReference"/>
          <w:rFonts w:ascii="Cambria" w:hAnsi="Cambria" w:cs="Times New Roman"/>
          <w:spacing w:val="-2"/>
        </w:rPr>
        <w:footnoteRef/>
      </w:r>
      <w:r w:rsidRPr="0086009F">
        <w:rPr>
          <w:rFonts w:ascii="Cambria" w:hAnsi="Cambria"/>
          <w:spacing w:val="-2"/>
          <w:lang w:val="es-CR"/>
        </w:rPr>
        <w:t xml:space="preserve"> TEDH. </w:t>
      </w:r>
      <w:r w:rsidRPr="0086009F">
        <w:rPr>
          <w:rFonts w:ascii="Cambria" w:hAnsi="Cambria"/>
          <w:i/>
          <w:spacing w:val="-2"/>
          <w:lang w:val="es-CR"/>
        </w:rPr>
        <w:t>Caso</w:t>
      </w:r>
      <w:r w:rsidRPr="0086009F">
        <w:rPr>
          <w:rFonts w:ascii="Cambria" w:hAnsi="Cambria"/>
          <w:spacing w:val="-2"/>
          <w:lang w:val="es-CR"/>
        </w:rPr>
        <w:t xml:space="preserve"> </w:t>
      </w:r>
      <w:r w:rsidRPr="0086009F">
        <w:rPr>
          <w:rFonts w:ascii="Cambria" w:hAnsi="Cambria"/>
          <w:i/>
          <w:spacing w:val="-2"/>
          <w:lang w:val="es-CR"/>
        </w:rPr>
        <w:t xml:space="preserve">Novaya Gazeta y Borodyanskiy Vs. </w:t>
      </w:r>
      <w:r w:rsidRPr="0086009F">
        <w:rPr>
          <w:rFonts w:ascii="Cambria" w:hAnsi="Cambria"/>
          <w:i/>
          <w:spacing w:val="-2"/>
        </w:rPr>
        <w:t>Rusia</w:t>
      </w:r>
      <w:r w:rsidRPr="0086009F">
        <w:rPr>
          <w:rFonts w:ascii="Cambria" w:hAnsi="Cambria"/>
          <w:spacing w:val="-2"/>
        </w:rPr>
        <w:t xml:space="preserve">. No. 14087/08. Sentencia de 28 de marzo de 2013. Párr. 37. En su versión en inglés, Tribunal Europeo señaló lo siguiente: “[i]n this respect the Court reiterates that Article 10 does not guarantee wholly unrestricted freedom of expression to the press, even with respect to coverage of matters of serious public concern. While enjoying the protection afforded by the Convention, journalists must, when exercising their duties, abide by the principles of responsible journalism, namely to act in good faith, provide accurate and reliable information, objectively reflect the opinions of those involved in a public debate, and refrain from pure sensationalism”. </w:t>
      </w:r>
      <w:r w:rsidRPr="0086009F">
        <w:rPr>
          <w:rFonts w:ascii="Cambria" w:hAnsi="Cambria"/>
          <w:spacing w:val="-2"/>
          <w:lang w:val="es-ES"/>
        </w:rPr>
        <w:t xml:space="preserve">En sentido similar véase, </w:t>
      </w:r>
      <w:r w:rsidRPr="0086009F">
        <w:rPr>
          <w:rFonts w:ascii="Cambria" w:hAnsi="Cambria"/>
          <w:i/>
          <w:spacing w:val="-2"/>
          <w:lang w:val="es-ES"/>
        </w:rPr>
        <w:t>Pedersen y Baadsgaard Vs. Dinamarca</w:t>
      </w:r>
      <w:r w:rsidRPr="0086009F">
        <w:rPr>
          <w:rFonts w:ascii="Cambria" w:hAnsi="Cambria"/>
          <w:spacing w:val="-2"/>
          <w:lang w:val="es-ES"/>
        </w:rPr>
        <w:t xml:space="preserve"> [GS]. No. 49017/99. Sentencia de 17 de diciembre de 2004. Párr. 78, y </w:t>
      </w:r>
      <w:r w:rsidRPr="0086009F">
        <w:rPr>
          <w:rFonts w:ascii="Cambria" w:hAnsi="Cambria"/>
          <w:i/>
          <w:spacing w:val="-2"/>
          <w:lang w:val="es-ES"/>
        </w:rPr>
        <w:t>Caso</w:t>
      </w:r>
      <w:r w:rsidRPr="0086009F">
        <w:rPr>
          <w:rFonts w:ascii="Cambria" w:hAnsi="Cambria"/>
          <w:spacing w:val="-2"/>
          <w:lang w:val="es-ES"/>
        </w:rPr>
        <w:t xml:space="preserve"> </w:t>
      </w:r>
      <w:r w:rsidRPr="0086009F">
        <w:rPr>
          <w:rFonts w:ascii="Cambria" w:hAnsi="Cambria"/>
          <w:i/>
          <w:spacing w:val="-2"/>
          <w:lang w:val="es-ES"/>
        </w:rPr>
        <w:t xml:space="preserve">Stoll Vs. Suiza </w:t>
      </w:r>
      <w:r w:rsidRPr="0086009F">
        <w:rPr>
          <w:rFonts w:ascii="Cambria" w:hAnsi="Cambria"/>
          <w:spacing w:val="-2"/>
          <w:lang w:val="es-ES"/>
        </w:rPr>
        <w:t>[GS]. No. 69698/01. Sentencia de 10 de diciembre de 2007. Párr. 103.</w:t>
      </w:r>
    </w:p>
  </w:footnote>
  <w:footnote w:id="111">
    <w:p w14:paraId="1DB2D56F" w14:textId="18BCEC5D" w:rsidR="00945C50" w:rsidRPr="0086009F" w:rsidRDefault="00945C50" w:rsidP="00E4013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CO"/>
        </w:rPr>
      </w:pPr>
      <w:r w:rsidRPr="0086009F">
        <w:rPr>
          <w:rStyle w:val="FootnoteReference"/>
          <w:rFonts w:ascii="Cambria" w:hAnsi="Cambria"/>
          <w:sz w:val="16"/>
          <w:szCs w:val="16"/>
        </w:rPr>
        <w:footnoteRef/>
      </w:r>
      <w:r w:rsidRPr="0086009F">
        <w:rPr>
          <w:rFonts w:ascii="Cambria" w:hAnsi="Cambria"/>
          <w:sz w:val="16"/>
          <w:szCs w:val="16"/>
          <w:lang w:val="es-PE"/>
        </w:rPr>
        <w:t xml:space="preserve"> En el caso </w:t>
      </w:r>
      <w:r w:rsidRPr="0086009F">
        <w:rPr>
          <w:rFonts w:ascii="Cambria" w:hAnsi="Cambria" w:cstheme="minorHAnsi"/>
          <w:sz w:val="16"/>
          <w:szCs w:val="16"/>
          <w:lang w:val="es-AR"/>
        </w:rPr>
        <w:t xml:space="preserve">en el caso </w:t>
      </w:r>
      <w:r w:rsidRPr="0086009F">
        <w:rPr>
          <w:rFonts w:ascii="Cambria" w:hAnsi="Cambria" w:cstheme="minorHAnsi"/>
          <w:i/>
          <w:iCs/>
          <w:sz w:val="16"/>
          <w:szCs w:val="16"/>
          <w:lang w:val="es-AR"/>
        </w:rPr>
        <w:t>Tristán Donoso Vs. Panamá</w:t>
      </w:r>
      <w:r w:rsidRPr="0086009F">
        <w:rPr>
          <w:rFonts w:ascii="Cambria" w:hAnsi="Cambria" w:cstheme="minorHAnsi"/>
          <w:sz w:val="16"/>
          <w:szCs w:val="16"/>
          <w:lang w:val="es-AR"/>
        </w:rPr>
        <w:t xml:space="preserve">, la Corte Interamericana estudió el caso de un abogado condenado por calumnia debido a la afirmación efectuada en una rueda de prensa, según la cual el Procurador General de la Nación había interceptado ilegalmente sus comunicaciones, hecho por el que dicho funcionario fue absuelto en un proceso judicial posteriormente. A juicio de la Corte Interamericana, el abogado, debido al contexto en el que se había enterado de las interceptaciones, tenía buenas razones para considerar que las afirmaciones que hacía correspondían a hechos ciertos y que estaba difundiendo información verdadera. En palabras de la Corte Interamericana, cuando “Tristán Donoso convocó la conferencia de prensa existían diversos e importantes elementos de información y de apreciación que permitían considerar que su afirmación no estaba desprovista de fundamento respecto de la responsabilidad del ex Procurador sobre la grabación de su conversación”. En este mismo sentido, el juez de primera instancia dentro del proceso de calumnia contra Tristán Donoso consideró que no se había configurado el tipo penal, puesto que, “para que se d[é] el delito que nos ocupa el que hace la imputación debe saber que el hecho es falso, situación [que en este caso] no existe”. La Corte Interamericana afirmó que, entre los elementos que se debían ponderar para la aplicación excepcional de la sanción, estaban “el dolo con que actuó” quien afectó los derechos de otro. La Corte Interamericana también ha estimado que cuando una afirmación que podría comprometer la reputación de una persona se condiciona a la confirmación de un hecho, debe excluirse la existencia de dolo específico de injuriar, ofender o menospreciar”. Corte IDH. </w:t>
      </w:r>
      <w:r w:rsidRPr="0086009F">
        <w:rPr>
          <w:rFonts w:ascii="Cambria" w:hAnsi="Cambria" w:cstheme="minorHAnsi"/>
          <w:i/>
          <w:sz w:val="16"/>
          <w:szCs w:val="16"/>
          <w:lang w:val="es-AR"/>
        </w:rPr>
        <w:t>Caso Tristán Donoso Vs. Panamá</w:t>
      </w:r>
      <w:r w:rsidRPr="0086009F">
        <w:rPr>
          <w:rFonts w:ascii="Cambria" w:hAnsi="Cambria" w:cstheme="minorHAnsi"/>
          <w:sz w:val="16"/>
          <w:szCs w:val="16"/>
          <w:lang w:val="es-AR"/>
        </w:rPr>
        <w:t xml:space="preserve">, </w:t>
      </w:r>
      <w:r w:rsidRPr="0086009F">
        <w:rPr>
          <w:rFonts w:ascii="Cambria" w:hAnsi="Cambria" w:cstheme="minorHAnsi"/>
          <w:i/>
          <w:sz w:val="16"/>
          <w:szCs w:val="16"/>
          <w:lang w:val="es-AR"/>
        </w:rPr>
        <w:t>supra</w:t>
      </w:r>
      <w:r w:rsidRPr="0086009F">
        <w:rPr>
          <w:rFonts w:ascii="Cambria" w:hAnsi="Cambria" w:cstheme="minorHAnsi"/>
          <w:sz w:val="16"/>
          <w:szCs w:val="16"/>
          <w:lang w:val="es-AR"/>
        </w:rPr>
        <w:t xml:space="preserve">. Párrs. 125 a 126, y </w:t>
      </w:r>
      <w:r w:rsidRPr="0086009F">
        <w:rPr>
          <w:rFonts w:ascii="Cambria" w:hAnsi="Cambria" w:cstheme="minorHAnsi"/>
          <w:i/>
          <w:sz w:val="16"/>
          <w:szCs w:val="16"/>
          <w:lang w:val="es-AR"/>
        </w:rPr>
        <w:t>Caso Usón Ramírez Vs Venezuela</w:t>
      </w:r>
      <w:r w:rsidRPr="0086009F">
        <w:rPr>
          <w:rFonts w:ascii="Cambria" w:hAnsi="Cambria" w:cstheme="minorHAnsi"/>
          <w:sz w:val="16"/>
          <w:szCs w:val="16"/>
          <w:lang w:val="es-AR"/>
        </w:rPr>
        <w:t xml:space="preserve">, </w:t>
      </w:r>
      <w:r w:rsidRPr="0086009F">
        <w:rPr>
          <w:rFonts w:ascii="Cambria" w:hAnsi="Cambria" w:cstheme="minorHAnsi"/>
          <w:i/>
          <w:sz w:val="16"/>
          <w:szCs w:val="16"/>
          <w:lang w:val="es-AR"/>
        </w:rPr>
        <w:t>supra</w:t>
      </w:r>
      <w:r w:rsidRPr="0086009F">
        <w:rPr>
          <w:rFonts w:ascii="Cambria" w:hAnsi="Cambria" w:cstheme="minorHAnsi"/>
          <w:sz w:val="16"/>
          <w:szCs w:val="16"/>
          <w:lang w:val="es-AR"/>
        </w:rPr>
        <w:t>. Párr. 86.</w:t>
      </w:r>
    </w:p>
  </w:footnote>
  <w:footnote w:id="112">
    <w:p w14:paraId="77941CFC" w14:textId="4AB42A97" w:rsidR="00945C50" w:rsidRPr="0086009F" w:rsidRDefault="00945C50" w:rsidP="00E4013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PE"/>
        </w:rPr>
      </w:pPr>
      <w:r w:rsidRPr="0086009F">
        <w:rPr>
          <w:rStyle w:val="FootnoteReference"/>
          <w:rFonts w:ascii="Cambria" w:hAnsi="Cambria"/>
          <w:sz w:val="16"/>
          <w:szCs w:val="16"/>
        </w:rPr>
        <w:footnoteRef/>
      </w:r>
      <w:r w:rsidRPr="0086009F">
        <w:rPr>
          <w:rFonts w:ascii="Cambria" w:hAnsi="Cambria"/>
          <w:sz w:val="16"/>
          <w:szCs w:val="16"/>
          <w:lang w:val="es-PE"/>
        </w:rPr>
        <w:t xml:space="preserve"> </w:t>
      </w:r>
      <w:r w:rsidRPr="0086009F">
        <w:rPr>
          <w:rFonts w:ascii="Cambria" w:hAnsi="Cambria" w:cstheme="minorHAnsi"/>
          <w:sz w:val="16"/>
          <w:szCs w:val="16"/>
          <w:lang w:val="es-AR"/>
        </w:rPr>
        <w:t xml:space="preserve">Por otra parte, la Corte Interamericana en el caso </w:t>
      </w:r>
      <w:r w:rsidRPr="0086009F">
        <w:rPr>
          <w:rFonts w:ascii="Cambria" w:hAnsi="Cambria" w:cstheme="minorHAnsi"/>
          <w:i/>
          <w:iCs/>
          <w:sz w:val="16"/>
          <w:szCs w:val="16"/>
          <w:lang w:val="es-AR"/>
        </w:rPr>
        <w:t xml:space="preserve">Herrera Ulloa Vs. Costa Rica </w:t>
      </w:r>
      <w:r w:rsidRPr="0086009F">
        <w:rPr>
          <w:rFonts w:ascii="Cambria" w:hAnsi="Cambria" w:cstheme="minorHAnsi"/>
          <w:sz w:val="16"/>
          <w:szCs w:val="16"/>
          <w:lang w:val="es-AR"/>
        </w:rPr>
        <w:t xml:space="preserve">explicó que, exigir a quien se expresa que demuestre judicialmente la veracidad de los hechos que sustentan sus afirmaciones, y correlativamente, no admitir la </w:t>
      </w:r>
      <w:r w:rsidRPr="0086009F">
        <w:rPr>
          <w:rFonts w:ascii="Cambria" w:hAnsi="Cambria" w:cstheme="minorHAnsi"/>
          <w:i/>
          <w:iCs/>
          <w:sz w:val="16"/>
          <w:szCs w:val="16"/>
          <w:lang w:val="es-AR"/>
        </w:rPr>
        <w:t xml:space="preserve">exceptio veritatis </w:t>
      </w:r>
      <w:r w:rsidRPr="0086009F">
        <w:rPr>
          <w:rFonts w:ascii="Cambria" w:hAnsi="Cambria" w:cstheme="minorHAnsi"/>
          <w:sz w:val="16"/>
          <w:szCs w:val="16"/>
          <w:lang w:val="es-AR"/>
        </w:rPr>
        <w:t xml:space="preserve">a su favor, “entraña una limitación excesiva a la libertad de expresión, de manera inconsecuente con lo previsto en el artículo 13.2 de la Convención [Americana]”. En todo caso, a este respecto, como acaba de explicarse, si bien la </w:t>
      </w:r>
      <w:r w:rsidRPr="0086009F">
        <w:rPr>
          <w:rFonts w:ascii="Cambria" w:hAnsi="Cambria" w:cstheme="minorHAnsi"/>
          <w:i/>
          <w:iCs/>
          <w:sz w:val="16"/>
          <w:szCs w:val="16"/>
          <w:lang w:val="es-AR"/>
        </w:rPr>
        <w:t xml:space="preserve">exceptio veritatis </w:t>
      </w:r>
      <w:r w:rsidRPr="0086009F">
        <w:rPr>
          <w:rFonts w:ascii="Cambria" w:hAnsi="Cambria" w:cstheme="minorHAnsi"/>
          <w:sz w:val="16"/>
          <w:szCs w:val="16"/>
          <w:lang w:val="es-AR"/>
        </w:rPr>
        <w:t>debe ser una causal justificativa de cualquier tipo de responsabilidad, lo cierto es que no puede ser la única causal de exclusión pues, como se vio</w:t>
      </w:r>
      <w:r w:rsidRPr="0086009F">
        <w:rPr>
          <w:rFonts w:ascii="Cambria" w:hAnsi="Cambria" w:cstheme="minorHAnsi"/>
          <w:b/>
          <w:sz w:val="16"/>
          <w:szCs w:val="16"/>
          <w:lang w:val="es-AR"/>
        </w:rPr>
        <w:t xml:space="preserve">, </w:t>
      </w:r>
      <w:r w:rsidRPr="0086009F">
        <w:rPr>
          <w:rFonts w:ascii="Cambria" w:hAnsi="Cambria" w:cstheme="minorHAnsi"/>
          <w:sz w:val="16"/>
          <w:szCs w:val="16"/>
          <w:lang w:val="es-AR"/>
        </w:rPr>
        <w:t xml:space="preserve">basta con que las aseveraciones cuestionadas resulten razonables, para excluir la responsabilidad frente a afirmaciones que revisten un interés público actual.  </w:t>
      </w:r>
      <w:r w:rsidRPr="0086009F">
        <w:rPr>
          <w:rFonts w:ascii="Cambria" w:hAnsi="Cambria"/>
          <w:sz w:val="16"/>
          <w:szCs w:val="16"/>
          <w:lang w:val="es-AR"/>
        </w:rPr>
        <w:t>CIDH</w:t>
      </w:r>
      <w:r w:rsidRPr="0086009F">
        <w:rPr>
          <w:rFonts w:ascii="Cambria" w:hAnsi="Cambria"/>
          <w:sz w:val="16"/>
          <w:szCs w:val="16"/>
          <w:lang w:val="es-UY"/>
        </w:rPr>
        <w:t xml:space="preserve">. </w:t>
      </w:r>
      <w:hyperlink r:id="rId18" w:history="1">
        <w:r w:rsidRPr="0086009F">
          <w:rPr>
            <w:rStyle w:val="Hyperlink"/>
            <w:rFonts w:ascii="Cambria" w:hAnsi="Cambria"/>
            <w:sz w:val="16"/>
            <w:szCs w:val="16"/>
            <w:u w:val="none"/>
            <w:lang w:val="es-UY"/>
          </w:rPr>
          <w:t>Informe de la Relatoría Especial para la Libertad de Expresión</w:t>
        </w:r>
      </w:hyperlink>
      <w:r w:rsidRPr="0086009F">
        <w:rPr>
          <w:rFonts w:ascii="Cambria" w:hAnsi="Cambria"/>
          <w:sz w:val="16"/>
          <w:szCs w:val="16"/>
          <w:lang w:val="es-UY"/>
        </w:rPr>
        <w:t xml:space="preserve">. </w:t>
      </w:r>
      <w:r w:rsidRPr="0086009F">
        <w:rPr>
          <w:rFonts w:ascii="Cambria" w:hAnsi="Cambria"/>
          <w:sz w:val="16"/>
          <w:szCs w:val="16"/>
          <w:lang w:val="es-ES_tradnl"/>
        </w:rPr>
        <w:t xml:space="preserve">Marco Jurídico Interamericano del Derecho a la Libertad de Expresión Capítulo III. </w:t>
      </w:r>
      <w:r w:rsidRPr="0086009F">
        <w:rPr>
          <w:rFonts w:ascii="Cambria" w:hAnsi="Cambria"/>
          <w:sz w:val="16"/>
          <w:szCs w:val="16"/>
          <w:lang w:val="es-VE"/>
        </w:rPr>
        <w:t xml:space="preserve">OEA/Ser.L/V/II CIDH/RELE/INF. 2/09. </w:t>
      </w:r>
      <w:r w:rsidRPr="0086009F">
        <w:rPr>
          <w:rFonts w:ascii="Cambria" w:hAnsi="Cambria"/>
          <w:sz w:val="16"/>
          <w:szCs w:val="16"/>
          <w:lang w:val="es-ES_tradnl"/>
        </w:rPr>
        <w:t xml:space="preserve">30 de diciembre de 2009. Párr. </w:t>
      </w:r>
      <w:r w:rsidRPr="0086009F">
        <w:rPr>
          <w:rFonts w:ascii="Cambria" w:hAnsi="Cambria"/>
          <w:sz w:val="16"/>
          <w:szCs w:val="16"/>
          <w:lang w:val="es-ES"/>
        </w:rPr>
        <w:t xml:space="preserve">109. Véase también, </w:t>
      </w:r>
      <w:r w:rsidRPr="0086009F">
        <w:rPr>
          <w:rFonts w:ascii="Cambria" w:hAnsi="Cambria"/>
          <w:sz w:val="16"/>
          <w:szCs w:val="16"/>
          <w:lang w:val="es-MX"/>
        </w:rPr>
        <w:t xml:space="preserve">Corte IDH. </w:t>
      </w:r>
      <w:r w:rsidRPr="0086009F">
        <w:rPr>
          <w:rFonts w:ascii="Cambria" w:hAnsi="Cambria"/>
          <w:i/>
          <w:sz w:val="16"/>
          <w:szCs w:val="16"/>
          <w:lang w:val="es-MX"/>
        </w:rPr>
        <w:t xml:space="preserve">Caso Kimel Vs. </w:t>
      </w:r>
      <w:r w:rsidRPr="0086009F">
        <w:rPr>
          <w:rFonts w:ascii="Cambria" w:hAnsi="Cambria"/>
          <w:i/>
          <w:sz w:val="16"/>
          <w:szCs w:val="16"/>
          <w:lang w:val="es-VE"/>
        </w:rPr>
        <w:t>Argentina, supra.</w:t>
      </w:r>
      <w:r w:rsidRPr="0086009F">
        <w:rPr>
          <w:rFonts w:ascii="Cambria" w:hAnsi="Cambria"/>
          <w:sz w:val="16"/>
          <w:szCs w:val="16"/>
          <w:lang w:val="es-PE"/>
        </w:rPr>
        <w:t xml:space="preserve">.Párr. 78, y </w:t>
      </w:r>
      <w:r w:rsidRPr="0086009F">
        <w:rPr>
          <w:rFonts w:ascii="Cambria" w:hAnsi="Cambria" w:cstheme="minorHAnsi"/>
          <w:i/>
          <w:sz w:val="16"/>
          <w:szCs w:val="16"/>
          <w:lang w:val="es-AR"/>
        </w:rPr>
        <w:t>Caso Tristán Donoso Vs. Panamá</w:t>
      </w:r>
      <w:r w:rsidRPr="0086009F">
        <w:rPr>
          <w:rFonts w:ascii="Cambria" w:hAnsi="Cambria" w:cstheme="minorHAnsi"/>
          <w:sz w:val="16"/>
          <w:szCs w:val="16"/>
          <w:lang w:val="es-AR"/>
        </w:rPr>
        <w:t xml:space="preserve">, </w:t>
      </w:r>
      <w:r w:rsidRPr="0086009F">
        <w:rPr>
          <w:rFonts w:ascii="Cambria" w:hAnsi="Cambria" w:cstheme="minorHAnsi"/>
          <w:i/>
          <w:sz w:val="16"/>
          <w:szCs w:val="16"/>
          <w:lang w:val="es-AR"/>
        </w:rPr>
        <w:t>supra</w:t>
      </w:r>
      <w:r w:rsidRPr="0086009F">
        <w:rPr>
          <w:rFonts w:ascii="Cambria" w:hAnsi="Cambria" w:cstheme="minorHAnsi"/>
          <w:sz w:val="16"/>
          <w:szCs w:val="16"/>
          <w:lang w:val="es-AR"/>
        </w:rPr>
        <w:t>. Párr. 120.</w:t>
      </w:r>
    </w:p>
  </w:footnote>
  <w:footnote w:id="113">
    <w:p w14:paraId="6F6FA7EB" w14:textId="3D4EBF12" w:rsidR="00945C50" w:rsidRPr="0086009F" w:rsidRDefault="00945C50" w:rsidP="00E4013E">
      <w:pPr>
        <w:pStyle w:val="FootnoteText"/>
        <w:rPr>
          <w:rFonts w:ascii="Cambria" w:hAnsi="Cambria"/>
          <w:lang w:val="es-PE"/>
        </w:rPr>
      </w:pPr>
      <w:r w:rsidRPr="0086009F">
        <w:rPr>
          <w:rStyle w:val="FootnoteReference"/>
          <w:rFonts w:ascii="Cambria" w:hAnsi="Cambria"/>
        </w:rPr>
        <w:footnoteRef/>
      </w:r>
      <w:r w:rsidRPr="0086009F">
        <w:rPr>
          <w:rFonts w:ascii="Cambria" w:hAnsi="Cambria"/>
          <w:lang w:val="es-PE"/>
        </w:rPr>
        <w:t xml:space="preserve"> </w:t>
      </w:r>
      <w:r w:rsidRPr="0086009F">
        <w:rPr>
          <w:rFonts w:ascii="Cambria" w:hAnsi="Cambria"/>
          <w:lang w:val="es-AR"/>
        </w:rPr>
        <w:t>CIDH</w:t>
      </w:r>
      <w:r w:rsidRPr="0086009F">
        <w:rPr>
          <w:rFonts w:ascii="Cambria" w:hAnsi="Cambria"/>
          <w:lang w:val="es-UY"/>
        </w:rPr>
        <w:t xml:space="preserve">. </w:t>
      </w:r>
      <w:hyperlink r:id="rId19" w:history="1">
        <w:r w:rsidRPr="0086009F">
          <w:rPr>
            <w:rStyle w:val="Hyperlink"/>
            <w:rFonts w:ascii="Cambria" w:hAnsi="Cambria"/>
            <w:u w:val="none"/>
            <w:lang w:val="es-UY"/>
          </w:rPr>
          <w:t>Informe de la Relatoría Especial para la Libertad de Expresión</w:t>
        </w:r>
      </w:hyperlink>
      <w:r w:rsidRPr="0086009F">
        <w:rPr>
          <w:rFonts w:ascii="Cambria" w:hAnsi="Cambria"/>
          <w:lang w:val="es-UY"/>
        </w:rPr>
        <w:t xml:space="preserve">. </w:t>
      </w:r>
      <w:r w:rsidRPr="0086009F">
        <w:rPr>
          <w:rFonts w:ascii="Cambria" w:hAnsi="Cambria"/>
          <w:lang w:val="es-ES_tradnl"/>
        </w:rPr>
        <w:t xml:space="preserve">Marco Jurídico Interamericano del Derecho a la Libertad de Expresión Capítulo III. </w:t>
      </w:r>
      <w:r w:rsidRPr="0086009F">
        <w:rPr>
          <w:rFonts w:ascii="Cambria" w:hAnsi="Cambria"/>
          <w:lang w:val="es-VE"/>
        </w:rPr>
        <w:t xml:space="preserve">OEA/Ser.L/V/II CIDH/RELE/INF. 2/09. </w:t>
      </w:r>
      <w:r w:rsidRPr="0086009F">
        <w:rPr>
          <w:rFonts w:ascii="Cambria" w:hAnsi="Cambria"/>
          <w:lang w:val="es-ES_tradnl"/>
        </w:rPr>
        <w:t xml:space="preserve">30 de diciembre de 2009. Párr. </w:t>
      </w:r>
      <w:r w:rsidRPr="0086009F">
        <w:rPr>
          <w:rFonts w:ascii="Cambria" w:hAnsi="Cambria"/>
          <w:lang w:val="es-ES"/>
        </w:rPr>
        <w:t xml:space="preserve">109. </w:t>
      </w:r>
      <w:r w:rsidRPr="0086009F">
        <w:rPr>
          <w:rFonts w:ascii="Cambria" w:hAnsi="Cambria"/>
          <w:lang w:val="es-PE"/>
        </w:rPr>
        <w:t xml:space="preserve">Corte IDH. </w:t>
      </w:r>
      <w:r w:rsidRPr="0086009F">
        <w:rPr>
          <w:rFonts w:ascii="Cambria" w:hAnsi="Cambria" w:cstheme="minorHAnsi"/>
          <w:i/>
          <w:lang w:val="es-AR"/>
        </w:rPr>
        <w:t>Caso Tristán Donoso Vs. Panamá</w:t>
      </w:r>
      <w:r w:rsidRPr="0086009F">
        <w:rPr>
          <w:rFonts w:ascii="Cambria" w:hAnsi="Cambria" w:cstheme="minorHAnsi"/>
          <w:lang w:val="es-AR"/>
        </w:rPr>
        <w:t xml:space="preserve">, </w:t>
      </w:r>
      <w:r w:rsidRPr="0086009F">
        <w:rPr>
          <w:rFonts w:ascii="Cambria" w:hAnsi="Cambria" w:cstheme="minorHAnsi"/>
          <w:i/>
          <w:lang w:val="es-AR"/>
        </w:rPr>
        <w:t>supra</w:t>
      </w:r>
      <w:r w:rsidRPr="0086009F">
        <w:rPr>
          <w:rFonts w:ascii="Cambria" w:hAnsi="Cambria" w:cstheme="minorHAnsi"/>
          <w:lang w:val="es-AR"/>
        </w:rPr>
        <w:t>. Párrs. 125 a 126.</w:t>
      </w:r>
    </w:p>
  </w:footnote>
  <w:footnote w:id="114">
    <w:p w14:paraId="67488E61" w14:textId="62B4395C" w:rsidR="00945C50" w:rsidRPr="0086009F" w:rsidRDefault="00945C50" w:rsidP="00E4013E">
      <w:pPr>
        <w:jc w:val="both"/>
        <w:rPr>
          <w:rFonts w:ascii="Cambria" w:hAnsi="Cambria"/>
          <w:sz w:val="16"/>
          <w:szCs w:val="16"/>
          <w:lang w:val="es-CO"/>
        </w:rPr>
      </w:pPr>
      <w:r w:rsidRPr="0086009F">
        <w:rPr>
          <w:rStyle w:val="FootnoteReference"/>
          <w:rFonts w:ascii="Cambria" w:hAnsi="Cambria"/>
          <w:sz w:val="16"/>
          <w:szCs w:val="16"/>
          <w:lang w:val="es-CO"/>
        </w:rPr>
        <w:footnoteRef/>
      </w:r>
      <w:r w:rsidRPr="0086009F">
        <w:rPr>
          <w:rFonts w:ascii="Cambria" w:hAnsi="Cambria"/>
          <w:sz w:val="16"/>
          <w:szCs w:val="16"/>
          <w:lang w:val="es-ES_tradnl"/>
        </w:rPr>
        <w:t xml:space="preserve"> Corte IDH. </w:t>
      </w:r>
      <w:r w:rsidRPr="0086009F">
        <w:rPr>
          <w:rFonts w:ascii="Cambria" w:hAnsi="Cambria"/>
          <w:i/>
          <w:sz w:val="16"/>
          <w:szCs w:val="16"/>
          <w:lang w:val="es-ES_tradnl"/>
        </w:rPr>
        <w:t xml:space="preserve">Caso Herrera Ulloa Vs. </w:t>
      </w:r>
      <w:r w:rsidRPr="0086009F">
        <w:rPr>
          <w:rFonts w:ascii="Cambria" w:hAnsi="Cambria"/>
          <w:i/>
          <w:sz w:val="16"/>
          <w:szCs w:val="16"/>
          <w:lang w:val="es-MX"/>
        </w:rPr>
        <w:t>Costa Rica, supra.</w:t>
      </w:r>
      <w:r w:rsidRPr="0086009F">
        <w:rPr>
          <w:rFonts w:ascii="Cambria" w:hAnsi="Cambria"/>
          <w:sz w:val="16"/>
          <w:szCs w:val="16"/>
          <w:lang w:val="es-MX"/>
        </w:rPr>
        <w:t xml:space="preserve"> </w:t>
      </w:r>
      <w:r w:rsidRPr="0086009F">
        <w:rPr>
          <w:rFonts w:ascii="Cambria" w:hAnsi="Cambria"/>
          <w:sz w:val="16"/>
          <w:szCs w:val="16"/>
          <w:lang w:val="es-CO"/>
        </w:rPr>
        <w:t>Párrs. 128 y 129.</w:t>
      </w:r>
    </w:p>
  </w:footnote>
  <w:footnote w:id="115">
    <w:p w14:paraId="776E91AA" w14:textId="6827A69E" w:rsidR="00945C50" w:rsidRPr="0086009F" w:rsidRDefault="00945C50">
      <w:pPr>
        <w:pStyle w:val="FootnoteText"/>
        <w:rPr>
          <w:rFonts w:ascii="Cambria" w:hAnsi="Cambria"/>
          <w:lang w:val="es-PE"/>
        </w:rPr>
      </w:pPr>
      <w:r w:rsidRPr="0086009F">
        <w:rPr>
          <w:rStyle w:val="FootnoteReference"/>
          <w:rFonts w:ascii="Cambria" w:hAnsi="Cambria"/>
        </w:rPr>
        <w:footnoteRef/>
      </w:r>
      <w:r w:rsidRPr="0086009F">
        <w:rPr>
          <w:rFonts w:ascii="Cambria" w:hAnsi="Cambria"/>
          <w:lang w:val="es-PE"/>
        </w:rPr>
        <w:t xml:space="preserve"> El artículo 25 de la Convención señala expresamente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6">
    <w:p w14:paraId="56C85236" w14:textId="37097CAD" w:rsidR="00945C50" w:rsidRPr="0086009F" w:rsidRDefault="00945C50">
      <w:pPr>
        <w:pStyle w:val="FootnoteText"/>
        <w:rPr>
          <w:rFonts w:ascii="Cambria" w:hAnsi="Cambria"/>
          <w:lang w:val="es-PE"/>
        </w:rPr>
      </w:pPr>
      <w:r w:rsidRPr="0086009F">
        <w:rPr>
          <w:rStyle w:val="FootnoteReference"/>
          <w:rFonts w:ascii="Cambria" w:hAnsi="Cambria"/>
        </w:rPr>
        <w:footnoteRef/>
      </w:r>
      <w:r w:rsidRPr="0086009F">
        <w:rPr>
          <w:rFonts w:ascii="Cambria" w:hAnsi="Cambria"/>
          <w:lang w:val="es-PE"/>
        </w:rPr>
        <w:t xml:space="preserve"> </w:t>
      </w:r>
      <w:r w:rsidRPr="0086009F">
        <w:rPr>
          <w:rFonts w:ascii="Cambria" w:hAnsi="Cambria"/>
          <w:lang w:val="es-CO"/>
        </w:rPr>
        <w:t xml:space="preserve">Corte IDH. </w:t>
      </w:r>
      <w:r w:rsidRPr="0086009F">
        <w:rPr>
          <w:rFonts w:ascii="Cambria" w:hAnsi="Cambria"/>
          <w:bCs/>
          <w:i/>
          <w:lang w:val="es-CO"/>
        </w:rPr>
        <w:t>Caso San Miguel de Sosa y otras Vs. Venezuela.</w:t>
      </w:r>
      <w:r w:rsidRPr="0086009F">
        <w:rPr>
          <w:rFonts w:ascii="Cambria" w:hAnsi="Cambria"/>
          <w:bCs/>
          <w:lang w:val="es-CO"/>
        </w:rPr>
        <w:t xml:space="preserve"> </w:t>
      </w:r>
      <w:r w:rsidRPr="0086009F">
        <w:rPr>
          <w:rFonts w:ascii="Cambria" w:hAnsi="Cambria"/>
          <w:lang w:val="es-CO"/>
        </w:rPr>
        <w:t>Sentencia sobre Fondo, Reparaciones y Costas. Sentencia de 8 de febrero de 2018. Serie C No. 348. Párr. 188.</w:t>
      </w:r>
    </w:p>
  </w:footnote>
  <w:footnote w:id="117">
    <w:p w14:paraId="54681824" w14:textId="2A70F59C" w:rsidR="00945C50" w:rsidRPr="0086009F" w:rsidRDefault="00945C50" w:rsidP="00901523">
      <w:pPr>
        <w:tabs>
          <w:tab w:val="left" w:pos="180"/>
          <w:tab w:val="left" w:pos="900"/>
          <w:tab w:val="left" w:pos="1080"/>
        </w:tabs>
        <w:spacing w:after="120"/>
        <w:jc w:val="both"/>
        <w:rPr>
          <w:rFonts w:ascii="Cambria" w:hAnsi="Cambria"/>
          <w:sz w:val="16"/>
          <w:szCs w:val="16"/>
          <w:lang w:val="es-CO"/>
        </w:rPr>
      </w:pPr>
      <w:r w:rsidRPr="0086009F">
        <w:rPr>
          <w:rStyle w:val="FootnoteReference"/>
          <w:rFonts w:ascii="Cambria" w:hAnsi="Cambria"/>
          <w:sz w:val="16"/>
          <w:szCs w:val="16"/>
        </w:rPr>
        <w:footnoteRef/>
      </w:r>
      <w:r w:rsidRPr="0086009F">
        <w:rPr>
          <w:rFonts w:ascii="Cambria" w:hAnsi="Cambria"/>
          <w:sz w:val="16"/>
          <w:szCs w:val="16"/>
          <w:lang w:val="es-CO"/>
        </w:rPr>
        <w:t xml:space="preserve"> CIDH. Informe de Fondo No. 75/15, </w:t>
      </w:r>
      <w:r w:rsidRPr="0086009F">
        <w:rPr>
          <w:rFonts w:ascii="Cambria" w:hAnsi="Cambria"/>
          <w:i/>
          <w:sz w:val="16"/>
          <w:szCs w:val="16"/>
          <w:lang w:val="es-CO"/>
        </w:rPr>
        <w:t>Caso 12.923</w:t>
      </w:r>
      <w:r w:rsidRPr="0086009F">
        <w:rPr>
          <w:rFonts w:ascii="Cambria" w:hAnsi="Cambria"/>
          <w:sz w:val="16"/>
          <w:szCs w:val="16"/>
          <w:lang w:val="es-CO"/>
        </w:rPr>
        <w:t>, Fondo, Rocío San Miguel Sosa y otras, Venezuela, 28 de octubre de 2015. Párr. 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E0B0" w14:textId="77777777" w:rsidR="00945C50" w:rsidRDefault="00945C50" w:rsidP="00B06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02470F2" w14:textId="77777777" w:rsidR="00945C50" w:rsidRDefault="00945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AC6B5" w14:textId="77777777" w:rsidR="00945C50" w:rsidRDefault="00945C50" w:rsidP="00A50FCF">
    <w:pPr>
      <w:pStyle w:val="Header"/>
      <w:tabs>
        <w:tab w:val="clear" w:pos="4320"/>
        <w:tab w:val="clear" w:pos="8640"/>
      </w:tabs>
      <w:jc w:val="center"/>
      <w:rPr>
        <w:sz w:val="22"/>
        <w:szCs w:val="22"/>
      </w:rPr>
    </w:pPr>
    <w:r>
      <w:rPr>
        <w:noProof/>
        <w:sz w:val="22"/>
        <w:szCs w:val="22"/>
      </w:rPr>
      <w:drawing>
        <wp:inline distT="0" distB="0" distL="0" distR="0" wp14:anchorId="01212CC0" wp14:editId="70BE6BA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C95F5FB" w14:textId="77777777" w:rsidR="00945C50" w:rsidRPr="00EC7D62" w:rsidRDefault="00E25A5E" w:rsidP="00A50FCF">
    <w:pPr>
      <w:pStyle w:val="Header"/>
      <w:tabs>
        <w:tab w:val="clear" w:pos="4320"/>
        <w:tab w:val="clear" w:pos="8640"/>
      </w:tabs>
      <w:jc w:val="center"/>
      <w:rPr>
        <w:sz w:val="22"/>
        <w:szCs w:val="22"/>
      </w:rPr>
    </w:pPr>
    <w:r>
      <w:rPr>
        <w:sz w:val="22"/>
        <w:szCs w:val="22"/>
      </w:rPr>
      <w:pict w14:anchorId="543414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EA000D"/>
    <w:multiLevelType w:val="hybridMultilevel"/>
    <w:tmpl w:val="7F6CBBBC"/>
    <w:lvl w:ilvl="0" w:tplc="8C844A0A">
      <w:start w:val="1"/>
      <w:numFmt w:val="upperLetter"/>
      <w:pStyle w:val="Heading2"/>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9050020"/>
    <w:multiLevelType w:val="hybridMultilevel"/>
    <w:tmpl w:val="5AEEDB4C"/>
    <w:lvl w:ilvl="0" w:tplc="817CFC7C">
      <w:start w:val="1"/>
      <w:numFmt w:val="decimal"/>
      <w:lvlText w:val="%1."/>
      <w:lvlJc w:val="left"/>
      <w:pPr>
        <w:tabs>
          <w:tab w:val="num" w:pos="1440"/>
        </w:tabs>
        <w:ind w:left="0" w:firstLine="720"/>
      </w:pPr>
      <w:rPr>
        <w:rFonts w:ascii="Cambria" w:hAnsi="Cambria"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D531D"/>
    <w:multiLevelType w:val="hybridMultilevel"/>
    <w:tmpl w:val="BE54259E"/>
    <w:lvl w:ilvl="0" w:tplc="2CDA200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4A41A5"/>
    <w:multiLevelType w:val="hybridMultilevel"/>
    <w:tmpl w:val="C916C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851FFB"/>
    <w:multiLevelType w:val="hybridMultilevel"/>
    <w:tmpl w:val="961E8CC4"/>
    <w:lvl w:ilvl="0" w:tplc="9E0CAF0C">
      <w:start w:val="1"/>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2A0BA1"/>
    <w:multiLevelType w:val="multilevel"/>
    <w:tmpl w:val="7ADA7DC4"/>
    <w:lvl w:ilvl="0">
      <w:start w:val="1"/>
      <w:numFmt w:val="upperRoman"/>
      <w:pStyle w:val="Heading1"/>
      <w:lvlText w:val="%1."/>
      <w:lvlJc w:val="left"/>
      <w:pPr>
        <w:ind w:left="1080" w:hanging="720"/>
      </w:pPr>
      <w:rPr>
        <w:rFonts w:hint="default"/>
      </w:rPr>
    </w:lvl>
    <w:lvl w:ilvl="1">
      <w:start w:val="1"/>
      <w:numFmt w:val="decimal"/>
      <w:pStyle w:val="Heading4"/>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DC61D90"/>
    <w:multiLevelType w:val="hybridMultilevel"/>
    <w:tmpl w:val="18829E1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2D1E17"/>
    <w:multiLevelType w:val="hybridMultilevel"/>
    <w:tmpl w:val="C0503138"/>
    <w:lvl w:ilvl="0" w:tplc="8CE0F52C">
      <w:start w:val="1"/>
      <w:numFmt w:val="lowerLetter"/>
      <w:pStyle w:val="Heading5"/>
      <w:lvlText w:val="%1)"/>
      <w:lvlJc w:val="left"/>
      <w:pPr>
        <w:ind w:left="2640" w:hanging="360"/>
      </w:pPr>
      <w:rPr>
        <w:rFonts w:hint="default"/>
        <w:i/>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5195813"/>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50E99"/>
    <w:multiLevelType w:val="multilevel"/>
    <w:tmpl w:val="C5865118"/>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7D4B9D"/>
    <w:multiLevelType w:val="hybridMultilevel"/>
    <w:tmpl w:val="527A75E6"/>
    <w:lvl w:ilvl="0" w:tplc="59CA1D1C">
      <w:start w:val="1"/>
      <w:numFmt w:val="decimal"/>
      <w:lvlText w:val="%1."/>
      <w:lvlJc w:val="left"/>
      <w:pPr>
        <w:ind w:left="360" w:hanging="360"/>
      </w:pPr>
      <w:rPr>
        <w:rFonts w:ascii="Cambria" w:hAnsi="Cambria"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E64D32"/>
    <w:multiLevelType w:val="hybridMultilevel"/>
    <w:tmpl w:val="DECCFC04"/>
    <w:lvl w:ilvl="0" w:tplc="2FD44600">
      <w:start w:val="1"/>
      <w:numFmt w:val="decimal"/>
      <w:lvlText w:val="%1."/>
      <w:lvlJc w:val="left"/>
      <w:pPr>
        <w:tabs>
          <w:tab w:val="num" w:pos="5640"/>
        </w:tabs>
      </w:pPr>
      <w:rPr>
        <w:rFonts w:ascii="Verdana" w:eastAsia="Times New Roman" w:hAnsi="Verdana"/>
        <w:b w:val="0"/>
        <w:bCs w:val="0"/>
        <w:i w:val="0"/>
        <w:iCs w:val="0"/>
        <w:strike w:val="0"/>
        <w:color w:val="auto"/>
        <w:sz w:val="20"/>
        <w:szCs w:val="20"/>
        <w:lang w:val="es-CR"/>
      </w:rPr>
    </w:lvl>
    <w:lvl w:ilvl="1" w:tplc="140A0003">
      <w:start w:val="1"/>
      <w:numFmt w:val="lowerLetter"/>
      <w:lvlText w:val="%2)"/>
      <w:lvlJc w:val="left"/>
      <w:pPr>
        <w:tabs>
          <w:tab w:val="num" w:pos="1080"/>
        </w:tabs>
        <w:ind w:left="1080" w:hanging="360"/>
      </w:pPr>
      <w:rPr>
        <w:rFonts w:hint="default"/>
        <w:b w:val="0"/>
        <w:bCs w:val="0"/>
        <w:i w:val="0"/>
        <w:iCs w:val="0"/>
        <w:sz w:val="20"/>
        <w:szCs w:val="20"/>
      </w:rPr>
    </w:lvl>
    <w:lvl w:ilvl="2" w:tplc="140A0005">
      <w:start w:val="1"/>
      <w:numFmt w:val="lowerRoman"/>
      <w:lvlText w:val="%3."/>
      <w:lvlJc w:val="right"/>
      <w:pPr>
        <w:tabs>
          <w:tab w:val="num" w:pos="2160"/>
        </w:tabs>
        <w:ind w:left="2160" w:hanging="180"/>
      </w:pPr>
    </w:lvl>
    <w:lvl w:ilvl="3" w:tplc="140A0001">
      <w:start w:val="1"/>
      <w:numFmt w:val="decimal"/>
      <w:lvlText w:val="%4."/>
      <w:lvlJc w:val="left"/>
      <w:pPr>
        <w:tabs>
          <w:tab w:val="num" w:pos="2880"/>
        </w:tabs>
        <w:ind w:left="2880" w:hanging="360"/>
      </w:pPr>
    </w:lvl>
    <w:lvl w:ilvl="4" w:tplc="140A0003">
      <w:start w:val="1"/>
      <w:numFmt w:val="lowerLetter"/>
      <w:lvlText w:val="%5."/>
      <w:lvlJc w:val="left"/>
      <w:pPr>
        <w:tabs>
          <w:tab w:val="num" w:pos="3600"/>
        </w:tabs>
        <w:ind w:left="3600" w:hanging="360"/>
      </w:pPr>
    </w:lvl>
    <w:lvl w:ilvl="5" w:tplc="140A0005">
      <w:start w:val="1"/>
      <w:numFmt w:val="lowerRoman"/>
      <w:lvlText w:val="%6."/>
      <w:lvlJc w:val="right"/>
      <w:pPr>
        <w:tabs>
          <w:tab w:val="num" w:pos="4320"/>
        </w:tabs>
        <w:ind w:left="4320" w:hanging="180"/>
      </w:pPr>
    </w:lvl>
    <w:lvl w:ilvl="6" w:tplc="140A0001">
      <w:start w:val="1"/>
      <w:numFmt w:val="decimal"/>
      <w:lvlText w:val="%7."/>
      <w:lvlJc w:val="left"/>
      <w:pPr>
        <w:tabs>
          <w:tab w:val="num" w:pos="5040"/>
        </w:tabs>
        <w:ind w:left="5040" w:hanging="360"/>
      </w:pPr>
    </w:lvl>
    <w:lvl w:ilvl="7" w:tplc="140A0003">
      <w:start w:val="1"/>
      <w:numFmt w:val="lowerLetter"/>
      <w:lvlText w:val="%8."/>
      <w:lvlJc w:val="left"/>
      <w:pPr>
        <w:tabs>
          <w:tab w:val="num" w:pos="5760"/>
        </w:tabs>
        <w:ind w:left="5760" w:hanging="360"/>
      </w:pPr>
    </w:lvl>
    <w:lvl w:ilvl="8" w:tplc="140A0005">
      <w:start w:val="1"/>
      <w:numFmt w:val="lowerRoman"/>
      <w:lvlText w:val="%9."/>
      <w:lvlJc w:val="right"/>
      <w:pPr>
        <w:tabs>
          <w:tab w:val="num" w:pos="6480"/>
        </w:tabs>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175B76"/>
    <w:multiLevelType w:val="hybridMultilevel"/>
    <w:tmpl w:val="C1D23328"/>
    <w:lvl w:ilvl="0" w:tplc="CB46C63C">
      <w:start w:val="1"/>
      <w:numFmt w:val="decimal"/>
      <w:pStyle w:val="numberedparagraphs"/>
      <w:lvlText w:val="%1."/>
      <w:lvlJc w:val="left"/>
      <w:pPr>
        <w:ind w:left="786" w:hanging="360"/>
      </w:pPr>
      <w:rPr>
        <w:rFonts w:hint="default"/>
        <w:b w:val="0"/>
        <w:color w:val="808080"/>
        <w:sz w:val="18"/>
      </w:rPr>
    </w:lvl>
    <w:lvl w:ilvl="1" w:tplc="3BB62120">
      <w:start w:val="1"/>
      <w:numFmt w:val="lowerLetter"/>
      <w:lvlText w:val="%2."/>
      <w:lvlJc w:val="left"/>
      <w:pPr>
        <w:ind w:left="1647" w:hanging="360"/>
      </w:pPr>
      <w:rPr>
        <w:b/>
      </w:r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3"/>
  </w:num>
  <w:num w:numId="5">
    <w:abstractNumId w:val="53"/>
  </w:num>
  <w:num w:numId="6">
    <w:abstractNumId w:val="30"/>
  </w:num>
  <w:num w:numId="7">
    <w:abstractNumId w:val="8"/>
  </w:num>
  <w:num w:numId="8">
    <w:abstractNumId w:val="19"/>
  </w:num>
  <w:num w:numId="9">
    <w:abstractNumId w:val="46"/>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9"/>
  </w:num>
  <w:num w:numId="31">
    <w:abstractNumId w:val="31"/>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3"/>
  </w:num>
  <w:num w:numId="40">
    <w:abstractNumId w:val="44"/>
  </w:num>
  <w:num w:numId="41">
    <w:abstractNumId w:val="52"/>
  </w:num>
  <w:num w:numId="42">
    <w:abstractNumId w:val="54"/>
  </w:num>
  <w:num w:numId="43">
    <w:abstractNumId w:val="55"/>
  </w:num>
  <w:num w:numId="44">
    <w:abstractNumId w:val="56"/>
  </w:num>
  <w:num w:numId="45">
    <w:abstractNumId w:val="57"/>
  </w:num>
  <w:num w:numId="46">
    <w:abstractNumId w:val="59"/>
  </w:num>
  <w:num w:numId="47">
    <w:abstractNumId w:val="60"/>
  </w:num>
  <w:num w:numId="48">
    <w:abstractNumId w:val="61"/>
  </w:num>
  <w:num w:numId="49">
    <w:abstractNumId w:val="63"/>
  </w:num>
  <w:num w:numId="50">
    <w:abstractNumId w:val="65"/>
  </w:num>
  <w:num w:numId="51">
    <w:abstractNumId w:val="22"/>
  </w:num>
  <w:num w:numId="52">
    <w:abstractNumId w:val="45"/>
  </w:num>
  <w:num w:numId="53">
    <w:abstractNumId w:val="50"/>
  </w:num>
  <w:num w:numId="54">
    <w:abstractNumId w:val="28"/>
  </w:num>
  <w:num w:numId="55">
    <w:abstractNumId w:val="51"/>
  </w:num>
  <w:num w:numId="56">
    <w:abstractNumId w:val="3"/>
  </w:num>
  <w:num w:numId="57">
    <w:abstractNumId w:val="48"/>
  </w:num>
  <w:num w:numId="58">
    <w:abstractNumId w:val="7"/>
  </w:num>
  <w:num w:numId="59">
    <w:abstractNumId w:val="27"/>
  </w:num>
  <w:num w:numId="60">
    <w:abstractNumId w:val="3"/>
    <w:lvlOverride w:ilvl="0">
      <w:startOverride w:val="1"/>
    </w:lvlOverride>
  </w:num>
  <w:num w:numId="61">
    <w:abstractNumId w:val="3"/>
    <w:lvlOverride w:ilvl="0">
      <w:startOverride w:val="1"/>
    </w:lvlOverride>
  </w:num>
  <w:num w:numId="62">
    <w:abstractNumId w:val="48"/>
    <w:lvlOverride w:ilvl="0">
      <w:startOverride w:val="1"/>
    </w:lvlOverride>
  </w:num>
  <w:num w:numId="63">
    <w:abstractNumId w:val="64"/>
  </w:num>
  <w:num w:numId="64">
    <w:abstractNumId w:val="47"/>
  </w:num>
  <w:num w:numId="65">
    <w:abstractNumId w:val="16"/>
  </w:num>
  <w:num w:numId="66">
    <w:abstractNumId w:val="38"/>
  </w:num>
  <w:num w:numId="67">
    <w:abstractNumId w:val="62"/>
  </w:num>
  <w:num w:numId="68">
    <w:abstractNumId w:val="6"/>
  </w:num>
  <w:num w:numId="69">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EC"/>
    <w:rsid w:val="00000CDA"/>
    <w:rsid w:val="00003079"/>
    <w:rsid w:val="00003148"/>
    <w:rsid w:val="00003D2C"/>
    <w:rsid w:val="00003E9D"/>
    <w:rsid w:val="00006896"/>
    <w:rsid w:val="00006E1F"/>
    <w:rsid w:val="000070D7"/>
    <w:rsid w:val="00007A19"/>
    <w:rsid w:val="00010602"/>
    <w:rsid w:val="0001354B"/>
    <w:rsid w:val="00014876"/>
    <w:rsid w:val="00015206"/>
    <w:rsid w:val="000158FD"/>
    <w:rsid w:val="000171D4"/>
    <w:rsid w:val="0001788C"/>
    <w:rsid w:val="0002173A"/>
    <w:rsid w:val="00022370"/>
    <w:rsid w:val="00022512"/>
    <w:rsid w:val="000253A6"/>
    <w:rsid w:val="00032948"/>
    <w:rsid w:val="0003334E"/>
    <w:rsid w:val="0003659C"/>
    <w:rsid w:val="0003710B"/>
    <w:rsid w:val="000405F8"/>
    <w:rsid w:val="00040C3A"/>
    <w:rsid w:val="00041DDF"/>
    <w:rsid w:val="0004399D"/>
    <w:rsid w:val="00044278"/>
    <w:rsid w:val="0004483E"/>
    <w:rsid w:val="000452D7"/>
    <w:rsid w:val="0004553A"/>
    <w:rsid w:val="000479FC"/>
    <w:rsid w:val="000527E8"/>
    <w:rsid w:val="00052E7C"/>
    <w:rsid w:val="000535C9"/>
    <w:rsid w:val="0005456F"/>
    <w:rsid w:val="000547A5"/>
    <w:rsid w:val="00054C9F"/>
    <w:rsid w:val="00060278"/>
    <w:rsid w:val="000604FB"/>
    <w:rsid w:val="00066593"/>
    <w:rsid w:val="00066AF9"/>
    <w:rsid w:val="00067A5D"/>
    <w:rsid w:val="000705E1"/>
    <w:rsid w:val="00070889"/>
    <w:rsid w:val="000716C5"/>
    <w:rsid w:val="00072CC2"/>
    <w:rsid w:val="00073BB6"/>
    <w:rsid w:val="000751B4"/>
    <w:rsid w:val="000751FF"/>
    <w:rsid w:val="00075E23"/>
    <w:rsid w:val="00076AE3"/>
    <w:rsid w:val="00080E92"/>
    <w:rsid w:val="0008172C"/>
    <w:rsid w:val="00083E3B"/>
    <w:rsid w:val="00085D35"/>
    <w:rsid w:val="00086C2B"/>
    <w:rsid w:val="0008768F"/>
    <w:rsid w:val="00090E3E"/>
    <w:rsid w:val="00090F9B"/>
    <w:rsid w:val="0009108E"/>
    <w:rsid w:val="0009201F"/>
    <w:rsid w:val="0009344A"/>
    <w:rsid w:val="00094227"/>
    <w:rsid w:val="000942E1"/>
    <w:rsid w:val="000954EE"/>
    <w:rsid w:val="000963AB"/>
    <w:rsid w:val="00096613"/>
    <w:rsid w:val="00096ABB"/>
    <w:rsid w:val="00097336"/>
    <w:rsid w:val="00097FC4"/>
    <w:rsid w:val="000A02B1"/>
    <w:rsid w:val="000A20F9"/>
    <w:rsid w:val="000A2C48"/>
    <w:rsid w:val="000A2D17"/>
    <w:rsid w:val="000A392E"/>
    <w:rsid w:val="000A40DC"/>
    <w:rsid w:val="000A49BC"/>
    <w:rsid w:val="000A528A"/>
    <w:rsid w:val="000A5602"/>
    <w:rsid w:val="000A575F"/>
    <w:rsid w:val="000A576A"/>
    <w:rsid w:val="000B02F1"/>
    <w:rsid w:val="000B089A"/>
    <w:rsid w:val="000B10C3"/>
    <w:rsid w:val="000B461C"/>
    <w:rsid w:val="000B548A"/>
    <w:rsid w:val="000B5715"/>
    <w:rsid w:val="000B575F"/>
    <w:rsid w:val="000B6C23"/>
    <w:rsid w:val="000B71AB"/>
    <w:rsid w:val="000C17CF"/>
    <w:rsid w:val="000C2176"/>
    <w:rsid w:val="000C37AC"/>
    <w:rsid w:val="000C4FA4"/>
    <w:rsid w:val="000C5334"/>
    <w:rsid w:val="000C57D0"/>
    <w:rsid w:val="000C6698"/>
    <w:rsid w:val="000D10DB"/>
    <w:rsid w:val="000D11FA"/>
    <w:rsid w:val="000D1314"/>
    <w:rsid w:val="000D15A8"/>
    <w:rsid w:val="000D3604"/>
    <w:rsid w:val="000D55D1"/>
    <w:rsid w:val="000D7D8E"/>
    <w:rsid w:val="000E0DBA"/>
    <w:rsid w:val="000E10AD"/>
    <w:rsid w:val="000E2016"/>
    <w:rsid w:val="000E27BF"/>
    <w:rsid w:val="000E39DB"/>
    <w:rsid w:val="000E5027"/>
    <w:rsid w:val="000E5EB5"/>
    <w:rsid w:val="000F0247"/>
    <w:rsid w:val="000F0337"/>
    <w:rsid w:val="000F0C4D"/>
    <w:rsid w:val="000F2099"/>
    <w:rsid w:val="000F2254"/>
    <w:rsid w:val="000F235A"/>
    <w:rsid w:val="000F2733"/>
    <w:rsid w:val="000F2DFA"/>
    <w:rsid w:val="000F35ED"/>
    <w:rsid w:val="000F51C0"/>
    <w:rsid w:val="000F7352"/>
    <w:rsid w:val="000F73E6"/>
    <w:rsid w:val="000F77A1"/>
    <w:rsid w:val="000F7C95"/>
    <w:rsid w:val="00100391"/>
    <w:rsid w:val="00103359"/>
    <w:rsid w:val="001043D9"/>
    <w:rsid w:val="00105265"/>
    <w:rsid w:val="00105A18"/>
    <w:rsid w:val="00107131"/>
    <w:rsid w:val="0010736F"/>
    <w:rsid w:val="0010768E"/>
    <w:rsid w:val="00111B07"/>
    <w:rsid w:val="00113F73"/>
    <w:rsid w:val="00114022"/>
    <w:rsid w:val="001146D7"/>
    <w:rsid w:val="0011662D"/>
    <w:rsid w:val="0011680F"/>
    <w:rsid w:val="0011692D"/>
    <w:rsid w:val="00116F00"/>
    <w:rsid w:val="00121B23"/>
    <w:rsid w:val="00121CC2"/>
    <w:rsid w:val="0012236B"/>
    <w:rsid w:val="00125A36"/>
    <w:rsid w:val="00125F39"/>
    <w:rsid w:val="00131C2E"/>
    <w:rsid w:val="00132593"/>
    <w:rsid w:val="001331CB"/>
    <w:rsid w:val="00133BA9"/>
    <w:rsid w:val="00133EE5"/>
    <w:rsid w:val="00135380"/>
    <w:rsid w:val="001379B8"/>
    <w:rsid w:val="001402E0"/>
    <w:rsid w:val="00140744"/>
    <w:rsid w:val="00141E56"/>
    <w:rsid w:val="0014433F"/>
    <w:rsid w:val="00147AA9"/>
    <w:rsid w:val="00147D6E"/>
    <w:rsid w:val="00150AEB"/>
    <w:rsid w:val="001525F2"/>
    <w:rsid w:val="001533FD"/>
    <w:rsid w:val="00160B8B"/>
    <w:rsid w:val="001630ED"/>
    <w:rsid w:val="0016385D"/>
    <w:rsid w:val="00166189"/>
    <w:rsid w:val="00167A34"/>
    <w:rsid w:val="00167BE1"/>
    <w:rsid w:val="001725CF"/>
    <w:rsid w:val="001744BA"/>
    <w:rsid w:val="00175C13"/>
    <w:rsid w:val="00177A25"/>
    <w:rsid w:val="0018064A"/>
    <w:rsid w:val="00181F34"/>
    <w:rsid w:val="001841F7"/>
    <w:rsid w:val="00187A84"/>
    <w:rsid w:val="00197D14"/>
    <w:rsid w:val="001A2185"/>
    <w:rsid w:val="001A3E60"/>
    <w:rsid w:val="001A4D23"/>
    <w:rsid w:val="001A6158"/>
    <w:rsid w:val="001A6BBE"/>
    <w:rsid w:val="001A7870"/>
    <w:rsid w:val="001B222B"/>
    <w:rsid w:val="001B6FC4"/>
    <w:rsid w:val="001B7D55"/>
    <w:rsid w:val="001C103F"/>
    <w:rsid w:val="001C1B41"/>
    <w:rsid w:val="001C316E"/>
    <w:rsid w:val="001C319E"/>
    <w:rsid w:val="001C4E45"/>
    <w:rsid w:val="001C720B"/>
    <w:rsid w:val="001D18C7"/>
    <w:rsid w:val="001D2AD4"/>
    <w:rsid w:val="001D5299"/>
    <w:rsid w:val="001D65EF"/>
    <w:rsid w:val="001D67B4"/>
    <w:rsid w:val="001D7159"/>
    <w:rsid w:val="001E0802"/>
    <w:rsid w:val="001E15B6"/>
    <w:rsid w:val="001E3030"/>
    <w:rsid w:val="001E3F5C"/>
    <w:rsid w:val="001E3F9A"/>
    <w:rsid w:val="001E7F6B"/>
    <w:rsid w:val="001F046D"/>
    <w:rsid w:val="001F0579"/>
    <w:rsid w:val="001F24DB"/>
    <w:rsid w:val="001F5D06"/>
    <w:rsid w:val="001F6A60"/>
    <w:rsid w:val="001F6FC8"/>
    <w:rsid w:val="00200ED8"/>
    <w:rsid w:val="00202583"/>
    <w:rsid w:val="00202F9B"/>
    <w:rsid w:val="00204B61"/>
    <w:rsid w:val="00205563"/>
    <w:rsid w:val="00206E90"/>
    <w:rsid w:val="00207B60"/>
    <w:rsid w:val="00210DBB"/>
    <w:rsid w:val="002129F9"/>
    <w:rsid w:val="00212E03"/>
    <w:rsid w:val="0021300C"/>
    <w:rsid w:val="00213432"/>
    <w:rsid w:val="00213EAF"/>
    <w:rsid w:val="00217544"/>
    <w:rsid w:val="002177CB"/>
    <w:rsid w:val="002208D2"/>
    <w:rsid w:val="00220F82"/>
    <w:rsid w:val="0022152C"/>
    <w:rsid w:val="00221B3F"/>
    <w:rsid w:val="0022273F"/>
    <w:rsid w:val="00223255"/>
    <w:rsid w:val="00223C37"/>
    <w:rsid w:val="002250A3"/>
    <w:rsid w:val="00225BEC"/>
    <w:rsid w:val="00226DB2"/>
    <w:rsid w:val="00226F4E"/>
    <w:rsid w:val="00230105"/>
    <w:rsid w:val="00233D1B"/>
    <w:rsid w:val="00235217"/>
    <w:rsid w:val="00235FC9"/>
    <w:rsid w:val="0023677D"/>
    <w:rsid w:val="00236A7E"/>
    <w:rsid w:val="002402E5"/>
    <w:rsid w:val="0024170F"/>
    <w:rsid w:val="00242B49"/>
    <w:rsid w:val="00246D1F"/>
    <w:rsid w:val="00247403"/>
    <w:rsid w:val="00247542"/>
    <w:rsid w:val="0024759B"/>
    <w:rsid w:val="002518E1"/>
    <w:rsid w:val="00252716"/>
    <w:rsid w:val="002534B4"/>
    <w:rsid w:val="00255B88"/>
    <w:rsid w:val="00256E32"/>
    <w:rsid w:val="002577E2"/>
    <w:rsid w:val="002601A1"/>
    <w:rsid w:val="00261946"/>
    <w:rsid w:val="00264C83"/>
    <w:rsid w:val="002650E5"/>
    <w:rsid w:val="00265D4A"/>
    <w:rsid w:val="00266629"/>
    <w:rsid w:val="0026670B"/>
    <w:rsid w:val="00266B61"/>
    <w:rsid w:val="0026712A"/>
    <w:rsid w:val="002704DB"/>
    <w:rsid w:val="002737BA"/>
    <w:rsid w:val="00273F7C"/>
    <w:rsid w:val="00274CAE"/>
    <w:rsid w:val="00276DF8"/>
    <w:rsid w:val="00277EF9"/>
    <w:rsid w:val="00281CB1"/>
    <w:rsid w:val="002827DD"/>
    <w:rsid w:val="00283478"/>
    <w:rsid w:val="0028447B"/>
    <w:rsid w:val="0028461D"/>
    <w:rsid w:val="00284B74"/>
    <w:rsid w:val="0028514D"/>
    <w:rsid w:val="002900FF"/>
    <w:rsid w:val="00290DE1"/>
    <w:rsid w:val="00292195"/>
    <w:rsid w:val="002926DD"/>
    <w:rsid w:val="002939A3"/>
    <w:rsid w:val="00295ADC"/>
    <w:rsid w:val="002A0AAE"/>
    <w:rsid w:val="002A1497"/>
    <w:rsid w:val="002A19C9"/>
    <w:rsid w:val="002A33A1"/>
    <w:rsid w:val="002A4562"/>
    <w:rsid w:val="002A48C9"/>
    <w:rsid w:val="002A4A73"/>
    <w:rsid w:val="002A4F51"/>
    <w:rsid w:val="002A51B2"/>
    <w:rsid w:val="002A567E"/>
    <w:rsid w:val="002A5820"/>
    <w:rsid w:val="002A6286"/>
    <w:rsid w:val="002A7152"/>
    <w:rsid w:val="002B0FC2"/>
    <w:rsid w:val="002B4962"/>
    <w:rsid w:val="002B6C61"/>
    <w:rsid w:val="002B706C"/>
    <w:rsid w:val="002C1454"/>
    <w:rsid w:val="002C1482"/>
    <w:rsid w:val="002C1C4E"/>
    <w:rsid w:val="002C685F"/>
    <w:rsid w:val="002D00BA"/>
    <w:rsid w:val="002D04A5"/>
    <w:rsid w:val="002D2B26"/>
    <w:rsid w:val="002D3F4D"/>
    <w:rsid w:val="002D4380"/>
    <w:rsid w:val="002D4EBE"/>
    <w:rsid w:val="002D7044"/>
    <w:rsid w:val="002D7755"/>
    <w:rsid w:val="002D7EA2"/>
    <w:rsid w:val="002E187C"/>
    <w:rsid w:val="002E4146"/>
    <w:rsid w:val="002E4AEA"/>
    <w:rsid w:val="002E4FA8"/>
    <w:rsid w:val="002E5FC4"/>
    <w:rsid w:val="002E6CE8"/>
    <w:rsid w:val="002F0E76"/>
    <w:rsid w:val="002F2A03"/>
    <w:rsid w:val="002F4F66"/>
    <w:rsid w:val="002F7003"/>
    <w:rsid w:val="00300F15"/>
    <w:rsid w:val="00302733"/>
    <w:rsid w:val="003033A7"/>
    <w:rsid w:val="00303D52"/>
    <w:rsid w:val="003046AE"/>
    <w:rsid w:val="003046F8"/>
    <w:rsid w:val="00307ABC"/>
    <w:rsid w:val="00307B0F"/>
    <w:rsid w:val="003100F9"/>
    <w:rsid w:val="003108C6"/>
    <w:rsid w:val="0031160D"/>
    <w:rsid w:val="003117CF"/>
    <w:rsid w:val="0031215F"/>
    <w:rsid w:val="0031293A"/>
    <w:rsid w:val="00312A46"/>
    <w:rsid w:val="003137B6"/>
    <w:rsid w:val="0031389F"/>
    <w:rsid w:val="00314078"/>
    <w:rsid w:val="0031473B"/>
    <w:rsid w:val="0031535D"/>
    <w:rsid w:val="00320086"/>
    <w:rsid w:val="00321ED5"/>
    <w:rsid w:val="00322B86"/>
    <w:rsid w:val="00325B4A"/>
    <w:rsid w:val="00326A6F"/>
    <w:rsid w:val="0032742E"/>
    <w:rsid w:val="003276F3"/>
    <w:rsid w:val="0033028D"/>
    <w:rsid w:val="0033169F"/>
    <w:rsid w:val="003324DC"/>
    <w:rsid w:val="00336D14"/>
    <w:rsid w:val="003421FE"/>
    <w:rsid w:val="00343152"/>
    <w:rsid w:val="003435AA"/>
    <w:rsid w:val="00346C95"/>
    <w:rsid w:val="0034712E"/>
    <w:rsid w:val="0034777A"/>
    <w:rsid w:val="00350B10"/>
    <w:rsid w:val="00350B51"/>
    <w:rsid w:val="003527D7"/>
    <w:rsid w:val="00354927"/>
    <w:rsid w:val="00355694"/>
    <w:rsid w:val="00355A58"/>
    <w:rsid w:val="00356185"/>
    <w:rsid w:val="003577A3"/>
    <w:rsid w:val="00360380"/>
    <w:rsid w:val="00360772"/>
    <w:rsid w:val="00361415"/>
    <w:rsid w:val="003619E9"/>
    <w:rsid w:val="00361B67"/>
    <w:rsid w:val="00362F55"/>
    <w:rsid w:val="00363C46"/>
    <w:rsid w:val="00364DCF"/>
    <w:rsid w:val="00365031"/>
    <w:rsid w:val="00365872"/>
    <w:rsid w:val="00366359"/>
    <w:rsid w:val="003663F2"/>
    <w:rsid w:val="00367538"/>
    <w:rsid w:val="0037269F"/>
    <w:rsid w:val="0037361F"/>
    <w:rsid w:val="00374BF6"/>
    <w:rsid w:val="0037519E"/>
    <w:rsid w:val="00375280"/>
    <w:rsid w:val="00381048"/>
    <w:rsid w:val="003847BB"/>
    <w:rsid w:val="00384EB6"/>
    <w:rsid w:val="003859D4"/>
    <w:rsid w:val="00386437"/>
    <w:rsid w:val="0038667E"/>
    <w:rsid w:val="00386CF0"/>
    <w:rsid w:val="00390E8A"/>
    <w:rsid w:val="00392072"/>
    <w:rsid w:val="003932CD"/>
    <w:rsid w:val="00394F88"/>
    <w:rsid w:val="00396612"/>
    <w:rsid w:val="00397CD1"/>
    <w:rsid w:val="00397CDC"/>
    <w:rsid w:val="00397F47"/>
    <w:rsid w:val="003A11B5"/>
    <w:rsid w:val="003A2B59"/>
    <w:rsid w:val="003A353C"/>
    <w:rsid w:val="003A64BD"/>
    <w:rsid w:val="003A73F6"/>
    <w:rsid w:val="003A755F"/>
    <w:rsid w:val="003C06D9"/>
    <w:rsid w:val="003C2A12"/>
    <w:rsid w:val="003C2A4E"/>
    <w:rsid w:val="003C314F"/>
    <w:rsid w:val="003C56DE"/>
    <w:rsid w:val="003C676B"/>
    <w:rsid w:val="003C77D1"/>
    <w:rsid w:val="003C7ACD"/>
    <w:rsid w:val="003D0A9F"/>
    <w:rsid w:val="003D0D7B"/>
    <w:rsid w:val="003D10FA"/>
    <w:rsid w:val="003D2274"/>
    <w:rsid w:val="003D3BC2"/>
    <w:rsid w:val="003D5044"/>
    <w:rsid w:val="003D6146"/>
    <w:rsid w:val="003D67C7"/>
    <w:rsid w:val="003D70A5"/>
    <w:rsid w:val="003D71D4"/>
    <w:rsid w:val="003D7C03"/>
    <w:rsid w:val="003E2604"/>
    <w:rsid w:val="003E28BD"/>
    <w:rsid w:val="003E432F"/>
    <w:rsid w:val="003E5436"/>
    <w:rsid w:val="003E56A9"/>
    <w:rsid w:val="003E5854"/>
    <w:rsid w:val="003E5ECD"/>
    <w:rsid w:val="003E66DC"/>
    <w:rsid w:val="003E6742"/>
    <w:rsid w:val="003E6CA1"/>
    <w:rsid w:val="003E72B0"/>
    <w:rsid w:val="003F00CC"/>
    <w:rsid w:val="003F114E"/>
    <w:rsid w:val="003F2963"/>
    <w:rsid w:val="003F4B6B"/>
    <w:rsid w:val="003F4DE3"/>
    <w:rsid w:val="003F5524"/>
    <w:rsid w:val="003F5F61"/>
    <w:rsid w:val="003F7F64"/>
    <w:rsid w:val="00401B3F"/>
    <w:rsid w:val="00402C9C"/>
    <w:rsid w:val="0040304D"/>
    <w:rsid w:val="00403C17"/>
    <w:rsid w:val="00404ABE"/>
    <w:rsid w:val="004053F3"/>
    <w:rsid w:val="004066D3"/>
    <w:rsid w:val="0040695D"/>
    <w:rsid w:val="00407BE1"/>
    <w:rsid w:val="0041127A"/>
    <w:rsid w:val="00411CF5"/>
    <w:rsid w:val="004132ED"/>
    <w:rsid w:val="004160DE"/>
    <w:rsid w:val="004165C2"/>
    <w:rsid w:val="004202F8"/>
    <w:rsid w:val="00421AF4"/>
    <w:rsid w:val="004220BC"/>
    <w:rsid w:val="00422F42"/>
    <w:rsid w:val="00425C24"/>
    <w:rsid w:val="00426114"/>
    <w:rsid w:val="0043066C"/>
    <w:rsid w:val="00430855"/>
    <w:rsid w:val="004309FD"/>
    <w:rsid w:val="00433F46"/>
    <w:rsid w:val="00434DA4"/>
    <w:rsid w:val="004355CE"/>
    <w:rsid w:val="00437655"/>
    <w:rsid w:val="00441ECB"/>
    <w:rsid w:val="00441F10"/>
    <w:rsid w:val="00443CD8"/>
    <w:rsid w:val="004500C7"/>
    <w:rsid w:val="00450815"/>
    <w:rsid w:val="00450F67"/>
    <w:rsid w:val="004524B9"/>
    <w:rsid w:val="00454BB3"/>
    <w:rsid w:val="00455896"/>
    <w:rsid w:val="00455FC1"/>
    <w:rsid w:val="004575D9"/>
    <w:rsid w:val="00465652"/>
    <w:rsid w:val="004669AA"/>
    <w:rsid w:val="00467B7E"/>
    <w:rsid w:val="00470664"/>
    <w:rsid w:val="00471F12"/>
    <w:rsid w:val="004728DB"/>
    <w:rsid w:val="00472C61"/>
    <w:rsid w:val="0047437E"/>
    <w:rsid w:val="00474B8F"/>
    <w:rsid w:val="004753DD"/>
    <w:rsid w:val="004766B7"/>
    <w:rsid w:val="00477592"/>
    <w:rsid w:val="00480880"/>
    <w:rsid w:val="00482EC8"/>
    <w:rsid w:val="00482FAB"/>
    <w:rsid w:val="00483492"/>
    <w:rsid w:val="004835FD"/>
    <w:rsid w:val="004837BB"/>
    <w:rsid w:val="00483A9A"/>
    <w:rsid w:val="00484089"/>
    <w:rsid w:val="00484291"/>
    <w:rsid w:val="00484E0B"/>
    <w:rsid w:val="00485C93"/>
    <w:rsid w:val="00486428"/>
    <w:rsid w:val="00486700"/>
    <w:rsid w:val="004867F2"/>
    <w:rsid w:val="00486F1C"/>
    <w:rsid w:val="00491050"/>
    <w:rsid w:val="004916A6"/>
    <w:rsid w:val="00493161"/>
    <w:rsid w:val="0049419D"/>
    <w:rsid w:val="00495B3E"/>
    <w:rsid w:val="0049725B"/>
    <w:rsid w:val="004A01FB"/>
    <w:rsid w:val="004A2181"/>
    <w:rsid w:val="004A52AB"/>
    <w:rsid w:val="004A5EDA"/>
    <w:rsid w:val="004B01B9"/>
    <w:rsid w:val="004B1603"/>
    <w:rsid w:val="004B1A98"/>
    <w:rsid w:val="004B2575"/>
    <w:rsid w:val="004B43E6"/>
    <w:rsid w:val="004B4434"/>
    <w:rsid w:val="004B77AF"/>
    <w:rsid w:val="004C09EF"/>
    <w:rsid w:val="004C14CC"/>
    <w:rsid w:val="004C1891"/>
    <w:rsid w:val="004C20D2"/>
    <w:rsid w:val="004C2933"/>
    <w:rsid w:val="004C480B"/>
    <w:rsid w:val="004C4865"/>
    <w:rsid w:val="004C49F2"/>
    <w:rsid w:val="004C4B62"/>
    <w:rsid w:val="004C51CD"/>
    <w:rsid w:val="004C54C9"/>
    <w:rsid w:val="004C568A"/>
    <w:rsid w:val="004C62EF"/>
    <w:rsid w:val="004C753F"/>
    <w:rsid w:val="004C790D"/>
    <w:rsid w:val="004D156A"/>
    <w:rsid w:val="004D195F"/>
    <w:rsid w:val="004D2123"/>
    <w:rsid w:val="004D2720"/>
    <w:rsid w:val="004D29A0"/>
    <w:rsid w:val="004D6025"/>
    <w:rsid w:val="004D6618"/>
    <w:rsid w:val="004E0BA6"/>
    <w:rsid w:val="004E0E1A"/>
    <w:rsid w:val="004E1822"/>
    <w:rsid w:val="004E25F3"/>
    <w:rsid w:val="004E2649"/>
    <w:rsid w:val="004E3882"/>
    <w:rsid w:val="004E5931"/>
    <w:rsid w:val="004E6387"/>
    <w:rsid w:val="004E68C3"/>
    <w:rsid w:val="004E7448"/>
    <w:rsid w:val="004F0179"/>
    <w:rsid w:val="004F04E5"/>
    <w:rsid w:val="004F0D2C"/>
    <w:rsid w:val="004F11A0"/>
    <w:rsid w:val="004F278D"/>
    <w:rsid w:val="004F2ADF"/>
    <w:rsid w:val="004F47A6"/>
    <w:rsid w:val="004F4B58"/>
    <w:rsid w:val="004F5A95"/>
    <w:rsid w:val="004F6185"/>
    <w:rsid w:val="004F627D"/>
    <w:rsid w:val="00500986"/>
    <w:rsid w:val="00501399"/>
    <w:rsid w:val="00501F76"/>
    <w:rsid w:val="00503A5D"/>
    <w:rsid w:val="005045CB"/>
    <w:rsid w:val="00505D50"/>
    <w:rsid w:val="0050633D"/>
    <w:rsid w:val="00506C81"/>
    <w:rsid w:val="0050775E"/>
    <w:rsid w:val="00507BC4"/>
    <w:rsid w:val="00510338"/>
    <w:rsid w:val="005128E4"/>
    <w:rsid w:val="005133DB"/>
    <w:rsid w:val="00514630"/>
    <w:rsid w:val="00516520"/>
    <w:rsid w:val="00516D2B"/>
    <w:rsid w:val="00516F50"/>
    <w:rsid w:val="00517C59"/>
    <w:rsid w:val="005221FA"/>
    <w:rsid w:val="0052293B"/>
    <w:rsid w:val="005242B0"/>
    <w:rsid w:val="00524553"/>
    <w:rsid w:val="0052465E"/>
    <w:rsid w:val="005247AF"/>
    <w:rsid w:val="00525156"/>
    <w:rsid w:val="005254EC"/>
    <w:rsid w:val="00525560"/>
    <w:rsid w:val="00530A93"/>
    <w:rsid w:val="00530DE2"/>
    <w:rsid w:val="005318B2"/>
    <w:rsid w:val="0053252B"/>
    <w:rsid w:val="0053493E"/>
    <w:rsid w:val="005354F3"/>
    <w:rsid w:val="00536016"/>
    <w:rsid w:val="00536923"/>
    <w:rsid w:val="00536C5C"/>
    <w:rsid w:val="0053775A"/>
    <w:rsid w:val="005405A7"/>
    <w:rsid w:val="0054122E"/>
    <w:rsid w:val="0054242E"/>
    <w:rsid w:val="00542BF0"/>
    <w:rsid w:val="005430CE"/>
    <w:rsid w:val="00544C49"/>
    <w:rsid w:val="00544F24"/>
    <w:rsid w:val="005459DA"/>
    <w:rsid w:val="00545E65"/>
    <w:rsid w:val="005501C6"/>
    <w:rsid w:val="00550DA4"/>
    <w:rsid w:val="005516A1"/>
    <w:rsid w:val="00553875"/>
    <w:rsid w:val="00555193"/>
    <w:rsid w:val="00556475"/>
    <w:rsid w:val="005568A0"/>
    <w:rsid w:val="00556E54"/>
    <w:rsid w:val="00560657"/>
    <w:rsid w:val="005626DD"/>
    <w:rsid w:val="00562CFB"/>
    <w:rsid w:val="00563A6E"/>
    <w:rsid w:val="005640E2"/>
    <w:rsid w:val="00565744"/>
    <w:rsid w:val="00566743"/>
    <w:rsid w:val="00566CA7"/>
    <w:rsid w:val="00566F52"/>
    <w:rsid w:val="00570A2D"/>
    <w:rsid w:val="00572146"/>
    <w:rsid w:val="005722C8"/>
    <w:rsid w:val="005731CF"/>
    <w:rsid w:val="0057402A"/>
    <w:rsid w:val="00576C46"/>
    <w:rsid w:val="005771D0"/>
    <w:rsid w:val="00577FC4"/>
    <w:rsid w:val="00581B8E"/>
    <w:rsid w:val="00581E55"/>
    <w:rsid w:val="00583373"/>
    <w:rsid w:val="00586D23"/>
    <w:rsid w:val="0059191A"/>
    <w:rsid w:val="00591AD4"/>
    <w:rsid w:val="005921FF"/>
    <w:rsid w:val="005926CF"/>
    <w:rsid w:val="00592B4D"/>
    <w:rsid w:val="005937C5"/>
    <w:rsid w:val="005937F1"/>
    <w:rsid w:val="00593C79"/>
    <w:rsid w:val="00594734"/>
    <w:rsid w:val="00594860"/>
    <w:rsid w:val="00595C1D"/>
    <w:rsid w:val="0059682C"/>
    <w:rsid w:val="005A170E"/>
    <w:rsid w:val="005A1EEC"/>
    <w:rsid w:val="005A29C6"/>
    <w:rsid w:val="005A30B1"/>
    <w:rsid w:val="005A30B5"/>
    <w:rsid w:val="005A442E"/>
    <w:rsid w:val="005A4A59"/>
    <w:rsid w:val="005A6117"/>
    <w:rsid w:val="005A6D0E"/>
    <w:rsid w:val="005A7A20"/>
    <w:rsid w:val="005B30EA"/>
    <w:rsid w:val="005B34DC"/>
    <w:rsid w:val="005B4075"/>
    <w:rsid w:val="005B408F"/>
    <w:rsid w:val="005B4245"/>
    <w:rsid w:val="005B4B62"/>
    <w:rsid w:val="005B52B0"/>
    <w:rsid w:val="005B6806"/>
    <w:rsid w:val="005B7129"/>
    <w:rsid w:val="005C0979"/>
    <w:rsid w:val="005C10B3"/>
    <w:rsid w:val="005C1160"/>
    <w:rsid w:val="005C2509"/>
    <w:rsid w:val="005C34E1"/>
    <w:rsid w:val="005C4225"/>
    <w:rsid w:val="005C4CA5"/>
    <w:rsid w:val="005C7E67"/>
    <w:rsid w:val="005D0CD2"/>
    <w:rsid w:val="005D0DB1"/>
    <w:rsid w:val="005D40B7"/>
    <w:rsid w:val="005D482E"/>
    <w:rsid w:val="005D5670"/>
    <w:rsid w:val="005D66C8"/>
    <w:rsid w:val="005D7F07"/>
    <w:rsid w:val="005E0F23"/>
    <w:rsid w:val="005E30B3"/>
    <w:rsid w:val="005E3428"/>
    <w:rsid w:val="005E3707"/>
    <w:rsid w:val="005E5CC4"/>
    <w:rsid w:val="005E6EA4"/>
    <w:rsid w:val="005F0ABD"/>
    <w:rsid w:val="005F0AF5"/>
    <w:rsid w:val="005F0DAD"/>
    <w:rsid w:val="005F0F33"/>
    <w:rsid w:val="005F17B2"/>
    <w:rsid w:val="005F1817"/>
    <w:rsid w:val="005F309E"/>
    <w:rsid w:val="005F3964"/>
    <w:rsid w:val="005F4437"/>
    <w:rsid w:val="005F564D"/>
    <w:rsid w:val="005F67A8"/>
    <w:rsid w:val="00600DEB"/>
    <w:rsid w:val="00601649"/>
    <w:rsid w:val="00601CB8"/>
    <w:rsid w:val="00603236"/>
    <w:rsid w:val="0060367A"/>
    <w:rsid w:val="00606532"/>
    <w:rsid w:val="00610717"/>
    <w:rsid w:val="00610CE7"/>
    <w:rsid w:val="0061119F"/>
    <w:rsid w:val="006125C3"/>
    <w:rsid w:val="00613297"/>
    <w:rsid w:val="006144D1"/>
    <w:rsid w:val="006150F5"/>
    <w:rsid w:val="00615C56"/>
    <w:rsid w:val="0061668C"/>
    <w:rsid w:val="00617A76"/>
    <w:rsid w:val="0062015E"/>
    <w:rsid w:val="006227C7"/>
    <w:rsid w:val="006231D4"/>
    <w:rsid w:val="00627619"/>
    <w:rsid w:val="00627C9F"/>
    <w:rsid w:val="00630124"/>
    <w:rsid w:val="00630363"/>
    <w:rsid w:val="006311E9"/>
    <w:rsid w:val="006313B1"/>
    <w:rsid w:val="00632354"/>
    <w:rsid w:val="00632723"/>
    <w:rsid w:val="00633DB3"/>
    <w:rsid w:val="00633FD2"/>
    <w:rsid w:val="00634744"/>
    <w:rsid w:val="006363F8"/>
    <w:rsid w:val="006372F7"/>
    <w:rsid w:val="00637A6C"/>
    <w:rsid w:val="00637D60"/>
    <w:rsid w:val="00640BAB"/>
    <w:rsid w:val="00642810"/>
    <w:rsid w:val="00642E66"/>
    <w:rsid w:val="006432DD"/>
    <w:rsid w:val="0064431E"/>
    <w:rsid w:val="00645038"/>
    <w:rsid w:val="00645348"/>
    <w:rsid w:val="00645502"/>
    <w:rsid w:val="00651934"/>
    <w:rsid w:val="00652333"/>
    <w:rsid w:val="006526DB"/>
    <w:rsid w:val="00654B90"/>
    <w:rsid w:val="00655980"/>
    <w:rsid w:val="00655B8E"/>
    <w:rsid w:val="00657279"/>
    <w:rsid w:val="0066173A"/>
    <w:rsid w:val="0066200C"/>
    <w:rsid w:val="00662023"/>
    <w:rsid w:val="00662C9B"/>
    <w:rsid w:val="00662DEB"/>
    <w:rsid w:val="00664CD5"/>
    <w:rsid w:val="00665963"/>
    <w:rsid w:val="00666904"/>
    <w:rsid w:val="00667D23"/>
    <w:rsid w:val="00671F28"/>
    <w:rsid w:val="006747C4"/>
    <w:rsid w:val="0068009E"/>
    <w:rsid w:val="00683B7A"/>
    <w:rsid w:val="00684AAC"/>
    <w:rsid w:val="00686762"/>
    <w:rsid w:val="00690BB2"/>
    <w:rsid w:val="00692219"/>
    <w:rsid w:val="0069375D"/>
    <w:rsid w:val="006975E6"/>
    <w:rsid w:val="006A17D2"/>
    <w:rsid w:val="006A4B39"/>
    <w:rsid w:val="006A7120"/>
    <w:rsid w:val="006A73E6"/>
    <w:rsid w:val="006B0780"/>
    <w:rsid w:val="006B2937"/>
    <w:rsid w:val="006B2D5C"/>
    <w:rsid w:val="006B3A0B"/>
    <w:rsid w:val="006B4D40"/>
    <w:rsid w:val="006B4E28"/>
    <w:rsid w:val="006C048E"/>
    <w:rsid w:val="006C0FDF"/>
    <w:rsid w:val="006C1302"/>
    <w:rsid w:val="006C1A20"/>
    <w:rsid w:val="006C2062"/>
    <w:rsid w:val="006C4B98"/>
    <w:rsid w:val="006C4EB1"/>
    <w:rsid w:val="006D0F96"/>
    <w:rsid w:val="006D1620"/>
    <w:rsid w:val="006D3E3C"/>
    <w:rsid w:val="006D4746"/>
    <w:rsid w:val="006D4819"/>
    <w:rsid w:val="006D4B0E"/>
    <w:rsid w:val="006D5A39"/>
    <w:rsid w:val="006E0166"/>
    <w:rsid w:val="006E0B4C"/>
    <w:rsid w:val="006E2D3C"/>
    <w:rsid w:val="006E2F6F"/>
    <w:rsid w:val="006E4C38"/>
    <w:rsid w:val="006E71E8"/>
    <w:rsid w:val="006E7B34"/>
    <w:rsid w:val="006F3FCC"/>
    <w:rsid w:val="006F4B70"/>
    <w:rsid w:val="006F5139"/>
    <w:rsid w:val="00702306"/>
    <w:rsid w:val="007032FD"/>
    <w:rsid w:val="0070697F"/>
    <w:rsid w:val="00707C8F"/>
    <w:rsid w:val="007172B1"/>
    <w:rsid w:val="00720A89"/>
    <w:rsid w:val="00720EC1"/>
    <w:rsid w:val="0072199C"/>
    <w:rsid w:val="00721CB2"/>
    <w:rsid w:val="00722C9F"/>
    <w:rsid w:val="007231C8"/>
    <w:rsid w:val="007244F6"/>
    <w:rsid w:val="007253B8"/>
    <w:rsid w:val="00726B0F"/>
    <w:rsid w:val="007301EC"/>
    <w:rsid w:val="0073257F"/>
    <w:rsid w:val="00733597"/>
    <w:rsid w:val="0073374C"/>
    <w:rsid w:val="007339E1"/>
    <w:rsid w:val="0073631B"/>
    <w:rsid w:val="00736683"/>
    <w:rsid w:val="0073741F"/>
    <w:rsid w:val="007432F3"/>
    <w:rsid w:val="0074772D"/>
    <w:rsid w:val="007503F8"/>
    <w:rsid w:val="0075053B"/>
    <w:rsid w:val="00750912"/>
    <w:rsid w:val="007532BF"/>
    <w:rsid w:val="007625C0"/>
    <w:rsid w:val="00762931"/>
    <w:rsid w:val="00763CDC"/>
    <w:rsid w:val="00763F56"/>
    <w:rsid w:val="007644FA"/>
    <w:rsid w:val="0076643F"/>
    <w:rsid w:val="007675B8"/>
    <w:rsid w:val="00770F80"/>
    <w:rsid w:val="00772190"/>
    <w:rsid w:val="00774279"/>
    <w:rsid w:val="00775070"/>
    <w:rsid w:val="0077536A"/>
    <w:rsid w:val="00776AD0"/>
    <w:rsid w:val="00776E9C"/>
    <w:rsid w:val="00777F63"/>
    <w:rsid w:val="00780C0F"/>
    <w:rsid w:val="00781389"/>
    <w:rsid w:val="007819C4"/>
    <w:rsid w:val="00781EC6"/>
    <w:rsid w:val="00782F9C"/>
    <w:rsid w:val="00783E43"/>
    <w:rsid w:val="007854A2"/>
    <w:rsid w:val="0078640B"/>
    <w:rsid w:val="007867BE"/>
    <w:rsid w:val="0078684A"/>
    <w:rsid w:val="0078790F"/>
    <w:rsid w:val="00791D1E"/>
    <w:rsid w:val="00792702"/>
    <w:rsid w:val="00792C96"/>
    <w:rsid w:val="00793202"/>
    <w:rsid w:val="0079410B"/>
    <w:rsid w:val="00794407"/>
    <w:rsid w:val="00797C70"/>
    <w:rsid w:val="007A085C"/>
    <w:rsid w:val="007A2425"/>
    <w:rsid w:val="007A29EA"/>
    <w:rsid w:val="007A34BC"/>
    <w:rsid w:val="007A415E"/>
    <w:rsid w:val="007A5817"/>
    <w:rsid w:val="007A63BE"/>
    <w:rsid w:val="007A7FD7"/>
    <w:rsid w:val="007B08A2"/>
    <w:rsid w:val="007B10F0"/>
    <w:rsid w:val="007B1F5C"/>
    <w:rsid w:val="007B2702"/>
    <w:rsid w:val="007B2E63"/>
    <w:rsid w:val="007B376B"/>
    <w:rsid w:val="007B5AE7"/>
    <w:rsid w:val="007B60E9"/>
    <w:rsid w:val="007B66A4"/>
    <w:rsid w:val="007B6CC3"/>
    <w:rsid w:val="007B7D4E"/>
    <w:rsid w:val="007B7E5A"/>
    <w:rsid w:val="007C30C0"/>
    <w:rsid w:val="007C3334"/>
    <w:rsid w:val="007C3C68"/>
    <w:rsid w:val="007C4DE3"/>
    <w:rsid w:val="007C6457"/>
    <w:rsid w:val="007C6733"/>
    <w:rsid w:val="007C6A39"/>
    <w:rsid w:val="007C7507"/>
    <w:rsid w:val="007C756A"/>
    <w:rsid w:val="007D10F1"/>
    <w:rsid w:val="007D1480"/>
    <w:rsid w:val="007D21FE"/>
    <w:rsid w:val="007D29F5"/>
    <w:rsid w:val="007D2B98"/>
    <w:rsid w:val="007D41EB"/>
    <w:rsid w:val="007E0184"/>
    <w:rsid w:val="007E08C8"/>
    <w:rsid w:val="007E21BC"/>
    <w:rsid w:val="007E25DA"/>
    <w:rsid w:val="007E3C51"/>
    <w:rsid w:val="007E569F"/>
    <w:rsid w:val="007E60AC"/>
    <w:rsid w:val="007E633B"/>
    <w:rsid w:val="007E7CAA"/>
    <w:rsid w:val="007F09D5"/>
    <w:rsid w:val="007F27E7"/>
    <w:rsid w:val="007F47FF"/>
    <w:rsid w:val="007F4C04"/>
    <w:rsid w:val="007F4C4B"/>
    <w:rsid w:val="007F5462"/>
    <w:rsid w:val="007F7D47"/>
    <w:rsid w:val="007F7E9A"/>
    <w:rsid w:val="0080007A"/>
    <w:rsid w:val="00801A6D"/>
    <w:rsid w:val="00803F1C"/>
    <w:rsid w:val="00804D06"/>
    <w:rsid w:val="0080600E"/>
    <w:rsid w:val="0081034F"/>
    <w:rsid w:val="00812DE3"/>
    <w:rsid w:val="00812E40"/>
    <w:rsid w:val="00813829"/>
    <w:rsid w:val="00813DA5"/>
    <w:rsid w:val="0081409A"/>
    <w:rsid w:val="00815021"/>
    <w:rsid w:val="00816EF6"/>
    <w:rsid w:val="00817612"/>
    <w:rsid w:val="0082061E"/>
    <w:rsid w:val="008217E6"/>
    <w:rsid w:val="0082222D"/>
    <w:rsid w:val="00823B76"/>
    <w:rsid w:val="008266A7"/>
    <w:rsid w:val="00827740"/>
    <w:rsid w:val="0083241C"/>
    <w:rsid w:val="008338A4"/>
    <w:rsid w:val="00835179"/>
    <w:rsid w:val="0083596A"/>
    <w:rsid w:val="00836701"/>
    <w:rsid w:val="00836990"/>
    <w:rsid w:val="008377C2"/>
    <w:rsid w:val="00837C45"/>
    <w:rsid w:val="008424DC"/>
    <w:rsid w:val="00842F59"/>
    <w:rsid w:val="00844730"/>
    <w:rsid w:val="00844D71"/>
    <w:rsid w:val="008457C2"/>
    <w:rsid w:val="008527CE"/>
    <w:rsid w:val="00852F35"/>
    <w:rsid w:val="00856F53"/>
    <w:rsid w:val="00857A82"/>
    <w:rsid w:val="0086009F"/>
    <w:rsid w:val="008602A4"/>
    <w:rsid w:val="0086193A"/>
    <w:rsid w:val="0086325C"/>
    <w:rsid w:val="00863B7A"/>
    <w:rsid w:val="0086409C"/>
    <w:rsid w:val="008650EF"/>
    <w:rsid w:val="00870AC0"/>
    <w:rsid w:val="00873836"/>
    <w:rsid w:val="00873D5B"/>
    <w:rsid w:val="00874F3D"/>
    <w:rsid w:val="00876BDC"/>
    <w:rsid w:val="00880B87"/>
    <w:rsid w:val="00882E2D"/>
    <w:rsid w:val="00885737"/>
    <w:rsid w:val="00890650"/>
    <w:rsid w:val="00892425"/>
    <w:rsid w:val="0089294B"/>
    <w:rsid w:val="008930E9"/>
    <w:rsid w:val="008957C5"/>
    <w:rsid w:val="008965F1"/>
    <w:rsid w:val="00897828"/>
    <w:rsid w:val="00897A2E"/>
    <w:rsid w:val="00897E12"/>
    <w:rsid w:val="00897E87"/>
    <w:rsid w:val="008A078F"/>
    <w:rsid w:val="008A10C4"/>
    <w:rsid w:val="008A3D0C"/>
    <w:rsid w:val="008A3D39"/>
    <w:rsid w:val="008A56D2"/>
    <w:rsid w:val="008A7E0F"/>
    <w:rsid w:val="008B0B04"/>
    <w:rsid w:val="008B12F5"/>
    <w:rsid w:val="008B2D2F"/>
    <w:rsid w:val="008B2FD8"/>
    <w:rsid w:val="008B5651"/>
    <w:rsid w:val="008B75D1"/>
    <w:rsid w:val="008C08EB"/>
    <w:rsid w:val="008C2F9A"/>
    <w:rsid w:val="008C3098"/>
    <w:rsid w:val="008C3A39"/>
    <w:rsid w:val="008D042E"/>
    <w:rsid w:val="008D0B3F"/>
    <w:rsid w:val="008D1E55"/>
    <w:rsid w:val="008D28A3"/>
    <w:rsid w:val="008D3293"/>
    <w:rsid w:val="008D36CE"/>
    <w:rsid w:val="008D5A46"/>
    <w:rsid w:val="008D768D"/>
    <w:rsid w:val="008E028C"/>
    <w:rsid w:val="008E1C87"/>
    <w:rsid w:val="008E1D25"/>
    <w:rsid w:val="008E2BA4"/>
    <w:rsid w:val="008E3759"/>
    <w:rsid w:val="008E3C7D"/>
    <w:rsid w:val="008F1107"/>
    <w:rsid w:val="008F1912"/>
    <w:rsid w:val="008F1B28"/>
    <w:rsid w:val="008F26AD"/>
    <w:rsid w:val="008F4366"/>
    <w:rsid w:val="008F5244"/>
    <w:rsid w:val="008F604B"/>
    <w:rsid w:val="009014A4"/>
    <w:rsid w:val="00901523"/>
    <w:rsid w:val="0090255D"/>
    <w:rsid w:val="0090270B"/>
    <w:rsid w:val="00902F09"/>
    <w:rsid w:val="00903965"/>
    <w:rsid w:val="009041DC"/>
    <w:rsid w:val="00904DF1"/>
    <w:rsid w:val="00905F25"/>
    <w:rsid w:val="00905F27"/>
    <w:rsid w:val="00906201"/>
    <w:rsid w:val="00910791"/>
    <w:rsid w:val="00910B62"/>
    <w:rsid w:val="00911E35"/>
    <w:rsid w:val="009120C4"/>
    <w:rsid w:val="00912EF3"/>
    <w:rsid w:val="00912FD9"/>
    <w:rsid w:val="009136DA"/>
    <w:rsid w:val="009139BE"/>
    <w:rsid w:val="00913DF6"/>
    <w:rsid w:val="00913EF8"/>
    <w:rsid w:val="009144A8"/>
    <w:rsid w:val="0091495D"/>
    <w:rsid w:val="00915492"/>
    <w:rsid w:val="009156CA"/>
    <w:rsid w:val="00916A17"/>
    <w:rsid w:val="00917B5A"/>
    <w:rsid w:val="009204F0"/>
    <w:rsid w:val="00920A58"/>
    <w:rsid w:val="00920A8C"/>
    <w:rsid w:val="0092111F"/>
    <w:rsid w:val="00921438"/>
    <w:rsid w:val="00923303"/>
    <w:rsid w:val="009236E1"/>
    <w:rsid w:val="0092405D"/>
    <w:rsid w:val="009253DD"/>
    <w:rsid w:val="00925485"/>
    <w:rsid w:val="009273CC"/>
    <w:rsid w:val="009278BB"/>
    <w:rsid w:val="009301E5"/>
    <w:rsid w:val="00931B5D"/>
    <w:rsid w:val="00934326"/>
    <w:rsid w:val="00934A2C"/>
    <w:rsid w:val="009416F9"/>
    <w:rsid w:val="00941C6B"/>
    <w:rsid w:val="00942A9F"/>
    <w:rsid w:val="009436B7"/>
    <w:rsid w:val="00943A55"/>
    <w:rsid w:val="00944256"/>
    <w:rsid w:val="00944C21"/>
    <w:rsid w:val="00945291"/>
    <w:rsid w:val="0094547B"/>
    <w:rsid w:val="00945C50"/>
    <w:rsid w:val="00945E85"/>
    <w:rsid w:val="00946C41"/>
    <w:rsid w:val="00947867"/>
    <w:rsid w:val="009501A1"/>
    <w:rsid w:val="0095080B"/>
    <w:rsid w:val="00950F13"/>
    <w:rsid w:val="0095160D"/>
    <w:rsid w:val="00951CBC"/>
    <w:rsid w:val="0095334A"/>
    <w:rsid w:val="00956C25"/>
    <w:rsid w:val="009609E8"/>
    <w:rsid w:val="009626F4"/>
    <w:rsid w:val="009630E4"/>
    <w:rsid w:val="009634DA"/>
    <w:rsid w:val="00965233"/>
    <w:rsid w:val="00965662"/>
    <w:rsid w:val="0096706E"/>
    <w:rsid w:val="009703DA"/>
    <w:rsid w:val="00971642"/>
    <w:rsid w:val="0097374A"/>
    <w:rsid w:val="00975C4E"/>
    <w:rsid w:val="00975D71"/>
    <w:rsid w:val="009767B3"/>
    <w:rsid w:val="0097716C"/>
    <w:rsid w:val="009775F0"/>
    <w:rsid w:val="009775F1"/>
    <w:rsid w:val="00977C7F"/>
    <w:rsid w:val="0098148C"/>
    <w:rsid w:val="00981F35"/>
    <w:rsid w:val="00981FBA"/>
    <w:rsid w:val="00982A24"/>
    <w:rsid w:val="0098327F"/>
    <w:rsid w:val="00983717"/>
    <w:rsid w:val="00983801"/>
    <w:rsid w:val="00983E9B"/>
    <w:rsid w:val="00990499"/>
    <w:rsid w:val="00990634"/>
    <w:rsid w:val="00997BC5"/>
    <w:rsid w:val="009A0BE3"/>
    <w:rsid w:val="009A4B9D"/>
    <w:rsid w:val="009A4F41"/>
    <w:rsid w:val="009B0281"/>
    <w:rsid w:val="009B0356"/>
    <w:rsid w:val="009B1B81"/>
    <w:rsid w:val="009B221F"/>
    <w:rsid w:val="009B381B"/>
    <w:rsid w:val="009B5116"/>
    <w:rsid w:val="009B5A95"/>
    <w:rsid w:val="009C0DB4"/>
    <w:rsid w:val="009C104D"/>
    <w:rsid w:val="009C1D09"/>
    <w:rsid w:val="009C2B92"/>
    <w:rsid w:val="009C4A37"/>
    <w:rsid w:val="009C4C7B"/>
    <w:rsid w:val="009C4EAA"/>
    <w:rsid w:val="009C523B"/>
    <w:rsid w:val="009C6B20"/>
    <w:rsid w:val="009C7EFD"/>
    <w:rsid w:val="009D1301"/>
    <w:rsid w:val="009D1753"/>
    <w:rsid w:val="009D198D"/>
    <w:rsid w:val="009D3B53"/>
    <w:rsid w:val="009D498F"/>
    <w:rsid w:val="009D7611"/>
    <w:rsid w:val="009D78E1"/>
    <w:rsid w:val="009E020A"/>
    <w:rsid w:val="009E0B61"/>
    <w:rsid w:val="009E49ED"/>
    <w:rsid w:val="009E53DE"/>
    <w:rsid w:val="009E58E6"/>
    <w:rsid w:val="009E5E4F"/>
    <w:rsid w:val="009E6C64"/>
    <w:rsid w:val="009F5AAC"/>
    <w:rsid w:val="009F719C"/>
    <w:rsid w:val="009F7792"/>
    <w:rsid w:val="00A001CC"/>
    <w:rsid w:val="00A00E25"/>
    <w:rsid w:val="00A01348"/>
    <w:rsid w:val="00A03A30"/>
    <w:rsid w:val="00A04E95"/>
    <w:rsid w:val="00A06E2E"/>
    <w:rsid w:val="00A10F75"/>
    <w:rsid w:val="00A1129B"/>
    <w:rsid w:val="00A11833"/>
    <w:rsid w:val="00A11EE1"/>
    <w:rsid w:val="00A126F3"/>
    <w:rsid w:val="00A13286"/>
    <w:rsid w:val="00A13427"/>
    <w:rsid w:val="00A146BD"/>
    <w:rsid w:val="00A153A3"/>
    <w:rsid w:val="00A2201B"/>
    <w:rsid w:val="00A2324D"/>
    <w:rsid w:val="00A253E8"/>
    <w:rsid w:val="00A2598E"/>
    <w:rsid w:val="00A25D79"/>
    <w:rsid w:val="00A30333"/>
    <w:rsid w:val="00A315AD"/>
    <w:rsid w:val="00A316EC"/>
    <w:rsid w:val="00A328B3"/>
    <w:rsid w:val="00A32A29"/>
    <w:rsid w:val="00A32EA9"/>
    <w:rsid w:val="00A3375E"/>
    <w:rsid w:val="00A33B1E"/>
    <w:rsid w:val="00A343D5"/>
    <w:rsid w:val="00A34716"/>
    <w:rsid w:val="00A349A0"/>
    <w:rsid w:val="00A36E36"/>
    <w:rsid w:val="00A37046"/>
    <w:rsid w:val="00A37DFA"/>
    <w:rsid w:val="00A37E3F"/>
    <w:rsid w:val="00A4036D"/>
    <w:rsid w:val="00A40E24"/>
    <w:rsid w:val="00A46F99"/>
    <w:rsid w:val="00A50010"/>
    <w:rsid w:val="00A50341"/>
    <w:rsid w:val="00A50FCF"/>
    <w:rsid w:val="00A528D1"/>
    <w:rsid w:val="00A555DC"/>
    <w:rsid w:val="00A559B5"/>
    <w:rsid w:val="00A55DD5"/>
    <w:rsid w:val="00A5753E"/>
    <w:rsid w:val="00A57E03"/>
    <w:rsid w:val="00A60D2B"/>
    <w:rsid w:val="00A60F65"/>
    <w:rsid w:val="00A610CD"/>
    <w:rsid w:val="00A61610"/>
    <w:rsid w:val="00A61C95"/>
    <w:rsid w:val="00A63C10"/>
    <w:rsid w:val="00A64053"/>
    <w:rsid w:val="00A65014"/>
    <w:rsid w:val="00A65860"/>
    <w:rsid w:val="00A660B7"/>
    <w:rsid w:val="00A67E81"/>
    <w:rsid w:val="00A72373"/>
    <w:rsid w:val="00A723F7"/>
    <w:rsid w:val="00A742A0"/>
    <w:rsid w:val="00A754E1"/>
    <w:rsid w:val="00A756D5"/>
    <w:rsid w:val="00A75E63"/>
    <w:rsid w:val="00A76E1D"/>
    <w:rsid w:val="00A77DC3"/>
    <w:rsid w:val="00A80044"/>
    <w:rsid w:val="00A804FC"/>
    <w:rsid w:val="00A80A31"/>
    <w:rsid w:val="00A80DE2"/>
    <w:rsid w:val="00A814FA"/>
    <w:rsid w:val="00A81EB4"/>
    <w:rsid w:val="00A824BC"/>
    <w:rsid w:val="00A829D1"/>
    <w:rsid w:val="00A82A4B"/>
    <w:rsid w:val="00A84E2D"/>
    <w:rsid w:val="00A85044"/>
    <w:rsid w:val="00A85A16"/>
    <w:rsid w:val="00A860F3"/>
    <w:rsid w:val="00A86A2C"/>
    <w:rsid w:val="00A90D06"/>
    <w:rsid w:val="00A9125B"/>
    <w:rsid w:val="00A920E2"/>
    <w:rsid w:val="00A95267"/>
    <w:rsid w:val="00A95B35"/>
    <w:rsid w:val="00A9622E"/>
    <w:rsid w:val="00AA09A2"/>
    <w:rsid w:val="00AA0A01"/>
    <w:rsid w:val="00AA1776"/>
    <w:rsid w:val="00AA4A60"/>
    <w:rsid w:val="00AA4FB6"/>
    <w:rsid w:val="00AA7996"/>
    <w:rsid w:val="00AB0FD6"/>
    <w:rsid w:val="00AB191E"/>
    <w:rsid w:val="00AB2BC0"/>
    <w:rsid w:val="00AB4D88"/>
    <w:rsid w:val="00AB575D"/>
    <w:rsid w:val="00AB602F"/>
    <w:rsid w:val="00AB6DB9"/>
    <w:rsid w:val="00AB7EC8"/>
    <w:rsid w:val="00AC0822"/>
    <w:rsid w:val="00AC135E"/>
    <w:rsid w:val="00AC19CB"/>
    <w:rsid w:val="00AC1E95"/>
    <w:rsid w:val="00AC23CA"/>
    <w:rsid w:val="00AC2442"/>
    <w:rsid w:val="00AC2FB0"/>
    <w:rsid w:val="00AC479E"/>
    <w:rsid w:val="00AC5233"/>
    <w:rsid w:val="00AC555E"/>
    <w:rsid w:val="00AC55D4"/>
    <w:rsid w:val="00AC56D0"/>
    <w:rsid w:val="00AC6F3F"/>
    <w:rsid w:val="00AD34CF"/>
    <w:rsid w:val="00AD475A"/>
    <w:rsid w:val="00AD47CE"/>
    <w:rsid w:val="00AD4EB8"/>
    <w:rsid w:val="00AD5792"/>
    <w:rsid w:val="00AD58B4"/>
    <w:rsid w:val="00AD5AA4"/>
    <w:rsid w:val="00AE1A89"/>
    <w:rsid w:val="00AE5488"/>
    <w:rsid w:val="00AE6988"/>
    <w:rsid w:val="00AE6F91"/>
    <w:rsid w:val="00AE7D00"/>
    <w:rsid w:val="00AF0AAC"/>
    <w:rsid w:val="00AF2A51"/>
    <w:rsid w:val="00AF3A46"/>
    <w:rsid w:val="00AF3ABE"/>
    <w:rsid w:val="00AF5571"/>
    <w:rsid w:val="00AF5797"/>
    <w:rsid w:val="00AF59A9"/>
    <w:rsid w:val="00AF7988"/>
    <w:rsid w:val="00B00F6C"/>
    <w:rsid w:val="00B03A81"/>
    <w:rsid w:val="00B04F80"/>
    <w:rsid w:val="00B06D80"/>
    <w:rsid w:val="00B06F14"/>
    <w:rsid w:val="00B07184"/>
    <w:rsid w:val="00B07341"/>
    <w:rsid w:val="00B12E2A"/>
    <w:rsid w:val="00B154DF"/>
    <w:rsid w:val="00B16E48"/>
    <w:rsid w:val="00B248E0"/>
    <w:rsid w:val="00B254B1"/>
    <w:rsid w:val="00B256E4"/>
    <w:rsid w:val="00B30539"/>
    <w:rsid w:val="00B3093C"/>
    <w:rsid w:val="00B30B88"/>
    <w:rsid w:val="00B314DB"/>
    <w:rsid w:val="00B321ED"/>
    <w:rsid w:val="00B3255A"/>
    <w:rsid w:val="00B325EA"/>
    <w:rsid w:val="00B34CE7"/>
    <w:rsid w:val="00B361F2"/>
    <w:rsid w:val="00B3718B"/>
    <w:rsid w:val="00B405AB"/>
    <w:rsid w:val="00B40F53"/>
    <w:rsid w:val="00B42B49"/>
    <w:rsid w:val="00B446E4"/>
    <w:rsid w:val="00B44C8D"/>
    <w:rsid w:val="00B45447"/>
    <w:rsid w:val="00B4632A"/>
    <w:rsid w:val="00B4680A"/>
    <w:rsid w:val="00B47C0B"/>
    <w:rsid w:val="00B5095D"/>
    <w:rsid w:val="00B513B1"/>
    <w:rsid w:val="00B530F1"/>
    <w:rsid w:val="00B544A7"/>
    <w:rsid w:val="00B54A0C"/>
    <w:rsid w:val="00B60EAB"/>
    <w:rsid w:val="00B6125B"/>
    <w:rsid w:val="00B62917"/>
    <w:rsid w:val="00B62BAC"/>
    <w:rsid w:val="00B632D6"/>
    <w:rsid w:val="00B635B0"/>
    <w:rsid w:val="00B637B2"/>
    <w:rsid w:val="00B647CA"/>
    <w:rsid w:val="00B64806"/>
    <w:rsid w:val="00B67999"/>
    <w:rsid w:val="00B67D7F"/>
    <w:rsid w:val="00B72FD2"/>
    <w:rsid w:val="00B748C7"/>
    <w:rsid w:val="00B75864"/>
    <w:rsid w:val="00B7661E"/>
    <w:rsid w:val="00B7720A"/>
    <w:rsid w:val="00B82140"/>
    <w:rsid w:val="00B824BD"/>
    <w:rsid w:val="00B85DA6"/>
    <w:rsid w:val="00B86D2B"/>
    <w:rsid w:val="00B904BF"/>
    <w:rsid w:val="00B90A44"/>
    <w:rsid w:val="00B91C61"/>
    <w:rsid w:val="00B92A0F"/>
    <w:rsid w:val="00B935F5"/>
    <w:rsid w:val="00B94D9C"/>
    <w:rsid w:val="00B95D8A"/>
    <w:rsid w:val="00B95F4A"/>
    <w:rsid w:val="00B96592"/>
    <w:rsid w:val="00B96D9B"/>
    <w:rsid w:val="00BA0712"/>
    <w:rsid w:val="00BA21BB"/>
    <w:rsid w:val="00BA276C"/>
    <w:rsid w:val="00BA3580"/>
    <w:rsid w:val="00BA41D7"/>
    <w:rsid w:val="00BA461E"/>
    <w:rsid w:val="00BA4FAB"/>
    <w:rsid w:val="00BA7179"/>
    <w:rsid w:val="00BA7CD6"/>
    <w:rsid w:val="00BB0AE7"/>
    <w:rsid w:val="00BB2080"/>
    <w:rsid w:val="00BB20F5"/>
    <w:rsid w:val="00BB306F"/>
    <w:rsid w:val="00BB47F2"/>
    <w:rsid w:val="00BB4ECB"/>
    <w:rsid w:val="00BB4FE6"/>
    <w:rsid w:val="00BB55F3"/>
    <w:rsid w:val="00BB5AE5"/>
    <w:rsid w:val="00BB7623"/>
    <w:rsid w:val="00BC03A4"/>
    <w:rsid w:val="00BC1180"/>
    <w:rsid w:val="00BC1D47"/>
    <w:rsid w:val="00BC2E65"/>
    <w:rsid w:val="00BC2EE7"/>
    <w:rsid w:val="00BD2296"/>
    <w:rsid w:val="00BD2628"/>
    <w:rsid w:val="00BD2670"/>
    <w:rsid w:val="00BD2886"/>
    <w:rsid w:val="00BD2D81"/>
    <w:rsid w:val="00BD31B7"/>
    <w:rsid w:val="00BD4B89"/>
    <w:rsid w:val="00BD54C8"/>
    <w:rsid w:val="00BD62C3"/>
    <w:rsid w:val="00BD669B"/>
    <w:rsid w:val="00BD6D5E"/>
    <w:rsid w:val="00BD71E0"/>
    <w:rsid w:val="00BD75AF"/>
    <w:rsid w:val="00BD7BB8"/>
    <w:rsid w:val="00BE2005"/>
    <w:rsid w:val="00BE3075"/>
    <w:rsid w:val="00BE4763"/>
    <w:rsid w:val="00BE4FF6"/>
    <w:rsid w:val="00BE574C"/>
    <w:rsid w:val="00BE650A"/>
    <w:rsid w:val="00BF02CB"/>
    <w:rsid w:val="00BF0EA8"/>
    <w:rsid w:val="00BF11D3"/>
    <w:rsid w:val="00BF1664"/>
    <w:rsid w:val="00BF2086"/>
    <w:rsid w:val="00BF4CEE"/>
    <w:rsid w:val="00BF558B"/>
    <w:rsid w:val="00BF662F"/>
    <w:rsid w:val="00BF6FD8"/>
    <w:rsid w:val="00BF71CE"/>
    <w:rsid w:val="00C00341"/>
    <w:rsid w:val="00C003F0"/>
    <w:rsid w:val="00C03680"/>
    <w:rsid w:val="00C054DF"/>
    <w:rsid w:val="00C076F4"/>
    <w:rsid w:val="00C07A01"/>
    <w:rsid w:val="00C11438"/>
    <w:rsid w:val="00C118ED"/>
    <w:rsid w:val="00C1367D"/>
    <w:rsid w:val="00C16370"/>
    <w:rsid w:val="00C16B8E"/>
    <w:rsid w:val="00C21762"/>
    <w:rsid w:val="00C22D91"/>
    <w:rsid w:val="00C23A39"/>
    <w:rsid w:val="00C24543"/>
    <w:rsid w:val="00C24A0C"/>
    <w:rsid w:val="00C256A2"/>
    <w:rsid w:val="00C25887"/>
    <w:rsid w:val="00C258EE"/>
    <w:rsid w:val="00C25D16"/>
    <w:rsid w:val="00C26322"/>
    <w:rsid w:val="00C279C3"/>
    <w:rsid w:val="00C3058B"/>
    <w:rsid w:val="00C343CD"/>
    <w:rsid w:val="00C344D1"/>
    <w:rsid w:val="00C34B42"/>
    <w:rsid w:val="00C3610F"/>
    <w:rsid w:val="00C36F01"/>
    <w:rsid w:val="00C37453"/>
    <w:rsid w:val="00C37F3D"/>
    <w:rsid w:val="00C402EE"/>
    <w:rsid w:val="00C40789"/>
    <w:rsid w:val="00C422EF"/>
    <w:rsid w:val="00C441CB"/>
    <w:rsid w:val="00C448F1"/>
    <w:rsid w:val="00C46EE5"/>
    <w:rsid w:val="00C51515"/>
    <w:rsid w:val="00C51BA4"/>
    <w:rsid w:val="00C51D8C"/>
    <w:rsid w:val="00C526A3"/>
    <w:rsid w:val="00C55F26"/>
    <w:rsid w:val="00C5660B"/>
    <w:rsid w:val="00C56A0D"/>
    <w:rsid w:val="00C577EC"/>
    <w:rsid w:val="00C57A0C"/>
    <w:rsid w:val="00C605CC"/>
    <w:rsid w:val="00C62249"/>
    <w:rsid w:val="00C623CB"/>
    <w:rsid w:val="00C62A4D"/>
    <w:rsid w:val="00C62A75"/>
    <w:rsid w:val="00C64F80"/>
    <w:rsid w:val="00C66B72"/>
    <w:rsid w:val="00C673CC"/>
    <w:rsid w:val="00C67AA8"/>
    <w:rsid w:val="00C7029D"/>
    <w:rsid w:val="00C71524"/>
    <w:rsid w:val="00C71DD8"/>
    <w:rsid w:val="00C733FE"/>
    <w:rsid w:val="00C75282"/>
    <w:rsid w:val="00C756B6"/>
    <w:rsid w:val="00C75DF6"/>
    <w:rsid w:val="00C7602C"/>
    <w:rsid w:val="00C76776"/>
    <w:rsid w:val="00C77A64"/>
    <w:rsid w:val="00C803D4"/>
    <w:rsid w:val="00C810D8"/>
    <w:rsid w:val="00C816D0"/>
    <w:rsid w:val="00C84AB2"/>
    <w:rsid w:val="00C87399"/>
    <w:rsid w:val="00C90A6E"/>
    <w:rsid w:val="00C91AB3"/>
    <w:rsid w:val="00C9567A"/>
    <w:rsid w:val="00C97129"/>
    <w:rsid w:val="00CA3E19"/>
    <w:rsid w:val="00CA7565"/>
    <w:rsid w:val="00CB01F5"/>
    <w:rsid w:val="00CB0975"/>
    <w:rsid w:val="00CB212D"/>
    <w:rsid w:val="00CB224D"/>
    <w:rsid w:val="00CB2583"/>
    <w:rsid w:val="00CB2660"/>
    <w:rsid w:val="00CB3A38"/>
    <w:rsid w:val="00CB59A0"/>
    <w:rsid w:val="00CB7BB0"/>
    <w:rsid w:val="00CC0576"/>
    <w:rsid w:val="00CC271C"/>
    <w:rsid w:val="00CC5C57"/>
    <w:rsid w:val="00CC5C91"/>
    <w:rsid w:val="00CC5E90"/>
    <w:rsid w:val="00CC63CF"/>
    <w:rsid w:val="00CD01B7"/>
    <w:rsid w:val="00CD0325"/>
    <w:rsid w:val="00CD046C"/>
    <w:rsid w:val="00CD0B67"/>
    <w:rsid w:val="00CD185D"/>
    <w:rsid w:val="00CD1CDA"/>
    <w:rsid w:val="00CD2E56"/>
    <w:rsid w:val="00CD4462"/>
    <w:rsid w:val="00CD4B11"/>
    <w:rsid w:val="00CD6F8D"/>
    <w:rsid w:val="00CD740C"/>
    <w:rsid w:val="00CD76A0"/>
    <w:rsid w:val="00CD7AFF"/>
    <w:rsid w:val="00CE066C"/>
    <w:rsid w:val="00CE076C"/>
    <w:rsid w:val="00CE094E"/>
    <w:rsid w:val="00CE1FBC"/>
    <w:rsid w:val="00CE2D58"/>
    <w:rsid w:val="00CE2DD1"/>
    <w:rsid w:val="00CE3024"/>
    <w:rsid w:val="00CE5075"/>
    <w:rsid w:val="00CE5199"/>
    <w:rsid w:val="00CE66D5"/>
    <w:rsid w:val="00CF1CB6"/>
    <w:rsid w:val="00CF637A"/>
    <w:rsid w:val="00CF64E7"/>
    <w:rsid w:val="00D03185"/>
    <w:rsid w:val="00D0382A"/>
    <w:rsid w:val="00D03ED3"/>
    <w:rsid w:val="00D059DE"/>
    <w:rsid w:val="00D05C14"/>
    <w:rsid w:val="00D06555"/>
    <w:rsid w:val="00D068BA"/>
    <w:rsid w:val="00D10319"/>
    <w:rsid w:val="00D12193"/>
    <w:rsid w:val="00D13FCE"/>
    <w:rsid w:val="00D1519B"/>
    <w:rsid w:val="00D1649D"/>
    <w:rsid w:val="00D1747A"/>
    <w:rsid w:val="00D17AFC"/>
    <w:rsid w:val="00D17D6A"/>
    <w:rsid w:val="00D209E6"/>
    <w:rsid w:val="00D25845"/>
    <w:rsid w:val="00D25B0E"/>
    <w:rsid w:val="00D306D1"/>
    <w:rsid w:val="00D31AE1"/>
    <w:rsid w:val="00D34117"/>
    <w:rsid w:val="00D34786"/>
    <w:rsid w:val="00D35C40"/>
    <w:rsid w:val="00D37BFC"/>
    <w:rsid w:val="00D412F9"/>
    <w:rsid w:val="00D41822"/>
    <w:rsid w:val="00D4321C"/>
    <w:rsid w:val="00D45252"/>
    <w:rsid w:val="00D47A8E"/>
    <w:rsid w:val="00D47BF0"/>
    <w:rsid w:val="00D50C10"/>
    <w:rsid w:val="00D50D27"/>
    <w:rsid w:val="00D51830"/>
    <w:rsid w:val="00D521E3"/>
    <w:rsid w:val="00D522EC"/>
    <w:rsid w:val="00D52D14"/>
    <w:rsid w:val="00D5401C"/>
    <w:rsid w:val="00D572DD"/>
    <w:rsid w:val="00D6010E"/>
    <w:rsid w:val="00D61ADF"/>
    <w:rsid w:val="00D62ED3"/>
    <w:rsid w:val="00D63070"/>
    <w:rsid w:val="00D650E8"/>
    <w:rsid w:val="00D65874"/>
    <w:rsid w:val="00D65967"/>
    <w:rsid w:val="00D661B5"/>
    <w:rsid w:val="00D66C0D"/>
    <w:rsid w:val="00D66EB8"/>
    <w:rsid w:val="00D712D3"/>
    <w:rsid w:val="00D71422"/>
    <w:rsid w:val="00D72DC6"/>
    <w:rsid w:val="00D7388D"/>
    <w:rsid w:val="00D74829"/>
    <w:rsid w:val="00D74C5D"/>
    <w:rsid w:val="00D74CE2"/>
    <w:rsid w:val="00D7558D"/>
    <w:rsid w:val="00D757E0"/>
    <w:rsid w:val="00D80DEF"/>
    <w:rsid w:val="00D8166B"/>
    <w:rsid w:val="00D81D52"/>
    <w:rsid w:val="00D81D92"/>
    <w:rsid w:val="00D83D73"/>
    <w:rsid w:val="00D87908"/>
    <w:rsid w:val="00D904FC"/>
    <w:rsid w:val="00D93751"/>
    <w:rsid w:val="00D94BCC"/>
    <w:rsid w:val="00D965E6"/>
    <w:rsid w:val="00D968A3"/>
    <w:rsid w:val="00D96D95"/>
    <w:rsid w:val="00D96E66"/>
    <w:rsid w:val="00DA19C2"/>
    <w:rsid w:val="00DA2C8B"/>
    <w:rsid w:val="00DA2F04"/>
    <w:rsid w:val="00DA56FD"/>
    <w:rsid w:val="00DA6561"/>
    <w:rsid w:val="00DA7B5F"/>
    <w:rsid w:val="00DB1E65"/>
    <w:rsid w:val="00DB526D"/>
    <w:rsid w:val="00DB611E"/>
    <w:rsid w:val="00DB6C59"/>
    <w:rsid w:val="00DB720F"/>
    <w:rsid w:val="00DB7534"/>
    <w:rsid w:val="00DC11E7"/>
    <w:rsid w:val="00DC2118"/>
    <w:rsid w:val="00DC2A67"/>
    <w:rsid w:val="00DC50A1"/>
    <w:rsid w:val="00DC5EC1"/>
    <w:rsid w:val="00DC6C56"/>
    <w:rsid w:val="00DC7023"/>
    <w:rsid w:val="00DC769A"/>
    <w:rsid w:val="00DD0C28"/>
    <w:rsid w:val="00DD1381"/>
    <w:rsid w:val="00DD27F8"/>
    <w:rsid w:val="00DD39F7"/>
    <w:rsid w:val="00DD3D86"/>
    <w:rsid w:val="00DD3EE9"/>
    <w:rsid w:val="00DD4077"/>
    <w:rsid w:val="00DD41A1"/>
    <w:rsid w:val="00DD6E40"/>
    <w:rsid w:val="00DD7278"/>
    <w:rsid w:val="00DE110D"/>
    <w:rsid w:val="00DE15EA"/>
    <w:rsid w:val="00DE334A"/>
    <w:rsid w:val="00DE3A61"/>
    <w:rsid w:val="00DE648E"/>
    <w:rsid w:val="00DF02F3"/>
    <w:rsid w:val="00DF1EC4"/>
    <w:rsid w:val="00DF47FE"/>
    <w:rsid w:val="00DF5144"/>
    <w:rsid w:val="00DF5C19"/>
    <w:rsid w:val="00DF788F"/>
    <w:rsid w:val="00E02DC0"/>
    <w:rsid w:val="00E02E35"/>
    <w:rsid w:val="00E031D0"/>
    <w:rsid w:val="00E0326C"/>
    <w:rsid w:val="00E0340B"/>
    <w:rsid w:val="00E04A90"/>
    <w:rsid w:val="00E05A95"/>
    <w:rsid w:val="00E109F3"/>
    <w:rsid w:val="00E10D82"/>
    <w:rsid w:val="00E118A0"/>
    <w:rsid w:val="00E12198"/>
    <w:rsid w:val="00E12B35"/>
    <w:rsid w:val="00E14763"/>
    <w:rsid w:val="00E160BE"/>
    <w:rsid w:val="00E219C7"/>
    <w:rsid w:val="00E22AC4"/>
    <w:rsid w:val="00E24410"/>
    <w:rsid w:val="00E2590C"/>
    <w:rsid w:val="00E25A5E"/>
    <w:rsid w:val="00E2608B"/>
    <w:rsid w:val="00E2742C"/>
    <w:rsid w:val="00E3072B"/>
    <w:rsid w:val="00E3217B"/>
    <w:rsid w:val="00E35C5D"/>
    <w:rsid w:val="00E37547"/>
    <w:rsid w:val="00E4013E"/>
    <w:rsid w:val="00E404D2"/>
    <w:rsid w:val="00E41300"/>
    <w:rsid w:val="00E415E2"/>
    <w:rsid w:val="00E42F86"/>
    <w:rsid w:val="00E43157"/>
    <w:rsid w:val="00E461CE"/>
    <w:rsid w:val="00E471A3"/>
    <w:rsid w:val="00E47C3B"/>
    <w:rsid w:val="00E47FE5"/>
    <w:rsid w:val="00E51AF9"/>
    <w:rsid w:val="00E52673"/>
    <w:rsid w:val="00E52E26"/>
    <w:rsid w:val="00E5431F"/>
    <w:rsid w:val="00E578D0"/>
    <w:rsid w:val="00E62148"/>
    <w:rsid w:val="00E630D6"/>
    <w:rsid w:val="00E6527C"/>
    <w:rsid w:val="00E6592A"/>
    <w:rsid w:val="00E66887"/>
    <w:rsid w:val="00E66E13"/>
    <w:rsid w:val="00E720CA"/>
    <w:rsid w:val="00E734F4"/>
    <w:rsid w:val="00E73FE5"/>
    <w:rsid w:val="00E751D6"/>
    <w:rsid w:val="00E77C68"/>
    <w:rsid w:val="00E810C3"/>
    <w:rsid w:val="00E813AF"/>
    <w:rsid w:val="00E81BBA"/>
    <w:rsid w:val="00E82EFD"/>
    <w:rsid w:val="00E84EB5"/>
    <w:rsid w:val="00E85457"/>
    <w:rsid w:val="00E85662"/>
    <w:rsid w:val="00E868AC"/>
    <w:rsid w:val="00E86A8F"/>
    <w:rsid w:val="00E8789F"/>
    <w:rsid w:val="00E909AA"/>
    <w:rsid w:val="00E91B88"/>
    <w:rsid w:val="00E922C4"/>
    <w:rsid w:val="00E93412"/>
    <w:rsid w:val="00E953E3"/>
    <w:rsid w:val="00E96505"/>
    <w:rsid w:val="00E967DB"/>
    <w:rsid w:val="00E97B71"/>
    <w:rsid w:val="00E97E3A"/>
    <w:rsid w:val="00EA0013"/>
    <w:rsid w:val="00EA2778"/>
    <w:rsid w:val="00EA3D34"/>
    <w:rsid w:val="00EA45B2"/>
    <w:rsid w:val="00EA4DD4"/>
    <w:rsid w:val="00EA7301"/>
    <w:rsid w:val="00EB05A4"/>
    <w:rsid w:val="00EB2329"/>
    <w:rsid w:val="00EB249C"/>
    <w:rsid w:val="00EB270A"/>
    <w:rsid w:val="00EB2CFB"/>
    <w:rsid w:val="00EB454D"/>
    <w:rsid w:val="00EB5AF9"/>
    <w:rsid w:val="00EB7419"/>
    <w:rsid w:val="00EC0AE0"/>
    <w:rsid w:val="00EC105F"/>
    <w:rsid w:val="00EC11B2"/>
    <w:rsid w:val="00EC1BE2"/>
    <w:rsid w:val="00EC1F75"/>
    <w:rsid w:val="00EC2CCD"/>
    <w:rsid w:val="00EC30F7"/>
    <w:rsid w:val="00EC35A6"/>
    <w:rsid w:val="00EC4252"/>
    <w:rsid w:val="00EC477E"/>
    <w:rsid w:val="00EC7E70"/>
    <w:rsid w:val="00ED012F"/>
    <w:rsid w:val="00ED118F"/>
    <w:rsid w:val="00ED2F93"/>
    <w:rsid w:val="00ED708C"/>
    <w:rsid w:val="00ED76BE"/>
    <w:rsid w:val="00EE0EBE"/>
    <w:rsid w:val="00EE0FDB"/>
    <w:rsid w:val="00EE1164"/>
    <w:rsid w:val="00EE4B46"/>
    <w:rsid w:val="00EE50D2"/>
    <w:rsid w:val="00EE6DDE"/>
    <w:rsid w:val="00EE7210"/>
    <w:rsid w:val="00EE7E75"/>
    <w:rsid w:val="00EF0136"/>
    <w:rsid w:val="00EF4526"/>
    <w:rsid w:val="00EF58BB"/>
    <w:rsid w:val="00EF619B"/>
    <w:rsid w:val="00EF6B2E"/>
    <w:rsid w:val="00F00B55"/>
    <w:rsid w:val="00F02AD1"/>
    <w:rsid w:val="00F0535B"/>
    <w:rsid w:val="00F0557A"/>
    <w:rsid w:val="00F05B30"/>
    <w:rsid w:val="00F06FC3"/>
    <w:rsid w:val="00F0799E"/>
    <w:rsid w:val="00F1182C"/>
    <w:rsid w:val="00F17329"/>
    <w:rsid w:val="00F21A97"/>
    <w:rsid w:val="00F23B6C"/>
    <w:rsid w:val="00F253CC"/>
    <w:rsid w:val="00F2544E"/>
    <w:rsid w:val="00F25AAF"/>
    <w:rsid w:val="00F26C29"/>
    <w:rsid w:val="00F304DA"/>
    <w:rsid w:val="00F334EC"/>
    <w:rsid w:val="00F35591"/>
    <w:rsid w:val="00F365C1"/>
    <w:rsid w:val="00F367A2"/>
    <w:rsid w:val="00F36A14"/>
    <w:rsid w:val="00F37106"/>
    <w:rsid w:val="00F37C62"/>
    <w:rsid w:val="00F40433"/>
    <w:rsid w:val="00F40930"/>
    <w:rsid w:val="00F40C13"/>
    <w:rsid w:val="00F43329"/>
    <w:rsid w:val="00F45C59"/>
    <w:rsid w:val="00F519CF"/>
    <w:rsid w:val="00F51F16"/>
    <w:rsid w:val="00F52A3D"/>
    <w:rsid w:val="00F53D2B"/>
    <w:rsid w:val="00F5421C"/>
    <w:rsid w:val="00F55031"/>
    <w:rsid w:val="00F559A8"/>
    <w:rsid w:val="00F56BA5"/>
    <w:rsid w:val="00F60E22"/>
    <w:rsid w:val="00F6212B"/>
    <w:rsid w:val="00F62C02"/>
    <w:rsid w:val="00F65754"/>
    <w:rsid w:val="00F65A56"/>
    <w:rsid w:val="00F6662B"/>
    <w:rsid w:val="00F67855"/>
    <w:rsid w:val="00F706AE"/>
    <w:rsid w:val="00F71E99"/>
    <w:rsid w:val="00F73104"/>
    <w:rsid w:val="00F7424B"/>
    <w:rsid w:val="00F747C2"/>
    <w:rsid w:val="00F771D0"/>
    <w:rsid w:val="00F773F0"/>
    <w:rsid w:val="00F805FB"/>
    <w:rsid w:val="00F81395"/>
    <w:rsid w:val="00F81F14"/>
    <w:rsid w:val="00F83B2C"/>
    <w:rsid w:val="00F8553C"/>
    <w:rsid w:val="00F86083"/>
    <w:rsid w:val="00F86BF9"/>
    <w:rsid w:val="00F902EB"/>
    <w:rsid w:val="00F917D1"/>
    <w:rsid w:val="00F91F4B"/>
    <w:rsid w:val="00F93F4A"/>
    <w:rsid w:val="00F94C16"/>
    <w:rsid w:val="00F95101"/>
    <w:rsid w:val="00F9653B"/>
    <w:rsid w:val="00F97261"/>
    <w:rsid w:val="00FA0019"/>
    <w:rsid w:val="00FA7875"/>
    <w:rsid w:val="00FB2A40"/>
    <w:rsid w:val="00FB49E8"/>
    <w:rsid w:val="00FB57FB"/>
    <w:rsid w:val="00FB5DC1"/>
    <w:rsid w:val="00FB6157"/>
    <w:rsid w:val="00FB62CF"/>
    <w:rsid w:val="00FB6513"/>
    <w:rsid w:val="00FC0EB9"/>
    <w:rsid w:val="00FC284B"/>
    <w:rsid w:val="00FC3319"/>
    <w:rsid w:val="00FC6D5C"/>
    <w:rsid w:val="00FD02D4"/>
    <w:rsid w:val="00FD3C3B"/>
    <w:rsid w:val="00FD44E9"/>
    <w:rsid w:val="00FD564D"/>
    <w:rsid w:val="00FD5A99"/>
    <w:rsid w:val="00FD5E93"/>
    <w:rsid w:val="00FD7B66"/>
    <w:rsid w:val="00FE0155"/>
    <w:rsid w:val="00FE07DD"/>
    <w:rsid w:val="00FE117C"/>
    <w:rsid w:val="00FE1F08"/>
    <w:rsid w:val="00FE2800"/>
    <w:rsid w:val="00FE4B2F"/>
    <w:rsid w:val="00FE6B45"/>
    <w:rsid w:val="00FE7CE0"/>
    <w:rsid w:val="00FF296D"/>
    <w:rsid w:val="00FF33F2"/>
    <w:rsid w:val="00FF39C0"/>
    <w:rsid w:val="00FF5456"/>
    <w:rsid w:val="00FF5585"/>
    <w:rsid w:val="00FF55F3"/>
    <w:rsid w:val="00FF5851"/>
    <w:rsid w:val="00FF5C7C"/>
    <w:rsid w:val="00FF66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DEB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1C319E"/>
    <w:pPr>
      <w:numPr>
        <w:numId w:val="54"/>
      </w:numPr>
      <w:suppressAutoHyphens/>
      <w:ind w:left="1418" w:hanging="873"/>
      <w:outlineLvl w:val="0"/>
    </w:pPr>
    <w:rPr>
      <w:rFonts w:asciiTheme="majorHAnsi" w:hAnsiTheme="majorHAnsi"/>
      <w:b/>
      <w:sz w:val="20"/>
      <w:szCs w:val="20"/>
      <w:lang w:val="es-ES_tradnl"/>
    </w:rPr>
  </w:style>
  <w:style w:type="paragraph" w:styleId="Heading2">
    <w:name w:val="heading 2"/>
    <w:basedOn w:val="Normal"/>
    <w:next w:val="Normal"/>
    <w:link w:val="Heading2Char"/>
    <w:qFormat/>
    <w:rsid w:val="0063474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567" w:hanging="11"/>
      <w:outlineLvl w:val="1"/>
    </w:pPr>
    <w:rPr>
      <w:rFonts w:ascii="Cambria" w:eastAsia="Times New Roman" w:hAnsi="Cambria" w:cs="Arial"/>
      <w:b/>
      <w:bCs/>
      <w:iCs/>
      <w:sz w:val="20"/>
      <w:szCs w:val="20"/>
      <w:bdr w:val="none" w:sz="0" w:space="0" w:color="auto"/>
      <w:lang w:val="es-ES_tradnl"/>
    </w:rPr>
  </w:style>
  <w:style w:type="paragraph" w:styleId="Heading3">
    <w:name w:val="heading 3"/>
    <w:basedOn w:val="Normal"/>
    <w:next w:val="Normal"/>
    <w:link w:val="Heading3Char"/>
    <w:qFormat/>
    <w:rsid w:val="007A085C"/>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567" w:hanging="11"/>
      <w:jc w:val="both"/>
      <w:outlineLvl w:val="2"/>
    </w:pPr>
    <w:rPr>
      <w:rFonts w:asciiTheme="majorHAnsi" w:eastAsia="Times New Roman" w:hAnsiTheme="majorHAnsi" w:cs="Arial"/>
      <w:b/>
      <w:bCs/>
      <w:sz w:val="20"/>
      <w:szCs w:val="20"/>
      <w:bdr w:val="none" w:sz="0" w:space="0" w:color="auto"/>
      <w:lang w:val="es-ES_tradnl"/>
    </w:rPr>
  </w:style>
  <w:style w:type="paragraph" w:styleId="Heading4">
    <w:name w:val="heading 4"/>
    <w:basedOn w:val="Normal"/>
    <w:next w:val="Normal"/>
    <w:link w:val="Heading4Char"/>
    <w:uiPriority w:val="9"/>
    <w:unhideWhenUsed/>
    <w:qFormat/>
    <w:rsid w:val="000D7D8E"/>
    <w:pPr>
      <w:keepNext/>
      <w:keepLines/>
      <w:numPr>
        <w:ilvl w:val="1"/>
        <w:numId w:val="54"/>
      </w:numPr>
      <w:ind w:hanging="450"/>
      <w:outlineLvl w:val="3"/>
    </w:pPr>
    <w:rPr>
      <w:rFonts w:asciiTheme="majorHAnsi" w:eastAsiaTheme="majorEastAsia" w:hAnsiTheme="majorHAnsi" w:cstheme="majorBidi"/>
      <w:b/>
      <w:i/>
      <w:iCs/>
      <w:sz w:val="20"/>
      <w:szCs w:val="20"/>
      <w:lang w:val="es-CO"/>
    </w:rPr>
  </w:style>
  <w:style w:type="paragraph" w:styleId="Heading5">
    <w:name w:val="heading 5"/>
    <w:basedOn w:val="ListParagraph"/>
    <w:next w:val="Normal"/>
    <w:link w:val="Heading5Char"/>
    <w:uiPriority w:val="9"/>
    <w:unhideWhenUsed/>
    <w:qFormat/>
    <w:rsid w:val="00E02E35"/>
    <w:pPr>
      <w:numPr>
        <w:numId w:val="66"/>
      </w:numPr>
      <w:ind w:left="1440" w:hanging="720"/>
      <w:outlineLvl w:val="4"/>
    </w:pPr>
    <w:rPr>
      <w:i/>
      <w:sz w:val="20"/>
      <w:szCs w:val="20"/>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1C319E"/>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634744"/>
    <w:rPr>
      <w:rFonts w:ascii="Cambria" w:eastAsia="Times New Roman" w:hAnsi="Cambria" w:cs="Arial"/>
      <w:b/>
      <w:bCs/>
      <w:iCs/>
      <w:bdr w:val="none" w:sz="0" w:space="0" w:color="auto"/>
      <w:lang w:val="es-ES_tradnl" w:eastAsia="en-US"/>
    </w:rPr>
  </w:style>
  <w:style w:type="character" w:customStyle="1" w:styleId="Heading3Char">
    <w:name w:val="Heading 3 Char"/>
    <w:basedOn w:val="DefaultParagraphFont"/>
    <w:link w:val="Heading3"/>
    <w:rsid w:val="007A085C"/>
    <w:rPr>
      <w:rFonts w:asciiTheme="majorHAnsi" w:eastAsia="Times New Roman" w:hAnsiTheme="majorHAnsi" w:cs="Arial"/>
      <w:b/>
      <w:bCs/>
      <w:bdr w:val="none" w:sz="0" w:space="0" w:color="auto"/>
      <w:lang w:val="es-ES_tradnl"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99"/>
    <w:locked/>
    <w:rsid w:val="002E4AEA"/>
    <w:rPr>
      <w:rFonts w:ascii="Cambria" w:eastAsia="Cambria" w:hAnsi="Cambria" w:cs="Cambria"/>
      <w:color w:val="000000"/>
      <w:sz w:val="24"/>
      <w:szCs w:val="24"/>
      <w:u w:color="000000"/>
      <w:lang w:val="en-US"/>
    </w:rPr>
  </w:style>
  <w:style w:type="paragraph" w:customStyle="1" w:styleId="1">
    <w:name w:val="1"/>
    <w:basedOn w:val="Normal"/>
    <w:rsid w:val="00E6527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Heading4Char">
    <w:name w:val="Heading 4 Char"/>
    <w:basedOn w:val="DefaultParagraphFont"/>
    <w:link w:val="Heading4"/>
    <w:uiPriority w:val="9"/>
    <w:rsid w:val="000D7D8E"/>
    <w:rPr>
      <w:rFonts w:asciiTheme="majorHAnsi" w:eastAsiaTheme="majorEastAsia" w:hAnsiTheme="majorHAnsi" w:cstheme="majorBidi"/>
      <w:b/>
      <w:i/>
      <w:iCs/>
      <w:lang w:val="es-CO" w:eastAsia="en-US"/>
    </w:rPr>
  </w:style>
  <w:style w:type="paragraph" w:customStyle="1" w:styleId="footnote">
    <w:name w:val="footnote"/>
    <w:basedOn w:val="NormalWeb"/>
    <w:autoRedefine/>
    <w:rsid w:val="00AC555E"/>
    <w:pPr>
      <w:pBdr>
        <w:top w:val="none" w:sz="0" w:space="0" w:color="auto"/>
        <w:left w:val="none" w:sz="0" w:space="0" w:color="auto"/>
        <w:bottom w:val="none" w:sz="0" w:space="0" w:color="auto"/>
        <w:right w:val="none" w:sz="0" w:space="0" w:color="auto"/>
        <w:between w:val="none" w:sz="0" w:space="0" w:color="auto"/>
        <w:bar w:val="none" w:sz="0" w:color="auto"/>
      </w:pBdr>
      <w:spacing w:after="40"/>
      <w:jc w:val="both"/>
    </w:pPr>
    <w:rPr>
      <w:rFonts w:ascii="Calibri" w:eastAsia="Times New Roman" w:hAnsi="Calibri" w:cs="Univers"/>
      <w:sz w:val="16"/>
      <w:szCs w:val="16"/>
      <w:bdr w:val="none" w:sz="0" w:space="0" w:color="auto"/>
      <w:lang w:val="es-MX" w:eastAsia="zh-CN"/>
    </w:rPr>
  </w:style>
  <w:style w:type="paragraph" w:customStyle="1" w:styleId="numberedparagraphs">
    <w:name w:val="numbered paragraphs"/>
    <w:basedOn w:val="Normal"/>
    <w:link w:val="numberedparagraphsChar"/>
    <w:qFormat/>
    <w:rsid w:val="00916A17"/>
    <w:pPr>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47" w:hanging="547"/>
      <w:jc w:val="both"/>
    </w:pPr>
    <w:rPr>
      <w:rFonts w:ascii="Cambria" w:eastAsia="Times New Roman" w:hAnsi="Cambria" w:cs="Arial"/>
      <w:sz w:val="20"/>
      <w:szCs w:val="20"/>
      <w:bdr w:val="none" w:sz="0" w:space="0" w:color="auto"/>
      <w:lang w:val="es-VE"/>
    </w:rPr>
  </w:style>
  <w:style w:type="character" w:customStyle="1" w:styleId="numberedparagraphsChar">
    <w:name w:val="numbered paragraphs Char"/>
    <w:link w:val="numberedparagraphs"/>
    <w:rsid w:val="00916A17"/>
    <w:rPr>
      <w:rFonts w:ascii="Cambria" w:eastAsia="Times New Roman" w:hAnsi="Cambria" w:cs="Arial"/>
      <w:bdr w:val="none" w:sz="0" w:space="0" w:color="auto"/>
      <w:lang w:val="es-VE" w:eastAsia="en-US"/>
    </w:rPr>
  </w:style>
  <w:style w:type="paragraph" w:styleId="NormalWeb">
    <w:name w:val="Normal (Web)"/>
    <w:basedOn w:val="Normal"/>
    <w:uiPriority w:val="99"/>
    <w:unhideWhenUsed/>
    <w:rsid w:val="00916A17"/>
  </w:style>
  <w:style w:type="character" w:customStyle="1" w:styleId="Heading5Char">
    <w:name w:val="Heading 5 Char"/>
    <w:basedOn w:val="DefaultParagraphFont"/>
    <w:link w:val="Heading5"/>
    <w:uiPriority w:val="9"/>
    <w:rsid w:val="00E02E35"/>
    <w:rPr>
      <w:rFonts w:ascii="Cambria" w:eastAsia="Cambria" w:hAnsi="Cambria" w:cs="Cambria"/>
      <w:i/>
      <w:color w:val="000000"/>
      <w:u w:color="000000"/>
      <w:lang w:val="es-PE"/>
    </w:rPr>
  </w:style>
  <w:style w:type="paragraph" w:styleId="TOCHeading">
    <w:name w:val="TOC Heading"/>
    <w:basedOn w:val="Heading1"/>
    <w:next w:val="Normal"/>
    <w:uiPriority w:val="39"/>
    <w:unhideWhenUsed/>
    <w:qFormat/>
    <w:rsid w:val="009144A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 w:type="character" w:styleId="CommentReference">
    <w:name w:val="annotation reference"/>
    <w:basedOn w:val="DefaultParagraphFont"/>
    <w:uiPriority w:val="99"/>
    <w:semiHidden/>
    <w:unhideWhenUsed/>
    <w:rsid w:val="00943A55"/>
    <w:rPr>
      <w:sz w:val="18"/>
      <w:szCs w:val="18"/>
    </w:rPr>
  </w:style>
  <w:style w:type="paragraph" w:styleId="CommentText">
    <w:name w:val="annotation text"/>
    <w:basedOn w:val="Normal"/>
    <w:link w:val="CommentTextChar"/>
    <w:uiPriority w:val="99"/>
    <w:semiHidden/>
    <w:unhideWhenUsed/>
    <w:rsid w:val="00943A55"/>
  </w:style>
  <w:style w:type="character" w:customStyle="1" w:styleId="CommentTextChar">
    <w:name w:val="Comment Text Char"/>
    <w:basedOn w:val="DefaultParagraphFont"/>
    <w:link w:val="CommentText"/>
    <w:uiPriority w:val="99"/>
    <w:semiHidden/>
    <w:rsid w:val="00943A55"/>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43A55"/>
    <w:rPr>
      <w:b/>
      <w:bCs/>
      <w:sz w:val="20"/>
      <w:szCs w:val="20"/>
    </w:rPr>
  </w:style>
  <w:style w:type="character" w:customStyle="1" w:styleId="CommentSubjectChar">
    <w:name w:val="Comment Subject Char"/>
    <w:basedOn w:val="CommentTextChar"/>
    <w:link w:val="CommentSubject"/>
    <w:uiPriority w:val="99"/>
    <w:semiHidden/>
    <w:rsid w:val="00943A55"/>
    <w:rPr>
      <w:b/>
      <w:bCs/>
      <w:sz w:val="24"/>
      <w:szCs w:val="24"/>
      <w:lang w:val="en-US" w:eastAsia="en-US"/>
    </w:rPr>
  </w:style>
  <w:style w:type="paragraph" w:styleId="Revision">
    <w:name w:val="Revision"/>
    <w:hidden/>
    <w:uiPriority w:val="99"/>
    <w:semiHidden/>
    <w:rsid w:val="00943A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4633">
      <w:bodyDiv w:val="1"/>
      <w:marLeft w:val="0"/>
      <w:marRight w:val="0"/>
      <w:marTop w:val="0"/>
      <w:marBottom w:val="0"/>
      <w:divBdr>
        <w:top w:val="none" w:sz="0" w:space="0" w:color="auto"/>
        <w:left w:val="none" w:sz="0" w:space="0" w:color="auto"/>
        <w:bottom w:val="none" w:sz="0" w:space="0" w:color="auto"/>
        <w:right w:val="none" w:sz="0" w:space="0" w:color="auto"/>
      </w:divBdr>
    </w:div>
    <w:div w:id="90929526">
      <w:bodyDiv w:val="1"/>
      <w:marLeft w:val="0"/>
      <w:marRight w:val="0"/>
      <w:marTop w:val="0"/>
      <w:marBottom w:val="0"/>
      <w:divBdr>
        <w:top w:val="none" w:sz="0" w:space="0" w:color="auto"/>
        <w:left w:val="none" w:sz="0" w:space="0" w:color="auto"/>
        <w:bottom w:val="none" w:sz="0" w:space="0" w:color="auto"/>
        <w:right w:val="none" w:sz="0" w:space="0" w:color="auto"/>
      </w:divBdr>
    </w:div>
    <w:div w:id="444233422">
      <w:bodyDiv w:val="1"/>
      <w:marLeft w:val="0"/>
      <w:marRight w:val="0"/>
      <w:marTop w:val="0"/>
      <w:marBottom w:val="0"/>
      <w:divBdr>
        <w:top w:val="none" w:sz="0" w:space="0" w:color="auto"/>
        <w:left w:val="none" w:sz="0" w:space="0" w:color="auto"/>
        <w:bottom w:val="none" w:sz="0" w:space="0" w:color="auto"/>
        <w:right w:val="none" w:sz="0" w:space="0" w:color="auto"/>
      </w:divBdr>
    </w:div>
    <w:div w:id="445000319">
      <w:bodyDiv w:val="1"/>
      <w:marLeft w:val="0"/>
      <w:marRight w:val="0"/>
      <w:marTop w:val="0"/>
      <w:marBottom w:val="0"/>
      <w:divBdr>
        <w:top w:val="none" w:sz="0" w:space="0" w:color="auto"/>
        <w:left w:val="none" w:sz="0" w:space="0" w:color="auto"/>
        <w:bottom w:val="none" w:sz="0" w:space="0" w:color="auto"/>
        <w:right w:val="none" w:sz="0" w:space="0" w:color="auto"/>
      </w:divBdr>
    </w:div>
    <w:div w:id="1137257799">
      <w:bodyDiv w:val="1"/>
      <w:marLeft w:val="0"/>
      <w:marRight w:val="0"/>
      <w:marTop w:val="0"/>
      <w:marBottom w:val="0"/>
      <w:divBdr>
        <w:top w:val="none" w:sz="0" w:space="0" w:color="auto"/>
        <w:left w:val="none" w:sz="0" w:space="0" w:color="auto"/>
        <w:bottom w:val="none" w:sz="0" w:space="0" w:color="auto"/>
        <w:right w:val="none" w:sz="0" w:space="0" w:color="auto"/>
      </w:divBdr>
    </w:div>
    <w:div w:id="1289971182">
      <w:bodyDiv w:val="1"/>
      <w:marLeft w:val="0"/>
      <w:marRight w:val="0"/>
      <w:marTop w:val="0"/>
      <w:marBottom w:val="0"/>
      <w:divBdr>
        <w:top w:val="none" w:sz="0" w:space="0" w:color="auto"/>
        <w:left w:val="none" w:sz="0" w:space="0" w:color="auto"/>
        <w:bottom w:val="none" w:sz="0" w:space="0" w:color="auto"/>
        <w:right w:val="none" w:sz="0" w:space="0" w:color="auto"/>
      </w:divBdr>
    </w:div>
    <w:div w:id="130072499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73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basicos/basicos13.htm" TargetMode="External"/><Relationship Id="rId13" Type="http://schemas.openxmlformats.org/officeDocument/2006/relationships/hyperlink" Target="http://infoleg.gov.ar/infolegInternet/anexos/160000-164999/160774/norma.htm" TargetMode="External"/><Relationship Id="rId18" Type="http://schemas.openxmlformats.org/officeDocument/2006/relationships/hyperlink" Target="http://www.oas.org/es/cidh/expresion/docs/informes/anuales/Informe%20Anual%202009%201%20ESP.pdf" TargetMode="External"/><Relationship Id="rId3" Type="http://schemas.openxmlformats.org/officeDocument/2006/relationships/hyperlink" Target="http://www.conaf.cl/cms/editorweb/transparencia/potestades/Dto-490_alerce.pdf" TargetMode="External"/><Relationship Id="rId7" Type="http://schemas.openxmlformats.org/officeDocument/2006/relationships/hyperlink" Target="http://www.oas.org/es/cidh/expresion/docs/informes/anuales/Informe%20Anual%202009%201%20ESP.pdf" TargetMode="External"/><Relationship Id="rId12" Type="http://schemas.openxmlformats.org/officeDocument/2006/relationships/hyperlink" Target="https://www.oas.org/es/cidh/decisiones/corte/2017/12663FondoEs.pdf" TargetMode="External"/><Relationship Id="rId17" Type="http://schemas.openxmlformats.org/officeDocument/2006/relationships/hyperlink" Target="http://www.oas.org/es/cidh/expresion/docs/informes/anuales/Informe%20Anual%202004.pdf" TargetMode="External"/><Relationship Id="rId2" Type="http://schemas.openxmlformats.org/officeDocument/2006/relationships/hyperlink" Target="https://www.leychile.cl/Navegar?idNorma=186049" TargetMode="External"/><Relationship Id="rId16" Type="http://schemas.openxmlformats.org/officeDocument/2006/relationships/hyperlink" Target="http://www.oas.org/es/cidh/expresion/docs/informes/anuales/Informe%20Anual%202009%201%20ESP.pdf" TargetMode="External"/><Relationship Id="rId1" Type="http://schemas.openxmlformats.org/officeDocument/2006/relationships/hyperlink" Target="https://www.leychile.cl/Navegar?idNorma=1984" TargetMode="External"/><Relationship Id="rId6" Type="http://schemas.openxmlformats.org/officeDocument/2006/relationships/hyperlink" Target="http://www.oas.org/es/cidh/expresion/docs/informes/anuales/Informe%20Anual%202004.pdf" TargetMode="External"/><Relationship Id="rId11" Type="http://schemas.openxmlformats.org/officeDocument/2006/relationships/hyperlink" Target="https://www.oas.org/es/cidh/decisiones/corte/2017/12663FondoEs.pdf" TargetMode="External"/><Relationship Id="rId5" Type="http://schemas.openxmlformats.org/officeDocument/2006/relationships/hyperlink" Target="http://www.cidh.oas.org/annualrep/94span/indice.htm" TargetMode="External"/><Relationship Id="rId15" Type="http://schemas.openxmlformats.org/officeDocument/2006/relationships/hyperlink" Target="http://www.oas.org/es/cidh/expresion/docs/informes/anuales/Informe%20Anual%202009%201%20ESP.pdf" TargetMode="External"/><Relationship Id="rId10" Type="http://schemas.openxmlformats.org/officeDocument/2006/relationships/hyperlink" Target="http://www.cidh.oas.org/annualrep/94span/indice.htm" TargetMode="External"/><Relationship Id="rId19" Type="http://schemas.openxmlformats.org/officeDocument/2006/relationships/hyperlink" Target="http://www.oas.org/es/cidh/expresion/docs/informes/anuales/Informe%20Anual%202009%201%20ESP.pdf" TargetMode="External"/><Relationship Id="rId4" Type="http://schemas.openxmlformats.org/officeDocument/2006/relationships/hyperlink" Target="http://www.oas.org/es/cidh/expresion/docs/informes/anuales/Informe%20Anual%202009%201%20ESP.pdf" TargetMode="External"/><Relationship Id="rId9" Type="http://schemas.openxmlformats.org/officeDocument/2006/relationships/hyperlink" Target="http://www.cidh.oas.org/annualrep/94span/indice.htm" TargetMode="External"/><Relationship Id="rId14" Type="http://schemas.openxmlformats.org/officeDocument/2006/relationships/hyperlink" Target="http://www.oas.org/es/cidh/expresion/docs/informes/anuales/Informe%20Anual%202009%201%20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39EF-D808-4D82-A955-63A8CE44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14862</Words>
  <Characters>84720</Characters>
  <Application>Microsoft Office Word</Application>
  <DocSecurity>0</DocSecurity>
  <Lines>706</Lines>
  <Paragraphs>198</Paragraphs>
  <ScaleCrop>false</ScaleCrop>
  <Company/>
  <LinksUpToDate>false</LinksUpToDate>
  <CharactersWithSpaces>99384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2020-11-03T16:15:00Z</dcterms:created>
  <dcterms:modified xsi:type="dcterms:W3CDTF">2020-11-03T16:15:00Z</dcterms:modified>
</cp:coreProperties>
</file>