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7E27F" w14:textId="779ADC32" w:rsidR="00EC310A" w:rsidRPr="006E763F" w:rsidRDefault="00FE642E" w:rsidP="00E923BB">
      <w:pPr>
        <w:pStyle w:val="Body"/>
        <w:ind w:firstLine="249"/>
        <w:jc w:val="left"/>
        <w:rPr>
          <w:b/>
          <w:bCs/>
          <w:lang w:val="es-ES"/>
        </w:rPr>
      </w:pPr>
      <w:r>
        <w:rPr>
          <w:noProof/>
          <w:lang w:val="en-US" w:eastAsia="en-US"/>
        </w:rPr>
        <w:drawing>
          <wp:anchor distT="0" distB="0" distL="114300" distR="114300" simplePos="0" relativeHeight="251669504" behindDoc="0" locked="0" layoutInCell="1" allowOverlap="1" wp14:anchorId="402E38A1" wp14:editId="5B2231EC">
            <wp:simplePos x="0" y="0"/>
            <wp:positionH relativeFrom="margin">
              <wp:posOffset>1400175</wp:posOffset>
            </wp:positionH>
            <wp:positionV relativeFrom="margin">
              <wp:posOffset>-285750</wp:posOffset>
            </wp:positionV>
            <wp:extent cx="2647315" cy="509270"/>
            <wp:effectExtent l="0" t="0" r="635" b="5080"/>
            <wp:wrapSquare wrapText="bothSides"/>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509270"/>
                    </a:xfrm>
                    <a:prstGeom prst="rect">
                      <a:avLst/>
                    </a:prstGeom>
                    <a:noFill/>
                    <a:ln>
                      <a:noFill/>
                    </a:ln>
                  </pic:spPr>
                </pic:pic>
              </a:graphicData>
            </a:graphic>
          </wp:anchor>
        </w:drawing>
      </w:r>
      <w:r w:rsidR="009E7E98" w:rsidRPr="006E763F">
        <w:rPr>
          <w:noProof/>
          <w:lang w:val="en-US" w:eastAsia="en-US"/>
        </w:rPr>
        <mc:AlternateContent>
          <mc:Choice Requires="wps">
            <w:drawing>
              <wp:anchor distT="0" distB="0" distL="0" distR="0" simplePos="0" relativeHeight="251646976" behindDoc="0" locked="0" layoutInCell="1" allowOverlap="1" wp14:anchorId="2AF1BAA4" wp14:editId="0AFE5F95">
                <wp:simplePos x="0" y="0"/>
                <wp:positionH relativeFrom="column">
                  <wp:posOffset>-416115</wp:posOffset>
                </wp:positionH>
                <wp:positionV relativeFrom="line">
                  <wp:posOffset>-439420</wp:posOffset>
                </wp:positionV>
                <wp:extent cx="1543050" cy="909637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12700" cap="flat">
                          <a:noFill/>
                          <a:miter lim="400000"/>
                        </a:ln>
                        <a:effectLst/>
                      </wps:spPr>
                      <wps:bodyPr/>
                    </wps:wsp>
                  </a:graphicData>
                </a:graphic>
              </wp:anchor>
            </w:drawing>
          </mc:Choice>
          <mc:Fallback>
            <w:pict>
              <v:rect w14:anchorId="3E6523CB" id="officeArt object" o:spid="_x0000_s1026" style="position:absolute;margin-left:-32.75pt;margin-top:-34.6pt;width:121.5pt;height:716.25pt;z-index:25164697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AtwEAAFEDAAAOAAAAZHJzL2Uyb0RvYy54bWysU9tu2zAMfR+wfxD0vsjOpW6MOEWxonsZ&#10;tgLdPkCRpViDbqC0OPn7UbKXdetbMT/IpCgdHh5Su7uzNeQkIWrvOlovKkqkE77X7tjR798eP9xS&#10;EhN3PTfeyY5eZKR3+/fvdmNo5dIP3vQSCIK42I6ho0NKoWUsikFaHhc+SIdB5cHyhC4cWQ98RHRr&#10;2LKqbtjooQ/ghYwRdx+mIN0XfKWkSF+VijIR01HklsoKZT3kle13vD0CD4MWMw3+BhaWa4dJr1AP&#10;PHHyE/QrKKsF+OhVWghvmVdKC1lqwGrq6p9qngceZKkFxYnhKlP8f7Diy+kJiO6xd1Wzatb17bKh&#10;xHGLvZrY3UMi/vADlcxijSG2eOc5PMHsRTRz5WcFNv/xFjkXgS9XgeU5EYGb9Wa9qjbYB4GxbbW9&#10;WTWbjMr+XA8Q0yfpLclGRyHnzbD89Dmm6ejvI3k7eqP7R21MceB4+GiAnDh2e33f1Nv1jP7XMePI&#10;iFyWTZWZcJw6ZfiUxfmMhWl4a3XCyTTaIlSVvxnKuByVZbZmSlmUSYZsHXx/Keqw7GHfSn3zjOXB&#10;eOmj/fIl7H8BAAD//wMAUEsDBBQABgAIAAAAIQAJFUzi3wAAAAwBAAAPAAAAZHJzL2Rvd25yZXYu&#10;eG1sTI/BTsMwEETvSPyDtUhcUOukUVIa4lQVUjlxoUHi6sZuHGGvo9htwt+zOcFtdmc0+7baz86y&#10;mx5D71FAuk6AaWy96rET8NkcV8/AQpSopPWoBfzoAPv6/q6SpfITfujbKXaMSjCUUoCJcSg5D63R&#10;Toa1HzSSd/Gjk5HGseNqlBOVO8s3SVJwJ3ukC0YO+tXo9vt0dQLem7ev1ptml04HhU82t+nlaIV4&#10;fJgPL8CinuNfGBZ8QoeamM7+iiowK2BV5DlFF7HbAFsS2y1tziSyIsuA1xX//0T9CwAA//8DAFBL&#10;AQItABQABgAIAAAAIQC2gziS/gAAAOEBAAATAAAAAAAAAAAAAAAAAAAAAABbQ29udGVudF9UeXBl&#10;c10ueG1sUEsBAi0AFAAGAAgAAAAhADj9If/WAAAAlAEAAAsAAAAAAAAAAAAAAAAALwEAAF9yZWxz&#10;Ly5yZWxzUEsBAi0AFAAGAAgAAAAhAG7f+kC3AQAAUQMAAA4AAAAAAAAAAAAAAAAALgIAAGRycy9l&#10;Mm9Eb2MueG1sUEsBAi0AFAAGAAgAAAAhAAkVTOLfAAAADAEAAA8AAAAAAAAAAAAAAAAAEQQAAGRy&#10;cy9kb3ducmV2LnhtbFBLBQYAAAAABAAEAPMAAAAdBQAAAAA=&#10;" fillcolor="#4a7194" stroked="f" strokeweight="1pt">
                <v:stroke miterlimit="4"/>
                <w10:wrap anchory="line"/>
              </v:rect>
            </w:pict>
          </mc:Fallback>
        </mc:AlternateContent>
      </w:r>
    </w:p>
    <w:p w14:paraId="1A190844" w14:textId="687C9F13" w:rsidR="00EC310A" w:rsidRPr="006E763F" w:rsidRDefault="00EC310A" w:rsidP="00E923BB">
      <w:pPr>
        <w:pStyle w:val="Body"/>
        <w:suppressAutoHyphens/>
        <w:ind w:firstLine="249"/>
        <w:rPr>
          <w:lang w:val="es-ES"/>
        </w:rPr>
      </w:pPr>
    </w:p>
    <w:p w14:paraId="4D5EE248" w14:textId="77777777" w:rsidR="00EC310A" w:rsidRPr="006E763F" w:rsidRDefault="00EC310A" w:rsidP="00E923BB">
      <w:pPr>
        <w:pStyle w:val="Body"/>
        <w:suppressAutoHyphens/>
        <w:ind w:firstLine="249"/>
        <w:rPr>
          <w:lang w:val="es-ES"/>
        </w:rPr>
      </w:pPr>
    </w:p>
    <w:p w14:paraId="4C1BCC3B" w14:textId="77777777" w:rsidR="00EC310A" w:rsidRPr="006E763F" w:rsidRDefault="00EC310A" w:rsidP="00E923BB">
      <w:pPr>
        <w:pStyle w:val="Body"/>
        <w:suppressAutoHyphens/>
        <w:ind w:firstLine="249"/>
        <w:rPr>
          <w:lang w:val="es-ES"/>
        </w:rPr>
      </w:pPr>
    </w:p>
    <w:p w14:paraId="6176D8BC" w14:textId="77777777" w:rsidR="00EC310A" w:rsidRPr="006E763F" w:rsidRDefault="00EC310A" w:rsidP="00E923BB">
      <w:pPr>
        <w:pStyle w:val="Body"/>
        <w:suppressAutoHyphens/>
        <w:ind w:firstLine="249"/>
        <w:rPr>
          <w:lang w:val="es-ES"/>
        </w:rPr>
      </w:pPr>
    </w:p>
    <w:p w14:paraId="27659451" w14:textId="77777777" w:rsidR="00EC310A" w:rsidRPr="006E763F" w:rsidRDefault="00EC310A" w:rsidP="00E923BB">
      <w:pPr>
        <w:pStyle w:val="Body"/>
        <w:suppressAutoHyphens/>
        <w:ind w:firstLine="249"/>
        <w:rPr>
          <w:lang w:val="es-ES"/>
        </w:rPr>
      </w:pPr>
    </w:p>
    <w:p w14:paraId="7EF7B01A" w14:textId="77777777" w:rsidR="00EC310A" w:rsidRPr="006E763F" w:rsidRDefault="00EC310A" w:rsidP="00E923BB">
      <w:pPr>
        <w:pStyle w:val="Body"/>
        <w:suppressAutoHyphens/>
        <w:ind w:firstLine="249"/>
        <w:rPr>
          <w:lang w:val="es-ES"/>
        </w:rPr>
      </w:pPr>
    </w:p>
    <w:p w14:paraId="7F2BDCFD" w14:textId="34920CB4" w:rsidR="00EC310A" w:rsidRPr="006E763F" w:rsidRDefault="00EC310A" w:rsidP="00E923BB">
      <w:pPr>
        <w:pStyle w:val="Body"/>
        <w:suppressAutoHyphens/>
        <w:ind w:firstLine="249"/>
        <w:rPr>
          <w:lang w:val="es-ES"/>
        </w:rPr>
      </w:pPr>
    </w:p>
    <w:p w14:paraId="50C9C660" w14:textId="77777777" w:rsidR="00EC310A" w:rsidRPr="006E763F" w:rsidRDefault="00EC310A" w:rsidP="00E923BB">
      <w:pPr>
        <w:pStyle w:val="Body"/>
        <w:suppressAutoHyphens/>
        <w:ind w:firstLine="249"/>
        <w:rPr>
          <w:lang w:val="es-ES"/>
        </w:rPr>
      </w:pPr>
    </w:p>
    <w:p w14:paraId="67CC4370" w14:textId="77777777" w:rsidR="00EC310A" w:rsidRPr="006E763F" w:rsidRDefault="00EC310A" w:rsidP="00E923BB">
      <w:pPr>
        <w:pStyle w:val="Body"/>
        <w:suppressAutoHyphens/>
        <w:ind w:firstLine="249"/>
        <w:rPr>
          <w:lang w:val="es-ES"/>
        </w:rPr>
      </w:pPr>
    </w:p>
    <w:p w14:paraId="2244157A" w14:textId="77777777" w:rsidR="00EC310A" w:rsidRPr="006E763F" w:rsidRDefault="00EC310A" w:rsidP="00E923BB">
      <w:pPr>
        <w:pStyle w:val="Body"/>
        <w:suppressAutoHyphens/>
        <w:ind w:firstLine="249"/>
        <w:rPr>
          <w:lang w:val="es-ES"/>
        </w:rPr>
      </w:pPr>
    </w:p>
    <w:p w14:paraId="28F8B17A" w14:textId="77777777" w:rsidR="00EC310A" w:rsidRPr="006E763F" w:rsidRDefault="00EC310A" w:rsidP="00E923BB">
      <w:pPr>
        <w:pStyle w:val="Body"/>
        <w:suppressAutoHyphens/>
        <w:ind w:firstLine="249"/>
        <w:rPr>
          <w:lang w:val="es-ES"/>
        </w:rPr>
      </w:pPr>
    </w:p>
    <w:p w14:paraId="67BD6C16" w14:textId="77777777" w:rsidR="00EC310A" w:rsidRPr="006E763F" w:rsidRDefault="00EC310A" w:rsidP="00E923BB">
      <w:pPr>
        <w:pStyle w:val="Body"/>
        <w:suppressAutoHyphens/>
        <w:ind w:firstLine="249"/>
        <w:rPr>
          <w:lang w:val="es-ES"/>
        </w:rPr>
      </w:pPr>
    </w:p>
    <w:p w14:paraId="68E86EDE" w14:textId="1C98C484" w:rsidR="00EC310A" w:rsidRPr="006E763F" w:rsidRDefault="009E7E98" w:rsidP="00E923BB">
      <w:pPr>
        <w:pStyle w:val="Body"/>
        <w:suppressAutoHyphens/>
        <w:ind w:firstLine="249"/>
        <w:rPr>
          <w:lang w:val="es-ES"/>
        </w:rPr>
      </w:pPr>
      <w:r w:rsidRPr="006E763F">
        <w:rPr>
          <w:noProof/>
          <w:lang w:val="en-US" w:eastAsia="en-US"/>
        </w:rPr>
        <mc:AlternateContent>
          <mc:Choice Requires="wps">
            <w:drawing>
              <wp:anchor distT="0" distB="0" distL="0" distR="0" simplePos="0" relativeHeight="251650048" behindDoc="0" locked="0" layoutInCell="1" allowOverlap="1" wp14:anchorId="60640899" wp14:editId="424D4F90">
                <wp:simplePos x="0" y="0"/>
                <wp:positionH relativeFrom="column">
                  <wp:posOffset>1352550</wp:posOffset>
                </wp:positionH>
                <wp:positionV relativeFrom="line">
                  <wp:posOffset>107315</wp:posOffset>
                </wp:positionV>
                <wp:extent cx="4441190" cy="2181225"/>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4441190" cy="2181225"/>
                        </a:xfrm>
                        <a:prstGeom prst="rect">
                          <a:avLst/>
                        </a:prstGeom>
                        <a:noFill/>
                        <a:ln w="12700" cap="flat">
                          <a:noFill/>
                          <a:miter lim="400000"/>
                        </a:ln>
                        <a:effectLst/>
                      </wps:spPr>
                      <wps:txbx>
                        <w:txbxContent>
                          <w:p w14:paraId="4DF69361" w14:textId="7983C531" w:rsidR="00B934ED" w:rsidRPr="00014A33" w:rsidRDefault="00B934ED">
                            <w:pPr>
                              <w:pStyle w:val="Body"/>
                              <w:spacing w:line="276" w:lineRule="auto"/>
                              <w:rPr>
                                <w:b/>
                                <w:bCs/>
                                <w:color w:val="0D0D0D"/>
                                <w:sz w:val="36"/>
                                <w:szCs w:val="36"/>
                                <w:u w:color="0D0D0D"/>
                                <w:lang w:val="es-CO"/>
                              </w:rPr>
                            </w:pPr>
                            <w:r>
                              <w:rPr>
                                <w:b/>
                                <w:bCs/>
                                <w:color w:val="0D0D0D"/>
                                <w:sz w:val="36"/>
                                <w:szCs w:val="36"/>
                                <w:u w:color="0D0D0D"/>
                                <w:lang w:val="es-CO"/>
                              </w:rPr>
                              <w:t>INFORME No. 149/18</w:t>
                            </w:r>
                          </w:p>
                          <w:p w14:paraId="0780C822" w14:textId="77777777" w:rsidR="00B934ED" w:rsidRDefault="00B934ED">
                            <w:pPr>
                              <w:pStyle w:val="Body"/>
                              <w:spacing w:line="276" w:lineRule="auto"/>
                              <w:rPr>
                                <w:b/>
                                <w:bCs/>
                                <w:color w:val="0D0D0D"/>
                                <w:sz w:val="36"/>
                                <w:szCs w:val="36"/>
                                <w:u w:color="0D0D0D"/>
                                <w:lang w:val="es-ES_tradnl"/>
                              </w:rPr>
                            </w:pPr>
                            <w:r>
                              <w:rPr>
                                <w:b/>
                                <w:bCs/>
                                <w:color w:val="0D0D0D"/>
                                <w:sz w:val="36"/>
                                <w:szCs w:val="36"/>
                                <w:u w:color="0D0D0D"/>
                                <w:lang w:val="es-ES_tradnl"/>
                              </w:rPr>
                              <w:t>CASO 11.641</w:t>
                            </w:r>
                          </w:p>
                          <w:p w14:paraId="728A764C" w14:textId="77777777" w:rsidR="00B934ED" w:rsidRPr="00CE18CC" w:rsidRDefault="00B934ED">
                            <w:pPr>
                              <w:pStyle w:val="Body"/>
                              <w:spacing w:line="276" w:lineRule="auto"/>
                              <w:rPr>
                                <w:color w:val="0D0D0D"/>
                                <w:sz w:val="24"/>
                                <w:u w:color="0D0D0D"/>
                                <w:lang w:val="es-ES_tradnl"/>
                              </w:rPr>
                            </w:pPr>
                            <w:r w:rsidRPr="00CE18CC">
                              <w:rPr>
                                <w:color w:val="0D0D0D"/>
                                <w:sz w:val="24"/>
                                <w:u w:color="0D0D0D"/>
                                <w:lang w:val="es-ES_tradnl"/>
                              </w:rPr>
                              <w:t xml:space="preserve">INFORME DE FONDO </w:t>
                            </w:r>
                          </w:p>
                          <w:p w14:paraId="44E9396B" w14:textId="77777777" w:rsidR="00B934ED" w:rsidRDefault="00B934ED">
                            <w:pPr>
                              <w:pStyle w:val="Body"/>
                              <w:spacing w:line="276" w:lineRule="auto"/>
                              <w:rPr>
                                <w:color w:val="0D0D0D"/>
                                <w:u w:color="0D0D0D"/>
                                <w:lang w:val="es-ES_tradnl"/>
                              </w:rPr>
                            </w:pPr>
                          </w:p>
                          <w:p w14:paraId="424CA8CB" w14:textId="5F802641" w:rsidR="00B934ED" w:rsidRPr="00CE18CC" w:rsidRDefault="00B934ED">
                            <w:pPr>
                              <w:pStyle w:val="Body"/>
                              <w:spacing w:line="276" w:lineRule="auto"/>
                              <w:rPr>
                                <w:color w:val="0D0D0D"/>
                                <w:sz w:val="24"/>
                                <w:u w:color="0D0D0D"/>
                                <w:lang w:val="es-ES_tradnl"/>
                              </w:rPr>
                            </w:pPr>
                            <w:r>
                              <w:rPr>
                                <w:color w:val="0D0D0D"/>
                                <w:sz w:val="24"/>
                                <w:u w:color="0D0D0D"/>
                                <w:lang w:val="es-ES_tradnl"/>
                              </w:rPr>
                              <w:t>PEDRO JULIO MOVILLA GALARCIO Y FAMILIARES</w:t>
                            </w:r>
                          </w:p>
                          <w:p w14:paraId="11F4554E" w14:textId="77777777" w:rsidR="00B934ED" w:rsidRPr="00CE18CC" w:rsidRDefault="00B934ED">
                            <w:pPr>
                              <w:pStyle w:val="Body"/>
                              <w:spacing w:line="276" w:lineRule="auto"/>
                              <w:rPr>
                                <w:sz w:val="24"/>
                              </w:rPr>
                            </w:pPr>
                            <w:r w:rsidRPr="00CE18CC">
                              <w:rPr>
                                <w:color w:val="0D0D0D"/>
                                <w:sz w:val="24"/>
                                <w:u w:color="0D0D0D"/>
                                <w:lang w:val="es-ES_tradnl"/>
                              </w:rPr>
                              <w:t>COLOMBIA</w:t>
                            </w:r>
                          </w:p>
                        </w:txbxContent>
                      </wps:txbx>
                      <wps:bodyPr wrap="square" lIns="45719" tIns="45719" rIns="45719" bIns="45719" numCol="1" anchor="t">
                        <a:noAutofit/>
                      </wps:bodyPr>
                    </wps:wsp>
                  </a:graphicData>
                </a:graphic>
              </wp:anchor>
            </w:drawing>
          </mc:Choice>
          <mc:Fallback>
            <w:pict>
              <v:rect w14:anchorId="60640899" id="officeArt object" o:spid="_x0000_s1026" style="position:absolute;left:0;text-align:left;margin-left:106.5pt;margin-top:8.45pt;width:349.7pt;height:171.75pt;z-index:25165004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zE2wEAAKUDAAAOAAAAZHJzL2Uyb0RvYy54bWysU9uO0zAQfUfiHyy/01zI0m7UdLVitQgJ&#10;wUoLH+A4dmNke4ztNunfM06y3QjeEH1wPePxmTnHJ/u70WhyFj4osA0tNjklwnLolD029Mf3x3c7&#10;SkJktmMarGjoRQR6d3j7Zj+4WpTQg+6EJwhiQz24hvYxujrLAu+FYWEDTlg8lOANixj6Y9Z5NiC6&#10;0VmZ5x+yAXznPHARAmYf5kN6mPClFDx+kzKISHRDcbY4rX5a27Rmhz2rj565XvFlDPYPUximLDa9&#10;Qj2wyMjJq7+gjOIeAsi44WAykFJxMXFANkX+B5vnnjkxcUFxgrvKFP4fLP96fvJEdfh2+fb9tip2&#10;5S0llhl8q3m6ex8JtD9RySTW4EKNd57dk1+igNvEfJTepH+8RcZJ4MtVYDFGwjFZVVVR3OI7cDwr&#10;i11RljcJNXu97nyInwQYkjYN9alvgmXnLyHOpS8lKW3hUWmNeVZrSwakUW7z1IChmaRm8+VVlVER&#10;DaeVwWny9Fv6a5swxGSZpVPiOrNLuzi240K5he6Cqg1om4aGXyfmBSX6s8V3qW62BQoY14FfB+06&#10;sCfzEdCZBSXM8h7QmC8D358iSDUxTt3nlqhUCtALk2aLb5PZ1vFU9fp1HX4DAAD//wMAUEsDBBQA&#10;BgAIAAAAIQBrd9gQ3QAAAAoBAAAPAAAAZHJzL2Rvd25yZXYueG1sTI/NTsMwEITvSLyDtUjcqJ0f&#10;IpLGqRCiXDhReAA3NnGKvY5ipw1vz3KC42hGM9+0u9U7djZzHANKyDYCmME+6BEHCR/v+7sHYDEp&#10;1MoFNBK+TYRdd33VqkaHC76Z8yENjEowNkqCTWlqOI+9NV7FTZgMkvcZZq8SyXngelYXKveO50JU&#10;3KsRacGqyTxZ038dFi+BZ6+Fq/1S56tdnotS3J/2L5OUtzfr4xZYMmv6C8MvPqFDR0zHsKCOzEnI&#10;s4K+JDKqGhgF6iwvgR0lFJUogXct/3+h+wEAAP//AwBQSwECLQAUAAYACAAAACEAtoM4kv4AAADh&#10;AQAAEwAAAAAAAAAAAAAAAAAAAAAAW0NvbnRlbnRfVHlwZXNdLnhtbFBLAQItABQABgAIAAAAIQA4&#10;/SH/1gAAAJQBAAALAAAAAAAAAAAAAAAAAC8BAABfcmVscy8ucmVsc1BLAQItABQABgAIAAAAIQDs&#10;FxzE2wEAAKUDAAAOAAAAAAAAAAAAAAAAAC4CAABkcnMvZTJvRG9jLnhtbFBLAQItABQABgAIAAAA&#10;IQBrd9gQ3QAAAAoBAAAPAAAAAAAAAAAAAAAAADUEAABkcnMvZG93bnJldi54bWxQSwUGAAAAAAQA&#10;BADzAAAAPwUAAAAA&#10;" filled="f" stroked="f" strokeweight="1pt">
                <v:stroke miterlimit="4"/>
                <v:textbox inset="1.27mm,1.27mm,1.27mm,1.27mm">
                  <w:txbxContent>
                    <w:p w14:paraId="4DF69361" w14:textId="7983C531" w:rsidR="00B934ED" w:rsidRPr="00014A33" w:rsidRDefault="00B934ED">
                      <w:pPr>
                        <w:pStyle w:val="Body"/>
                        <w:spacing w:line="276" w:lineRule="auto"/>
                        <w:rPr>
                          <w:b/>
                          <w:bCs/>
                          <w:color w:val="0D0D0D"/>
                          <w:sz w:val="36"/>
                          <w:szCs w:val="36"/>
                          <w:u w:color="0D0D0D"/>
                          <w:lang w:val="es-CO"/>
                        </w:rPr>
                      </w:pPr>
                      <w:r>
                        <w:rPr>
                          <w:b/>
                          <w:bCs/>
                          <w:color w:val="0D0D0D"/>
                          <w:sz w:val="36"/>
                          <w:szCs w:val="36"/>
                          <w:u w:color="0D0D0D"/>
                          <w:lang w:val="es-CO"/>
                        </w:rPr>
                        <w:t>INFORME No. 149/18</w:t>
                      </w:r>
                    </w:p>
                    <w:p w14:paraId="0780C822" w14:textId="77777777" w:rsidR="00B934ED" w:rsidRDefault="00B934ED">
                      <w:pPr>
                        <w:pStyle w:val="Body"/>
                        <w:spacing w:line="276" w:lineRule="auto"/>
                        <w:rPr>
                          <w:b/>
                          <w:bCs/>
                          <w:color w:val="0D0D0D"/>
                          <w:sz w:val="36"/>
                          <w:szCs w:val="36"/>
                          <w:u w:color="0D0D0D"/>
                          <w:lang w:val="es-ES_tradnl"/>
                        </w:rPr>
                      </w:pPr>
                      <w:r>
                        <w:rPr>
                          <w:b/>
                          <w:bCs/>
                          <w:color w:val="0D0D0D"/>
                          <w:sz w:val="36"/>
                          <w:szCs w:val="36"/>
                          <w:u w:color="0D0D0D"/>
                          <w:lang w:val="es-ES_tradnl"/>
                        </w:rPr>
                        <w:t>CASO 11.641</w:t>
                      </w:r>
                    </w:p>
                    <w:p w14:paraId="728A764C" w14:textId="77777777" w:rsidR="00B934ED" w:rsidRPr="00CE18CC" w:rsidRDefault="00B934ED">
                      <w:pPr>
                        <w:pStyle w:val="Body"/>
                        <w:spacing w:line="276" w:lineRule="auto"/>
                        <w:rPr>
                          <w:color w:val="0D0D0D"/>
                          <w:sz w:val="24"/>
                          <w:u w:color="0D0D0D"/>
                          <w:lang w:val="es-ES_tradnl"/>
                        </w:rPr>
                      </w:pPr>
                      <w:r w:rsidRPr="00CE18CC">
                        <w:rPr>
                          <w:color w:val="0D0D0D"/>
                          <w:sz w:val="24"/>
                          <w:u w:color="0D0D0D"/>
                          <w:lang w:val="es-ES_tradnl"/>
                        </w:rPr>
                        <w:t xml:space="preserve">INFORME DE FONDO </w:t>
                      </w:r>
                    </w:p>
                    <w:p w14:paraId="44E9396B" w14:textId="77777777" w:rsidR="00B934ED" w:rsidRDefault="00B934ED">
                      <w:pPr>
                        <w:pStyle w:val="Body"/>
                        <w:spacing w:line="276" w:lineRule="auto"/>
                        <w:rPr>
                          <w:color w:val="0D0D0D"/>
                          <w:u w:color="0D0D0D"/>
                          <w:lang w:val="es-ES_tradnl"/>
                        </w:rPr>
                      </w:pPr>
                    </w:p>
                    <w:p w14:paraId="424CA8CB" w14:textId="5F802641" w:rsidR="00B934ED" w:rsidRPr="00CE18CC" w:rsidRDefault="00B934ED">
                      <w:pPr>
                        <w:pStyle w:val="Body"/>
                        <w:spacing w:line="276" w:lineRule="auto"/>
                        <w:rPr>
                          <w:color w:val="0D0D0D"/>
                          <w:sz w:val="24"/>
                          <w:u w:color="0D0D0D"/>
                          <w:lang w:val="es-ES_tradnl"/>
                        </w:rPr>
                      </w:pPr>
                      <w:r>
                        <w:rPr>
                          <w:color w:val="0D0D0D"/>
                          <w:sz w:val="24"/>
                          <w:u w:color="0D0D0D"/>
                          <w:lang w:val="es-ES_tradnl"/>
                        </w:rPr>
                        <w:t>PEDRO JULIO MOVILLA GALARCIO Y FAMILIARES</w:t>
                      </w:r>
                    </w:p>
                    <w:p w14:paraId="11F4554E" w14:textId="77777777" w:rsidR="00B934ED" w:rsidRPr="00CE18CC" w:rsidRDefault="00B934ED">
                      <w:pPr>
                        <w:pStyle w:val="Body"/>
                        <w:spacing w:line="276" w:lineRule="auto"/>
                        <w:rPr>
                          <w:sz w:val="24"/>
                        </w:rPr>
                      </w:pPr>
                      <w:r w:rsidRPr="00CE18CC">
                        <w:rPr>
                          <w:color w:val="0D0D0D"/>
                          <w:sz w:val="24"/>
                          <w:u w:color="0D0D0D"/>
                          <w:lang w:val="es-ES_tradnl"/>
                        </w:rPr>
                        <w:t>COLOMBIA</w:t>
                      </w:r>
                    </w:p>
                  </w:txbxContent>
                </v:textbox>
                <w10:wrap anchory="line"/>
              </v:rect>
            </w:pict>
          </mc:Fallback>
        </mc:AlternateContent>
      </w:r>
    </w:p>
    <w:p w14:paraId="37F2238D" w14:textId="2FFE920A" w:rsidR="00EC310A" w:rsidRPr="006E763F" w:rsidRDefault="000D2D54" w:rsidP="00E923BB">
      <w:pPr>
        <w:pStyle w:val="Body"/>
        <w:suppressAutoHyphens/>
        <w:ind w:firstLine="249"/>
        <w:rPr>
          <w:lang w:val="es-ES"/>
        </w:rPr>
      </w:pPr>
      <w:r w:rsidRPr="006E763F">
        <w:rPr>
          <w:noProof/>
          <w:lang w:val="en-US" w:eastAsia="en-US"/>
        </w:rPr>
        <mc:AlternateContent>
          <mc:Choice Requires="wps">
            <w:drawing>
              <wp:anchor distT="0" distB="0" distL="0" distR="0" simplePos="0" relativeHeight="251656192" behindDoc="0" locked="0" layoutInCell="1" allowOverlap="1" wp14:anchorId="4766306A" wp14:editId="0E56D842">
                <wp:simplePos x="0" y="0"/>
                <wp:positionH relativeFrom="column">
                  <wp:posOffset>-482930</wp:posOffset>
                </wp:positionH>
                <wp:positionV relativeFrom="line">
                  <wp:posOffset>73127</wp:posOffset>
                </wp:positionV>
                <wp:extent cx="1601470" cy="1374775"/>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601470" cy="1374775"/>
                        </a:xfrm>
                        <a:prstGeom prst="rect">
                          <a:avLst/>
                        </a:prstGeom>
                        <a:noFill/>
                        <a:ln w="12700" cap="flat">
                          <a:noFill/>
                          <a:miter lim="400000"/>
                        </a:ln>
                        <a:effectLst/>
                      </wps:spPr>
                      <wps:txbx>
                        <w:txbxContent>
                          <w:p w14:paraId="7B2BD062" w14:textId="4623CD78" w:rsidR="00B934ED" w:rsidRPr="001B27ED" w:rsidRDefault="00B934ED">
                            <w:pPr>
                              <w:pStyle w:val="Body"/>
                              <w:spacing w:line="276" w:lineRule="auto"/>
                              <w:jc w:val="right"/>
                              <w:rPr>
                                <w:rFonts w:ascii="Calibri" w:eastAsia="Calibri" w:hAnsi="Calibri" w:cs="Calibri"/>
                                <w:color w:val="FFFFFF"/>
                                <w:szCs w:val="22"/>
                                <w:u w:color="FFFFFF"/>
                                <w:lang w:val="pt-BR"/>
                              </w:rPr>
                            </w:pPr>
                            <w:r w:rsidRPr="001B27ED">
                              <w:rPr>
                                <w:rFonts w:ascii="Calibri" w:eastAsia="Calibri" w:hAnsi="Calibri" w:cs="Calibri"/>
                                <w:color w:val="FFFFFF"/>
                                <w:szCs w:val="22"/>
                                <w:u w:color="FFFFFF"/>
                                <w:lang w:val="pt-BR"/>
                              </w:rPr>
                              <w:t>OEA/Ser.L/V/II.170</w:t>
                            </w:r>
                          </w:p>
                          <w:p w14:paraId="5AE6346A" w14:textId="267605FB" w:rsidR="00B934ED" w:rsidRPr="001B27ED" w:rsidRDefault="00B934ED">
                            <w:pPr>
                              <w:pStyle w:val="Body"/>
                              <w:spacing w:line="276" w:lineRule="auto"/>
                              <w:jc w:val="right"/>
                              <w:rPr>
                                <w:rFonts w:ascii="Calibri" w:eastAsia="Calibri" w:hAnsi="Calibri" w:cs="Calibri"/>
                                <w:color w:val="FFFFFF"/>
                                <w:szCs w:val="22"/>
                                <w:u w:color="FFFFFF"/>
                                <w:lang w:val="pt-BR"/>
                              </w:rPr>
                            </w:pPr>
                            <w:r w:rsidRPr="001B27ED">
                              <w:rPr>
                                <w:rFonts w:ascii="Calibri" w:eastAsia="Calibri" w:hAnsi="Calibri" w:cs="Calibri"/>
                                <w:color w:val="FFFFFF"/>
                                <w:szCs w:val="22"/>
                                <w:u w:color="FFFFFF"/>
                                <w:lang w:val="pt-BR"/>
                              </w:rPr>
                              <w:t>Doc. 171</w:t>
                            </w:r>
                          </w:p>
                          <w:p w14:paraId="4C75A73D" w14:textId="4C06CE9F" w:rsidR="00B934ED" w:rsidRPr="00E923BB" w:rsidRDefault="00B934ED">
                            <w:pPr>
                              <w:pStyle w:val="Body"/>
                              <w:spacing w:line="276" w:lineRule="auto"/>
                              <w:jc w:val="right"/>
                              <w:rPr>
                                <w:rFonts w:ascii="Calibri" w:eastAsia="Calibri" w:hAnsi="Calibri" w:cs="Calibri"/>
                                <w:color w:val="FFFFFF"/>
                                <w:szCs w:val="22"/>
                                <w:u w:color="FFFFFF"/>
                                <w:lang w:val="es-ES_tradnl"/>
                              </w:rPr>
                            </w:pPr>
                            <w:r>
                              <w:rPr>
                                <w:rFonts w:ascii="Calibri" w:eastAsia="Calibri" w:hAnsi="Calibri" w:cs="Calibri"/>
                                <w:color w:val="FFFFFF"/>
                                <w:szCs w:val="22"/>
                                <w:u w:color="FFFFFF"/>
                                <w:lang w:val="es-ES_tradnl"/>
                              </w:rPr>
                              <w:t>7 diciembre 2018</w:t>
                            </w:r>
                          </w:p>
                          <w:p w14:paraId="589DBC1B" w14:textId="77777777" w:rsidR="00B934ED" w:rsidRPr="00E923BB" w:rsidRDefault="00B934ED">
                            <w:pPr>
                              <w:pStyle w:val="Body"/>
                              <w:spacing w:line="276" w:lineRule="auto"/>
                              <w:jc w:val="right"/>
                              <w:rPr>
                                <w:sz w:val="18"/>
                              </w:rPr>
                            </w:pPr>
                            <w:r w:rsidRPr="00E923BB">
                              <w:rPr>
                                <w:rFonts w:ascii="Calibri" w:eastAsia="Calibri" w:hAnsi="Calibri" w:cs="Calibri"/>
                                <w:color w:val="FFFFFF"/>
                                <w:szCs w:val="22"/>
                                <w:u w:color="FFFFFF"/>
                                <w:lang w:val="es-ES_tradnl"/>
                              </w:rPr>
                              <w:t>Original: español</w:t>
                            </w:r>
                          </w:p>
                        </w:txbxContent>
                      </wps:txbx>
                      <wps:bodyPr wrap="square" lIns="45719" tIns="45719" rIns="45719" bIns="45719" numCol="1" anchor="t">
                        <a:noAutofit/>
                      </wps:bodyPr>
                    </wps:wsp>
                  </a:graphicData>
                </a:graphic>
                <wp14:sizeRelH relativeFrom="margin">
                  <wp14:pctWidth>0</wp14:pctWidth>
                </wp14:sizeRelH>
              </wp:anchor>
            </w:drawing>
          </mc:Choice>
          <mc:Fallback>
            <w:pict>
              <v:rect w14:anchorId="4766306A" id="_x0000_s1027" style="position:absolute;left:0;text-align:left;margin-left:-38.05pt;margin-top:5.75pt;width:126.1pt;height:108.25pt;z-index:251656192;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ha3QEAAKwDAAAOAAAAZHJzL2Uyb0RvYy54bWysU9Fu2yAUfZ+0f0C8L7bTtG6tOFW1qtOk&#10;aavU7gMwhpgJuAxI7Pz9LraTWttbtTwQ7oV77j2H4+39YDQ5Ch8U2JoWq5wSYTm0yu5r+vP16dMt&#10;JSEy2zINVtT0JAK93338sO1dJdbQgW6FJwhiQ9W7mnYxuirLAu+EYWEFTlg8lOANixj6fdZ61iO6&#10;0dk6z2+yHnzrPHARAmYfp0O6G/GlFDz+kDKISHRNcbY4rn5cm7Rmuy2r9p65TvF5DPaOKQxTFpte&#10;oB5ZZOTg1T9QRnEPAWRccTAZSKm4GDkgmyL/i81Lx5wYuaA4wV1kCv8Pln8/PnuiWny7vLwqN8Xt&#10;FcpkmcG3mqZ78JFA8wuVTGL1LlRY8+Ke/RwF3Cbmg/Qm/WMVGUaBTxeBxRAJx2RxkxebEhtwPCuw&#10;XVleJ9Tsrdz5EL8IMCRtaupT3wTLjt9CnK6er6S0hSelNeZZpS3pEXVd5qkBQzNJzabixS2jIhpO&#10;K1PTTZ5+c39tE4YYLTN3SlwndmkXh2aYhDrr0EB7QvF6dE9Nw+8D84IS/dXi82yuy+IO7bYM/DJo&#10;loE9mM+ABi0oYZZ3gP48z/1wiCDVSDwNMbVEwVKAlhilm+2bPLeMx1tvH9nuDwAAAP//AwBQSwME&#10;FAAGAAgAAAAhAJdsHtTdAAAACgEAAA8AAABkcnMvZG93bnJldi54bWxMj8FSwjAQhu/O8A6ZZcYb&#10;JC2CUJsyDCNePIk+QGjWpppsOk0K9e0NXuS4+3/z77fldnSWnbEPrScJ2VwAQ6q9bqmR8PF+mK2B&#10;hahIK+sJJfxggG01uStVof2F3vB8jA1LJRQKJcHE2BWch9qgU2HuO6SUffreqZjGvuG6V5dU7izP&#10;hVhxp1pKF4zqcG+w/j4OTgLPXhd244ZNPprhefEgll+Hl07K++m4ewIWcYz/MFz1kzpUyenkB9KB&#10;WQmzx1WW0BRkS2BX4G9xkpDnawG8KvntC9UvAAAA//8DAFBLAQItABQABgAIAAAAIQC2gziS/gAA&#10;AOEBAAATAAAAAAAAAAAAAAAAAAAAAABbQ29udGVudF9UeXBlc10ueG1sUEsBAi0AFAAGAAgAAAAh&#10;ADj9If/WAAAAlAEAAAsAAAAAAAAAAAAAAAAALwEAAF9yZWxzLy5yZWxzUEsBAi0AFAAGAAgAAAAh&#10;AByguFrdAQAArAMAAA4AAAAAAAAAAAAAAAAALgIAAGRycy9lMm9Eb2MueG1sUEsBAi0AFAAGAAgA&#10;AAAhAJdsHtTdAAAACgEAAA8AAAAAAAAAAAAAAAAANwQAAGRycy9kb3ducmV2LnhtbFBLBQYAAAAA&#10;BAAEAPMAAABBBQAAAAA=&#10;" filled="f" stroked="f" strokeweight="1pt">
                <v:stroke miterlimit="4"/>
                <v:textbox inset="1.27mm,1.27mm,1.27mm,1.27mm">
                  <w:txbxContent>
                    <w:p w14:paraId="7B2BD062" w14:textId="4623CD78" w:rsidR="00B934ED" w:rsidRPr="001B27ED" w:rsidRDefault="00B934ED">
                      <w:pPr>
                        <w:pStyle w:val="Body"/>
                        <w:spacing w:line="276" w:lineRule="auto"/>
                        <w:jc w:val="right"/>
                        <w:rPr>
                          <w:rFonts w:ascii="Calibri" w:eastAsia="Calibri" w:hAnsi="Calibri" w:cs="Calibri"/>
                          <w:color w:val="FFFFFF"/>
                          <w:szCs w:val="22"/>
                          <w:u w:color="FFFFFF"/>
                          <w:lang w:val="pt-BR"/>
                        </w:rPr>
                      </w:pPr>
                      <w:r w:rsidRPr="001B27ED">
                        <w:rPr>
                          <w:rFonts w:ascii="Calibri" w:eastAsia="Calibri" w:hAnsi="Calibri" w:cs="Calibri"/>
                          <w:color w:val="FFFFFF"/>
                          <w:szCs w:val="22"/>
                          <w:u w:color="FFFFFF"/>
                          <w:lang w:val="pt-BR"/>
                        </w:rPr>
                        <w:t>OEA/Ser.L/V/II.170</w:t>
                      </w:r>
                    </w:p>
                    <w:p w14:paraId="5AE6346A" w14:textId="267605FB" w:rsidR="00B934ED" w:rsidRPr="001B27ED" w:rsidRDefault="00B934ED">
                      <w:pPr>
                        <w:pStyle w:val="Body"/>
                        <w:spacing w:line="276" w:lineRule="auto"/>
                        <w:jc w:val="right"/>
                        <w:rPr>
                          <w:rFonts w:ascii="Calibri" w:eastAsia="Calibri" w:hAnsi="Calibri" w:cs="Calibri"/>
                          <w:color w:val="FFFFFF"/>
                          <w:szCs w:val="22"/>
                          <w:u w:color="FFFFFF"/>
                          <w:lang w:val="pt-BR"/>
                        </w:rPr>
                      </w:pPr>
                      <w:r w:rsidRPr="001B27ED">
                        <w:rPr>
                          <w:rFonts w:ascii="Calibri" w:eastAsia="Calibri" w:hAnsi="Calibri" w:cs="Calibri"/>
                          <w:color w:val="FFFFFF"/>
                          <w:szCs w:val="22"/>
                          <w:u w:color="FFFFFF"/>
                          <w:lang w:val="pt-BR"/>
                        </w:rPr>
                        <w:t>Doc. 171</w:t>
                      </w:r>
                    </w:p>
                    <w:p w14:paraId="4C75A73D" w14:textId="4C06CE9F" w:rsidR="00B934ED" w:rsidRPr="00E923BB" w:rsidRDefault="00B934ED">
                      <w:pPr>
                        <w:pStyle w:val="Body"/>
                        <w:spacing w:line="276" w:lineRule="auto"/>
                        <w:jc w:val="right"/>
                        <w:rPr>
                          <w:rFonts w:ascii="Calibri" w:eastAsia="Calibri" w:hAnsi="Calibri" w:cs="Calibri"/>
                          <w:color w:val="FFFFFF"/>
                          <w:szCs w:val="22"/>
                          <w:u w:color="FFFFFF"/>
                          <w:lang w:val="es-ES_tradnl"/>
                        </w:rPr>
                      </w:pPr>
                      <w:r>
                        <w:rPr>
                          <w:rFonts w:ascii="Calibri" w:eastAsia="Calibri" w:hAnsi="Calibri" w:cs="Calibri"/>
                          <w:color w:val="FFFFFF"/>
                          <w:szCs w:val="22"/>
                          <w:u w:color="FFFFFF"/>
                          <w:lang w:val="es-ES_tradnl"/>
                        </w:rPr>
                        <w:t>7 diciembre 2018</w:t>
                      </w:r>
                    </w:p>
                    <w:p w14:paraId="589DBC1B" w14:textId="77777777" w:rsidR="00B934ED" w:rsidRPr="00E923BB" w:rsidRDefault="00B934ED">
                      <w:pPr>
                        <w:pStyle w:val="Body"/>
                        <w:spacing w:line="276" w:lineRule="auto"/>
                        <w:jc w:val="right"/>
                        <w:rPr>
                          <w:sz w:val="18"/>
                        </w:rPr>
                      </w:pPr>
                      <w:r w:rsidRPr="00E923BB">
                        <w:rPr>
                          <w:rFonts w:ascii="Calibri" w:eastAsia="Calibri" w:hAnsi="Calibri" w:cs="Calibri"/>
                          <w:color w:val="FFFFFF"/>
                          <w:szCs w:val="22"/>
                          <w:u w:color="FFFFFF"/>
                          <w:lang w:val="es-ES_tradnl"/>
                        </w:rPr>
                        <w:t>Original: español</w:t>
                      </w:r>
                    </w:p>
                  </w:txbxContent>
                </v:textbox>
                <w10:wrap anchory="line"/>
              </v:rect>
            </w:pict>
          </mc:Fallback>
        </mc:AlternateContent>
      </w:r>
    </w:p>
    <w:p w14:paraId="5F4A9716" w14:textId="16AAC2C4" w:rsidR="00EC310A" w:rsidRPr="006E763F" w:rsidRDefault="00EC310A" w:rsidP="00E923BB">
      <w:pPr>
        <w:pStyle w:val="Body"/>
        <w:suppressAutoHyphens/>
        <w:ind w:firstLine="249"/>
        <w:rPr>
          <w:lang w:val="es-ES"/>
        </w:rPr>
      </w:pPr>
    </w:p>
    <w:p w14:paraId="4B93100B" w14:textId="77777777" w:rsidR="00EC310A" w:rsidRPr="006E763F" w:rsidRDefault="00EC310A" w:rsidP="00E923BB">
      <w:pPr>
        <w:pStyle w:val="Body"/>
        <w:suppressAutoHyphens/>
        <w:ind w:firstLine="249"/>
        <w:rPr>
          <w:lang w:val="es-ES"/>
        </w:rPr>
      </w:pPr>
    </w:p>
    <w:p w14:paraId="63DB42CC" w14:textId="77777777" w:rsidR="00EC310A" w:rsidRPr="006E763F" w:rsidRDefault="00EC310A" w:rsidP="00E923BB">
      <w:pPr>
        <w:pStyle w:val="Body"/>
        <w:suppressAutoHyphens/>
        <w:ind w:firstLine="249"/>
        <w:rPr>
          <w:lang w:val="es-ES"/>
        </w:rPr>
      </w:pPr>
    </w:p>
    <w:p w14:paraId="6D9E6CEA" w14:textId="77777777" w:rsidR="00EC310A" w:rsidRPr="006E763F" w:rsidRDefault="00EC310A" w:rsidP="00E923BB">
      <w:pPr>
        <w:pStyle w:val="Body"/>
        <w:suppressAutoHyphens/>
        <w:ind w:firstLine="249"/>
        <w:rPr>
          <w:lang w:val="es-ES"/>
        </w:rPr>
      </w:pPr>
    </w:p>
    <w:p w14:paraId="71C540EB" w14:textId="77777777" w:rsidR="00EC310A" w:rsidRPr="006E763F" w:rsidRDefault="00EC310A" w:rsidP="00E923BB">
      <w:pPr>
        <w:pStyle w:val="Body"/>
        <w:suppressAutoHyphens/>
        <w:ind w:firstLine="249"/>
        <w:rPr>
          <w:lang w:val="es-ES"/>
        </w:rPr>
      </w:pPr>
    </w:p>
    <w:p w14:paraId="37587793" w14:textId="77777777" w:rsidR="00EC310A" w:rsidRPr="006E763F" w:rsidRDefault="00EC310A" w:rsidP="00E923BB">
      <w:pPr>
        <w:pStyle w:val="Body"/>
        <w:suppressAutoHyphens/>
        <w:ind w:firstLine="249"/>
        <w:rPr>
          <w:lang w:val="es-ES"/>
        </w:rPr>
      </w:pPr>
    </w:p>
    <w:p w14:paraId="57F01426" w14:textId="77777777" w:rsidR="00EC310A" w:rsidRPr="006E763F" w:rsidRDefault="00EC310A" w:rsidP="00E923BB">
      <w:pPr>
        <w:pStyle w:val="Body"/>
        <w:suppressAutoHyphens/>
        <w:ind w:firstLine="249"/>
        <w:rPr>
          <w:lang w:val="es-ES"/>
        </w:rPr>
      </w:pPr>
    </w:p>
    <w:p w14:paraId="3041D62A" w14:textId="77777777" w:rsidR="00EC310A" w:rsidRPr="006E763F" w:rsidRDefault="00EC310A" w:rsidP="00E923BB">
      <w:pPr>
        <w:pStyle w:val="Body"/>
        <w:suppressAutoHyphens/>
        <w:ind w:firstLine="249"/>
        <w:rPr>
          <w:lang w:val="es-ES"/>
        </w:rPr>
      </w:pPr>
    </w:p>
    <w:p w14:paraId="68C1D35C" w14:textId="77777777" w:rsidR="00EC310A" w:rsidRPr="006E763F" w:rsidRDefault="00EC310A" w:rsidP="00E923BB">
      <w:pPr>
        <w:pStyle w:val="Body"/>
        <w:suppressAutoHyphens/>
        <w:ind w:firstLine="249"/>
        <w:rPr>
          <w:lang w:val="es-ES"/>
        </w:rPr>
      </w:pPr>
    </w:p>
    <w:p w14:paraId="6ED662E9" w14:textId="77777777" w:rsidR="00EC310A" w:rsidRPr="006E763F" w:rsidRDefault="00EC310A" w:rsidP="00E923BB">
      <w:pPr>
        <w:pStyle w:val="Body"/>
        <w:suppressAutoHyphens/>
        <w:ind w:firstLine="249"/>
        <w:rPr>
          <w:lang w:val="es-ES"/>
        </w:rPr>
      </w:pPr>
    </w:p>
    <w:p w14:paraId="319D7377" w14:textId="77777777" w:rsidR="00EC310A" w:rsidRPr="006E763F" w:rsidRDefault="00EC310A" w:rsidP="00E923BB">
      <w:pPr>
        <w:pStyle w:val="Body"/>
        <w:suppressAutoHyphens/>
        <w:ind w:firstLine="249"/>
        <w:rPr>
          <w:lang w:val="es-ES"/>
        </w:rPr>
      </w:pPr>
    </w:p>
    <w:p w14:paraId="00636896" w14:textId="77777777" w:rsidR="00EC310A" w:rsidRPr="006E763F" w:rsidRDefault="00EC310A" w:rsidP="00E923BB">
      <w:pPr>
        <w:pStyle w:val="Body"/>
        <w:suppressAutoHyphens/>
        <w:ind w:firstLine="249"/>
        <w:rPr>
          <w:lang w:val="es-ES"/>
        </w:rPr>
      </w:pPr>
    </w:p>
    <w:p w14:paraId="00AFF97E" w14:textId="77777777" w:rsidR="00EC310A" w:rsidRPr="006E763F" w:rsidRDefault="00EC310A" w:rsidP="00E923BB">
      <w:pPr>
        <w:pStyle w:val="Body"/>
        <w:suppressAutoHyphens/>
        <w:ind w:firstLine="249"/>
        <w:rPr>
          <w:lang w:val="es-ES"/>
        </w:rPr>
      </w:pPr>
    </w:p>
    <w:p w14:paraId="7A0316AF" w14:textId="77777777" w:rsidR="00EC310A" w:rsidRPr="006E763F" w:rsidRDefault="00EC310A" w:rsidP="00E923BB">
      <w:pPr>
        <w:pStyle w:val="Body"/>
        <w:suppressAutoHyphens/>
        <w:ind w:firstLine="249"/>
        <w:rPr>
          <w:lang w:val="es-ES"/>
        </w:rPr>
      </w:pPr>
    </w:p>
    <w:p w14:paraId="638A43D3" w14:textId="77777777" w:rsidR="00EC310A" w:rsidRPr="006E763F" w:rsidRDefault="00EC310A" w:rsidP="00E923BB">
      <w:pPr>
        <w:pStyle w:val="Body"/>
        <w:suppressAutoHyphens/>
        <w:ind w:firstLine="249"/>
        <w:rPr>
          <w:lang w:val="es-ES"/>
        </w:rPr>
      </w:pPr>
    </w:p>
    <w:p w14:paraId="4A58EBD0" w14:textId="77777777" w:rsidR="00EC310A" w:rsidRPr="006E763F" w:rsidRDefault="00EC310A" w:rsidP="00E923BB">
      <w:pPr>
        <w:pStyle w:val="Body"/>
        <w:suppressAutoHyphens/>
        <w:ind w:firstLine="249"/>
        <w:rPr>
          <w:lang w:val="es-ES"/>
        </w:rPr>
      </w:pPr>
    </w:p>
    <w:p w14:paraId="505B758F" w14:textId="77777777" w:rsidR="00EC310A" w:rsidRPr="006E763F" w:rsidRDefault="00EC310A" w:rsidP="00E923BB">
      <w:pPr>
        <w:pStyle w:val="Body"/>
        <w:suppressAutoHyphens/>
        <w:ind w:firstLine="249"/>
        <w:rPr>
          <w:lang w:val="es-ES"/>
        </w:rPr>
      </w:pPr>
    </w:p>
    <w:p w14:paraId="5FB9D779" w14:textId="77777777" w:rsidR="00EC310A" w:rsidRPr="006E763F" w:rsidRDefault="00EC310A" w:rsidP="00E923BB">
      <w:pPr>
        <w:pStyle w:val="Body"/>
        <w:suppressAutoHyphens/>
        <w:ind w:firstLine="249"/>
        <w:rPr>
          <w:lang w:val="es-ES"/>
        </w:rPr>
      </w:pPr>
    </w:p>
    <w:p w14:paraId="778C25B4" w14:textId="77777777" w:rsidR="00EC310A" w:rsidRPr="006E763F" w:rsidRDefault="00EC310A" w:rsidP="00E923BB">
      <w:pPr>
        <w:pStyle w:val="Body"/>
        <w:suppressAutoHyphens/>
        <w:ind w:firstLine="249"/>
        <w:rPr>
          <w:lang w:val="es-ES"/>
        </w:rPr>
      </w:pPr>
    </w:p>
    <w:p w14:paraId="568F680B" w14:textId="77777777" w:rsidR="00EC310A" w:rsidRPr="006E763F" w:rsidRDefault="00EC310A" w:rsidP="00E923BB">
      <w:pPr>
        <w:pStyle w:val="Body"/>
        <w:suppressAutoHyphens/>
        <w:ind w:firstLine="249"/>
        <w:rPr>
          <w:lang w:val="es-ES"/>
        </w:rPr>
      </w:pPr>
    </w:p>
    <w:p w14:paraId="56975F5D" w14:textId="77777777" w:rsidR="00EC310A" w:rsidRPr="006E763F" w:rsidRDefault="00EC310A" w:rsidP="00E923BB">
      <w:pPr>
        <w:pStyle w:val="Body"/>
        <w:suppressAutoHyphens/>
        <w:ind w:firstLine="249"/>
        <w:rPr>
          <w:lang w:val="es-ES"/>
        </w:rPr>
      </w:pPr>
    </w:p>
    <w:p w14:paraId="083245CF" w14:textId="77777777" w:rsidR="00EC310A" w:rsidRPr="006E763F" w:rsidRDefault="00EC310A" w:rsidP="00E923BB">
      <w:pPr>
        <w:pStyle w:val="Body"/>
        <w:suppressAutoHyphens/>
        <w:ind w:firstLine="249"/>
        <w:rPr>
          <w:lang w:val="es-ES"/>
        </w:rPr>
      </w:pPr>
    </w:p>
    <w:p w14:paraId="0BACD392" w14:textId="77777777" w:rsidR="00EC310A" w:rsidRPr="006E763F" w:rsidRDefault="00EC310A" w:rsidP="00E923BB">
      <w:pPr>
        <w:pStyle w:val="Body"/>
        <w:suppressAutoHyphens/>
        <w:ind w:firstLine="249"/>
        <w:rPr>
          <w:lang w:val="es-ES"/>
        </w:rPr>
      </w:pPr>
    </w:p>
    <w:p w14:paraId="003D3274" w14:textId="77777777" w:rsidR="00EC310A" w:rsidRPr="006E763F" w:rsidRDefault="00EC310A" w:rsidP="00E923BB">
      <w:pPr>
        <w:pStyle w:val="Body"/>
        <w:suppressAutoHyphens/>
        <w:ind w:firstLine="249"/>
        <w:rPr>
          <w:lang w:val="es-ES"/>
        </w:rPr>
      </w:pPr>
    </w:p>
    <w:p w14:paraId="46C53846" w14:textId="77777777" w:rsidR="00EC310A" w:rsidRPr="006E763F" w:rsidRDefault="00EC310A" w:rsidP="00E923BB">
      <w:pPr>
        <w:pStyle w:val="Body"/>
        <w:suppressAutoHyphens/>
        <w:ind w:firstLine="249"/>
        <w:rPr>
          <w:lang w:val="es-ES"/>
        </w:rPr>
      </w:pPr>
    </w:p>
    <w:p w14:paraId="170CAEC0" w14:textId="77777777" w:rsidR="00EC310A" w:rsidRPr="006E763F" w:rsidRDefault="00EC310A" w:rsidP="00E923BB">
      <w:pPr>
        <w:pStyle w:val="Body"/>
        <w:suppressAutoHyphens/>
        <w:ind w:firstLine="249"/>
        <w:rPr>
          <w:lang w:val="es-ES"/>
        </w:rPr>
      </w:pPr>
    </w:p>
    <w:p w14:paraId="5C98AB07" w14:textId="77777777" w:rsidR="00EC310A" w:rsidRPr="006E763F" w:rsidRDefault="00EC310A" w:rsidP="00E923BB">
      <w:pPr>
        <w:pStyle w:val="Body"/>
        <w:suppressAutoHyphens/>
        <w:ind w:firstLine="249"/>
        <w:rPr>
          <w:lang w:val="es-ES"/>
        </w:rPr>
      </w:pPr>
    </w:p>
    <w:p w14:paraId="67E61CFB" w14:textId="77777777" w:rsidR="00EC310A" w:rsidRPr="006E763F" w:rsidRDefault="009E7E98" w:rsidP="00E923BB">
      <w:pPr>
        <w:pStyle w:val="Body"/>
        <w:suppressAutoHyphens/>
        <w:ind w:firstLine="249"/>
        <w:rPr>
          <w:lang w:val="es-ES"/>
        </w:rPr>
      </w:pPr>
      <w:r w:rsidRPr="006E763F">
        <w:rPr>
          <w:noProof/>
          <w:lang w:val="en-US" w:eastAsia="en-US"/>
        </w:rPr>
        <mc:AlternateContent>
          <mc:Choice Requires="wps">
            <w:drawing>
              <wp:anchor distT="0" distB="0" distL="0" distR="0" simplePos="0" relativeHeight="251653120" behindDoc="0" locked="0" layoutInCell="1" allowOverlap="1" wp14:anchorId="09A25E0F" wp14:editId="00976EC6">
                <wp:simplePos x="0" y="0"/>
                <wp:positionH relativeFrom="column">
                  <wp:posOffset>1152630</wp:posOffset>
                </wp:positionH>
                <wp:positionV relativeFrom="line">
                  <wp:posOffset>22225</wp:posOffset>
                </wp:positionV>
                <wp:extent cx="4933950" cy="664846"/>
                <wp:effectExtent l="0" t="0" r="0" b="1905"/>
                <wp:wrapNone/>
                <wp:docPr id="1073741831" name="officeArt object"/>
                <wp:cNvGraphicFramePr/>
                <a:graphic xmlns:a="http://schemas.openxmlformats.org/drawingml/2006/main">
                  <a:graphicData uri="http://schemas.microsoft.com/office/word/2010/wordprocessingShape">
                    <wps:wsp>
                      <wps:cNvSpPr/>
                      <wps:spPr>
                        <a:xfrm>
                          <a:off x="0" y="0"/>
                          <a:ext cx="4933950" cy="664846"/>
                        </a:xfrm>
                        <a:prstGeom prst="rect">
                          <a:avLst/>
                        </a:prstGeom>
                        <a:noFill/>
                        <a:ln w="12700" cap="flat">
                          <a:noFill/>
                          <a:miter lim="400000"/>
                        </a:ln>
                        <a:effectLst/>
                      </wps:spPr>
                      <wps:txbx>
                        <w:txbxContent>
                          <w:p w14:paraId="3E86B7FE" w14:textId="50EDAED1" w:rsidR="00B934ED" w:rsidRPr="00122FA8" w:rsidRDefault="00B934ED" w:rsidP="00593752">
                            <w:pPr>
                              <w:pStyle w:val="Body"/>
                              <w:tabs>
                                <w:tab w:val="center" w:pos="5400"/>
                              </w:tabs>
                              <w:ind w:firstLine="0"/>
                              <w:rPr>
                                <w:color w:val="0D0D0D"/>
                                <w:sz w:val="18"/>
                                <w:szCs w:val="18"/>
                                <w:u w:color="0D0D0D"/>
                                <w:lang w:val="es-ES_tradnl"/>
                              </w:rPr>
                            </w:pPr>
                            <w:r w:rsidRPr="00CE18CC">
                              <w:rPr>
                                <w:color w:val="0D0D0D"/>
                                <w:sz w:val="18"/>
                                <w:szCs w:val="18"/>
                                <w:u w:color="0D0D0D"/>
                                <w:lang w:val="es-ES_tradnl"/>
                              </w:rPr>
                              <w:t>Aprobado por la Comisi</w:t>
                            </w:r>
                            <w:r w:rsidRPr="00CE18CC">
                              <w:rPr>
                                <w:color w:val="0D0D0D"/>
                                <w:sz w:val="18"/>
                                <w:szCs w:val="18"/>
                                <w:u w:color="0D0D0D"/>
                              </w:rPr>
                              <w:t>ó</w:t>
                            </w:r>
                            <w:r>
                              <w:rPr>
                                <w:color w:val="0D0D0D"/>
                                <w:sz w:val="18"/>
                                <w:szCs w:val="18"/>
                                <w:u w:color="0D0D0D"/>
                                <w:lang w:val="es-ES_tradnl"/>
                              </w:rPr>
                              <w:t>n en su S</w:t>
                            </w:r>
                            <w:r w:rsidRPr="00CE18CC">
                              <w:rPr>
                                <w:color w:val="0D0D0D"/>
                                <w:sz w:val="18"/>
                                <w:szCs w:val="18"/>
                                <w:u w:color="0D0D0D"/>
                                <w:lang w:val="es-ES_tradnl"/>
                              </w:rPr>
                              <w:t>esi</w:t>
                            </w:r>
                            <w:r w:rsidRPr="00CE18CC">
                              <w:rPr>
                                <w:color w:val="0D0D0D"/>
                                <w:sz w:val="18"/>
                                <w:szCs w:val="18"/>
                                <w:u w:color="0D0D0D"/>
                              </w:rPr>
                              <w:t>ó</w:t>
                            </w:r>
                            <w:r>
                              <w:rPr>
                                <w:color w:val="0D0D0D"/>
                                <w:sz w:val="18"/>
                                <w:szCs w:val="18"/>
                                <w:u w:color="0D0D0D"/>
                                <w:lang w:val="es-ES_tradnl"/>
                              </w:rPr>
                              <w:t>n No. 2142</w:t>
                            </w:r>
                            <w:r w:rsidRPr="00CE18CC">
                              <w:rPr>
                                <w:color w:val="0D0D0D"/>
                                <w:sz w:val="18"/>
                                <w:szCs w:val="18"/>
                                <w:u w:color="0D0D0D"/>
                                <w:lang w:val="es-ES_tradnl"/>
                              </w:rPr>
                              <w:t xml:space="preserve"> celebrada el </w:t>
                            </w:r>
                            <w:r>
                              <w:rPr>
                                <w:color w:val="0D0D0D"/>
                                <w:sz w:val="18"/>
                                <w:szCs w:val="18"/>
                                <w:u w:color="0D0D0D"/>
                                <w:lang w:val="es-ES_tradnl"/>
                              </w:rPr>
                              <w:t>7</w:t>
                            </w:r>
                            <w:r w:rsidRPr="00CE18CC">
                              <w:rPr>
                                <w:color w:val="0D0D0D"/>
                                <w:sz w:val="18"/>
                                <w:szCs w:val="18"/>
                                <w:u w:color="0D0D0D"/>
                                <w:lang w:val="es-ES_tradnl"/>
                              </w:rPr>
                              <w:t xml:space="preserve"> de </w:t>
                            </w:r>
                            <w:r>
                              <w:rPr>
                                <w:color w:val="0D0D0D"/>
                                <w:sz w:val="18"/>
                                <w:szCs w:val="18"/>
                                <w:u w:color="0D0D0D"/>
                                <w:lang w:val="es-ES_tradnl"/>
                              </w:rPr>
                              <w:t>diciembre</w:t>
                            </w:r>
                            <w:r w:rsidRPr="00CE18CC">
                              <w:rPr>
                                <w:color w:val="0D0D0D"/>
                                <w:sz w:val="18"/>
                                <w:szCs w:val="18"/>
                                <w:u w:color="0D0D0D"/>
                                <w:lang w:val="es-ES_tradnl"/>
                              </w:rPr>
                              <w:t xml:space="preserve"> de 2018</w:t>
                            </w:r>
                            <w:r>
                              <w:rPr>
                                <w:color w:val="0D0D0D"/>
                                <w:sz w:val="18"/>
                                <w:szCs w:val="18"/>
                                <w:u w:color="0D0D0D"/>
                              </w:rPr>
                              <w:br/>
                              <w:t xml:space="preserve">170 </w:t>
                            </w:r>
                            <w:r>
                              <w:rPr>
                                <w:color w:val="0D0D0D"/>
                                <w:sz w:val="18"/>
                                <w:szCs w:val="18"/>
                                <w:u w:color="0D0D0D"/>
                                <w:lang w:val="es-ES_tradnl"/>
                              </w:rPr>
                              <w:t>Período Ordinario de S</w:t>
                            </w:r>
                            <w:r w:rsidRPr="00CE18CC">
                              <w:rPr>
                                <w:color w:val="0D0D0D"/>
                                <w:sz w:val="18"/>
                                <w:szCs w:val="18"/>
                                <w:u w:color="0D0D0D"/>
                                <w:lang w:val="es-ES_tradnl"/>
                              </w:rPr>
                              <w:t>esiones</w:t>
                            </w:r>
                          </w:p>
                        </w:txbxContent>
                      </wps:txbx>
                      <wps:bodyPr wrap="square" lIns="45719" tIns="45719" rIns="45719" bIns="45719" numCol="1" anchor="t">
                        <a:noAutofit/>
                      </wps:bodyPr>
                    </wps:wsp>
                  </a:graphicData>
                </a:graphic>
              </wp:anchor>
            </w:drawing>
          </mc:Choice>
          <mc:Fallback>
            <w:pict>
              <v:rect w14:anchorId="09A25E0F" id="_x0000_s1028" style="position:absolute;left:0;text-align:left;margin-left:90.75pt;margin-top:1.75pt;width:388.5pt;height:52.35pt;z-index:25165312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G/3gEAAKsDAAAOAAAAZHJzL2Uyb0RvYy54bWysU8tu2zAQvBfoPxC8x5JsxQ/BchA0SFGg&#10;aAOk/QCKIi0GfJWkLfnvu6RkR2hvRX2gucvl7M5wtH8YlERn5rwwusbFIseIaWpaoY81/vnj+W6L&#10;kQ9Et0QazWp8YR4/HD5+2Pe2YkvTGdkyhwBE+6q3Ne5CsFWWedoxRfzCWKbhkBunSIDQHbPWkR7Q&#10;lcyWeb7OeuNa6wxl3kP2aTzEh4TPOaPhO+eeBSRrDLOFtLq0NnHNDntSHR2xnaDTGOQfplBEaGh6&#10;g3oigaCTE39BKUGd8YaHBTUqM5wLyhIHYFPkf7B57YhliQuI4+1NJv//YOm384tDooW3yzerTVls&#10;VwVGmih4q3G6RxeQad5AyShWb30Fd17ti5siD9vIfOBOxX+4hYYk8OUmMBsCopAsd6vV7h7egcLZ&#10;el1uy3UEzd5vW+fDZ2YUipsau9g2opLzVx/G0mtJTGvzLKSEPKmkRj2wWG7yiE/AS1yS8fKsSokA&#10;fpNCwTB5/E39pY4YLDlm6hSpjuTiLgzNkHRaXmVoTHsB7XowT439rxNxDCP5RcPrlPebYgdumwdu&#10;HjTzQJ/UJwP+BOGJpp0Be17nfjwFw0UiHocYW4JgMQBHJOkm90bLzeNU9f6NHX4DAAD//wMAUEsD&#10;BBQABgAIAAAAIQBwGU/E2wAAAAkBAAAPAAAAZHJzL2Rvd25yZXYueG1sTI/NTsMwEITvSLyDtUjc&#10;qJ2EoCSNUyFEuXCi8ABuvMQp/olipw1vz3KC0+5oRrPftrvVWXbGOY7BS8g2Ahj6PujRDxI+3vd3&#10;FbCYlNfKBo8SvjHCrru+alWjw8W/4fmQBkYlPjZKgklpajiPvUGn4iZM6Mn7DLNTieQ8cD2rC5U7&#10;y3MhHrhTo6cLRk34ZLD/OixOAs9eC1u7pc5XszwX96I87V8mKW9v1sctsIRr+gvDLz6hQ0dMx7B4&#10;HZklXWUlRSUUNMivy4qWIxmiyoF3Lf//QfcDAAD//wMAUEsBAi0AFAAGAAgAAAAhALaDOJL+AAAA&#10;4QEAABMAAAAAAAAAAAAAAAAAAAAAAFtDb250ZW50X1R5cGVzXS54bWxQSwECLQAUAAYACAAAACEA&#10;OP0h/9YAAACUAQAACwAAAAAAAAAAAAAAAAAvAQAAX3JlbHMvLnJlbHNQSwECLQAUAAYACAAAACEA&#10;//Sxv94BAACrAwAADgAAAAAAAAAAAAAAAAAuAgAAZHJzL2Uyb0RvYy54bWxQSwECLQAUAAYACAAA&#10;ACEAcBlPxNsAAAAJAQAADwAAAAAAAAAAAAAAAAA4BAAAZHJzL2Rvd25yZXYueG1sUEsFBgAAAAAE&#10;AAQA8wAAAEAFAAAAAA==&#10;" filled="f" stroked="f" strokeweight="1pt">
                <v:stroke miterlimit="4"/>
                <v:textbox inset="1.27mm,1.27mm,1.27mm,1.27mm">
                  <w:txbxContent>
                    <w:p w14:paraId="3E86B7FE" w14:textId="50EDAED1" w:rsidR="00B934ED" w:rsidRPr="00122FA8" w:rsidRDefault="00B934ED" w:rsidP="00593752">
                      <w:pPr>
                        <w:pStyle w:val="Body"/>
                        <w:tabs>
                          <w:tab w:val="center" w:pos="5400"/>
                        </w:tabs>
                        <w:ind w:firstLine="0"/>
                        <w:rPr>
                          <w:color w:val="0D0D0D"/>
                          <w:sz w:val="18"/>
                          <w:szCs w:val="18"/>
                          <w:u w:color="0D0D0D"/>
                          <w:lang w:val="es-ES_tradnl"/>
                        </w:rPr>
                      </w:pPr>
                      <w:r w:rsidRPr="00CE18CC">
                        <w:rPr>
                          <w:color w:val="0D0D0D"/>
                          <w:sz w:val="18"/>
                          <w:szCs w:val="18"/>
                          <w:u w:color="0D0D0D"/>
                          <w:lang w:val="es-ES_tradnl"/>
                        </w:rPr>
                        <w:t>Aprobado por la Comisi</w:t>
                      </w:r>
                      <w:r w:rsidRPr="00CE18CC">
                        <w:rPr>
                          <w:color w:val="0D0D0D"/>
                          <w:sz w:val="18"/>
                          <w:szCs w:val="18"/>
                          <w:u w:color="0D0D0D"/>
                        </w:rPr>
                        <w:t>ó</w:t>
                      </w:r>
                      <w:r>
                        <w:rPr>
                          <w:color w:val="0D0D0D"/>
                          <w:sz w:val="18"/>
                          <w:szCs w:val="18"/>
                          <w:u w:color="0D0D0D"/>
                          <w:lang w:val="es-ES_tradnl"/>
                        </w:rPr>
                        <w:t>n en su S</w:t>
                      </w:r>
                      <w:r w:rsidRPr="00CE18CC">
                        <w:rPr>
                          <w:color w:val="0D0D0D"/>
                          <w:sz w:val="18"/>
                          <w:szCs w:val="18"/>
                          <w:u w:color="0D0D0D"/>
                          <w:lang w:val="es-ES_tradnl"/>
                        </w:rPr>
                        <w:t>esi</w:t>
                      </w:r>
                      <w:r w:rsidRPr="00CE18CC">
                        <w:rPr>
                          <w:color w:val="0D0D0D"/>
                          <w:sz w:val="18"/>
                          <w:szCs w:val="18"/>
                          <w:u w:color="0D0D0D"/>
                        </w:rPr>
                        <w:t>ó</w:t>
                      </w:r>
                      <w:r>
                        <w:rPr>
                          <w:color w:val="0D0D0D"/>
                          <w:sz w:val="18"/>
                          <w:szCs w:val="18"/>
                          <w:u w:color="0D0D0D"/>
                          <w:lang w:val="es-ES_tradnl"/>
                        </w:rPr>
                        <w:t>n No. 2142</w:t>
                      </w:r>
                      <w:r w:rsidRPr="00CE18CC">
                        <w:rPr>
                          <w:color w:val="0D0D0D"/>
                          <w:sz w:val="18"/>
                          <w:szCs w:val="18"/>
                          <w:u w:color="0D0D0D"/>
                          <w:lang w:val="es-ES_tradnl"/>
                        </w:rPr>
                        <w:t xml:space="preserve"> celebrada el </w:t>
                      </w:r>
                      <w:r>
                        <w:rPr>
                          <w:color w:val="0D0D0D"/>
                          <w:sz w:val="18"/>
                          <w:szCs w:val="18"/>
                          <w:u w:color="0D0D0D"/>
                          <w:lang w:val="es-ES_tradnl"/>
                        </w:rPr>
                        <w:t>7</w:t>
                      </w:r>
                      <w:r w:rsidRPr="00CE18CC">
                        <w:rPr>
                          <w:color w:val="0D0D0D"/>
                          <w:sz w:val="18"/>
                          <w:szCs w:val="18"/>
                          <w:u w:color="0D0D0D"/>
                          <w:lang w:val="es-ES_tradnl"/>
                        </w:rPr>
                        <w:t xml:space="preserve"> de </w:t>
                      </w:r>
                      <w:r>
                        <w:rPr>
                          <w:color w:val="0D0D0D"/>
                          <w:sz w:val="18"/>
                          <w:szCs w:val="18"/>
                          <w:u w:color="0D0D0D"/>
                          <w:lang w:val="es-ES_tradnl"/>
                        </w:rPr>
                        <w:t>diciembre</w:t>
                      </w:r>
                      <w:r w:rsidRPr="00CE18CC">
                        <w:rPr>
                          <w:color w:val="0D0D0D"/>
                          <w:sz w:val="18"/>
                          <w:szCs w:val="18"/>
                          <w:u w:color="0D0D0D"/>
                          <w:lang w:val="es-ES_tradnl"/>
                        </w:rPr>
                        <w:t xml:space="preserve"> de 2018</w:t>
                      </w:r>
                      <w:r>
                        <w:rPr>
                          <w:color w:val="0D0D0D"/>
                          <w:sz w:val="18"/>
                          <w:szCs w:val="18"/>
                          <w:u w:color="0D0D0D"/>
                        </w:rPr>
                        <w:br/>
                        <w:t xml:space="preserve">170 </w:t>
                      </w:r>
                      <w:r>
                        <w:rPr>
                          <w:color w:val="0D0D0D"/>
                          <w:sz w:val="18"/>
                          <w:szCs w:val="18"/>
                          <w:u w:color="0D0D0D"/>
                          <w:lang w:val="es-ES_tradnl"/>
                        </w:rPr>
                        <w:t>Período Ordinario de S</w:t>
                      </w:r>
                      <w:r w:rsidRPr="00CE18CC">
                        <w:rPr>
                          <w:color w:val="0D0D0D"/>
                          <w:sz w:val="18"/>
                          <w:szCs w:val="18"/>
                          <w:u w:color="0D0D0D"/>
                          <w:lang w:val="es-ES_tradnl"/>
                        </w:rPr>
                        <w:t>esiones</w:t>
                      </w:r>
                    </w:p>
                  </w:txbxContent>
                </v:textbox>
                <w10:wrap anchory="line"/>
              </v:rect>
            </w:pict>
          </mc:Fallback>
        </mc:AlternateContent>
      </w:r>
    </w:p>
    <w:p w14:paraId="01F2C98A" w14:textId="77777777" w:rsidR="00EC310A" w:rsidRPr="006E763F" w:rsidRDefault="00EC310A" w:rsidP="00E923BB">
      <w:pPr>
        <w:pStyle w:val="Body"/>
        <w:suppressAutoHyphens/>
        <w:ind w:firstLine="249"/>
        <w:rPr>
          <w:lang w:val="es-ES"/>
        </w:rPr>
      </w:pPr>
    </w:p>
    <w:p w14:paraId="5A2A6C60" w14:textId="77777777" w:rsidR="00EC310A" w:rsidRPr="006E763F" w:rsidRDefault="00EC310A" w:rsidP="00E923BB">
      <w:pPr>
        <w:pStyle w:val="Body"/>
        <w:suppressAutoHyphens/>
        <w:ind w:firstLine="249"/>
        <w:rPr>
          <w:lang w:val="es-ES"/>
        </w:rPr>
      </w:pPr>
    </w:p>
    <w:p w14:paraId="288C9664" w14:textId="77777777" w:rsidR="00EC310A" w:rsidRPr="006E763F" w:rsidRDefault="00EC310A" w:rsidP="00E923BB">
      <w:pPr>
        <w:pStyle w:val="Body"/>
        <w:suppressAutoHyphens/>
        <w:ind w:firstLine="249"/>
        <w:rPr>
          <w:lang w:val="es-ES"/>
        </w:rPr>
      </w:pPr>
    </w:p>
    <w:p w14:paraId="347239F1" w14:textId="0D3645CB" w:rsidR="00EC310A" w:rsidRPr="006E763F" w:rsidRDefault="00EC310A" w:rsidP="00E923BB">
      <w:pPr>
        <w:pStyle w:val="Body"/>
        <w:suppressAutoHyphens/>
        <w:ind w:firstLine="249"/>
        <w:rPr>
          <w:lang w:val="es-ES"/>
        </w:rPr>
      </w:pPr>
    </w:p>
    <w:p w14:paraId="1D25B48F" w14:textId="762043C7" w:rsidR="00EC310A" w:rsidRPr="006E763F" w:rsidRDefault="00E923BB" w:rsidP="00E923BB">
      <w:pPr>
        <w:pStyle w:val="Body"/>
        <w:suppressAutoHyphens/>
        <w:ind w:firstLine="249"/>
        <w:rPr>
          <w:lang w:val="es-ES"/>
        </w:rPr>
      </w:pPr>
      <w:r w:rsidRPr="006E763F">
        <w:rPr>
          <w:noProof/>
          <w:lang w:val="en-US" w:eastAsia="en-US"/>
        </w:rPr>
        <mc:AlternateContent>
          <mc:Choice Requires="wps">
            <w:drawing>
              <wp:anchor distT="0" distB="0" distL="0" distR="0" simplePos="0" relativeHeight="251662336" behindDoc="0" locked="0" layoutInCell="1" allowOverlap="1" wp14:anchorId="39B10AAB" wp14:editId="665A78CA">
                <wp:simplePos x="0" y="0"/>
                <wp:positionH relativeFrom="column">
                  <wp:posOffset>1182426</wp:posOffset>
                </wp:positionH>
                <wp:positionV relativeFrom="line">
                  <wp:posOffset>5080</wp:posOffset>
                </wp:positionV>
                <wp:extent cx="4943475" cy="657225"/>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4943475" cy="657225"/>
                        </a:xfrm>
                        <a:prstGeom prst="rect">
                          <a:avLst/>
                        </a:prstGeom>
                        <a:noFill/>
                        <a:ln w="12700" cap="flat">
                          <a:noFill/>
                          <a:miter lim="400000"/>
                        </a:ln>
                        <a:effectLst/>
                      </wps:spPr>
                      <wps:txbx>
                        <w:txbxContent>
                          <w:p w14:paraId="2240CECB" w14:textId="5F28828F" w:rsidR="00B934ED" w:rsidRDefault="00B934ED" w:rsidP="00593752">
                            <w:pPr>
                              <w:pStyle w:val="Body"/>
                              <w:ind w:firstLine="0"/>
                            </w:pPr>
                            <w:r w:rsidRPr="001B27ED">
                              <w:rPr>
                                <w:b/>
                                <w:bCs/>
                                <w:color w:val="595959"/>
                                <w:sz w:val="18"/>
                                <w:szCs w:val="18"/>
                                <w:u w:color="595959"/>
                                <w:lang w:val="pt-BR"/>
                              </w:rPr>
                              <w:t>Citar como:</w:t>
                            </w:r>
                            <w:r w:rsidRPr="001B27ED">
                              <w:rPr>
                                <w:color w:val="595959"/>
                                <w:sz w:val="18"/>
                                <w:szCs w:val="18"/>
                                <w:u w:color="595959"/>
                                <w:lang w:val="pt-BR"/>
                              </w:rPr>
                              <w:t xml:space="preserve"> CIDH, Informe No. 149/18. </w:t>
                            </w:r>
                            <w:r>
                              <w:rPr>
                                <w:color w:val="595959"/>
                                <w:sz w:val="18"/>
                                <w:szCs w:val="18"/>
                                <w:u w:color="595959"/>
                                <w:lang w:val="es-ES_tradnl"/>
                              </w:rPr>
                              <w:t xml:space="preserve">Caso 11.641. Fondo. Pedro Julio </w:t>
                            </w:r>
                            <w:r w:rsidR="00A56231">
                              <w:rPr>
                                <w:color w:val="595959"/>
                                <w:sz w:val="18"/>
                                <w:szCs w:val="18"/>
                                <w:u w:color="595959"/>
                                <w:lang w:val="es-ES_tradnl"/>
                              </w:rPr>
                              <w:t>Movilla Galarcio y Familiares. Colombia. 7 de diciembre de 2018</w:t>
                            </w:r>
                            <w:r>
                              <w:rPr>
                                <w:color w:val="595959"/>
                                <w:sz w:val="18"/>
                                <w:szCs w:val="18"/>
                                <w:u w:color="595959"/>
                                <w:lang w:val="es-ES_tradnl"/>
                              </w:rPr>
                              <w:t>.</w:t>
                            </w:r>
                          </w:p>
                        </w:txbxContent>
                      </wps:txbx>
                      <wps:bodyPr wrap="square" lIns="45719" tIns="45719" rIns="45719" bIns="45719" numCol="1" anchor="t">
                        <a:noAutofit/>
                      </wps:bodyPr>
                    </wps:wsp>
                  </a:graphicData>
                </a:graphic>
              </wp:anchor>
            </w:drawing>
          </mc:Choice>
          <mc:Fallback>
            <w:pict>
              <v:rect w14:anchorId="39B10AAB" id="_x0000_s1029" style="position:absolute;left:0;text-align:left;margin-left:93.1pt;margin-top:.4pt;width:389.25pt;height:51.7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tW3wEAAKsDAAAOAAAAZHJzL2Uyb0RvYy54bWysU8tu2zAQvBfoPxC8x3rYjhLBchA0SFGg&#10;aAOk/QCKIi0GfJWkLfnvu6RkR2hvRX2gucvl7M5wtHsYlUQn5rwwusHFKseIaWo6oQ8N/vnj+eYO&#10;Ix+I7og0mjX4zDx+2H/8sBtszUrTG9kxhwBE+3qwDe5DsHWWedozRfzKWKbhkBunSIDQHbLOkQHQ&#10;lczKPL/NBuM66wxl3kP2aTrE+4TPOaPhO+eeBSQbDLOFtLq0tnHN9jtSHxyxvaDzGOQfplBEaGh6&#10;hXoigaCjE39BKUGd8YaHFTUqM5wLyhIHYFPkf7B57YlliQuI4+1VJv//YOm304tDooO3y6t1tSnu&#10;1iVGmih4q2m6RxeQad9AySjWYH0Nd17ti5sjD9vIfOROxX+4hcYk8PkqMBsDopDc3G/Wm2qLEYWz&#10;221VltsImr3fts6Hz8woFDcNdrFtRCWnrz5MpZeSmNbmWUgJeVJLjQZgUVY5vDMl4CUuyXR5UaVE&#10;AL9JoWCYPP7m/lJHDJYcM3eKVCdycRfGdkw6rS8ytKY7g3YDmKfB/teROIaR/KLhdTbbqrgHty0D&#10;twzaZaCP6pMBfxYYEU17A/a8zP14DIaLRDwOMbUEwWIAjkjSze6NllvGqer9G9v/BgAA//8DAFBL&#10;AwQUAAYACAAAACEAwnx8HNsAAAAIAQAADwAAAGRycy9kb3ducmV2LnhtbEyPwU7DMBBE70j8g7VI&#10;3KjdJKRNiFMhRLlwovABbuzGAXsdxU4b/p7lBMfZGc2+aXaLd+xspjgElLBeCWAGu6AH7CV8vO/v&#10;tsBiUqiVC2gkfJsIu/b6qlG1Dhd8M+dD6hmVYKyVBJvSWHMeO2u8iqswGiTvFCavEsmp53pSFyr3&#10;jmdClNyrAemDVaN5sqb7OsxeAl+/5q7yc5Utdn7OC3H/uX8Zpby9WR4fgCWzpL8w/OITOrTEdAwz&#10;6sgc6W2ZUVQCDSC7KosNsCPdRZEDbxv+f0D7AwAA//8DAFBLAQItABQABgAIAAAAIQC2gziS/gAA&#10;AOEBAAATAAAAAAAAAAAAAAAAAAAAAABbQ29udGVudF9UeXBlc10ueG1sUEsBAi0AFAAGAAgAAAAh&#10;ADj9If/WAAAAlAEAAAsAAAAAAAAAAAAAAAAALwEAAF9yZWxzLy5yZWxzUEsBAi0AFAAGAAgAAAAh&#10;AFpuS1bfAQAAqwMAAA4AAAAAAAAAAAAAAAAALgIAAGRycy9lMm9Eb2MueG1sUEsBAi0AFAAGAAgA&#10;AAAhAMJ8fBzbAAAACAEAAA8AAAAAAAAAAAAAAAAAOQQAAGRycy9kb3ducmV2LnhtbFBLBQYAAAAA&#10;BAAEAPMAAABBBQAAAAA=&#10;" filled="f" stroked="f" strokeweight="1pt">
                <v:stroke miterlimit="4"/>
                <v:textbox inset="1.27mm,1.27mm,1.27mm,1.27mm">
                  <w:txbxContent>
                    <w:p w14:paraId="2240CECB" w14:textId="5F28828F" w:rsidR="00B934ED" w:rsidRDefault="00B934ED" w:rsidP="00593752">
                      <w:pPr>
                        <w:pStyle w:val="Body"/>
                        <w:ind w:firstLine="0"/>
                      </w:pPr>
                      <w:r w:rsidRPr="001B27ED">
                        <w:rPr>
                          <w:b/>
                          <w:bCs/>
                          <w:color w:val="595959"/>
                          <w:sz w:val="18"/>
                          <w:szCs w:val="18"/>
                          <w:u w:color="595959"/>
                          <w:lang w:val="pt-BR"/>
                        </w:rPr>
                        <w:t>Citar como:</w:t>
                      </w:r>
                      <w:r w:rsidRPr="001B27ED">
                        <w:rPr>
                          <w:color w:val="595959"/>
                          <w:sz w:val="18"/>
                          <w:szCs w:val="18"/>
                          <w:u w:color="595959"/>
                          <w:lang w:val="pt-BR"/>
                        </w:rPr>
                        <w:t xml:space="preserve"> CIDH, Informe No. 149/18. </w:t>
                      </w:r>
                      <w:r>
                        <w:rPr>
                          <w:color w:val="595959"/>
                          <w:sz w:val="18"/>
                          <w:szCs w:val="18"/>
                          <w:u w:color="595959"/>
                          <w:lang w:val="es-ES_tradnl"/>
                        </w:rPr>
                        <w:t xml:space="preserve">Caso 11.641. Fondo. Pedro Julio </w:t>
                      </w:r>
                      <w:r w:rsidR="00A56231">
                        <w:rPr>
                          <w:color w:val="595959"/>
                          <w:sz w:val="18"/>
                          <w:szCs w:val="18"/>
                          <w:u w:color="595959"/>
                          <w:lang w:val="es-ES_tradnl"/>
                        </w:rPr>
                        <w:t>Movilla Galarcio y Familiares. Colombia. 7 de diciembre de 2018</w:t>
                      </w:r>
                      <w:r>
                        <w:rPr>
                          <w:color w:val="595959"/>
                          <w:sz w:val="18"/>
                          <w:szCs w:val="18"/>
                          <w:u w:color="595959"/>
                          <w:lang w:val="es-ES_tradnl"/>
                        </w:rPr>
                        <w:t>.</w:t>
                      </w:r>
                    </w:p>
                  </w:txbxContent>
                </v:textbox>
                <w10:wrap anchory="line"/>
              </v:rect>
            </w:pict>
          </mc:Fallback>
        </mc:AlternateContent>
      </w:r>
    </w:p>
    <w:p w14:paraId="4A8C9BE7" w14:textId="77777777" w:rsidR="00EC310A" w:rsidRPr="006E763F" w:rsidRDefault="00EC310A" w:rsidP="00E923BB">
      <w:pPr>
        <w:pStyle w:val="Body"/>
        <w:suppressAutoHyphens/>
        <w:ind w:firstLine="249"/>
        <w:rPr>
          <w:lang w:val="es-ES"/>
        </w:rPr>
      </w:pPr>
    </w:p>
    <w:p w14:paraId="0F45D17A" w14:textId="7B31A0B4" w:rsidR="00EC310A" w:rsidRPr="006E763F" w:rsidRDefault="005849C0" w:rsidP="00E923BB">
      <w:pPr>
        <w:pStyle w:val="Body"/>
        <w:suppressAutoHyphens/>
        <w:ind w:firstLine="249"/>
        <w:rPr>
          <w:b/>
          <w:bCs/>
          <w:lang w:val="es-ES"/>
        </w:rPr>
      </w:pPr>
      <w:r w:rsidRPr="00D72DC6">
        <w:rPr>
          <w:noProof/>
          <w:color w:val="FFFFFF" w:themeColor="background1"/>
          <w:lang w:val="en-US" w:eastAsia="en-US"/>
          <w14:textFill>
            <w14:noFill/>
          </w14:textFill>
        </w:rPr>
        <w:drawing>
          <wp:anchor distT="0" distB="0" distL="114300" distR="114300" simplePos="0" relativeHeight="251670528" behindDoc="0" locked="0" layoutInCell="1" allowOverlap="1" wp14:anchorId="6FFF51B6" wp14:editId="7984EAD3">
            <wp:simplePos x="0" y="0"/>
            <wp:positionH relativeFrom="margin">
              <wp:posOffset>1223957</wp:posOffset>
            </wp:positionH>
            <wp:positionV relativeFrom="margin">
              <wp:posOffset>8224749</wp:posOffset>
            </wp:positionV>
            <wp:extent cx="1338942" cy="390525"/>
            <wp:effectExtent l="0" t="0" r="0" b="0"/>
            <wp:wrapSquare wrapText="bothSides"/>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8942" cy="390525"/>
                    </a:xfrm>
                    <a:prstGeom prst="rect">
                      <a:avLst/>
                    </a:prstGeom>
                    <a:noFill/>
                    <a:ln>
                      <a:noFill/>
                    </a:ln>
                  </pic:spPr>
                </pic:pic>
              </a:graphicData>
            </a:graphic>
          </wp:anchor>
        </w:drawing>
      </w:r>
      <w:r w:rsidRPr="006E763F">
        <w:rPr>
          <w:noProof/>
          <w:lang w:val="en-US" w:eastAsia="en-US"/>
        </w:rPr>
        <mc:AlternateContent>
          <mc:Choice Requires="wps">
            <w:drawing>
              <wp:anchor distT="0" distB="0" distL="0" distR="0" simplePos="0" relativeHeight="251668480" behindDoc="0" locked="0" layoutInCell="1" allowOverlap="1" wp14:anchorId="2B805A2C" wp14:editId="2C27528C">
                <wp:simplePos x="0" y="0"/>
                <wp:positionH relativeFrom="column">
                  <wp:posOffset>-419100</wp:posOffset>
                </wp:positionH>
                <wp:positionV relativeFrom="line">
                  <wp:posOffset>686435</wp:posOffset>
                </wp:positionV>
                <wp:extent cx="1543050" cy="332741"/>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1543050" cy="332741"/>
                        </a:xfrm>
                        <a:prstGeom prst="rect">
                          <a:avLst/>
                        </a:prstGeom>
                        <a:noFill/>
                        <a:ln w="12700" cap="flat">
                          <a:noFill/>
                          <a:miter lim="400000"/>
                        </a:ln>
                        <a:effectLst/>
                      </wps:spPr>
                      <wps:txbx>
                        <w:txbxContent>
                          <w:p w14:paraId="5333F0A2" w14:textId="77777777" w:rsidR="00B934ED" w:rsidRPr="005849C0" w:rsidRDefault="00B934ED" w:rsidP="005849C0">
                            <w:pPr>
                              <w:pStyle w:val="Body"/>
                              <w:ind w:firstLine="0"/>
                              <w:jc w:val="center"/>
                            </w:pPr>
                            <w:r w:rsidRPr="005849C0">
                              <w:rPr>
                                <w:rFonts w:ascii="Calibri" w:eastAsia="Calibri" w:hAnsi="Calibri" w:cs="Calibri"/>
                                <w:b/>
                                <w:bCs/>
                                <w:color w:val="FFFFFF"/>
                                <w:u w:color="FFFFFF"/>
                                <w:lang w:val="pt-PT"/>
                              </w:rPr>
                              <w:t>www.cidh.org</w:t>
                            </w:r>
                          </w:p>
                        </w:txbxContent>
                      </wps:txbx>
                      <wps:bodyPr wrap="square" lIns="45719" tIns="45719" rIns="45719" bIns="45719" numCol="1" anchor="t">
                        <a:noAutofit/>
                      </wps:bodyPr>
                    </wps:wsp>
                  </a:graphicData>
                </a:graphic>
                <wp14:sizeRelH relativeFrom="margin">
                  <wp14:pctWidth>0</wp14:pctWidth>
                </wp14:sizeRelH>
              </wp:anchor>
            </w:drawing>
          </mc:Choice>
          <mc:Fallback>
            <w:pict>
              <v:rect w14:anchorId="2B805A2C" id="_x0000_s1030" style="position:absolute;left:0;text-align:left;margin-left:-33pt;margin-top:54.05pt;width:121.5pt;height:26.2pt;z-index:251668480;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Gl33gEAAKsDAAAOAAAAZHJzL2Uyb0RvYy54bWysU9tu2zAMfR+wfxD0vtiOnaY14hTFig4D&#10;hq1Auw+QZSnWoNskJXb+fpTspMb2ViwPikiRh+Th8e5+VBKdmPPC6AYXqxwjpqnphD40+Ofr06db&#10;jHwguiPSaNbgM/P4fv/xw26wNVub3siOOQQg2teDbXAfgq2zzNOeKeJXxjINj9w4RQKY7pB1jgyA&#10;rmS2zvObbDCus85Q5j14H6dHvE/4nDMafnDuWUCywdBbSKdLZxvPbL8j9cER2ws6t0He0YUiQkPR&#10;K9QjCQQdnfgHSgnqjDc8rKhRmeFcUJZmgGmK/K9pXnpiWZoFyPH2SpP/f7D0++nZIdHB7vJtua2K&#10;2/IGI00U7Grq7sEFZNpfwGQka7C+hpwX++xmy8M1Tj5yp+I/ZKExEXy+EszGgCg4i01V5hvYA4W3&#10;slxDvQiavWVb58MXZhSKlwa7WDaiktM3H6bQS0h0a/MkpAQ/qaVGA1RYb/OIT0BLXJIpeRGlRAC9&#10;SaEaXOXxN9eXOmKwpJi5Uhx1Gi7ewtiOiafqQkNrujNwN4B4Gux/H4ljGMmvGrZTbbbFHahtabil&#10;0S4NfVSfDeizwIho2huQ56Xvh2MwXKTBYxNTSSAsGqCIRN2s3ii5pZ2i3r6x/R8AAAD//wMAUEsD&#10;BBQABgAIAAAAIQCj75ad3gAAAAsBAAAPAAAAZHJzL2Rvd25yZXYueG1sTI/BTsMwEETvSPyDtUjc&#10;WjstTdsQp0KIcuFE4QPceIkD8TqKnTb8PdsTve3ujGbflLvJd+KEQ2wDacjmCgRSHWxLjYbPj/1s&#10;AyImQ9Z0gVDDL0bYVbc3pSlsONM7ng6pERxCsTAaXEp9IWWsHXoT56FHYu0rDN4kXodG2sGcOdx3&#10;cqFULr1piT840+Ozw/rnMHoNMntbdls/bheTG1+WD2r1vX/ttb6/m54eQSSc0r8ZLviMDhUzHcNI&#10;NopOwyzPuUtiQW0yEBfHes2XIw+5WoGsSnndofoDAAD//wMAUEsBAi0AFAAGAAgAAAAhALaDOJL+&#10;AAAA4QEAABMAAAAAAAAAAAAAAAAAAAAAAFtDb250ZW50X1R5cGVzXS54bWxQSwECLQAUAAYACAAA&#10;ACEAOP0h/9YAAACUAQAACwAAAAAAAAAAAAAAAAAvAQAAX3JlbHMvLnJlbHNQSwECLQAUAAYACAAA&#10;ACEA+OBpd94BAACrAwAADgAAAAAAAAAAAAAAAAAuAgAAZHJzL2Uyb0RvYy54bWxQSwECLQAUAAYA&#10;CAAAACEAo++Wnd4AAAALAQAADwAAAAAAAAAAAAAAAAA4BAAAZHJzL2Rvd25yZXYueG1sUEsFBgAA&#10;AAAEAAQA8wAAAEMFAAAAAA==&#10;" filled="f" stroked="f" strokeweight="1pt">
                <v:stroke miterlimit="4"/>
                <v:textbox inset="1.27mm,1.27mm,1.27mm,1.27mm">
                  <w:txbxContent>
                    <w:p w14:paraId="5333F0A2" w14:textId="77777777" w:rsidR="00B934ED" w:rsidRPr="005849C0" w:rsidRDefault="00B934ED" w:rsidP="005849C0">
                      <w:pPr>
                        <w:pStyle w:val="Body"/>
                        <w:ind w:firstLine="0"/>
                        <w:jc w:val="center"/>
                      </w:pPr>
                      <w:r w:rsidRPr="005849C0">
                        <w:rPr>
                          <w:rFonts w:ascii="Calibri" w:eastAsia="Calibri" w:hAnsi="Calibri" w:cs="Calibri"/>
                          <w:b/>
                          <w:bCs/>
                          <w:color w:val="FFFFFF"/>
                          <w:u w:color="FFFFFF"/>
                          <w:lang w:val="pt-PT"/>
                        </w:rPr>
                        <w:t>www.cidh.org</w:t>
                      </w:r>
                    </w:p>
                  </w:txbxContent>
                </v:textbox>
                <w10:wrap anchory="line"/>
              </v:rect>
            </w:pict>
          </mc:Fallback>
        </mc:AlternateContent>
      </w:r>
    </w:p>
    <w:p w14:paraId="0481DFA9" w14:textId="5CBE05D8" w:rsidR="00EC310A" w:rsidRPr="006E763F" w:rsidRDefault="00EC310A" w:rsidP="00E923BB">
      <w:pPr>
        <w:pStyle w:val="Body"/>
        <w:suppressAutoHyphens/>
        <w:ind w:firstLine="249"/>
        <w:rPr>
          <w:lang w:val="es-ES"/>
        </w:rPr>
        <w:sectPr w:rsidR="00EC310A" w:rsidRPr="006E763F">
          <w:headerReference w:type="default" r:id="rId10"/>
          <w:footerReference w:type="default" r:id="rId11"/>
          <w:type w:val="oddPage"/>
          <w:pgSz w:w="12240" w:h="15840"/>
          <w:pgMar w:top="1440" w:right="1440" w:bottom="1440" w:left="1440" w:header="720" w:footer="720" w:gutter="0"/>
          <w:pgNumType w:start="0"/>
          <w:cols w:space="720"/>
          <w:titlePg/>
        </w:sectPr>
      </w:pPr>
    </w:p>
    <w:p w14:paraId="056DFB90" w14:textId="0939DFDE" w:rsidR="00EC310A" w:rsidRPr="00240DE0" w:rsidRDefault="00A56231" w:rsidP="00E923BB">
      <w:pPr>
        <w:pStyle w:val="Body"/>
        <w:suppressAutoHyphens/>
        <w:spacing w:line="276" w:lineRule="auto"/>
        <w:ind w:firstLine="249"/>
        <w:jc w:val="center"/>
        <w:rPr>
          <w:b/>
          <w:bCs/>
          <w:sz w:val="18"/>
          <w:lang w:val="es-ES"/>
        </w:rPr>
      </w:pPr>
      <w:r>
        <w:rPr>
          <w:b/>
          <w:bCs/>
          <w:sz w:val="18"/>
          <w:lang w:val="es-ES"/>
        </w:rPr>
        <w:lastRenderedPageBreak/>
        <w:t>INFORME No. 149</w:t>
      </w:r>
      <w:r w:rsidR="009E7E98" w:rsidRPr="00240DE0">
        <w:rPr>
          <w:b/>
          <w:bCs/>
          <w:sz w:val="18"/>
          <w:lang w:val="es-ES"/>
        </w:rPr>
        <w:t>/</w:t>
      </w:r>
      <w:r w:rsidR="008C6073" w:rsidRPr="00240DE0">
        <w:rPr>
          <w:b/>
          <w:bCs/>
          <w:sz w:val="18"/>
          <w:lang w:val="es-ES"/>
        </w:rPr>
        <w:t>18</w:t>
      </w:r>
    </w:p>
    <w:p w14:paraId="67587A62" w14:textId="77777777" w:rsidR="00EC310A" w:rsidRPr="00240DE0" w:rsidRDefault="009E7E98" w:rsidP="00E923BB">
      <w:pPr>
        <w:pStyle w:val="Body"/>
        <w:suppressAutoHyphens/>
        <w:spacing w:line="276" w:lineRule="auto"/>
        <w:ind w:firstLine="249"/>
        <w:jc w:val="center"/>
        <w:rPr>
          <w:b/>
          <w:bCs/>
          <w:sz w:val="18"/>
          <w:lang w:val="es-ES"/>
        </w:rPr>
      </w:pPr>
      <w:r w:rsidRPr="00240DE0">
        <w:rPr>
          <w:b/>
          <w:bCs/>
          <w:sz w:val="18"/>
          <w:lang w:val="es-ES"/>
        </w:rPr>
        <w:t>CASO 11.641</w:t>
      </w:r>
    </w:p>
    <w:p w14:paraId="485BEED9" w14:textId="77777777" w:rsidR="00EC310A" w:rsidRPr="00240DE0" w:rsidRDefault="009E7E98" w:rsidP="00E923BB">
      <w:pPr>
        <w:pStyle w:val="Body"/>
        <w:suppressAutoHyphens/>
        <w:spacing w:line="276" w:lineRule="auto"/>
        <w:ind w:firstLine="249"/>
        <w:jc w:val="center"/>
        <w:rPr>
          <w:sz w:val="18"/>
          <w:lang w:val="es-ES"/>
        </w:rPr>
      </w:pPr>
      <w:r w:rsidRPr="00240DE0">
        <w:rPr>
          <w:sz w:val="18"/>
          <w:lang w:val="es-ES"/>
        </w:rPr>
        <w:t>FONDO</w:t>
      </w:r>
    </w:p>
    <w:p w14:paraId="09E6CE3B" w14:textId="74F1F7A2" w:rsidR="00EC310A" w:rsidRPr="00240DE0" w:rsidRDefault="009E7E98" w:rsidP="00E923BB">
      <w:pPr>
        <w:pStyle w:val="Body"/>
        <w:suppressAutoHyphens/>
        <w:spacing w:line="276" w:lineRule="auto"/>
        <w:ind w:firstLine="249"/>
        <w:jc w:val="center"/>
        <w:rPr>
          <w:sz w:val="18"/>
          <w:lang w:val="es-ES"/>
        </w:rPr>
      </w:pPr>
      <w:r w:rsidRPr="00240DE0">
        <w:rPr>
          <w:sz w:val="18"/>
          <w:lang w:val="es-ES"/>
        </w:rPr>
        <w:t>PEDRO JULIO MOVILLA GALARCIO</w:t>
      </w:r>
      <w:r w:rsidR="00A56231">
        <w:rPr>
          <w:sz w:val="18"/>
          <w:lang w:val="es-ES"/>
        </w:rPr>
        <w:t xml:space="preserve"> Y FAMILIARES</w:t>
      </w:r>
    </w:p>
    <w:p w14:paraId="76826746" w14:textId="77777777" w:rsidR="00EC310A" w:rsidRPr="00240DE0" w:rsidRDefault="009E7E98" w:rsidP="00E923BB">
      <w:pPr>
        <w:pStyle w:val="Body"/>
        <w:suppressAutoHyphens/>
        <w:spacing w:line="276" w:lineRule="auto"/>
        <w:ind w:firstLine="249"/>
        <w:jc w:val="center"/>
        <w:rPr>
          <w:sz w:val="18"/>
          <w:lang w:val="es-ES"/>
        </w:rPr>
      </w:pPr>
      <w:r w:rsidRPr="00240DE0">
        <w:rPr>
          <w:sz w:val="18"/>
          <w:lang w:val="es-ES"/>
        </w:rPr>
        <w:t>COLOMBIA</w:t>
      </w:r>
    </w:p>
    <w:p w14:paraId="03C0F154" w14:textId="76C7F997" w:rsidR="00EC310A" w:rsidRPr="00240DE0" w:rsidRDefault="00A56231" w:rsidP="00E923BB">
      <w:pPr>
        <w:pStyle w:val="Body"/>
        <w:suppressAutoHyphens/>
        <w:spacing w:line="276" w:lineRule="auto"/>
        <w:ind w:firstLine="249"/>
        <w:jc w:val="center"/>
        <w:rPr>
          <w:sz w:val="18"/>
          <w:lang w:val="es-ES"/>
        </w:rPr>
      </w:pPr>
      <w:r>
        <w:rPr>
          <w:sz w:val="18"/>
          <w:lang w:val="es-ES"/>
        </w:rPr>
        <w:t>7 DE DICIEMBRE DE 2018</w:t>
      </w:r>
    </w:p>
    <w:p w14:paraId="1BF6D199" w14:textId="77777777" w:rsidR="00EC310A" w:rsidRPr="006E763F" w:rsidRDefault="00EC310A" w:rsidP="00E923BB">
      <w:pPr>
        <w:pStyle w:val="Body"/>
        <w:suppressAutoHyphens/>
        <w:spacing w:line="276" w:lineRule="auto"/>
        <w:ind w:firstLine="249"/>
        <w:jc w:val="center"/>
        <w:rPr>
          <w:lang w:val="es-ES"/>
        </w:rPr>
      </w:pPr>
    </w:p>
    <w:p w14:paraId="66D3A941" w14:textId="77777777" w:rsidR="00EC310A" w:rsidRPr="006E763F" w:rsidRDefault="009E7E98" w:rsidP="00E923BB">
      <w:pPr>
        <w:pStyle w:val="Body"/>
        <w:suppressAutoHyphens/>
        <w:spacing w:line="276" w:lineRule="auto"/>
        <w:ind w:firstLine="249"/>
        <w:jc w:val="center"/>
        <w:rPr>
          <w:b/>
          <w:bCs/>
          <w:lang w:val="es-ES"/>
        </w:rPr>
      </w:pPr>
      <w:r w:rsidRPr="006E763F">
        <w:rPr>
          <w:b/>
          <w:bCs/>
          <w:lang w:val="es-ES"/>
        </w:rPr>
        <w:t>ÍNDICE</w:t>
      </w:r>
    </w:p>
    <w:sdt>
      <w:sdtPr>
        <w:rPr>
          <w:rFonts w:ascii="Cambria" w:eastAsia="Arial Unicode MS" w:hAnsi="Cambria" w:cs="Times New Roman"/>
          <w:b w:val="0"/>
          <w:bCs w:val="0"/>
          <w:color w:val="auto"/>
          <w:sz w:val="20"/>
          <w:szCs w:val="20"/>
          <w:bdr w:val="nil"/>
          <w:lang w:eastAsia="en-US"/>
        </w:rPr>
        <w:id w:val="1843889828"/>
        <w:docPartObj>
          <w:docPartGallery w:val="Table of Contents"/>
          <w:docPartUnique/>
        </w:docPartObj>
      </w:sdtPr>
      <w:sdtEndPr>
        <w:rPr>
          <w:noProof/>
        </w:rPr>
      </w:sdtEndPr>
      <w:sdtContent>
        <w:p w14:paraId="147416FB" w14:textId="0289B7CA" w:rsidR="00A44513" w:rsidRPr="002B4A95" w:rsidRDefault="00A44513">
          <w:pPr>
            <w:pStyle w:val="TOCHeading"/>
            <w:rPr>
              <w:rFonts w:ascii="Cambria" w:hAnsi="Cambria"/>
              <w:sz w:val="20"/>
              <w:szCs w:val="20"/>
            </w:rPr>
          </w:pPr>
        </w:p>
        <w:p w14:paraId="30BC584A" w14:textId="56EFDD0D" w:rsidR="007F1DDE" w:rsidRPr="002B4A95" w:rsidRDefault="00A44513">
          <w:pPr>
            <w:pStyle w:val="TOC1"/>
            <w:rPr>
              <w:rFonts w:eastAsiaTheme="minorEastAsia" w:cstheme="minorBidi"/>
              <w:b w:val="0"/>
              <w:bdr w:val="none" w:sz="0" w:space="0" w:color="auto"/>
              <w:lang w:val="en-US"/>
            </w:rPr>
          </w:pPr>
          <w:r w:rsidRPr="002B4A95">
            <w:fldChar w:fldCharType="begin"/>
          </w:r>
          <w:r w:rsidRPr="002B4A95">
            <w:instrText xml:space="preserve"> TOC \o "1-3" \h \z \u </w:instrText>
          </w:r>
          <w:r w:rsidRPr="002B4A95">
            <w:fldChar w:fldCharType="separate"/>
          </w:r>
          <w:hyperlink w:anchor="_Toc446142" w:history="1">
            <w:r w:rsidR="007F1DDE" w:rsidRPr="002B4A95">
              <w:rPr>
                <w:rStyle w:val="Hyperlink"/>
              </w:rPr>
              <w:t>I.</w:t>
            </w:r>
            <w:r w:rsidR="007F1DDE" w:rsidRPr="002B4A95">
              <w:rPr>
                <w:rFonts w:eastAsiaTheme="minorEastAsia" w:cstheme="minorBidi"/>
                <w:b w:val="0"/>
                <w:bdr w:val="none" w:sz="0" w:space="0" w:color="auto"/>
                <w:lang w:val="en-US"/>
              </w:rPr>
              <w:tab/>
            </w:r>
            <w:r w:rsidR="007F1DDE" w:rsidRPr="002B4A95">
              <w:rPr>
                <w:rStyle w:val="Hyperlink"/>
                <w:rFonts w:eastAsia="Cambria"/>
              </w:rPr>
              <w:t>RESUMEN</w:t>
            </w:r>
            <w:r w:rsidR="007F1DDE" w:rsidRPr="002B4A95">
              <w:rPr>
                <w:webHidden/>
              </w:rPr>
              <w:tab/>
            </w:r>
            <w:r w:rsidR="007F1DDE" w:rsidRPr="002B4A95">
              <w:rPr>
                <w:webHidden/>
              </w:rPr>
              <w:fldChar w:fldCharType="begin"/>
            </w:r>
            <w:r w:rsidR="007F1DDE" w:rsidRPr="002B4A95">
              <w:rPr>
                <w:webHidden/>
              </w:rPr>
              <w:instrText xml:space="preserve"> PAGEREF _Toc446142 \h </w:instrText>
            </w:r>
            <w:r w:rsidR="007F1DDE" w:rsidRPr="002B4A95">
              <w:rPr>
                <w:webHidden/>
              </w:rPr>
            </w:r>
            <w:r w:rsidR="007F1DDE" w:rsidRPr="002B4A95">
              <w:rPr>
                <w:webHidden/>
              </w:rPr>
              <w:fldChar w:fldCharType="separate"/>
            </w:r>
            <w:r w:rsidR="00DA4DA9">
              <w:rPr>
                <w:webHidden/>
              </w:rPr>
              <w:t>2</w:t>
            </w:r>
            <w:r w:rsidR="007F1DDE" w:rsidRPr="002B4A95">
              <w:rPr>
                <w:webHidden/>
              </w:rPr>
              <w:fldChar w:fldCharType="end"/>
            </w:r>
          </w:hyperlink>
        </w:p>
        <w:p w14:paraId="4493CD4C" w14:textId="4B195D7B" w:rsidR="007F1DDE" w:rsidRPr="002B4A95" w:rsidRDefault="00DA4DA9">
          <w:pPr>
            <w:pStyle w:val="TOC1"/>
            <w:rPr>
              <w:rFonts w:eastAsiaTheme="minorEastAsia" w:cstheme="minorBidi"/>
              <w:b w:val="0"/>
              <w:bdr w:val="none" w:sz="0" w:space="0" w:color="auto"/>
              <w:lang w:val="en-US"/>
            </w:rPr>
          </w:pPr>
          <w:hyperlink w:anchor="_Toc446143" w:history="1">
            <w:r w:rsidR="007F1DDE" w:rsidRPr="002B4A95">
              <w:rPr>
                <w:rStyle w:val="Hyperlink"/>
              </w:rPr>
              <w:t>II.</w:t>
            </w:r>
            <w:r w:rsidR="007F1DDE" w:rsidRPr="002B4A95">
              <w:rPr>
                <w:rFonts w:eastAsiaTheme="minorEastAsia" w:cstheme="minorBidi"/>
                <w:b w:val="0"/>
                <w:bdr w:val="none" w:sz="0" w:space="0" w:color="auto"/>
                <w:lang w:val="en-US"/>
              </w:rPr>
              <w:tab/>
            </w:r>
            <w:r w:rsidR="007F1DDE" w:rsidRPr="002B4A95">
              <w:rPr>
                <w:rStyle w:val="Hyperlink"/>
                <w:rFonts w:eastAsia="Cambria"/>
              </w:rPr>
              <w:t>ALEGATOS DE LAS PARTES</w:t>
            </w:r>
            <w:r w:rsidR="007F1DDE" w:rsidRPr="002B4A95">
              <w:rPr>
                <w:webHidden/>
              </w:rPr>
              <w:tab/>
            </w:r>
            <w:r w:rsidR="007F1DDE" w:rsidRPr="002B4A95">
              <w:rPr>
                <w:webHidden/>
              </w:rPr>
              <w:fldChar w:fldCharType="begin"/>
            </w:r>
            <w:r w:rsidR="007F1DDE" w:rsidRPr="002B4A95">
              <w:rPr>
                <w:webHidden/>
              </w:rPr>
              <w:instrText xml:space="preserve"> PAGEREF _Toc446143 \h </w:instrText>
            </w:r>
            <w:r w:rsidR="007F1DDE" w:rsidRPr="002B4A95">
              <w:rPr>
                <w:webHidden/>
              </w:rPr>
            </w:r>
            <w:r w:rsidR="007F1DDE" w:rsidRPr="002B4A95">
              <w:rPr>
                <w:webHidden/>
              </w:rPr>
              <w:fldChar w:fldCharType="separate"/>
            </w:r>
            <w:r>
              <w:rPr>
                <w:webHidden/>
              </w:rPr>
              <w:t>2</w:t>
            </w:r>
            <w:r w:rsidR="007F1DDE" w:rsidRPr="002B4A95">
              <w:rPr>
                <w:webHidden/>
              </w:rPr>
              <w:fldChar w:fldCharType="end"/>
            </w:r>
          </w:hyperlink>
        </w:p>
        <w:p w14:paraId="7537C236" w14:textId="2DFA90C4" w:rsidR="007F1DDE" w:rsidRPr="002B4A95" w:rsidRDefault="00DA4DA9" w:rsidP="002B4A95">
          <w:pPr>
            <w:pStyle w:val="TOC2"/>
            <w:rPr>
              <w:rFonts w:ascii="Cambria" w:eastAsiaTheme="minorEastAsia" w:hAnsi="Cambria" w:cstheme="minorBidi"/>
              <w:noProof/>
              <w:sz w:val="20"/>
              <w:szCs w:val="20"/>
              <w:bdr w:val="none" w:sz="0" w:space="0" w:color="auto"/>
            </w:rPr>
          </w:pPr>
          <w:hyperlink w:anchor="_Toc446144" w:history="1">
            <w:r w:rsidR="007F1DDE" w:rsidRPr="002B4A95">
              <w:rPr>
                <w:rStyle w:val="Hyperlink"/>
                <w:rFonts w:ascii="Cambria" w:eastAsia="Times New Roman" w:hAnsi="Cambria"/>
                <w:noProof/>
                <w:sz w:val="20"/>
                <w:szCs w:val="20"/>
                <w:lang w:val="es-ES_tradnl"/>
              </w:rPr>
              <w:t>A.</w:t>
            </w:r>
            <w:r w:rsidR="007F1DDE" w:rsidRPr="002B4A95">
              <w:rPr>
                <w:rFonts w:ascii="Cambria" w:eastAsiaTheme="minorEastAsia" w:hAnsi="Cambria" w:cstheme="minorBidi"/>
                <w:noProof/>
                <w:sz w:val="20"/>
                <w:szCs w:val="20"/>
                <w:bdr w:val="none" w:sz="0" w:space="0" w:color="auto"/>
              </w:rPr>
              <w:tab/>
            </w:r>
            <w:r w:rsidR="007F1DDE" w:rsidRPr="002B4A95">
              <w:rPr>
                <w:rStyle w:val="Hyperlink"/>
                <w:rFonts w:ascii="Cambria" w:hAnsi="Cambria"/>
                <w:noProof/>
                <w:sz w:val="20"/>
                <w:szCs w:val="20"/>
              </w:rPr>
              <w:t>La parte peticionaria</w:t>
            </w:r>
            <w:r w:rsidR="007F1DDE" w:rsidRPr="002B4A95">
              <w:rPr>
                <w:rFonts w:ascii="Cambria" w:hAnsi="Cambria"/>
                <w:noProof/>
                <w:webHidden/>
                <w:sz w:val="20"/>
                <w:szCs w:val="20"/>
              </w:rPr>
              <w:tab/>
            </w:r>
            <w:r w:rsidR="007F1DDE" w:rsidRPr="002B4A95">
              <w:rPr>
                <w:rFonts w:ascii="Cambria" w:hAnsi="Cambria"/>
                <w:noProof/>
                <w:webHidden/>
                <w:sz w:val="20"/>
                <w:szCs w:val="20"/>
              </w:rPr>
              <w:fldChar w:fldCharType="begin"/>
            </w:r>
            <w:r w:rsidR="007F1DDE" w:rsidRPr="002B4A95">
              <w:rPr>
                <w:rFonts w:ascii="Cambria" w:hAnsi="Cambria"/>
                <w:noProof/>
                <w:webHidden/>
                <w:sz w:val="20"/>
                <w:szCs w:val="20"/>
              </w:rPr>
              <w:instrText xml:space="preserve"> PAGEREF _Toc446144 \h </w:instrText>
            </w:r>
            <w:r w:rsidR="007F1DDE" w:rsidRPr="002B4A95">
              <w:rPr>
                <w:rFonts w:ascii="Cambria" w:hAnsi="Cambria"/>
                <w:noProof/>
                <w:webHidden/>
                <w:sz w:val="20"/>
                <w:szCs w:val="20"/>
              </w:rPr>
            </w:r>
            <w:r w:rsidR="007F1DDE" w:rsidRPr="002B4A95">
              <w:rPr>
                <w:rFonts w:ascii="Cambria" w:hAnsi="Cambria"/>
                <w:noProof/>
                <w:webHidden/>
                <w:sz w:val="20"/>
                <w:szCs w:val="20"/>
              </w:rPr>
              <w:fldChar w:fldCharType="separate"/>
            </w:r>
            <w:r>
              <w:rPr>
                <w:rFonts w:ascii="Cambria" w:hAnsi="Cambria"/>
                <w:noProof/>
                <w:webHidden/>
                <w:sz w:val="20"/>
                <w:szCs w:val="20"/>
              </w:rPr>
              <w:t>2</w:t>
            </w:r>
            <w:r w:rsidR="007F1DDE" w:rsidRPr="002B4A95">
              <w:rPr>
                <w:rFonts w:ascii="Cambria" w:hAnsi="Cambria"/>
                <w:noProof/>
                <w:webHidden/>
                <w:sz w:val="20"/>
                <w:szCs w:val="20"/>
              </w:rPr>
              <w:fldChar w:fldCharType="end"/>
            </w:r>
          </w:hyperlink>
        </w:p>
        <w:p w14:paraId="77227724" w14:textId="42FA8746" w:rsidR="007F1DDE" w:rsidRPr="002B4A95" w:rsidRDefault="00DA4DA9" w:rsidP="002B4A95">
          <w:pPr>
            <w:pStyle w:val="TOC2"/>
            <w:rPr>
              <w:rFonts w:ascii="Cambria" w:eastAsiaTheme="minorEastAsia" w:hAnsi="Cambria" w:cstheme="minorBidi"/>
              <w:noProof/>
              <w:sz w:val="20"/>
              <w:szCs w:val="20"/>
              <w:bdr w:val="none" w:sz="0" w:space="0" w:color="auto"/>
            </w:rPr>
          </w:pPr>
          <w:hyperlink w:anchor="_Toc446145" w:history="1">
            <w:r w:rsidR="007F1DDE" w:rsidRPr="002B4A95">
              <w:rPr>
                <w:rStyle w:val="Hyperlink"/>
                <w:rFonts w:ascii="Cambria" w:eastAsia="Times New Roman" w:hAnsi="Cambria"/>
                <w:noProof/>
                <w:sz w:val="20"/>
                <w:szCs w:val="20"/>
                <w:lang w:val="es-ES_tradnl"/>
              </w:rPr>
              <w:t>B.</w:t>
            </w:r>
            <w:r w:rsidR="007F1DDE" w:rsidRPr="002B4A95">
              <w:rPr>
                <w:rFonts w:ascii="Cambria" w:eastAsiaTheme="minorEastAsia" w:hAnsi="Cambria" w:cstheme="minorBidi"/>
                <w:noProof/>
                <w:sz w:val="20"/>
                <w:szCs w:val="20"/>
                <w:bdr w:val="none" w:sz="0" w:space="0" w:color="auto"/>
              </w:rPr>
              <w:tab/>
            </w:r>
            <w:r w:rsidR="007F1DDE" w:rsidRPr="002B4A95">
              <w:rPr>
                <w:rStyle w:val="Hyperlink"/>
                <w:rFonts w:ascii="Cambria" w:hAnsi="Cambria"/>
                <w:noProof/>
                <w:sz w:val="20"/>
                <w:szCs w:val="20"/>
              </w:rPr>
              <w:t>El Estado</w:t>
            </w:r>
            <w:r w:rsidR="007F1DDE" w:rsidRPr="002B4A95">
              <w:rPr>
                <w:rFonts w:ascii="Cambria" w:hAnsi="Cambria"/>
                <w:noProof/>
                <w:webHidden/>
                <w:sz w:val="20"/>
                <w:szCs w:val="20"/>
              </w:rPr>
              <w:tab/>
            </w:r>
            <w:r w:rsidR="007F1DDE" w:rsidRPr="002B4A95">
              <w:rPr>
                <w:rFonts w:ascii="Cambria" w:hAnsi="Cambria"/>
                <w:noProof/>
                <w:webHidden/>
                <w:sz w:val="20"/>
                <w:szCs w:val="20"/>
              </w:rPr>
              <w:fldChar w:fldCharType="begin"/>
            </w:r>
            <w:r w:rsidR="007F1DDE" w:rsidRPr="002B4A95">
              <w:rPr>
                <w:rFonts w:ascii="Cambria" w:hAnsi="Cambria"/>
                <w:noProof/>
                <w:webHidden/>
                <w:sz w:val="20"/>
                <w:szCs w:val="20"/>
              </w:rPr>
              <w:instrText xml:space="preserve"> PAGEREF _Toc446145 \h </w:instrText>
            </w:r>
            <w:r w:rsidR="007F1DDE" w:rsidRPr="002B4A95">
              <w:rPr>
                <w:rFonts w:ascii="Cambria" w:hAnsi="Cambria"/>
                <w:noProof/>
                <w:webHidden/>
                <w:sz w:val="20"/>
                <w:szCs w:val="20"/>
              </w:rPr>
            </w:r>
            <w:r w:rsidR="007F1DDE" w:rsidRPr="002B4A95">
              <w:rPr>
                <w:rFonts w:ascii="Cambria" w:hAnsi="Cambria"/>
                <w:noProof/>
                <w:webHidden/>
                <w:sz w:val="20"/>
                <w:szCs w:val="20"/>
              </w:rPr>
              <w:fldChar w:fldCharType="separate"/>
            </w:r>
            <w:r>
              <w:rPr>
                <w:rFonts w:ascii="Cambria" w:hAnsi="Cambria"/>
                <w:noProof/>
                <w:webHidden/>
                <w:sz w:val="20"/>
                <w:szCs w:val="20"/>
              </w:rPr>
              <w:t>3</w:t>
            </w:r>
            <w:r w:rsidR="007F1DDE" w:rsidRPr="002B4A95">
              <w:rPr>
                <w:rFonts w:ascii="Cambria" w:hAnsi="Cambria"/>
                <w:noProof/>
                <w:webHidden/>
                <w:sz w:val="20"/>
                <w:szCs w:val="20"/>
              </w:rPr>
              <w:fldChar w:fldCharType="end"/>
            </w:r>
          </w:hyperlink>
        </w:p>
        <w:p w14:paraId="0041A514" w14:textId="2DAFDBA7" w:rsidR="007F1DDE" w:rsidRPr="002B4A95" w:rsidRDefault="00DA4DA9">
          <w:pPr>
            <w:pStyle w:val="TOC1"/>
            <w:rPr>
              <w:rFonts w:eastAsiaTheme="minorEastAsia" w:cstheme="minorBidi"/>
              <w:b w:val="0"/>
              <w:bdr w:val="none" w:sz="0" w:space="0" w:color="auto"/>
              <w:lang w:val="en-US"/>
            </w:rPr>
          </w:pPr>
          <w:hyperlink w:anchor="_Toc446146" w:history="1">
            <w:r w:rsidR="007F1DDE" w:rsidRPr="002B4A95">
              <w:rPr>
                <w:rStyle w:val="Hyperlink"/>
              </w:rPr>
              <w:t>III.</w:t>
            </w:r>
            <w:r w:rsidR="007F1DDE" w:rsidRPr="002B4A95">
              <w:rPr>
                <w:rFonts w:eastAsiaTheme="minorEastAsia" w:cstheme="minorBidi"/>
                <w:b w:val="0"/>
                <w:bdr w:val="none" w:sz="0" w:space="0" w:color="auto"/>
                <w:lang w:val="en-US"/>
              </w:rPr>
              <w:tab/>
            </w:r>
            <w:r w:rsidR="007F1DDE" w:rsidRPr="002B4A95">
              <w:rPr>
                <w:rStyle w:val="Hyperlink"/>
                <w:rFonts w:eastAsia="Cambria"/>
              </w:rPr>
              <w:t>DETERMINACIONES DE HECHO</w:t>
            </w:r>
            <w:r w:rsidR="007F1DDE" w:rsidRPr="002B4A95">
              <w:rPr>
                <w:webHidden/>
              </w:rPr>
              <w:tab/>
            </w:r>
            <w:r w:rsidR="007F1DDE" w:rsidRPr="002B4A95">
              <w:rPr>
                <w:webHidden/>
              </w:rPr>
              <w:fldChar w:fldCharType="begin"/>
            </w:r>
            <w:r w:rsidR="007F1DDE" w:rsidRPr="002B4A95">
              <w:rPr>
                <w:webHidden/>
              </w:rPr>
              <w:instrText xml:space="preserve"> PAGEREF _Toc446146 \h </w:instrText>
            </w:r>
            <w:r w:rsidR="007F1DDE" w:rsidRPr="002B4A95">
              <w:rPr>
                <w:webHidden/>
              </w:rPr>
            </w:r>
            <w:r w:rsidR="007F1DDE" w:rsidRPr="002B4A95">
              <w:rPr>
                <w:webHidden/>
              </w:rPr>
              <w:fldChar w:fldCharType="separate"/>
            </w:r>
            <w:r>
              <w:rPr>
                <w:webHidden/>
              </w:rPr>
              <w:t>4</w:t>
            </w:r>
            <w:r w:rsidR="007F1DDE" w:rsidRPr="002B4A95">
              <w:rPr>
                <w:webHidden/>
              </w:rPr>
              <w:fldChar w:fldCharType="end"/>
            </w:r>
          </w:hyperlink>
        </w:p>
        <w:p w14:paraId="7166B3A0" w14:textId="2F9CC322" w:rsidR="007F1DDE" w:rsidRPr="002B4A95" w:rsidRDefault="00DA4DA9" w:rsidP="002B4A95">
          <w:pPr>
            <w:pStyle w:val="TOC2"/>
            <w:rPr>
              <w:rFonts w:ascii="Cambria" w:eastAsiaTheme="minorEastAsia" w:hAnsi="Cambria" w:cstheme="minorBidi"/>
              <w:noProof/>
              <w:sz w:val="20"/>
              <w:szCs w:val="20"/>
              <w:bdr w:val="none" w:sz="0" w:space="0" w:color="auto"/>
            </w:rPr>
          </w:pPr>
          <w:hyperlink w:anchor="_Toc446147" w:history="1">
            <w:r w:rsidR="007F1DDE" w:rsidRPr="002B4A95">
              <w:rPr>
                <w:rStyle w:val="Hyperlink"/>
                <w:rFonts w:ascii="Cambria" w:eastAsia="Times New Roman" w:hAnsi="Cambria"/>
                <w:noProof/>
                <w:sz w:val="20"/>
                <w:szCs w:val="20"/>
                <w:lang w:val="es-ES_tradnl"/>
              </w:rPr>
              <w:t>A.</w:t>
            </w:r>
            <w:r w:rsidR="007F1DDE" w:rsidRPr="002B4A95">
              <w:rPr>
                <w:rFonts w:ascii="Cambria" w:eastAsiaTheme="minorEastAsia" w:hAnsi="Cambria" w:cstheme="minorBidi"/>
                <w:noProof/>
                <w:sz w:val="20"/>
                <w:szCs w:val="20"/>
                <w:bdr w:val="none" w:sz="0" w:space="0" w:color="auto"/>
              </w:rPr>
              <w:tab/>
            </w:r>
            <w:r w:rsidR="007F1DDE" w:rsidRPr="002B4A95">
              <w:rPr>
                <w:rStyle w:val="Hyperlink"/>
                <w:rFonts w:ascii="Cambria" w:hAnsi="Cambria"/>
                <w:noProof/>
                <w:sz w:val="20"/>
                <w:szCs w:val="20"/>
              </w:rPr>
              <w:t>Contexto de violaciones de derechos humanos contra sindicalistas en Colombia y la desaparición forzada en el marco del conflicto armado</w:t>
            </w:r>
            <w:r w:rsidR="007F1DDE" w:rsidRPr="002B4A95">
              <w:rPr>
                <w:rFonts w:ascii="Cambria" w:hAnsi="Cambria"/>
                <w:noProof/>
                <w:webHidden/>
                <w:sz w:val="20"/>
                <w:szCs w:val="20"/>
              </w:rPr>
              <w:tab/>
            </w:r>
            <w:r w:rsidR="007F1DDE" w:rsidRPr="002B4A95">
              <w:rPr>
                <w:rFonts w:ascii="Cambria" w:hAnsi="Cambria"/>
                <w:noProof/>
                <w:webHidden/>
                <w:sz w:val="20"/>
                <w:szCs w:val="20"/>
              </w:rPr>
              <w:fldChar w:fldCharType="begin"/>
            </w:r>
            <w:r w:rsidR="007F1DDE" w:rsidRPr="002B4A95">
              <w:rPr>
                <w:rFonts w:ascii="Cambria" w:hAnsi="Cambria"/>
                <w:noProof/>
                <w:webHidden/>
                <w:sz w:val="20"/>
                <w:szCs w:val="20"/>
              </w:rPr>
              <w:instrText xml:space="preserve"> PAGEREF _Toc446147 \h </w:instrText>
            </w:r>
            <w:r w:rsidR="007F1DDE" w:rsidRPr="002B4A95">
              <w:rPr>
                <w:rFonts w:ascii="Cambria" w:hAnsi="Cambria"/>
                <w:noProof/>
                <w:webHidden/>
                <w:sz w:val="20"/>
                <w:szCs w:val="20"/>
              </w:rPr>
            </w:r>
            <w:r w:rsidR="007F1DDE" w:rsidRPr="002B4A95">
              <w:rPr>
                <w:rFonts w:ascii="Cambria" w:hAnsi="Cambria"/>
                <w:noProof/>
                <w:webHidden/>
                <w:sz w:val="20"/>
                <w:szCs w:val="20"/>
              </w:rPr>
              <w:fldChar w:fldCharType="separate"/>
            </w:r>
            <w:r>
              <w:rPr>
                <w:rFonts w:ascii="Cambria" w:hAnsi="Cambria"/>
                <w:noProof/>
                <w:webHidden/>
                <w:sz w:val="20"/>
                <w:szCs w:val="20"/>
              </w:rPr>
              <w:t>4</w:t>
            </w:r>
            <w:r w:rsidR="007F1DDE" w:rsidRPr="002B4A95">
              <w:rPr>
                <w:rFonts w:ascii="Cambria" w:hAnsi="Cambria"/>
                <w:noProof/>
                <w:webHidden/>
                <w:sz w:val="20"/>
                <w:szCs w:val="20"/>
              </w:rPr>
              <w:fldChar w:fldCharType="end"/>
            </w:r>
          </w:hyperlink>
        </w:p>
        <w:p w14:paraId="0C05E648" w14:textId="33B12412" w:rsidR="007F1DDE" w:rsidRPr="002B4A95" w:rsidRDefault="00DA4DA9" w:rsidP="002B4A95">
          <w:pPr>
            <w:pStyle w:val="TOC2"/>
            <w:rPr>
              <w:rFonts w:ascii="Cambria" w:eastAsiaTheme="minorEastAsia" w:hAnsi="Cambria" w:cstheme="minorBidi"/>
              <w:noProof/>
              <w:sz w:val="20"/>
              <w:szCs w:val="20"/>
              <w:bdr w:val="none" w:sz="0" w:space="0" w:color="auto"/>
            </w:rPr>
          </w:pPr>
          <w:hyperlink w:anchor="_Toc446148" w:history="1">
            <w:r w:rsidR="007F1DDE" w:rsidRPr="002B4A95">
              <w:rPr>
                <w:rStyle w:val="Hyperlink"/>
                <w:rFonts w:ascii="Cambria" w:eastAsia="Times New Roman" w:hAnsi="Cambria"/>
                <w:noProof/>
                <w:sz w:val="20"/>
                <w:szCs w:val="20"/>
                <w:lang w:val="es-ES_tradnl"/>
              </w:rPr>
              <w:t>B.</w:t>
            </w:r>
            <w:r w:rsidR="007F1DDE" w:rsidRPr="002B4A95">
              <w:rPr>
                <w:rFonts w:ascii="Cambria" w:eastAsiaTheme="minorEastAsia" w:hAnsi="Cambria" w:cstheme="minorBidi"/>
                <w:noProof/>
                <w:sz w:val="20"/>
                <w:szCs w:val="20"/>
                <w:bdr w:val="none" w:sz="0" w:space="0" w:color="auto"/>
              </w:rPr>
              <w:tab/>
            </w:r>
            <w:r w:rsidR="007F1DDE" w:rsidRPr="002B4A95">
              <w:rPr>
                <w:rStyle w:val="Hyperlink"/>
                <w:rFonts w:ascii="Cambria" w:hAnsi="Cambria"/>
                <w:noProof/>
                <w:sz w:val="20"/>
                <w:szCs w:val="20"/>
              </w:rPr>
              <w:t>Contexto sobre la violencia política en Colombia</w:t>
            </w:r>
            <w:r w:rsidR="007F1DDE" w:rsidRPr="002B4A95">
              <w:rPr>
                <w:rFonts w:ascii="Cambria" w:hAnsi="Cambria"/>
                <w:noProof/>
                <w:webHidden/>
                <w:sz w:val="20"/>
                <w:szCs w:val="20"/>
              </w:rPr>
              <w:tab/>
            </w:r>
            <w:r w:rsidR="007F1DDE" w:rsidRPr="002B4A95">
              <w:rPr>
                <w:rFonts w:ascii="Cambria" w:hAnsi="Cambria"/>
                <w:noProof/>
                <w:webHidden/>
                <w:sz w:val="20"/>
                <w:szCs w:val="20"/>
              </w:rPr>
              <w:fldChar w:fldCharType="begin"/>
            </w:r>
            <w:r w:rsidR="007F1DDE" w:rsidRPr="002B4A95">
              <w:rPr>
                <w:rFonts w:ascii="Cambria" w:hAnsi="Cambria"/>
                <w:noProof/>
                <w:webHidden/>
                <w:sz w:val="20"/>
                <w:szCs w:val="20"/>
              </w:rPr>
              <w:instrText xml:space="preserve"> PAGEREF _Toc446148 \h </w:instrText>
            </w:r>
            <w:r w:rsidR="007F1DDE" w:rsidRPr="002B4A95">
              <w:rPr>
                <w:rFonts w:ascii="Cambria" w:hAnsi="Cambria"/>
                <w:noProof/>
                <w:webHidden/>
                <w:sz w:val="20"/>
                <w:szCs w:val="20"/>
              </w:rPr>
            </w:r>
            <w:r w:rsidR="007F1DDE" w:rsidRPr="002B4A95">
              <w:rPr>
                <w:rFonts w:ascii="Cambria" w:hAnsi="Cambria"/>
                <w:noProof/>
                <w:webHidden/>
                <w:sz w:val="20"/>
                <w:szCs w:val="20"/>
              </w:rPr>
              <w:fldChar w:fldCharType="separate"/>
            </w:r>
            <w:r>
              <w:rPr>
                <w:rFonts w:ascii="Cambria" w:hAnsi="Cambria"/>
                <w:noProof/>
                <w:webHidden/>
                <w:sz w:val="20"/>
                <w:szCs w:val="20"/>
              </w:rPr>
              <w:t>5</w:t>
            </w:r>
            <w:r w:rsidR="007F1DDE" w:rsidRPr="002B4A95">
              <w:rPr>
                <w:rFonts w:ascii="Cambria" w:hAnsi="Cambria"/>
                <w:noProof/>
                <w:webHidden/>
                <w:sz w:val="20"/>
                <w:szCs w:val="20"/>
              </w:rPr>
              <w:fldChar w:fldCharType="end"/>
            </w:r>
          </w:hyperlink>
        </w:p>
        <w:p w14:paraId="59602242" w14:textId="77C81FB1" w:rsidR="007F1DDE" w:rsidRPr="002B4A95" w:rsidRDefault="00DA4DA9" w:rsidP="002B4A95">
          <w:pPr>
            <w:pStyle w:val="TOC2"/>
            <w:rPr>
              <w:rFonts w:ascii="Cambria" w:eastAsiaTheme="minorEastAsia" w:hAnsi="Cambria" w:cstheme="minorBidi"/>
              <w:noProof/>
              <w:sz w:val="20"/>
              <w:szCs w:val="20"/>
              <w:bdr w:val="none" w:sz="0" w:space="0" w:color="auto"/>
            </w:rPr>
          </w:pPr>
          <w:hyperlink w:anchor="_Toc446149" w:history="1">
            <w:r w:rsidR="007F1DDE" w:rsidRPr="002B4A95">
              <w:rPr>
                <w:rStyle w:val="Hyperlink"/>
                <w:rFonts w:ascii="Cambria" w:eastAsia="Times New Roman" w:hAnsi="Cambria"/>
                <w:noProof/>
                <w:sz w:val="20"/>
                <w:szCs w:val="20"/>
                <w:lang w:val="es-ES_tradnl"/>
              </w:rPr>
              <w:t>C.</w:t>
            </w:r>
            <w:r w:rsidR="007F1DDE" w:rsidRPr="002B4A95">
              <w:rPr>
                <w:rFonts w:ascii="Cambria" w:eastAsiaTheme="minorEastAsia" w:hAnsi="Cambria" w:cstheme="minorBidi"/>
                <w:noProof/>
                <w:sz w:val="20"/>
                <w:szCs w:val="20"/>
                <w:bdr w:val="none" w:sz="0" w:space="0" w:color="auto"/>
              </w:rPr>
              <w:tab/>
            </w:r>
            <w:r w:rsidR="007F1DDE" w:rsidRPr="002B4A95">
              <w:rPr>
                <w:rStyle w:val="Hyperlink"/>
                <w:rFonts w:ascii="Cambria" w:hAnsi="Cambria"/>
                <w:noProof/>
                <w:sz w:val="20"/>
                <w:szCs w:val="20"/>
              </w:rPr>
              <w:t>Sobre Pedro Julio Movilla, su familia, actividades y hechos previos a la desaparición</w:t>
            </w:r>
            <w:r w:rsidR="007F1DDE" w:rsidRPr="002B4A95">
              <w:rPr>
                <w:rFonts w:ascii="Cambria" w:hAnsi="Cambria"/>
                <w:noProof/>
                <w:webHidden/>
                <w:sz w:val="20"/>
                <w:szCs w:val="20"/>
              </w:rPr>
              <w:tab/>
            </w:r>
            <w:r w:rsidR="007F1DDE" w:rsidRPr="002B4A95">
              <w:rPr>
                <w:rFonts w:ascii="Cambria" w:hAnsi="Cambria"/>
                <w:noProof/>
                <w:webHidden/>
                <w:sz w:val="20"/>
                <w:szCs w:val="20"/>
              </w:rPr>
              <w:fldChar w:fldCharType="begin"/>
            </w:r>
            <w:r w:rsidR="007F1DDE" w:rsidRPr="002B4A95">
              <w:rPr>
                <w:rFonts w:ascii="Cambria" w:hAnsi="Cambria"/>
                <w:noProof/>
                <w:webHidden/>
                <w:sz w:val="20"/>
                <w:szCs w:val="20"/>
              </w:rPr>
              <w:instrText xml:space="preserve"> PAGEREF _Toc446149 \h </w:instrText>
            </w:r>
            <w:r w:rsidR="007F1DDE" w:rsidRPr="002B4A95">
              <w:rPr>
                <w:rFonts w:ascii="Cambria" w:hAnsi="Cambria"/>
                <w:noProof/>
                <w:webHidden/>
                <w:sz w:val="20"/>
                <w:szCs w:val="20"/>
              </w:rPr>
            </w:r>
            <w:r w:rsidR="007F1DDE" w:rsidRPr="002B4A95">
              <w:rPr>
                <w:rFonts w:ascii="Cambria" w:hAnsi="Cambria"/>
                <w:noProof/>
                <w:webHidden/>
                <w:sz w:val="20"/>
                <w:szCs w:val="20"/>
              </w:rPr>
              <w:fldChar w:fldCharType="separate"/>
            </w:r>
            <w:r>
              <w:rPr>
                <w:rFonts w:ascii="Cambria" w:hAnsi="Cambria"/>
                <w:noProof/>
                <w:webHidden/>
                <w:sz w:val="20"/>
                <w:szCs w:val="20"/>
              </w:rPr>
              <w:t>7</w:t>
            </w:r>
            <w:r w:rsidR="007F1DDE" w:rsidRPr="002B4A95">
              <w:rPr>
                <w:rFonts w:ascii="Cambria" w:hAnsi="Cambria"/>
                <w:noProof/>
                <w:webHidden/>
                <w:sz w:val="20"/>
                <w:szCs w:val="20"/>
              </w:rPr>
              <w:fldChar w:fldCharType="end"/>
            </w:r>
          </w:hyperlink>
        </w:p>
        <w:p w14:paraId="580F3077" w14:textId="422C8DFE" w:rsidR="007F1DDE" w:rsidRPr="002B4A95" w:rsidRDefault="00DA4DA9" w:rsidP="002B4A95">
          <w:pPr>
            <w:pStyle w:val="TOC2"/>
            <w:rPr>
              <w:rFonts w:ascii="Cambria" w:eastAsiaTheme="minorEastAsia" w:hAnsi="Cambria" w:cstheme="minorBidi"/>
              <w:noProof/>
              <w:sz w:val="20"/>
              <w:szCs w:val="20"/>
              <w:bdr w:val="none" w:sz="0" w:space="0" w:color="auto"/>
            </w:rPr>
          </w:pPr>
          <w:hyperlink w:anchor="_Toc446150" w:history="1">
            <w:r w:rsidR="007F1DDE" w:rsidRPr="002B4A95">
              <w:rPr>
                <w:rStyle w:val="Hyperlink"/>
                <w:rFonts w:ascii="Cambria" w:eastAsia="Times New Roman" w:hAnsi="Cambria"/>
                <w:noProof/>
                <w:sz w:val="20"/>
                <w:szCs w:val="20"/>
                <w:lang w:val="es-ES_tradnl"/>
              </w:rPr>
              <w:t>D.</w:t>
            </w:r>
            <w:r w:rsidR="007F1DDE" w:rsidRPr="002B4A95">
              <w:rPr>
                <w:rFonts w:ascii="Cambria" w:eastAsiaTheme="minorEastAsia" w:hAnsi="Cambria" w:cstheme="minorBidi"/>
                <w:noProof/>
                <w:sz w:val="20"/>
                <w:szCs w:val="20"/>
                <w:bdr w:val="none" w:sz="0" w:space="0" w:color="auto"/>
              </w:rPr>
              <w:tab/>
            </w:r>
            <w:r w:rsidR="007F1DDE" w:rsidRPr="002B4A95">
              <w:rPr>
                <w:rStyle w:val="Hyperlink"/>
                <w:rFonts w:ascii="Cambria" w:hAnsi="Cambria"/>
                <w:noProof/>
                <w:sz w:val="20"/>
                <w:szCs w:val="20"/>
              </w:rPr>
              <w:t>La desaparición de Pedro Julio Movilla Galarcio el 13 de mayo de 1993</w:t>
            </w:r>
            <w:r w:rsidR="007F1DDE" w:rsidRPr="002B4A95">
              <w:rPr>
                <w:rFonts w:ascii="Cambria" w:hAnsi="Cambria"/>
                <w:noProof/>
                <w:webHidden/>
                <w:sz w:val="20"/>
                <w:szCs w:val="20"/>
              </w:rPr>
              <w:tab/>
            </w:r>
            <w:r w:rsidR="007F1DDE" w:rsidRPr="002B4A95">
              <w:rPr>
                <w:rFonts w:ascii="Cambria" w:hAnsi="Cambria"/>
                <w:noProof/>
                <w:webHidden/>
                <w:sz w:val="20"/>
                <w:szCs w:val="20"/>
              </w:rPr>
              <w:fldChar w:fldCharType="begin"/>
            </w:r>
            <w:r w:rsidR="007F1DDE" w:rsidRPr="002B4A95">
              <w:rPr>
                <w:rFonts w:ascii="Cambria" w:hAnsi="Cambria"/>
                <w:noProof/>
                <w:webHidden/>
                <w:sz w:val="20"/>
                <w:szCs w:val="20"/>
              </w:rPr>
              <w:instrText xml:space="preserve"> PAGEREF _Toc446150 \h </w:instrText>
            </w:r>
            <w:r w:rsidR="007F1DDE" w:rsidRPr="002B4A95">
              <w:rPr>
                <w:rFonts w:ascii="Cambria" w:hAnsi="Cambria"/>
                <w:noProof/>
                <w:webHidden/>
                <w:sz w:val="20"/>
                <w:szCs w:val="20"/>
              </w:rPr>
            </w:r>
            <w:r w:rsidR="007F1DDE" w:rsidRPr="002B4A95">
              <w:rPr>
                <w:rFonts w:ascii="Cambria" w:hAnsi="Cambria"/>
                <w:noProof/>
                <w:webHidden/>
                <w:sz w:val="20"/>
                <w:szCs w:val="20"/>
              </w:rPr>
              <w:fldChar w:fldCharType="separate"/>
            </w:r>
            <w:r>
              <w:rPr>
                <w:rFonts w:ascii="Cambria" w:hAnsi="Cambria"/>
                <w:noProof/>
                <w:webHidden/>
                <w:sz w:val="20"/>
                <w:szCs w:val="20"/>
              </w:rPr>
              <w:t>8</w:t>
            </w:r>
            <w:r w:rsidR="007F1DDE" w:rsidRPr="002B4A95">
              <w:rPr>
                <w:rFonts w:ascii="Cambria" w:hAnsi="Cambria"/>
                <w:noProof/>
                <w:webHidden/>
                <w:sz w:val="20"/>
                <w:szCs w:val="20"/>
              </w:rPr>
              <w:fldChar w:fldCharType="end"/>
            </w:r>
          </w:hyperlink>
        </w:p>
        <w:p w14:paraId="59C3340C" w14:textId="178AFF45" w:rsidR="007F1DDE" w:rsidRPr="002B4A95" w:rsidRDefault="00DA4DA9" w:rsidP="002B4A95">
          <w:pPr>
            <w:pStyle w:val="TOC2"/>
            <w:rPr>
              <w:rFonts w:ascii="Cambria" w:eastAsiaTheme="minorEastAsia" w:hAnsi="Cambria" w:cstheme="minorBidi"/>
              <w:noProof/>
              <w:sz w:val="20"/>
              <w:szCs w:val="20"/>
              <w:bdr w:val="none" w:sz="0" w:space="0" w:color="auto"/>
            </w:rPr>
          </w:pPr>
          <w:hyperlink w:anchor="_Toc446151" w:history="1">
            <w:r w:rsidR="007F1DDE" w:rsidRPr="002B4A95">
              <w:rPr>
                <w:rStyle w:val="Hyperlink"/>
                <w:rFonts w:ascii="Cambria" w:eastAsia="Times New Roman" w:hAnsi="Cambria"/>
                <w:noProof/>
                <w:sz w:val="20"/>
                <w:szCs w:val="20"/>
                <w:lang w:val="es-ES_tradnl"/>
              </w:rPr>
              <w:t>E.</w:t>
            </w:r>
            <w:r w:rsidR="007F1DDE" w:rsidRPr="002B4A95">
              <w:rPr>
                <w:rFonts w:ascii="Cambria" w:eastAsiaTheme="minorEastAsia" w:hAnsi="Cambria" w:cstheme="minorBidi"/>
                <w:noProof/>
                <w:sz w:val="20"/>
                <w:szCs w:val="20"/>
                <w:bdr w:val="none" w:sz="0" w:space="0" w:color="auto"/>
              </w:rPr>
              <w:tab/>
            </w:r>
            <w:r w:rsidR="007F1DDE" w:rsidRPr="002B4A95">
              <w:rPr>
                <w:rStyle w:val="Hyperlink"/>
                <w:rFonts w:ascii="Cambria" w:hAnsi="Cambria"/>
                <w:noProof/>
                <w:sz w:val="20"/>
                <w:szCs w:val="20"/>
              </w:rPr>
              <w:t>Investigación y diligencias respecto de la desaparición de Pedro Julio Movilla Galarcio</w:t>
            </w:r>
            <w:r w:rsidR="007F1DDE" w:rsidRPr="002B4A95">
              <w:rPr>
                <w:rFonts w:ascii="Cambria" w:hAnsi="Cambria"/>
                <w:noProof/>
                <w:webHidden/>
                <w:sz w:val="20"/>
                <w:szCs w:val="20"/>
              </w:rPr>
              <w:tab/>
            </w:r>
            <w:r w:rsidR="007F1DDE" w:rsidRPr="002B4A95">
              <w:rPr>
                <w:rFonts w:ascii="Cambria" w:hAnsi="Cambria"/>
                <w:noProof/>
                <w:webHidden/>
                <w:sz w:val="20"/>
                <w:szCs w:val="20"/>
              </w:rPr>
              <w:fldChar w:fldCharType="begin"/>
            </w:r>
            <w:r w:rsidR="007F1DDE" w:rsidRPr="002B4A95">
              <w:rPr>
                <w:rFonts w:ascii="Cambria" w:hAnsi="Cambria"/>
                <w:noProof/>
                <w:webHidden/>
                <w:sz w:val="20"/>
                <w:szCs w:val="20"/>
              </w:rPr>
              <w:instrText xml:space="preserve"> PAGEREF _Toc446151 \h </w:instrText>
            </w:r>
            <w:r w:rsidR="007F1DDE" w:rsidRPr="002B4A95">
              <w:rPr>
                <w:rFonts w:ascii="Cambria" w:hAnsi="Cambria"/>
                <w:noProof/>
                <w:webHidden/>
                <w:sz w:val="20"/>
                <w:szCs w:val="20"/>
              </w:rPr>
            </w:r>
            <w:r w:rsidR="007F1DDE" w:rsidRPr="002B4A95">
              <w:rPr>
                <w:rFonts w:ascii="Cambria" w:hAnsi="Cambria"/>
                <w:noProof/>
                <w:webHidden/>
                <w:sz w:val="20"/>
                <w:szCs w:val="20"/>
              </w:rPr>
              <w:fldChar w:fldCharType="separate"/>
            </w:r>
            <w:r>
              <w:rPr>
                <w:rFonts w:ascii="Cambria" w:hAnsi="Cambria"/>
                <w:noProof/>
                <w:webHidden/>
                <w:sz w:val="20"/>
                <w:szCs w:val="20"/>
              </w:rPr>
              <w:t>9</w:t>
            </w:r>
            <w:r w:rsidR="007F1DDE" w:rsidRPr="002B4A95">
              <w:rPr>
                <w:rFonts w:ascii="Cambria" w:hAnsi="Cambria"/>
                <w:noProof/>
                <w:webHidden/>
                <w:sz w:val="20"/>
                <w:szCs w:val="20"/>
              </w:rPr>
              <w:fldChar w:fldCharType="end"/>
            </w:r>
          </w:hyperlink>
        </w:p>
        <w:p w14:paraId="30B0A300" w14:textId="3B8C4635" w:rsidR="007F1DDE" w:rsidRPr="002B4A95" w:rsidRDefault="00DA4DA9" w:rsidP="002B4A95">
          <w:pPr>
            <w:pStyle w:val="TOC3"/>
            <w:rPr>
              <w:rFonts w:ascii="Cambria" w:eastAsiaTheme="minorEastAsia" w:hAnsi="Cambria" w:cstheme="minorBidi"/>
              <w:noProof/>
              <w:sz w:val="20"/>
              <w:szCs w:val="20"/>
              <w:bdr w:val="none" w:sz="0" w:space="0" w:color="auto"/>
            </w:rPr>
          </w:pPr>
          <w:hyperlink w:anchor="_Toc446152" w:history="1">
            <w:r w:rsidR="007F1DDE" w:rsidRPr="002B4A95">
              <w:rPr>
                <w:rStyle w:val="Hyperlink"/>
                <w:rFonts w:ascii="Cambria" w:hAnsi="Cambria"/>
                <w:noProof/>
                <w:sz w:val="20"/>
                <w:szCs w:val="20"/>
              </w:rPr>
              <w:t>1.</w:t>
            </w:r>
            <w:r w:rsidR="007F1DDE" w:rsidRPr="002B4A95">
              <w:rPr>
                <w:rFonts w:ascii="Cambria" w:eastAsiaTheme="minorEastAsia" w:hAnsi="Cambria" w:cstheme="minorBidi"/>
                <w:noProof/>
                <w:sz w:val="20"/>
                <w:szCs w:val="20"/>
                <w:bdr w:val="none" w:sz="0" w:space="0" w:color="auto"/>
              </w:rPr>
              <w:tab/>
            </w:r>
            <w:r w:rsidR="007F1DDE" w:rsidRPr="002B4A95">
              <w:rPr>
                <w:rStyle w:val="Hyperlink"/>
                <w:rFonts w:ascii="Cambria" w:hAnsi="Cambria"/>
                <w:noProof/>
                <w:sz w:val="20"/>
                <w:szCs w:val="20"/>
              </w:rPr>
              <w:t>Proceso disciplinario ante la PGN</w:t>
            </w:r>
            <w:r w:rsidR="007F1DDE" w:rsidRPr="002B4A95">
              <w:rPr>
                <w:rFonts w:ascii="Cambria" w:hAnsi="Cambria"/>
                <w:noProof/>
                <w:webHidden/>
                <w:sz w:val="20"/>
                <w:szCs w:val="20"/>
              </w:rPr>
              <w:tab/>
            </w:r>
            <w:r w:rsidR="007F1DDE" w:rsidRPr="002B4A95">
              <w:rPr>
                <w:rFonts w:ascii="Cambria" w:hAnsi="Cambria"/>
                <w:noProof/>
                <w:webHidden/>
                <w:sz w:val="20"/>
                <w:szCs w:val="20"/>
              </w:rPr>
              <w:fldChar w:fldCharType="begin"/>
            </w:r>
            <w:r w:rsidR="007F1DDE" w:rsidRPr="002B4A95">
              <w:rPr>
                <w:rFonts w:ascii="Cambria" w:hAnsi="Cambria"/>
                <w:noProof/>
                <w:webHidden/>
                <w:sz w:val="20"/>
                <w:szCs w:val="20"/>
              </w:rPr>
              <w:instrText xml:space="preserve"> PAGEREF _Toc446152 \h </w:instrText>
            </w:r>
            <w:r w:rsidR="007F1DDE" w:rsidRPr="002B4A95">
              <w:rPr>
                <w:rFonts w:ascii="Cambria" w:hAnsi="Cambria"/>
                <w:noProof/>
                <w:webHidden/>
                <w:sz w:val="20"/>
                <w:szCs w:val="20"/>
              </w:rPr>
            </w:r>
            <w:r w:rsidR="007F1DDE" w:rsidRPr="002B4A95">
              <w:rPr>
                <w:rFonts w:ascii="Cambria" w:hAnsi="Cambria"/>
                <w:noProof/>
                <w:webHidden/>
                <w:sz w:val="20"/>
                <w:szCs w:val="20"/>
              </w:rPr>
              <w:fldChar w:fldCharType="separate"/>
            </w:r>
            <w:r>
              <w:rPr>
                <w:rFonts w:ascii="Cambria" w:hAnsi="Cambria"/>
                <w:noProof/>
                <w:webHidden/>
                <w:sz w:val="20"/>
                <w:szCs w:val="20"/>
              </w:rPr>
              <w:t>10</w:t>
            </w:r>
            <w:r w:rsidR="007F1DDE" w:rsidRPr="002B4A95">
              <w:rPr>
                <w:rFonts w:ascii="Cambria" w:hAnsi="Cambria"/>
                <w:noProof/>
                <w:webHidden/>
                <w:sz w:val="20"/>
                <w:szCs w:val="20"/>
              </w:rPr>
              <w:fldChar w:fldCharType="end"/>
            </w:r>
          </w:hyperlink>
        </w:p>
        <w:p w14:paraId="036A0D65" w14:textId="1409AE74" w:rsidR="007F1DDE" w:rsidRPr="002B4A95" w:rsidRDefault="00DA4DA9" w:rsidP="002B4A95">
          <w:pPr>
            <w:pStyle w:val="TOC3"/>
            <w:rPr>
              <w:rFonts w:ascii="Cambria" w:eastAsiaTheme="minorEastAsia" w:hAnsi="Cambria" w:cstheme="minorBidi"/>
              <w:noProof/>
              <w:sz w:val="20"/>
              <w:szCs w:val="20"/>
              <w:bdr w:val="none" w:sz="0" w:space="0" w:color="auto"/>
            </w:rPr>
          </w:pPr>
          <w:hyperlink w:anchor="_Toc446153" w:history="1">
            <w:r w:rsidR="007F1DDE" w:rsidRPr="002B4A95">
              <w:rPr>
                <w:rStyle w:val="Hyperlink"/>
                <w:rFonts w:ascii="Cambria" w:hAnsi="Cambria"/>
                <w:noProof/>
                <w:sz w:val="20"/>
                <w:szCs w:val="20"/>
              </w:rPr>
              <w:t>2.</w:t>
            </w:r>
            <w:r w:rsidR="007F1DDE" w:rsidRPr="002B4A95">
              <w:rPr>
                <w:rFonts w:ascii="Cambria" w:eastAsiaTheme="minorEastAsia" w:hAnsi="Cambria" w:cstheme="minorBidi"/>
                <w:noProof/>
                <w:sz w:val="20"/>
                <w:szCs w:val="20"/>
                <w:bdr w:val="none" w:sz="0" w:space="0" w:color="auto"/>
              </w:rPr>
              <w:tab/>
            </w:r>
            <w:r w:rsidR="007F1DDE" w:rsidRPr="002B4A95">
              <w:rPr>
                <w:rStyle w:val="Hyperlink"/>
                <w:rFonts w:ascii="Cambria" w:hAnsi="Cambria"/>
                <w:noProof/>
                <w:sz w:val="20"/>
                <w:szCs w:val="20"/>
              </w:rPr>
              <w:t>La investigación penal - radicado No. 096 ante la Fiscalía General</w:t>
            </w:r>
            <w:r w:rsidR="007F1DDE" w:rsidRPr="002B4A95">
              <w:rPr>
                <w:rFonts w:ascii="Cambria" w:hAnsi="Cambria"/>
                <w:noProof/>
                <w:webHidden/>
                <w:sz w:val="20"/>
                <w:szCs w:val="20"/>
              </w:rPr>
              <w:tab/>
            </w:r>
            <w:r w:rsidR="007F1DDE" w:rsidRPr="002B4A95">
              <w:rPr>
                <w:rFonts w:ascii="Cambria" w:hAnsi="Cambria"/>
                <w:noProof/>
                <w:webHidden/>
                <w:sz w:val="20"/>
                <w:szCs w:val="20"/>
              </w:rPr>
              <w:fldChar w:fldCharType="begin"/>
            </w:r>
            <w:r w:rsidR="007F1DDE" w:rsidRPr="002B4A95">
              <w:rPr>
                <w:rFonts w:ascii="Cambria" w:hAnsi="Cambria"/>
                <w:noProof/>
                <w:webHidden/>
                <w:sz w:val="20"/>
                <w:szCs w:val="20"/>
              </w:rPr>
              <w:instrText xml:space="preserve"> PAGEREF _Toc446153 \h </w:instrText>
            </w:r>
            <w:r w:rsidR="007F1DDE" w:rsidRPr="002B4A95">
              <w:rPr>
                <w:rFonts w:ascii="Cambria" w:hAnsi="Cambria"/>
                <w:noProof/>
                <w:webHidden/>
                <w:sz w:val="20"/>
                <w:szCs w:val="20"/>
              </w:rPr>
            </w:r>
            <w:r w:rsidR="007F1DDE" w:rsidRPr="002B4A95">
              <w:rPr>
                <w:rFonts w:ascii="Cambria" w:hAnsi="Cambria"/>
                <w:noProof/>
                <w:webHidden/>
                <w:sz w:val="20"/>
                <w:szCs w:val="20"/>
              </w:rPr>
              <w:fldChar w:fldCharType="separate"/>
            </w:r>
            <w:r>
              <w:rPr>
                <w:rFonts w:ascii="Cambria" w:hAnsi="Cambria"/>
                <w:noProof/>
                <w:webHidden/>
                <w:sz w:val="20"/>
                <w:szCs w:val="20"/>
              </w:rPr>
              <w:t>12</w:t>
            </w:r>
            <w:r w:rsidR="007F1DDE" w:rsidRPr="002B4A95">
              <w:rPr>
                <w:rFonts w:ascii="Cambria" w:hAnsi="Cambria"/>
                <w:noProof/>
                <w:webHidden/>
                <w:sz w:val="20"/>
                <w:szCs w:val="20"/>
              </w:rPr>
              <w:fldChar w:fldCharType="end"/>
            </w:r>
          </w:hyperlink>
        </w:p>
        <w:p w14:paraId="16909FBB" w14:textId="1EC423A2" w:rsidR="007F1DDE" w:rsidRPr="002B4A95" w:rsidRDefault="00DA4DA9" w:rsidP="002B4A95">
          <w:pPr>
            <w:pStyle w:val="TOC3"/>
            <w:rPr>
              <w:rFonts w:ascii="Cambria" w:eastAsiaTheme="minorEastAsia" w:hAnsi="Cambria" w:cstheme="minorBidi"/>
              <w:noProof/>
              <w:sz w:val="20"/>
              <w:szCs w:val="20"/>
              <w:bdr w:val="none" w:sz="0" w:space="0" w:color="auto"/>
            </w:rPr>
          </w:pPr>
          <w:hyperlink w:anchor="_Toc446154" w:history="1">
            <w:r w:rsidR="007F1DDE" w:rsidRPr="002B4A95">
              <w:rPr>
                <w:rStyle w:val="Hyperlink"/>
                <w:rFonts w:ascii="Cambria" w:hAnsi="Cambria"/>
                <w:noProof/>
                <w:sz w:val="20"/>
                <w:szCs w:val="20"/>
              </w:rPr>
              <w:t>3.</w:t>
            </w:r>
            <w:r w:rsidR="007F1DDE" w:rsidRPr="002B4A95">
              <w:rPr>
                <w:rFonts w:ascii="Cambria" w:eastAsiaTheme="minorEastAsia" w:hAnsi="Cambria" w:cstheme="minorBidi"/>
                <w:noProof/>
                <w:sz w:val="20"/>
                <w:szCs w:val="20"/>
                <w:bdr w:val="none" w:sz="0" w:space="0" w:color="auto"/>
              </w:rPr>
              <w:tab/>
            </w:r>
            <w:r w:rsidR="007F1DDE" w:rsidRPr="002B4A95">
              <w:rPr>
                <w:rStyle w:val="Hyperlink"/>
                <w:rFonts w:ascii="Cambria" w:hAnsi="Cambria"/>
                <w:noProof/>
                <w:sz w:val="20"/>
                <w:szCs w:val="20"/>
              </w:rPr>
              <w:t>Acción de reparación directa ante la jurisdicción de lo contencioso administrativo</w:t>
            </w:r>
            <w:r w:rsidR="007F1DDE" w:rsidRPr="002B4A95">
              <w:rPr>
                <w:rFonts w:ascii="Cambria" w:hAnsi="Cambria"/>
                <w:noProof/>
                <w:webHidden/>
                <w:sz w:val="20"/>
                <w:szCs w:val="20"/>
              </w:rPr>
              <w:tab/>
            </w:r>
            <w:r w:rsidR="007F1DDE" w:rsidRPr="002B4A95">
              <w:rPr>
                <w:rFonts w:ascii="Cambria" w:hAnsi="Cambria"/>
                <w:noProof/>
                <w:webHidden/>
                <w:sz w:val="20"/>
                <w:szCs w:val="20"/>
              </w:rPr>
              <w:fldChar w:fldCharType="begin"/>
            </w:r>
            <w:r w:rsidR="007F1DDE" w:rsidRPr="002B4A95">
              <w:rPr>
                <w:rFonts w:ascii="Cambria" w:hAnsi="Cambria"/>
                <w:noProof/>
                <w:webHidden/>
                <w:sz w:val="20"/>
                <w:szCs w:val="20"/>
              </w:rPr>
              <w:instrText xml:space="preserve"> PAGEREF _Toc446154 \h </w:instrText>
            </w:r>
            <w:r w:rsidR="007F1DDE" w:rsidRPr="002B4A95">
              <w:rPr>
                <w:rFonts w:ascii="Cambria" w:hAnsi="Cambria"/>
                <w:noProof/>
                <w:webHidden/>
                <w:sz w:val="20"/>
                <w:szCs w:val="20"/>
              </w:rPr>
            </w:r>
            <w:r w:rsidR="007F1DDE" w:rsidRPr="002B4A95">
              <w:rPr>
                <w:rFonts w:ascii="Cambria" w:hAnsi="Cambria"/>
                <w:noProof/>
                <w:webHidden/>
                <w:sz w:val="20"/>
                <w:szCs w:val="20"/>
              </w:rPr>
              <w:fldChar w:fldCharType="separate"/>
            </w:r>
            <w:r>
              <w:rPr>
                <w:rFonts w:ascii="Cambria" w:hAnsi="Cambria"/>
                <w:noProof/>
                <w:webHidden/>
                <w:sz w:val="20"/>
                <w:szCs w:val="20"/>
              </w:rPr>
              <w:t>15</w:t>
            </w:r>
            <w:r w:rsidR="007F1DDE" w:rsidRPr="002B4A95">
              <w:rPr>
                <w:rFonts w:ascii="Cambria" w:hAnsi="Cambria"/>
                <w:noProof/>
                <w:webHidden/>
                <w:sz w:val="20"/>
                <w:szCs w:val="20"/>
              </w:rPr>
              <w:fldChar w:fldCharType="end"/>
            </w:r>
          </w:hyperlink>
        </w:p>
        <w:p w14:paraId="454C79B6" w14:textId="0AF8ACF8" w:rsidR="007F1DDE" w:rsidRPr="002B4A95" w:rsidRDefault="00DA4DA9">
          <w:pPr>
            <w:pStyle w:val="TOC1"/>
            <w:rPr>
              <w:rFonts w:eastAsiaTheme="minorEastAsia" w:cstheme="minorBidi"/>
              <w:b w:val="0"/>
              <w:bdr w:val="none" w:sz="0" w:space="0" w:color="auto"/>
              <w:lang w:val="en-US"/>
            </w:rPr>
          </w:pPr>
          <w:hyperlink w:anchor="_Toc446155" w:history="1">
            <w:r w:rsidR="007F1DDE" w:rsidRPr="002B4A95">
              <w:rPr>
                <w:rStyle w:val="Hyperlink"/>
              </w:rPr>
              <w:t>IV.</w:t>
            </w:r>
            <w:r w:rsidR="007F1DDE" w:rsidRPr="002B4A95">
              <w:rPr>
                <w:rFonts w:eastAsiaTheme="minorEastAsia" w:cstheme="minorBidi"/>
                <w:b w:val="0"/>
                <w:bdr w:val="none" w:sz="0" w:space="0" w:color="auto"/>
                <w:lang w:val="en-US"/>
              </w:rPr>
              <w:tab/>
            </w:r>
            <w:r w:rsidR="007F1DDE" w:rsidRPr="002B4A95">
              <w:rPr>
                <w:rStyle w:val="Hyperlink"/>
                <w:rFonts w:eastAsia="Cambria"/>
              </w:rPr>
              <w:t>ANÁLISIS DE DERECHO</w:t>
            </w:r>
            <w:r w:rsidR="007F1DDE" w:rsidRPr="002B4A95">
              <w:rPr>
                <w:webHidden/>
              </w:rPr>
              <w:tab/>
            </w:r>
            <w:r w:rsidR="007F1DDE" w:rsidRPr="002B4A95">
              <w:rPr>
                <w:webHidden/>
              </w:rPr>
              <w:fldChar w:fldCharType="begin"/>
            </w:r>
            <w:r w:rsidR="007F1DDE" w:rsidRPr="002B4A95">
              <w:rPr>
                <w:webHidden/>
              </w:rPr>
              <w:instrText xml:space="preserve"> PAGEREF _Toc446155 \h </w:instrText>
            </w:r>
            <w:r w:rsidR="007F1DDE" w:rsidRPr="002B4A95">
              <w:rPr>
                <w:webHidden/>
              </w:rPr>
            </w:r>
            <w:r w:rsidR="007F1DDE" w:rsidRPr="002B4A95">
              <w:rPr>
                <w:webHidden/>
              </w:rPr>
              <w:fldChar w:fldCharType="separate"/>
            </w:r>
            <w:r>
              <w:rPr>
                <w:webHidden/>
              </w:rPr>
              <w:t>15</w:t>
            </w:r>
            <w:r w:rsidR="007F1DDE" w:rsidRPr="002B4A95">
              <w:rPr>
                <w:webHidden/>
              </w:rPr>
              <w:fldChar w:fldCharType="end"/>
            </w:r>
          </w:hyperlink>
        </w:p>
        <w:p w14:paraId="21E61E79" w14:textId="6E9EC14C" w:rsidR="007F1DDE" w:rsidRPr="002B4A95" w:rsidRDefault="00DA4DA9" w:rsidP="002B4A95">
          <w:pPr>
            <w:pStyle w:val="TOC2"/>
            <w:rPr>
              <w:rFonts w:ascii="Cambria" w:eastAsiaTheme="minorEastAsia" w:hAnsi="Cambria" w:cstheme="minorBidi"/>
              <w:noProof/>
              <w:sz w:val="20"/>
              <w:szCs w:val="20"/>
              <w:bdr w:val="none" w:sz="0" w:space="0" w:color="auto"/>
            </w:rPr>
          </w:pPr>
          <w:hyperlink w:anchor="_Toc446156" w:history="1">
            <w:r w:rsidR="007F1DDE" w:rsidRPr="002B4A95">
              <w:rPr>
                <w:rStyle w:val="Hyperlink"/>
                <w:rFonts w:ascii="Cambria" w:eastAsia="Times New Roman" w:hAnsi="Cambria"/>
                <w:noProof/>
                <w:sz w:val="20"/>
                <w:szCs w:val="20"/>
                <w:lang w:val="es-ES_tradnl"/>
              </w:rPr>
              <w:t>A.</w:t>
            </w:r>
            <w:r w:rsidR="007F1DDE" w:rsidRPr="002B4A95">
              <w:rPr>
                <w:rFonts w:ascii="Cambria" w:eastAsiaTheme="minorEastAsia" w:hAnsi="Cambria" w:cstheme="minorBidi"/>
                <w:noProof/>
                <w:sz w:val="20"/>
                <w:szCs w:val="20"/>
                <w:bdr w:val="none" w:sz="0" w:space="0" w:color="auto"/>
              </w:rPr>
              <w:tab/>
            </w:r>
            <w:r w:rsidR="007F1DDE" w:rsidRPr="002B4A95">
              <w:rPr>
                <w:rStyle w:val="Hyperlink"/>
                <w:rFonts w:ascii="Cambria" w:hAnsi="Cambria"/>
                <w:noProof/>
                <w:sz w:val="20"/>
                <w:szCs w:val="20"/>
              </w:rPr>
              <w:t>Derecho al reconocimiento de la personalidad jurídica, a la libertad personal, a la integridad personal y a la vida (artículos 3, 4, 5, 7, 1.1 y 2 de la Convención Americana y artículo I a) de la CIDFP)</w:t>
            </w:r>
            <w:r w:rsidR="007F1DDE" w:rsidRPr="002B4A95">
              <w:rPr>
                <w:rFonts w:ascii="Cambria" w:hAnsi="Cambria"/>
                <w:noProof/>
                <w:webHidden/>
                <w:sz w:val="20"/>
                <w:szCs w:val="20"/>
              </w:rPr>
              <w:tab/>
            </w:r>
            <w:r w:rsidR="007F1DDE" w:rsidRPr="002B4A95">
              <w:rPr>
                <w:rFonts w:ascii="Cambria" w:hAnsi="Cambria"/>
                <w:noProof/>
                <w:webHidden/>
                <w:sz w:val="20"/>
                <w:szCs w:val="20"/>
              </w:rPr>
              <w:fldChar w:fldCharType="begin"/>
            </w:r>
            <w:r w:rsidR="007F1DDE" w:rsidRPr="002B4A95">
              <w:rPr>
                <w:rFonts w:ascii="Cambria" w:hAnsi="Cambria"/>
                <w:noProof/>
                <w:webHidden/>
                <w:sz w:val="20"/>
                <w:szCs w:val="20"/>
              </w:rPr>
              <w:instrText xml:space="preserve"> PAGEREF _Toc446156 \h </w:instrText>
            </w:r>
            <w:r w:rsidR="007F1DDE" w:rsidRPr="002B4A95">
              <w:rPr>
                <w:rFonts w:ascii="Cambria" w:hAnsi="Cambria"/>
                <w:noProof/>
                <w:webHidden/>
                <w:sz w:val="20"/>
                <w:szCs w:val="20"/>
              </w:rPr>
            </w:r>
            <w:r w:rsidR="007F1DDE" w:rsidRPr="002B4A95">
              <w:rPr>
                <w:rFonts w:ascii="Cambria" w:hAnsi="Cambria"/>
                <w:noProof/>
                <w:webHidden/>
                <w:sz w:val="20"/>
                <w:szCs w:val="20"/>
              </w:rPr>
              <w:fldChar w:fldCharType="separate"/>
            </w:r>
            <w:r>
              <w:rPr>
                <w:rFonts w:ascii="Cambria" w:hAnsi="Cambria"/>
                <w:noProof/>
                <w:webHidden/>
                <w:sz w:val="20"/>
                <w:szCs w:val="20"/>
              </w:rPr>
              <w:t>15</w:t>
            </w:r>
            <w:r w:rsidR="007F1DDE" w:rsidRPr="002B4A95">
              <w:rPr>
                <w:rFonts w:ascii="Cambria" w:hAnsi="Cambria"/>
                <w:noProof/>
                <w:webHidden/>
                <w:sz w:val="20"/>
                <w:szCs w:val="20"/>
              </w:rPr>
              <w:fldChar w:fldCharType="end"/>
            </w:r>
          </w:hyperlink>
        </w:p>
        <w:p w14:paraId="142BDC41" w14:textId="20582337" w:rsidR="007F1DDE" w:rsidRPr="002B4A95" w:rsidRDefault="00DA4DA9" w:rsidP="002B4A95">
          <w:pPr>
            <w:pStyle w:val="TOC3"/>
            <w:rPr>
              <w:rFonts w:ascii="Cambria" w:eastAsiaTheme="minorEastAsia" w:hAnsi="Cambria" w:cstheme="minorBidi"/>
              <w:noProof/>
              <w:sz w:val="20"/>
              <w:szCs w:val="20"/>
              <w:bdr w:val="none" w:sz="0" w:space="0" w:color="auto"/>
            </w:rPr>
          </w:pPr>
          <w:hyperlink w:anchor="_Toc446157" w:history="1">
            <w:r w:rsidR="007F1DDE" w:rsidRPr="002B4A95">
              <w:rPr>
                <w:rStyle w:val="Hyperlink"/>
                <w:rFonts w:ascii="Cambria" w:hAnsi="Cambria"/>
                <w:noProof/>
                <w:sz w:val="20"/>
                <w:szCs w:val="20"/>
              </w:rPr>
              <w:t>1.</w:t>
            </w:r>
            <w:r w:rsidR="007F1DDE" w:rsidRPr="002B4A95">
              <w:rPr>
                <w:rFonts w:ascii="Cambria" w:eastAsiaTheme="minorEastAsia" w:hAnsi="Cambria" w:cstheme="minorBidi"/>
                <w:noProof/>
                <w:sz w:val="20"/>
                <w:szCs w:val="20"/>
                <w:bdr w:val="none" w:sz="0" w:space="0" w:color="auto"/>
              </w:rPr>
              <w:tab/>
            </w:r>
            <w:r w:rsidR="007F1DDE" w:rsidRPr="002B4A95">
              <w:rPr>
                <w:rStyle w:val="Hyperlink"/>
                <w:rFonts w:ascii="Cambria" w:hAnsi="Cambria"/>
                <w:noProof/>
                <w:sz w:val="20"/>
                <w:szCs w:val="20"/>
              </w:rPr>
              <w:t>Consideraciones generales en materia de desaparición forzada de personas</w:t>
            </w:r>
            <w:r w:rsidR="007F1DDE" w:rsidRPr="002B4A95">
              <w:rPr>
                <w:rFonts w:ascii="Cambria" w:hAnsi="Cambria"/>
                <w:noProof/>
                <w:webHidden/>
                <w:sz w:val="20"/>
                <w:szCs w:val="20"/>
              </w:rPr>
              <w:tab/>
            </w:r>
            <w:r w:rsidR="007F1DDE" w:rsidRPr="002B4A95">
              <w:rPr>
                <w:rFonts w:ascii="Cambria" w:hAnsi="Cambria"/>
                <w:noProof/>
                <w:webHidden/>
                <w:sz w:val="20"/>
                <w:szCs w:val="20"/>
              </w:rPr>
              <w:fldChar w:fldCharType="begin"/>
            </w:r>
            <w:r w:rsidR="007F1DDE" w:rsidRPr="002B4A95">
              <w:rPr>
                <w:rFonts w:ascii="Cambria" w:hAnsi="Cambria"/>
                <w:noProof/>
                <w:webHidden/>
                <w:sz w:val="20"/>
                <w:szCs w:val="20"/>
              </w:rPr>
              <w:instrText xml:space="preserve"> PAGEREF _Toc446157 \h </w:instrText>
            </w:r>
            <w:r w:rsidR="007F1DDE" w:rsidRPr="002B4A95">
              <w:rPr>
                <w:rFonts w:ascii="Cambria" w:hAnsi="Cambria"/>
                <w:noProof/>
                <w:webHidden/>
                <w:sz w:val="20"/>
                <w:szCs w:val="20"/>
              </w:rPr>
            </w:r>
            <w:r w:rsidR="007F1DDE" w:rsidRPr="002B4A95">
              <w:rPr>
                <w:rFonts w:ascii="Cambria" w:hAnsi="Cambria"/>
                <w:noProof/>
                <w:webHidden/>
                <w:sz w:val="20"/>
                <w:szCs w:val="20"/>
              </w:rPr>
              <w:fldChar w:fldCharType="separate"/>
            </w:r>
            <w:r>
              <w:rPr>
                <w:rFonts w:ascii="Cambria" w:hAnsi="Cambria"/>
                <w:noProof/>
                <w:webHidden/>
                <w:sz w:val="20"/>
                <w:szCs w:val="20"/>
              </w:rPr>
              <w:t>15</w:t>
            </w:r>
            <w:r w:rsidR="007F1DDE" w:rsidRPr="002B4A95">
              <w:rPr>
                <w:rFonts w:ascii="Cambria" w:hAnsi="Cambria"/>
                <w:noProof/>
                <w:webHidden/>
                <w:sz w:val="20"/>
                <w:szCs w:val="20"/>
              </w:rPr>
              <w:fldChar w:fldCharType="end"/>
            </w:r>
          </w:hyperlink>
        </w:p>
        <w:p w14:paraId="71AD6A59" w14:textId="23816B8C" w:rsidR="007F1DDE" w:rsidRPr="002B4A95" w:rsidRDefault="00DA4DA9" w:rsidP="002B4A95">
          <w:pPr>
            <w:pStyle w:val="TOC3"/>
            <w:rPr>
              <w:rFonts w:ascii="Cambria" w:eastAsiaTheme="minorEastAsia" w:hAnsi="Cambria" w:cstheme="minorBidi"/>
              <w:noProof/>
              <w:sz w:val="20"/>
              <w:szCs w:val="20"/>
              <w:bdr w:val="none" w:sz="0" w:space="0" w:color="auto"/>
            </w:rPr>
          </w:pPr>
          <w:hyperlink w:anchor="_Toc446158" w:history="1">
            <w:r w:rsidR="007F1DDE" w:rsidRPr="002B4A95">
              <w:rPr>
                <w:rStyle w:val="Hyperlink"/>
                <w:rFonts w:ascii="Cambria" w:hAnsi="Cambria"/>
                <w:noProof/>
                <w:sz w:val="20"/>
                <w:szCs w:val="20"/>
              </w:rPr>
              <w:t>2.</w:t>
            </w:r>
            <w:r w:rsidR="007F1DDE" w:rsidRPr="002B4A95">
              <w:rPr>
                <w:rFonts w:ascii="Cambria" w:eastAsiaTheme="minorEastAsia" w:hAnsi="Cambria" w:cstheme="minorBidi"/>
                <w:noProof/>
                <w:sz w:val="20"/>
                <w:szCs w:val="20"/>
                <w:bdr w:val="none" w:sz="0" w:space="0" w:color="auto"/>
              </w:rPr>
              <w:tab/>
            </w:r>
            <w:r w:rsidR="007F1DDE" w:rsidRPr="002B4A95">
              <w:rPr>
                <w:rStyle w:val="Hyperlink"/>
                <w:rFonts w:ascii="Cambria" w:eastAsia="Times New Roman" w:hAnsi="Cambria"/>
                <w:noProof/>
                <w:sz w:val="20"/>
                <w:szCs w:val="20"/>
                <w:lang w:eastAsia="es-ES"/>
              </w:rPr>
              <w:t>Análisis del caso</w:t>
            </w:r>
            <w:r w:rsidR="007F1DDE" w:rsidRPr="002B4A95">
              <w:rPr>
                <w:rFonts w:ascii="Cambria" w:hAnsi="Cambria"/>
                <w:noProof/>
                <w:webHidden/>
                <w:sz w:val="20"/>
                <w:szCs w:val="20"/>
              </w:rPr>
              <w:tab/>
            </w:r>
            <w:r w:rsidR="007F1DDE" w:rsidRPr="002B4A95">
              <w:rPr>
                <w:rFonts w:ascii="Cambria" w:hAnsi="Cambria"/>
                <w:noProof/>
                <w:webHidden/>
                <w:sz w:val="20"/>
                <w:szCs w:val="20"/>
              </w:rPr>
              <w:fldChar w:fldCharType="begin"/>
            </w:r>
            <w:r w:rsidR="007F1DDE" w:rsidRPr="002B4A95">
              <w:rPr>
                <w:rFonts w:ascii="Cambria" w:hAnsi="Cambria"/>
                <w:noProof/>
                <w:webHidden/>
                <w:sz w:val="20"/>
                <w:szCs w:val="20"/>
              </w:rPr>
              <w:instrText xml:space="preserve"> PAGEREF _Toc446158 \h </w:instrText>
            </w:r>
            <w:r w:rsidR="007F1DDE" w:rsidRPr="002B4A95">
              <w:rPr>
                <w:rFonts w:ascii="Cambria" w:hAnsi="Cambria"/>
                <w:noProof/>
                <w:webHidden/>
                <w:sz w:val="20"/>
                <w:szCs w:val="20"/>
              </w:rPr>
            </w:r>
            <w:r w:rsidR="007F1DDE" w:rsidRPr="002B4A95">
              <w:rPr>
                <w:rFonts w:ascii="Cambria" w:hAnsi="Cambria"/>
                <w:noProof/>
                <w:webHidden/>
                <w:sz w:val="20"/>
                <w:szCs w:val="20"/>
              </w:rPr>
              <w:fldChar w:fldCharType="separate"/>
            </w:r>
            <w:r>
              <w:rPr>
                <w:rFonts w:ascii="Cambria" w:hAnsi="Cambria"/>
                <w:noProof/>
                <w:webHidden/>
                <w:sz w:val="20"/>
                <w:szCs w:val="20"/>
              </w:rPr>
              <w:t>17</w:t>
            </w:r>
            <w:r w:rsidR="007F1DDE" w:rsidRPr="002B4A95">
              <w:rPr>
                <w:rFonts w:ascii="Cambria" w:hAnsi="Cambria"/>
                <w:noProof/>
                <w:webHidden/>
                <w:sz w:val="20"/>
                <w:szCs w:val="20"/>
              </w:rPr>
              <w:fldChar w:fldCharType="end"/>
            </w:r>
          </w:hyperlink>
        </w:p>
        <w:p w14:paraId="3A84D5A8" w14:textId="38DFA13E" w:rsidR="007F1DDE" w:rsidRPr="002B4A95" w:rsidRDefault="00DA4DA9" w:rsidP="002B4A95">
          <w:pPr>
            <w:pStyle w:val="TOC3"/>
            <w:rPr>
              <w:rFonts w:ascii="Cambria" w:eastAsiaTheme="minorEastAsia" w:hAnsi="Cambria" w:cstheme="minorBidi"/>
              <w:noProof/>
              <w:sz w:val="20"/>
              <w:szCs w:val="20"/>
              <w:bdr w:val="none" w:sz="0" w:space="0" w:color="auto"/>
            </w:rPr>
          </w:pPr>
          <w:hyperlink w:anchor="_Toc446160" w:history="1">
            <w:r w:rsidR="007F1DDE" w:rsidRPr="002B4A95">
              <w:rPr>
                <w:rStyle w:val="Hyperlink"/>
                <w:rFonts w:ascii="Cambria" w:hAnsi="Cambria"/>
                <w:noProof/>
                <w:sz w:val="20"/>
                <w:szCs w:val="20"/>
              </w:rPr>
              <w:t>3.</w:t>
            </w:r>
            <w:r w:rsidR="007F1DDE" w:rsidRPr="002B4A95">
              <w:rPr>
                <w:rFonts w:ascii="Cambria" w:eastAsiaTheme="minorEastAsia" w:hAnsi="Cambria" w:cstheme="minorBidi"/>
                <w:noProof/>
                <w:sz w:val="20"/>
                <w:szCs w:val="20"/>
                <w:bdr w:val="none" w:sz="0" w:space="0" w:color="auto"/>
              </w:rPr>
              <w:tab/>
            </w:r>
            <w:r w:rsidR="007F1DDE" w:rsidRPr="002B4A95">
              <w:rPr>
                <w:rStyle w:val="Hyperlink"/>
                <w:rFonts w:ascii="Cambria" w:hAnsi="Cambria"/>
                <w:noProof/>
                <w:sz w:val="20"/>
                <w:szCs w:val="20"/>
              </w:rPr>
              <w:t>Conclusión</w:t>
            </w:r>
            <w:r w:rsidR="007F1DDE" w:rsidRPr="002B4A95">
              <w:rPr>
                <w:rFonts w:ascii="Cambria" w:hAnsi="Cambria"/>
                <w:noProof/>
                <w:webHidden/>
                <w:sz w:val="20"/>
                <w:szCs w:val="20"/>
              </w:rPr>
              <w:tab/>
            </w:r>
            <w:r w:rsidR="007F1DDE" w:rsidRPr="002B4A95">
              <w:rPr>
                <w:rFonts w:ascii="Cambria" w:hAnsi="Cambria"/>
                <w:noProof/>
                <w:webHidden/>
                <w:sz w:val="20"/>
                <w:szCs w:val="20"/>
              </w:rPr>
              <w:fldChar w:fldCharType="begin"/>
            </w:r>
            <w:r w:rsidR="007F1DDE" w:rsidRPr="002B4A95">
              <w:rPr>
                <w:rFonts w:ascii="Cambria" w:hAnsi="Cambria"/>
                <w:noProof/>
                <w:webHidden/>
                <w:sz w:val="20"/>
                <w:szCs w:val="20"/>
              </w:rPr>
              <w:instrText xml:space="preserve"> PAGEREF _Toc446160 \h </w:instrText>
            </w:r>
            <w:r w:rsidR="007F1DDE" w:rsidRPr="002B4A95">
              <w:rPr>
                <w:rFonts w:ascii="Cambria" w:hAnsi="Cambria"/>
                <w:noProof/>
                <w:webHidden/>
                <w:sz w:val="20"/>
                <w:szCs w:val="20"/>
              </w:rPr>
            </w:r>
            <w:r w:rsidR="007F1DDE" w:rsidRPr="002B4A95">
              <w:rPr>
                <w:rFonts w:ascii="Cambria" w:hAnsi="Cambria"/>
                <w:noProof/>
                <w:webHidden/>
                <w:sz w:val="20"/>
                <w:szCs w:val="20"/>
              </w:rPr>
              <w:fldChar w:fldCharType="separate"/>
            </w:r>
            <w:r>
              <w:rPr>
                <w:rFonts w:ascii="Cambria" w:hAnsi="Cambria"/>
                <w:noProof/>
                <w:webHidden/>
                <w:sz w:val="20"/>
                <w:szCs w:val="20"/>
              </w:rPr>
              <w:t>19</w:t>
            </w:r>
            <w:r w:rsidR="007F1DDE" w:rsidRPr="002B4A95">
              <w:rPr>
                <w:rFonts w:ascii="Cambria" w:hAnsi="Cambria"/>
                <w:noProof/>
                <w:webHidden/>
                <w:sz w:val="20"/>
                <w:szCs w:val="20"/>
              </w:rPr>
              <w:fldChar w:fldCharType="end"/>
            </w:r>
          </w:hyperlink>
        </w:p>
        <w:p w14:paraId="150558D0" w14:textId="18D6E227" w:rsidR="007F1DDE" w:rsidRPr="002B4A95" w:rsidRDefault="00DA4DA9" w:rsidP="002B4A95">
          <w:pPr>
            <w:pStyle w:val="TOC2"/>
            <w:rPr>
              <w:rFonts w:ascii="Cambria" w:eastAsiaTheme="minorEastAsia" w:hAnsi="Cambria" w:cstheme="minorBidi"/>
              <w:noProof/>
              <w:sz w:val="20"/>
              <w:szCs w:val="20"/>
              <w:bdr w:val="none" w:sz="0" w:space="0" w:color="auto"/>
            </w:rPr>
          </w:pPr>
          <w:hyperlink w:anchor="_Toc446161" w:history="1">
            <w:r w:rsidR="007F1DDE" w:rsidRPr="002B4A95">
              <w:rPr>
                <w:rStyle w:val="Hyperlink"/>
                <w:rFonts w:ascii="Cambria" w:eastAsia="Times New Roman" w:hAnsi="Cambria"/>
                <w:noProof/>
                <w:sz w:val="20"/>
                <w:szCs w:val="20"/>
                <w:lang w:val="es-ES_tradnl"/>
              </w:rPr>
              <w:t>B.</w:t>
            </w:r>
            <w:r w:rsidR="007F1DDE" w:rsidRPr="002B4A95">
              <w:rPr>
                <w:rFonts w:ascii="Cambria" w:eastAsiaTheme="minorEastAsia" w:hAnsi="Cambria" w:cstheme="minorBidi"/>
                <w:noProof/>
                <w:sz w:val="20"/>
                <w:szCs w:val="20"/>
                <w:bdr w:val="none" w:sz="0" w:space="0" w:color="auto"/>
              </w:rPr>
              <w:tab/>
            </w:r>
            <w:r w:rsidR="007F1DDE" w:rsidRPr="002B4A95">
              <w:rPr>
                <w:rStyle w:val="Hyperlink"/>
                <w:rFonts w:ascii="Cambria" w:eastAsia="Times New Roman" w:hAnsi="Cambria"/>
                <w:noProof/>
                <w:sz w:val="20"/>
                <w:szCs w:val="20"/>
              </w:rPr>
              <w:t>Derecho a la libertad de asociación (artículos 16.1, 1.1 y 2 de Convención Americana)</w:t>
            </w:r>
            <w:r w:rsidR="007F1DDE" w:rsidRPr="002B4A95">
              <w:rPr>
                <w:rFonts w:ascii="Cambria" w:hAnsi="Cambria"/>
                <w:noProof/>
                <w:webHidden/>
                <w:sz w:val="20"/>
                <w:szCs w:val="20"/>
              </w:rPr>
              <w:tab/>
            </w:r>
            <w:r w:rsidR="007F1DDE" w:rsidRPr="002B4A95">
              <w:rPr>
                <w:rFonts w:ascii="Cambria" w:hAnsi="Cambria"/>
                <w:noProof/>
                <w:webHidden/>
                <w:sz w:val="20"/>
                <w:szCs w:val="20"/>
              </w:rPr>
              <w:fldChar w:fldCharType="begin"/>
            </w:r>
            <w:r w:rsidR="007F1DDE" w:rsidRPr="002B4A95">
              <w:rPr>
                <w:rFonts w:ascii="Cambria" w:hAnsi="Cambria"/>
                <w:noProof/>
                <w:webHidden/>
                <w:sz w:val="20"/>
                <w:szCs w:val="20"/>
              </w:rPr>
              <w:instrText xml:space="preserve"> PAGEREF _Toc446161 \h </w:instrText>
            </w:r>
            <w:r w:rsidR="007F1DDE" w:rsidRPr="002B4A95">
              <w:rPr>
                <w:rFonts w:ascii="Cambria" w:hAnsi="Cambria"/>
                <w:noProof/>
                <w:webHidden/>
                <w:sz w:val="20"/>
                <w:szCs w:val="20"/>
              </w:rPr>
            </w:r>
            <w:r w:rsidR="007F1DDE" w:rsidRPr="002B4A95">
              <w:rPr>
                <w:rFonts w:ascii="Cambria" w:hAnsi="Cambria"/>
                <w:noProof/>
                <w:webHidden/>
                <w:sz w:val="20"/>
                <w:szCs w:val="20"/>
              </w:rPr>
              <w:fldChar w:fldCharType="separate"/>
            </w:r>
            <w:r>
              <w:rPr>
                <w:rFonts w:ascii="Cambria" w:hAnsi="Cambria"/>
                <w:noProof/>
                <w:webHidden/>
                <w:sz w:val="20"/>
                <w:szCs w:val="20"/>
              </w:rPr>
              <w:t>19</w:t>
            </w:r>
            <w:r w:rsidR="007F1DDE" w:rsidRPr="002B4A95">
              <w:rPr>
                <w:rFonts w:ascii="Cambria" w:hAnsi="Cambria"/>
                <w:noProof/>
                <w:webHidden/>
                <w:sz w:val="20"/>
                <w:szCs w:val="20"/>
              </w:rPr>
              <w:fldChar w:fldCharType="end"/>
            </w:r>
          </w:hyperlink>
        </w:p>
        <w:p w14:paraId="092CE1AF" w14:textId="78C45231" w:rsidR="007F1DDE" w:rsidRPr="002B4A95" w:rsidRDefault="00DA4DA9" w:rsidP="002B4A95">
          <w:pPr>
            <w:pStyle w:val="TOC2"/>
            <w:rPr>
              <w:rFonts w:ascii="Cambria" w:eastAsiaTheme="minorEastAsia" w:hAnsi="Cambria" w:cstheme="minorBidi"/>
              <w:noProof/>
              <w:sz w:val="20"/>
              <w:szCs w:val="20"/>
              <w:bdr w:val="none" w:sz="0" w:space="0" w:color="auto"/>
            </w:rPr>
          </w:pPr>
          <w:hyperlink w:anchor="_Toc446162" w:history="1">
            <w:r w:rsidR="007F1DDE" w:rsidRPr="002B4A95">
              <w:rPr>
                <w:rStyle w:val="Hyperlink"/>
                <w:rFonts w:ascii="Cambria" w:eastAsia="Times New Roman" w:hAnsi="Cambria"/>
                <w:noProof/>
                <w:sz w:val="20"/>
                <w:szCs w:val="20"/>
                <w:lang w:val="es-ES_tradnl"/>
              </w:rPr>
              <w:t>C.</w:t>
            </w:r>
            <w:r w:rsidR="007F1DDE" w:rsidRPr="002B4A95">
              <w:rPr>
                <w:rFonts w:ascii="Cambria" w:eastAsiaTheme="minorEastAsia" w:hAnsi="Cambria" w:cstheme="minorBidi"/>
                <w:noProof/>
                <w:sz w:val="20"/>
                <w:szCs w:val="20"/>
                <w:bdr w:val="none" w:sz="0" w:space="0" w:color="auto"/>
              </w:rPr>
              <w:tab/>
            </w:r>
            <w:r w:rsidR="007F1DDE" w:rsidRPr="002B4A95">
              <w:rPr>
                <w:rStyle w:val="Hyperlink"/>
                <w:rFonts w:ascii="Cambria" w:hAnsi="Cambria"/>
                <w:noProof/>
                <w:sz w:val="20"/>
                <w:szCs w:val="20"/>
              </w:rPr>
              <w:t>El derecho a las garantías judiciales y la protección judicial (artículos 8.1, 25.1 y 1.1 de la Convención Americana y I. b de la CIDFP</w:t>
            </w:r>
            <w:r w:rsidR="007F1DDE" w:rsidRPr="002B4A95">
              <w:rPr>
                <w:rFonts w:ascii="Cambria" w:hAnsi="Cambria"/>
                <w:noProof/>
                <w:webHidden/>
                <w:sz w:val="20"/>
                <w:szCs w:val="20"/>
              </w:rPr>
              <w:tab/>
            </w:r>
            <w:r w:rsidR="007F1DDE" w:rsidRPr="002B4A95">
              <w:rPr>
                <w:rFonts w:ascii="Cambria" w:hAnsi="Cambria"/>
                <w:noProof/>
                <w:webHidden/>
                <w:sz w:val="20"/>
                <w:szCs w:val="20"/>
              </w:rPr>
              <w:fldChar w:fldCharType="begin"/>
            </w:r>
            <w:r w:rsidR="007F1DDE" w:rsidRPr="002B4A95">
              <w:rPr>
                <w:rFonts w:ascii="Cambria" w:hAnsi="Cambria"/>
                <w:noProof/>
                <w:webHidden/>
                <w:sz w:val="20"/>
                <w:szCs w:val="20"/>
              </w:rPr>
              <w:instrText xml:space="preserve"> PAGEREF _Toc446162 \h </w:instrText>
            </w:r>
            <w:r w:rsidR="007F1DDE" w:rsidRPr="002B4A95">
              <w:rPr>
                <w:rFonts w:ascii="Cambria" w:hAnsi="Cambria"/>
                <w:noProof/>
                <w:webHidden/>
                <w:sz w:val="20"/>
                <w:szCs w:val="20"/>
              </w:rPr>
            </w:r>
            <w:r w:rsidR="007F1DDE" w:rsidRPr="002B4A95">
              <w:rPr>
                <w:rFonts w:ascii="Cambria" w:hAnsi="Cambria"/>
                <w:noProof/>
                <w:webHidden/>
                <w:sz w:val="20"/>
                <w:szCs w:val="20"/>
              </w:rPr>
              <w:fldChar w:fldCharType="separate"/>
            </w:r>
            <w:r>
              <w:rPr>
                <w:rFonts w:ascii="Cambria" w:hAnsi="Cambria"/>
                <w:noProof/>
                <w:webHidden/>
                <w:sz w:val="20"/>
                <w:szCs w:val="20"/>
              </w:rPr>
              <w:t>20</w:t>
            </w:r>
            <w:r w:rsidR="007F1DDE" w:rsidRPr="002B4A95">
              <w:rPr>
                <w:rFonts w:ascii="Cambria" w:hAnsi="Cambria"/>
                <w:noProof/>
                <w:webHidden/>
                <w:sz w:val="20"/>
                <w:szCs w:val="20"/>
              </w:rPr>
              <w:fldChar w:fldCharType="end"/>
            </w:r>
          </w:hyperlink>
        </w:p>
        <w:p w14:paraId="19DA99F1" w14:textId="65C52267" w:rsidR="007F1DDE" w:rsidRPr="002B4A95" w:rsidRDefault="00DA4DA9" w:rsidP="002B4A95">
          <w:pPr>
            <w:pStyle w:val="TOC2"/>
            <w:rPr>
              <w:rFonts w:ascii="Cambria" w:eastAsiaTheme="minorEastAsia" w:hAnsi="Cambria" w:cstheme="minorBidi"/>
              <w:noProof/>
              <w:sz w:val="20"/>
              <w:szCs w:val="20"/>
              <w:bdr w:val="none" w:sz="0" w:space="0" w:color="auto"/>
            </w:rPr>
          </w:pPr>
          <w:hyperlink w:anchor="_Toc446163" w:history="1">
            <w:r w:rsidR="007F1DDE" w:rsidRPr="002B4A95">
              <w:rPr>
                <w:rStyle w:val="Hyperlink"/>
                <w:rFonts w:ascii="Cambria" w:eastAsia="Times New Roman" w:hAnsi="Cambria"/>
                <w:noProof/>
                <w:sz w:val="20"/>
                <w:szCs w:val="20"/>
                <w:lang w:val="es-ES_tradnl"/>
              </w:rPr>
              <w:t>D.</w:t>
            </w:r>
            <w:r w:rsidR="007F1DDE" w:rsidRPr="002B4A95">
              <w:rPr>
                <w:rFonts w:ascii="Cambria" w:eastAsiaTheme="minorEastAsia" w:hAnsi="Cambria" w:cstheme="minorBidi"/>
                <w:noProof/>
                <w:sz w:val="20"/>
                <w:szCs w:val="20"/>
                <w:bdr w:val="none" w:sz="0" w:space="0" w:color="auto"/>
              </w:rPr>
              <w:tab/>
            </w:r>
            <w:r w:rsidR="007F1DDE" w:rsidRPr="002B4A95">
              <w:rPr>
                <w:rStyle w:val="Hyperlink"/>
                <w:rFonts w:ascii="Cambria" w:hAnsi="Cambria"/>
                <w:noProof/>
                <w:sz w:val="20"/>
                <w:szCs w:val="20"/>
              </w:rPr>
              <w:t>El derecho a la integridad personal de los familiares (artículos 5.1 y 1.1 de la Convención)</w:t>
            </w:r>
            <w:r w:rsidR="007F1DDE" w:rsidRPr="002B4A95">
              <w:rPr>
                <w:rFonts w:ascii="Cambria" w:hAnsi="Cambria"/>
                <w:noProof/>
                <w:webHidden/>
                <w:sz w:val="20"/>
                <w:szCs w:val="20"/>
              </w:rPr>
              <w:tab/>
            </w:r>
            <w:r w:rsidR="007F1DDE" w:rsidRPr="002B4A95">
              <w:rPr>
                <w:rFonts w:ascii="Cambria" w:hAnsi="Cambria"/>
                <w:noProof/>
                <w:webHidden/>
                <w:sz w:val="20"/>
                <w:szCs w:val="20"/>
              </w:rPr>
              <w:fldChar w:fldCharType="begin"/>
            </w:r>
            <w:r w:rsidR="007F1DDE" w:rsidRPr="002B4A95">
              <w:rPr>
                <w:rFonts w:ascii="Cambria" w:hAnsi="Cambria"/>
                <w:noProof/>
                <w:webHidden/>
                <w:sz w:val="20"/>
                <w:szCs w:val="20"/>
              </w:rPr>
              <w:instrText xml:space="preserve"> PAGEREF _Toc446163 \h </w:instrText>
            </w:r>
            <w:r w:rsidR="007F1DDE" w:rsidRPr="002B4A95">
              <w:rPr>
                <w:rFonts w:ascii="Cambria" w:hAnsi="Cambria"/>
                <w:noProof/>
                <w:webHidden/>
                <w:sz w:val="20"/>
                <w:szCs w:val="20"/>
              </w:rPr>
            </w:r>
            <w:r w:rsidR="007F1DDE" w:rsidRPr="002B4A95">
              <w:rPr>
                <w:rFonts w:ascii="Cambria" w:hAnsi="Cambria"/>
                <w:noProof/>
                <w:webHidden/>
                <w:sz w:val="20"/>
                <w:szCs w:val="20"/>
              </w:rPr>
              <w:fldChar w:fldCharType="separate"/>
            </w:r>
            <w:r>
              <w:rPr>
                <w:rFonts w:ascii="Cambria" w:hAnsi="Cambria"/>
                <w:noProof/>
                <w:webHidden/>
                <w:sz w:val="20"/>
                <w:szCs w:val="20"/>
              </w:rPr>
              <w:t>23</w:t>
            </w:r>
            <w:r w:rsidR="007F1DDE" w:rsidRPr="002B4A95">
              <w:rPr>
                <w:rFonts w:ascii="Cambria" w:hAnsi="Cambria"/>
                <w:noProof/>
                <w:webHidden/>
                <w:sz w:val="20"/>
                <w:szCs w:val="20"/>
              </w:rPr>
              <w:fldChar w:fldCharType="end"/>
            </w:r>
          </w:hyperlink>
        </w:p>
        <w:p w14:paraId="72508232" w14:textId="7B229DF5" w:rsidR="007F1DDE" w:rsidRPr="002B4A95" w:rsidRDefault="00DA4DA9">
          <w:pPr>
            <w:pStyle w:val="TOC1"/>
            <w:rPr>
              <w:rFonts w:eastAsiaTheme="minorEastAsia" w:cstheme="minorBidi"/>
              <w:b w:val="0"/>
              <w:bdr w:val="none" w:sz="0" w:space="0" w:color="auto"/>
              <w:lang w:val="en-US"/>
            </w:rPr>
          </w:pPr>
          <w:hyperlink w:anchor="_Toc446164" w:history="1">
            <w:r w:rsidR="007F1DDE" w:rsidRPr="002B4A95">
              <w:rPr>
                <w:rStyle w:val="Hyperlink"/>
              </w:rPr>
              <w:t>V.</w:t>
            </w:r>
            <w:r w:rsidR="007F1DDE" w:rsidRPr="002B4A95">
              <w:rPr>
                <w:rFonts w:eastAsiaTheme="minorEastAsia" w:cstheme="minorBidi"/>
                <w:b w:val="0"/>
                <w:bdr w:val="none" w:sz="0" w:space="0" w:color="auto"/>
                <w:lang w:val="en-US"/>
              </w:rPr>
              <w:tab/>
            </w:r>
            <w:r w:rsidR="007F1DDE" w:rsidRPr="002B4A95">
              <w:rPr>
                <w:rStyle w:val="Hyperlink"/>
                <w:rFonts w:eastAsia="Cambria"/>
              </w:rPr>
              <w:t>CONCLUSIONES Y RECOMENDACIONES</w:t>
            </w:r>
            <w:r w:rsidR="007F1DDE" w:rsidRPr="002B4A95">
              <w:rPr>
                <w:webHidden/>
              </w:rPr>
              <w:tab/>
            </w:r>
            <w:r w:rsidR="007F1DDE" w:rsidRPr="002B4A95">
              <w:rPr>
                <w:webHidden/>
              </w:rPr>
              <w:fldChar w:fldCharType="begin"/>
            </w:r>
            <w:r w:rsidR="007F1DDE" w:rsidRPr="002B4A95">
              <w:rPr>
                <w:webHidden/>
              </w:rPr>
              <w:instrText xml:space="preserve"> PAGEREF _Toc446164 \h </w:instrText>
            </w:r>
            <w:r w:rsidR="007F1DDE" w:rsidRPr="002B4A95">
              <w:rPr>
                <w:webHidden/>
              </w:rPr>
            </w:r>
            <w:r w:rsidR="007F1DDE" w:rsidRPr="002B4A95">
              <w:rPr>
                <w:webHidden/>
              </w:rPr>
              <w:fldChar w:fldCharType="separate"/>
            </w:r>
            <w:r>
              <w:rPr>
                <w:webHidden/>
              </w:rPr>
              <w:t>23</w:t>
            </w:r>
            <w:r w:rsidR="007F1DDE" w:rsidRPr="002B4A95">
              <w:rPr>
                <w:webHidden/>
              </w:rPr>
              <w:fldChar w:fldCharType="end"/>
            </w:r>
          </w:hyperlink>
        </w:p>
        <w:p w14:paraId="44A253D4" w14:textId="459C514E" w:rsidR="00A44513" w:rsidRPr="002B4A95" w:rsidRDefault="00A44513">
          <w:pPr>
            <w:rPr>
              <w:rFonts w:ascii="Cambria" w:hAnsi="Cambria"/>
              <w:sz w:val="20"/>
              <w:szCs w:val="20"/>
            </w:rPr>
          </w:pPr>
          <w:r w:rsidRPr="002B4A95">
            <w:rPr>
              <w:rFonts w:ascii="Cambria" w:hAnsi="Cambria"/>
              <w:b/>
              <w:bCs/>
              <w:noProof/>
              <w:sz w:val="20"/>
              <w:szCs w:val="20"/>
            </w:rPr>
            <w:fldChar w:fldCharType="end"/>
          </w:r>
        </w:p>
      </w:sdtContent>
    </w:sdt>
    <w:p w14:paraId="67D94FF6" w14:textId="77777777" w:rsidR="00EC310A" w:rsidRPr="002B4A95" w:rsidRDefault="00EC310A" w:rsidP="00E923BB">
      <w:pPr>
        <w:pStyle w:val="Body"/>
        <w:suppressAutoHyphens/>
        <w:ind w:firstLine="249"/>
        <w:jc w:val="center"/>
        <w:rPr>
          <w:b/>
          <w:bCs/>
          <w:lang w:val="es-ES"/>
        </w:rPr>
      </w:pPr>
    </w:p>
    <w:p w14:paraId="16DD7380" w14:textId="77777777" w:rsidR="00EC310A" w:rsidRPr="002B4A95" w:rsidRDefault="00EC310A" w:rsidP="00E923BB">
      <w:pPr>
        <w:pStyle w:val="Body"/>
        <w:suppressAutoHyphens/>
        <w:spacing w:line="276" w:lineRule="auto"/>
        <w:ind w:firstLine="249"/>
        <w:jc w:val="center"/>
        <w:rPr>
          <w:lang w:val="es-ES"/>
        </w:rPr>
      </w:pPr>
    </w:p>
    <w:p w14:paraId="48A4B4E4" w14:textId="77777777" w:rsidR="00EC310A" w:rsidRPr="006E763F" w:rsidRDefault="009E7E98" w:rsidP="00E923BB">
      <w:pPr>
        <w:pStyle w:val="Body"/>
        <w:ind w:firstLine="249"/>
        <w:jc w:val="center"/>
        <w:rPr>
          <w:lang w:val="es-ES"/>
        </w:rPr>
      </w:pPr>
      <w:r w:rsidRPr="006E763F">
        <w:rPr>
          <w:lang w:val="es-ES"/>
        </w:rPr>
        <w:br w:type="page"/>
      </w:r>
    </w:p>
    <w:p w14:paraId="6AEAAEC2" w14:textId="77777777" w:rsidR="00A56231" w:rsidRPr="00240DE0" w:rsidRDefault="00A56231" w:rsidP="00A56231">
      <w:pPr>
        <w:pStyle w:val="Body"/>
        <w:suppressAutoHyphens/>
        <w:spacing w:line="276" w:lineRule="auto"/>
        <w:ind w:firstLine="249"/>
        <w:jc w:val="center"/>
        <w:rPr>
          <w:b/>
          <w:bCs/>
          <w:sz w:val="18"/>
          <w:lang w:val="es-ES"/>
        </w:rPr>
      </w:pPr>
      <w:r>
        <w:rPr>
          <w:b/>
          <w:bCs/>
          <w:sz w:val="18"/>
          <w:lang w:val="es-ES"/>
        </w:rPr>
        <w:lastRenderedPageBreak/>
        <w:t>INFORME No. 149</w:t>
      </w:r>
      <w:r w:rsidRPr="00240DE0">
        <w:rPr>
          <w:b/>
          <w:bCs/>
          <w:sz w:val="18"/>
          <w:lang w:val="es-ES"/>
        </w:rPr>
        <w:t>/18</w:t>
      </w:r>
    </w:p>
    <w:p w14:paraId="483F325A" w14:textId="77777777" w:rsidR="00A56231" w:rsidRPr="00240DE0" w:rsidRDefault="00A56231" w:rsidP="00A56231">
      <w:pPr>
        <w:pStyle w:val="Body"/>
        <w:suppressAutoHyphens/>
        <w:spacing w:line="276" w:lineRule="auto"/>
        <w:ind w:firstLine="249"/>
        <w:jc w:val="center"/>
        <w:rPr>
          <w:b/>
          <w:bCs/>
          <w:sz w:val="18"/>
          <w:lang w:val="es-ES"/>
        </w:rPr>
      </w:pPr>
      <w:r w:rsidRPr="00240DE0">
        <w:rPr>
          <w:b/>
          <w:bCs/>
          <w:sz w:val="18"/>
          <w:lang w:val="es-ES"/>
        </w:rPr>
        <w:t>CASO 11.641</w:t>
      </w:r>
    </w:p>
    <w:p w14:paraId="3B7B737F" w14:textId="77777777" w:rsidR="00A56231" w:rsidRPr="00240DE0" w:rsidRDefault="00A56231" w:rsidP="00A56231">
      <w:pPr>
        <w:pStyle w:val="Body"/>
        <w:suppressAutoHyphens/>
        <w:spacing w:line="276" w:lineRule="auto"/>
        <w:ind w:firstLine="249"/>
        <w:jc w:val="center"/>
        <w:rPr>
          <w:sz w:val="18"/>
          <w:lang w:val="es-ES"/>
        </w:rPr>
      </w:pPr>
      <w:r w:rsidRPr="00240DE0">
        <w:rPr>
          <w:sz w:val="18"/>
          <w:lang w:val="es-ES"/>
        </w:rPr>
        <w:t>FONDO</w:t>
      </w:r>
    </w:p>
    <w:p w14:paraId="0A0AAFF3" w14:textId="77777777" w:rsidR="00A56231" w:rsidRPr="00240DE0" w:rsidRDefault="00A56231" w:rsidP="00A56231">
      <w:pPr>
        <w:pStyle w:val="Body"/>
        <w:suppressAutoHyphens/>
        <w:spacing w:line="276" w:lineRule="auto"/>
        <w:ind w:firstLine="249"/>
        <w:jc w:val="center"/>
        <w:rPr>
          <w:sz w:val="18"/>
          <w:lang w:val="es-ES"/>
        </w:rPr>
      </w:pPr>
      <w:r w:rsidRPr="00240DE0">
        <w:rPr>
          <w:sz w:val="18"/>
          <w:lang w:val="es-ES"/>
        </w:rPr>
        <w:t>PEDRO JULIO MOVILLA GALARCIO</w:t>
      </w:r>
      <w:r>
        <w:rPr>
          <w:sz w:val="18"/>
          <w:lang w:val="es-ES"/>
        </w:rPr>
        <w:t xml:space="preserve"> Y FAMILIARES</w:t>
      </w:r>
    </w:p>
    <w:p w14:paraId="570CA477" w14:textId="77777777" w:rsidR="00A56231" w:rsidRPr="00240DE0" w:rsidRDefault="00A56231" w:rsidP="00A56231">
      <w:pPr>
        <w:pStyle w:val="Body"/>
        <w:suppressAutoHyphens/>
        <w:spacing w:line="276" w:lineRule="auto"/>
        <w:ind w:firstLine="249"/>
        <w:jc w:val="center"/>
        <w:rPr>
          <w:sz w:val="18"/>
          <w:lang w:val="es-ES"/>
        </w:rPr>
      </w:pPr>
      <w:r w:rsidRPr="00240DE0">
        <w:rPr>
          <w:sz w:val="18"/>
          <w:lang w:val="es-ES"/>
        </w:rPr>
        <w:t>COLOMBIA</w:t>
      </w:r>
    </w:p>
    <w:p w14:paraId="1B0E42FF" w14:textId="77777777" w:rsidR="00A56231" w:rsidRPr="00240DE0" w:rsidRDefault="00A56231" w:rsidP="00A56231">
      <w:pPr>
        <w:pStyle w:val="Body"/>
        <w:suppressAutoHyphens/>
        <w:spacing w:line="276" w:lineRule="auto"/>
        <w:ind w:firstLine="249"/>
        <w:jc w:val="center"/>
        <w:rPr>
          <w:sz w:val="18"/>
          <w:lang w:val="es-ES"/>
        </w:rPr>
      </w:pPr>
      <w:r>
        <w:rPr>
          <w:sz w:val="18"/>
          <w:lang w:val="es-ES"/>
        </w:rPr>
        <w:t>7 DE DICIEMBRE DE 2018</w:t>
      </w:r>
    </w:p>
    <w:p w14:paraId="2FF1630E" w14:textId="77777777" w:rsidR="00CE18CC" w:rsidRPr="006E763F" w:rsidRDefault="00CE18CC" w:rsidP="00A44513">
      <w:pPr>
        <w:pStyle w:val="ListParagraph"/>
        <w:suppressAutoHyphens/>
        <w:ind w:left="0" w:firstLine="249"/>
        <w:rPr>
          <w:b/>
          <w:bCs/>
          <w:sz w:val="20"/>
          <w:szCs w:val="20"/>
          <w:lang w:val="es-ES"/>
        </w:rPr>
      </w:pPr>
    </w:p>
    <w:p w14:paraId="65DD0093" w14:textId="77777777" w:rsidR="00EC310A" w:rsidRPr="006E763F" w:rsidRDefault="00122FA8" w:rsidP="00E923BB">
      <w:pPr>
        <w:pStyle w:val="Heading1"/>
        <w:rPr>
          <w:rFonts w:eastAsia="Times New Roman" w:cs="Times New Roman"/>
        </w:rPr>
      </w:pPr>
      <w:bookmarkStart w:id="0" w:name="_Toc446142"/>
      <w:r w:rsidRPr="006E763F">
        <w:t>RESUMEN</w:t>
      </w:r>
      <w:bookmarkEnd w:id="0"/>
    </w:p>
    <w:p w14:paraId="6A6BF159" w14:textId="77777777" w:rsidR="00EC310A" w:rsidRPr="006E763F" w:rsidRDefault="00EC310A" w:rsidP="00E923BB">
      <w:pPr>
        <w:pStyle w:val="Body"/>
        <w:suppressAutoHyphens/>
        <w:ind w:firstLine="249"/>
        <w:rPr>
          <w:b/>
          <w:bCs/>
          <w:lang w:val="es-ES"/>
        </w:rPr>
      </w:pPr>
    </w:p>
    <w:p w14:paraId="4A16DD64" w14:textId="37FEE830" w:rsidR="00EC310A" w:rsidRPr="006E763F" w:rsidRDefault="009E7E98" w:rsidP="00E923BB">
      <w:pPr>
        <w:pStyle w:val="Body"/>
        <w:numPr>
          <w:ilvl w:val="0"/>
          <w:numId w:val="2"/>
        </w:numPr>
        <w:ind w:firstLine="720"/>
        <w:rPr>
          <w:lang w:val="es-ES"/>
        </w:rPr>
      </w:pPr>
      <w:r w:rsidRPr="006E763F">
        <w:rPr>
          <w:lang w:val="es-ES"/>
        </w:rPr>
        <w:t>El 17 de junio de 1996 la Comisión Interamericana de Derechos Humanos (en adelante “la Comisión Interamericana”, “la Comisión” o “la CIDH”) recibió una petición presentada por la Corporación Colectivo de Abogados “José Alvear Restrepo” (CCAJAR) (en adelante “la parte peticionaria”)</w:t>
      </w:r>
      <w:r w:rsidR="003843DE" w:rsidRPr="006E763F">
        <w:rPr>
          <w:lang w:val="es-ES"/>
        </w:rPr>
        <w:t>,</w:t>
      </w:r>
      <w:r w:rsidRPr="006E763F">
        <w:rPr>
          <w:lang w:val="es-ES"/>
        </w:rPr>
        <w:t xml:space="preserve"> en la cual se alega la responsabilidad internacional de la República de Colombia (en adelante “el Estado colombiano”, “el Estado” o “Colombia”) en perjuicio de Pedro Julio Movilla Galarcio. </w:t>
      </w:r>
    </w:p>
    <w:p w14:paraId="6A381B0B" w14:textId="77777777" w:rsidR="00EC310A" w:rsidRPr="006E763F" w:rsidRDefault="00EC310A" w:rsidP="00E923BB">
      <w:pPr>
        <w:pStyle w:val="Body"/>
        <w:ind w:firstLine="249"/>
        <w:rPr>
          <w:lang w:val="es-ES"/>
        </w:rPr>
      </w:pPr>
    </w:p>
    <w:p w14:paraId="05726D69" w14:textId="55B53F54" w:rsidR="00EC310A" w:rsidRPr="006E763F" w:rsidRDefault="009E7E98" w:rsidP="00E923BB">
      <w:pPr>
        <w:pStyle w:val="Body"/>
        <w:numPr>
          <w:ilvl w:val="0"/>
          <w:numId w:val="2"/>
        </w:numPr>
        <w:ind w:firstLine="720"/>
        <w:rPr>
          <w:lang w:val="es-ES"/>
        </w:rPr>
      </w:pPr>
      <w:r w:rsidRPr="006E763F">
        <w:rPr>
          <w:lang w:val="es-ES"/>
        </w:rPr>
        <w:t>La Comisión aprobó el informe de admisibilidad No. 48/14 el 24 de julio de 2014</w:t>
      </w:r>
      <w:r w:rsidRPr="006E763F">
        <w:rPr>
          <w:vertAlign w:val="superscript"/>
          <w:lang w:val="es-ES"/>
        </w:rPr>
        <w:footnoteReference w:id="2"/>
      </w:r>
      <w:r w:rsidR="008641D9" w:rsidRPr="006E763F">
        <w:rPr>
          <w:lang w:val="es-ES"/>
        </w:rPr>
        <w:t xml:space="preserve">, el cual fue notificado a las partes, poniéndose </w:t>
      </w:r>
      <w:r w:rsidRPr="006E763F">
        <w:rPr>
          <w:lang w:val="es-ES"/>
        </w:rPr>
        <w:t xml:space="preserve">a su disposición a fin de llegar a una solución amistosa. Las partes contaron con los plazos reglamentarios para presentar sus observaciones adicionales sobre el fondo. Toda la información recibida fue debidamente trasladada entre las partes. </w:t>
      </w:r>
    </w:p>
    <w:p w14:paraId="11DC04A7" w14:textId="77777777" w:rsidR="00EC310A" w:rsidRPr="006E763F" w:rsidRDefault="00EC310A" w:rsidP="00E923BB">
      <w:pPr>
        <w:pStyle w:val="Body"/>
        <w:suppressAutoHyphens/>
        <w:ind w:firstLine="249"/>
        <w:rPr>
          <w:lang w:val="es-ES"/>
        </w:rPr>
      </w:pPr>
    </w:p>
    <w:p w14:paraId="40AB344A" w14:textId="63990470" w:rsidR="00EC310A" w:rsidRPr="006E763F" w:rsidRDefault="00097B36" w:rsidP="00E923BB">
      <w:pPr>
        <w:pStyle w:val="Body"/>
        <w:numPr>
          <w:ilvl w:val="0"/>
          <w:numId w:val="2"/>
        </w:numPr>
        <w:ind w:firstLine="720"/>
        <w:rPr>
          <w:shd w:val="clear" w:color="auto" w:fill="FFFF00"/>
          <w:lang w:val="es-ES"/>
        </w:rPr>
      </w:pPr>
      <w:r w:rsidRPr="006E763F">
        <w:rPr>
          <w:lang w:val="es-VE"/>
        </w:rPr>
        <w:t xml:space="preserve">La parte peticionaria alegó que el 13 de mayo de 1993 a las 8.00 a.m., Pedro Julio Movilla Galarcio desapareció luego de dejar a su hija en el colegio. Atribuyó la desaparición al Estado </w:t>
      </w:r>
      <w:r w:rsidR="004411DD" w:rsidRPr="006E763F">
        <w:rPr>
          <w:lang w:val="es-VE"/>
        </w:rPr>
        <w:t xml:space="preserve">e indicó que </w:t>
      </w:r>
      <w:r w:rsidR="006F60C7" w:rsidRPr="006E763F">
        <w:rPr>
          <w:lang w:val="es-VE"/>
        </w:rPr>
        <w:t>estuvo motivada</w:t>
      </w:r>
      <w:r w:rsidR="00157885" w:rsidRPr="006E763F">
        <w:rPr>
          <w:lang w:val="es-VE"/>
        </w:rPr>
        <w:t xml:space="preserve"> en </w:t>
      </w:r>
      <w:r w:rsidRPr="006E763F">
        <w:rPr>
          <w:lang w:val="es-VE"/>
        </w:rPr>
        <w:t>su actividad política y sindical. Indicó que</w:t>
      </w:r>
      <w:r w:rsidR="00A436BC" w:rsidRPr="006E763F">
        <w:rPr>
          <w:lang w:val="es-VE"/>
        </w:rPr>
        <w:t xml:space="preserve"> a</w:t>
      </w:r>
      <w:r w:rsidRPr="006E763F">
        <w:rPr>
          <w:lang w:val="es-VE"/>
        </w:rPr>
        <w:t xml:space="preserve"> la fecha no se conoce el paradero de la presunta víctima y alegó la falta de una investigación efec</w:t>
      </w:r>
      <w:r w:rsidR="004411DD" w:rsidRPr="006E763F">
        <w:rPr>
          <w:lang w:val="es-VE"/>
        </w:rPr>
        <w:t>tiva</w:t>
      </w:r>
      <w:r w:rsidR="001E7DC2" w:rsidRPr="006E763F">
        <w:rPr>
          <w:lang w:val="es-VE"/>
        </w:rPr>
        <w:t>.</w:t>
      </w:r>
      <w:r w:rsidR="004411DD" w:rsidRPr="006E763F">
        <w:rPr>
          <w:lang w:val="es-VE"/>
        </w:rPr>
        <w:t xml:space="preserve"> </w:t>
      </w:r>
    </w:p>
    <w:p w14:paraId="0301C883" w14:textId="77777777" w:rsidR="00EC310A" w:rsidRPr="006E763F" w:rsidRDefault="00EC310A" w:rsidP="00E923BB">
      <w:pPr>
        <w:pStyle w:val="Body"/>
        <w:ind w:firstLine="249"/>
        <w:rPr>
          <w:shd w:val="clear" w:color="auto" w:fill="FFFF00"/>
          <w:lang w:val="es-ES"/>
        </w:rPr>
      </w:pPr>
    </w:p>
    <w:p w14:paraId="767603F5" w14:textId="74A1129F" w:rsidR="000234D5" w:rsidRPr="006E763F" w:rsidRDefault="000234D5" w:rsidP="00E923BB">
      <w:pPr>
        <w:pStyle w:val="Body"/>
        <w:numPr>
          <w:ilvl w:val="0"/>
          <w:numId w:val="2"/>
        </w:numPr>
        <w:ind w:firstLine="720"/>
        <w:rPr>
          <w:lang w:val="es-VE"/>
        </w:rPr>
      </w:pPr>
      <w:r w:rsidRPr="006E763F">
        <w:rPr>
          <w:lang w:val="es-VE"/>
        </w:rPr>
        <w:t xml:space="preserve">El Estado indicó que ha </w:t>
      </w:r>
      <w:r w:rsidR="00D33337" w:rsidRPr="006E763F">
        <w:rPr>
          <w:lang w:val="es-VE"/>
        </w:rPr>
        <w:t xml:space="preserve">llevado a cabo los procesos internos para </w:t>
      </w:r>
      <w:r w:rsidRPr="006E763F">
        <w:rPr>
          <w:lang w:val="es-VE"/>
        </w:rPr>
        <w:t xml:space="preserve">la búsqueda de Pedro Julio Movilla Galarcio así como a la persecución de los responsables. Alegó que no es responsable internacionalmente </w:t>
      </w:r>
      <w:r w:rsidR="00872DC5" w:rsidRPr="006E763F">
        <w:rPr>
          <w:lang w:val="es-VE"/>
        </w:rPr>
        <w:t>por</w:t>
      </w:r>
      <w:r w:rsidRPr="006E763F">
        <w:rPr>
          <w:lang w:val="es-VE"/>
        </w:rPr>
        <w:t xml:space="preserve"> la desaparición al no existir prueba suficiente que demuestre que fue vist</w:t>
      </w:r>
      <w:r w:rsidR="006C6D4B" w:rsidRPr="006E763F">
        <w:rPr>
          <w:lang w:val="es-VE"/>
        </w:rPr>
        <w:t>a</w:t>
      </w:r>
      <w:r w:rsidRPr="006E763F">
        <w:rPr>
          <w:lang w:val="es-VE"/>
        </w:rPr>
        <w:t xml:space="preserve"> por última vez en manos de agentes del </w:t>
      </w:r>
      <w:r w:rsidR="00DA1E62" w:rsidRPr="006E763F">
        <w:rPr>
          <w:lang w:val="es-VE"/>
        </w:rPr>
        <w:t>E</w:t>
      </w:r>
      <w:r w:rsidR="009C3065">
        <w:rPr>
          <w:lang w:val="es-VE"/>
        </w:rPr>
        <w:t>stado</w:t>
      </w:r>
      <w:r w:rsidRPr="006E763F">
        <w:rPr>
          <w:lang w:val="es-VE"/>
        </w:rPr>
        <w:t xml:space="preserve"> ni tampoco lo es respecto </w:t>
      </w:r>
      <w:r w:rsidR="005C6902" w:rsidRPr="006E763F">
        <w:rPr>
          <w:lang w:val="es-VE"/>
        </w:rPr>
        <w:t>de</w:t>
      </w:r>
      <w:r w:rsidRPr="006E763F">
        <w:rPr>
          <w:lang w:val="es-VE"/>
        </w:rPr>
        <w:t xml:space="preserve"> las demás violaciones</w:t>
      </w:r>
      <w:r w:rsidR="005C6902" w:rsidRPr="006E763F">
        <w:rPr>
          <w:lang w:val="es-VE"/>
        </w:rPr>
        <w:t xml:space="preserve"> alegadas</w:t>
      </w:r>
      <w:r w:rsidRPr="006E763F">
        <w:rPr>
          <w:lang w:val="es-VE"/>
        </w:rPr>
        <w:t xml:space="preserve">. </w:t>
      </w:r>
    </w:p>
    <w:p w14:paraId="2882BAF4" w14:textId="77777777" w:rsidR="00EC310A" w:rsidRPr="009C3065" w:rsidRDefault="00EC310A" w:rsidP="00E923BB">
      <w:pPr>
        <w:rPr>
          <w:rFonts w:ascii="Cambria" w:hAnsi="Cambria"/>
          <w:sz w:val="20"/>
          <w:szCs w:val="20"/>
          <w:lang w:val="es-VE"/>
        </w:rPr>
      </w:pPr>
    </w:p>
    <w:p w14:paraId="187B2BCE" w14:textId="0A9BEAD9" w:rsidR="00CF490C" w:rsidRPr="006E763F" w:rsidRDefault="009E7E98" w:rsidP="00E923BB">
      <w:pPr>
        <w:pStyle w:val="Body"/>
        <w:numPr>
          <w:ilvl w:val="0"/>
          <w:numId w:val="2"/>
        </w:numPr>
        <w:ind w:firstLine="720"/>
        <w:rPr>
          <w:lang w:val="es-ES"/>
        </w:rPr>
      </w:pPr>
      <w:r w:rsidRPr="006E763F">
        <w:rPr>
          <w:lang w:val="es-ES"/>
        </w:rPr>
        <w:t xml:space="preserve">Con base en las determinaciones de hecho y de derecho, la Comisión concluyó que </w:t>
      </w:r>
      <w:r w:rsidR="00CF490C" w:rsidRPr="006E763F">
        <w:rPr>
          <w:u w:color="548DD4"/>
          <w:lang w:val="es-ES"/>
        </w:rPr>
        <w:t xml:space="preserve">el Estado colombiano es responsable por la violación de los derechos al reconocimiento de la personalidad jurídica, a la vida, a la integridad personal, a la libertad personal, a las garantías judiciales, a la libertad de asociación y a la protección judicial consagrados en los artículos </w:t>
      </w:r>
      <w:r w:rsidR="00CF490C" w:rsidRPr="006E763F">
        <w:rPr>
          <w:rFonts w:cs="Verdana"/>
          <w:bdr w:val="none" w:sz="0" w:space="0" w:color="auto" w:frame="1"/>
          <w:lang w:val="es-ES"/>
        </w:rPr>
        <w:t>3, 4.1, 5.1, 7.1, 8.1, 16 y 25.1</w:t>
      </w:r>
      <w:r w:rsidR="009C3065">
        <w:rPr>
          <w:rFonts w:cs="Verdana"/>
          <w:bdr w:val="none" w:sz="0" w:space="0" w:color="auto" w:frame="1"/>
          <w:lang w:val="es-ES"/>
        </w:rPr>
        <w:t xml:space="preserve"> de la Convención Americana sobre Derechos Humanos (en adelante “la Convención” o “la Convención Americana”)</w:t>
      </w:r>
      <w:r w:rsidR="00CF490C" w:rsidRPr="006E763F">
        <w:rPr>
          <w:rFonts w:cs="Verdana"/>
          <w:bdr w:val="none" w:sz="0" w:space="0" w:color="auto" w:frame="1"/>
          <w:lang w:val="es-ES"/>
        </w:rPr>
        <w:t xml:space="preserve"> en relación con los </w:t>
      </w:r>
      <w:r w:rsidR="00CF490C" w:rsidRPr="006E763F">
        <w:rPr>
          <w:rFonts w:cs="Times New Roman"/>
          <w:lang w:val="es-ES"/>
        </w:rPr>
        <w:t>artículos</w:t>
      </w:r>
      <w:r w:rsidR="00CF490C" w:rsidRPr="006E763F">
        <w:rPr>
          <w:rFonts w:cs="Verdana"/>
          <w:bdr w:val="none" w:sz="0" w:space="0" w:color="auto" w:frame="1"/>
          <w:lang w:val="es-ES"/>
        </w:rPr>
        <w:t xml:space="preserve"> 1.1 y 2 del mismo instrumento en perjuicio de las personas que se indican a lo largo del presente informe. Asimismo, la Comisión concluye que el Estado es responsable por la violación de los artículos I.a) y b) de la Convención Interamericana sobre Desaparición Forzada de Personas (en adelante “la CIDFP”). </w:t>
      </w:r>
      <w:r w:rsidR="00CF490C" w:rsidRPr="006E763F">
        <w:rPr>
          <w:lang w:val="es-ES"/>
        </w:rPr>
        <w:t>La Comisión formuló las recomendaciones respectivas.</w:t>
      </w:r>
    </w:p>
    <w:p w14:paraId="30991E61" w14:textId="77777777" w:rsidR="00CF490C" w:rsidRPr="006E763F" w:rsidRDefault="00CF490C" w:rsidP="00E923BB">
      <w:pPr>
        <w:pStyle w:val="Body"/>
        <w:ind w:left="720" w:firstLine="0"/>
        <w:rPr>
          <w:lang w:val="es-ES"/>
        </w:rPr>
      </w:pPr>
    </w:p>
    <w:p w14:paraId="209E8CDA" w14:textId="77777777" w:rsidR="00EC310A" w:rsidRPr="006E763F" w:rsidRDefault="009E7E98" w:rsidP="00E923BB">
      <w:pPr>
        <w:pStyle w:val="Heading1"/>
        <w:rPr>
          <w:rFonts w:eastAsia="Times New Roman" w:cs="Times New Roman"/>
        </w:rPr>
      </w:pPr>
      <w:bookmarkStart w:id="1" w:name="_Toc446143"/>
      <w:r w:rsidRPr="006E763F">
        <w:t>ALEGATOS DE LAS PARTES</w:t>
      </w:r>
      <w:bookmarkEnd w:id="1"/>
    </w:p>
    <w:p w14:paraId="7D8E4396" w14:textId="77777777" w:rsidR="00EC310A" w:rsidRPr="006E763F" w:rsidRDefault="00EC310A" w:rsidP="00E923BB">
      <w:pPr>
        <w:pStyle w:val="ListParagraph"/>
        <w:suppressAutoHyphens/>
        <w:ind w:firstLine="249"/>
        <w:rPr>
          <w:b/>
          <w:bCs/>
          <w:sz w:val="20"/>
          <w:szCs w:val="20"/>
          <w:lang w:val="es-ES"/>
        </w:rPr>
      </w:pPr>
    </w:p>
    <w:p w14:paraId="55C3BAC4" w14:textId="5FCBD365" w:rsidR="00EC310A" w:rsidRPr="00E923BB" w:rsidRDefault="00CE18CC" w:rsidP="007F1DDE">
      <w:pPr>
        <w:pStyle w:val="Heading2"/>
        <w:ind w:firstLine="634"/>
      </w:pPr>
      <w:bookmarkStart w:id="2" w:name="_Toc446144"/>
      <w:r w:rsidRPr="00E923BB">
        <w:t>La parte peticionaria</w:t>
      </w:r>
      <w:bookmarkEnd w:id="2"/>
      <w:r w:rsidR="009E7E98" w:rsidRPr="00E923BB">
        <w:t xml:space="preserve"> </w:t>
      </w:r>
    </w:p>
    <w:p w14:paraId="50E0D2FC" w14:textId="77777777" w:rsidR="00EC310A" w:rsidRPr="006E763F" w:rsidRDefault="00EC310A" w:rsidP="00E923BB">
      <w:pPr>
        <w:pStyle w:val="Body"/>
        <w:ind w:left="720" w:firstLine="249"/>
        <w:rPr>
          <w:lang w:val="es-ES"/>
        </w:rPr>
      </w:pPr>
    </w:p>
    <w:p w14:paraId="27BEE27B" w14:textId="77777777" w:rsidR="009C3065" w:rsidRDefault="009E7E98" w:rsidP="00E923BB">
      <w:pPr>
        <w:pStyle w:val="Body"/>
        <w:numPr>
          <w:ilvl w:val="0"/>
          <w:numId w:val="2"/>
        </w:numPr>
        <w:ind w:firstLine="720"/>
        <w:rPr>
          <w:lang w:val="es-ES"/>
        </w:rPr>
      </w:pPr>
      <w:r w:rsidRPr="006E763F">
        <w:rPr>
          <w:lang w:val="es-ES"/>
        </w:rPr>
        <w:t xml:space="preserve">Indicó que Pedro Julio Movilla Galarcio fue un destacado líder sindical, militante político de izquierda y activista social colombiano. </w:t>
      </w:r>
      <w:r w:rsidR="00836DCC" w:rsidRPr="006E763F">
        <w:rPr>
          <w:lang w:val="es-ES"/>
        </w:rPr>
        <w:t>Señaló que d</w:t>
      </w:r>
      <w:r w:rsidRPr="006E763F">
        <w:rPr>
          <w:lang w:val="es-ES"/>
        </w:rPr>
        <w:t>ebido a sus actividades tuvo que desplazarse forz</w:t>
      </w:r>
      <w:r w:rsidR="000E4048" w:rsidRPr="006E763F">
        <w:rPr>
          <w:lang w:val="es-ES"/>
        </w:rPr>
        <w:t>adamente</w:t>
      </w:r>
      <w:r w:rsidRPr="006E763F">
        <w:rPr>
          <w:lang w:val="es-ES"/>
        </w:rPr>
        <w:t xml:space="preserve"> hasta en dos oportunidades, por lo que su último lugar de residencia fue Bogotá.</w:t>
      </w:r>
      <w:r w:rsidR="0039220E" w:rsidRPr="006E763F">
        <w:rPr>
          <w:lang w:val="es-ES"/>
        </w:rPr>
        <w:t xml:space="preserve"> </w:t>
      </w:r>
      <w:r w:rsidRPr="006E763F">
        <w:rPr>
          <w:lang w:val="es-ES"/>
        </w:rPr>
        <w:t>Relató que el 13 de mayo de 1993, Pedro Julio Movilla Galarcio sa</w:t>
      </w:r>
      <w:r w:rsidR="002978A7" w:rsidRPr="006E763F">
        <w:rPr>
          <w:lang w:val="es-ES"/>
        </w:rPr>
        <w:t>lió de su casa, a las 8:00 a.m.</w:t>
      </w:r>
      <w:r w:rsidRPr="006E763F">
        <w:rPr>
          <w:lang w:val="es-ES"/>
        </w:rPr>
        <w:t xml:space="preserve"> para dejar a su hija en la entrada de </w:t>
      </w:r>
      <w:r w:rsidR="0039220E" w:rsidRPr="006E763F">
        <w:rPr>
          <w:lang w:val="es-ES"/>
        </w:rPr>
        <w:t>escuela</w:t>
      </w:r>
      <w:r w:rsidRPr="006E763F">
        <w:rPr>
          <w:lang w:val="es-ES"/>
        </w:rPr>
        <w:t>.</w:t>
      </w:r>
    </w:p>
    <w:p w14:paraId="0D2CFB58" w14:textId="77777777" w:rsidR="00A56231" w:rsidRDefault="00A56231" w:rsidP="00A56231">
      <w:pPr>
        <w:pStyle w:val="Body"/>
        <w:rPr>
          <w:lang w:val="es-ES"/>
        </w:rPr>
      </w:pPr>
    </w:p>
    <w:p w14:paraId="11B3161E" w14:textId="77777777" w:rsidR="00A56231" w:rsidRDefault="00A56231" w:rsidP="00A56231">
      <w:pPr>
        <w:pStyle w:val="Body"/>
        <w:rPr>
          <w:lang w:val="es-ES"/>
        </w:rPr>
      </w:pPr>
    </w:p>
    <w:p w14:paraId="1E644AC0" w14:textId="77777777" w:rsidR="00A56231" w:rsidRDefault="00A56231" w:rsidP="00A56231">
      <w:pPr>
        <w:pStyle w:val="Body"/>
        <w:rPr>
          <w:lang w:val="es-ES"/>
        </w:rPr>
      </w:pPr>
    </w:p>
    <w:p w14:paraId="08947707" w14:textId="77777777" w:rsidR="00A56231" w:rsidRDefault="00A56231" w:rsidP="00A56231">
      <w:pPr>
        <w:pStyle w:val="Body"/>
        <w:rPr>
          <w:lang w:val="es-ES"/>
        </w:rPr>
      </w:pPr>
    </w:p>
    <w:p w14:paraId="1965B646" w14:textId="610358B5" w:rsidR="00EC310A" w:rsidRPr="006E763F" w:rsidRDefault="009B78D2" w:rsidP="00E923BB">
      <w:pPr>
        <w:pStyle w:val="Body"/>
        <w:numPr>
          <w:ilvl w:val="0"/>
          <w:numId w:val="2"/>
        </w:numPr>
        <w:ind w:firstLine="720"/>
        <w:rPr>
          <w:lang w:val="es-ES"/>
        </w:rPr>
      </w:pPr>
      <w:r w:rsidRPr="006E763F">
        <w:rPr>
          <w:lang w:val="es-ES"/>
        </w:rPr>
        <w:t>Indicó que l</w:t>
      </w:r>
      <w:r w:rsidR="009E7E98" w:rsidRPr="006E763F">
        <w:rPr>
          <w:lang w:val="es-ES"/>
        </w:rPr>
        <w:t>a presunta víctima debía recoger a su hija a las 11:00 a.m</w:t>
      </w:r>
      <w:r w:rsidR="009C3065">
        <w:rPr>
          <w:lang w:val="es-ES"/>
        </w:rPr>
        <w:t>.</w:t>
      </w:r>
      <w:r w:rsidR="0039220E" w:rsidRPr="006E763F">
        <w:rPr>
          <w:lang w:val="es-ES"/>
        </w:rPr>
        <w:t>, pero</w:t>
      </w:r>
      <w:r w:rsidR="009E7E98" w:rsidRPr="006E763F">
        <w:rPr>
          <w:lang w:val="es-ES"/>
        </w:rPr>
        <w:t xml:space="preserve"> nunca llegó y desde ese momento se desconoce su paradero. </w:t>
      </w:r>
      <w:r w:rsidR="00B038B7" w:rsidRPr="006E763F">
        <w:rPr>
          <w:lang w:val="es-ES"/>
        </w:rPr>
        <w:t>Agregó que e</w:t>
      </w:r>
      <w:r w:rsidR="009E7E98" w:rsidRPr="006E763F">
        <w:rPr>
          <w:lang w:val="es-ES"/>
        </w:rPr>
        <w:t>l mismo día</w:t>
      </w:r>
      <w:r w:rsidR="007C3E69" w:rsidRPr="006E763F">
        <w:rPr>
          <w:lang w:val="es-ES"/>
        </w:rPr>
        <w:t xml:space="preserve"> su esposa</w:t>
      </w:r>
      <w:r w:rsidR="007B0329" w:rsidRPr="006E763F">
        <w:rPr>
          <w:lang w:val="es-ES"/>
        </w:rPr>
        <w:t xml:space="preserve"> </w:t>
      </w:r>
      <w:r w:rsidR="00380811" w:rsidRPr="006E763F">
        <w:rPr>
          <w:lang w:val="es-ES"/>
        </w:rPr>
        <w:t>denunció la desaparición</w:t>
      </w:r>
      <w:r w:rsidR="000D602F" w:rsidRPr="006E763F">
        <w:rPr>
          <w:lang w:val="es-ES"/>
        </w:rPr>
        <w:t xml:space="preserve">; y que </w:t>
      </w:r>
      <w:r w:rsidR="009E7E98" w:rsidRPr="006E763F">
        <w:rPr>
          <w:lang w:val="es-ES"/>
        </w:rPr>
        <w:t xml:space="preserve">la Asociación de </w:t>
      </w:r>
      <w:r w:rsidR="00380811" w:rsidRPr="006E763F">
        <w:rPr>
          <w:lang w:val="es-ES"/>
        </w:rPr>
        <w:t>fa</w:t>
      </w:r>
      <w:r w:rsidR="009E7E98" w:rsidRPr="006E763F">
        <w:rPr>
          <w:lang w:val="es-ES"/>
        </w:rPr>
        <w:t xml:space="preserve">miliares de detenidos – desaparecidos (en adelante “la ASFADDES”) inició búsquedas particulares. </w:t>
      </w:r>
      <w:r w:rsidR="00832573" w:rsidRPr="006E763F">
        <w:rPr>
          <w:lang w:val="es-ES"/>
        </w:rPr>
        <w:t>I</w:t>
      </w:r>
      <w:r w:rsidR="009E7E98" w:rsidRPr="006E763F">
        <w:rPr>
          <w:lang w:val="es-ES"/>
        </w:rPr>
        <w:t xml:space="preserve">ndicó que la desaparición es atribuible al Estado en razón de testimonios recogidos que dan cuenta de la presencia de personas sospechosas </w:t>
      </w:r>
      <w:r w:rsidR="000A7A50" w:rsidRPr="006E763F">
        <w:rPr>
          <w:lang w:val="es-ES"/>
        </w:rPr>
        <w:t xml:space="preserve">cerca </w:t>
      </w:r>
      <w:r w:rsidR="009E7E98" w:rsidRPr="006E763F">
        <w:rPr>
          <w:lang w:val="es-ES"/>
        </w:rPr>
        <w:t>del último lugar en que se vio a</w:t>
      </w:r>
      <w:r w:rsidR="00AF5FCC" w:rsidRPr="006E763F">
        <w:rPr>
          <w:lang w:val="es-ES"/>
        </w:rPr>
        <w:t xml:space="preserve">l señor </w:t>
      </w:r>
      <w:r w:rsidR="009E7E98" w:rsidRPr="006E763F">
        <w:rPr>
          <w:lang w:val="es-ES"/>
        </w:rPr>
        <w:t>Movilla Galarcio, las acciones de inteligenci</w:t>
      </w:r>
      <w:r w:rsidR="00380811" w:rsidRPr="006E763F">
        <w:rPr>
          <w:lang w:val="es-ES"/>
        </w:rPr>
        <w:t xml:space="preserve">a militar de las que </w:t>
      </w:r>
      <w:r w:rsidR="004871A7" w:rsidRPr="006E763F">
        <w:rPr>
          <w:lang w:val="es-ES"/>
        </w:rPr>
        <w:t xml:space="preserve">fue </w:t>
      </w:r>
      <w:r w:rsidR="00380811" w:rsidRPr="006E763F">
        <w:rPr>
          <w:lang w:val="es-ES"/>
        </w:rPr>
        <w:t>objeto</w:t>
      </w:r>
      <w:r w:rsidR="009E7E98" w:rsidRPr="006E763F">
        <w:rPr>
          <w:lang w:val="es-ES"/>
        </w:rPr>
        <w:t xml:space="preserve"> </w:t>
      </w:r>
      <w:r w:rsidR="006F13C2" w:rsidRPr="006E763F">
        <w:rPr>
          <w:lang w:val="es-ES"/>
        </w:rPr>
        <w:t xml:space="preserve">él y </w:t>
      </w:r>
      <w:r w:rsidR="009E7E98" w:rsidRPr="006E763F">
        <w:rPr>
          <w:lang w:val="es-ES"/>
        </w:rPr>
        <w:t xml:space="preserve">su familia </w:t>
      </w:r>
      <w:r w:rsidR="008A2925" w:rsidRPr="006E763F">
        <w:rPr>
          <w:lang w:val="es-ES"/>
        </w:rPr>
        <w:t xml:space="preserve">por su supuesto vínculo </w:t>
      </w:r>
      <w:r w:rsidR="009E7E98" w:rsidRPr="006E763F">
        <w:rPr>
          <w:lang w:val="es-ES"/>
        </w:rPr>
        <w:t xml:space="preserve">con </w:t>
      </w:r>
      <w:r w:rsidR="00475532" w:rsidRPr="006E763F">
        <w:rPr>
          <w:lang w:val="es-ES"/>
        </w:rPr>
        <w:t xml:space="preserve">el </w:t>
      </w:r>
      <w:r w:rsidR="009E7E98" w:rsidRPr="006E763F">
        <w:rPr>
          <w:lang w:val="es-ES"/>
        </w:rPr>
        <w:t xml:space="preserve">Ejército Popular de Liberación (en adelante “el EPL”) y la falta de diligencia </w:t>
      </w:r>
      <w:r w:rsidR="008A2925" w:rsidRPr="006E763F">
        <w:rPr>
          <w:lang w:val="es-ES"/>
        </w:rPr>
        <w:t>en</w:t>
      </w:r>
      <w:r w:rsidR="009E7E98" w:rsidRPr="006E763F">
        <w:rPr>
          <w:lang w:val="es-ES"/>
        </w:rPr>
        <w:t xml:space="preserve"> las investigaciones</w:t>
      </w:r>
      <w:r w:rsidR="00534414" w:rsidRPr="006E763F">
        <w:rPr>
          <w:lang w:val="es-ES"/>
        </w:rPr>
        <w:t xml:space="preserve">, que continúan en etapa preliminar. </w:t>
      </w:r>
      <w:r w:rsidR="009E7E98" w:rsidRPr="006E763F">
        <w:rPr>
          <w:lang w:val="es-ES"/>
        </w:rPr>
        <w:t xml:space="preserve">Añadió que </w:t>
      </w:r>
      <w:r w:rsidR="00534414" w:rsidRPr="006E763F">
        <w:rPr>
          <w:lang w:val="es-ES"/>
        </w:rPr>
        <w:t>el proceso d</w:t>
      </w:r>
      <w:r w:rsidR="009E7E98" w:rsidRPr="006E763F">
        <w:rPr>
          <w:lang w:val="es-ES"/>
        </w:rPr>
        <w:t xml:space="preserve">isciplinario ante la Procuraduría General de la Nación (en adelante “la PGN”) el 18 de mayo de 1993, </w:t>
      </w:r>
      <w:r w:rsidR="00534414" w:rsidRPr="006E763F">
        <w:rPr>
          <w:lang w:val="es-ES"/>
        </w:rPr>
        <w:t xml:space="preserve">se archivó </w:t>
      </w:r>
      <w:r w:rsidR="009E7E98" w:rsidRPr="006E763F">
        <w:rPr>
          <w:lang w:val="es-ES"/>
        </w:rPr>
        <w:t xml:space="preserve">provisionalmente por segunda vez en enero de 2001. </w:t>
      </w:r>
      <w:r w:rsidR="00534414" w:rsidRPr="006E763F">
        <w:rPr>
          <w:lang w:val="es-ES"/>
        </w:rPr>
        <w:t>I</w:t>
      </w:r>
      <w:r w:rsidR="009E7E98" w:rsidRPr="006E763F">
        <w:rPr>
          <w:lang w:val="es-ES"/>
        </w:rPr>
        <w:t xml:space="preserve">nformó </w:t>
      </w:r>
      <w:r w:rsidR="00534414" w:rsidRPr="006E763F">
        <w:rPr>
          <w:lang w:val="es-ES"/>
        </w:rPr>
        <w:t>que la acción</w:t>
      </w:r>
      <w:r w:rsidR="009E7E98" w:rsidRPr="006E763F">
        <w:rPr>
          <w:lang w:val="es-ES"/>
        </w:rPr>
        <w:t xml:space="preserve"> de reparación directa en el fuero</w:t>
      </w:r>
      <w:r w:rsidR="008C4B15" w:rsidRPr="006E763F">
        <w:rPr>
          <w:lang w:val="es-ES"/>
        </w:rPr>
        <w:t xml:space="preserve"> contencioso</w:t>
      </w:r>
      <w:r w:rsidR="009E7E98" w:rsidRPr="006E763F">
        <w:rPr>
          <w:lang w:val="es-ES"/>
        </w:rPr>
        <w:t xml:space="preserve"> administrativo fue rechazada</w:t>
      </w:r>
      <w:r w:rsidR="00534414" w:rsidRPr="006E763F">
        <w:rPr>
          <w:lang w:val="es-ES"/>
        </w:rPr>
        <w:t xml:space="preserve"> en</w:t>
      </w:r>
      <w:r w:rsidR="009E7E98" w:rsidRPr="006E763F">
        <w:rPr>
          <w:lang w:val="es-ES"/>
        </w:rPr>
        <w:t xml:space="preserve"> el año 2011.</w:t>
      </w:r>
    </w:p>
    <w:p w14:paraId="6E0E5CB1" w14:textId="77777777" w:rsidR="00EC310A" w:rsidRPr="006E763F" w:rsidRDefault="00EC310A" w:rsidP="00E923BB">
      <w:pPr>
        <w:pStyle w:val="Body"/>
        <w:ind w:firstLine="720"/>
        <w:rPr>
          <w:lang w:val="es-ES"/>
        </w:rPr>
      </w:pPr>
    </w:p>
    <w:p w14:paraId="5C5BD8CB" w14:textId="04236FC8" w:rsidR="00EC310A" w:rsidRPr="006E763F" w:rsidRDefault="009E7E98" w:rsidP="00E923BB">
      <w:pPr>
        <w:pStyle w:val="Body"/>
        <w:numPr>
          <w:ilvl w:val="0"/>
          <w:numId w:val="2"/>
        </w:numPr>
        <w:ind w:firstLine="720"/>
        <w:rPr>
          <w:lang w:val="es-ES"/>
        </w:rPr>
      </w:pPr>
      <w:r w:rsidRPr="006E763F">
        <w:rPr>
          <w:lang w:val="es-ES"/>
        </w:rPr>
        <w:t xml:space="preserve">Alegó que el Estado es responsable por la vulneración de los </w:t>
      </w:r>
      <w:r w:rsidRPr="006E763F">
        <w:rPr>
          <w:b/>
          <w:bCs/>
          <w:lang w:val="es-ES"/>
        </w:rPr>
        <w:t>derechos a</w:t>
      </w:r>
      <w:r w:rsidR="00670640" w:rsidRPr="006E763F">
        <w:rPr>
          <w:b/>
          <w:bCs/>
          <w:lang w:val="es-ES"/>
        </w:rPr>
        <w:t xml:space="preserve">l reconocimiento de </w:t>
      </w:r>
      <w:r w:rsidRPr="006E763F">
        <w:rPr>
          <w:b/>
          <w:bCs/>
          <w:lang w:val="es-ES"/>
        </w:rPr>
        <w:t xml:space="preserve">la personalidad jurídica, a la vida, a la integridad personal y a la libertad personal </w:t>
      </w:r>
      <w:r w:rsidRPr="006E763F">
        <w:rPr>
          <w:bCs/>
          <w:lang w:val="es-ES"/>
        </w:rPr>
        <w:t>de</w:t>
      </w:r>
      <w:r w:rsidRPr="006E763F">
        <w:rPr>
          <w:b/>
          <w:bCs/>
          <w:lang w:val="es-ES"/>
        </w:rPr>
        <w:t xml:space="preserve"> </w:t>
      </w:r>
      <w:r w:rsidRPr="006E763F">
        <w:rPr>
          <w:lang w:val="es-ES"/>
        </w:rPr>
        <w:t>Pedro Julio Movilla Galarcio por su desaparición forzada</w:t>
      </w:r>
      <w:r w:rsidR="00B62801" w:rsidRPr="006E763F">
        <w:rPr>
          <w:lang w:val="es-ES"/>
        </w:rPr>
        <w:t xml:space="preserve">. </w:t>
      </w:r>
      <w:r w:rsidR="00891660" w:rsidRPr="006E763F">
        <w:rPr>
          <w:lang w:val="es-ES"/>
        </w:rPr>
        <w:t>I</w:t>
      </w:r>
      <w:r w:rsidRPr="006E763F">
        <w:rPr>
          <w:lang w:val="es-ES"/>
        </w:rPr>
        <w:t xml:space="preserve">ndicó la vulneración del derecho a la integridad </w:t>
      </w:r>
      <w:r w:rsidR="00887BB4" w:rsidRPr="006E763F">
        <w:rPr>
          <w:lang w:val="es-ES"/>
        </w:rPr>
        <w:t xml:space="preserve">personal </w:t>
      </w:r>
      <w:r w:rsidR="007C285F" w:rsidRPr="006E763F">
        <w:rPr>
          <w:lang w:val="es-ES"/>
        </w:rPr>
        <w:t xml:space="preserve">de </w:t>
      </w:r>
      <w:r w:rsidR="00887BB4" w:rsidRPr="006E763F">
        <w:rPr>
          <w:lang w:val="es-ES"/>
        </w:rPr>
        <w:t>sus</w:t>
      </w:r>
      <w:r w:rsidRPr="006E763F">
        <w:rPr>
          <w:lang w:val="es-ES"/>
        </w:rPr>
        <w:t xml:space="preserve"> familiares</w:t>
      </w:r>
      <w:r w:rsidR="00A72493" w:rsidRPr="006E763F">
        <w:rPr>
          <w:lang w:val="es-ES"/>
        </w:rPr>
        <w:t>.</w:t>
      </w:r>
      <w:r w:rsidR="00C67726" w:rsidRPr="006E763F">
        <w:rPr>
          <w:lang w:val="es-ES"/>
        </w:rPr>
        <w:t xml:space="preserve"> </w:t>
      </w:r>
      <w:r w:rsidRPr="006E763F">
        <w:rPr>
          <w:lang w:val="es-ES"/>
        </w:rPr>
        <w:t xml:space="preserve">Afirmó que el Estado </w:t>
      </w:r>
      <w:r w:rsidRPr="006E763F">
        <w:rPr>
          <w:bCs/>
          <w:lang w:val="es-ES"/>
        </w:rPr>
        <w:t>violó los</w:t>
      </w:r>
      <w:r w:rsidRPr="006E763F">
        <w:rPr>
          <w:b/>
          <w:bCs/>
          <w:lang w:val="es-ES"/>
        </w:rPr>
        <w:t xml:space="preserve"> derechos a las garantías judiciales y a la protección judicial </w:t>
      </w:r>
      <w:r w:rsidRPr="006E763F">
        <w:rPr>
          <w:lang w:val="es-ES"/>
        </w:rPr>
        <w:t>de Pedro Julio Movilla Galarc</w:t>
      </w:r>
      <w:r w:rsidR="00DF4A22">
        <w:rPr>
          <w:lang w:val="es-ES"/>
        </w:rPr>
        <w:t xml:space="preserve">io y sus familiares porque, </w:t>
      </w:r>
      <w:r w:rsidR="00C67726" w:rsidRPr="006E763F">
        <w:rPr>
          <w:lang w:val="es-ES"/>
        </w:rPr>
        <w:t xml:space="preserve">pasados </w:t>
      </w:r>
      <w:r w:rsidRPr="006E763F">
        <w:rPr>
          <w:lang w:val="es-ES"/>
        </w:rPr>
        <w:t>más de</w:t>
      </w:r>
      <w:r w:rsidR="00C67726" w:rsidRPr="006E763F">
        <w:rPr>
          <w:lang w:val="es-ES"/>
        </w:rPr>
        <w:t xml:space="preserve"> 20</w:t>
      </w:r>
      <w:r w:rsidRPr="006E763F">
        <w:rPr>
          <w:lang w:val="es-ES"/>
        </w:rPr>
        <w:t xml:space="preserve"> años, </w:t>
      </w:r>
      <w:r w:rsidR="00C67726" w:rsidRPr="006E763F">
        <w:rPr>
          <w:lang w:val="es-ES"/>
        </w:rPr>
        <w:t xml:space="preserve">los hechos continúan en la impunidad. </w:t>
      </w:r>
      <w:r w:rsidR="007B0E13" w:rsidRPr="006E763F">
        <w:rPr>
          <w:lang w:val="es-ES"/>
        </w:rPr>
        <w:t>A</w:t>
      </w:r>
      <w:r w:rsidRPr="006E763F">
        <w:rPr>
          <w:lang w:val="es-ES"/>
        </w:rPr>
        <w:t>legó que</w:t>
      </w:r>
      <w:r w:rsidR="007B0E13" w:rsidRPr="006E763F">
        <w:rPr>
          <w:lang w:val="es-ES"/>
        </w:rPr>
        <w:t xml:space="preserve"> no se investigaron</w:t>
      </w:r>
      <w:r w:rsidRPr="006E763F">
        <w:rPr>
          <w:lang w:val="es-ES"/>
        </w:rPr>
        <w:t xml:space="preserve"> los hechos como una desaparición forzada;</w:t>
      </w:r>
      <w:r w:rsidR="004161B6" w:rsidRPr="006E763F">
        <w:rPr>
          <w:lang w:val="es-ES"/>
        </w:rPr>
        <w:t xml:space="preserve"> que hubo una </w:t>
      </w:r>
      <w:r w:rsidRPr="006E763F">
        <w:rPr>
          <w:lang w:val="es-ES"/>
        </w:rPr>
        <w:t>negativa a abordar todas las líneas lógicas de investigación; y</w:t>
      </w:r>
      <w:r w:rsidR="00225DA2" w:rsidRPr="006E763F">
        <w:rPr>
          <w:lang w:val="es-ES"/>
        </w:rPr>
        <w:t xml:space="preserve"> que se realizaron </w:t>
      </w:r>
      <w:r w:rsidRPr="006E763F">
        <w:rPr>
          <w:lang w:val="es-ES"/>
        </w:rPr>
        <w:t xml:space="preserve">acciones limitadas </w:t>
      </w:r>
      <w:r w:rsidR="00BB0505" w:rsidRPr="006E763F">
        <w:rPr>
          <w:lang w:val="es-ES"/>
        </w:rPr>
        <w:t>para l</w:t>
      </w:r>
      <w:r w:rsidRPr="006E763F">
        <w:rPr>
          <w:lang w:val="es-ES"/>
        </w:rPr>
        <w:t>a búsqueda.</w:t>
      </w:r>
      <w:r w:rsidR="00C67726" w:rsidRPr="006E763F">
        <w:rPr>
          <w:lang w:val="es-ES"/>
        </w:rPr>
        <w:t xml:space="preserve"> Agregó que </w:t>
      </w:r>
      <w:r w:rsidRPr="006E763F">
        <w:rPr>
          <w:lang w:val="es-ES"/>
        </w:rPr>
        <w:t>los familiares no han sido oídos ante un tri</w:t>
      </w:r>
      <w:r w:rsidR="00A72493" w:rsidRPr="006E763F">
        <w:rPr>
          <w:lang w:val="es-ES"/>
        </w:rPr>
        <w:t>bunal independiente e imparcial.</w:t>
      </w:r>
      <w:r w:rsidR="00F338F1" w:rsidRPr="006E763F">
        <w:rPr>
          <w:lang w:val="es-ES"/>
        </w:rPr>
        <w:t xml:space="preserve"> También a</w:t>
      </w:r>
      <w:r w:rsidRPr="006E763F">
        <w:rPr>
          <w:lang w:val="es-ES"/>
        </w:rPr>
        <w:t xml:space="preserve">legó la violación del </w:t>
      </w:r>
      <w:r w:rsidR="008578F5" w:rsidRPr="006E763F">
        <w:rPr>
          <w:b/>
          <w:bCs/>
          <w:lang w:val="es-ES"/>
        </w:rPr>
        <w:t xml:space="preserve">derecho a la libertad de </w:t>
      </w:r>
      <w:r w:rsidRPr="006E763F">
        <w:rPr>
          <w:b/>
          <w:bCs/>
          <w:lang w:val="es-ES"/>
        </w:rPr>
        <w:t xml:space="preserve">asociación </w:t>
      </w:r>
      <w:r w:rsidRPr="006E763F">
        <w:rPr>
          <w:lang w:val="es-ES"/>
        </w:rPr>
        <w:t>de Pedro Julio Movilla Galarcio por la falta de garantías para el ejercicio, libre de hostigamientos, de sus labores como activista sindical y miembro del Partido Comunista Colombiano-Marxista Leninista (en adelante “el PCC-ML”).</w:t>
      </w:r>
    </w:p>
    <w:p w14:paraId="4A98BBC9" w14:textId="77777777" w:rsidR="00EC310A" w:rsidRPr="006E763F" w:rsidRDefault="00EC310A" w:rsidP="00E923BB">
      <w:pPr>
        <w:pStyle w:val="Body"/>
        <w:ind w:firstLine="249"/>
        <w:rPr>
          <w:lang w:val="es-ES"/>
        </w:rPr>
      </w:pPr>
    </w:p>
    <w:p w14:paraId="6068F844" w14:textId="3F7CD0C9" w:rsidR="00EC310A" w:rsidRPr="006E763F" w:rsidRDefault="00CE18CC" w:rsidP="00E923BB">
      <w:pPr>
        <w:pStyle w:val="Heading2"/>
        <w:rPr>
          <w:rFonts w:eastAsia="Times New Roman" w:cs="Times New Roman"/>
        </w:rPr>
      </w:pPr>
      <w:bookmarkStart w:id="3" w:name="_Toc446145"/>
      <w:r w:rsidRPr="006E763F">
        <w:t>El Estado</w:t>
      </w:r>
      <w:bookmarkEnd w:id="3"/>
    </w:p>
    <w:p w14:paraId="36093846" w14:textId="77777777" w:rsidR="00EC310A" w:rsidRPr="006E763F" w:rsidRDefault="00EC310A" w:rsidP="00E923BB">
      <w:pPr>
        <w:pStyle w:val="ListParagraph"/>
        <w:suppressAutoHyphens/>
        <w:ind w:left="0" w:firstLine="720"/>
        <w:rPr>
          <w:b/>
          <w:bCs/>
          <w:sz w:val="20"/>
          <w:szCs w:val="20"/>
          <w:lang w:val="es-ES"/>
        </w:rPr>
      </w:pPr>
    </w:p>
    <w:p w14:paraId="1AC09AAB" w14:textId="7DC7D2CF" w:rsidR="00EC310A" w:rsidRPr="006E763F" w:rsidRDefault="009E7E98" w:rsidP="00E923BB">
      <w:pPr>
        <w:pStyle w:val="Body"/>
        <w:numPr>
          <w:ilvl w:val="0"/>
          <w:numId w:val="2"/>
        </w:numPr>
        <w:ind w:firstLine="720"/>
        <w:rPr>
          <w:lang w:val="es-ES"/>
        </w:rPr>
      </w:pPr>
      <w:r w:rsidRPr="006E763F">
        <w:rPr>
          <w:lang w:val="es-ES"/>
        </w:rPr>
        <w:t xml:space="preserve">El Estado alegó que no vulneró los </w:t>
      </w:r>
      <w:r w:rsidRPr="006E763F">
        <w:rPr>
          <w:b/>
          <w:bCs/>
          <w:lang w:val="es-ES"/>
        </w:rPr>
        <w:t>derechos a</w:t>
      </w:r>
      <w:r w:rsidR="00D11986" w:rsidRPr="006E763F">
        <w:rPr>
          <w:b/>
          <w:bCs/>
          <w:lang w:val="es-ES"/>
        </w:rPr>
        <w:t>l reconocimiento de</w:t>
      </w:r>
      <w:r w:rsidRPr="006E763F">
        <w:rPr>
          <w:b/>
          <w:bCs/>
          <w:lang w:val="es-ES"/>
        </w:rPr>
        <w:t xml:space="preserve"> la personalidad jurídica, a la vida, a la integridad personal y a la libertad personal </w:t>
      </w:r>
      <w:r w:rsidRPr="006E763F">
        <w:rPr>
          <w:lang w:val="es-ES"/>
        </w:rPr>
        <w:t xml:space="preserve">de Pedro Julio Movilla Galarcio dado que en los procesos internos se han ordenado pruebas suficientes </w:t>
      </w:r>
      <w:r w:rsidR="006E1F83" w:rsidRPr="006E763F">
        <w:rPr>
          <w:lang w:val="es-ES"/>
        </w:rPr>
        <w:t xml:space="preserve">de las que no se desprende </w:t>
      </w:r>
      <w:r w:rsidRPr="006E763F">
        <w:rPr>
          <w:lang w:val="es-ES"/>
        </w:rPr>
        <w:t>que los hechos hubieren ocurrido</w:t>
      </w:r>
      <w:r w:rsidR="003F1FE3" w:rsidRPr="006E763F">
        <w:rPr>
          <w:lang w:val="es-ES"/>
        </w:rPr>
        <w:t xml:space="preserve"> como lo </w:t>
      </w:r>
      <w:r w:rsidR="00796B39" w:rsidRPr="006E763F">
        <w:rPr>
          <w:lang w:val="es-ES"/>
        </w:rPr>
        <w:t>narró</w:t>
      </w:r>
      <w:r w:rsidR="00C66A3A" w:rsidRPr="006E763F">
        <w:rPr>
          <w:lang w:val="es-ES"/>
        </w:rPr>
        <w:t xml:space="preserve"> </w:t>
      </w:r>
      <w:r w:rsidRPr="006E763F">
        <w:rPr>
          <w:lang w:val="es-ES"/>
        </w:rPr>
        <w:t xml:space="preserve">la parte peticionaria. Indicó que el proceso disciplinario fue archivado por segunda vez al considerar la </w:t>
      </w:r>
      <w:r w:rsidR="00E219C5" w:rsidRPr="006E763F">
        <w:rPr>
          <w:lang w:val="es-ES"/>
        </w:rPr>
        <w:t>PGN</w:t>
      </w:r>
      <w:r w:rsidRPr="006E763F">
        <w:rPr>
          <w:lang w:val="es-ES"/>
        </w:rPr>
        <w:t xml:space="preserve"> que </w:t>
      </w:r>
      <w:r w:rsidR="00D11146" w:rsidRPr="006E763F">
        <w:rPr>
          <w:lang w:val="es-ES"/>
        </w:rPr>
        <w:t xml:space="preserve">de la prueba practicada no surgen ni leves indicios de la participación de agentes estatales. </w:t>
      </w:r>
      <w:r w:rsidR="00877350" w:rsidRPr="006E763F">
        <w:rPr>
          <w:lang w:val="es-ES"/>
        </w:rPr>
        <w:t>Señaló que e</w:t>
      </w:r>
      <w:r w:rsidRPr="006E763F">
        <w:rPr>
          <w:lang w:val="es-ES"/>
        </w:rPr>
        <w:t xml:space="preserve">n sede contencioso-administrativa </w:t>
      </w:r>
      <w:r w:rsidR="009F30CC" w:rsidRPr="006E763F">
        <w:rPr>
          <w:lang w:val="es-ES"/>
        </w:rPr>
        <w:t xml:space="preserve">el rechazo se basó en </w:t>
      </w:r>
      <w:r w:rsidRPr="006E763F">
        <w:rPr>
          <w:lang w:val="es-ES"/>
        </w:rPr>
        <w:t xml:space="preserve">la falta de </w:t>
      </w:r>
      <w:r w:rsidR="00D52277" w:rsidRPr="006E763F">
        <w:rPr>
          <w:lang w:val="es-ES"/>
        </w:rPr>
        <w:t xml:space="preserve">pruebas. </w:t>
      </w:r>
    </w:p>
    <w:p w14:paraId="69FA3F4D" w14:textId="77777777" w:rsidR="00EC310A" w:rsidRPr="006E763F" w:rsidRDefault="00EC310A" w:rsidP="00E923BB">
      <w:pPr>
        <w:pStyle w:val="ListParagraph"/>
        <w:ind w:left="0" w:firstLine="720"/>
        <w:rPr>
          <w:sz w:val="20"/>
          <w:szCs w:val="20"/>
          <w:lang w:val="es-ES"/>
        </w:rPr>
      </w:pPr>
    </w:p>
    <w:p w14:paraId="405B5B1E" w14:textId="4B0BBEDC" w:rsidR="00EC310A" w:rsidRPr="006E763F" w:rsidRDefault="0013180F" w:rsidP="00E923BB">
      <w:pPr>
        <w:pStyle w:val="Body"/>
        <w:numPr>
          <w:ilvl w:val="0"/>
          <w:numId w:val="2"/>
        </w:numPr>
        <w:ind w:firstLine="720"/>
        <w:rPr>
          <w:lang w:val="es-ES"/>
        </w:rPr>
      </w:pPr>
      <w:r w:rsidRPr="006E763F">
        <w:rPr>
          <w:lang w:val="es-ES"/>
        </w:rPr>
        <w:t>A</w:t>
      </w:r>
      <w:r w:rsidR="009E7E98" w:rsidRPr="006E763F">
        <w:rPr>
          <w:lang w:val="es-ES"/>
        </w:rPr>
        <w:t xml:space="preserve">firmó que la </w:t>
      </w:r>
      <w:r w:rsidR="00A53D0D" w:rsidRPr="006E763F">
        <w:rPr>
          <w:lang w:val="es-ES"/>
        </w:rPr>
        <w:t>r</w:t>
      </w:r>
      <w:r w:rsidR="009E7E98" w:rsidRPr="006E763F">
        <w:rPr>
          <w:lang w:val="es-ES"/>
        </w:rPr>
        <w:t xml:space="preserve">esponsabilidad internacional </w:t>
      </w:r>
      <w:r w:rsidR="00016E2E" w:rsidRPr="006E763F">
        <w:rPr>
          <w:lang w:val="es-ES"/>
        </w:rPr>
        <w:t xml:space="preserve">por desaparición forzada </w:t>
      </w:r>
      <w:r w:rsidR="009E7E98" w:rsidRPr="006E763F">
        <w:rPr>
          <w:lang w:val="es-ES"/>
        </w:rPr>
        <w:t>pretende endilgarse únicamente a través de</w:t>
      </w:r>
      <w:r w:rsidR="003F2ECD" w:rsidRPr="006E763F">
        <w:rPr>
          <w:lang w:val="es-ES"/>
        </w:rPr>
        <w:t xml:space="preserve"> elementos </w:t>
      </w:r>
      <w:r w:rsidR="009E7E98" w:rsidRPr="006E763F">
        <w:rPr>
          <w:lang w:val="es-ES"/>
        </w:rPr>
        <w:t xml:space="preserve">contextuales y bajo </w:t>
      </w:r>
      <w:r w:rsidR="003F2ECD" w:rsidRPr="006E763F">
        <w:rPr>
          <w:lang w:val="es-ES"/>
        </w:rPr>
        <w:t xml:space="preserve">un alegado </w:t>
      </w:r>
      <w:r w:rsidR="009E7E98" w:rsidRPr="006E763F">
        <w:rPr>
          <w:lang w:val="es-ES"/>
        </w:rPr>
        <w:t>patrón sistemático estatal contra líderes sociales y sindicales que no</w:t>
      </w:r>
      <w:r w:rsidR="002B61B9" w:rsidRPr="006E763F">
        <w:rPr>
          <w:lang w:val="es-ES"/>
        </w:rPr>
        <w:t xml:space="preserve"> ha sido demostrado. </w:t>
      </w:r>
      <w:r w:rsidR="00800EF8" w:rsidRPr="006E763F">
        <w:rPr>
          <w:lang w:val="es-ES"/>
        </w:rPr>
        <w:t>I</w:t>
      </w:r>
      <w:r w:rsidR="002B61B9" w:rsidRPr="006E763F">
        <w:rPr>
          <w:lang w:val="es-ES"/>
        </w:rPr>
        <w:t>ndic</w:t>
      </w:r>
      <w:r w:rsidR="009E7E98" w:rsidRPr="006E763F">
        <w:rPr>
          <w:lang w:val="es-ES"/>
        </w:rPr>
        <w:t>ó que los hechos no</w:t>
      </w:r>
      <w:r w:rsidR="00016E2E" w:rsidRPr="006E763F">
        <w:rPr>
          <w:lang w:val="es-ES"/>
        </w:rPr>
        <w:t xml:space="preserve"> son similares</w:t>
      </w:r>
      <w:r w:rsidR="009E7E98" w:rsidRPr="006E763F">
        <w:rPr>
          <w:lang w:val="es-ES"/>
        </w:rPr>
        <w:t xml:space="preserve"> a otros contextos de desapariciones forzadas</w:t>
      </w:r>
      <w:r w:rsidR="00016E2E" w:rsidRPr="006E763F">
        <w:rPr>
          <w:lang w:val="es-ES"/>
        </w:rPr>
        <w:t xml:space="preserve"> bajo </w:t>
      </w:r>
      <w:r w:rsidR="009E7E98" w:rsidRPr="006E763F">
        <w:rPr>
          <w:lang w:val="es-ES"/>
        </w:rPr>
        <w:t>la no</w:t>
      </w:r>
      <w:r w:rsidR="002B61B9" w:rsidRPr="006E763F">
        <w:rPr>
          <w:lang w:val="es-ES"/>
        </w:rPr>
        <w:t>ción de “enemigo interno” y que</w:t>
      </w:r>
      <w:r w:rsidR="009E7E98" w:rsidRPr="006E763F">
        <w:rPr>
          <w:lang w:val="es-ES"/>
        </w:rPr>
        <w:t xml:space="preserve"> el registro de notas sobre la presunta víctima por parte del Ejército Nacional no genera certeza sobre la</w:t>
      </w:r>
      <w:r w:rsidR="00016E2E" w:rsidRPr="006E763F">
        <w:rPr>
          <w:lang w:val="es-ES"/>
        </w:rPr>
        <w:t xml:space="preserve"> participación de </w:t>
      </w:r>
      <w:r w:rsidR="009E7E98" w:rsidRPr="006E763F">
        <w:rPr>
          <w:lang w:val="es-ES"/>
        </w:rPr>
        <w:t xml:space="preserve">agentes estatales. </w:t>
      </w:r>
      <w:r w:rsidR="00A00325" w:rsidRPr="006E763F">
        <w:rPr>
          <w:lang w:val="es-ES"/>
        </w:rPr>
        <w:t xml:space="preserve">Alegó </w:t>
      </w:r>
      <w:r w:rsidR="009E7E98" w:rsidRPr="006E763F">
        <w:rPr>
          <w:lang w:val="es-ES"/>
        </w:rPr>
        <w:t>que no existe</w:t>
      </w:r>
      <w:r w:rsidR="00016E2E" w:rsidRPr="006E763F">
        <w:rPr>
          <w:lang w:val="es-ES"/>
        </w:rPr>
        <w:t xml:space="preserve"> prueba que indique</w:t>
      </w:r>
      <w:r w:rsidR="009E7E98" w:rsidRPr="006E763F">
        <w:rPr>
          <w:lang w:val="es-ES"/>
        </w:rPr>
        <w:t xml:space="preserve"> que la presunta víctima fue vista por última vez en manos de</w:t>
      </w:r>
      <w:r w:rsidR="00994106" w:rsidRPr="006E763F">
        <w:rPr>
          <w:lang w:val="es-ES"/>
        </w:rPr>
        <w:t>l Estado</w:t>
      </w:r>
    </w:p>
    <w:p w14:paraId="0BC36831" w14:textId="77777777" w:rsidR="00EC310A" w:rsidRPr="006E763F" w:rsidRDefault="00EC310A" w:rsidP="00E923BB">
      <w:pPr>
        <w:pStyle w:val="ListParagraph"/>
        <w:ind w:left="0" w:firstLine="720"/>
        <w:rPr>
          <w:sz w:val="20"/>
          <w:szCs w:val="20"/>
          <w:lang w:val="es-ES"/>
        </w:rPr>
      </w:pPr>
    </w:p>
    <w:p w14:paraId="424A0D08" w14:textId="49F90D70" w:rsidR="00EC310A" w:rsidRPr="006E763F" w:rsidRDefault="009E7E98" w:rsidP="00E923BB">
      <w:pPr>
        <w:pStyle w:val="Body"/>
        <w:numPr>
          <w:ilvl w:val="0"/>
          <w:numId w:val="2"/>
        </w:numPr>
        <w:ind w:firstLine="720"/>
        <w:rPr>
          <w:lang w:val="es-ES"/>
        </w:rPr>
      </w:pPr>
      <w:r w:rsidRPr="006E763F">
        <w:rPr>
          <w:lang w:val="es-ES"/>
        </w:rPr>
        <w:t xml:space="preserve">Indicó que no es responsable por la presunta violación del </w:t>
      </w:r>
      <w:r w:rsidRPr="006E763F">
        <w:rPr>
          <w:b/>
          <w:bCs/>
          <w:lang w:val="es-ES"/>
        </w:rPr>
        <w:t>d</w:t>
      </w:r>
      <w:r w:rsidR="002B61B9" w:rsidRPr="006E763F">
        <w:rPr>
          <w:b/>
          <w:bCs/>
          <w:lang w:val="es-ES"/>
        </w:rPr>
        <w:t>erecho a la integridad personal</w:t>
      </w:r>
      <w:r w:rsidRPr="006E763F">
        <w:rPr>
          <w:b/>
          <w:bCs/>
          <w:lang w:val="es-ES"/>
        </w:rPr>
        <w:t xml:space="preserve"> </w:t>
      </w:r>
      <w:r w:rsidRPr="006E763F">
        <w:rPr>
          <w:lang w:val="es-ES"/>
        </w:rPr>
        <w:t xml:space="preserve">de los familiares dado que las autoridades no </w:t>
      </w:r>
      <w:r w:rsidR="000F582A" w:rsidRPr="006E763F">
        <w:rPr>
          <w:lang w:val="es-ES"/>
        </w:rPr>
        <w:t xml:space="preserve">han sido </w:t>
      </w:r>
      <w:r w:rsidRPr="006E763F">
        <w:rPr>
          <w:lang w:val="es-ES"/>
        </w:rPr>
        <w:t xml:space="preserve">indiferentes </w:t>
      </w:r>
      <w:r w:rsidR="00DB1BC8" w:rsidRPr="006E763F">
        <w:rPr>
          <w:lang w:val="es-ES"/>
        </w:rPr>
        <w:t xml:space="preserve">ni </w:t>
      </w:r>
      <w:r w:rsidRPr="006E763F">
        <w:rPr>
          <w:lang w:val="es-ES"/>
        </w:rPr>
        <w:t>han omitido su deber de investiga</w:t>
      </w:r>
      <w:r w:rsidR="00B63525" w:rsidRPr="006E763F">
        <w:rPr>
          <w:lang w:val="es-ES"/>
        </w:rPr>
        <w:t>r.</w:t>
      </w:r>
      <w:r w:rsidR="008F2772" w:rsidRPr="006E763F">
        <w:rPr>
          <w:lang w:val="es-ES"/>
        </w:rPr>
        <w:t xml:space="preserve"> Agregó que investigó penal y disciplinariamente los hechos y que</w:t>
      </w:r>
      <w:r w:rsidRPr="006E763F">
        <w:rPr>
          <w:lang w:val="es-ES"/>
        </w:rPr>
        <w:t xml:space="preserve"> los familiares </w:t>
      </w:r>
      <w:r w:rsidR="00610887" w:rsidRPr="006E763F">
        <w:rPr>
          <w:lang w:val="es-ES"/>
        </w:rPr>
        <w:t xml:space="preserve">accedieron a la </w:t>
      </w:r>
      <w:r w:rsidR="00DF4A22">
        <w:rPr>
          <w:lang w:val="es-ES"/>
        </w:rPr>
        <w:t xml:space="preserve">acción de </w:t>
      </w:r>
      <w:r w:rsidRPr="006E763F">
        <w:rPr>
          <w:lang w:val="es-ES"/>
        </w:rPr>
        <w:t>reparación directa, al margen de</w:t>
      </w:r>
      <w:r w:rsidR="007F7396" w:rsidRPr="006E763F">
        <w:rPr>
          <w:lang w:val="es-ES"/>
        </w:rPr>
        <w:t xml:space="preserve"> su</w:t>
      </w:r>
      <w:r w:rsidRPr="006E763F">
        <w:rPr>
          <w:lang w:val="es-ES"/>
        </w:rPr>
        <w:t xml:space="preserve"> resultado desfavorable.</w:t>
      </w:r>
      <w:r w:rsidR="00015191" w:rsidRPr="006E763F">
        <w:rPr>
          <w:lang w:val="es-ES"/>
        </w:rPr>
        <w:t xml:space="preserve"> </w:t>
      </w:r>
      <w:r w:rsidRPr="006E763F">
        <w:rPr>
          <w:lang w:val="es-ES"/>
        </w:rPr>
        <w:t xml:space="preserve">Afirmó que no es responsable por la presunta violación de los derechos a las </w:t>
      </w:r>
      <w:r w:rsidRPr="006E763F">
        <w:rPr>
          <w:b/>
          <w:bCs/>
          <w:lang w:val="es-ES"/>
        </w:rPr>
        <w:t>garantías judiciales y protección judicial</w:t>
      </w:r>
      <w:r w:rsidR="00B63525" w:rsidRPr="006E763F">
        <w:rPr>
          <w:lang w:val="es-ES"/>
        </w:rPr>
        <w:t>, aunque r</w:t>
      </w:r>
      <w:r w:rsidRPr="006E763F">
        <w:rPr>
          <w:lang w:val="es-ES"/>
        </w:rPr>
        <w:t>econoció que han existido dificultades que se han visto reflejadas en la falta de resultados satisfactorios. Alegó que no</w:t>
      </w:r>
      <w:r w:rsidR="00880356" w:rsidRPr="006E763F">
        <w:rPr>
          <w:lang w:val="es-ES"/>
        </w:rPr>
        <w:t xml:space="preserve"> es responsable</w:t>
      </w:r>
      <w:r w:rsidRPr="006E763F">
        <w:rPr>
          <w:lang w:val="es-ES"/>
        </w:rPr>
        <w:t xml:space="preserve"> </w:t>
      </w:r>
      <w:r w:rsidR="00B42F8E" w:rsidRPr="006E763F">
        <w:rPr>
          <w:lang w:val="es-ES"/>
        </w:rPr>
        <w:t>por</w:t>
      </w:r>
      <w:r w:rsidRPr="006E763F">
        <w:rPr>
          <w:lang w:val="es-ES"/>
        </w:rPr>
        <w:t xml:space="preserve"> la presunta vulneración </w:t>
      </w:r>
      <w:r w:rsidRPr="006E763F">
        <w:rPr>
          <w:b/>
          <w:bCs/>
          <w:lang w:val="es-ES"/>
        </w:rPr>
        <w:t>al derecho</w:t>
      </w:r>
      <w:r w:rsidR="00D10261" w:rsidRPr="006E763F">
        <w:rPr>
          <w:b/>
          <w:bCs/>
          <w:lang w:val="es-ES"/>
        </w:rPr>
        <w:t xml:space="preserve"> a la libertad </w:t>
      </w:r>
      <w:r w:rsidRPr="006E763F">
        <w:rPr>
          <w:b/>
          <w:bCs/>
          <w:lang w:val="es-ES"/>
        </w:rPr>
        <w:t xml:space="preserve">de asociación </w:t>
      </w:r>
      <w:r w:rsidR="00880356" w:rsidRPr="006E763F">
        <w:rPr>
          <w:bCs/>
          <w:lang w:val="es-ES"/>
        </w:rPr>
        <w:t xml:space="preserve">del señor </w:t>
      </w:r>
      <w:r w:rsidRPr="006E763F">
        <w:rPr>
          <w:lang w:val="es-ES"/>
        </w:rPr>
        <w:t>Movilla Galarcio dado que no existen pruebas de las amenazas o del de</w:t>
      </w:r>
      <w:r w:rsidR="00DF4A22">
        <w:rPr>
          <w:lang w:val="es-ES"/>
        </w:rPr>
        <w:t>splazamiento forzado mencionado</w:t>
      </w:r>
      <w:r w:rsidRPr="006E763F">
        <w:rPr>
          <w:lang w:val="es-ES"/>
        </w:rPr>
        <w:t xml:space="preserve"> </w:t>
      </w:r>
      <w:r w:rsidR="00880356" w:rsidRPr="006E763F">
        <w:rPr>
          <w:lang w:val="es-ES"/>
        </w:rPr>
        <w:t xml:space="preserve">ni sobre que </w:t>
      </w:r>
      <w:r w:rsidRPr="006E763F">
        <w:rPr>
          <w:lang w:val="es-ES"/>
        </w:rPr>
        <w:t>haya</w:t>
      </w:r>
      <w:r w:rsidR="00880356" w:rsidRPr="006E763F">
        <w:rPr>
          <w:lang w:val="es-ES"/>
        </w:rPr>
        <w:t>n</w:t>
      </w:r>
      <w:r w:rsidRPr="006E763F">
        <w:rPr>
          <w:lang w:val="es-ES"/>
        </w:rPr>
        <w:t xml:space="preserve"> </w:t>
      </w:r>
      <w:r w:rsidR="00880356" w:rsidRPr="006E763F">
        <w:rPr>
          <w:lang w:val="es-ES"/>
        </w:rPr>
        <w:t xml:space="preserve">sido </w:t>
      </w:r>
      <w:r w:rsidRPr="006E763F">
        <w:rPr>
          <w:lang w:val="es-ES"/>
        </w:rPr>
        <w:t xml:space="preserve">consecuencia de </w:t>
      </w:r>
      <w:r w:rsidR="00B42F8E" w:rsidRPr="006E763F">
        <w:rPr>
          <w:lang w:val="es-ES"/>
        </w:rPr>
        <w:t>sus</w:t>
      </w:r>
      <w:r w:rsidRPr="006E763F">
        <w:rPr>
          <w:lang w:val="es-ES"/>
        </w:rPr>
        <w:t xml:space="preserve"> actividades sindicales y de índole política</w:t>
      </w:r>
      <w:r w:rsidR="00B42F8E" w:rsidRPr="006E763F">
        <w:rPr>
          <w:lang w:val="es-ES"/>
        </w:rPr>
        <w:t xml:space="preserve">. </w:t>
      </w:r>
    </w:p>
    <w:p w14:paraId="2DE2CB24" w14:textId="77777777" w:rsidR="00EC310A" w:rsidRDefault="00EC310A" w:rsidP="00E923BB">
      <w:pPr>
        <w:pStyle w:val="Body"/>
        <w:ind w:firstLine="249"/>
        <w:rPr>
          <w:lang w:val="es-ES"/>
        </w:rPr>
      </w:pPr>
    </w:p>
    <w:p w14:paraId="42A701C3" w14:textId="77777777" w:rsidR="00A56231" w:rsidRDefault="00A56231" w:rsidP="00E923BB">
      <w:pPr>
        <w:pStyle w:val="Body"/>
        <w:ind w:firstLine="249"/>
        <w:rPr>
          <w:lang w:val="es-ES"/>
        </w:rPr>
      </w:pPr>
    </w:p>
    <w:p w14:paraId="1BFB74DA" w14:textId="77777777" w:rsidR="00A56231" w:rsidRDefault="00A56231" w:rsidP="00E923BB">
      <w:pPr>
        <w:pStyle w:val="Body"/>
        <w:ind w:firstLine="249"/>
        <w:rPr>
          <w:lang w:val="es-ES"/>
        </w:rPr>
      </w:pPr>
    </w:p>
    <w:p w14:paraId="18BE8EF6" w14:textId="77777777" w:rsidR="00A56231" w:rsidRDefault="00A56231" w:rsidP="00E923BB">
      <w:pPr>
        <w:pStyle w:val="Body"/>
        <w:ind w:firstLine="249"/>
        <w:rPr>
          <w:lang w:val="es-ES"/>
        </w:rPr>
      </w:pPr>
    </w:p>
    <w:p w14:paraId="617F3CF2" w14:textId="77777777" w:rsidR="00A56231" w:rsidRDefault="00A56231" w:rsidP="00E923BB">
      <w:pPr>
        <w:pStyle w:val="Body"/>
        <w:ind w:firstLine="249"/>
        <w:rPr>
          <w:lang w:val="es-ES"/>
        </w:rPr>
      </w:pPr>
    </w:p>
    <w:p w14:paraId="6951F7FD" w14:textId="77777777" w:rsidR="00A56231" w:rsidRDefault="00A56231" w:rsidP="00E923BB">
      <w:pPr>
        <w:pStyle w:val="Body"/>
        <w:ind w:firstLine="249"/>
        <w:rPr>
          <w:lang w:val="es-ES"/>
        </w:rPr>
      </w:pPr>
    </w:p>
    <w:p w14:paraId="08A38A38" w14:textId="77777777" w:rsidR="00A56231" w:rsidRPr="006E763F" w:rsidRDefault="00A56231" w:rsidP="00E923BB">
      <w:pPr>
        <w:pStyle w:val="Body"/>
        <w:ind w:firstLine="249"/>
        <w:rPr>
          <w:lang w:val="es-ES"/>
        </w:rPr>
      </w:pPr>
    </w:p>
    <w:p w14:paraId="7097F8BF" w14:textId="77777777" w:rsidR="00EC310A" w:rsidRPr="006E763F" w:rsidRDefault="009E7E98" w:rsidP="00E923BB">
      <w:pPr>
        <w:pStyle w:val="Heading1"/>
        <w:rPr>
          <w:rFonts w:eastAsia="Times New Roman" w:cs="Times New Roman"/>
        </w:rPr>
      </w:pPr>
      <w:bookmarkStart w:id="4" w:name="_Toc446146"/>
      <w:r w:rsidRPr="006E763F">
        <w:t>DETERMINACIONES DE HECHO</w:t>
      </w:r>
      <w:bookmarkEnd w:id="4"/>
    </w:p>
    <w:p w14:paraId="112E9AF8" w14:textId="77777777" w:rsidR="00EC310A" w:rsidRPr="006E763F" w:rsidRDefault="00EC310A" w:rsidP="00E923BB">
      <w:pPr>
        <w:pStyle w:val="ListParagraph"/>
        <w:suppressAutoHyphens/>
        <w:ind w:left="0" w:firstLine="249"/>
        <w:rPr>
          <w:b/>
          <w:bCs/>
          <w:sz w:val="20"/>
          <w:szCs w:val="20"/>
          <w:lang w:val="es-ES"/>
        </w:rPr>
      </w:pPr>
    </w:p>
    <w:p w14:paraId="43FBDF01" w14:textId="735232AA" w:rsidR="00EC310A" w:rsidRPr="00E923BB" w:rsidRDefault="009E7E98" w:rsidP="00685D78">
      <w:pPr>
        <w:pStyle w:val="Heading2"/>
        <w:numPr>
          <w:ilvl w:val="0"/>
          <w:numId w:val="25"/>
        </w:numPr>
        <w:tabs>
          <w:tab w:val="clear" w:pos="86"/>
          <w:tab w:val="num" w:pos="1440"/>
        </w:tabs>
        <w:ind w:left="1440" w:hanging="720"/>
        <w:rPr>
          <w:rFonts w:eastAsia="Times New Roman" w:cs="Times New Roman"/>
          <w:color w:val="auto"/>
        </w:rPr>
      </w:pPr>
      <w:bookmarkStart w:id="5" w:name="_Toc446147"/>
      <w:r w:rsidRPr="00E923BB">
        <w:rPr>
          <w:color w:val="auto"/>
        </w:rPr>
        <w:t xml:space="preserve">Contexto de </w:t>
      </w:r>
      <w:r w:rsidR="000B5830" w:rsidRPr="00E923BB">
        <w:rPr>
          <w:color w:val="auto"/>
        </w:rPr>
        <w:t xml:space="preserve">violaciones de derechos humanos contra </w:t>
      </w:r>
      <w:r w:rsidRPr="00E923BB">
        <w:rPr>
          <w:color w:val="auto"/>
        </w:rPr>
        <w:t>sindical</w:t>
      </w:r>
      <w:r w:rsidR="00476BB1" w:rsidRPr="00E923BB">
        <w:rPr>
          <w:color w:val="auto"/>
        </w:rPr>
        <w:t xml:space="preserve">istas </w:t>
      </w:r>
      <w:r w:rsidRPr="00E923BB">
        <w:rPr>
          <w:color w:val="auto"/>
        </w:rPr>
        <w:t>en Colombia</w:t>
      </w:r>
      <w:r w:rsidR="00E13243" w:rsidRPr="00E923BB">
        <w:rPr>
          <w:color w:val="auto"/>
        </w:rPr>
        <w:t xml:space="preserve"> y la desaparición forzada en el marco del conflicto armado</w:t>
      </w:r>
      <w:bookmarkEnd w:id="5"/>
    </w:p>
    <w:p w14:paraId="30A70B12" w14:textId="77777777" w:rsidR="00EC310A" w:rsidRPr="006E763F" w:rsidRDefault="00EC310A" w:rsidP="00E923BB">
      <w:pPr>
        <w:pStyle w:val="Body"/>
        <w:ind w:firstLine="249"/>
        <w:rPr>
          <w:lang w:val="es-ES"/>
        </w:rPr>
      </w:pPr>
    </w:p>
    <w:p w14:paraId="1B6A8D4F" w14:textId="33C80022" w:rsidR="00300A42" w:rsidRPr="006E763F" w:rsidRDefault="00300A42" w:rsidP="00E923BB">
      <w:pPr>
        <w:pStyle w:val="Body"/>
        <w:numPr>
          <w:ilvl w:val="0"/>
          <w:numId w:val="2"/>
        </w:numPr>
        <w:ind w:firstLine="720"/>
        <w:rPr>
          <w:lang w:val="es-ES"/>
        </w:rPr>
      </w:pPr>
      <w:r w:rsidRPr="006E763F">
        <w:rPr>
          <w:lang w:val="es-ES"/>
        </w:rPr>
        <w:t>Desde principios de los años sesenta, las Fuerzas Armadas asumieron como propia la llamada “doctrina de seguridad nacional”, la cual fue acogida mediante el Decreto 3398 de 1965, posteriormente convertido en la Ley 48 de 1968 denominada “Estatuto Orgánico de Defensa Nacional”</w:t>
      </w:r>
      <w:r w:rsidRPr="006E763F">
        <w:rPr>
          <w:rStyle w:val="FootnoteReference"/>
          <w:lang w:val="es-ES"/>
        </w:rPr>
        <w:footnoteReference w:id="3"/>
      </w:r>
      <w:r w:rsidRPr="006E763F">
        <w:rPr>
          <w:lang w:val="es-ES"/>
        </w:rPr>
        <w:t>. Según un informe del Centro Nacional de Memoria Histórica, además de dicha Ley, existieron reglamentos y manuales militares</w:t>
      </w:r>
      <w:r w:rsidRPr="006E763F">
        <w:rPr>
          <w:rStyle w:val="FootnoteReference"/>
          <w:lang w:val="es-ES"/>
        </w:rPr>
        <w:footnoteReference w:id="4"/>
      </w:r>
      <w:r w:rsidRPr="006E763F">
        <w:rPr>
          <w:lang w:val="es-ES"/>
        </w:rPr>
        <w:t xml:space="preserve"> contraguerrillas que constituyeron un marco conforme al cual el concepto de “enemigo interno (…) rebasó ampliamente el espectro de los grupos guerrilleros y se extendió a toda forma de oposición política o social y de disidencia, incluyendo al movimiento sindical</w:t>
      </w:r>
      <w:r w:rsidRPr="006E763F">
        <w:rPr>
          <w:rStyle w:val="FootnoteReference"/>
          <w:lang w:val="es-ES"/>
        </w:rPr>
        <w:footnoteReference w:id="5"/>
      </w:r>
      <w:r w:rsidRPr="006E763F">
        <w:rPr>
          <w:lang w:val="es-ES"/>
        </w:rPr>
        <w:t>. Esta normativa estaba vigente al momento de la desaparición de</w:t>
      </w:r>
      <w:r w:rsidR="00BA1126" w:rsidRPr="006E763F">
        <w:rPr>
          <w:lang w:val="es-ES"/>
        </w:rPr>
        <w:t xml:space="preserve"> Pedro Julio Movilla Galarcio</w:t>
      </w:r>
      <w:r w:rsidRPr="006E763F">
        <w:rPr>
          <w:lang w:val="es-ES"/>
        </w:rPr>
        <w:t>. Aún más, existe información que indica que, al menos para el año 2009 algunos de estos manuales se seguían aplicando</w:t>
      </w:r>
      <w:r w:rsidRPr="006E763F">
        <w:rPr>
          <w:rStyle w:val="FootnoteReference"/>
          <w:lang w:val="es-ES"/>
        </w:rPr>
        <w:footnoteReference w:id="6"/>
      </w:r>
      <w:r w:rsidRPr="006E763F">
        <w:rPr>
          <w:lang w:val="es-ES"/>
        </w:rPr>
        <w:t xml:space="preserve">. </w:t>
      </w:r>
    </w:p>
    <w:p w14:paraId="61BBC100" w14:textId="77777777" w:rsidR="00300A42" w:rsidRPr="006E763F" w:rsidRDefault="00300A42" w:rsidP="00E923B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Cambria" w:hAnsi="Cambria"/>
          <w:sz w:val="20"/>
          <w:szCs w:val="20"/>
          <w:lang w:val="es-ES"/>
        </w:rPr>
      </w:pPr>
    </w:p>
    <w:p w14:paraId="7AE80AC4" w14:textId="77777777" w:rsidR="00300A42" w:rsidRPr="006E763F" w:rsidRDefault="00300A42" w:rsidP="00E923BB">
      <w:pPr>
        <w:pStyle w:val="Body"/>
        <w:numPr>
          <w:ilvl w:val="0"/>
          <w:numId w:val="2"/>
        </w:numPr>
        <w:ind w:firstLine="720"/>
        <w:rPr>
          <w:lang w:val="es-ES"/>
        </w:rPr>
      </w:pPr>
      <w:r w:rsidRPr="006E763F">
        <w:rPr>
          <w:lang w:val="es-ES"/>
        </w:rPr>
        <w:t xml:space="preserve">Esta noción de enemigo interno dentro de la doctrina de seguridad nacional fue reconocida en 1994 en un Informe Conjunto de dos Relatores Especiales de Naciones Unidas que indicaron tras su visita a Colombia: </w:t>
      </w:r>
    </w:p>
    <w:p w14:paraId="32F20561" w14:textId="77777777" w:rsidR="00300A42" w:rsidRPr="006E763F" w:rsidRDefault="00300A42" w:rsidP="00E923BB">
      <w:pPr>
        <w:pStyle w:val="ListParagraph"/>
        <w:rPr>
          <w:sz w:val="20"/>
          <w:szCs w:val="20"/>
          <w:lang w:val="es-ES"/>
        </w:rPr>
      </w:pPr>
    </w:p>
    <w:p w14:paraId="09C51D9A" w14:textId="77777777" w:rsidR="00300A42" w:rsidRPr="006E763F" w:rsidRDefault="00300A42" w:rsidP="00E923BB">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Cambria" w:hAnsi="Cambria"/>
          <w:sz w:val="20"/>
          <w:szCs w:val="20"/>
          <w:lang w:val="es-ES"/>
        </w:rPr>
      </w:pPr>
      <w:r w:rsidRPr="006E763F">
        <w:rPr>
          <w:rFonts w:ascii="Cambria" w:hAnsi="Cambria"/>
          <w:sz w:val="20"/>
          <w:szCs w:val="20"/>
          <w:lang w:val="es-ES"/>
        </w:rPr>
        <w:t>Las fuerzas armadas continúan aplicando, al parecer, una estrategia antisubversiva basada en el concepto de la ‘seguridad nacional’, en virtud del cual toda persona de la que se sabe o se sospecha que está vinculada a los guerrilleros es considerada como un enemigo interno. Según la información recibida, en las zonas calificadas de ‘zonas rojas’, donde actúan los insurgentes y tienen lugar enfrentamientos armados, las fuerzas de seguridad consideran que prácticamente todos los civiles son colaboradores de la subversión (…) La categoría de ‘enemigo interno’, aplicada a toda persona de la que se considera que apoya a la guerrilla de una u otra forma (incluso si los insurgentes utilizan la fuerza para obtener, por ejemplo, alimentos o dinero de los civiles), se ha hecho extensiva, al parecer, a todos los que expresan insatisfacción ante la situación política, económica y social, sobre todo en las zonas rurales. En consecuencia, los dirigentes y miembros de sindicatos, partidos políticos de la oposición política, organizaciones de derechos humanos, trabajadores sociales, etc., han sido, junto con los campesinos, las víctimas principales de las violaciones de los derechos humanos en zonas de conflicto armado</w:t>
      </w:r>
      <w:r w:rsidRPr="006E763F">
        <w:rPr>
          <w:rStyle w:val="FootnoteReference"/>
          <w:rFonts w:ascii="Cambria" w:hAnsi="Cambria"/>
          <w:sz w:val="20"/>
          <w:szCs w:val="20"/>
          <w:lang w:val="es-ES"/>
        </w:rPr>
        <w:footnoteReference w:id="7"/>
      </w:r>
      <w:r w:rsidRPr="006E763F">
        <w:rPr>
          <w:rFonts w:ascii="Cambria" w:hAnsi="Cambria"/>
          <w:sz w:val="20"/>
          <w:szCs w:val="20"/>
          <w:lang w:val="es-ES"/>
        </w:rPr>
        <w:t xml:space="preserve">. </w:t>
      </w:r>
    </w:p>
    <w:p w14:paraId="6A0D5BBC" w14:textId="77777777" w:rsidR="00300A42" w:rsidRDefault="00300A42" w:rsidP="00E923BB">
      <w:pPr>
        <w:pStyle w:val="Style2"/>
        <w:tabs>
          <w:tab w:val="clear" w:pos="720"/>
        </w:tabs>
        <w:ind w:left="720" w:firstLine="0"/>
      </w:pPr>
    </w:p>
    <w:p w14:paraId="04FA29A4" w14:textId="77777777" w:rsidR="00A56231" w:rsidRDefault="00A56231" w:rsidP="00E923BB">
      <w:pPr>
        <w:pStyle w:val="Style2"/>
        <w:tabs>
          <w:tab w:val="clear" w:pos="720"/>
        </w:tabs>
        <w:ind w:left="720" w:firstLine="0"/>
      </w:pPr>
    </w:p>
    <w:p w14:paraId="0C1C1AE6" w14:textId="77777777" w:rsidR="00A56231" w:rsidRPr="006E763F" w:rsidRDefault="00A56231" w:rsidP="00E923BB">
      <w:pPr>
        <w:pStyle w:val="Style2"/>
        <w:tabs>
          <w:tab w:val="clear" w:pos="720"/>
        </w:tabs>
        <w:ind w:left="720" w:firstLine="0"/>
      </w:pPr>
    </w:p>
    <w:p w14:paraId="1D851D61" w14:textId="77777777" w:rsidR="00300A42" w:rsidRPr="006E763F" w:rsidRDefault="00300A42" w:rsidP="00E923BB">
      <w:pPr>
        <w:pStyle w:val="Body"/>
        <w:numPr>
          <w:ilvl w:val="0"/>
          <w:numId w:val="2"/>
        </w:numPr>
        <w:ind w:firstLine="720"/>
      </w:pPr>
      <w:r w:rsidRPr="006E763F">
        <w:t xml:space="preserve">En efecto, en su Segundo Informe sobre la </w:t>
      </w:r>
      <w:r w:rsidRPr="006E763F">
        <w:rPr>
          <w:i/>
        </w:rPr>
        <w:t>Situación de los Derechos Humanos en Colombia</w:t>
      </w:r>
      <w:r w:rsidRPr="006E763F">
        <w:t>, la Comisión señaló que desde la Constitución de la Central Unitaria de Trabajadores de Colombia (CUT) en noviembre de 1986 y hasta mayo de 1990, habían sido asesinados y desaparecidos 538 activistas y dirigentes sindicales</w:t>
      </w:r>
      <w:r w:rsidRPr="006E763F">
        <w:rPr>
          <w:rStyle w:val="FootnoteReference"/>
        </w:rPr>
        <w:footnoteReference w:id="8"/>
      </w:r>
      <w:r w:rsidRPr="006E763F">
        <w:t>.</w:t>
      </w:r>
    </w:p>
    <w:p w14:paraId="16C4E32A" w14:textId="77777777" w:rsidR="00300A42" w:rsidRPr="006E763F" w:rsidRDefault="00300A42" w:rsidP="00E923BB">
      <w:pPr>
        <w:pStyle w:val="ListParagraph"/>
        <w:rPr>
          <w:sz w:val="20"/>
          <w:szCs w:val="20"/>
          <w:lang w:val="es-ES"/>
        </w:rPr>
      </w:pPr>
    </w:p>
    <w:p w14:paraId="3A773C30" w14:textId="1A4B7C54" w:rsidR="00300A42" w:rsidRPr="006E763F" w:rsidRDefault="00300A42" w:rsidP="00E923BB">
      <w:pPr>
        <w:pStyle w:val="Body"/>
        <w:numPr>
          <w:ilvl w:val="0"/>
          <w:numId w:val="2"/>
        </w:numPr>
        <w:ind w:firstLine="720"/>
        <w:rPr>
          <w:lang w:val="es-ES"/>
        </w:rPr>
      </w:pPr>
      <w:r w:rsidRPr="006E763F">
        <w:rPr>
          <w:lang w:val="es-ES"/>
        </w:rPr>
        <w:t>En nota de prensa del 1 de mayo de 1987, publicada por El Colombiano, se informa que en un año habrían sido asesinados en Colombia 32 líderes sindicales, hechos que habrían sido denunciados en el V foro nacional sobre derechos humanos, realizado en Bogotá,  y se señala que “los principales directivos de las centrales obreras fueron amenazados de muerte, por lo menos una vez, en este último año”</w:t>
      </w:r>
      <w:r w:rsidRPr="006E763F">
        <w:rPr>
          <w:rStyle w:val="FootnoteReference"/>
          <w:lang w:val="es-ES"/>
        </w:rPr>
        <w:footnoteReference w:id="9"/>
      </w:r>
      <w:r w:rsidRPr="006E763F">
        <w:rPr>
          <w:lang w:val="es-ES"/>
        </w:rPr>
        <w:t>.</w:t>
      </w:r>
    </w:p>
    <w:p w14:paraId="0B4CC692" w14:textId="77777777" w:rsidR="00300A42" w:rsidRPr="006E763F" w:rsidRDefault="00300A42" w:rsidP="00E923BB">
      <w:pPr>
        <w:pStyle w:val="Body"/>
        <w:ind w:firstLine="249"/>
        <w:rPr>
          <w:lang w:val="es-ES"/>
        </w:rPr>
      </w:pPr>
    </w:p>
    <w:p w14:paraId="20C056D9" w14:textId="777D507D" w:rsidR="00EC310A" w:rsidRPr="006E763F" w:rsidRDefault="00E13243" w:rsidP="00E923BB">
      <w:pPr>
        <w:pStyle w:val="Body"/>
        <w:numPr>
          <w:ilvl w:val="0"/>
          <w:numId w:val="2"/>
        </w:numPr>
        <w:ind w:firstLine="720"/>
        <w:rPr>
          <w:lang w:val="es-ES"/>
        </w:rPr>
      </w:pPr>
      <w:r w:rsidRPr="006E763F">
        <w:rPr>
          <w:lang w:val="es-ES"/>
        </w:rPr>
        <w:t>Puntu</w:t>
      </w:r>
      <w:r w:rsidR="0072159E" w:rsidRPr="006E763F">
        <w:rPr>
          <w:lang w:val="es-ES"/>
        </w:rPr>
        <w:t>almente, e</w:t>
      </w:r>
      <w:r w:rsidRPr="006E763F">
        <w:rPr>
          <w:lang w:val="es-ES"/>
        </w:rPr>
        <w:t xml:space="preserve">n cuanto a la incidencia de la desaparición forzada </w:t>
      </w:r>
      <w:r w:rsidR="00DE20A7" w:rsidRPr="006E763F">
        <w:rPr>
          <w:lang w:val="es-ES"/>
        </w:rPr>
        <w:t xml:space="preserve">en el marco del </w:t>
      </w:r>
      <w:r w:rsidR="009E7E98" w:rsidRPr="006E763F">
        <w:rPr>
          <w:lang w:val="es-ES"/>
        </w:rPr>
        <w:t>conflicto armado</w:t>
      </w:r>
      <w:r w:rsidR="001E6918" w:rsidRPr="006E763F">
        <w:rPr>
          <w:lang w:val="es-ES"/>
        </w:rPr>
        <w:t>, la CIDH nota que</w:t>
      </w:r>
      <w:r w:rsidR="004D314D" w:rsidRPr="006E763F">
        <w:rPr>
          <w:lang w:val="es-ES"/>
        </w:rPr>
        <w:t xml:space="preserve"> </w:t>
      </w:r>
      <w:r w:rsidR="009E7E98" w:rsidRPr="006E763F">
        <w:rPr>
          <w:lang w:val="es-ES"/>
        </w:rPr>
        <w:t xml:space="preserve">el Observatorio de Memoria y Conflicto (en adelante “el OMC”) del Centro Nacional de Memoria Histórica (en adelante “el CNMH”) ha documentado 60.630 </w:t>
      </w:r>
      <w:r w:rsidR="00360DC3" w:rsidRPr="006E763F">
        <w:rPr>
          <w:lang w:val="es-ES"/>
        </w:rPr>
        <w:t>“des</w:t>
      </w:r>
      <w:r w:rsidR="0088543D" w:rsidRPr="006E763F">
        <w:rPr>
          <w:lang w:val="es-ES"/>
        </w:rPr>
        <w:t>a</w:t>
      </w:r>
      <w:r w:rsidR="00360DC3" w:rsidRPr="006E763F">
        <w:rPr>
          <w:lang w:val="es-ES"/>
        </w:rPr>
        <w:t xml:space="preserve">parecidos forzados” </w:t>
      </w:r>
      <w:r w:rsidR="009E7E98" w:rsidRPr="006E763F">
        <w:rPr>
          <w:lang w:val="es-ES"/>
        </w:rPr>
        <w:t>entre 1970 y 2015</w:t>
      </w:r>
      <w:r w:rsidR="009E7E98" w:rsidRPr="006E763F">
        <w:rPr>
          <w:vertAlign w:val="superscript"/>
          <w:lang w:val="es-ES"/>
        </w:rPr>
        <w:footnoteReference w:id="10"/>
      </w:r>
      <w:r w:rsidR="009E7E98" w:rsidRPr="006E763F">
        <w:rPr>
          <w:lang w:val="es-ES"/>
        </w:rPr>
        <w:t>. El perfil de las víctimas de desapariciones forzadas en Colombia, según la base de datos del OMC, indica los roles</w:t>
      </w:r>
      <w:r w:rsidR="00C10EE9" w:rsidRPr="006E763F">
        <w:rPr>
          <w:lang w:val="es-ES"/>
        </w:rPr>
        <w:t xml:space="preserve"> de</w:t>
      </w:r>
      <w:r w:rsidR="009E7E98" w:rsidRPr="006E763F">
        <w:rPr>
          <w:lang w:val="es-ES"/>
        </w:rPr>
        <w:t xml:space="preserve"> los militantes o dirigentes políticos (576) y los sindicalistas (259), entre otros</w:t>
      </w:r>
      <w:r w:rsidR="009E7E98" w:rsidRPr="006E763F">
        <w:rPr>
          <w:vertAlign w:val="superscript"/>
          <w:lang w:val="es-ES"/>
        </w:rPr>
        <w:footnoteReference w:id="11"/>
      </w:r>
      <w:r w:rsidR="009E7E98" w:rsidRPr="006E763F">
        <w:rPr>
          <w:lang w:val="es-ES"/>
        </w:rPr>
        <w:t xml:space="preserve">. De acuerdo con </w:t>
      </w:r>
      <w:r w:rsidR="00DF6272" w:rsidRPr="006E763F">
        <w:rPr>
          <w:lang w:val="es-ES"/>
        </w:rPr>
        <w:t xml:space="preserve">el CNMH </w:t>
      </w:r>
      <w:r w:rsidR="009E7E98" w:rsidRPr="006E763F">
        <w:rPr>
          <w:lang w:val="es-ES"/>
        </w:rPr>
        <w:t>estas desapariciones fueron ejecutadas en aplicación de la Doctrina de la Seguridad Nacional</w:t>
      </w:r>
      <w:r w:rsidR="008730D6" w:rsidRPr="006E763F">
        <w:rPr>
          <w:lang w:val="es-ES"/>
        </w:rPr>
        <w:t xml:space="preserve"> ya referida </w:t>
      </w:r>
      <w:r w:rsidR="009E7E98" w:rsidRPr="006E763F">
        <w:rPr>
          <w:lang w:val="es-ES"/>
        </w:rPr>
        <w:t>en</w:t>
      </w:r>
      <w:r w:rsidR="008730D6" w:rsidRPr="006E763F">
        <w:rPr>
          <w:lang w:val="es-ES"/>
        </w:rPr>
        <w:t xml:space="preserve"> el marco de la cual </w:t>
      </w:r>
      <w:r w:rsidR="009E7E98" w:rsidRPr="006E763F">
        <w:rPr>
          <w:lang w:val="es-ES"/>
        </w:rPr>
        <w:t>los sindicatos entrarían en la categoría de “enemigo interno”</w:t>
      </w:r>
      <w:r w:rsidR="009E7E98" w:rsidRPr="006E763F">
        <w:rPr>
          <w:vertAlign w:val="superscript"/>
          <w:lang w:val="es-ES"/>
        </w:rPr>
        <w:footnoteReference w:id="12"/>
      </w:r>
      <w:r w:rsidR="00965B5E" w:rsidRPr="006E763F">
        <w:rPr>
          <w:lang w:val="es-ES"/>
        </w:rPr>
        <w:t>.</w:t>
      </w:r>
      <w:r w:rsidR="004C792F" w:rsidRPr="006E763F">
        <w:rPr>
          <w:lang w:val="es-ES"/>
        </w:rPr>
        <w:t xml:space="preserve"> </w:t>
      </w:r>
      <w:r w:rsidR="009E7E98" w:rsidRPr="006E763F">
        <w:rPr>
          <w:lang w:val="es-ES"/>
        </w:rPr>
        <w:t xml:space="preserve">En </w:t>
      </w:r>
      <w:r w:rsidR="004C792F" w:rsidRPr="006E763F">
        <w:rPr>
          <w:lang w:val="es-ES"/>
        </w:rPr>
        <w:t xml:space="preserve">su Informe Anual de 2016, la CIDH destacó la información recibida en cuanto a que </w:t>
      </w:r>
      <w:r w:rsidR="009E7E98" w:rsidRPr="006E763F">
        <w:rPr>
          <w:lang w:val="es-ES"/>
        </w:rPr>
        <w:t>de las más de 60.000 personas desaparecidas en Colombia, registradas desde 1970, no se ha traducido en una respuesta real, efectiva y duradera por parte del Estado para combatir la impunidad, existiendo además una falta de resultados en la localización de restos, para</w:t>
      </w:r>
      <w:r w:rsidR="006A4E05" w:rsidRPr="006E763F">
        <w:rPr>
          <w:lang w:val="es-ES"/>
        </w:rPr>
        <w:t>dero o destino de las víctimas</w:t>
      </w:r>
      <w:r w:rsidR="009E7E98" w:rsidRPr="006E763F">
        <w:rPr>
          <w:vertAlign w:val="superscript"/>
          <w:lang w:val="es-ES"/>
        </w:rPr>
        <w:footnoteReference w:id="13"/>
      </w:r>
      <w:r w:rsidR="009E7E98" w:rsidRPr="006E763F">
        <w:rPr>
          <w:lang w:val="es-ES"/>
        </w:rPr>
        <w:t xml:space="preserve">. </w:t>
      </w:r>
    </w:p>
    <w:p w14:paraId="0DD09615" w14:textId="77777777" w:rsidR="00EC310A" w:rsidRPr="006E763F" w:rsidRDefault="00EC310A" w:rsidP="00E923BB">
      <w:pPr>
        <w:pStyle w:val="ListParagraph"/>
        <w:ind w:left="0" w:firstLine="249"/>
        <w:rPr>
          <w:sz w:val="20"/>
          <w:szCs w:val="20"/>
          <w:lang w:val="es-ES"/>
        </w:rPr>
      </w:pPr>
    </w:p>
    <w:p w14:paraId="686E4BF7" w14:textId="40B2D0CB" w:rsidR="00BB10AB" w:rsidRPr="006E763F" w:rsidRDefault="00BB10AB" w:rsidP="00E923BB">
      <w:pPr>
        <w:pStyle w:val="Heading2"/>
      </w:pPr>
      <w:bookmarkStart w:id="6" w:name="_Toc446148"/>
      <w:r w:rsidRPr="006E763F">
        <w:t>Contexto sobre la violencia política en Colombia</w:t>
      </w:r>
      <w:bookmarkEnd w:id="6"/>
    </w:p>
    <w:p w14:paraId="1ABC0487" w14:textId="77777777" w:rsidR="00BB10AB" w:rsidRPr="006E763F" w:rsidRDefault="00BB10AB" w:rsidP="00E923BB">
      <w:pPr>
        <w:rPr>
          <w:rFonts w:ascii="Cambria" w:hAnsi="Cambria"/>
          <w:sz w:val="20"/>
          <w:szCs w:val="20"/>
          <w:lang w:val="es-ES"/>
        </w:rPr>
      </w:pPr>
    </w:p>
    <w:p w14:paraId="3A067686" w14:textId="77777777" w:rsidR="00BB10AB" w:rsidRPr="006E763F" w:rsidRDefault="00BB10AB" w:rsidP="00E923BB">
      <w:pPr>
        <w:pStyle w:val="Body"/>
        <w:numPr>
          <w:ilvl w:val="0"/>
          <w:numId w:val="2"/>
        </w:numPr>
        <w:ind w:firstLine="720"/>
        <w:rPr>
          <w:lang w:val="es-ES"/>
        </w:rPr>
      </w:pPr>
      <w:r w:rsidRPr="006E763F">
        <w:rPr>
          <w:lang w:val="es-ES"/>
        </w:rPr>
        <w:t xml:space="preserve">La CIDH ha dado seguimiento a la situación de violencia política en Colombia desde los años ochenta.  En abril de 1980 realizó una visita </w:t>
      </w:r>
      <w:r w:rsidRPr="00C128D7">
        <w:rPr>
          <w:i/>
          <w:lang w:val="es-ES"/>
        </w:rPr>
        <w:t>in loco</w:t>
      </w:r>
      <w:r w:rsidRPr="006E763F">
        <w:rPr>
          <w:lang w:val="es-ES"/>
        </w:rPr>
        <w:t xml:space="preserve"> y visitas sucesivas con posterioridad, hasta mayo de 1981</w:t>
      </w:r>
      <w:r w:rsidRPr="006E763F">
        <w:rPr>
          <w:vertAlign w:val="superscript"/>
          <w:lang w:val="es-CO"/>
        </w:rPr>
        <w:footnoteReference w:id="14"/>
      </w:r>
      <w:r w:rsidRPr="006E763F">
        <w:rPr>
          <w:lang w:val="es-ES"/>
        </w:rPr>
        <w:t xml:space="preserve">. En su Informe Anual de 1996, la CIDH al referirse a la situación de Colombia, señaló que </w:t>
      </w:r>
      <w:r w:rsidRPr="006E763F">
        <w:rPr>
          <w:lang w:val="es-CO"/>
        </w:rPr>
        <w:t xml:space="preserve">los ataques contra </w:t>
      </w:r>
      <w:r w:rsidRPr="006E763F">
        <w:rPr>
          <w:lang w:val="es-ES"/>
        </w:rPr>
        <w:t>personas</w:t>
      </w:r>
      <w:r w:rsidRPr="006E763F">
        <w:rPr>
          <w:lang w:val="es-CO"/>
        </w:rPr>
        <w:t xml:space="preserve"> que trabajan en el campo de los derechos humanos, partidos políticos de alternativa a los tradicionales y autoridades electas a nivel local, continuaron en 1996. </w:t>
      </w:r>
      <w:r w:rsidRPr="006E763F">
        <w:rPr>
          <w:lang w:val="es-ES"/>
        </w:rPr>
        <w:t>Advirtió lo siguiente:</w:t>
      </w:r>
    </w:p>
    <w:p w14:paraId="24FDD776" w14:textId="77777777" w:rsidR="00BB10AB" w:rsidRPr="006E763F" w:rsidRDefault="00BB10AB" w:rsidP="00E923BB">
      <w:pPr>
        <w:pStyle w:val="ListParagraph"/>
        <w:rPr>
          <w:sz w:val="20"/>
          <w:szCs w:val="20"/>
          <w:lang w:val="es-ES"/>
        </w:rPr>
      </w:pPr>
    </w:p>
    <w:p w14:paraId="393F891B" w14:textId="7DFA8864" w:rsidR="00BB10AB" w:rsidRPr="006E763F" w:rsidRDefault="00BB10AB" w:rsidP="00E923BB">
      <w:pPr>
        <w:ind w:left="720" w:right="720"/>
        <w:contextualSpacing/>
        <w:jc w:val="both"/>
        <w:rPr>
          <w:rFonts w:ascii="Cambria" w:hAnsi="Cambria"/>
          <w:sz w:val="20"/>
          <w:szCs w:val="20"/>
          <w:lang w:val="es-CO"/>
        </w:rPr>
      </w:pPr>
      <w:r w:rsidRPr="006E763F">
        <w:rPr>
          <w:rFonts w:ascii="Cambria" w:hAnsi="Cambria"/>
          <w:sz w:val="20"/>
          <w:szCs w:val="20"/>
          <w:lang w:val="es-CO"/>
        </w:rPr>
        <w:t>Las fuentes no gubernamentales consideran que el 65% de los asesinatos políticos son responsabilidad de las fuerzas armadas y de los grupos paramilitares. Dichas fuentes estiman que el número de violaciones cometidas por las fuerzas de seguridad del Estado colombiano descendieron en 1996, constituyendo aproximadamente del 8% al 18% de todos los asesinatos políticos en los cuales los asaltantes pudieron ser identificados.  Mientras el número de asesinatos políticos cometidos por las fuerzas del Estado disminuyó, el número de dichas violaciones cometidas por las fuerzas paramilitares aumentó. Según fuentes no gubernamentales, los paramilitares son responsables del 48% al 59% de los asesin</w:t>
      </w:r>
      <w:r w:rsidR="004F1C90" w:rsidRPr="006E763F">
        <w:rPr>
          <w:rFonts w:ascii="Cambria" w:hAnsi="Cambria"/>
          <w:sz w:val="20"/>
          <w:szCs w:val="20"/>
          <w:lang w:val="es-CO"/>
        </w:rPr>
        <w:t xml:space="preserve">atos extrajudiciales por razones políticas. </w:t>
      </w:r>
      <w:r w:rsidRPr="006E763F">
        <w:rPr>
          <w:rFonts w:ascii="Cambria" w:hAnsi="Cambria"/>
          <w:sz w:val="20"/>
          <w:szCs w:val="20"/>
          <w:lang w:val="es-CO"/>
        </w:rPr>
        <w:t>El Defensor del Pueblo en Colombia ha informado que la actividad paramilitar ha aumentado un 62% desde 1992. Estas estadísticas deben ser analizadas en el contexto de graves indicios que vinculan los asesinatos cometidos por los paramilitares con la complicidad de soldados individuales y/o de unidades militares y que tienden a demostrar que el Gobierno no ha procurado adecuadamente controlar a los paramilitares</w:t>
      </w:r>
      <w:r w:rsidRPr="006E763F">
        <w:rPr>
          <w:rFonts w:ascii="Cambria" w:hAnsi="Cambria"/>
          <w:sz w:val="20"/>
          <w:szCs w:val="20"/>
          <w:vertAlign w:val="superscript"/>
          <w:lang w:val="es-CO"/>
        </w:rPr>
        <w:footnoteReference w:id="15"/>
      </w:r>
      <w:r w:rsidRPr="006E763F">
        <w:rPr>
          <w:rFonts w:ascii="Cambria" w:hAnsi="Cambria"/>
          <w:sz w:val="20"/>
          <w:szCs w:val="20"/>
          <w:lang w:val="es-CO"/>
        </w:rPr>
        <w:t>.</w:t>
      </w:r>
    </w:p>
    <w:p w14:paraId="3157FD0F" w14:textId="77777777" w:rsidR="00E1551F" w:rsidRPr="006E763F" w:rsidRDefault="00E1551F" w:rsidP="00E923BB">
      <w:pPr>
        <w:ind w:left="720" w:right="720"/>
        <w:jc w:val="both"/>
        <w:rPr>
          <w:rFonts w:ascii="Cambria" w:hAnsi="Cambria"/>
          <w:sz w:val="20"/>
          <w:szCs w:val="20"/>
          <w:lang w:val="es-CO"/>
        </w:rPr>
      </w:pPr>
    </w:p>
    <w:p w14:paraId="557BB656" w14:textId="77777777" w:rsidR="00BB10AB" w:rsidRPr="006E763F" w:rsidRDefault="00BB10AB" w:rsidP="00E923BB">
      <w:pPr>
        <w:pStyle w:val="Body"/>
        <w:numPr>
          <w:ilvl w:val="0"/>
          <w:numId w:val="2"/>
        </w:numPr>
        <w:ind w:firstLine="720"/>
        <w:rPr>
          <w:lang w:val="es-ES"/>
        </w:rPr>
      </w:pPr>
      <w:r w:rsidRPr="006E763F">
        <w:rPr>
          <w:lang w:val="es-ES"/>
        </w:rPr>
        <w:t xml:space="preserve">En posteriores informes sobre la Situación de los Derechos Humanos en Colombia, la CIDH ha continuado refiriéndose a la situación de violencia política en el país. En este sentido, afirmó que </w:t>
      </w:r>
      <w:r w:rsidRPr="006E763F">
        <w:rPr>
          <w:lang w:val="es-CO"/>
        </w:rPr>
        <w:t>la magnitud de las violaciones al derecho a la vida “se ha caracterizado por una clara orientación política, ya que muchas de sus víctimas han sido personas que sustentaban posiciones políticas opuestas al Gobierno o que habían manifestado en actos públicos su discrepancia con él.  En las violaciones al derecho a la vida se han empleado métodos como desapariciones, ejecuciones sumarias de personas y de grupos y otros actos atroces considerados en el presente Informe”</w:t>
      </w:r>
      <w:r w:rsidRPr="006E763F">
        <w:rPr>
          <w:vertAlign w:val="superscript"/>
          <w:lang w:val="es-CO"/>
        </w:rPr>
        <w:footnoteReference w:id="16"/>
      </w:r>
      <w:r w:rsidRPr="006E763F">
        <w:rPr>
          <w:lang w:val="es-CO"/>
        </w:rPr>
        <w:t>.</w:t>
      </w:r>
    </w:p>
    <w:p w14:paraId="060EDFCE" w14:textId="77777777" w:rsidR="00BB10AB" w:rsidRPr="006E763F" w:rsidRDefault="00BB10AB" w:rsidP="00E923B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103C207A" w14:textId="0480797E" w:rsidR="00BB10AB" w:rsidRPr="006E763F" w:rsidRDefault="00BB10AB" w:rsidP="00E923BB">
      <w:pPr>
        <w:pStyle w:val="Body"/>
        <w:numPr>
          <w:ilvl w:val="0"/>
          <w:numId w:val="2"/>
        </w:numPr>
        <w:ind w:firstLine="720"/>
        <w:rPr>
          <w:lang w:val="es-ES"/>
        </w:rPr>
      </w:pPr>
      <w:r w:rsidRPr="006E763F">
        <w:rPr>
          <w:lang w:val="es-ES"/>
        </w:rPr>
        <w:t xml:space="preserve">Sobre hechos concretos de violencia en contra de partidos políticos, la CIDH ha referido lo siguiente: </w:t>
      </w:r>
    </w:p>
    <w:p w14:paraId="565B0F29" w14:textId="77777777" w:rsidR="00E923BB" w:rsidRDefault="00E923BB" w:rsidP="00E923BB">
      <w:pPr>
        <w:ind w:left="720" w:right="720"/>
        <w:contextualSpacing/>
        <w:jc w:val="both"/>
        <w:rPr>
          <w:rFonts w:ascii="Cambria" w:hAnsi="Cambria"/>
          <w:sz w:val="20"/>
          <w:szCs w:val="20"/>
          <w:lang w:val="es-CO"/>
        </w:rPr>
      </w:pPr>
    </w:p>
    <w:p w14:paraId="6DB6A7C8" w14:textId="77777777" w:rsidR="00BB10AB" w:rsidRPr="006E763F" w:rsidRDefault="00BB10AB" w:rsidP="00E923BB">
      <w:pPr>
        <w:ind w:left="720" w:right="720"/>
        <w:contextualSpacing/>
        <w:jc w:val="both"/>
        <w:rPr>
          <w:rFonts w:ascii="Cambria" w:hAnsi="Cambria"/>
          <w:sz w:val="20"/>
          <w:szCs w:val="20"/>
          <w:lang w:val="es-CO"/>
        </w:rPr>
      </w:pPr>
      <w:r w:rsidRPr="006E763F">
        <w:rPr>
          <w:rFonts w:ascii="Cambria" w:hAnsi="Cambria"/>
          <w:sz w:val="20"/>
          <w:szCs w:val="20"/>
          <w:lang w:val="es-CO"/>
        </w:rPr>
        <w:t>Al mismo tiempo, grupos paramilitares amenazaron a ciertos candidatos y advirtieron a los residentes en determinadas regiones del país que debían abstenerse de votar o de participar en los comicios de cualquier otra forma. La influencia de los grupos paramilitares en las elecciones cobró mayor significado en la región de la costa atlántica, en especial en Urabá, Córdoba, Magdalena y el sur del Departamento del Cesar. La interferencia de los grupos paramilitares impidió casi totalmente la inscripción de partidos de izquierda en las elecciones en la región de Urabá donde, en años anteriores, miembros de partidos alternativos como la Unión Patriótica habían cobrado notable influencia política.</w:t>
      </w:r>
    </w:p>
    <w:p w14:paraId="134F9E18" w14:textId="77777777" w:rsidR="00BB10AB" w:rsidRPr="006E763F" w:rsidRDefault="00BB10AB" w:rsidP="00E923BB">
      <w:pPr>
        <w:ind w:left="720" w:right="720"/>
        <w:contextualSpacing/>
        <w:jc w:val="both"/>
        <w:rPr>
          <w:rFonts w:ascii="Cambria" w:hAnsi="Cambria"/>
          <w:sz w:val="20"/>
          <w:szCs w:val="20"/>
          <w:lang w:val="es-CO"/>
        </w:rPr>
      </w:pPr>
      <w:r w:rsidRPr="006E763F">
        <w:rPr>
          <w:rFonts w:ascii="Cambria" w:hAnsi="Cambria"/>
          <w:sz w:val="20"/>
          <w:szCs w:val="20"/>
          <w:lang w:val="es-CO"/>
        </w:rPr>
        <w:t>(…)</w:t>
      </w:r>
    </w:p>
    <w:p w14:paraId="7070AA8D" w14:textId="77777777" w:rsidR="00BB10AB" w:rsidRPr="006E763F" w:rsidRDefault="00BB10AB" w:rsidP="00E923BB">
      <w:pPr>
        <w:ind w:left="720" w:right="720"/>
        <w:contextualSpacing/>
        <w:jc w:val="both"/>
        <w:rPr>
          <w:rFonts w:ascii="Cambria" w:hAnsi="Cambria"/>
          <w:sz w:val="20"/>
          <w:szCs w:val="20"/>
          <w:lang w:val="es-CO"/>
        </w:rPr>
      </w:pPr>
      <w:r w:rsidRPr="006E763F">
        <w:rPr>
          <w:rFonts w:ascii="Cambria" w:hAnsi="Cambria"/>
          <w:sz w:val="20"/>
          <w:szCs w:val="20"/>
          <w:lang w:val="es-CO"/>
        </w:rPr>
        <w:t xml:space="preserve">Estos incidentes se inscriben en un historial de violencia contra funcionarios elegidos que, según fuentes oficiales, consigna 28 alcaldes asesinados entre 1995 y 1997. En 1995 fueron secuestrados 18 alcaldes y 23 lo fueron en 1996. Entre noviembre de 1996 y septiembre de 1997, fueron secuestrados 41 alcaldes y otros 40 fueron víctimas de amenazas o agresiones.13 Entre enero de 1995 y julio de 1997, fueron asesinados 140 miembros de concejos municipales. </w:t>
      </w:r>
    </w:p>
    <w:p w14:paraId="2D4BC707" w14:textId="77777777" w:rsidR="00BB10AB" w:rsidRPr="006E763F" w:rsidRDefault="00BB10AB" w:rsidP="00E923BB">
      <w:pPr>
        <w:ind w:left="720" w:right="720"/>
        <w:contextualSpacing/>
        <w:jc w:val="both"/>
        <w:rPr>
          <w:rFonts w:ascii="Cambria" w:hAnsi="Cambria"/>
          <w:sz w:val="20"/>
          <w:szCs w:val="20"/>
          <w:lang w:val="es-CO"/>
        </w:rPr>
      </w:pPr>
    </w:p>
    <w:p w14:paraId="4F1F2F49" w14:textId="77777777" w:rsidR="00BB10AB" w:rsidRPr="006E763F" w:rsidRDefault="00BB10AB" w:rsidP="00E923BB">
      <w:pPr>
        <w:ind w:left="720" w:right="720"/>
        <w:contextualSpacing/>
        <w:jc w:val="both"/>
        <w:rPr>
          <w:rFonts w:ascii="Cambria" w:hAnsi="Cambria"/>
          <w:sz w:val="20"/>
          <w:szCs w:val="20"/>
          <w:lang w:val="es-CO"/>
        </w:rPr>
      </w:pPr>
      <w:r w:rsidRPr="006E763F">
        <w:rPr>
          <w:rFonts w:ascii="Cambria" w:hAnsi="Cambria"/>
          <w:sz w:val="20"/>
          <w:szCs w:val="20"/>
          <w:lang w:val="es-CO"/>
        </w:rPr>
        <w:t>Para la Comisión es motivo de suma preocupación la posibilidad de que estos ataques constantes, violatorios del derecho humanitario internacional, desemboquen en algún momento en una situación en la que la ciudadanía colombiana se vea privada de acceso efectivo al derecho al sufragio y a la participación política directa o representativa. La Comisión insta al Estado a tomar todas las medidas necesarias a fin de asegurar la protección de los derechos a la participación política, con objeto de que Colombia siga siendo un Estado plenamente democrático</w:t>
      </w:r>
      <w:r w:rsidRPr="006E763F">
        <w:rPr>
          <w:rStyle w:val="FootnoteReference"/>
          <w:rFonts w:ascii="Cambria" w:hAnsi="Cambria"/>
          <w:sz w:val="20"/>
          <w:szCs w:val="20"/>
          <w:lang w:val="es-CO"/>
        </w:rPr>
        <w:footnoteReference w:id="17"/>
      </w:r>
      <w:r w:rsidRPr="006E763F">
        <w:rPr>
          <w:rFonts w:ascii="Cambria" w:hAnsi="Cambria"/>
          <w:sz w:val="20"/>
          <w:szCs w:val="20"/>
          <w:lang w:val="es-CO"/>
        </w:rPr>
        <w:t>.</w:t>
      </w:r>
    </w:p>
    <w:p w14:paraId="7A65D1E4" w14:textId="77777777" w:rsidR="00BB10AB" w:rsidRPr="006E763F" w:rsidRDefault="00BB10AB" w:rsidP="00E923B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19555F3F" w14:textId="2535F26E" w:rsidR="00BB10AB" w:rsidRPr="006E763F" w:rsidRDefault="00BB10AB" w:rsidP="00E923BB">
      <w:pPr>
        <w:pStyle w:val="Body"/>
        <w:numPr>
          <w:ilvl w:val="0"/>
          <w:numId w:val="2"/>
        </w:numPr>
        <w:ind w:firstLine="720"/>
        <w:rPr>
          <w:lang w:val="es-ES"/>
        </w:rPr>
      </w:pPr>
      <w:r w:rsidRPr="006E763F">
        <w:rPr>
          <w:lang w:val="es-ES"/>
        </w:rPr>
        <w:t>Asimismo, diversos organismos nacionales e internacionales han documentado o informado sobre la situación de violencia política en Colombia.</w:t>
      </w:r>
      <w:r w:rsidR="00360DC3" w:rsidRPr="006E763F">
        <w:rPr>
          <w:lang w:val="es-ES"/>
        </w:rPr>
        <w:t xml:space="preserve"> De este modo, l</w:t>
      </w:r>
      <w:r w:rsidRPr="006E763F">
        <w:rPr>
          <w:lang w:val="es-ES"/>
        </w:rPr>
        <w:t>os Relatores Especiales de Naciones Unidas sobre tortura, y sobre ejecuciones extrajudiciales, sumarias o arbitrarias señalaron, en Informe conjunto de 1995 sobre su visita a Colombia, señalaron que durante las últimas décadas, las personas que se han expresado críticamente sobre las condiciones políticas, económicas o sociales, han sido víctimas de violaciones a derechos humanos</w:t>
      </w:r>
      <w:r w:rsidRPr="006E763F">
        <w:rPr>
          <w:rStyle w:val="FootnoteReference"/>
          <w:lang w:val="es-ES"/>
        </w:rPr>
        <w:footnoteReference w:id="18"/>
      </w:r>
      <w:r w:rsidRPr="006E763F">
        <w:rPr>
          <w:lang w:val="es-ES"/>
        </w:rPr>
        <w:t>. En este sentido, indicaron que la disidencia política ha sido considerada por los sectores tradicionales y el narcotráfico como una amenaza a sus intereses, y es percibida como una actividad subversiva no solo por los militares involucrados en actividades de contrainsurgencia en zonas rurales, sino también por un gran número de autoridades civiles e instituciones estatales</w:t>
      </w:r>
      <w:r w:rsidRPr="006E763F">
        <w:rPr>
          <w:rStyle w:val="FootnoteReference"/>
          <w:lang w:val="es-ES"/>
        </w:rPr>
        <w:footnoteReference w:id="19"/>
      </w:r>
      <w:r w:rsidRPr="006E763F">
        <w:rPr>
          <w:lang w:val="es-ES"/>
        </w:rPr>
        <w:t xml:space="preserve">. Así, catalogados como “guerrilleros” o “enemigos internos”, muchos </w:t>
      </w:r>
      <w:r w:rsidRPr="006E763F">
        <w:rPr>
          <w:lang w:val="es-ES"/>
        </w:rPr>
        <w:lastRenderedPageBreak/>
        <w:t>miembros de partidos políticos opositores viven bajo permanente amenaza y el alarmante número de asesinatos cometidos contra los mismos es realmente preocupante</w:t>
      </w:r>
      <w:r w:rsidRPr="006E763F">
        <w:rPr>
          <w:rStyle w:val="FootnoteReference"/>
          <w:lang w:val="es-ES"/>
        </w:rPr>
        <w:footnoteReference w:id="20"/>
      </w:r>
      <w:r w:rsidRPr="006E763F">
        <w:rPr>
          <w:lang w:val="es-ES"/>
        </w:rPr>
        <w:t>.</w:t>
      </w:r>
    </w:p>
    <w:p w14:paraId="7B33BD3D" w14:textId="77777777" w:rsidR="00BB10AB" w:rsidRPr="006E763F" w:rsidRDefault="00BB10AB" w:rsidP="00E923BB">
      <w:pPr>
        <w:jc w:val="both"/>
        <w:rPr>
          <w:rFonts w:ascii="Cambria" w:hAnsi="Cambria"/>
          <w:sz w:val="20"/>
          <w:szCs w:val="20"/>
          <w:lang w:val="es-ES"/>
        </w:rPr>
      </w:pPr>
    </w:p>
    <w:p w14:paraId="29A2A3A0" w14:textId="2C5E3772" w:rsidR="00BB10AB" w:rsidRPr="006E763F" w:rsidRDefault="004B2029" w:rsidP="00E923BB">
      <w:pPr>
        <w:pStyle w:val="Body"/>
        <w:numPr>
          <w:ilvl w:val="0"/>
          <w:numId w:val="2"/>
        </w:numPr>
        <w:ind w:firstLine="720"/>
        <w:rPr>
          <w:lang w:val="es-ES"/>
        </w:rPr>
      </w:pPr>
      <w:r w:rsidRPr="006E763F">
        <w:rPr>
          <w:lang w:val="es-ES"/>
        </w:rPr>
        <w:t>Por su lado, l</w:t>
      </w:r>
      <w:r w:rsidR="00BB10AB" w:rsidRPr="006E763F">
        <w:rPr>
          <w:lang w:val="es-ES"/>
        </w:rPr>
        <w:t>a Corte Constitucional colombiana se ha referido al surgimiento de grupos, movimientos y partidos políticos a raíz de la desmovilización de antiguos integrantes de la guerrilla. Ha señalado que dicha situación “</w:t>
      </w:r>
      <w:r w:rsidR="00BB10AB" w:rsidRPr="006E763F">
        <w:rPr>
          <w:lang w:val="es-CO"/>
        </w:rPr>
        <w:t xml:space="preserve">requiere de especial protección y apoyo por parte del Estado. La institucionalización del conflicto, la dejación de las armas y su sustitución por el ejercicio activo de </w:t>
      </w:r>
      <w:r w:rsidR="00BB10AB" w:rsidRPr="006E763F">
        <w:rPr>
          <w:lang w:val="es-ES"/>
        </w:rPr>
        <w:t>la</w:t>
      </w:r>
      <w:r w:rsidR="00BB10AB" w:rsidRPr="006E763F">
        <w:rPr>
          <w:lang w:val="es-CO"/>
        </w:rPr>
        <w:t xml:space="preserve"> participación político-democrática y la renuncia de la violencia como método para alcanzar el cambio social, son alternativas que deben ser garantizadas por todas las autoridades para evitar que la llamada "guerra sucia" acabe cerrando la posibilidad de llegar a un consenso que reúna a todos los sectores de la población y permita la convivencia pacífica”</w:t>
      </w:r>
      <w:r w:rsidR="00BB10AB" w:rsidRPr="006E763F">
        <w:rPr>
          <w:rStyle w:val="FootnoteReference"/>
          <w:lang w:val="es-CO"/>
        </w:rPr>
        <w:footnoteReference w:id="21"/>
      </w:r>
      <w:r w:rsidR="00BB10AB" w:rsidRPr="006E763F">
        <w:rPr>
          <w:lang w:val="es-CO"/>
        </w:rPr>
        <w:t>.</w:t>
      </w:r>
    </w:p>
    <w:p w14:paraId="6A6530A6" w14:textId="77777777" w:rsidR="00BB10AB" w:rsidRPr="006E763F" w:rsidRDefault="00BB10AB" w:rsidP="00E923BB">
      <w:pPr>
        <w:pStyle w:val="ListParagraph"/>
        <w:ind w:firstLine="0"/>
        <w:rPr>
          <w:rFonts w:eastAsia="Times New Roman" w:cs="Times New Roman"/>
          <w:b/>
          <w:bCs/>
          <w:sz w:val="20"/>
          <w:szCs w:val="20"/>
          <w:lang w:val="es-ES"/>
        </w:rPr>
      </w:pPr>
    </w:p>
    <w:p w14:paraId="161A4F8A" w14:textId="2471CFFA" w:rsidR="00EC310A" w:rsidRPr="006E763F" w:rsidRDefault="002D2F26" w:rsidP="00E923BB">
      <w:pPr>
        <w:pStyle w:val="Heading2"/>
        <w:rPr>
          <w:rFonts w:eastAsia="Times New Roman" w:cs="Times New Roman"/>
        </w:rPr>
      </w:pPr>
      <w:bookmarkStart w:id="7" w:name="_Toc446149"/>
      <w:r w:rsidRPr="006E763F">
        <w:t>S</w:t>
      </w:r>
      <w:r w:rsidR="00FC0D86" w:rsidRPr="006E763F">
        <w:t>obre</w:t>
      </w:r>
      <w:r w:rsidRPr="006E763F">
        <w:t xml:space="preserve"> Pedro Julio Movilla, su familia, actividades y hechos previos a la desaparición</w:t>
      </w:r>
      <w:bookmarkEnd w:id="7"/>
    </w:p>
    <w:p w14:paraId="0A6A258C" w14:textId="77777777" w:rsidR="00EC310A" w:rsidRPr="006E763F" w:rsidRDefault="00EC310A" w:rsidP="00E923BB">
      <w:pPr>
        <w:pStyle w:val="Body"/>
        <w:ind w:firstLine="249"/>
        <w:rPr>
          <w:b/>
          <w:bCs/>
          <w:color w:val="FF0000"/>
          <w:u w:color="FF0000"/>
          <w:lang w:val="es-ES"/>
        </w:rPr>
      </w:pPr>
    </w:p>
    <w:p w14:paraId="7102AA48" w14:textId="5F018179" w:rsidR="00EC310A" w:rsidRPr="006E763F" w:rsidRDefault="0094269D" w:rsidP="00E923BB">
      <w:pPr>
        <w:pStyle w:val="Body"/>
        <w:numPr>
          <w:ilvl w:val="0"/>
          <w:numId w:val="2"/>
        </w:numPr>
        <w:ind w:firstLine="720"/>
        <w:rPr>
          <w:color w:val="auto"/>
          <w:lang w:val="es-ES"/>
        </w:rPr>
      </w:pPr>
      <w:r w:rsidRPr="006E763F">
        <w:rPr>
          <w:color w:val="auto"/>
          <w:lang w:val="es-ES"/>
        </w:rPr>
        <w:t xml:space="preserve">La parte peticionaria identificó como víctimas en el presente caso a </w:t>
      </w:r>
      <w:r w:rsidR="009E7E98" w:rsidRPr="006E763F">
        <w:rPr>
          <w:color w:val="auto"/>
          <w:lang w:val="es-ES"/>
        </w:rPr>
        <w:t>Pedro Julio Movilla Galarcio</w:t>
      </w:r>
      <w:r w:rsidRPr="006E763F">
        <w:rPr>
          <w:color w:val="auto"/>
          <w:lang w:val="es-ES"/>
        </w:rPr>
        <w:t xml:space="preserve"> y a los siguientes familiares</w:t>
      </w:r>
      <w:r w:rsidR="006E3B6E" w:rsidRPr="006E763F">
        <w:rPr>
          <w:color w:val="auto"/>
          <w:lang w:val="es-ES"/>
        </w:rPr>
        <w:t>:</w:t>
      </w:r>
      <w:r w:rsidR="009E7E98" w:rsidRPr="006E763F">
        <w:rPr>
          <w:color w:val="auto"/>
          <w:lang w:val="es-ES"/>
        </w:rPr>
        <w:t xml:space="preserve"> Candelaria Nurys Vergara Carriazo (esposa); Carlos Julio, José Antonio y Jenny Movilla Vergara (hijos); Leonor, Erasmo, María de Jesús (fallecida), Marta, Rita, Nery del Carmen</w:t>
      </w:r>
      <w:r w:rsidR="007427BC" w:rsidRPr="006E763F">
        <w:rPr>
          <w:color w:val="auto"/>
          <w:lang w:val="es-ES"/>
        </w:rPr>
        <w:t>, todos de apellido Movill</w:t>
      </w:r>
      <w:r w:rsidR="00BF3827" w:rsidRPr="006E763F">
        <w:rPr>
          <w:color w:val="auto"/>
          <w:lang w:val="es-ES"/>
        </w:rPr>
        <w:t>a (hermanos);</w:t>
      </w:r>
      <w:r w:rsidR="00E83EC4" w:rsidRPr="006E763F">
        <w:rPr>
          <w:color w:val="auto"/>
          <w:lang w:val="es-ES"/>
        </w:rPr>
        <w:t xml:space="preserve"> </w:t>
      </w:r>
      <w:r w:rsidR="009E7E98" w:rsidRPr="006E763F">
        <w:rPr>
          <w:color w:val="auto"/>
          <w:lang w:val="es-ES"/>
        </w:rPr>
        <w:t>Erasmo Movilla, Raúl Ramos</w:t>
      </w:r>
      <w:r w:rsidR="006E408F" w:rsidRPr="006E763F">
        <w:rPr>
          <w:color w:val="auto"/>
          <w:lang w:val="es-ES"/>
        </w:rPr>
        <w:t xml:space="preserve"> y los tres hijos de Nery del Carmen (sobrinos)</w:t>
      </w:r>
      <w:r w:rsidR="00E83EC4" w:rsidRPr="006E763F">
        <w:rPr>
          <w:color w:val="auto"/>
          <w:lang w:val="es-ES"/>
        </w:rPr>
        <w:t xml:space="preserve">; </w:t>
      </w:r>
      <w:r w:rsidR="009E7E98" w:rsidRPr="006E763F">
        <w:rPr>
          <w:color w:val="auto"/>
          <w:lang w:val="es-ES"/>
        </w:rPr>
        <w:t>Ricardo, Franklyn y Dominga Movilla;</w:t>
      </w:r>
      <w:r w:rsidR="00E83EC4" w:rsidRPr="006E763F">
        <w:rPr>
          <w:color w:val="auto"/>
          <w:lang w:val="es-ES"/>
        </w:rPr>
        <w:t xml:space="preserve"> y </w:t>
      </w:r>
      <w:r w:rsidR="009E7E98" w:rsidRPr="006E763F">
        <w:rPr>
          <w:color w:val="auto"/>
          <w:lang w:val="es-ES"/>
        </w:rPr>
        <w:t>María</w:t>
      </w:r>
      <w:r w:rsidR="00BF3827" w:rsidRPr="006E763F">
        <w:rPr>
          <w:color w:val="auto"/>
          <w:lang w:val="es-ES"/>
        </w:rPr>
        <w:t xml:space="preserve"> Isabel Carriazo y José Vergara (suegros fallecidos)</w:t>
      </w:r>
      <w:r w:rsidR="009E7E98" w:rsidRPr="006E763F">
        <w:rPr>
          <w:color w:val="auto"/>
          <w:lang w:val="es-ES"/>
        </w:rPr>
        <w:t>.</w:t>
      </w:r>
    </w:p>
    <w:p w14:paraId="32FC7627" w14:textId="77777777" w:rsidR="00EC310A" w:rsidRPr="006E763F" w:rsidRDefault="00EC310A" w:rsidP="00E923BB">
      <w:pPr>
        <w:pStyle w:val="Body"/>
        <w:ind w:firstLine="249"/>
        <w:rPr>
          <w:lang w:val="es-ES"/>
        </w:rPr>
      </w:pPr>
    </w:p>
    <w:p w14:paraId="1A4D96C1" w14:textId="60A3DBB6" w:rsidR="00EC310A" w:rsidRPr="006E763F" w:rsidRDefault="000412A4" w:rsidP="00E923BB">
      <w:pPr>
        <w:pStyle w:val="Body"/>
        <w:numPr>
          <w:ilvl w:val="0"/>
          <w:numId w:val="2"/>
        </w:numPr>
        <w:ind w:firstLine="720"/>
        <w:rPr>
          <w:lang w:val="es-ES"/>
        </w:rPr>
      </w:pPr>
      <w:r w:rsidRPr="006E763F">
        <w:rPr>
          <w:lang w:val="es-ES"/>
        </w:rPr>
        <w:t>L</w:t>
      </w:r>
      <w:r w:rsidR="009E7E98" w:rsidRPr="006E763F">
        <w:rPr>
          <w:lang w:val="es-ES"/>
        </w:rPr>
        <w:t xml:space="preserve">a parte peticionaria indicó que la presunta víctima y su familia vivieron una persecución como resultado de </w:t>
      </w:r>
      <w:r w:rsidR="00122384" w:rsidRPr="006E763F">
        <w:rPr>
          <w:lang w:val="es-ES"/>
        </w:rPr>
        <w:t>su</w:t>
      </w:r>
      <w:r w:rsidR="009E7E98" w:rsidRPr="006E763F">
        <w:rPr>
          <w:lang w:val="es-ES"/>
        </w:rPr>
        <w:t xml:space="preserve"> labor sindical y dirigencia política. </w:t>
      </w:r>
      <w:r w:rsidR="00907573" w:rsidRPr="006E763F">
        <w:rPr>
          <w:lang w:val="es-ES"/>
        </w:rPr>
        <w:t>Señaló que e</w:t>
      </w:r>
      <w:r w:rsidR="009E7E98" w:rsidRPr="006E763F">
        <w:rPr>
          <w:lang w:val="es-ES"/>
        </w:rPr>
        <w:t>n 1974, Pedro Julio Movilla Galarcio fue despedido de su trabajo en el INCORA a raíz de su participación en una huelga, lo que produjo su detención en Montería por un mes</w:t>
      </w:r>
      <w:r w:rsidR="009E7E98" w:rsidRPr="006E763F">
        <w:rPr>
          <w:vertAlign w:val="superscript"/>
          <w:lang w:val="es-ES"/>
        </w:rPr>
        <w:footnoteReference w:id="22"/>
      </w:r>
      <w:r w:rsidR="009E7E98" w:rsidRPr="006E763F">
        <w:rPr>
          <w:lang w:val="es-ES"/>
        </w:rPr>
        <w:t>. Posteriormente</w:t>
      </w:r>
      <w:r w:rsidR="00A92CEE" w:rsidRPr="006E763F">
        <w:rPr>
          <w:lang w:val="es-ES"/>
        </w:rPr>
        <w:t>,</w:t>
      </w:r>
      <w:r w:rsidR="009E7E98" w:rsidRPr="006E763F">
        <w:rPr>
          <w:lang w:val="es-ES"/>
        </w:rPr>
        <w:t xml:space="preserve"> se desempeñó como asesor de organizaciones sindicales y fue activista del Comité Obrero Popular en Córdoba. </w:t>
      </w:r>
      <w:r w:rsidR="0008353B" w:rsidRPr="006E763F">
        <w:rPr>
          <w:lang w:val="es-ES"/>
        </w:rPr>
        <w:t>L</w:t>
      </w:r>
      <w:r w:rsidR="009E7E98" w:rsidRPr="006E763F">
        <w:rPr>
          <w:lang w:val="es-ES"/>
        </w:rPr>
        <w:t>a CIDH observa que</w:t>
      </w:r>
      <w:r w:rsidR="0008353B" w:rsidRPr="006E763F">
        <w:rPr>
          <w:lang w:val="es-ES"/>
        </w:rPr>
        <w:t xml:space="preserve"> su esposa</w:t>
      </w:r>
      <w:r w:rsidR="009E7E98" w:rsidRPr="006E763F">
        <w:rPr>
          <w:lang w:val="es-ES"/>
        </w:rPr>
        <w:t xml:space="preserve"> declaró ante la Fiscalía General que el motivo de</w:t>
      </w:r>
      <w:r w:rsidR="00437489" w:rsidRPr="006E763F">
        <w:rPr>
          <w:lang w:val="es-ES"/>
        </w:rPr>
        <w:t xml:space="preserve"> la</w:t>
      </w:r>
      <w:r w:rsidR="009E7E98" w:rsidRPr="006E763F">
        <w:rPr>
          <w:lang w:val="es-ES"/>
        </w:rPr>
        <w:t xml:space="preserve"> persecución fue “la forma como él pensaba” agregando que “con las únicas entidades que tenía problemas era con el Gobierno y organismos del Estado”. La señora Vergara reiteró que, en Montería, Córdoba, recibían hostigamientos sin saber</w:t>
      </w:r>
      <w:r w:rsidR="009813BC" w:rsidRPr="006E763F">
        <w:rPr>
          <w:lang w:val="es-ES"/>
        </w:rPr>
        <w:t xml:space="preserve"> si </w:t>
      </w:r>
      <w:r w:rsidR="009E7E98" w:rsidRPr="006E763F">
        <w:rPr>
          <w:lang w:val="es-ES"/>
        </w:rPr>
        <w:t>provenían del “F.2” (organismo de inteligencia policial), de la Dirección Central de Policía Judicial e Inteligencia (en adelante, “</w:t>
      </w:r>
      <w:r w:rsidR="000206E8" w:rsidRPr="006E763F">
        <w:rPr>
          <w:lang w:val="es-ES"/>
        </w:rPr>
        <w:t xml:space="preserve">la </w:t>
      </w:r>
      <w:r w:rsidR="009E7E98" w:rsidRPr="006E763F">
        <w:rPr>
          <w:lang w:val="es-ES"/>
        </w:rPr>
        <w:t>Dijin”) o de</w:t>
      </w:r>
      <w:r w:rsidR="009813BC" w:rsidRPr="006E763F">
        <w:rPr>
          <w:lang w:val="es-ES"/>
        </w:rPr>
        <w:t xml:space="preserve">l </w:t>
      </w:r>
      <w:r w:rsidR="000206E8" w:rsidRPr="006E763F">
        <w:rPr>
          <w:lang w:val="es-ES"/>
        </w:rPr>
        <w:t xml:space="preserve">Departamento Administrativo de Seguridad “en adelante “el </w:t>
      </w:r>
      <w:r w:rsidR="009E7E98" w:rsidRPr="006E763F">
        <w:rPr>
          <w:lang w:val="es-ES"/>
        </w:rPr>
        <w:t>DAS</w:t>
      </w:r>
      <w:r w:rsidR="000206E8" w:rsidRPr="006E763F">
        <w:rPr>
          <w:lang w:val="es-ES"/>
        </w:rPr>
        <w:t>”)</w:t>
      </w:r>
      <w:r w:rsidR="009E7E98" w:rsidRPr="006E763F">
        <w:rPr>
          <w:lang w:val="es-ES"/>
        </w:rPr>
        <w:t>. Agregó que los hostigamientos continuaron en Bogotá, donde ella trabajaba en el Sindicato “Unión Nacional</w:t>
      </w:r>
      <w:r w:rsidR="00D637A5" w:rsidRPr="006E763F">
        <w:rPr>
          <w:lang w:val="es-ES"/>
        </w:rPr>
        <w:t xml:space="preserve"> de Empleados Bancarios”</w:t>
      </w:r>
      <w:r w:rsidR="00CA7328" w:rsidRPr="006E763F">
        <w:rPr>
          <w:lang w:val="es-ES"/>
        </w:rPr>
        <w:t>,</w:t>
      </w:r>
      <w:r w:rsidR="009E7E98" w:rsidRPr="006E763F">
        <w:rPr>
          <w:lang w:val="es-ES"/>
        </w:rPr>
        <w:t xml:space="preserve"> y describió </w:t>
      </w:r>
      <w:r w:rsidR="00720178" w:rsidRPr="006E763F">
        <w:rPr>
          <w:lang w:val="es-ES"/>
        </w:rPr>
        <w:t>seguimientos</w:t>
      </w:r>
      <w:r w:rsidR="009E7E98" w:rsidRPr="006E763F">
        <w:rPr>
          <w:lang w:val="es-ES"/>
        </w:rPr>
        <w:t>. Finalmente, señaló que en Montería, Córdoba</w:t>
      </w:r>
      <w:r w:rsidR="00B04EF1" w:rsidRPr="006E763F">
        <w:rPr>
          <w:lang w:val="es-ES"/>
        </w:rPr>
        <w:t>,</w:t>
      </w:r>
      <w:r w:rsidR="009E7E98" w:rsidRPr="006E763F">
        <w:rPr>
          <w:lang w:val="es-ES"/>
        </w:rPr>
        <w:t xml:space="preserve"> </w:t>
      </w:r>
      <w:r w:rsidR="00B04EF1" w:rsidRPr="006E763F">
        <w:rPr>
          <w:lang w:val="es-ES"/>
        </w:rPr>
        <w:t xml:space="preserve">el señor </w:t>
      </w:r>
      <w:r w:rsidR="009E7E98" w:rsidRPr="006E763F">
        <w:rPr>
          <w:lang w:val="es-ES"/>
        </w:rPr>
        <w:t>Movilla Galarcio escuchó que le dijeron “ojo, cuídate que por ahí te están buscando”</w:t>
      </w:r>
      <w:r w:rsidR="009E7E98" w:rsidRPr="006E763F">
        <w:rPr>
          <w:vertAlign w:val="superscript"/>
          <w:lang w:val="es-ES"/>
        </w:rPr>
        <w:footnoteReference w:id="23"/>
      </w:r>
      <w:r w:rsidR="009E7E98" w:rsidRPr="006E763F">
        <w:rPr>
          <w:lang w:val="es-ES"/>
        </w:rPr>
        <w:t>.</w:t>
      </w:r>
    </w:p>
    <w:p w14:paraId="2D9D22C3" w14:textId="77777777" w:rsidR="00EC310A" w:rsidRPr="006E763F" w:rsidRDefault="00EC310A" w:rsidP="00E923BB">
      <w:pPr>
        <w:pStyle w:val="Body"/>
        <w:ind w:firstLine="720"/>
        <w:rPr>
          <w:lang w:val="es-ES"/>
        </w:rPr>
      </w:pPr>
    </w:p>
    <w:p w14:paraId="004B529C" w14:textId="52CFC236" w:rsidR="00EC310A" w:rsidRPr="006E763F" w:rsidRDefault="009E7E98" w:rsidP="00E923BB">
      <w:pPr>
        <w:pStyle w:val="Body"/>
        <w:numPr>
          <w:ilvl w:val="0"/>
          <w:numId w:val="2"/>
        </w:numPr>
        <w:ind w:firstLine="720"/>
        <w:rPr>
          <w:lang w:val="es-ES"/>
        </w:rPr>
      </w:pPr>
      <w:r w:rsidRPr="006E763F">
        <w:rPr>
          <w:lang w:val="es-ES"/>
        </w:rPr>
        <w:t>La Comisión observa que Candelaria Vergara también declaró ante la Fiscalía General que en 1990, ya en Bogotá, Pedro Julio Movilla Galarcio era integrante del PCC-ML, organización que “estaba en diálogos con el gobierno, a raíz de eso, nosotros teníamos que tener mucho cuidado con los seguimientos, porque en ese momento estaban en ese proceso de negociación y desde esa época nos estaban haciendo seguimiento, persecuciones”. En esta línea, la señora Vergara también declaró que al visitar a sus familiares</w:t>
      </w:r>
      <w:r w:rsidR="000206E8" w:rsidRPr="006E763F">
        <w:rPr>
          <w:lang w:val="es-ES"/>
        </w:rPr>
        <w:t xml:space="preserve"> en Montería</w:t>
      </w:r>
      <w:r w:rsidRPr="006E763F">
        <w:rPr>
          <w:lang w:val="es-ES"/>
        </w:rPr>
        <w:t>, frente a su casa del barrio Buenavista se estacionaban carros sin matrícula con vidrios oscuros, en actitud de vigilancia, lo que los intimidaba</w:t>
      </w:r>
      <w:r w:rsidR="00A20662" w:rsidRPr="006E763F">
        <w:rPr>
          <w:lang w:val="es-ES"/>
        </w:rPr>
        <w:t>,</w:t>
      </w:r>
      <w:r w:rsidRPr="006E763F">
        <w:rPr>
          <w:lang w:val="es-ES"/>
        </w:rPr>
        <w:t xml:space="preserve"> dado que </w:t>
      </w:r>
      <w:r w:rsidR="00A20662" w:rsidRPr="006E763F">
        <w:rPr>
          <w:lang w:val="es-ES"/>
        </w:rPr>
        <w:t xml:space="preserve">en </w:t>
      </w:r>
      <w:r w:rsidRPr="006E763F">
        <w:rPr>
          <w:lang w:val="es-ES"/>
        </w:rPr>
        <w:t>Montería personas militantes cercanas a su familia habían sido asesinadas</w:t>
      </w:r>
      <w:r w:rsidRPr="006E763F">
        <w:rPr>
          <w:vertAlign w:val="superscript"/>
          <w:lang w:val="es-ES"/>
        </w:rPr>
        <w:footnoteReference w:id="24"/>
      </w:r>
      <w:r w:rsidRPr="006E763F">
        <w:rPr>
          <w:lang w:val="es-ES"/>
        </w:rPr>
        <w:t>.</w:t>
      </w:r>
      <w:r w:rsidR="00E32B9A" w:rsidRPr="006E763F">
        <w:rPr>
          <w:lang w:val="es-ES"/>
        </w:rPr>
        <w:t xml:space="preserve"> L</w:t>
      </w:r>
      <w:r w:rsidRPr="006E763F">
        <w:rPr>
          <w:lang w:val="es-ES"/>
        </w:rPr>
        <w:t>a parte peticionaria alegó que el Esta</w:t>
      </w:r>
      <w:r w:rsidR="000206E8" w:rsidRPr="006E763F">
        <w:rPr>
          <w:lang w:val="es-ES"/>
        </w:rPr>
        <w:t>do desconoció las denuncias pres</w:t>
      </w:r>
      <w:r w:rsidRPr="006E763F">
        <w:rPr>
          <w:lang w:val="es-ES"/>
        </w:rPr>
        <w:t>entadas respecto de las continuas agresiones que sufrían</w:t>
      </w:r>
      <w:r w:rsidRPr="006E763F">
        <w:rPr>
          <w:vertAlign w:val="superscript"/>
          <w:lang w:val="es-ES"/>
        </w:rPr>
        <w:footnoteReference w:id="25"/>
      </w:r>
      <w:r w:rsidR="000206E8" w:rsidRPr="006E763F">
        <w:rPr>
          <w:lang w:val="es-ES"/>
        </w:rPr>
        <w:t>.</w:t>
      </w:r>
    </w:p>
    <w:p w14:paraId="64ACCDE3" w14:textId="77777777" w:rsidR="00EC310A" w:rsidRPr="006E763F" w:rsidRDefault="00EC310A" w:rsidP="00E923BB">
      <w:pPr>
        <w:pStyle w:val="Body"/>
        <w:ind w:firstLine="720"/>
        <w:rPr>
          <w:lang w:val="es-ES"/>
        </w:rPr>
      </w:pPr>
    </w:p>
    <w:p w14:paraId="5463658A" w14:textId="3D370F87" w:rsidR="00EC310A" w:rsidRPr="006E763F" w:rsidRDefault="00507701" w:rsidP="00E923BB">
      <w:pPr>
        <w:pStyle w:val="Body"/>
        <w:numPr>
          <w:ilvl w:val="0"/>
          <w:numId w:val="2"/>
        </w:numPr>
        <w:ind w:firstLine="720"/>
        <w:rPr>
          <w:lang w:val="es-ES"/>
        </w:rPr>
      </w:pPr>
      <w:r w:rsidRPr="006E763F">
        <w:rPr>
          <w:lang w:val="es-ES"/>
        </w:rPr>
        <w:t>L</w:t>
      </w:r>
      <w:r w:rsidR="009E7E98" w:rsidRPr="006E763F">
        <w:rPr>
          <w:lang w:val="es-ES"/>
        </w:rPr>
        <w:t>a CIDH</w:t>
      </w:r>
      <w:r w:rsidRPr="006E763F">
        <w:rPr>
          <w:lang w:val="es-ES"/>
        </w:rPr>
        <w:t xml:space="preserve"> también</w:t>
      </w:r>
      <w:r w:rsidR="009E7E98" w:rsidRPr="006E763F">
        <w:rPr>
          <w:lang w:val="es-ES"/>
        </w:rPr>
        <w:t xml:space="preserve"> toma nota de la declaración</w:t>
      </w:r>
      <w:r w:rsidRPr="006E763F">
        <w:rPr>
          <w:lang w:val="es-ES"/>
        </w:rPr>
        <w:t xml:space="preserve"> de</w:t>
      </w:r>
      <w:r w:rsidR="009E7E98" w:rsidRPr="006E763F">
        <w:rPr>
          <w:lang w:val="es-ES"/>
        </w:rPr>
        <w:t xml:space="preserve"> </w:t>
      </w:r>
      <w:bookmarkStart w:id="8" w:name="_Hlk528081506"/>
      <w:r w:rsidR="009E7E98" w:rsidRPr="006E763F">
        <w:rPr>
          <w:lang w:val="es-ES"/>
        </w:rPr>
        <w:t>Humberto Javier Callejas Rua</w:t>
      </w:r>
      <w:bookmarkEnd w:id="8"/>
      <w:r w:rsidR="009E7E98" w:rsidRPr="006E763F">
        <w:rPr>
          <w:lang w:val="es-ES"/>
        </w:rPr>
        <w:t xml:space="preserve"> ante la PGN, en la que informó que era dirigente sindical, que estaba preso desde hacía seis meses y que conoció a Pedro Julio Movilla Galarcio por su actividad sindical en Medellín. En dicha declaración, el señor Callejas señaló que tras su detención en Cartagena fue golpeado e interrogado por agentes de la Dijin, mientras le preguntaban con insistencia por la presunta víctima o por “Milton”. Afirmó que suponía que el interés en localizar a Pedro Julio Movilla Galarcio se relacionaba con su militancia en un partido clandestino, como lo era el PCC-ML</w:t>
      </w:r>
      <w:r w:rsidR="009E7E98" w:rsidRPr="006E763F">
        <w:rPr>
          <w:vertAlign w:val="superscript"/>
          <w:lang w:val="es-ES"/>
        </w:rPr>
        <w:footnoteReference w:id="26"/>
      </w:r>
      <w:r w:rsidR="009E7E98" w:rsidRPr="006E763F">
        <w:rPr>
          <w:lang w:val="es-ES"/>
        </w:rPr>
        <w:t>. Además, en declaración rendida ante Fiscalía General, el testigo indicó que conoció de seguimientos y amenazas en contra de los miembros del PCC-ML, en el período posterior a la desmovilización en 1991.</w:t>
      </w:r>
      <w:r w:rsidR="00A86B3F" w:rsidRPr="006E763F">
        <w:rPr>
          <w:lang w:val="es-ES"/>
        </w:rPr>
        <w:t xml:space="preserve"> Destacó que esto ocurrió</w:t>
      </w:r>
      <w:r w:rsidR="009E7E98" w:rsidRPr="006E763F">
        <w:rPr>
          <w:lang w:val="es-ES"/>
        </w:rPr>
        <w:t xml:space="preserve"> contra él mismo, otro militante, Efraín Gómez en Barranquilla, y Pedro Julio Movilla Galarcio, y que dichas acciones provenían “de agentes de</w:t>
      </w:r>
      <w:r w:rsidR="00192AF8" w:rsidRPr="006E763F">
        <w:rPr>
          <w:lang w:val="es-ES"/>
        </w:rPr>
        <w:t>l Estado, Policía, del Ejército</w:t>
      </w:r>
      <w:r w:rsidR="009E7E98" w:rsidRPr="006E763F">
        <w:rPr>
          <w:lang w:val="es-ES"/>
        </w:rPr>
        <w:t>”</w:t>
      </w:r>
      <w:r w:rsidR="009E7E98" w:rsidRPr="006E763F">
        <w:rPr>
          <w:vertAlign w:val="superscript"/>
          <w:lang w:val="es-ES"/>
        </w:rPr>
        <w:footnoteReference w:id="27"/>
      </w:r>
      <w:r w:rsidR="009E7E98" w:rsidRPr="006E763F">
        <w:rPr>
          <w:lang w:val="es-ES"/>
        </w:rPr>
        <w:t>.</w:t>
      </w:r>
    </w:p>
    <w:p w14:paraId="043B52D3" w14:textId="77777777" w:rsidR="00EC310A" w:rsidRPr="006E763F" w:rsidRDefault="00EC310A" w:rsidP="00E923BB">
      <w:pPr>
        <w:pStyle w:val="Body"/>
        <w:ind w:firstLine="720"/>
        <w:rPr>
          <w:lang w:val="es-ES"/>
        </w:rPr>
      </w:pPr>
    </w:p>
    <w:p w14:paraId="42EAF691" w14:textId="028C17AB" w:rsidR="00EC310A" w:rsidRPr="006E763F" w:rsidRDefault="009D25C1" w:rsidP="00E923BB">
      <w:pPr>
        <w:pStyle w:val="Body"/>
        <w:numPr>
          <w:ilvl w:val="0"/>
          <w:numId w:val="2"/>
        </w:numPr>
        <w:ind w:firstLine="720"/>
        <w:rPr>
          <w:lang w:val="es-ES"/>
        </w:rPr>
      </w:pPr>
      <w:r w:rsidRPr="006E763F">
        <w:rPr>
          <w:lang w:val="es-ES"/>
        </w:rPr>
        <w:t>L</w:t>
      </w:r>
      <w:r w:rsidR="009E7E98" w:rsidRPr="006E763F">
        <w:rPr>
          <w:lang w:val="es-ES"/>
        </w:rPr>
        <w:t>a</w:t>
      </w:r>
      <w:r w:rsidRPr="006E763F">
        <w:rPr>
          <w:lang w:val="es-ES"/>
        </w:rPr>
        <w:t xml:space="preserve"> CIDH también</w:t>
      </w:r>
      <w:r w:rsidR="009E7E98" w:rsidRPr="006E763F">
        <w:rPr>
          <w:lang w:val="es-ES"/>
        </w:rPr>
        <w:t xml:space="preserve"> identifica anotaciones de la Brigada XIII del Ejército, que dan cuenta de que Pedro Julio Movilla Galarcio era objeto de actividades de inteligencia por parte del Ejército Nacional, en las cuales aparecía con el alias de “Milton”, y era calificado como </w:t>
      </w:r>
      <w:bookmarkStart w:id="9" w:name="_Hlk528081626"/>
      <w:r w:rsidR="009E7E98" w:rsidRPr="006E763F">
        <w:rPr>
          <w:lang w:val="es-ES"/>
        </w:rPr>
        <w:t>miembro “adiestrador delictivo” del EPL, “disidente”, miembro del Comité Central del PCC-ML y como secretario de la Federación de Trabajadores de Córdoba.</w:t>
      </w:r>
      <w:bookmarkEnd w:id="9"/>
      <w:r w:rsidR="009E7E98" w:rsidRPr="006E763F">
        <w:rPr>
          <w:lang w:val="es-ES"/>
        </w:rPr>
        <w:t xml:space="preserve"> </w:t>
      </w:r>
      <w:r w:rsidR="00483BCB" w:rsidRPr="006E763F">
        <w:rPr>
          <w:lang w:val="es-ES"/>
        </w:rPr>
        <w:t xml:space="preserve">Se </w:t>
      </w:r>
      <w:r w:rsidR="009E7E98" w:rsidRPr="006E763F">
        <w:rPr>
          <w:lang w:val="es-ES"/>
        </w:rPr>
        <w:t>observa una anotación de octubre de 1992 en la que se registró lo siguiente: “ubicado en Av. 34 CR. 18, Sindicato. Sv. su lugar de trabajo”</w:t>
      </w:r>
      <w:r w:rsidR="009E7E98" w:rsidRPr="006E763F">
        <w:rPr>
          <w:vertAlign w:val="superscript"/>
          <w:lang w:val="es-ES"/>
        </w:rPr>
        <w:footnoteReference w:id="28"/>
      </w:r>
      <w:r w:rsidR="00483BCB" w:rsidRPr="006E763F">
        <w:rPr>
          <w:lang w:val="es-ES"/>
        </w:rPr>
        <w:t xml:space="preserve">. Esto resulta consistente con lo indicado por su esposa, quien señaló </w:t>
      </w:r>
      <w:r w:rsidR="009E7E98" w:rsidRPr="006E763F">
        <w:rPr>
          <w:lang w:val="es-ES"/>
        </w:rPr>
        <w:t>que</w:t>
      </w:r>
      <w:r w:rsidR="00483BCB" w:rsidRPr="006E763F">
        <w:rPr>
          <w:lang w:val="es-ES"/>
        </w:rPr>
        <w:t xml:space="preserve"> para esa </w:t>
      </w:r>
      <w:r w:rsidR="009E7E98" w:rsidRPr="006E763F">
        <w:rPr>
          <w:lang w:val="es-ES"/>
        </w:rPr>
        <w:t>época “el ejército también tenía ubicados nuestros sitios de trabajo y nuestra casa”</w:t>
      </w:r>
      <w:r w:rsidR="009E7E98" w:rsidRPr="006E763F">
        <w:rPr>
          <w:vertAlign w:val="superscript"/>
          <w:lang w:val="es-ES"/>
        </w:rPr>
        <w:footnoteReference w:id="29"/>
      </w:r>
      <w:r w:rsidR="009E7E98" w:rsidRPr="006E763F">
        <w:rPr>
          <w:lang w:val="es-ES"/>
        </w:rPr>
        <w:t xml:space="preserve">. Advirtió que, aún luego de la desaparición de Pedro Julio Movilla Galarcio, continuaron siendo hostigados y que en una oportunidad casi se llevan a su segundo hijo del Colegio Andrés Bello. La señora Vergara indicó a la </w:t>
      </w:r>
      <w:r w:rsidR="00817B1F" w:rsidRPr="006E763F">
        <w:rPr>
          <w:lang w:val="es-ES"/>
        </w:rPr>
        <w:t xml:space="preserve">Fiscalía General </w:t>
      </w:r>
      <w:r w:rsidR="009E7E98" w:rsidRPr="006E763F">
        <w:rPr>
          <w:lang w:val="es-ES"/>
        </w:rPr>
        <w:t>que su vivienda se encontraba bajo vigilancia y que el 17 de mayo de 1993 cuando fue al colegio de sus hijos denunciando la desaparición de Pedro Julio Movilla Galarcio, a la salida fueron perseguidos por tres sujetos, logrando escapar en un taxi hacia ASFAD</w:t>
      </w:r>
      <w:r w:rsidR="00603C8C" w:rsidRPr="006E763F">
        <w:rPr>
          <w:lang w:val="es-ES"/>
        </w:rPr>
        <w:t>D</w:t>
      </w:r>
      <w:r w:rsidR="009E7E98" w:rsidRPr="006E763F">
        <w:rPr>
          <w:lang w:val="es-ES"/>
        </w:rPr>
        <w:t>ES</w:t>
      </w:r>
      <w:r w:rsidR="009E7E98" w:rsidRPr="006E763F">
        <w:rPr>
          <w:vertAlign w:val="superscript"/>
          <w:lang w:val="es-ES"/>
        </w:rPr>
        <w:footnoteReference w:id="30"/>
      </w:r>
      <w:r w:rsidR="009E7E98" w:rsidRPr="006E763F">
        <w:rPr>
          <w:lang w:val="es-ES"/>
        </w:rPr>
        <w:t>.</w:t>
      </w:r>
    </w:p>
    <w:p w14:paraId="4B01FF07" w14:textId="77777777" w:rsidR="00EC310A" w:rsidRPr="006E763F" w:rsidRDefault="00EC310A" w:rsidP="00E923BB">
      <w:pPr>
        <w:pStyle w:val="Body"/>
        <w:ind w:firstLine="720"/>
        <w:rPr>
          <w:lang w:val="es-ES"/>
        </w:rPr>
      </w:pPr>
    </w:p>
    <w:p w14:paraId="26A18E08" w14:textId="27D2B2D0" w:rsidR="00EC310A" w:rsidRPr="006E763F" w:rsidRDefault="004855F3" w:rsidP="00E923BB">
      <w:pPr>
        <w:pStyle w:val="Body"/>
        <w:numPr>
          <w:ilvl w:val="0"/>
          <w:numId w:val="2"/>
        </w:numPr>
        <w:ind w:firstLine="720"/>
        <w:rPr>
          <w:lang w:val="es-ES"/>
        </w:rPr>
      </w:pPr>
      <w:r w:rsidRPr="006E763F">
        <w:rPr>
          <w:lang w:val="es-ES"/>
        </w:rPr>
        <w:t>L</w:t>
      </w:r>
      <w:r w:rsidR="009E7E98" w:rsidRPr="006E763F">
        <w:rPr>
          <w:lang w:val="es-ES"/>
        </w:rPr>
        <w:t>a Comisión observa que en el marco de las investigaciones</w:t>
      </w:r>
      <w:r w:rsidR="003C3075" w:rsidRPr="006E763F">
        <w:rPr>
          <w:lang w:val="es-ES"/>
        </w:rPr>
        <w:t xml:space="preserve"> </w:t>
      </w:r>
      <w:r w:rsidRPr="006E763F">
        <w:rPr>
          <w:lang w:val="es-ES"/>
        </w:rPr>
        <w:t xml:space="preserve">de la PGN, se realizó </w:t>
      </w:r>
      <w:r w:rsidR="009E7E98" w:rsidRPr="006E763F">
        <w:rPr>
          <w:lang w:val="es-ES"/>
        </w:rPr>
        <w:t>una “visita especial” en la oficina de la Dijin, para la visualización del cuadernillo con información</w:t>
      </w:r>
      <w:r w:rsidR="00B23615" w:rsidRPr="006E763F">
        <w:rPr>
          <w:lang w:val="es-ES"/>
        </w:rPr>
        <w:t xml:space="preserve"> sobre Pedro Julio Movilla Galarcio, del cual se desprende esta indicación:</w:t>
      </w:r>
      <w:r w:rsidR="009E7E98" w:rsidRPr="006E763F">
        <w:rPr>
          <w:lang w:val="es-ES"/>
        </w:rPr>
        <w:t xml:space="preserve"> “estatura 1.62, trigueño, ojos grandes, cabello ondulado, lunar grande rojo en la cara (no se precisa mejilla), barba escasa o rala… su compañera es de nombre Nurys… trabaja en el sindicato bancario AV-34 Kra 18 después del restaurante ‘MI GUITARRA’ en Santa Fe, Bogotá… actualmente se desplaza en un vehículo Montero Mitsubishi color azul con cabina blanca… En Cartagena frecuenta una casa del barrio la Popa cerca de Brasilia… En Barranquilla frecuenta la casa de REINALDO MAZA, primera secretaría del Regional de la Costa… Natural posiblemente de MOMIL (Cor.) (…)”</w:t>
      </w:r>
      <w:r w:rsidR="009E7E98" w:rsidRPr="006E763F">
        <w:rPr>
          <w:vertAlign w:val="superscript"/>
          <w:lang w:val="es-ES"/>
        </w:rPr>
        <w:footnoteReference w:id="31"/>
      </w:r>
      <w:r w:rsidR="00F5425C" w:rsidRPr="006E763F">
        <w:rPr>
          <w:lang w:val="es-ES"/>
        </w:rPr>
        <w:t>.</w:t>
      </w:r>
    </w:p>
    <w:p w14:paraId="1ED27E42" w14:textId="2C641813" w:rsidR="00EC310A" w:rsidRPr="006E763F" w:rsidRDefault="00EC310A" w:rsidP="00E923BB">
      <w:pPr>
        <w:pStyle w:val="Body"/>
        <w:ind w:firstLine="0"/>
        <w:rPr>
          <w:lang w:val="en-US"/>
        </w:rPr>
      </w:pPr>
    </w:p>
    <w:p w14:paraId="50B00E95" w14:textId="699ADDA9" w:rsidR="00EC310A" w:rsidRPr="006E763F" w:rsidRDefault="001E7252" w:rsidP="00E923BB">
      <w:pPr>
        <w:pStyle w:val="Heading2"/>
        <w:rPr>
          <w:rFonts w:eastAsia="Times New Roman" w:cs="Times New Roman"/>
        </w:rPr>
      </w:pPr>
      <w:bookmarkStart w:id="10" w:name="_Toc446150"/>
      <w:r w:rsidRPr="006E763F">
        <w:t xml:space="preserve">La </w:t>
      </w:r>
      <w:r w:rsidR="009E7E98" w:rsidRPr="006E763F">
        <w:t>desaparición de Pedro Julio Movilla Galarcio el 13 de mayo de 1993</w:t>
      </w:r>
      <w:bookmarkEnd w:id="10"/>
    </w:p>
    <w:p w14:paraId="0D2C5102" w14:textId="77777777" w:rsidR="00EC310A" w:rsidRPr="006E763F" w:rsidRDefault="00EC310A" w:rsidP="00E923BB">
      <w:pPr>
        <w:pStyle w:val="ListParagraph"/>
        <w:ind w:left="0" w:firstLine="249"/>
        <w:rPr>
          <w:b/>
          <w:bCs/>
          <w:sz w:val="20"/>
          <w:szCs w:val="20"/>
          <w:lang w:val="es-ES"/>
        </w:rPr>
      </w:pPr>
    </w:p>
    <w:p w14:paraId="782C7C43" w14:textId="6C3C60B8" w:rsidR="00EC310A" w:rsidRPr="006E763F" w:rsidRDefault="009E7E98" w:rsidP="00E923BB">
      <w:pPr>
        <w:pStyle w:val="Body"/>
        <w:numPr>
          <w:ilvl w:val="0"/>
          <w:numId w:val="2"/>
        </w:numPr>
        <w:ind w:firstLine="720"/>
        <w:rPr>
          <w:lang w:val="es-ES"/>
        </w:rPr>
      </w:pPr>
      <w:r w:rsidRPr="006E763F">
        <w:rPr>
          <w:lang w:val="es-ES"/>
        </w:rPr>
        <w:t xml:space="preserve">El 13 de mayo de 1993, Pedro Julio Movilla Galarcio salió de su casa en la ciudad de Bogotá, en compañía de su esposa, </w:t>
      </w:r>
      <w:r w:rsidR="00CA3330" w:rsidRPr="006E763F">
        <w:rPr>
          <w:lang w:val="es-ES"/>
        </w:rPr>
        <w:t xml:space="preserve">quien describió que estaba </w:t>
      </w:r>
      <w:r w:rsidRPr="006E763F">
        <w:rPr>
          <w:lang w:val="es-ES"/>
        </w:rPr>
        <w:t>“vestido de paño color café, sin corbata, camisa rosada, camisa a rayas grabadas, zapatos cafés</w:t>
      </w:r>
      <w:r w:rsidR="00CA3330" w:rsidRPr="006E763F">
        <w:rPr>
          <w:lang w:val="es-ES"/>
        </w:rPr>
        <w:t xml:space="preserve"> de mocasín remontados”. </w:t>
      </w:r>
      <w:r w:rsidR="00316371" w:rsidRPr="006E763F">
        <w:rPr>
          <w:lang w:val="es-ES"/>
        </w:rPr>
        <w:t xml:space="preserve">Agregó que </w:t>
      </w:r>
      <w:r w:rsidRPr="006E763F">
        <w:rPr>
          <w:lang w:val="es-ES"/>
        </w:rPr>
        <w:t>luego de despedirse de ella, fue a dejar a su hija Jenny a las 8:00 a.m. en la entrada del Colegio Kennedy, ubicad</w:t>
      </w:r>
      <w:r w:rsidR="00CF1ED0" w:rsidRPr="006E763F">
        <w:rPr>
          <w:lang w:val="es-ES"/>
        </w:rPr>
        <w:t>o</w:t>
      </w:r>
      <w:r w:rsidRPr="006E763F">
        <w:rPr>
          <w:lang w:val="es-ES"/>
        </w:rPr>
        <w:t xml:space="preserve"> en la </w:t>
      </w:r>
      <w:r w:rsidR="0053166D" w:rsidRPr="006E763F">
        <w:rPr>
          <w:lang w:val="es-ES"/>
        </w:rPr>
        <w:t>c</w:t>
      </w:r>
      <w:r w:rsidRPr="006E763F">
        <w:rPr>
          <w:lang w:val="es-ES"/>
        </w:rPr>
        <w:t>ar</w:t>
      </w:r>
      <w:r w:rsidR="0053166D" w:rsidRPr="006E763F">
        <w:rPr>
          <w:lang w:val="es-ES"/>
        </w:rPr>
        <w:t>rera 68 con avenida p</w:t>
      </w:r>
      <w:r w:rsidR="00116A73" w:rsidRPr="006E763F">
        <w:rPr>
          <w:lang w:val="es-ES"/>
        </w:rPr>
        <w:t>rimero de m</w:t>
      </w:r>
      <w:r w:rsidRPr="006E763F">
        <w:rPr>
          <w:lang w:val="es-ES"/>
        </w:rPr>
        <w:t>ayo, comprometiéndose a recogerla a las 11:00 a.m. Desde ese momento se desconoce su</w:t>
      </w:r>
      <w:r w:rsidR="00E96F5C" w:rsidRPr="006E763F">
        <w:rPr>
          <w:lang w:val="es-ES"/>
        </w:rPr>
        <w:t xml:space="preserve"> destino o</w:t>
      </w:r>
      <w:r w:rsidRPr="006E763F">
        <w:rPr>
          <w:lang w:val="es-ES"/>
        </w:rPr>
        <w:t xml:space="preserve"> paradero.</w:t>
      </w:r>
    </w:p>
    <w:p w14:paraId="5DA7FB91" w14:textId="77777777" w:rsidR="00EC310A" w:rsidRDefault="00EC310A" w:rsidP="00E923BB">
      <w:pPr>
        <w:pStyle w:val="Body"/>
        <w:ind w:firstLine="720"/>
        <w:rPr>
          <w:lang w:val="es-ES"/>
        </w:rPr>
      </w:pPr>
    </w:p>
    <w:p w14:paraId="2D40A460" w14:textId="77777777" w:rsidR="00A56231" w:rsidRPr="006E763F" w:rsidRDefault="00A56231" w:rsidP="00E923BB">
      <w:pPr>
        <w:pStyle w:val="Body"/>
        <w:ind w:firstLine="720"/>
        <w:rPr>
          <w:lang w:val="es-ES"/>
        </w:rPr>
      </w:pPr>
    </w:p>
    <w:p w14:paraId="106AD2CE" w14:textId="5DEB495E" w:rsidR="00EC310A" w:rsidRPr="006E763F" w:rsidRDefault="009A173A" w:rsidP="00E923BB">
      <w:pPr>
        <w:pStyle w:val="Body"/>
        <w:numPr>
          <w:ilvl w:val="0"/>
          <w:numId w:val="2"/>
        </w:numPr>
        <w:ind w:firstLine="720"/>
        <w:rPr>
          <w:lang w:val="es-ES"/>
        </w:rPr>
      </w:pPr>
      <w:r w:rsidRPr="006E763F">
        <w:rPr>
          <w:lang w:val="es-ES"/>
        </w:rPr>
        <w:t xml:space="preserve">De los </w:t>
      </w:r>
      <w:r w:rsidR="0010443A" w:rsidRPr="006E763F">
        <w:rPr>
          <w:lang w:val="es-ES"/>
        </w:rPr>
        <w:t>testimonios</w:t>
      </w:r>
      <w:r w:rsidR="0010443A" w:rsidRPr="006E763F">
        <w:rPr>
          <w:vertAlign w:val="superscript"/>
          <w:lang w:val="es-ES"/>
        </w:rPr>
        <w:footnoteReference w:id="32"/>
      </w:r>
      <w:r w:rsidR="00116A73" w:rsidRPr="006E763F">
        <w:rPr>
          <w:lang w:val="es-ES"/>
        </w:rPr>
        <w:t xml:space="preserve"> </w:t>
      </w:r>
      <w:r w:rsidR="00CE3068" w:rsidRPr="006E763F">
        <w:rPr>
          <w:lang w:val="es-ES"/>
        </w:rPr>
        <w:t>de personas</w:t>
      </w:r>
      <w:r w:rsidR="005F3F0A" w:rsidRPr="006E763F">
        <w:rPr>
          <w:lang w:val="es-ES"/>
        </w:rPr>
        <w:t xml:space="preserve"> </w:t>
      </w:r>
      <w:r w:rsidR="0010443A" w:rsidRPr="006E763F">
        <w:rPr>
          <w:lang w:val="es-ES"/>
        </w:rPr>
        <w:t>que se encontraban en los alrededores del centro educativo,</w:t>
      </w:r>
      <w:r w:rsidRPr="006E763F">
        <w:rPr>
          <w:lang w:val="es-ES"/>
        </w:rPr>
        <w:t xml:space="preserve"> se desprende que </w:t>
      </w:r>
      <w:r w:rsidR="0010443A" w:rsidRPr="006E763F">
        <w:rPr>
          <w:lang w:val="es-ES"/>
        </w:rPr>
        <w:t>el día de la desaparición</w:t>
      </w:r>
      <w:r w:rsidR="00674F5E" w:rsidRPr="006E763F">
        <w:rPr>
          <w:lang w:val="es-ES"/>
        </w:rPr>
        <w:t xml:space="preserve"> </w:t>
      </w:r>
      <w:r w:rsidR="009E7E98" w:rsidRPr="006E763F">
        <w:rPr>
          <w:lang w:val="es-ES"/>
        </w:rPr>
        <w:t>desde temprano en la mañana se notó la presencia de motocicletas</w:t>
      </w:r>
      <w:r w:rsidR="009E7E98" w:rsidRPr="006E763F">
        <w:rPr>
          <w:vertAlign w:val="superscript"/>
          <w:lang w:val="es-ES"/>
        </w:rPr>
        <w:footnoteReference w:id="33"/>
      </w:r>
      <w:r w:rsidR="009E7E98" w:rsidRPr="006E763F">
        <w:rPr>
          <w:lang w:val="es-ES"/>
        </w:rPr>
        <w:t xml:space="preserve"> que no permitían la identificación de sus placas, montadas por sujetos armados, que no pudieron ser individualizados por tener cascos o capuchas</w:t>
      </w:r>
      <w:r w:rsidR="009E7E98" w:rsidRPr="006E763F">
        <w:rPr>
          <w:vertAlign w:val="superscript"/>
          <w:lang w:val="es-ES"/>
        </w:rPr>
        <w:footnoteReference w:id="34"/>
      </w:r>
      <w:r w:rsidR="009E7E98" w:rsidRPr="006E763F">
        <w:rPr>
          <w:lang w:val="es-ES"/>
        </w:rPr>
        <w:t xml:space="preserve">. </w:t>
      </w:r>
      <w:r w:rsidR="00275525" w:rsidRPr="006E763F">
        <w:rPr>
          <w:lang w:val="es-ES"/>
        </w:rPr>
        <w:t xml:space="preserve">También se desprende que </w:t>
      </w:r>
      <w:r w:rsidR="009E7E98" w:rsidRPr="006E763F">
        <w:rPr>
          <w:lang w:val="es-ES"/>
        </w:rPr>
        <w:t xml:space="preserve">en el mismo </w:t>
      </w:r>
      <w:r w:rsidR="00464F3C" w:rsidRPr="006E763F">
        <w:rPr>
          <w:lang w:val="es-ES"/>
        </w:rPr>
        <w:t>sitio</w:t>
      </w:r>
      <w:r w:rsidR="009E7E98" w:rsidRPr="006E763F">
        <w:rPr>
          <w:lang w:val="es-ES"/>
        </w:rPr>
        <w:t xml:space="preserve">, alrededor de las 9:00 a.m., un sujeto vestido de color café, aparentemente en estado de ebriedad, realizó disparos al aire, motivo por el </w:t>
      </w:r>
      <w:r w:rsidR="005C7722" w:rsidRPr="006E763F">
        <w:rPr>
          <w:lang w:val="es-ES"/>
        </w:rPr>
        <w:t xml:space="preserve">cual </w:t>
      </w:r>
      <w:r w:rsidR="009E7E98" w:rsidRPr="006E763F">
        <w:rPr>
          <w:lang w:val="es-ES"/>
        </w:rPr>
        <w:t>los profesores llamaron al Comando de Atención Integral (en adelante “el CAI”), quienes requisaron la pistola y detuvieron al sujeto</w:t>
      </w:r>
      <w:r w:rsidR="009E7E98" w:rsidRPr="006E763F">
        <w:rPr>
          <w:vertAlign w:val="superscript"/>
          <w:lang w:val="es-ES"/>
        </w:rPr>
        <w:footnoteReference w:id="35"/>
      </w:r>
      <w:r w:rsidR="009760D5" w:rsidRPr="006E763F">
        <w:rPr>
          <w:lang w:val="es-ES"/>
        </w:rPr>
        <w:t>.</w:t>
      </w:r>
    </w:p>
    <w:p w14:paraId="6D25D63D" w14:textId="77777777" w:rsidR="00EC310A" w:rsidRPr="006E763F" w:rsidRDefault="00EC310A" w:rsidP="00E923BB">
      <w:pPr>
        <w:pStyle w:val="ListParagraph"/>
        <w:ind w:left="0" w:firstLine="720"/>
        <w:rPr>
          <w:sz w:val="20"/>
          <w:szCs w:val="20"/>
          <w:lang w:val="es-ES"/>
        </w:rPr>
      </w:pPr>
    </w:p>
    <w:p w14:paraId="70F702A2" w14:textId="72B1E35B" w:rsidR="00EC310A" w:rsidRPr="006E763F" w:rsidRDefault="00D82875" w:rsidP="00E923BB">
      <w:pPr>
        <w:pStyle w:val="Body"/>
        <w:numPr>
          <w:ilvl w:val="0"/>
          <w:numId w:val="2"/>
        </w:numPr>
        <w:ind w:firstLine="720"/>
        <w:rPr>
          <w:lang w:val="es-ES"/>
        </w:rPr>
      </w:pPr>
      <w:r w:rsidRPr="006E763F">
        <w:rPr>
          <w:lang w:val="es-ES"/>
        </w:rPr>
        <w:t>L</w:t>
      </w:r>
      <w:r w:rsidR="009E7E98" w:rsidRPr="006E763F">
        <w:rPr>
          <w:lang w:val="es-ES"/>
        </w:rPr>
        <w:t>os hechos relacionados con los disparos fueron reportados por la PGN del siguiente modo: “de conformidad con la visita especial practicada en la Estación cien al CDA [Comando de Policía Nacional (en adelante “el CDA”)] a los resúmenes diarios de novedades, en la avenida primero de mayo con carrera 50 se retuvo al señor Pedro Julián Luis Pabón Díaz, a quien se le decomisó un arma de fuego, revólver calibre 38 marca Llama, por haber realizado tres disparos al aire en estado de embriaguez, siendo conducido a la XIV estación de policía del barrio Ricaurte de esta ciudad”</w:t>
      </w:r>
      <w:r w:rsidR="009E7E98" w:rsidRPr="006E763F">
        <w:rPr>
          <w:vertAlign w:val="superscript"/>
          <w:lang w:val="es-ES"/>
        </w:rPr>
        <w:footnoteReference w:id="36"/>
      </w:r>
      <w:r w:rsidR="009E7E98" w:rsidRPr="006E763F">
        <w:rPr>
          <w:lang w:val="es-ES"/>
        </w:rPr>
        <w:t>. Asimismo, en el marco de las investigaciones de la PGN</w:t>
      </w:r>
      <w:r w:rsidR="009E7E98" w:rsidRPr="006E763F">
        <w:rPr>
          <w:vertAlign w:val="superscript"/>
          <w:lang w:val="es-ES"/>
        </w:rPr>
        <w:footnoteReference w:id="37"/>
      </w:r>
      <w:r w:rsidR="009E7E98" w:rsidRPr="006E763F">
        <w:rPr>
          <w:vertAlign w:val="superscript"/>
          <w:lang w:val="es-ES"/>
        </w:rPr>
        <w:t xml:space="preserve"> </w:t>
      </w:r>
      <w:r w:rsidR="009E7E98" w:rsidRPr="006E763F">
        <w:rPr>
          <w:lang w:val="es-ES"/>
        </w:rPr>
        <w:t>y de la FGN</w:t>
      </w:r>
      <w:r w:rsidR="009E7E98" w:rsidRPr="006E763F">
        <w:rPr>
          <w:vertAlign w:val="superscript"/>
          <w:lang w:val="es-ES"/>
        </w:rPr>
        <w:footnoteReference w:id="38"/>
      </w:r>
      <w:r w:rsidR="009E7E98" w:rsidRPr="006E763F">
        <w:rPr>
          <w:lang w:val="es-ES"/>
        </w:rPr>
        <w:t>, la CIDH identifica que se determinó que el arma pertenecía al teniente Ramiro Bohórquez Neuta (miembro activo policial en la época de los hechos</w:t>
      </w:r>
      <w:r w:rsidR="009E7E98" w:rsidRPr="006E763F">
        <w:rPr>
          <w:vertAlign w:val="superscript"/>
          <w:lang w:val="es-ES"/>
        </w:rPr>
        <w:footnoteReference w:id="39"/>
      </w:r>
      <w:r w:rsidR="009E7E98" w:rsidRPr="006E763F">
        <w:rPr>
          <w:lang w:val="es-ES"/>
        </w:rPr>
        <w:t xml:space="preserve">). </w:t>
      </w:r>
    </w:p>
    <w:p w14:paraId="4F2CE2A2" w14:textId="77777777" w:rsidR="00EC310A" w:rsidRPr="006E763F" w:rsidRDefault="00EC310A" w:rsidP="00E923BB">
      <w:pPr>
        <w:pStyle w:val="ListParagraph"/>
        <w:ind w:left="0" w:firstLine="720"/>
        <w:rPr>
          <w:sz w:val="20"/>
          <w:szCs w:val="20"/>
          <w:lang w:val="es-ES"/>
        </w:rPr>
      </w:pPr>
    </w:p>
    <w:p w14:paraId="07FF3C58" w14:textId="1E5A732E" w:rsidR="00EC310A" w:rsidRPr="006E763F" w:rsidRDefault="003C1F60" w:rsidP="00E923BB">
      <w:pPr>
        <w:pStyle w:val="Body"/>
        <w:numPr>
          <w:ilvl w:val="0"/>
          <w:numId w:val="2"/>
        </w:numPr>
        <w:ind w:firstLine="720"/>
        <w:rPr>
          <w:lang w:val="es-ES"/>
        </w:rPr>
      </w:pPr>
      <w:r w:rsidRPr="006E763F">
        <w:rPr>
          <w:lang w:val="es-ES"/>
        </w:rPr>
        <w:t>E</w:t>
      </w:r>
      <w:r w:rsidR="009E7E98" w:rsidRPr="006E763F">
        <w:rPr>
          <w:lang w:val="es-ES"/>
        </w:rPr>
        <w:t>l Estado señaló que “en el proceso disciplinario se estableció que el señor Ramiro Bohórquez Neuta no conoce al señor Pedro Julio Movilla, según declaración rendida por el Agente de la Policía, así como tampoco conoce al señor Pedro Julián Pabón”. Asimismo, respecto al arma decomisada, el Estado señaló que “el señor Bohórquez informó que hacía aproximadamente un año se le había extraviado y nunca pudo recuperarla, por lo que presentó ante la autoridad disciplinaria el respectivo denuncio”. El Estado concluyó indicando que “cualquier irregularidad alegada por los peticionarios, en relación a la denuncia del arma extraviada (…) no se ajusta a las constancias que reposan en la investigación penal y disciplinaria”</w:t>
      </w:r>
      <w:r w:rsidR="009E7E98" w:rsidRPr="006E763F">
        <w:rPr>
          <w:vertAlign w:val="superscript"/>
          <w:lang w:val="es-ES"/>
        </w:rPr>
        <w:footnoteReference w:id="40"/>
      </w:r>
      <w:r w:rsidR="009E7E98" w:rsidRPr="006E763F">
        <w:rPr>
          <w:lang w:val="es-ES"/>
        </w:rPr>
        <w:t xml:space="preserve">. </w:t>
      </w:r>
    </w:p>
    <w:p w14:paraId="65BAA720" w14:textId="77777777" w:rsidR="00EC310A" w:rsidRPr="006E763F" w:rsidRDefault="00EC310A" w:rsidP="00E923BB">
      <w:pPr>
        <w:pStyle w:val="Body"/>
        <w:ind w:firstLine="249"/>
        <w:rPr>
          <w:lang w:val="es-ES"/>
        </w:rPr>
      </w:pPr>
    </w:p>
    <w:p w14:paraId="44AA6871" w14:textId="77777777" w:rsidR="00EC310A" w:rsidRPr="006E763F" w:rsidRDefault="009E7E98" w:rsidP="00E923BB">
      <w:pPr>
        <w:pStyle w:val="Heading2"/>
        <w:rPr>
          <w:rFonts w:eastAsia="Times New Roman" w:cs="Times New Roman"/>
        </w:rPr>
      </w:pPr>
      <w:bookmarkStart w:id="11" w:name="_Toc446151"/>
      <w:r w:rsidRPr="006E763F">
        <w:t>Investigación y diligencias respecto de la desaparición de Pedro Julio Movilla Galarcio</w:t>
      </w:r>
      <w:bookmarkEnd w:id="11"/>
    </w:p>
    <w:p w14:paraId="58758D84" w14:textId="77777777" w:rsidR="00EC310A" w:rsidRPr="006E763F" w:rsidRDefault="00EC310A" w:rsidP="00E923BB">
      <w:pPr>
        <w:pStyle w:val="ListParagraph"/>
        <w:ind w:left="0" w:firstLine="249"/>
        <w:rPr>
          <w:b/>
          <w:bCs/>
          <w:color w:val="FF0000"/>
          <w:sz w:val="20"/>
          <w:szCs w:val="20"/>
          <w:lang w:val="es-ES"/>
        </w:rPr>
      </w:pPr>
    </w:p>
    <w:p w14:paraId="712D16ED" w14:textId="50E24118" w:rsidR="00EC310A" w:rsidRPr="006E763F" w:rsidRDefault="00C609A1" w:rsidP="00E923BB">
      <w:pPr>
        <w:pStyle w:val="Body"/>
        <w:numPr>
          <w:ilvl w:val="0"/>
          <w:numId w:val="2"/>
        </w:numPr>
        <w:ind w:firstLine="720"/>
        <w:rPr>
          <w:lang w:val="es-ES"/>
        </w:rPr>
      </w:pPr>
      <w:r w:rsidRPr="006E763F">
        <w:rPr>
          <w:lang w:val="es-ES"/>
        </w:rPr>
        <w:t xml:space="preserve">Del expediente surge que </w:t>
      </w:r>
      <w:r w:rsidR="009E7E98" w:rsidRPr="006E763F">
        <w:rPr>
          <w:lang w:val="es-ES"/>
        </w:rPr>
        <w:t>se llevar</w:t>
      </w:r>
      <w:r w:rsidR="00FB06D2" w:rsidRPr="006E763F">
        <w:rPr>
          <w:lang w:val="es-ES"/>
        </w:rPr>
        <w:t xml:space="preserve">on a cabo tres procedimientos internos: disciplinario, penal y contencioso administrativo. </w:t>
      </w:r>
      <w:r w:rsidR="00E017E5" w:rsidRPr="006E763F">
        <w:rPr>
          <w:lang w:val="es-ES"/>
        </w:rPr>
        <w:t>A</w:t>
      </w:r>
      <w:r w:rsidR="009E7E98" w:rsidRPr="006E763F">
        <w:rPr>
          <w:lang w:val="es-ES"/>
        </w:rPr>
        <w:t>demás</w:t>
      </w:r>
      <w:r w:rsidR="00E017E5" w:rsidRPr="006E763F">
        <w:rPr>
          <w:lang w:val="es-ES"/>
        </w:rPr>
        <w:t xml:space="preserve">, </w:t>
      </w:r>
      <w:r w:rsidR="009E7E98" w:rsidRPr="006E763F">
        <w:rPr>
          <w:lang w:val="es-ES"/>
        </w:rPr>
        <w:t>el 1</w:t>
      </w:r>
      <w:r w:rsidR="0034312F" w:rsidRPr="006E763F">
        <w:rPr>
          <w:lang w:val="es-ES"/>
        </w:rPr>
        <w:t>8</w:t>
      </w:r>
      <w:r w:rsidR="009E7E98" w:rsidRPr="006E763F">
        <w:rPr>
          <w:lang w:val="es-ES"/>
        </w:rPr>
        <w:t xml:space="preserve"> de mayo de 1993, el CCAJAR interpuso recurso de </w:t>
      </w:r>
      <w:r w:rsidR="009E7E98" w:rsidRPr="006E763F">
        <w:rPr>
          <w:i/>
          <w:lang w:val="es-ES"/>
        </w:rPr>
        <w:t>hábeas corpus</w:t>
      </w:r>
      <w:r w:rsidR="009E7E98" w:rsidRPr="006E763F">
        <w:rPr>
          <w:lang w:val="es-ES"/>
        </w:rPr>
        <w:t xml:space="preserve"> ante el Juez 54 Penal del Circuito de Bogotá, el que fue declarado inadmisible </w:t>
      </w:r>
      <w:r w:rsidR="00090F7F" w:rsidRPr="006E763F">
        <w:rPr>
          <w:lang w:val="es-ES"/>
        </w:rPr>
        <w:t xml:space="preserve">el </w:t>
      </w:r>
      <w:r w:rsidR="0034312F" w:rsidRPr="006E763F">
        <w:rPr>
          <w:lang w:val="es-ES"/>
        </w:rPr>
        <w:t>19 de mayo</w:t>
      </w:r>
      <w:r w:rsidR="00090F7F" w:rsidRPr="006E763F">
        <w:rPr>
          <w:lang w:val="es-ES"/>
        </w:rPr>
        <w:t xml:space="preserve"> </w:t>
      </w:r>
      <w:r w:rsidR="009E7E98" w:rsidRPr="006E763F">
        <w:rPr>
          <w:lang w:val="es-ES"/>
        </w:rPr>
        <w:t>por cuanto en la denuncia no se indicó el lugar de captura del desaparecido</w:t>
      </w:r>
      <w:r w:rsidR="009E7E98" w:rsidRPr="006E763F">
        <w:rPr>
          <w:vertAlign w:val="superscript"/>
          <w:lang w:val="es-ES"/>
        </w:rPr>
        <w:footnoteReference w:id="41"/>
      </w:r>
      <w:r w:rsidR="009E7E98" w:rsidRPr="006E763F">
        <w:rPr>
          <w:lang w:val="es-ES"/>
        </w:rPr>
        <w:t xml:space="preserve">. Asimismo, el 7 de septiembre de 1993, la Fiscalía Regional de </w:t>
      </w:r>
      <w:r w:rsidR="009E7E98" w:rsidRPr="006E763F">
        <w:rPr>
          <w:lang w:val="es-ES"/>
        </w:rPr>
        <w:lastRenderedPageBreak/>
        <w:t>Medellín, Antioquia, dictó resolución de investigación previa</w:t>
      </w:r>
      <w:r w:rsidR="009E7E98" w:rsidRPr="006E763F">
        <w:rPr>
          <w:vertAlign w:val="superscript"/>
          <w:lang w:val="es-ES"/>
        </w:rPr>
        <w:footnoteReference w:id="42"/>
      </w:r>
      <w:r w:rsidR="009E7E98" w:rsidRPr="006E763F">
        <w:rPr>
          <w:lang w:val="es-ES"/>
        </w:rPr>
        <w:t xml:space="preserve"> ante la denuncia presentada por la Federación Sindical de Trabajadores de Antioquia –FESUTRAN-CUT por los mismos hechos</w:t>
      </w:r>
      <w:r w:rsidR="009E7E98" w:rsidRPr="006E763F">
        <w:rPr>
          <w:vertAlign w:val="superscript"/>
          <w:lang w:val="es-ES"/>
        </w:rPr>
        <w:footnoteReference w:id="43"/>
      </w:r>
      <w:r w:rsidR="009E7E98" w:rsidRPr="006E763F">
        <w:rPr>
          <w:lang w:val="es-ES"/>
        </w:rPr>
        <w:t xml:space="preserve">, la que se adelantó por el delito de secuestro. En este último proceso, </w:t>
      </w:r>
      <w:r w:rsidR="00CB121D" w:rsidRPr="006E763F">
        <w:rPr>
          <w:lang w:val="es-ES"/>
        </w:rPr>
        <w:t xml:space="preserve">el 19 de octubre de 1993 </w:t>
      </w:r>
      <w:r w:rsidR="009E7E98" w:rsidRPr="006E763F">
        <w:rPr>
          <w:lang w:val="es-ES"/>
        </w:rPr>
        <w:t xml:space="preserve">se ordenó remitir las diligencias </w:t>
      </w:r>
      <w:r w:rsidR="0059460E" w:rsidRPr="006E763F">
        <w:rPr>
          <w:lang w:val="es-ES"/>
        </w:rPr>
        <w:t>a otra unidad por razones de</w:t>
      </w:r>
      <w:r w:rsidR="009E7E98" w:rsidRPr="006E763F">
        <w:rPr>
          <w:lang w:val="es-ES"/>
        </w:rPr>
        <w:t xml:space="preserve"> competencia</w:t>
      </w:r>
      <w:r w:rsidR="009E7E98" w:rsidRPr="006E763F">
        <w:rPr>
          <w:vertAlign w:val="superscript"/>
          <w:lang w:val="es-ES"/>
        </w:rPr>
        <w:footnoteReference w:id="44"/>
      </w:r>
      <w:r w:rsidR="00CB121D" w:rsidRPr="006E763F">
        <w:rPr>
          <w:lang w:val="es-ES"/>
        </w:rPr>
        <w:t>.</w:t>
      </w:r>
      <w:r w:rsidR="003C3075" w:rsidRPr="006E763F">
        <w:rPr>
          <w:lang w:val="es-ES"/>
        </w:rPr>
        <w:t xml:space="preserve"> </w:t>
      </w:r>
      <w:r w:rsidR="00F01D13" w:rsidRPr="006E763F">
        <w:rPr>
          <w:lang w:val="es-ES"/>
        </w:rPr>
        <w:t xml:space="preserve">La CIDH no cuenta con más información respecto de estos procesos. </w:t>
      </w:r>
    </w:p>
    <w:p w14:paraId="46C92C1A" w14:textId="77777777" w:rsidR="00F01D13" w:rsidRPr="006E763F" w:rsidRDefault="00F01D13" w:rsidP="00E923BB">
      <w:pPr>
        <w:pStyle w:val="Body"/>
        <w:ind w:firstLine="720"/>
        <w:rPr>
          <w:lang w:val="es-ES"/>
        </w:rPr>
      </w:pPr>
    </w:p>
    <w:p w14:paraId="2B3E1F6F" w14:textId="23EEC0E8" w:rsidR="00E923BB" w:rsidRDefault="00E923BB">
      <w:pPr>
        <w:rPr>
          <w:rFonts w:ascii="Cambria" w:eastAsia="Cambria" w:hAnsi="Cambria" w:cs="Cambria"/>
          <w:b/>
          <w:bCs/>
          <w:color w:val="000000"/>
          <w:sz w:val="20"/>
          <w:szCs w:val="20"/>
          <w:u w:color="000000"/>
          <w:lang w:val="es-ES" w:eastAsia="es-CL"/>
        </w:rPr>
      </w:pPr>
    </w:p>
    <w:p w14:paraId="3D98C571" w14:textId="49ED2F58" w:rsidR="00EC310A" w:rsidRPr="00E923BB" w:rsidRDefault="009E7E98" w:rsidP="00A56231">
      <w:pPr>
        <w:pStyle w:val="Heading3"/>
        <w:ind w:left="720"/>
      </w:pPr>
      <w:bookmarkStart w:id="12" w:name="_Toc446152"/>
      <w:r w:rsidRPr="00E923BB">
        <w:t xml:space="preserve">Proceso </w:t>
      </w:r>
      <w:r w:rsidR="00800F8F" w:rsidRPr="00E923BB">
        <w:t>d</w:t>
      </w:r>
      <w:r w:rsidRPr="00E923BB">
        <w:t>isciplinario</w:t>
      </w:r>
      <w:r w:rsidR="00800F8F" w:rsidRPr="00E923BB">
        <w:t xml:space="preserve"> ante la PGN</w:t>
      </w:r>
      <w:bookmarkEnd w:id="12"/>
    </w:p>
    <w:p w14:paraId="28DB674E" w14:textId="77777777" w:rsidR="00EC310A" w:rsidRPr="006E763F" w:rsidRDefault="00EC310A" w:rsidP="00E923BB">
      <w:pPr>
        <w:pStyle w:val="ListParagraph"/>
        <w:ind w:left="0" w:firstLine="249"/>
        <w:rPr>
          <w:b/>
          <w:bCs/>
          <w:color w:val="FF0000"/>
          <w:sz w:val="20"/>
          <w:szCs w:val="20"/>
          <w:lang w:val="es-ES"/>
        </w:rPr>
      </w:pPr>
    </w:p>
    <w:p w14:paraId="20BA1AF9" w14:textId="21FAD134" w:rsidR="000672D0" w:rsidRPr="006E763F" w:rsidRDefault="00CE2E09" w:rsidP="00E923BB">
      <w:pPr>
        <w:pStyle w:val="Body"/>
        <w:numPr>
          <w:ilvl w:val="0"/>
          <w:numId w:val="2"/>
        </w:numPr>
        <w:ind w:firstLine="720"/>
        <w:rPr>
          <w:rFonts w:eastAsia="Times New Roman" w:cs="Times New Roman"/>
          <w:b/>
          <w:bCs/>
          <w:color w:val="FF0000"/>
          <w:u w:color="FF0000"/>
          <w:lang w:val="es-ES"/>
        </w:rPr>
      </w:pPr>
      <w:r w:rsidRPr="006E763F">
        <w:rPr>
          <w:lang w:val="es-ES"/>
        </w:rPr>
        <w:t>E</w:t>
      </w:r>
      <w:r w:rsidR="009E7E98" w:rsidRPr="006E763F">
        <w:rPr>
          <w:lang w:val="es-ES"/>
        </w:rPr>
        <w:t>l 18 de mayo de 1993 la señora Vergara interpuso Queja ante la PGN</w:t>
      </w:r>
      <w:r w:rsidR="004458F5" w:rsidRPr="006E763F">
        <w:rPr>
          <w:vertAlign w:val="superscript"/>
          <w:lang w:val="es-ES"/>
        </w:rPr>
        <w:footnoteReference w:id="45"/>
      </w:r>
      <w:r w:rsidR="009E7E98" w:rsidRPr="006E763F">
        <w:rPr>
          <w:lang w:val="es-ES"/>
        </w:rPr>
        <w:t>. El 20 de mayo de 1993 la PGN ordenó el inicio de investigación previa.</w:t>
      </w:r>
      <w:r w:rsidR="001874E6" w:rsidRPr="006E763F">
        <w:rPr>
          <w:rFonts w:eastAsia="Times New Roman" w:cs="Times New Roman"/>
          <w:b/>
          <w:bCs/>
          <w:color w:val="FF0000"/>
          <w:u w:color="FF0000"/>
          <w:lang w:val="es-ES"/>
        </w:rPr>
        <w:t xml:space="preserve"> </w:t>
      </w:r>
      <w:r w:rsidR="000E2DEE" w:rsidRPr="006E763F">
        <w:rPr>
          <w:lang w:val="es-ES"/>
        </w:rPr>
        <w:t>A continuación</w:t>
      </w:r>
      <w:r w:rsidR="00E92122" w:rsidRPr="006E763F">
        <w:rPr>
          <w:lang w:val="es-ES"/>
        </w:rPr>
        <w:t>,</w:t>
      </w:r>
      <w:r w:rsidR="000E2DEE" w:rsidRPr="006E763F">
        <w:rPr>
          <w:lang w:val="es-ES"/>
        </w:rPr>
        <w:t xml:space="preserve"> se resumen las diligencias principales practicadas en esta investigación. </w:t>
      </w:r>
    </w:p>
    <w:p w14:paraId="1EA99807" w14:textId="77777777" w:rsidR="000672D0" w:rsidRPr="006E763F" w:rsidRDefault="000672D0" w:rsidP="00E923BB">
      <w:pPr>
        <w:pStyle w:val="ListParagraph"/>
        <w:rPr>
          <w:sz w:val="20"/>
          <w:szCs w:val="20"/>
          <w:lang w:val="es-ES"/>
        </w:rPr>
      </w:pPr>
    </w:p>
    <w:p w14:paraId="0A291B87" w14:textId="39FA6633" w:rsidR="0077103E" w:rsidRPr="006E763F" w:rsidRDefault="00807973" w:rsidP="00E923BB">
      <w:pPr>
        <w:pStyle w:val="Body"/>
        <w:numPr>
          <w:ilvl w:val="0"/>
          <w:numId w:val="2"/>
        </w:numPr>
        <w:ind w:firstLine="720"/>
        <w:rPr>
          <w:rFonts w:eastAsia="Times New Roman" w:cs="Times New Roman"/>
          <w:b/>
          <w:bCs/>
          <w:color w:val="FF0000"/>
          <w:u w:color="FF0000"/>
          <w:lang w:val="es-ES"/>
        </w:rPr>
      </w:pPr>
      <w:r w:rsidRPr="006E763F">
        <w:rPr>
          <w:lang w:val="es-ES"/>
        </w:rPr>
        <w:t>L</w:t>
      </w:r>
      <w:r w:rsidR="009E7E98" w:rsidRPr="006E763F">
        <w:rPr>
          <w:lang w:val="es-ES"/>
        </w:rPr>
        <w:t>as circunstancias del día y hora de</w:t>
      </w:r>
      <w:r w:rsidR="00D951C0" w:rsidRPr="006E763F">
        <w:rPr>
          <w:lang w:val="es-ES"/>
        </w:rPr>
        <w:t xml:space="preserve"> la</w:t>
      </w:r>
      <w:r w:rsidR="009E7E98" w:rsidRPr="006E763F">
        <w:rPr>
          <w:lang w:val="es-ES"/>
        </w:rPr>
        <w:t xml:space="preserve"> desaparición de la presunta víctima fueron reconstruidas a partir de la declaración de cuatro testimonios practicados por la PGN</w:t>
      </w:r>
      <w:r w:rsidR="0014151E" w:rsidRPr="006E763F">
        <w:rPr>
          <w:lang w:val="es-ES"/>
        </w:rPr>
        <w:t>,</w:t>
      </w:r>
      <w:r w:rsidR="009E7E98" w:rsidRPr="006E763F">
        <w:rPr>
          <w:lang w:val="es-ES"/>
        </w:rPr>
        <w:t xml:space="preserve"> que fueron tomados a personas que se encontraban en los alrededores del Colegio Kennedy el 13 de mayo de 1993.</w:t>
      </w:r>
      <w:r w:rsidR="00E92122" w:rsidRPr="006E763F">
        <w:rPr>
          <w:lang w:val="es-ES"/>
        </w:rPr>
        <w:t xml:space="preserve"> También c</w:t>
      </w:r>
      <w:r w:rsidR="009E7E98" w:rsidRPr="006E763F">
        <w:rPr>
          <w:lang w:val="es-ES"/>
        </w:rPr>
        <w:t xml:space="preserve">onsta en el expediente que la PGN practicó diversas diligencias relacionadas con las acciones de inteligencia practicadas respecto de Pedro Julio Movilla Galarcio. </w:t>
      </w:r>
      <w:r w:rsidR="00404FE9" w:rsidRPr="006E763F">
        <w:rPr>
          <w:lang w:val="es-ES"/>
        </w:rPr>
        <w:t xml:space="preserve">Los resultados de estas diligencias </w:t>
      </w:r>
      <w:r w:rsidR="00696E43" w:rsidRPr="006E763F">
        <w:rPr>
          <w:lang w:val="es-ES"/>
        </w:rPr>
        <w:t xml:space="preserve">llevaron </w:t>
      </w:r>
      <w:r w:rsidR="009E7E98" w:rsidRPr="006E763F">
        <w:rPr>
          <w:lang w:val="es-ES"/>
        </w:rPr>
        <w:t>a que la PGN afirmara que “las anotaciones que se registran en la Dirección de Inteligencia al particular Pedro Julio Movilla, nos indican que por la actividad a que se dedicaba era objeto de seguimiento por el servicio de inteligencia militar</w:t>
      </w:r>
      <w:r w:rsidR="0010443A" w:rsidRPr="006E763F">
        <w:rPr>
          <w:lang w:val="es-ES"/>
        </w:rPr>
        <w:t>”</w:t>
      </w:r>
      <w:r w:rsidR="009E7E98" w:rsidRPr="006E763F">
        <w:rPr>
          <w:vertAlign w:val="superscript"/>
          <w:lang w:val="es-ES"/>
        </w:rPr>
        <w:footnoteReference w:id="46"/>
      </w:r>
      <w:r w:rsidR="0077103E" w:rsidRPr="006E763F">
        <w:rPr>
          <w:lang w:val="es-ES"/>
        </w:rPr>
        <w:t xml:space="preserve">. </w:t>
      </w:r>
      <w:r w:rsidR="009E7E98" w:rsidRPr="006E763F">
        <w:rPr>
          <w:lang w:val="es-ES"/>
        </w:rPr>
        <w:t xml:space="preserve">Asimismo, en el plano testimonial, la PGN tomó declaraciones de testigos del seguimiento e interés de órganos de inteligencia por Pedro Julio Movilla Galarcio. </w:t>
      </w:r>
      <w:r w:rsidR="00AC0DD4" w:rsidRPr="006E763F">
        <w:rPr>
          <w:lang w:val="es-ES"/>
        </w:rPr>
        <w:t xml:space="preserve">El contenido relevante de esta prueba practicada ya fue referido en el presente informe en la </w:t>
      </w:r>
      <w:r w:rsidR="0077539E" w:rsidRPr="006E763F">
        <w:rPr>
          <w:lang w:val="es-ES"/>
        </w:rPr>
        <w:t>descripción de los hechos.</w:t>
      </w:r>
    </w:p>
    <w:p w14:paraId="53BCD0AD" w14:textId="77777777" w:rsidR="0077103E" w:rsidRPr="006E763F" w:rsidRDefault="0077103E" w:rsidP="00E923BB">
      <w:pPr>
        <w:pStyle w:val="Body"/>
        <w:ind w:left="567" w:firstLine="0"/>
        <w:rPr>
          <w:lang w:val="es-ES"/>
        </w:rPr>
      </w:pPr>
    </w:p>
    <w:p w14:paraId="535CE096" w14:textId="77777777" w:rsidR="009C103A" w:rsidRPr="006E763F" w:rsidRDefault="006A60BF" w:rsidP="00F700C6">
      <w:pPr>
        <w:pStyle w:val="Body"/>
        <w:numPr>
          <w:ilvl w:val="0"/>
          <w:numId w:val="2"/>
        </w:numPr>
        <w:ind w:firstLine="720"/>
        <w:rPr>
          <w:lang w:val="es-ES"/>
        </w:rPr>
      </w:pPr>
      <w:r w:rsidRPr="006E763F">
        <w:rPr>
          <w:lang w:val="es-ES"/>
        </w:rPr>
        <w:t>La CIDH observa que l</w:t>
      </w:r>
      <w:r w:rsidR="0077103E" w:rsidRPr="006E763F">
        <w:rPr>
          <w:lang w:val="es-ES"/>
        </w:rPr>
        <w:t>a parte peticionaria solicitó a la PGN que indague ante el Ejército Nacional respecto de la razón, época y fuentes de los informes de inteligencia, sin embargo, este pedido fue rechazado dado que en las investigaciones disciplinarias el quejoso no era considerado parte procesal</w:t>
      </w:r>
      <w:r w:rsidR="0077103E" w:rsidRPr="006E763F">
        <w:rPr>
          <w:vertAlign w:val="superscript"/>
          <w:lang w:val="es-ES"/>
        </w:rPr>
        <w:footnoteReference w:id="47"/>
      </w:r>
      <w:r w:rsidR="0077103E" w:rsidRPr="006E763F">
        <w:rPr>
          <w:lang w:val="es-ES"/>
        </w:rPr>
        <w:t>.</w:t>
      </w:r>
    </w:p>
    <w:p w14:paraId="2D20C544" w14:textId="77777777" w:rsidR="009C103A" w:rsidRPr="006E763F" w:rsidRDefault="009C103A" w:rsidP="00E923BB">
      <w:pPr>
        <w:pStyle w:val="ListParagraph"/>
        <w:rPr>
          <w:sz w:val="20"/>
          <w:szCs w:val="20"/>
          <w:lang w:val="es-ES"/>
        </w:rPr>
      </w:pPr>
    </w:p>
    <w:p w14:paraId="0D476752" w14:textId="562F74C3" w:rsidR="00EC310A" w:rsidRPr="006E763F" w:rsidRDefault="009E7E98" w:rsidP="00F700C6">
      <w:pPr>
        <w:pStyle w:val="Body"/>
        <w:numPr>
          <w:ilvl w:val="0"/>
          <w:numId w:val="2"/>
        </w:numPr>
        <w:ind w:firstLine="720"/>
        <w:rPr>
          <w:lang w:val="es-ES"/>
        </w:rPr>
      </w:pPr>
      <w:r w:rsidRPr="006E763F">
        <w:rPr>
          <w:lang w:val="es-ES"/>
        </w:rPr>
        <w:t>En relación con los disparos escuchados el día 13 de mayo de 1993 y la detención de un sujeto en estado de ebriedad que los habría realizado, consta</w:t>
      </w:r>
      <w:r w:rsidR="0077539E" w:rsidRPr="006E763F">
        <w:rPr>
          <w:lang w:val="es-ES"/>
        </w:rPr>
        <w:t>n</w:t>
      </w:r>
      <w:r w:rsidRPr="006E763F">
        <w:rPr>
          <w:lang w:val="es-ES"/>
        </w:rPr>
        <w:t xml:space="preserve"> en el expediente</w:t>
      </w:r>
      <w:r w:rsidR="00941008" w:rsidRPr="006E763F">
        <w:rPr>
          <w:lang w:val="es-ES"/>
        </w:rPr>
        <w:t xml:space="preserve"> diversas diligencias para esclarecer tales hechos en los términos ya descritos en el presente informe</w:t>
      </w:r>
      <w:r w:rsidRPr="006E763F">
        <w:rPr>
          <w:vertAlign w:val="superscript"/>
        </w:rPr>
        <w:footnoteReference w:id="48"/>
      </w:r>
      <w:r w:rsidRPr="006E763F">
        <w:rPr>
          <w:lang w:val="es-ES"/>
        </w:rPr>
        <w:t>.</w:t>
      </w:r>
    </w:p>
    <w:p w14:paraId="07536486" w14:textId="77777777" w:rsidR="00EC310A" w:rsidRPr="006E763F" w:rsidRDefault="00EC310A" w:rsidP="00E923BB">
      <w:pPr>
        <w:pStyle w:val="ListParagraph"/>
        <w:ind w:left="0" w:firstLine="249"/>
        <w:rPr>
          <w:b/>
          <w:bCs/>
          <w:sz w:val="20"/>
          <w:szCs w:val="20"/>
          <w:lang w:val="es-ES"/>
        </w:rPr>
      </w:pPr>
    </w:p>
    <w:p w14:paraId="254410D8" w14:textId="75C7CE12" w:rsidR="00EC310A" w:rsidRPr="006E763F" w:rsidRDefault="009E7E98" w:rsidP="00F700C6">
      <w:pPr>
        <w:pStyle w:val="Body"/>
        <w:numPr>
          <w:ilvl w:val="0"/>
          <w:numId w:val="2"/>
        </w:numPr>
        <w:ind w:firstLine="720"/>
        <w:rPr>
          <w:lang w:val="es-ES"/>
        </w:rPr>
      </w:pPr>
      <w:r w:rsidRPr="006E763F">
        <w:rPr>
          <w:lang w:val="es-ES"/>
        </w:rPr>
        <w:t>La Comisión observa que, en esta línea de investigación, la PGN dejó constancia de su visita al Juzgado Penal 51 y consignó la existencia de un proceso penal dirigido en contra del señor Pabón el año 1991, del cual se desprende que para el 26 de febrero de 1991 era “informante de la Dijin, del F-2 (…)” señalando que “ahí, uno gana comisiones” y que trabajaba con el capitán Ramírez, Jefe del Grupo Antisecuestros y con los señores Correa y Grijalba del mismo grupo</w:t>
      </w:r>
      <w:r w:rsidRPr="006E763F">
        <w:rPr>
          <w:vertAlign w:val="superscript"/>
          <w:lang w:val="es-ES"/>
        </w:rPr>
        <w:footnoteReference w:id="49"/>
      </w:r>
      <w:r w:rsidRPr="006E763F">
        <w:rPr>
          <w:lang w:val="es-ES"/>
        </w:rPr>
        <w:t xml:space="preserve">. </w:t>
      </w:r>
      <w:r w:rsidR="00A81058" w:rsidRPr="006E763F">
        <w:rPr>
          <w:lang w:val="es-ES"/>
        </w:rPr>
        <w:t>L</w:t>
      </w:r>
      <w:r w:rsidRPr="006E763F">
        <w:rPr>
          <w:lang w:val="es-ES"/>
        </w:rPr>
        <w:t xml:space="preserve">a parte peticionaria solicitó a la PGN que se interrogue al Comandante de la </w:t>
      </w:r>
      <w:r w:rsidRPr="006E763F">
        <w:rPr>
          <w:lang w:val="es-ES"/>
        </w:rPr>
        <w:lastRenderedPageBreak/>
        <w:t>Estación Cien que dejó en libertad al señor Pabón y que le reintegró el arma, sin embargo, este pedido fue rechazado dado que en las investigaciones disciplinarias el quejoso no era considerado parte procesal</w:t>
      </w:r>
      <w:r w:rsidRPr="006E763F">
        <w:rPr>
          <w:vertAlign w:val="superscript"/>
          <w:lang w:val="es-ES"/>
        </w:rPr>
        <w:footnoteReference w:id="50"/>
      </w:r>
      <w:r w:rsidRPr="006E763F">
        <w:rPr>
          <w:lang w:val="es-ES"/>
        </w:rPr>
        <w:t>.</w:t>
      </w:r>
    </w:p>
    <w:p w14:paraId="3F46EFBB" w14:textId="77777777" w:rsidR="00EC310A" w:rsidRPr="006E763F" w:rsidRDefault="00EC310A" w:rsidP="00E923BB">
      <w:pPr>
        <w:pStyle w:val="ListParagraph"/>
        <w:ind w:left="0" w:firstLine="249"/>
        <w:rPr>
          <w:sz w:val="20"/>
          <w:szCs w:val="20"/>
          <w:lang w:val="es-ES"/>
        </w:rPr>
      </w:pPr>
    </w:p>
    <w:p w14:paraId="55EE8E70" w14:textId="759F4C8E" w:rsidR="00490765" w:rsidRPr="006E763F" w:rsidRDefault="009E7E98" w:rsidP="00F700C6">
      <w:pPr>
        <w:pStyle w:val="Body"/>
        <w:numPr>
          <w:ilvl w:val="0"/>
          <w:numId w:val="2"/>
        </w:numPr>
        <w:ind w:firstLine="720"/>
        <w:rPr>
          <w:lang w:val="es-ES"/>
        </w:rPr>
      </w:pPr>
      <w:r w:rsidRPr="006E763F">
        <w:rPr>
          <w:lang w:val="es-ES"/>
        </w:rPr>
        <w:t>La CIDH observa que existen varias diligencias practicadas por la PGN encaminadas a determinar el paradero del señor Pabón. En este sentido, se deja constancia de la incorporación al expediente del cursado de oficios a las oficinas de Aduanas</w:t>
      </w:r>
      <w:r w:rsidRPr="006E763F">
        <w:rPr>
          <w:vertAlign w:val="superscript"/>
          <w:lang w:val="es-ES"/>
        </w:rPr>
        <w:footnoteReference w:id="51"/>
      </w:r>
      <w:r w:rsidRPr="006E763F">
        <w:rPr>
          <w:lang w:val="es-ES"/>
        </w:rPr>
        <w:t xml:space="preserve"> y Catastro</w:t>
      </w:r>
      <w:r w:rsidRPr="006E763F">
        <w:rPr>
          <w:vertAlign w:val="superscript"/>
          <w:lang w:val="es-ES"/>
        </w:rPr>
        <w:footnoteReference w:id="52"/>
      </w:r>
      <w:r w:rsidRPr="006E763F">
        <w:rPr>
          <w:lang w:val="es-ES"/>
        </w:rPr>
        <w:t>, por ejemplo, para la determinación de un domicilio al que se pudiera llamar al señor Pabón a declarar. Asimismo, se observa que se ordenó la interceptación de sus comunicaciones (bíper) el mes de octubre de 1993</w:t>
      </w:r>
      <w:r w:rsidRPr="006E763F">
        <w:rPr>
          <w:vertAlign w:val="superscript"/>
          <w:lang w:val="es-ES"/>
        </w:rPr>
        <w:footnoteReference w:id="53"/>
      </w:r>
      <w:r w:rsidRPr="006E763F">
        <w:rPr>
          <w:lang w:val="es-ES"/>
        </w:rPr>
        <w:t xml:space="preserve">. </w:t>
      </w:r>
    </w:p>
    <w:p w14:paraId="3BDB4CC2" w14:textId="77777777" w:rsidR="00490765" w:rsidRPr="006E763F" w:rsidRDefault="00490765" w:rsidP="00E923BB">
      <w:pPr>
        <w:pStyle w:val="ListParagraph"/>
        <w:rPr>
          <w:sz w:val="20"/>
          <w:szCs w:val="20"/>
          <w:lang w:val="es-ES"/>
        </w:rPr>
      </w:pPr>
    </w:p>
    <w:p w14:paraId="42B70C34" w14:textId="30087FB0" w:rsidR="00EC310A" w:rsidRPr="006E763F" w:rsidRDefault="00490765" w:rsidP="00F700C6">
      <w:pPr>
        <w:pStyle w:val="Body"/>
        <w:numPr>
          <w:ilvl w:val="0"/>
          <w:numId w:val="2"/>
        </w:numPr>
        <w:ind w:firstLine="720"/>
        <w:rPr>
          <w:lang w:val="es-ES"/>
        </w:rPr>
      </w:pPr>
      <w:r w:rsidRPr="006E763F">
        <w:rPr>
          <w:lang w:val="es-ES"/>
        </w:rPr>
        <w:t xml:space="preserve">En cuanto a las diligencias para la ubicación física </w:t>
      </w:r>
      <w:r w:rsidR="000E2A52" w:rsidRPr="006E763F">
        <w:rPr>
          <w:lang w:val="es-ES"/>
        </w:rPr>
        <w:t xml:space="preserve">de la presunta víctima, </w:t>
      </w:r>
      <w:r w:rsidR="009E7E98" w:rsidRPr="006E763F">
        <w:rPr>
          <w:lang w:val="es-ES"/>
        </w:rPr>
        <w:t>la Comisión da cuenta de que se realizaron búsquedas de los registros dactiloscópicos de Pedro Julio Movilla Galarcio en la Registraduría Nacional del Estado Civil</w:t>
      </w:r>
      <w:r w:rsidR="009E7E98" w:rsidRPr="006E763F">
        <w:rPr>
          <w:vertAlign w:val="superscript"/>
        </w:rPr>
        <w:footnoteReference w:id="54"/>
      </w:r>
      <w:r w:rsidR="009E7E98" w:rsidRPr="006E763F">
        <w:rPr>
          <w:lang w:val="es-ES"/>
        </w:rPr>
        <w:t>, el Instituto Nacional de Medicina Legal y Ciencias Forenses</w:t>
      </w:r>
      <w:r w:rsidR="009E7E98" w:rsidRPr="006E763F">
        <w:rPr>
          <w:vertAlign w:val="superscript"/>
        </w:rPr>
        <w:footnoteReference w:id="55"/>
      </w:r>
      <w:r w:rsidR="009E7E98" w:rsidRPr="006E763F">
        <w:rPr>
          <w:lang w:val="es-ES"/>
        </w:rPr>
        <w:t>, la División Criminalística de la Dijin</w:t>
      </w:r>
      <w:r w:rsidR="009E7E98" w:rsidRPr="006E763F">
        <w:rPr>
          <w:vertAlign w:val="superscript"/>
        </w:rPr>
        <w:footnoteReference w:id="56"/>
      </w:r>
      <w:r w:rsidR="009E7E98" w:rsidRPr="006E763F">
        <w:rPr>
          <w:lang w:val="es-ES"/>
        </w:rPr>
        <w:t>, la Oficina de Archivos Especializados de</w:t>
      </w:r>
      <w:r w:rsidR="00950CC5" w:rsidRPr="006E763F">
        <w:rPr>
          <w:lang w:val="es-ES"/>
        </w:rPr>
        <w:t xml:space="preserve"> </w:t>
      </w:r>
      <w:r w:rsidR="009E7E98" w:rsidRPr="006E763F">
        <w:rPr>
          <w:lang w:val="es-ES"/>
        </w:rPr>
        <w:t>l</w:t>
      </w:r>
      <w:r w:rsidR="00950CC5" w:rsidRPr="006E763F">
        <w:rPr>
          <w:lang w:val="es-ES"/>
        </w:rPr>
        <w:t>a</w:t>
      </w:r>
      <w:r w:rsidR="009E7E98" w:rsidRPr="006E763F">
        <w:rPr>
          <w:lang w:val="es-ES"/>
        </w:rPr>
        <w:t xml:space="preserve"> DAS</w:t>
      </w:r>
      <w:r w:rsidR="009E7E98" w:rsidRPr="006E763F">
        <w:rPr>
          <w:vertAlign w:val="superscript"/>
        </w:rPr>
        <w:footnoteReference w:id="57"/>
      </w:r>
      <w:r w:rsidR="009E7E98" w:rsidRPr="006E763F">
        <w:rPr>
          <w:lang w:val="es-ES"/>
        </w:rPr>
        <w:t>, Sección Nacional N.N. y Desaparecidos de la División Criminalística del Cuerpo Técnico de Investigación de la Fiscalía General</w:t>
      </w:r>
      <w:r w:rsidR="009E7E98" w:rsidRPr="006E763F">
        <w:rPr>
          <w:vertAlign w:val="superscript"/>
        </w:rPr>
        <w:footnoteReference w:id="58"/>
      </w:r>
      <w:r w:rsidR="009E7E98" w:rsidRPr="006E763F">
        <w:rPr>
          <w:lang w:val="es-ES"/>
        </w:rPr>
        <w:t xml:space="preserve">, encontrándose en todos los casos resultados negativos. </w:t>
      </w:r>
      <w:r w:rsidR="00653CBB" w:rsidRPr="006E763F">
        <w:rPr>
          <w:lang w:val="es-ES"/>
        </w:rPr>
        <w:t xml:space="preserve">También consta </w:t>
      </w:r>
      <w:r w:rsidR="009E7E98" w:rsidRPr="006E763F">
        <w:rPr>
          <w:lang w:val="es-ES"/>
        </w:rPr>
        <w:t>un informe de la Oficina de Identificación y Personas Desaparecidas del Instituto Nacional de Medicina Legal y Ciencias Forenses en el que se informa que el libro de recepción de cadáveres, el álbum de fotografías de filiación, el archivo de descripciones morfológicas y cartas dentales fueron revisados por dicha entidad en búsqueda de coincidencias con la descripción de Pedro Julio Movilla Galarcio</w:t>
      </w:r>
      <w:r w:rsidR="00D40FB7" w:rsidRPr="006E763F">
        <w:rPr>
          <w:lang w:val="es-ES"/>
        </w:rPr>
        <w:t xml:space="preserve">, también con resultados negativos. </w:t>
      </w:r>
      <w:r w:rsidR="009E7E98" w:rsidRPr="006E763F">
        <w:rPr>
          <w:lang w:val="es-ES"/>
        </w:rPr>
        <w:t>De igual forma, se informó de las visitas periódicas que Candelaria Vergara realizaba en la oficina para revisar directamente el álbum fotográfico de cadáveres no identificados, también con resultados negativos</w:t>
      </w:r>
      <w:r w:rsidR="009E7E98" w:rsidRPr="006E763F">
        <w:rPr>
          <w:vertAlign w:val="superscript"/>
        </w:rPr>
        <w:footnoteReference w:id="59"/>
      </w:r>
      <w:r w:rsidR="009E7E98" w:rsidRPr="006E763F">
        <w:rPr>
          <w:lang w:val="es-ES"/>
        </w:rPr>
        <w:t>.</w:t>
      </w:r>
      <w:r w:rsidR="00653CBB" w:rsidRPr="006E763F">
        <w:rPr>
          <w:lang w:val="es-ES"/>
        </w:rPr>
        <w:t xml:space="preserve"> L</w:t>
      </w:r>
      <w:r w:rsidR="009E7E98" w:rsidRPr="006E763F">
        <w:rPr>
          <w:lang w:val="es-ES"/>
        </w:rPr>
        <w:t>a PGN</w:t>
      </w:r>
      <w:r w:rsidR="00653CBB" w:rsidRPr="006E763F">
        <w:rPr>
          <w:lang w:val="es-ES"/>
        </w:rPr>
        <w:t xml:space="preserve"> también</w:t>
      </w:r>
      <w:r w:rsidR="009E7E98" w:rsidRPr="006E763F">
        <w:rPr>
          <w:lang w:val="es-ES"/>
        </w:rPr>
        <w:t xml:space="preserve"> practicó visitas en el laboratorio de dactiloscopia del mencionado Instituto con la finalidad de establecer si entre las personas no identificadas y cadáveres depositados en la unidad de Medicina Legal desde el 13 de mayo de 1993</w:t>
      </w:r>
      <w:r w:rsidR="00D1078C" w:rsidRPr="006E763F">
        <w:rPr>
          <w:lang w:val="es-ES"/>
        </w:rPr>
        <w:t>, con resultados negativos</w:t>
      </w:r>
      <w:r w:rsidR="009E7E98" w:rsidRPr="006E763F">
        <w:rPr>
          <w:vertAlign w:val="superscript"/>
        </w:rPr>
        <w:footnoteReference w:id="60"/>
      </w:r>
      <w:r w:rsidR="009E7E98" w:rsidRPr="006E763F">
        <w:rPr>
          <w:lang w:val="es-ES"/>
        </w:rPr>
        <w:t>.</w:t>
      </w:r>
      <w:r w:rsidR="000E5B2E" w:rsidRPr="006E763F">
        <w:rPr>
          <w:lang w:val="es-ES"/>
        </w:rPr>
        <w:t xml:space="preserve"> La </w:t>
      </w:r>
      <w:r w:rsidR="009E7E98" w:rsidRPr="006E763F">
        <w:rPr>
          <w:lang w:val="es-ES"/>
        </w:rPr>
        <w:t xml:space="preserve">CIDH </w:t>
      </w:r>
      <w:r w:rsidR="00D40FB7" w:rsidRPr="006E763F">
        <w:rPr>
          <w:lang w:val="es-ES"/>
        </w:rPr>
        <w:t xml:space="preserve">observa </w:t>
      </w:r>
      <w:r w:rsidR="009E7E98" w:rsidRPr="006E763F">
        <w:rPr>
          <w:lang w:val="es-ES"/>
        </w:rPr>
        <w:t>que la PGN</w:t>
      </w:r>
      <w:r w:rsidR="000E5B2E" w:rsidRPr="006E763F">
        <w:rPr>
          <w:lang w:val="es-ES"/>
        </w:rPr>
        <w:t xml:space="preserve"> </w:t>
      </w:r>
      <w:r w:rsidR="006305D8" w:rsidRPr="006E763F">
        <w:rPr>
          <w:lang w:val="es-ES"/>
        </w:rPr>
        <w:t>también</w:t>
      </w:r>
      <w:r w:rsidR="009E7E98" w:rsidRPr="006E763F">
        <w:rPr>
          <w:lang w:val="es-ES"/>
        </w:rPr>
        <w:t xml:space="preserve"> realizó visitas a diferentes salas de retención de los organismos de seguridad, tales como Sijin, Dijin y DAS</w:t>
      </w:r>
      <w:r w:rsidR="009E7E98" w:rsidRPr="006E763F">
        <w:rPr>
          <w:vertAlign w:val="superscript"/>
        </w:rPr>
        <w:footnoteReference w:id="61"/>
      </w:r>
      <w:r w:rsidR="009E7E98" w:rsidRPr="006E763F">
        <w:rPr>
          <w:lang w:val="es-ES"/>
        </w:rPr>
        <w:t>.</w:t>
      </w:r>
    </w:p>
    <w:p w14:paraId="60F7D8D9" w14:textId="77777777" w:rsidR="006305D8" w:rsidRDefault="006305D8" w:rsidP="00E923BB">
      <w:pPr>
        <w:pStyle w:val="Body"/>
        <w:ind w:left="567" w:firstLine="0"/>
        <w:rPr>
          <w:lang w:val="es-ES"/>
        </w:rPr>
      </w:pPr>
    </w:p>
    <w:p w14:paraId="29D26D2A" w14:textId="77777777" w:rsidR="00A56231" w:rsidRDefault="00A56231" w:rsidP="00E923BB">
      <w:pPr>
        <w:pStyle w:val="Body"/>
        <w:ind w:left="567" w:firstLine="0"/>
        <w:rPr>
          <w:lang w:val="es-ES"/>
        </w:rPr>
      </w:pPr>
    </w:p>
    <w:p w14:paraId="08B2B988" w14:textId="77777777" w:rsidR="00A56231" w:rsidRDefault="00A56231" w:rsidP="00E923BB">
      <w:pPr>
        <w:pStyle w:val="Body"/>
        <w:ind w:left="567" w:firstLine="0"/>
        <w:rPr>
          <w:lang w:val="es-ES"/>
        </w:rPr>
      </w:pPr>
    </w:p>
    <w:p w14:paraId="4B843EA4" w14:textId="77777777" w:rsidR="00A56231" w:rsidRDefault="00A56231" w:rsidP="00E923BB">
      <w:pPr>
        <w:pStyle w:val="Body"/>
        <w:ind w:left="567" w:firstLine="0"/>
        <w:rPr>
          <w:lang w:val="es-ES"/>
        </w:rPr>
      </w:pPr>
    </w:p>
    <w:p w14:paraId="2B64082D" w14:textId="77777777" w:rsidR="00A56231" w:rsidRPr="006E763F" w:rsidRDefault="00A56231" w:rsidP="00E923BB">
      <w:pPr>
        <w:pStyle w:val="Body"/>
        <w:ind w:left="567" w:firstLine="0"/>
        <w:rPr>
          <w:lang w:val="es-ES"/>
        </w:rPr>
      </w:pPr>
    </w:p>
    <w:p w14:paraId="4889A3A5" w14:textId="7E785EE0" w:rsidR="00F84F0B" w:rsidRPr="006E763F" w:rsidRDefault="00F84F0B" w:rsidP="00F700C6">
      <w:pPr>
        <w:pStyle w:val="Body"/>
        <w:numPr>
          <w:ilvl w:val="0"/>
          <w:numId w:val="2"/>
        </w:numPr>
        <w:ind w:firstLine="720"/>
        <w:rPr>
          <w:lang w:val="es-ES"/>
        </w:rPr>
      </w:pPr>
      <w:r w:rsidRPr="006E763F">
        <w:rPr>
          <w:lang w:val="es-ES"/>
        </w:rPr>
        <w:t xml:space="preserve">El 17 de febrero de 1998, la PGN </w:t>
      </w:r>
      <w:r w:rsidR="006305D8" w:rsidRPr="006E763F">
        <w:rPr>
          <w:lang w:val="es-ES"/>
        </w:rPr>
        <w:t>archivó</w:t>
      </w:r>
      <w:r w:rsidRPr="006E763F">
        <w:rPr>
          <w:lang w:val="es-CO"/>
        </w:rPr>
        <w:t xml:space="preserve"> la indagación preliminar, archivo que fue apelado y revocado </w:t>
      </w:r>
      <w:r w:rsidRPr="006E763F">
        <w:rPr>
          <w:lang w:val="es-ES"/>
        </w:rPr>
        <w:t>el 9 de julio de 1998. La investigación fue archivada por segunda vez el 23 de enero de 2001</w:t>
      </w:r>
      <w:r w:rsidRPr="006E763F">
        <w:rPr>
          <w:vertAlign w:val="superscript"/>
          <w:lang w:val="es-ES"/>
        </w:rPr>
        <w:footnoteReference w:id="62"/>
      </w:r>
      <w:r w:rsidRPr="006E763F">
        <w:rPr>
          <w:lang w:val="es-ES"/>
        </w:rPr>
        <w:t xml:space="preserve"> bajo el argumento de que “debido a que la desaparición forzada es una conducta de tracto sucesivo, procedería a decretar el archivo provisional de las diligencias pues de encontrar algún indicio –en el marco de la investigación penal- por el cual se pueda presumir la responsabilidad de servidores públicos, se trasladaría la prueba y retomaría la investigación”</w:t>
      </w:r>
      <w:r w:rsidRPr="006E763F">
        <w:rPr>
          <w:vertAlign w:val="superscript"/>
          <w:lang w:val="es-ES"/>
        </w:rPr>
        <w:footnoteReference w:id="63"/>
      </w:r>
      <w:r w:rsidRPr="006E763F">
        <w:rPr>
          <w:lang w:val="es-ES"/>
        </w:rPr>
        <w:t>.</w:t>
      </w:r>
    </w:p>
    <w:p w14:paraId="035BEFBA" w14:textId="77777777" w:rsidR="00EC310A" w:rsidRPr="006E763F" w:rsidRDefault="00EC310A" w:rsidP="00E923BB">
      <w:pPr>
        <w:pStyle w:val="Body"/>
        <w:ind w:firstLine="249"/>
        <w:rPr>
          <w:lang w:val="es-ES"/>
        </w:rPr>
      </w:pPr>
    </w:p>
    <w:p w14:paraId="790854F6" w14:textId="5EF378E8" w:rsidR="00EC310A" w:rsidRPr="006E763F" w:rsidRDefault="009E7E98" w:rsidP="00F700C6">
      <w:pPr>
        <w:pStyle w:val="Heading3"/>
        <w:tabs>
          <w:tab w:val="left" w:pos="1440"/>
        </w:tabs>
        <w:ind w:left="720"/>
        <w:rPr>
          <w:rFonts w:eastAsia="Times New Roman" w:cs="Times New Roman"/>
        </w:rPr>
      </w:pPr>
      <w:bookmarkStart w:id="13" w:name="_Toc446153"/>
      <w:r w:rsidRPr="006E763F">
        <w:t xml:space="preserve">La investigación </w:t>
      </w:r>
      <w:r w:rsidR="004D2579" w:rsidRPr="006E763F">
        <w:t>penal - r</w:t>
      </w:r>
      <w:r w:rsidR="00D90561">
        <w:t>adicado Nº</w:t>
      </w:r>
      <w:r w:rsidRPr="006E763F">
        <w:t xml:space="preserve"> </w:t>
      </w:r>
      <w:r w:rsidR="002F4A49" w:rsidRPr="006E763F">
        <w:t>096 ante la Fiscalía General</w:t>
      </w:r>
      <w:bookmarkEnd w:id="13"/>
    </w:p>
    <w:p w14:paraId="4FB04984" w14:textId="77777777" w:rsidR="00EC310A" w:rsidRPr="006E763F" w:rsidRDefault="00EC310A" w:rsidP="00E923BB">
      <w:pPr>
        <w:pStyle w:val="Body"/>
        <w:ind w:firstLine="249"/>
        <w:rPr>
          <w:lang w:val="es-ES"/>
        </w:rPr>
      </w:pPr>
    </w:p>
    <w:p w14:paraId="2E0B7625" w14:textId="6359A666" w:rsidR="00EC310A" w:rsidRPr="006E763F" w:rsidRDefault="001D0AEB" w:rsidP="00F700C6">
      <w:pPr>
        <w:pStyle w:val="Body"/>
        <w:numPr>
          <w:ilvl w:val="0"/>
          <w:numId w:val="2"/>
        </w:numPr>
        <w:ind w:firstLine="720"/>
        <w:rPr>
          <w:lang w:val="es-ES"/>
        </w:rPr>
      </w:pPr>
      <w:r w:rsidRPr="006E763F">
        <w:rPr>
          <w:lang w:val="es-ES"/>
        </w:rPr>
        <w:t>Asimismo, tras la denuncia</w:t>
      </w:r>
      <w:r w:rsidR="009E7E98" w:rsidRPr="006E763F">
        <w:rPr>
          <w:lang w:val="es-ES"/>
        </w:rPr>
        <w:t xml:space="preserve"> la Fiscalía General dio ap</w:t>
      </w:r>
      <w:r w:rsidR="00D40FB7" w:rsidRPr="006E763F">
        <w:rPr>
          <w:lang w:val="es-ES"/>
        </w:rPr>
        <w:t>ertura a la investigación penal</w:t>
      </w:r>
      <w:r w:rsidR="00852FB3" w:rsidRPr="006E763F">
        <w:rPr>
          <w:lang w:val="es-ES"/>
        </w:rPr>
        <w:t>, la cual fue adelantada por diversas</w:t>
      </w:r>
      <w:r w:rsidR="009E7E98" w:rsidRPr="006E763F">
        <w:rPr>
          <w:lang w:val="es-ES"/>
        </w:rPr>
        <w:t xml:space="preserve"> unidades dentro de la Fiscalía General</w:t>
      </w:r>
      <w:r w:rsidR="00852FB3" w:rsidRPr="006E763F">
        <w:rPr>
          <w:lang w:val="es-ES"/>
        </w:rPr>
        <w:t>:</w:t>
      </w:r>
      <w:r w:rsidR="009E7E98" w:rsidRPr="006E763F">
        <w:rPr>
          <w:lang w:val="es-ES"/>
        </w:rPr>
        <w:t xml:space="preserve"> la Unidad Nacional de Fiscalías Delegadas con</w:t>
      </w:r>
      <w:r w:rsidR="00D40FB7" w:rsidRPr="006E763F">
        <w:rPr>
          <w:lang w:val="es-ES"/>
        </w:rPr>
        <w:t xml:space="preserve">tra el Secuestro y la Extorsión, </w:t>
      </w:r>
      <w:r w:rsidR="009E7E98" w:rsidRPr="006E763F">
        <w:rPr>
          <w:lang w:val="es-ES"/>
        </w:rPr>
        <w:t>fiscalías seccionales y especializadas y la Unidad Nacional de Derechos Humanos y Derecho Internacional Humanitario (en adelante “la UDH”). Del análisis del expediente penal, constan algunas diligencias practicadas el año 1993</w:t>
      </w:r>
      <w:r w:rsidR="009E7E98" w:rsidRPr="006E763F">
        <w:rPr>
          <w:vertAlign w:val="superscript"/>
          <w:lang w:val="es-ES"/>
        </w:rPr>
        <w:footnoteReference w:id="64"/>
      </w:r>
      <w:r w:rsidR="009E7E98" w:rsidRPr="006E763F">
        <w:rPr>
          <w:lang w:val="es-ES"/>
        </w:rPr>
        <w:t xml:space="preserve"> y otras tres diligencias en 1994</w:t>
      </w:r>
      <w:r w:rsidR="009E7E98" w:rsidRPr="006E763F">
        <w:rPr>
          <w:vertAlign w:val="superscript"/>
          <w:lang w:val="es-ES"/>
        </w:rPr>
        <w:footnoteReference w:id="65"/>
      </w:r>
      <w:r w:rsidR="009E7E98" w:rsidRPr="006E763F">
        <w:rPr>
          <w:lang w:val="es-ES"/>
        </w:rPr>
        <w:t xml:space="preserve">. </w:t>
      </w:r>
      <w:r w:rsidR="00F23C31" w:rsidRPr="006E763F">
        <w:rPr>
          <w:lang w:val="es-ES"/>
        </w:rPr>
        <w:t>Ahora bien, la CIDH nota que l</w:t>
      </w:r>
      <w:r w:rsidR="009E7E98" w:rsidRPr="006E763F">
        <w:rPr>
          <w:lang w:val="es-ES"/>
        </w:rPr>
        <w:t xml:space="preserve">a investigación </w:t>
      </w:r>
      <w:r w:rsidR="00590983" w:rsidRPr="006E763F">
        <w:rPr>
          <w:lang w:val="es-ES"/>
        </w:rPr>
        <w:t>fue suspendida en varias ocasiones. P</w:t>
      </w:r>
      <w:r w:rsidR="009E7E98" w:rsidRPr="006E763F">
        <w:rPr>
          <w:lang w:val="es-ES"/>
        </w:rPr>
        <w:t>or primera vez el 5 de junio de 1996 por falta de indicios</w:t>
      </w:r>
      <w:r w:rsidR="009E7E98" w:rsidRPr="006E763F">
        <w:rPr>
          <w:vertAlign w:val="superscript"/>
          <w:lang w:val="es-ES"/>
        </w:rPr>
        <w:footnoteReference w:id="66"/>
      </w:r>
      <w:r w:rsidR="009E7E98" w:rsidRPr="006E763F">
        <w:rPr>
          <w:lang w:val="es-ES"/>
        </w:rPr>
        <w:t xml:space="preserve">. </w:t>
      </w:r>
      <w:r w:rsidR="00590983" w:rsidRPr="006E763F">
        <w:rPr>
          <w:lang w:val="es-ES"/>
        </w:rPr>
        <w:t>O</w:t>
      </w:r>
      <w:r w:rsidR="009E7E98" w:rsidRPr="006E763F">
        <w:rPr>
          <w:lang w:val="es-ES"/>
        </w:rPr>
        <w:t>bra en expediente resolución del 24 de octubre de 1996</w:t>
      </w:r>
      <w:r w:rsidR="006B062A" w:rsidRPr="006E763F">
        <w:rPr>
          <w:lang w:val="es-ES"/>
        </w:rPr>
        <w:t>,</w:t>
      </w:r>
      <w:r w:rsidR="009E7E98" w:rsidRPr="006E763F">
        <w:rPr>
          <w:lang w:val="es-ES"/>
        </w:rPr>
        <w:t xml:space="preserve"> a través de la cual la UDH revocó la suspensión de la investigación y ordenó</w:t>
      </w:r>
      <w:r w:rsidR="00D40FB7" w:rsidRPr="006E763F">
        <w:rPr>
          <w:lang w:val="es-ES"/>
        </w:rPr>
        <w:t xml:space="preserve"> nuevas</w:t>
      </w:r>
      <w:r w:rsidR="009E7E98" w:rsidRPr="006E763F">
        <w:rPr>
          <w:lang w:val="es-ES"/>
        </w:rPr>
        <w:t xml:space="preserve"> diligencias</w:t>
      </w:r>
      <w:r w:rsidR="009E7E98" w:rsidRPr="006E763F">
        <w:rPr>
          <w:vertAlign w:val="superscript"/>
          <w:lang w:val="es-ES"/>
        </w:rPr>
        <w:footnoteReference w:id="67"/>
      </w:r>
      <w:r w:rsidR="00F23C31" w:rsidRPr="006E763F">
        <w:rPr>
          <w:lang w:val="es-ES"/>
        </w:rPr>
        <w:t xml:space="preserve"> que se efectuaron a partir de abril de 1997</w:t>
      </w:r>
      <w:r w:rsidR="00F23C31" w:rsidRPr="006E763F">
        <w:rPr>
          <w:vertAlign w:val="superscript"/>
          <w:lang w:val="es-ES"/>
        </w:rPr>
        <w:footnoteReference w:id="68"/>
      </w:r>
      <w:r w:rsidR="00F23C31" w:rsidRPr="006E763F">
        <w:rPr>
          <w:lang w:val="es-ES"/>
        </w:rPr>
        <w:t xml:space="preserve">. </w:t>
      </w:r>
      <w:r w:rsidR="00BC6284" w:rsidRPr="006E763F">
        <w:rPr>
          <w:lang w:val="es-ES"/>
        </w:rPr>
        <w:t>E</w:t>
      </w:r>
      <w:r w:rsidR="009E7E98" w:rsidRPr="006E763F">
        <w:rPr>
          <w:lang w:val="es-ES"/>
        </w:rPr>
        <w:t>l 11 de diciembre de 2001 la UDH ordenó nuevamente la suspensión de la investigación preliminar debido a la imposibilidad de identificar a los responsables</w:t>
      </w:r>
      <w:r w:rsidR="009E7E98" w:rsidRPr="006E763F">
        <w:rPr>
          <w:vertAlign w:val="superscript"/>
          <w:lang w:val="es-ES"/>
        </w:rPr>
        <w:footnoteReference w:id="69"/>
      </w:r>
      <w:r w:rsidR="009E7E98" w:rsidRPr="006E763F">
        <w:rPr>
          <w:lang w:val="es-ES"/>
        </w:rPr>
        <w:t xml:space="preserve">. </w:t>
      </w:r>
      <w:r w:rsidR="006F45D4" w:rsidRPr="006E763F">
        <w:rPr>
          <w:lang w:val="es-ES"/>
        </w:rPr>
        <w:t xml:space="preserve">El </w:t>
      </w:r>
      <w:r w:rsidR="009E7E98" w:rsidRPr="006E763F">
        <w:rPr>
          <w:lang w:val="es-ES"/>
        </w:rPr>
        <w:t>17 de enero de 2006, la Fiscal 23 especializada de la UDH retomó la investigació</w:t>
      </w:r>
      <w:r w:rsidR="002203BD" w:rsidRPr="006E763F">
        <w:rPr>
          <w:lang w:val="es-ES"/>
        </w:rPr>
        <w:t>n y ordenó la práctica de diligencias</w:t>
      </w:r>
      <w:r w:rsidR="009E7E98" w:rsidRPr="006E763F">
        <w:rPr>
          <w:vertAlign w:val="superscript"/>
          <w:lang w:val="es-ES"/>
        </w:rPr>
        <w:footnoteReference w:id="70"/>
      </w:r>
      <w:r w:rsidR="009E7E98" w:rsidRPr="006E763F">
        <w:rPr>
          <w:lang w:val="es-ES"/>
        </w:rPr>
        <w:t>.</w:t>
      </w:r>
      <w:r w:rsidR="00F23C31" w:rsidRPr="006E763F">
        <w:rPr>
          <w:lang w:val="es-ES"/>
        </w:rPr>
        <w:t xml:space="preserve"> Asimismo, constan en el expediente copias de las actuaciones llevadas en el marco de la investigación disciplinaria incorporadas en la investigación penal el 15 de abril de 1994</w:t>
      </w:r>
      <w:r w:rsidR="00F23C31" w:rsidRPr="006E763F">
        <w:rPr>
          <w:vertAlign w:val="superscript"/>
          <w:lang w:val="es-ES"/>
        </w:rPr>
        <w:footnoteReference w:id="71"/>
      </w:r>
      <w:r w:rsidR="00F23C31" w:rsidRPr="006E763F">
        <w:rPr>
          <w:lang w:val="es-ES"/>
        </w:rPr>
        <w:t>, el 14 noviembre de 1996</w:t>
      </w:r>
      <w:r w:rsidR="00F23C31" w:rsidRPr="006E763F">
        <w:rPr>
          <w:vertAlign w:val="superscript"/>
          <w:lang w:val="es-ES"/>
        </w:rPr>
        <w:footnoteReference w:id="72"/>
      </w:r>
      <w:r w:rsidR="00F23C31" w:rsidRPr="006E763F">
        <w:rPr>
          <w:lang w:val="es-ES"/>
        </w:rPr>
        <w:t xml:space="preserve"> y el 19 de diciembre de 2000</w:t>
      </w:r>
      <w:r w:rsidR="00F23C31" w:rsidRPr="006E763F">
        <w:rPr>
          <w:vertAlign w:val="superscript"/>
          <w:lang w:val="es-ES"/>
        </w:rPr>
        <w:footnoteReference w:id="73"/>
      </w:r>
      <w:r w:rsidR="00F23C31" w:rsidRPr="006E763F">
        <w:rPr>
          <w:lang w:val="es-ES"/>
        </w:rPr>
        <w:t>.</w:t>
      </w:r>
    </w:p>
    <w:p w14:paraId="08C047EE" w14:textId="77777777" w:rsidR="00EC310A" w:rsidRPr="006E763F" w:rsidRDefault="00EC310A" w:rsidP="00E923BB">
      <w:pPr>
        <w:pStyle w:val="ListParagraph"/>
        <w:ind w:left="0" w:firstLine="249"/>
        <w:rPr>
          <w:sz w:val="20"/>
          <w:szCs w:val="20"/>
          <w:lang w:val="es-ES"/>
        </w:rPr>
      </w:pPr>
    </w:p>
    <w:p w14:paraId="41702921" w14:textId="77777777" w:rsidR="00ED6837" w:rsidRPr="006E763F" w:rsidRDefault="009E7E98" w:rsidP="00F700C6">
      <w:pPr>
        <w:pStyle w:val="Body"/>
        <w:numPr>
          <w:ilvl w:val="0"/>
          <w:numId w:val="2"/>
        </w:numPr>
        <w:ind w:firstLine="720"/>
        <w:rPr>
          <w:lang w:val="es-ES"/>
        </w:rPr>
      </w:pPr>
      <w:r w:rsidRPr="006E763F">
        <w:rPr>
          <w:lang w:val="es-ES"/>
        </w:rPr>
        <w:t xml:space="preserve">Según la parte peticionaria, la última diligencia fue efectuada el 12 de diciembre de 2015 con la convocatoria a </w:t>
      </w:r>
      <w:r w:rsidR="00867814" w:rsidRPr="006E763F">
        <w:rPr>
          <w:lang w:val="es-ES"/>
        </w:rPr>
        <w:t xml:space="preserve">declarar a </w:t>
      </w:r>
      <w:r w:rsidRPr="006E763F">
        <w:rPr>
          <w:lang w:val="es-ES"/>
        </w:rPr>
        <w:t xml:space="preserve">Deicy Liliana Mondragón, quien fue </w:t>
      </w:r>
      <w:r w:rsidR="00D40FB7" w:rsidRPr="006E763F">
        <w:rPr>
          <w:lang w:val="es-ES"/>
        </w:rPr>
        <w:t>pareja</w:t>
      </w:r>
      <w:r w:rsidRPr="006E763F">
        <w:rPr>
          <w:lang w:val="es-ES"/>
        </w:rPr>
        <w:t xml:space="preserve"> de</w:t>
      </w:r>
      <w:r w:rsidR="003C786B" w:rsidRPr="006E763F">
        <w:rPr>
          <w:lang w:val="es-ES"/>
        </w:rPr>
        <w:t>l señor</w:t>
      </w:r>
      <w:r w:rsidRPr="006E763F">
        <w:rPr>
          <w:lang w:val="es-ES"/>
        </w:rPr>
        <w:t xml:space="preserve"> Pabón</w:t>
      </w:r>
      <w:r w:rsidRPr="006E763F">
        <w:rPr>
          <w:vertAlign w:val="superscript"/>
          <w:lang w:val="es-ES"/>
        </w:rPr>
        <w:footnoteReference w:id="74"/>
      </w:r>
      <w:r w:rsidRPr="006E763F">
        <w:rPr>
          <w:lang w:val="es-ES"/>
        </w:rPr>
        <w:t xml:space="preserve">. </w:t>
      </w:r>
      <w:r w:rsidR="00867814" w:rsidRPr="006E763F">
        <w:rPr>
          <w:lang w:val="es-ES"/>
        </w:rPr>
        <w:t xml:space="preserve">Sin embargo, el Estado indicó que </w:t>
      </w:r>
      <w:r w:rsidRPr="006E763F">
        <w:rPr>
          <w:lang w:val="es-ES"/>
        </w:rPr>
        <w:t xml:space="preserve">durante el 2016 la Fiscalía General fijó fecha y hora para la toma de declaraciones y testimonios, así </w:t>
      </w:r>
      <w:r w:rsidRPr="006E763F">
        <w:rPr>
          <w:lang w:val="es-ES"/>
        </w:rPr>
        <w:lastRenderedPageBreak/>
        <w:t>como la práctica de una inspección judicial</w:t>
      </w:r>
      <w:r w:rsidRPr="006E763F">
        <w:rPr>
          <w:vertAlign w:val="superscript"/>
          <w:lang w:val="es-ES"/>
        </w:rPr>
        <w:footnoteReference w:id="75"/>
      </w:r>
      <w:r w:rsidR="00EC33D6" w:rsidRPr="006E763F">
        <w:rPr>
          <w:lang w:val="es-ES"/>
        </w:rPr>
        <w:t xml:space="preserve">. El Estado no </w:t>
      </w:r>
      <w:r w:rsidRPr="006E763F">
        <w:rPr>
          <w:lang w:val="es-ES"/>
        </w:rPr>
        <w:t>especifica qué tipo de inspección ni</w:t>
      </w:r>
      <w:r w:rsidR="00EC33D6" w:rsidRPr="006E763F">
        <w:rPr>
          <w:lang w:val="es-ES"/>
        </w:rPr>
        <w:t xml:space="preserve"> en qué lugar</w:t>
      </w:r>
      <w:r w:rsidRPr="006E763F">
        <w:rPr>
          <w:lang w:val="es-ES"/>
        </w:rPr>
        <w:t xml:space="preserve">. </w:t>
      </w:r>
      <w:r w:rsidR="00ED6837" w:rsidRPr="006E763F">
        <w:rPr>
          <w:lang w:val="es-ES"/>
        </w:rPr>
        <w:t>E</w:t>
      </w:r>
      <w:r w:rsidRPr="006E763F">
        <w:rPr>
          <w:lang w:val="es-ES"/>
        </w:rPr>
        <w:t xml:space="preserve">l Estado informó a la CIDH que </w:t>
      </w:r>
      <w:r w:rsidR="00627E04" w:rsidRPr="006E763F">
        <w:rPr>
          <w:lang w:val="es-ES"/>
        </w:rPr>
        <w:t>el señor Pabón</w:t>
      </w:r>
      <w:r w:rsidRPr="006E763F">
        <w:rPr>
          <w:lang w:val="es-ES"/>
        </w:rPr>
        <w:t xml:space="preserve"> rindió declaración el 8 de julio de 2016 ante la Fiscalía General. </w:t>
      </w:r>
    </w:p>
    <w:p w14:paraId="06E6B6FA" w14:textId="77777777" w:rsidR="00ED6837" w:rsidRPr="006E763F" w:rsidRDefault="00ED6837" w:rsidP="00E923BB">
      <w:pPr>
        <w:pStyle w:val="ListParagraph"/>
        <w:rPr>
          <w:sz w:val="20"/>
          <w:szCs w:val="20"/>
          <w:lang w:val="es-ES"/>
        </w:rPr>
      </w:pPr>
    </w:p>
    <w:p w14:paraId="57523894" w14:textId="66746F0E" w:rsidR="00EC310A" w:rsidRDefault="00ED6837" w:rsidP="00F700C6">
      <w:pPr>
        <w:pStyle w:val="Body"/>
        <w:numPr>
          <w:ilvl w:val="0"/>
          <w:numId w:val="2"/>
        </w:numPr>
        <w:ind w:firstLine="720"/>
        <w:rPr>
          <w:lang w:val="es-ES"/>
        </w:rPr>
      </w:pPr>
      <w:r w:rsidRPr="006E763F">
        <w:rPr>
          <w:lang w:val="es-ES"/>
        </w:rPr>
        <w:t>En cuanto a la constitución como parte civil de la parte peticionaria, la CIDH observa que</w:t>
      </w:r>
      <w:r w:rsidR="009E7E98" w:rsidRPr="006E763F">
        <w:rPr>
          <w:lang w:val="es-ES"/>
        </w:rPr>
        <w:t xml:space="preserve"> la Fiscalía General no acog</w:t>
      </w:r>
      <w:r w:rsidRPr="006E763F">
        <w:rPr>
          <w:lang w:val="es-ES"/>
        </w:rPr>
        <w:t>ió sus solicitudes</w:t>
      </w:r>
      <w:r w:rsidR="009E7E98" w:rsidRPr="006E763F">
        <w:rPr>
          <w:lang w:val="es-ES"/>
        </w:rPr>
        <w:t xml:space="preserve"> </w:t>
      </w:r>
      <w:r w:rsidR="00787BD6" w:rsidRPr="006E763F">
        <w:rPr>
          <w:lang w:val="es-ES"/>
        </w:rPr>
        <w:t>resolviendo</w:t>
      </w:r>
      <w:r w:rsidR="009E7E98" w:rsidRPr="006E763F">
        <w:rPr>
          <w:lang w:val="es-ES"/>
        </w:rPr>
        <w:t xml:space="preserve"> que “aún no se ha proferido apertura de instrucción, es decir que se encuentra aún en periodo preliminar, en cuyo caso no opera la parte civil (…)”</w:t>
      </w:r>
      <w:r w:rsidR="009E7E98" w:rsidRPr="006E763F">
        <w:rPr>
          <w:vertAlign w:val="superscript"/>
          <w:lang w:val="es-ES"/>
        </w:rPr>
        <w:footnoteReference w:id="76"/>
      </w:r>
      <w:r w:rsidR="009E7E98" w:rsidRPr="006E763F">
        <w:rPr>
          <w:lang w:val="es-ES"/>
        </w:rPr>
        <w:t>.</w:t>
      </w:r>
      <w:r w:rsidR="00C56D7F" w:rsidRPr="006E763F">
        <w:rPr>
          <w:lang w:val="es-ES"/>
        </w:rPr>
        <w:t xml:space="preserve"> L</w:t>
      </w:r>
      <w:r w:rsidR="009E7E98" w:rsidRPr="006E763F">
        <w:rPr>
          <w:lang w:val="es-ES"/>
        </w:rPr>
        <w:t xml:space="preserve">a Comisión observa que el 21 de enero de 2003 la parte peticionaria presentó demanda de apersonarse como parte civil ante la UDH (invocando el derecho a partir de la jurisprudencia constitucional del 2002), sin embargo, dicha solicitud fue desestimada nuevamente el 15 de mayo de 2003 por no demostrar la calidad de heredera de Candelaria Vergara tal como lo estipulaba la norma procesal penal. </w:t>
      </w:r>
      <w:r w:rsidR="005C3F4C" w:rsidRPr="006E763F">
        <w:rPr>
          <w:lang w:val="es-ES"/>
        </w:rPr>
        <w:t>Fue</w:t>
      </w:r>
      <w:r w:rsidR="009E7E98" w:rsidRPr="006E763F">
        <w:rPr>
          <w:lang w:val="es-ES"/>
        </w:rPr>
        <w:t xml:space="preserve"> recién el 13 de septiembre de 2011, tras su constitución como parte civil en el proceso</w:t>
      </w:r>
      <w:r w:rsidR="009E7E98" w:rsidRPr="006E763F">
        <w:rPr>
          <w:vertAlign w:val="superscript"/>
          <w:lang w:val="es-ES"/>
        </w:rPr>
        <w:footnoteReference w:id="77"/>
      </w:r>
      <w:r w:rsidR="009E7E98" w:rsidRPr="006E763F">
        <w:rPr>
          <w:lang w:val="es-ES"/>
        </w:rPr>
        <w:t>, que accedió a la práctica de pruebas solicitadas por la parte peticionaria</w:t>
      </w:r>
      <w:r w:rsidR="009E7E98" w:rsidRPr="006E763F">
        <w:rPr>
          <w:vertAlign w:val="superscript"/>
          <w:lang w:val="es-ES"/>
        </w:rPr>
        <w:footnoteReference w:id="78"/>
      </w:r>
      <w:r w:rsidR="009E7E98" w:rsidRPr="006E763F">
        <w:rPr>
          <w:lang w:val="es-ES"/>
        </w:rPr>
        <w:t xml:space="preserve">. </w:t>
      </w:r>
    </w:p>
    <w:p w14:paraId="275E5FC5" w14:textId="77777777" w:rsidR="00835996" w:rsidRPr="006E763F" w:rsidRDefault="00835996" w:rsidP="00835996">
      <w:pPr>
        <w:pStyle w:val="Body"/>
        <w:ind w:firstLine="0"/>
        <w:rPr>
          <w:lang w:val="es-ES"/>
        </w:rPr>
      </w:pPr>
    </w:p>
    <w:p w14:paraId="24286639" w14:textId="093D27A6" w:rsidR="001C60C5" w:rsidRPr="006E763F" w:rsidRDefault="00384F48" w:rsidP="00F700C6">
      <w:pPr>
        <w:pStyle w:val="Body"/>
        <w:numPr>
          <w:ilvl w:val="0"/>
          <w:numId w:val="2"/>
        </w:numPr>
        <w:ind w:firstLine="720"/>
        <w:rPr>
          <w:lang w:val="es-ES"/>
        </w:rPr>
      </w:pPr>
      <w:r w:rsidRPr="006E763F">
        <w:rPr>
          <w:lang w:val="es-ES"/>
        </w:rPr>
        <w:t xml:space="preserve">A continuación se resumen las diligencias practicadas a lo largo de la investigación penal. </w:t>
      </w:r>
    </w:p>
    <w:p w14:paraId="3CE64DE8" w14:textId="77777777" w:rsidR="001C60C5" w:rsidRPr="006E763F" w:rsidRDefault="001C60C5" w:rsidP="00E923BB">
      <w:pPr>
        <w:pStyle w:val="ListParagraph"/>
        <w:rPr>
          <w:sz w:val="20"/>
          <w:szCs w:val="20"/>
          <w:lang w:val="es-ES"/>
        </w:rPr>
      </w:pPr>
    </w:p>
    <w:p w14:paraId="3921EB79" w14:textId="77777777" w:rsidR="00A53A21" w:rsidRPr="006E763F" w:rsidRDefault="009E7E98" w:rsidP="00F700C6">
      <w:pPr>
        <w:pStyle w:val="Body"/>
        <w:numPr>
          <w:ilvl w:val="0"/>
          <w:numId w:val="2"/>
        </w:numPr>
        <w:ind w:firstLine="720"/>
        <w:rPr>
          <w:lang w:val="es-ES"/>
        </w:rPr>
      </w:pPr>
      <w:r w:rsidRPr="006E763F">
        <w:rPr>
          <w:lang w:val="es-ES"/>
        </w:rPr>
        <w:t>Sobre las circunstancias de desaparición, consta</w:t>
      </w:r>
      <w:r w:rsidR="00966C56" w:rsidRPr="006E763F">
        <w:rPr>
          <w:lang w:val="es-ES"/>
        </w:rPr>
        <w:t>n</w:t>
      </w:r>
      <w:r w:rsidRPr="006E763F">
        <w:rPr>
          <w:lang w:val="es-ES"/>
        </w:rPr>
        <w:t xml:space="preserve"> en el expediente la</w:t>
      </w:r>
      <w:r w:rsidR="005F36A4" w:rsidRPr="006E763F">
        <w:rPr>
          <w:lang w:val="es-ES"/>
        </w:rPr>
        <w:t>s</w:t>
      </w:r>
      <w:r w:rsidRPr="006E763F">
        <w:rPr>
          <w:lang w:val="es-ES"/>
        </w:rPr>
        <w:t xml:space="preserve"> declaraciones de Candelaria Vergara </w:t>
      </w:r>
      <w:r w:rsidR="00966C56" w:rsidRPr="006E763F">
        <w:rPr>
          <w:lang w:val="es-ES"/>
        </w:rPr>
        <w:t xml:space="preserve">rendidas </w:t>
      </w:r>
      <w:r w:rsidRPr="006E763F">
        <w:rPr>
          <w:lang w:val="es-ES"/>
        </w:rPr>
        <w:t>en dos oportunidades</w:t>
      </w:r>
      <w:r w:rsidRPr="006E763F">
        <w:rPr>
          <w:vertAlign w:val="superscript"/>
          <w:lang w:val="es-ES"/>
        </w:rPr>
        <w:footnoteReference w:id="79"/>
      </w:r>
      <w:r w:rsidRPr="006E763F">
        <w:rPr>
          <w:lang w:val="es-ES"/>
        </w:rPr>
        <w:t xml:space="preserve">, que </w:t>
      </w:r>
      <w:r w:rsidR="00787BD6" w:rsidRPr="006E763F">
        <w:rPr>
          <w:lang w:val="es-ES"/>
        </w:rPr>
        <w:t>s</w:t>
      </w:r>
      <w:r w:rsidRPr="006E763F">
        <w:rPr>
          <w:lang w:val="es-ES"/>
        </w:rPr>
        <w:t xml:space="preserve">on consistentes con su versión ante la PGN y de las que </w:t>
      </w:r>
      <w:r w:rsidR="00966C56" w:rsidRPr="006E763F">
        <w:rPr>
          <w:lang w:val="es-ES"/>
        </w:rPr>
        <w:t xml:space="preserve">desprende su señalamiento de </w:t>
      </w:r>
      <w:r w:rsidRPr="006E763F">
        <w:rPr>
          <w:lang w:val="es-ES"/>
        </w:rPr>
        <w:t xml:space="preserve">la responsabilidad del Estado </w:t>
      </w:r>
      <w:r w:rsidR="00456B2D" w:rsidRPr="006E763F">
        <w:rPr>
          <w:lang w:val="es-ES"/>
        </w:rPr>
        <w:t xml:space="preserve">y </w:t>
      </w:r>
      <w:r w:rsidR="00455A44" w:rsidRPr="006E763F">
        <w:rPr>
          <w:lang w:val="es-ES"/>
        </w:rPr>
        <w:t>el vínculo con sus actividades. C</w:t>
      </w:r>
      <w:r w:rsidR="00B92372" w:rsidRPr="006E763F">
        <w:rPr>
          <w:lang w:val="es-ES"/>
        </w:rPr>
        <w:t>onsta también</w:t>
      </w:r>
      <w:r w:rsidRPr="006E763F">
        <w:rPr>
          <w:lang w:val="es-ES"/>
        </w:rPr>
        <w:t xml:space="preserve"> la declaración de </w:t>
      </w:r>
      <w:r w:rsidR="002B5E6F" w:rsidRPr="006E763F">
        <w:rPr>
          <w:lang w:val="es-ES"/>
        </w:rPr>
        <w:t xml:space="preserve">una </w:t>
      </w:r>
      <w:r w:rsidRPr="006E763F">
        <w:rPr>
          <w:lang w:val="es-ES"/>
        </w:rPr>
        <w:t>profesora del colegio Kennedy la que se ratificó en su versión de haber escuchado disparos el día de la desaparición de Pedro Julio Movilla Galarcio</w:t>
      </w:r>
      <w:r w:rsidRPr="006E763F">
        <w:rPr>
          <w:vertAlign w:val="superscript"/>
          <w:lang w:val="es-ES"/>
        </w:rPr>
        <w:footnoteReference w:id="80"/>
      </w:r>
      <w:r w:rsidRPr="006E763F">
        <w:rPr>
          <w:lang w:val="es-ES"/>
        </w:rPr>
        <w:t xml:space="preserve">. </w:t>
      </w:r>
      <w:r w:rsidR="002B5E6F" w:rsidRPr="006E763F">
        <w:rPr>
          <w:lang w:val="es-ES"/>
        </w:rPr>
        <w:t>L</w:t>
      </w:r>
      <w:r w:rsidRPr="006E763F">
        <w:rPr>
          <w:lang w:val="es-ES"/>
        </w:rPr>
        <w:t>a Fiscalía General también tomó la declaración de</w:t>
      </w:r>
      <w:r w:rsidR="002B5E6F" w:rsidRPr="006E763F">
        <w:rPr>
          <w:lang w:val="es-ES"/>
        </w:rPr>
        <w:t xml:space="preserve"> un profesor quien indicó que </w:t>
      </w:r>
      <w:r w:rsidRPr="006E763F">
        <w:rPr>
          <w:lang w:val="es-ES"/>
        </w:rPr>
        <w:t>recogió versiones de los estudiantes y padres de familia del Colegio Kennedy de las que conoció que “unos señores en moto” se llevaron a un señor</w:t>
      </w:r>
      <w:r w:rsidRPr="006E763F">
        <w:rPr>
          <w:vertAlign w:val="superscript"/>
          <w:lang w:val="es-ES"/>
        </w:rPr>
        <w:footnoteReference w:id="81"/>
      </w:r>
      <w:r w:rsidRPr="006E763F">
        <w:rPr>
          <w:lang w:val="es-ES"/>
        </w:rPr>
        <w:t>.</w:t>
      </w:r>
    </w:p>
    <w:p w14:paraId="65535613" w14:textId="77777777" w:rsidR="00A53A21" w:rsidRPr="006E763F" w:rsidRDefault="00A53A21" w:rsidP="00E923BB">
      <w:pPr>
        <w:pStyle w:val="ListParagraph"/>
        <w:rPr>
          <w:sz w:val="20"/>
          <w:szCs w:val="20"/>
          <w:lang w:val="es-ES"/>
        </w:rPr>
      </w:pPr>
    </w:p>
    <w:p w14:paraId="3AE690F2" w14:textId="743AF950" w:rsidR="00EC310A" w:rsidRPr="006E763F" w:rsidRDefault="00A53A21" w:rsidP="00F700C6">
      <w:pPr>
        <w:pStyle w:val="Body"/>
        <w:numPr>
          <w:ilvl w:val="0"/>
          <w:numId w:val="2"/>
        </w:numPr>
        <w:ind w:firstLine="720"/>
        <w:rPr>
          <w:lang w:val="es-ES"/>
        </w:rPr>
      </w:pPr>
      <w:r w:rsidRPr="006E763F">
        <w:rPr>
          <w:lang w:val="es-ES"/>
        </w:rPr>
        <w:t>En cuanto a las labores de inteligencia contra la presunta víctima, s</w:t>
      </w:r>
      <w:r w:rsidR="009E7E98" w:rsidRPr="006E763F">
        <w:rPr>
          <w:lang w:val="es-ES"/>
        </w:rPr>
        <w:t>e incorporó copia del proceso judicial y captura del señor Callejas, los interrogatorios relacionados con su militancia al PCC-ML y sus supuestos vínculos con el EPL y se tomó nuevamente su testimonio en el que brindó, otra vez, detalles de las circunstancias de su detención</w:t>
      </w:r>
      <w:r w:rsidR="009E7E98" w:rsidRPr="006E763F">
        <w:rPr>
          <w:vertAlign w:val="superscript"/>
          <w:lang w:val="es-ES"/>
        </w:rPr>
        <w:footnoteReference w:id="82"/>
      </w:r>
      <w:r w:rsidR="009E7E98" w:rsidRPr="006E763F">
        <w:rPr>
          <w:lang w:val="es-ES"/>
        </w:rPr>
        <w:t xml:space="preserve">. </w:t>
      </w:r>
      <w:r w:rsidR="00286DCC" w:rsidRPr="006E763F">
        <w:rPr>
          <w:lang w:val="es-ES"/>
        </w:rPr>
        <w:t>L</w:t>
      </w:r>
      <w:r w:rsidR="009E7E98" w:rsidRPr="006E763F">
        <w:rPr>
          <w:lang w:val="es-ES"/>
        </w:rPr>
        <w:t>a Fiscalía General</w:t>
      </w:r>
      <w:r w:rsidR="00286DCC" w:rsidRPr="006E763F">
        <w:rPr>
          <w:lang w:val="es-ES"/>
        </w:rPr>
        <w:t xml:space="preserve"> también</w:t>
      </w:r>
      <w:r w:rsidR="009E7E98" w:rsidRPr="006E763F">
        <w:rPr>
          <w:lang w:val="es-ES"/>
        </w:rPr>
        <w:t xml:space="preserve"> desplegó diligencias para la determinación del personal militar que participó de la captura del señor Callejas</w:t>
      </w:r>
      <w:r w:rsidR="00286DCC" w:rsidRPr="006E763F">
        <w:rPr>
          <w:lang w:val="es-ES"/>
        </w:rPr>
        <w:t>, sin que se hubiera llegado a un esclarecimiento sobre este punto</w:t>
      </w:r>
      <w:r w:rsidR="009E7E98" w:rsidRPr="006E763F">
        <w:rPr>
          <w:vertAlign w:val="superscript"/>
          <w:lang w:val="es-ES"/>
        </w:rPr>
        <w:footnoteReference w:id="83"/>
      </w:r>
      <w:r w:rsidR="009E7E98" w:rsidRPr="006E763F">
        <w:rPr>
          <w:lang w:val="es-ES"/>
        </w:rPr>
        <w:t>.</w:t>
      </w:r>
    </w:p>
    <w:p w14:paraId="3A536523" w14:textId="77777777" w:rsidR="00EC310A" w:rsidRPr="006E763F" w:rsidRDefault="00EC310A" w:rsidP="00E923BB">
      <w:pPr>
        <w:pStyle w:val="Body"/>
        <w:ind w:firstLine="249"/>
        <w:rPr>
          <w:lang w:val="es-ES"/>
        </w:rPr>
      </w:pPr>
    </w:p>
    <w:p w14:paraId="553BF717" w14:textId="77777777" w:rsidR="00165CD7" w:rsidRPr="006E763F" w:rsidRDefault="00372E8C" w:rsidP="00F700C6">
      <w:pPr>
        <w:pStyle w:val="Body"/>
        <w:numPr>
          <w:ilvl w:val="0"/>
          <w:numId w:val="2"/>
        </w:numPr>
        <w:ind w:firstLine="720"/>
        <w:rPr>
          <w:lang w:val="es-ES"/>
        </w:rPr>
      </w:pPr>
      <w:r w:rsidRPr="006E763F">
        <w:rPr>
          <w:lang w:val="es-ES"/>
        </w:rPr>
        <w:t>L</w:t>
      </w:r>
      <w:r w:rsidR="009E7E98" w:rsidRPr="006E763F">
        <w:rPr>
          <w:lang w:val="es-ES"/>
        </w:rPr>
        <w:t>a Fiscalía General tomó las declaraciones del Director de Inteligencia del Ejército</w:t>
      </w:r>
      <w:r w:rsidR="009E7E98" w:rsidRPr="006E763F">
        <w:rPr>
          <w:vertAlign w:val="superscript"/>
          <w:lang w:val="es-ES"/>
        </w:rPr>
        <w:footnoteReference w:id="84"/>
      </w:r>
      <w:r w:rsidR="009E7E98" w:rsidRPr="006E763F">
        <w:rPr>
          <w:lang w:val="es-ES"/>
        </w:rPr>
        <w:t xml:space="preserve"> y de un Analista de Inteligencia</w:t>
      </w:r>
      <w:r w:rsidR="009E7E98" w:rsidRPr="006E763F">
        <w:rPr>
          <w:vertAlign w:val="superscript"/>
          <w:lang w:val="es-ES"/>
        </w:rPr>
        <w:footnoteReference w:id="85"/>
      </w:r>
      <w:r w:rsidR="009E7E98" w:rsidRPr="006E763F">
        <w:rPr>
          <w:lang w:val="es-ES"/>
        </w:rPr>
        <w:t xml:space="preserve"> en funciones </w:t>
      </w:r>
      <w:r w:rsidR="008A63A6" w:rsidRPr="006E763F">
        <w:rPr>
          <w:lang w:val="es-ES"/>
        </w:rPr>
        <w:t>a</w:t>
      </w:r>
      <w:r w:rsidR="009E7E98" w:rsidRPr="006E763F">
        <w:rPr>
          <w:lang w:val="es-ES"/>
        </w:rPr>
        <w:t xml:space="preserve"> la época de los hechos, quienes informaron que no conocían el origen de las anotaciones de inteligencia sobre Pedro Julio Movilla Galarcio, ya que la</w:t>
      </w:r>
      <w:r w:rsidR="00205DCB" w:rsidRPr="006E763F">
        <w:rPr>
          <w:lang w:val="es-ES"/>
        </w:rPr>
        <w:t>s</w:t>
      </w:r>
      <w:r w:rsidR="009E7E98" w:rsidRPr="006E763F">
        <w:rPr>
          <w:lang w:val="es-ES"/>
        </w:rPr>
        <w:t xml:space="preserve"> fuente</w:t>
      </w:r>
      <w:r w:rsidR="00205DCB" w:rsidRPr="006E763F">
        <w:rPr>
          <w:lang w:val="es-ES"/>
        </w:rPr>
        <w:t>s</w:t>
      </w:r>
      <w:r w:rsidR="009E7E98" w:rsidRPr="006E763F">
        <w:rPr>
          <w:lang w:val="es-ES"/>
        </w:rPr>
        <w:t xml:space="preserve"> de información de inteligencia </w:t>
      </w:r>
      <w:r w:rsidR="009E7E98" w:rsidRPr="006E763F">
        <w:rPr>
          <w:lang w:val="es-ES"/>
        </w:rPr>
        <w:lastRenderedPageBreak/>
        <w:t>e</w:t>
      </w:r>
      <w:r w:rsidR="00205DCB" w:rsidRPr="006E763F">
        <w:rPr>
          <w:lang w:val="es-ES"/>
        </w:rPr>
        <w:t>ra</w:t>
      </w:r>
      <w:r w:rsidR="009E7E98" w:rsidRPr="006E763F">
        <w:rPr>
          <w:lang w:val="es-ES"/>
        </w:rPr>
        <w:t xml:space="preserve"> variada y no responde a una orden u operativo, sino que es parte de las labores consustanciales de este tipo de servicio. Asimismo, a través del Grupo de Investigaciones Derechos Humanos y Derecho Internacional Humanitario</w:t>
      </w:r>
      <w:r w:rsidR="009E7E98" w:rsidRPr="006E763F">
        <w:rPr>
          <w:vertAlign w:val="superscript"/>
          <w:lang w:val="es-ES"/>
        </w:rPr>
        <w:footnoteReference w:id="86"/>
      </w:r>
      <w:r w:rsidR="009E7E98" w:rsidRPr="006E763F">
        <w:rPr>
          <w:lang w:val="es-ES"/>
        </w:rPr>
        <w:t>, solicitó a la Dijin</w:t>
      </w:r>
      <w:r w:rsidR="009E7E98" w:rsidRPr="006E763F">
        <w:rPr>
          <w:vertAlign w:val="superscript"/>
          <w:lang w:val="es-ES"/>
        </w:rPr>
        <w:footnoteReference w:id="87"/>
      </w:r>
      <w:r w:rsidR="009E7E98" w:rsidRPr="006E763F">
        <w:rPr>
          <w:lang w:val="es-ES"/>
        </w:rPr>
        <w:t>, a la Dirección de Inteligencia Militar</w:t>
      </w:r>
      <w:r w:rsidR="009E7E98" w:rsidRPr="006E763F">
        <w:rPr>
          <w:vertAlign w:val="superscript"/>
          <w:lang w:val="es-ES"/>
        </w:rPr>
        <w:footnoteReference w:id="88"/>
      </w:r>
      <w:r w:rsidR="009E7E98" w:rsidRPr="006E763F">
        <w:rPr>
          <w:lang w:val="es-ES"/>
        </w:rPr>
        <w:t>, y a la Sección de Análisis Criminal de la Fiscalía General</w:t>
      </w:r>
      <w:r w:rsidR="009E7E98" w:rsidRPr="006E763F">
        <w:rPr>
          <w:vertAlign w:val="superscript"/>
          <w:lang w:val="es-ES"/>
        </w:rPr>
        <w:footnoteReference w:id="89"/>
      </w:r>
      <w:r w:rsidR="009E7E98" w:rsidRPr="006E763F">
        <w:rPr>
          <w:lang w:val="es-ES"/>
        </w:rPr>
        <w:t xml:space="preserve"> que informaran sobre la existencia en sus registros de anotaciones relativas a organizaciones subversivas entre 1992 y 1994, o a algún sujeto identificado con el alias de “Milton”. </w:t>
      </w:r>
      <w:r w:rsidR="00832E75" w:rsidRPr="006E763F">
        <w:rPr>
          <w:lang w:val="es-ES"/>
        </w:rPr>
        <w:t>L</w:t>
      </w:r>
      <w:r w:rsidR="009E7E98" w:rsidRPr="006E763F">
        <w:rPr>
          <w:lang w:val="es-ES"/>
        </w:rPr>
        <w:t>a Comisión nota que la Dirección de Inteligencia Militar</w:t>
      </w:r>
      <w:r w:rsidR="009E7E98" w:rsidRPr="006E763F">
        <w:rPr>
          <w:vertAlign w:val="superscript"/>
          <w:lang w:val="es-ES"/>
        </w:rPr>
        <w:footnoteReference w:id="90"/>
      </w:r>
      <w:r w:rsidR="009E7E98" w:rsidRPr="006E763F">
        <w:rPr>
          <w:lang w:val="es-ES"/>
        </w:rPr>
        <w:t>, a diferencia de lo indicado en 1993, informó que no halló las anotaciones aludidas; y, la Sección de Análisis Criminal</w:t>
      </w:r>
      <w:r w:rsidR="008A63A6" w:rsidRPr="006E763F">
        <w:rPr>
          <w:lang w:val="es-ES"/>
        </w:rPr>
        <w:t>,</w:t>
      </w:r>
      <w:r w:rsidR="009E7E98" w:rsidRPr="006E763F">
        <w:rPr>
          <w:lang w:val="es-ES"/>
        </w:rPr>
        <w:t xml:space="preserve"> tampoco</w:t>
      </w:r>
      <w:r w:rsidR="009E7E98" w:rsidRPr="006E763F">
        <w:rPr>
          <w:vertAlign w:val="superscript"/>
          <w:lang w:val="es-ES"/>
        </w:rPr>
        <w:footnoteReference w:id="91"/>
      </w:r>
      <w:r w:rsidR="009E7E98" w:rsidRPr="006E763F">
        <w:rPr>
          <w:lang w:val="es-ES"/>
        </w:rPr>
        <w:t xml:space="preserve">. </w:t>
      </w:r>
      <w:r w:rsidRPr="006E763F">
        <w:rPr>
          <w:lang w:val="es-ES"/>
        </w:rPr>
        <w:t>L</w:t>
      </w:r>
      <w:r w:rsidR="009E7E98" w:rsidRPr="006E763F">
        <w:rPr>
          <w:lang w:val="es-ES"/>
        </w:rPr>
        <w:t>a CIDH no observa respuesta de parte de la Dijin a la solicitud de Fiscalía General.</w:t>
      </w:r>
    </w:p>
    <w:p w14:paraId="59E80A99" w14:textId="77777777" w:rsidR="00165CD7" w:rsidRPr="006E763F" w:rsidRDefault="00165CD7" w:rsidP="00E923BB">
      <w:pPr>
        <w:pStyle w:val="Body"/>
        <w:ind w:left="567" w:firstLine="0"/>
        <w:rPr>
          <w:lang w:val="es-ES"/>
        </w:rPr>
      </w:pPr>
    </w:p>
    <w:p w14:paraId="731C0F14" w14:textId="2A5AA75A" w:rsidR="00EC310A" w:rsidRPr="006E763F" w:rsidRDefault="00165CD7" w:rsidP="00F700C6">
      <w:pPr>
        <w:pStyle w:val="Body"/>
        <w:numPr>
          <w:ilvl w:val="0"/>
          <w:numId w:val="2"/>
        </w:numPr>
        <w:ind w:firstLine="720"/>
        <w:rPr>
          <w:lang w:val="es-ES"/>
        </w:rPr>
      </w:pPr>
      <w:r w:rsidRPr="006E763F">
        <w:rPr>
          <w:lang w:val="es-ES"/>
        </w:rPr>
        <w:t>Sobre la posible participación del señor</w:t>
      </w:r>
      <w:r w:rsidR="006E6D0B" w:rsidRPr="006E763F">
        <w:rPr>
          <w:lang w:val="es-ES"/>
        </w:rPr>
        <w:t xml:space="preserve"> </w:t>
      </w:r>
      <w:r w:rsidRPr="006E763F">
        <w:rPr>
          <w:lang w:val="es-ES"/>
        </w:rPr>
        <w:t xml:space="preserve">Pabón </w:t>
      </w:r>
      <w:r w:rsidR="006E6D0B" w:rsidRPr="006E763F">
        <w:rPr>
          <w:lang w:val="es-ES"/>
        </w:rPr>
        <w:t>Díaz</w:t>
      </w:r>
      <w:r w:rsidRPr="006E763F">
        <w:rPr>
          <w:lang w:val="es-ES"/>
        </w:rPr>
        <w:t xml:space="preserve">, </w:t>
      </w:r>
      <w:r w:rsidR="009E7E98" w:rsidRPr="006E763F">
        <w:rPr>
          <w:lang w:val="es-ES"/>
        </w:rPr>
        <w:t xml:space="preserve">el </w:t>
      </w:r>
      <w:r w:rsidR="00205DCB" w:rsidRPr="006E763F">
        <w:rPr>
          <w:lang w:val="es-ES"/>
        </w:rPr>
        <w:t>8 de abril de 1997 la UDH ordenó</w:t>
      </w:r>
      <w:r w:rsidR="009E7E98" w:rsidRPr="006E763F">
        <w:rPr>
          <w:lang w:val="es-ES"/>
        </w:rPr>
        <w:t xml:space="preserve"> </w:t>
      </w:r>
      <w:r w:rsidR="006E6D0B" w:rsidRPr="006E763F">
        <w:rPr>
          <w:lang w:val="es-ES"/>
        </w:rPr>
        <w:t xml:space="preserve">diligencias para </w:t>
      </w:r>
      <w:r w:rsidR="009E7E98" w:rsidRPr="006E763F">
        <w:rPr>
          <w:lang w:val="es-ES"/>
        </w:rPr>
        <w:t xml:space="preserve">dar con </w:t>
      </w:r>
      <w:r w:rsidR="006E6D0B" w:rsidRPr="006E763F">
        <w:rPr>
          <w:lang w:val="es-ES"/>
        </w:rPr>
        <w:t>su</w:t>
      </w:r>
      <w:r w:rsidR="009E7E98" w:rsidRPr="006E763F">
        <w:rPr>
          <w:lang w:val="es-ES"/>
        </w:rPr>
        <w:t xml:space="preserve"> paradero</w:t>
      </w:r>
      <w:r w:rsidR="009E7E98" w:rsidRPr="006E763F">
        <w:rPr>
          <w:vertAlign w:val="superscript"/>
          <w:lang w:val="es-ES"/>
        </w:rPr>
        <w:footnoteReference w:id="92"/>
      </w:r>
      <w:r w:rsidR="009E7E98" w:rsidRPr="006E763F">
        <w:rPr>
          <w:lang w:val="es-ES"/>
        </w:rPr>
        <w:t xml:space="preserve">. </w:t>
      </w:r>
      <w:r w:rsidR="00B8213E" w:rsidRPr="006E763F">
        <w:rPr>
          <w:lang w:val="es-ES"/>
        </w:rPr>
        <w:t xml:space="preserve">Asimismo, </w:t>
      </w:r>
      <w:r w:rsidR="009E7E98" w:rsidRPr="006E763F">
        <w:rPr>
          <w:lang w:val="es-ES"/>
        </w:rPr>
        <w:t xml:space="preserve">se tomó la declaración del </w:t>
      </w:r>
      <w:r w:rsidR="00B0429C" w:rsidRPr="006E763F">
        <w:rPr>
          <w:lang w:val="es-ES"/>
        </w:rPr>
        <w:t>policía</w:t>
      </w:r>
      <w:r w:rsidR="009E7E98" w:rsidRPr="006E763F">
        <w:rPr>
          <w:lang w:val="es-ES"/>
        </w:rPr>
        <w:t xml:space="preserve"> Bohórquez</w:t>
      </w:r>
      <w:r w:rsidR="009E7E98" w:rsidRPr="006E763F">
        <w:rPr>
          <w:vertAlign w:val="superscript"/>
          <w:lang w:val="es-ES"/>
        </w:rPr>
        <w:footnoteReference w:id="93"/>
      </w:r>
      <w:r w:rsidR="009E7E98" w:rsidRPr="006E763F">
        <w:rPr>
          <w:lang w:val="es-ES"/>
        </w:rPr>
        <w:t xml:space="preserve">. </w:t>
      </w:r>
      <w:r w:rsidR="009645B3" w:rsidRPr="006E763F">
        <w:rPr>
          <w:lang w:val="es-ES"/>
        </w:rPr>
        <w:t xml:space="preserve">En cuanto a la supuesta pérdida del arma, </w:t>
      </w:r>
      <w:r w:rsidR="009E7E98" w:rsidRPr="006E763F">
        <w:rPr>
          <w:lang w:val="es-ES"/>
        </w:rPr>
        <w:t>la Fiscalía General practicó diligencias en visita realizada</w:t>
      </w:r>
      <w:r w:rsidR="00F3581C" w:rsidRPr="006E763F">
        <w:rPr>
          <w:lang w:val="es-ES"/>
        </w:rPr>
        <w:t xml:space="preserve"> en 1997 </w:t>
      </w:r>
      <w:r w:rsidR="009E7E98" w:rsidRPr="006E763F">
        <w:rPr>
          <w:lang w:val="es-ES"/>
        </w:rPr>
        <w:t>a la Alcaldía Menor de Kennedy</w:t>
      </w:r>
      <w:r w:rsidR="009E7E98" w:rsidRPr="006E763F">
        <w:rPr>
          <w:vertAlign w:val="superscript"/>
          <w:lang w:val="es-ES"/>
        </w:rPr>
        <w:footnoteReference w:id="94"/>
      </w:r>
      <w:r w:rsidR="009E7E98" w:rsidRPr="006E763F">
        <w:rPr>
          <w:lang w:val="es-ES"/>
        </w:rPr>
        <w:t xml:space="preserve"> y en 1998 a la Unidad Judicial de la localidad de Kennedy</w:t>
      </w:r>
      <w:r w:rsidR="009E7E98" w:rsidRPr="006E763F">
        <w:rPr>
          <w:vertAlign w:val="superscript"/>
          <w:lang w:val="es-ES"/>
        </w:rPr>
        <w:footnoteReference w:id="95"/>
      </w:r>
      <w:r w:rsidR="009E7E98" w:rsidRPr="006E763F">
        <w:rPr>
          <w:lang w:val="es-ES"/>
        </w:rPr>
        <w:t xml:space="preserve">. </w:t>
      </w:r>
      <w:r w:rsidR="00340920" w:rsidRPr="006E763F">
        <w:rPr>
          <w:lang w:val="es-ES"/>
        </w:rPr>
        <w:t xml:space="preserve">La CIDH observa que, </w:t>
      </w:r>
      <w:r w:rsidR="009E7E98" w:rsidRPr="006E763F">
        <w:rPr>
          <w:lang w:val="es-ES"/>
        </w:rPr>
        <w:t xml:space="preserve">a diferencia de lo indicado por el Comandante Bohórquez ante la PGN, la Fiscalía </w:t>
      </w:r>
      <w:r w:rsidR="00F3581C" w:rsidRPr="006E763F">
        <w:rPr>
          <w:lang w:val="es-ES"/>
        </w:rPr>
        <w:t xml:space="preserve">General </w:t>
      </w:r>
      <w:r w:rsidR="009E7E98" w:rsidRPr="006E763F">
        <w:rPr>
          <w:lang w:val="es-ES"/>
        </w:rPr>
        <w:t>no pudo corroborar que la pérdida del arma que se le encontró al señor Pabón fuera debidamente denunciada</w:t>
      </w:r>
      <w:r w:rsidR="009E7E98" w:rsidRPr="006E763F">
        <w:rPr>
          <w:vertAlign w:val="superscript"/>
          <w:lang w:val="es-ES"/>
        </w:rPr>
        <w:footnoteReference w:id="96"/>
      </w:r>
      <w:r w:rsidR="009E7E98" w:rsidRPr="006E763F">
        <w:rPr>
          <w:lang w:val="es-ES"/>
        </w:rPr>
        <w:t xml:space="preserve">. </w:t>
      </w:r>
      <w:r w:rsidR="008D7631" w:rsidRPr="006E763F">
        <w:rPr>
          <w:lang w:val="es-ES"/>
        </w:rPr>
        <w:t>El D</w:t>
      </w:r>
      <w:r w:rsidR="009E7E98" w:rsidRPr="006E763F">
        <w:rPr>
          <w:lang w:val="es-ES"/>
        </w:rPr>
        <w:t>AS informó a la Fiscalía General el 18 de diciembre de 2008 que</w:t>
      </w:r>
      <w:r w:rsidR="008D7631" w:rsidRPr="006E763F">
        <w:rPr>
          <w:lang w:val="es-ES"/>
        </w:rPr>
        <w:t xml:space="preserve"> el señor Pabón </w:t>
      </w:r>
      <w:r w:rsidR="009E7E98" w:rsidRPr="006E763F">
        <w:rPr>
          <w:lang w:val="es-ES"/>
        </w:rPr>
        <w:t>fue condenado por los delitos de falsedad en documento público y porte ilegal de armas, quedando en libertad el 23 de agosto de 2002</w:t>
      </w:r>
      <w:r w:rsidR="009E7E98" w:rsidRPr="006E763F">
        <w:rPr>
          <w:vertAlign w:val="superscript"/>
          <w:lang w:val="es-ES"/>
        </w:rPr>
        <w:footnoteReference w:id="97"/>
      </w:r>
      <w:r w:rsidR="009E7E98" w:rsidRPr="006E763F">
        <w:rPr>
          <w:lang w:val="es-ES"/>
        </w:rPr>
        <w:t xml:space="preserve">. </w:t>
      </w:r>
      <w:r w:rsidR="00472458" w:rsidRPr="006E763F">
        <w:rPr>
          <w:lang w:val="es-ES"/>
        </w:rPr>
        <w:t xml:space="preserve">La CIDH entiende </w:t>
      </w:r>
      <w:r w:rsidR="00E31431" w:rsidRPr="006E763F">
        <w:rPr>
          <w:lang w:val="es-ES"/>
        </w:rPr>
        <w:t>que</w:t>
      </w:r>
      <w:r w:rsidR="00472458" w:rsidRPr="006E763F">
        <w:rPr>
          <w:lang w:val="es-ES"/>
        </w:rPr>
        <w:t xml:space="preserve"> no se logró dar con el paradero del señor Pabón. </w:t>
      </w:r>
    </w:p>
    <w:p w14:paraId="7F908649" w14:textId="77777777" w:rsidR="00EC310A" w:rsidRPr="006E763F" w:rsidRDefault="00EC310A" w:rsidP="00E923BB">
      <w:pPr>
        <w:rPr>
          <w:rFonts w:ascii="Cambria" w:hAnsi="Cambria"/>
          <w:b/>
          <w:bCs/>
          <w:sz w:val="20"/>
          <w:szCs w:val="20"/>
          <w:lang w:val="es-ES"/>
        </w:rPr>
      </w:pPr>
    </w:p>
    <w:p w14:paraId="667CABC2" w14:textId="2B6E7558" w:rsidR="00EC310A" w:rsidRPr="006E763F" w:rsidRDefault="009C5D44" w:rsidP="00F700C6">
      <w:pPr>
        <w:pStyle w:val="Body"/>
        <w:numPr>
          <w:ilvl w:val="0"/>
          <w:numId w:val="2"/>
        </w:numPr>
        <w:ind w:firstLine="720"/>
        <w:rPr>
          <w:lang w:val="es-ES"/>
        </w:rPr>
      </w:pPr>
      <w:r w:rsidRPr="006E763F">
        <w:rPr>
          <w:lang w:val="es-ES"/>
        </w:rPr>
        <w:t>Finalmente, en cuanto a la búsqueda de la presunta víctima, l</w:t>
      </w:r>
      <w:r w:rsidR="009E7E98" w:rsidRPr="006E763F">
        <w:rPr>
          <w:lang w:val="es-ES"/>
        </w:rPr>
        <w:t>a Fiscalía General solicitó la obtención de la tarjeta decadactilar</w:t>
      </w:r>
      <w:r w:rsidR="009E7E98" w:rsidRPr="006E763F">
        <w:rPr>
          <w:vertAlign w:val="superscript"/>
          <w:lang w:val="es-ES"/>
        </w:rPr>
        <w:footnoteReference w:id="98"/>
      </w:r>
      <w:r w:rsidR="00237DEA" w:rsidRPr="006E763F">
        <w:rPr>
          <w:lang w:val="es-ES"/>
        </w:rPr>
        <w:t xml:space="preserve">, </w:t>
      </w:r>
      <w:r w:rsidR="009A1312" w:rsidRPr="006E763F">
        <w:rPr>
          <w:lang w:val="es-ES"/>
        </w:rPr>
        <w:t>en</w:t>
      </w:r>
      <w:r w:rsidR="009E7E98" w:rsidRPr="006E763F">
        <w:rPr>
          <w:lang w:val="es-ES"/>
        </w:rPr>
        <w:t xml:space="preserve"> 2011</w:t>
      </w:r>
      <w:r w:rsidR="00F3581C" w:rsidRPr="006E763F">
        <w:rPr>
          <w:lang w:val="es-ES"/>
        </w:rPr>
        <w:t xml:space="preserve"> </w:t>
      </w:r>
      <w:r w:rsidR="009E7E98" w:rsidRPr="006E763F">
        <w:rPr>
          <w:lang w:val="es-ES"/>
        </w:rPr>
        <w:t>solicitó información sobre alguna posible exhumación</w:t>
      </w:r>
      <w:r w:rsidR="009E7E98" w:rsidRPr="006E763F">
        <w:rPr>
          <w:vertAlign w:val="superscript"/>
          <w:lang w:val="es-ES"/>
        </w:rPr>
        <w:footnoteReference w:id="99"/>
      </w:r>
      <w:r w:rsidR="009A1312" w:rsidRPr="006E763F">
        <w:rPr>
          <w:lang w:val="es-ES"/>
        </w:rPr>
        <w:t xml:space="preserve"> y</w:t>
      </w:r>
      <w:r w:rsidR="009E7E98" w:rsidRPr="006E763F">
        <w:rPr>
          <w:lang w:val="es-ES"/>
        </w:rPr>
        <w:t xml:space="preserve"> </w:t>
      </w:r>
      <w:r w:rsidR="009A1312" w:rsidRPr="006E763F">
        <w:rPr>
          <w:lang w:val="es-ES"/>
        </w:rPr>
        <w:t xml:space="preserve"> </w:t>
      </w:r>
      <w:r w:rsidR="009E7E98" w:rsidRPr="006E763F">
        <w:rPr>
          <w:lang w:val="es-ES"/>
        </w:rPr>
        <w:t xml:space="preserve">verificó </w:t>
      </w:r>
      <w:r w:rsidR="009E7E98" w:rsidRPr="006E763F">
        <w:rPr>
          <w:lang w:val="es-ES"/>
        </w:rPr>
        <w:lastRenderedPageBreak/>
        <w:t>la existencia de formulario de persona desaparecida con los datos de la presunta víctima en el Instituto Nacional de Medicina legal y Ciencias Forenses</w:t>
      </w:r>
      <w:r w:rsidR="009E7E98" w:rsidRPr="006E763F">
        <w:rPr>
          <w:vertAlign w:val="superscript"/>
          <w:lang w:val="es-ES"/>
        </w:rPr>
        <w:footnoteReference w:id="100"/>
      </w:r>
      <w:r w:rsidR="009E7E98" w:rsidRPr="006E763F">
        <w:rPr>
          <w:lang w:val="es-ES"/>
        </w:rPr>
        <w:t>.</w:t>
      </w:r>
    </w:p>
    <w:p w14:paraId="5B1B69BE" w14:textId="77777777" w:rsidR="00D928B5" w:rsidRPr="006E763F" w:rsidRDefault="00D928B5" w:rsidP="00E923BB">
      <w:pPr>
        <w:pStyle w:val="ListParagraph"/>
        <w:rPr>
          <w:sz w:val="20"/>
          <w:szCs w:val="20"/>
          <w:lang w:val="es-ES"/>
        </w:rPr>
      </w:pPr>
    </w:p>
    <w:p w14:paraId="0DED13C0" w14:textId="45B47251" w:rsidR="00D928B5" w:rsidRPr="006E763F" w:rsidRDefault="00D928B5" w:rsidP="00F700C6">
      <w:pPr>
        <w:pStyle w:val="Body"/>
        <w:numPr>
          <w:ilvl w:val="0"/>
          <w:numId w:val="2"/>
        </w:numPr>
        <w:ind w:firstLine="720"/>
        <w:rPr>
          <w:lang w:val="es-ES"/>
        </w:rPr>
      </w:pPr>
      <w:r w:rsidRPr="006E763F">
        <w:rPr>
          <w:lang w:val="es-ES"/>
        </w:rPr>
        <w:t>De la información disponible, a la fecha, la investigación permanece en etapa preliminar.</w:t>
      </w:r>
    </w:p>
    <w:p w14:paraId="57D61A73" w14:textId="77777777" w:rsidR="00EC310A" w:rsidRPr="006E763F" w:rsidRDefault="00EC310A" w:rsidP="00E923BB">
      <w:pPr>
        <w:pStyle w:val="Body"/>
        <w:ind w:left="567" w:firstLine="0"/>
        <w:rPr>
          <w:b/>
          <w:bCs/>
          <w:lang w:val="es-ES"/>
        </w:rPr>
      </w:pPr>
    </w:p>
    <w:p w14:paraId="4BC199F9" w14:textId="60540DD2" w:rsidR="00EC310A" w:rsidRPr="006E763F" w:rsidRDefault="009E7E98" w:rsidP="00F700C6">
      <w:pPr>
        <w:pStyle w:val="Heading3"/>
        <w:tabs>
          <w:tab w:val="left" w:pos="1440"/>
        </w:tabs>
        <w:ind w:left="720"/>
        <w:rPr>
          <w:rFonts w:eastAsia="Times New Roman" w:cs="Times New Roman"/>
        </w:rPr>
      </w:pPr>
      <w:bookmarkStart w:id="14" w:name="_Toc446154"/>
      <w:r w:rsidRPr="006E763F">
        <w:t>Acción de reparación direct</w:t>
      </w:r>
      <w:r w:rsidR="00221E35" w:rsidRPr="006E763F">
        <w:t>a</w:t>
      </w:r>
      <w:r w:rsidRPr="006E763F">
        <w:t xml:space="preserve"> ante la jurisdicción</w:t>
      </w:r>
      <w:r w:rsidR="0052187D" w:rsidRPr="006E763F">
        <w:t xml:space="preserve"> de lo</w:t>
      </w:r>
      <w:r w:rsidRPr="006E763F">
        <w:t xml:space="preserve"> contencios</w:t>
      </w:r>
      <w:r w:rsidR="0052187D" w:rsidRPr="006E763F">
        <w:t>o</w:t>
      </w:r>
      <w:r w:rsidRPr="006E763F">
        <w:t xml:space="preserve"> administrativ</w:t>
      </w:r>
      <w:r w:rsidR="0052187D" w:rsidRPr="006E763F">
        <w:t>o</w:t>
      </w:r>
      <w:bookmarkEnd w:id="14"/>
      <w:r w:rsidRPr="006E763F">
        <w:t xml:space="preserve"> </w:t>
      </w:r>
    </w:p>
    <w:p w14:paraId="5D3CCA62" w14:textId="77777777" w:rsidR="00EC310A" w:rsidRPr="006E763F" w:rsidRDefault="00EC310A" w:rsidP="00E923BB">
      <w:pPr>
        <w:pStyle w:val="ListParagraph"/>
        <w:ind w:left="0" w:firstLine="249"/>
        <w:rPr>
          <w:b/>
          <w:bCs/>
          <w:color w:val="FF0000"/>
          <w:sz w:val="20"/>
          <w:szCs w:val="20"/>
          <w:lang w:val="es-ES"/>
        </w:rPr>
      </w:pPr>
    </w:p>
    <w:p w14:paraId="002D0525" w14:textId="085C6679" w:rsidR="00EC310A" w:rsidRDefault="003A1967" w:rsidP="00F700C6">
      <w:pPr>
        <w:pStyle w:val="Body"/>
        <w:numPr>
          <w:ilvl w:val="0"/>
          <w:numId w:val="2"/>
        </w:numPr>
        <w:ind w:firstLine="720"/>
        <w:rPr>
          <w:lang w:val="es-ES"/>
        </w:rPr>
      </w:pPr>
      <w:r w:rsidRPr="006E763F">
        <w:rPr>
          <w:lang w:val="es-ES"/>
        </w:rPr>
        <w:t>E</w:t>
      </w:r>
      <w:r w:rsidR="009E7E98" w:rsidRPr="006E763F">
        <w:rPr>
          <w:lang w:val="es-ES"/>
        </w:rPr>
        <w:t>l 19 de mayo de 1995, la señora Vergara entabló demanda de reparación directa en contra la Nación, el Ministerio de Defensa y el Ejército Nacional, ante la Sección Tercera del Tribunal Administrativo de Cundinamarca</w:t>
      </w:r>
      <w:r w:rsidR="009E7E98" w:rsidRPr="006E763F">
        <w:rPr>
          <w:vertAlign w:val="superscript"/>
          <w:lang w:val="es-ES"/>
        </w:rPr>
        <w:footnoteReference w:id="101"/>
      </w:r>
      <w:r w:rsidR="009E7E98" w:rsidRPr="006E763F">
        <w:rPr>
          <w:lang w:val="es-ES"/>
        </w:rPr>
        <w:t xml:space="preserve">. </w:t>
      </w:r>
      <w:r w:rsidRPr="006E763F">
        <w:rPr>
          <w:lang w:val="es-ES"/>
        </w:rPr>
        <w:t xml:space="preserve">Dicha </w:t>
      </w:r>
      <w:r w:rsidR="009E7E98" w:rsidRPr="006E763F">
        <w:rPr>
          <w:lang w:val="es-ES"/>
        </w:rPr>
        <w:t>demanda fue rechazada en primera instancia el 30 de octubre de 2001, al considerar que no se probó la desaparición forzada por autoridad pública</w:t>
      </w:r>
      <w:r w:rsidR="009E7E98" w:rsidRPr="006E763F">
        <w:rPr>
          <w:vertAlign w:val="superscript"/>
          <w:lang w:val="es-ES"/>
        </w:rPr>
        <w:footnoteReference w:id="102"/>
      </w:r>
      <w:r w:rsidRPr="006E763F">
        <w:rPr>
          <w:lang w:val="es-ES"/>
        </w:rPr>
        <w:t xml:space="preserve"> y</w:t>
      </w:r>
      <w:r w:rsidR="009E7E98" w:rsidRPr="006E763F">
        <w:rPr>
          <w:lang w:val="es-ES"/>
        </w:rPr>
        <w:t xml:space="preserve"> fue apelada por los demandantes</w:t>
      </w:r>
      <w:r w:rsidRPr="006E763F">
        <w:rPr>
          <w:lang w:val="es-ES"/>
        </w:rPr>
        <w:t>. E</w:t>
      </w:r>
      <w:r w:rsidR="009E7E98" w:rsidRPr="006E763F">
        <w:rPr>
          <w:lang w:val="es-ES"/>
        </w:rPr>
        <w:t xml:space="preserve">l 23 de junio de 2011, </w:t>
      </w:r>
      <w:r w:rsidRPr="006E763F">
        <w:rPr>
          <w:lang w:val="es-ES"/>
        </w:rPr>
        <w:t xml:space="preserve">el Consejo de Estado confirmó la sentencia de primer grado </w:t>
      </w:r>
      <w:r w:rsidR="009E7E98" w:rsidRPr="006E763F">
        <w:rPr>
          <w:lang w:val="es-ES"/>
        </w:rPr>
        <w:t>por no obrar “prueba alguna en el expediente que permita establecer que la desaparición del señor Pedro Julio Movilla Galarcio hubiese podido ser producida por miembros del ente público demandado”</w:t>
      </w:r>
      <w:r w:rsidR="009E7E98" w:rsidRPr="006E763F">
        <w:rPr>
          <w:vertAlign w:val="superscript"/>
          <w:lang w:val="es-ES"/>
        </w:rPr>
        <w:footnoteReference w:id="103"/>
      </w:r>
      <w:r w:rsidR="009E7E98" w:rsidRPr="006E763F">
        <w:rPr>
          <w:lang w:val="es-ES"/>
        </w:rPr>
        <w:t>.</w:t>
      </w:r>
    </w:p>
    <w:p w14:paraId="3D724AA7" w14:textId="77777777" w:rsidR="00D90561" w:rsidRPr="006E763F" w:rsidRDefault="00D90561" w:rsidP="00D90561">
      <w:pPr>
        <w:pStyle w:val="Body"/>
        <w:ind w:firstLine="0"/>
        <w:rPr>
          <w:lang w:val="es-ES"/>
        </w:rPr>
      </w:pPr>
    </w:p>
    <w:p w14:paraId="4192B618" w14:textId="77777777" w:rsidR="00EC310A" w:rsidRPr="006E763F" w:rsidRDefault="009E7E98" w:rsidP="00E923BB">
      <w:pPr>
        <w:pStyle w:val="Heading1"/>
        <w:rPr>
          <w:rFonts w:eastAsia="Times New Roman" w:cs="Times New Roman"/>
        </w:rPr>
      </w:pPr>
      <w:bookmarkStart w:id="15" w:name="_Toc446155"/>
      <w:r w:rsidRPr="006E763F">
        <w:t>ANÁLISIS DE DERECHO</w:t>
      </w:r>
      <w:bookmarkEnd w:id="15"/>
    </w:p>
    <w:p w14:paraId="7179F888" w14:textId="77777777" w:rsidR="00EC310A" w:rsidRPr="006E763F" w:rsidRDefault="00EC310A" w:rsidP="00E923BB">
      <w:pPr>
        <w:pStyle w:val="Body"/>
        <w:ind w:left="1134" w:hanging="567"/>
        <w:rPr>
          <w:b/>
          <w:bCs/>
          <w:color w:val="FF0000"/>
          <w:u w:color="FF0000"/>
          <w:lang w:val="es-ES"/>
        </w:rPr>
      </w:pPr>
    </w:p>
    <w:p w14:paraId="6F407243" w14:textId="2056DFD4" w:rsidR="00EC310A" w:rsidRPr="006E763F" w:rsidRDefault="009E7E98" w:rsidP="00685D78">
      <w:pPr>
        <w:pStyle w:val="Heading2"/>
        <w:numPr>
          <w:ilvl w:val="0"/>
          <w:numId w:val="26"/>
        </w:numPr>
        <w:tabs>
          <w:tab w:val="clear" w:pos="86"/>
          <w:tab w:val="num" w:pos="1440"/>
        </w:tabs>
        <w:ind w:left="1440" w:hanging="720"/>
      </w:pPr>
      <w:bookmarkStart w:id="16" w:name="_Toc446156"/>
      <w:r w:rsidRPr="006E763F">
        <w:t>Derecho al reconocimiento de la personalidad jurídica, a la libertad personal, a la integridad personal y a la vida (artículos 3</w:t>
      </w:r>
      <w:r w:rsidR="009779A1" w:rsidRPr="006E763F">
        <w:rPr>
          <w:rStyle w:val="FootnoteReference"/>
        </w:rPr>
        <w:footnoteReference w:id="104"/>
      </w:r>
      <w:r w:rsidRPr="006E763F">
        <w:t xml:space="preserve">, </w:t>
      </w:r>
      <w:r w:rsidR="00EF172F" w:rsidRPr="006E763F">
        <w:t>4</w:t>
      </w:r>
      <w:r w:rsidR="009779A1" w:rsidRPr="006E763F">
        <w:rPr>
          <w:rStyle w:val="FootnoteReference"/>
        </w:rPr>
        <w:footnoteReference w:id="105"/>
      </w:r>
      <w:r w:rsidRPr="006E763F">
        <w:t>, 5</w:t>
      </w:r>
      <w:r w:rsidR="009779A1" w:rsidRPr="006E763F">
        <w:rPr>
          <w:rStyle w:val="FootnoteReference"/>
        </w:rPr>
        <w:footnoteReference w:id="106"/>
      </w:r>
      <w:r w:rsidR="00533C97" w:rsidRPr="006E763F">
        <w:t>,</w:t>
      </w:r>
      <w:r w:rsidR="00EF172F" w:rsidRPr="006E763F">
        <w:t xml:space="preserve"> 7</w:t>
      </w:r>
      <w:r w:rsidR="009779A1" w:rsidRPr="006E763F">
        <w:rPr>
          <w:rStyle w:val="FootnoteReference"/>
        </w:rPr>
        <w:footnoteReference w:id="107"/>
      </w:r>
      <w:r w:rsidR="00A32545" w:rsidRPr="006E763F">
        <w:t>,</w:t>
      </w:r>
      <w:r w:rsidR="00533C97" w:rsidRPr="006E763F">
        <w:t xml:space="preserve"> 1.1</w:t>
      </w:r>
      <w:r w:rsidR="00E24327" w:rsidRPr="006E763F">
        <w:rPr>
          <w:rStyle w:val="FootnoteReference"/>
          <w:rFonts w:eastAsia="Times New Roman" w:cs="Times New Roman"/>
        </w:rPr>
        <w:footnoteReference w:id="108"/>
      </w:r>
      <w:r w:rsidR="00A32545" w:rsidRPr="006E763F">
        <w:t xml:space="preserve"> y 2</w:t>
      </w:r>
      <w:r w:rsidR="00B0429C" w:rsidRPr="006E763F">
        <w:rPr>
          <w:rStyle w:val="FootnoteReference"/>
        </w:rPr>
        <w:footnoteReference w:id="109"/>
      </w:r>
      <w:r w:rsidRPr="006E763F">
        <w:t xml:space="preserve"> de la Convención Americana</w:t>
      </w:r>
      <w:r w:rsidR="00533C97" w:rsidRPr="006E763F">
        <w:t xml:space="preserve"> y artículo I a) de la CIDFP</w:t>
      </w:r>
      <w:r w:rsidR="00693189" w:rsidRPr="006E763F">
        <w:rPr>
          <w:rStyle w:val="FootnoteReference"/>
        </w:rPr>
        <w:footnoteReference w:id="110"/>
      </w:r>
      <w:r w:rsidR="00E10D3E" w:rsidRPr="006E763F">
        <w:t>)</w:t>
      </w:r>
      <w:bookmarkEnd w:id="16"/>
    </w:p>
    <w:p w14:paraId="166C7418" w14:textId="77777777" w:rsidR="009779A1" w:rsidRPr="006E763F" w:rsidRDefault="009779A1" w:rsidP="00E923BB">
      <w:pPr>
        <w:pStyle w:val="ListParagraph"/>
        <w:ind w:left="249" w:firstLine="0"/>
        <w:rPr>
          <w:b/>
          <w:bCs/>
          <w:sz w:val="20"/>
          <w:szCs w:val="20"/>
          <w:lang w:val="es-ES"/>
        </w:rPr>
      </w:pPr>
    </w:p>
    <w:p w14:paraId="1818118A" w14:textId="57A9B6EF" w:rsidR="00EC310A" w:rsidRPr="00EA3E8B" w:rsidRDefault="00500828" w:rsidP="00F700C6">
      <w:pPr>
        <w:pStyle w:val="Heading3"/>
        <w:numPr>
          <w:ilvl w:val="3"/>
          <w:numId w:val="27"/>
        </w:numPr>
        <w:ind w:firstLine="720"/>
        <w:rPr>
          <w:rFonts w:eastAsia="Times New Roman" w:cs="Times New Roman"/>
        </w:rPr>
      </w:pPr>
      <w:bookmarkStart w:id="17" w:name="_Toc446157"/>
      <w:r w:rsidRPr="006E763F">
        <w:t xml:space="preserve">Consideraciones </w:t>
      </w:r>
      <w:r w:rsidR="00EF172F" w:rsidRPr="006E763F">
        <w:t xml:space="preserve">generales </w:t>
      </w:r>
      <w:r w:rsidRPr="006E763F">
        <w:t xml:space="preserve">en materia de </w:t>
      </w:r>
      <w:r w:rsidR="00EF172F" w:rsidRPr="006E763F">
        <w:t>desaparición</w:t>
      </w:r>
      <w:r w:rsidR="009E7E98" w:rsidRPr="006E763F">
        <w:t xml:space="preserve"> forzada de personas</w:t>
      </w:r>
      <w:bookmarkEnd w:id="17"/>
    </w:p>
    <w:p w14:paraId="23634263" w14:textId="2501E699" w:rsidR="00C70904" w:rsidRPr="006E763F" w:rsidRDefault="00C70904" w:rsidP="00E923BB">
      <w:pPr>
        <w:pStyle w:val="ListParagraph"/>
        <w:rPr>
          <w:sz w:val="20"/>
          <w:szCs w:val="20"/>
          <w:lang w:val="es-ES"/>
        </w:rPr>
      </w:pPr>
    </w:p>
    <w:p w14:paraId="196B3C3B" w14:textId="2B0DF2D9" w:rsidR="000E20D9" w:rsidRPr="006E763F" w:rsidRDefault="000E20D9"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r w:rsidRPr="006E763F">
        <w:rPr>
          <w:rFonts w:ascii="Cambria" w:hAnsi="Cambria"/>
          <w:sz w:val="20"/>
          <w:szCs w:val="20"/>
          <w:lang w:val="es-CO"/>
        </w:rPr>
        <w:t>La jurisprudencia const</w:t>
      </w:r>
      <w:r w:rsidR="004240E2">
        <w:rPr>
          <w:rFonts w:ascii="Cambria" w:hAnsi="Cambria"/>
          <w:sz w:val="20"/>
          <w:szCs w:val="20"/>
          <w:lang w:val="es-CO"/>
        </w:rPr>
        <w:t xml:space="preserve">ante del Sistema Interamericano, </w:t>
      </w:r>
      <w:r w:rsidRPr="006E763F">
        <w:rPr>
          <w:rFonts w:ascii="Cambria" w:hAnsi="Cambria"/>
          <w:sz w:val="20"/>
          <w:szCs w:val="20"/>
          <w:lang w:val="es-CO"/>
        </w:rPr>
        <w:t>en casos de desaparición forzada de personas, ha indicado que constituye un hecho ilícito que genera una violación múltiple y continuada de varios derechos protegidos por la Convención Americana y coloca a la víctima en un estado de completa indefensión, acarreando otros delitos conexos</w:t>
      </w:r>
      <w:r w:rsidRPr="006E763F">
        <w:rPr>
          <w:rFonts w:ascii="Cambria" w:hAnsi="Cambria"/>
          <w:sz w:val="20"/>
          <w:szCs w:val="20"/>
          <w:vertAlign w:val="superscript"/>
          <w:lang w:val="es-CO"/>
        </w:rPr>
        <w:footnoteReference w:id="111"/>
      </w:r>
      <w:r w:rsidRPr="006E763F">
        <w:rPr>
          <w:rFonts w:ascii="Cambria" w:hAnsi="Cambria"/>
          <w:sz w:val="20"/>
          <w:szCs w:val="20"/>
          <w:lang w:val="es-CO"/>
        </w:rPr>
        <w:t xml:space="preserve">. </w:t>
      </w:r>
    </w:p>
    <w:p w14:paraId="41F25902" w14:textId="77777777" w:rsidR="000E20D9" w:rsidRPr="006E763F" w:rsidRDefault="000E20D9" w:rsidP="00E923B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CO"/>
        </w:rPr>
      </w:pPr>
    </w:p>
    <w:p w14:paraId="094D76B3" w14:textId="77777777" w:rsidR="000E20D9" w:rsidRPr="006E763F" w:rsidRDefault="000E20D9"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r w:rsidRPr="006E763F">
        <w:rPr>
          <w:rFonts w:ascii="Cambria" w:eastAsia="Times New Roman" w:hAnsi="Cambria"/>
          <w:spacing w:val="-3"/>
          <w:sz w:val="20"/>
          <w:szCs w:val="20"/>
          <w:lang w:val="es-CR"/>
        </w:rPr>
        <w:t xml:space="preserve">Es así como los Estados tienen la obligación de no </w:t>
      </w:r>
      <w:r w:rsidRPr="006E763F">
        <w:rPr>
          <w:rFonts w:ascii="Cambria" w:eastAsia="Times New Roman" w:hAnsi="Cambria" w:cs="Tahoma"/>
          <w:sz w:val="20"/>
          <w:szCs w:val="20"/>
          <w:lang w:val="es-CR"/>
        </w:rPr>
        <w:t xml:space="preserve">practicar ni tolerar la desaparición forzada de personas en cualquier circunstancia. Asimismo, deben prevenir de manera razonable la comisión de este delito, </w:t>
      </w:r>
      <w:r w:rsidRPr="006E763F">
        <w:rPr>
          <w:rFonts w:ascii="Cambria" w:eastAsia="Times New Roman" w:hAnsi="Cambria"/>
          <w:sz w:val="20"/>
          <w:szCs w:val="20"/>
          <w:lang w:val="es-CR"/>
        </w:rPr>
        <w:t>investigar seriamente lo sucedido a fin de identificar a los responsables e imponerles las sanciones pertinentes, así como asegurar a la víctima una adecuada reparación</w:t>
      </w:r>
      <w:r w:rsidRPr="006E763F">
        <w:rPr>
          <w:rFonts w:ascii="Cambria" w:eastAsia="Times New Roman" w:hAnsi="Cambria"/>
          <w:sz w:val="20"/>
          <w:szCs w:val="20"/>
          <w:vertAlign w:val="superscript"/>
          <w:lang w:val="es-CR"/>
        </w:rPr>
        <w:footnoteReference w:id="112"/>
      </w:r>
      <w:r w:rsidRPr="006E763F">
        <w:rPr>
          <w:rFonts w:ascii="Cambria" w:eastAsia="Times New Roman" w:hAnsi="Cambria"/>
          <w:sz w:val="20"/>
          <w:szCs w:val="20"/>
          <w:lang w:val="es-CR"/>
        </w:rPr>
        <w:t>. Estas obligaciones son recogidas expresamente en los artículos I. a) y I. b) de la Convención Interamericana sobre Desaparición Forzada de Personas.</w:t>
      </w:r>
    </w:p>
    <w:p w14:paraId="7BCF63C0" w14:textId="77777777" w:rsidR="000E20D9" w:rsidRPr="006E763F" w:rsidRDefault="000E20D9" w:rsidP="00E923BB">
      <w:pPr>
        <w:pStyle w:val="ListParagraph"/>
        <w:rPr>
          <w:sz w:val="20"/>
          <w:szCs w:val="20"/>
          <w:lang w:val="es-ES_tradnl"/>
        </w:rPr>
      </w:pPr>
    </w:p>
    <w:p w14:paraId="5E32BBD4" w14:textId="77777777" w:rsidR="000E20D9" w:rsidRPr="006E763F" w:rsidRDefault="000E20D9"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r w:rsidRPr="006E763F">
        <w:rPr>
          <w:rFonts w:ascii="Cambria" w:hAnsi="Cambria"/>
          <w:sz w:val="20"/>
          <w:szCs w:val="20"/>
          <w:lang w:val="es-ES_tradnl"/>
        </w:rPr>
        <w:t>De acuerdo con su jurisprudencia consolidada, la Comisión considera que la desaparición forzada es una violación de derechos humanos compleja que continúa en el tiempo hasta tanto el paradero de la víctima o de sus restos continúa desconocido. La desaparición como tal sólo cesa cuando aparece la víctima o sus restos son ubicados</w:t>
      </w:r>
      <w:r w:rsidRPr="006E763F">
        <w:rPr>
          <w:rStyle w:val="FootnoteReference"/>
          <w:rFonts w:ascii="Cambria" w:hAnsi="Cambria"/>
          <w:sz w:val="20"/>
          <w:szCs w:val="20"/>
          <w:lang w:val="es-ES_tradnl"/>
        </w:rPr>
        <w:footnoteReference w:id="113"/>
      </w:r>
      <w:r w:rsidRPr="006E763F">
        <w:rPr>
          <w:rFonts w:ascii="Cambria" w:hAnsi="Cambria"/>
          <w:sz w:val="20"/>
          <w:szCs w:val="20"/>
          <w:lang w:val="es-ES_tradnl"/>
        </w:rPr>
        <w:t>.</w:t>
      </w:r>
    </w:p>
    <w:p w14:paraId="5B5C9040" w14:textId="77777777" w:rsidR="000E20D9" w:rsidRPr="006E763F" w:rsidRDefault="000E20D9" w:rsidP="00E923BB">
      <w:pPr>
        <w:pStyle w:val="ListParagraph"/>
        <w:rPr>
          <w:rFonts w:eastAsia="Times New Roman"/>
          <w:sz w:val="20"/>
          <w:szCs w:val="20"/>
          <w:lang w:val="es-CR"/>
        </w:rPr>
      </w:pPr>
    </w:p>
    <w:p w14:paraId="06DA1F5F" w14:textId="295B75DD" w:rsidR="000E20D9" w:rsidRPr="006E763F" w:rsidRDefault="000E20D9"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r w:rsidRPr="006E763F">
        <w:rPr>
          <w:rFonts w:ascii="Cambria" w:eastAsia="Times New Roman" w:hAnsi="Cambria"/>
          <w:sz w:val="20"/>
          <w:szCs w:val="20"/>
          <w:lang w:val="es-CR"/>
        </w:rPr>
        <w:t>Respecto a los derechos vulnerados,</w:t>
      </w:r>
      <w:r w:rsidRPr="006E763F">
        <w:rPr>
          <w:rFonts w:ascii="Cambria" w:eastAsia="Times New Roman" w:hAnsi="Cambria"/>
          <w:sz w:val="20"/>
          <w:szCs w:val="20"/>
          <w:lang w:val="es-VE"/>
        </w:rPr>
        <w:t xml:space="preserve"> </w:t>
      </w:r>
      <w:r w:rsidRPr="006E763F">
        <w:rPr>
          <w:rFonts w:ascii="Cambria" w:eastAsia="Times New Roman" w:hAnsi="Cambria"/>
          <w:sz w:val="20"/>
          <w:szCs w:val="20"/>
          <w:lang w:val="es-CR"/>
        </w:rPr>
        <w:t xml:space="preserve">la desaparición forzada vulnera el derecho a la libertad personal y coloca a la víctima </w:t>
      </w:r>
      <w:r w:rsidRPr="006E763F">
        <w:rPr>
          <w:rFonts w:ascii="Cambria" w:eastAsia="Times New Roman" w:hAnsi="Cambria"/>
          <w:sz w:val="20"/>
          <w:szCs w:val="20"/>
          <w:lang w:val="es-VE"/>
        </w:rPr>
        <w:t xml:space="preserve">en una grave situación de riesgo de sufrir daños irreparables a sus derechos a la integridad personal y a la vida. </w:t>
      </w:r>
      <w:r w:rsidRPr="006E763F">
        <w:rPr>
          <w:rFonts w:ascii="Cambria" w:eastAsia="Times New Roman" w:hAnsi="Cambria"/>
          <w:sz w:val="20"/>
          <w:szCs w:val="20"/>
          <w:lang w:val="es-ES"/>
        </w:rPr>
        <w:t xml:space="preserve">La Corte ha indicado que la desaparición forzada viola el derecho a la integridad personal puesto que </w:t>
      </w:r>
      <w:r w:rsidRPr="006E763F">
        <w:rPr>
          <w:rFonts w:ascii="Cambria" w:eastAsia="Times New Roman" w:hAnsi="Cambria"/>
          <w:sz w:val="20"/>
          <w:szCs w:val="20"/>
          <w:lang w:val="es-VE"/>
        </w:rPr>
        <w:t>“el solo hecho del aislamiento prolongado y de la incomunicación coactiva, representa un tratamiento cruel e inhumano”</w:t>
      </w:r>
      <w:r w:rsidRPr="006E763F">
        <w:rPr>
          <w:rFonts w:ascii="Cambria" w:eastAsia="Times New Roman" w:hAnsi="Cambria"/>
          <w:sz w:val="20"/>
          <w:szCs w:val="20"/>
          <w:vertAlign w:val="superscript"/>
        </w:rPr>
        <w:footnoteReference w:id="114"/>
      </w:r>
      <w:r w:rsidRPr="006E763F">
        <w:rPr>
          <w:rFonts w:ascii="Cambria" w:eastAsia="Times New Roman" w:hAnsi="Cambria"/>
          <w:sz w:val="20"/>
          <w:szCs w:val="20"/>
          <w:lang w:val="es-VE"/>
        </w:rPr>
        <w:t xml:space="preserve">. Adicionalmente, la Corte ha considerado que en casos de desaparición forzada, atendiendo al carácter múltiple y complejo de esta grave violación de derechos humanos, su ejecución </w:t>
      </w:r>
      <w:r w:rsidRPr="006E763F">
        <w:rPr>
          <w:rFonts w:ascii="Cambria" w:eastAsia="Times New Roman" w:hAnsi="Cambria"/>
          <w:sz w:val="20"/>
          <w:szCs w:val="20"/>
          <w:lang w:val="es-ES"/>
        </w:rPr>
        <w:t xml:space="preserve">genera la vulneración </w:t>
      </w:r>
      <w:r w:rsidRPr="006E763F">
        <w:rPr>
          <w:rFonts w:ascii="Cambria" w:eastAsia="Times New Roman" w:hAnsi="Cambria"/>
          <w:sz w:val="20"/>
          <w:szCs w:val="20"/>
          <w:lang w:val="es-VE"/>
        </w:rPr>
        <w:t>del derecho al reconocimiento de la personalidad jurídica</w:t>
      </w:r>
      <w:r w:rsidRPr="006E763F">
        <w:rPr>
          <w:rFonts w:ascii="Cambria" w:eastAsia="Times New Roman" w:hAnsi="Cambria"/>
          <w:sz w:val="20"/>
          <w:szCs w:val="20"/>
          <w:vertAlign w:val="superscript"/>
        </w:rPr>
        <w:footnoteReference w:id="115"/>
      </w:r>
      <w:r w:rsidRPr="006E763F">
        <w:rPr>
          <w:rFonts w:ascii="Cambria" w:eastAsia="Times New Roman" w:hAnsi="Cambria"/>
          <w:sz w:val="20"/>
          <w:szCs w:val="20"/>
          <w:lang w:val="es-VE"/>
        </w:rPr>
        <w:t xml:space="preserve">. Ello se debe a que además de que la persona desaparecida </w:t>
      </w:r>
      <w:r w:rsidRPr="006E763F">
        <w:rPr>
          <w:rFonts w:ascii="Cambria" w:eastAsia="Times New Roman" w:hAnsi="Cambria"/>
          <w:sz w:val="20"/>
          <w:szCs w:val="20"/>
          <w:lang w:val="es-ES"/>
        </w:rPr>
        <w:t xml:space="preserve">no puede continuar gozando y ejerciendo los derechos de los cuales es titular, la desaparición forzada busca </w:t>
      </w:r>
      <w:r w:rsidRPr="006E763F">
        <w:rPr>
          <w:rFonts w:ascii="Cambria" w:eastAsia="Times New Roman" w:hAnsi="Cambria"/>
          <w:sz w:val="20"/>
          <w:szCs w:val="20"/>
          <w:lang w:val="es-VE"/>
        </w:rPr>
        <w:t>“</w:t>
      </w:r>
      <w:r w:rsidRPr="006E763F">
        <w:rPr>
          <w:rFonts w:ascii="Cambria" w:eastAsia="Times New Roman" w:hAnsi="Cambria"/>
          <w:sz w:val="20"/>
          <w:szCs w:val="20"/>
          <w:lang w:val="es-ES"/>
        </w:rPr>
        <w:t xml:space="preserve">no sólo una de las más graves formas de sustracción de una persona de todo ámbito del ordenamiento jurídico, sino también negar </w:t>
      </w:r>
      <w:r w:rsidRPr="006E763F">
        <w:rPr>
          <w:rFonts w:ascii="Cambria" w:eastAsia="Times New Roman" w:hAnsi="Cambria" w:cs="Verdana"/>
          <w:sz w:val="20"/>
          <w:szCs w:val="20"/>
          <w:lang w:val="es-VE"/>
        </w:rPr>
        <w:t>su existencia misma y dejarla en una suerte de limbo o situación de indeterminación jurídica ante la sociedad y el Estado</w:t>
      </w:r>
      <w:r w:rsidRPr="006E763F">
        <w:rPr>
          <w:rFonts w:ascii="Cambria" w:eastAsia="Times New Roman" w:hAnsi="Cambria" w:cs="Verdana"/>
          <w:sz w:val="20"/>
          <w:szCs w:val="20"/>
          <w:vertAlign w:val="superscript"/>
        </w:rPr>
        <w:footnoteReference w:id="116"/>
      </w:r>
      <w:r w:rsidRPr="006E763F">
        <w:rPr>
          <w:rFonts w:ascii="Cambria" w:eastAsia="Times New Roman" w:hAnsi="Cambria"/>
          <w:sz w:val="20"/>
          <w:szCs w:val="20"/>
          <w:lang w:val="es-VE"/>
        </w:rPr>
        <w:t>”</w:t>
      </w:r>
      <w:r w:rsidRPr="006E763F">
        <w:rPr>
          <w:rFonts w:ascii="Cambria" w:eastAsia="Times New Roman" w:hAnsi="Cambria" w:cs="Verdana"/>
          <w:sz w:val="20"/>
          <w:szCs w:val="20"/>
          <w:lang w:val="es-VE"/>
        </w:rPr>
        <w:t>.</w:t>
      </w:r>
    </w:p>
    <w:p w14:paraId="34C57B5F" w14:textId="77777777" w:rsidR="00812B3E" w:rsidRPr="006E763F" w:rsidRDefault="00812B3E" w:rsidP="00E923B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CO"/>
        </w:rPr>
      </w:pPr>
    </w:p>
    <w:p w14:paraId="720B33B7" w14:textId="798F0232" w:rsidR="008F0B58" w:rsidRPr="006E763F" w:rsidRDefault="000A0D00"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r w:rsidRPr="006E763F">
        <w:rPr>
          <w:rFonts w:ascii="Cambria" w:eastAsia="Times New Roman" w:hAnsi="Cambria"/>
          <w:sz w:val="20"/>
          <w:szCs w:val="20"/>
          <w:lang w:val="es-ES" w:eastAsia="es-ES"/>
        </w:rPr>
        <w:t xml:space="preserve">En cuanto a la valoración de la prueba, </w:t>
      </w:r>
      <w:r w:rsidR="00E0745F" w:rsidRPr="006E763F">
        <w:rPr>
          <w:rFonts w:ascii="Cambria" w:hAnsi="Cambria"/>
          <w:sz w:val="20"/>
          <w:szCs w:val="20"/>
          <w:lang w:val="es-ES"/>
        </w:rPr>
        <w:t>l</w:t>
      </w:r>
      <w:r w:rsidRPr="006E763F">
        <w:rPr>
          <w:rFonts w:ascii="Cambria" w:hAnsi="Cambria"/>
          <w:sz w:val="20"/>
          <w:szCs w:val="20"/>
          <w:lang w:val="es-ES"/>
        </w:rPr>
        <w:t xml:space="preserve">a Comisión resalta que en casos en los que se alega desaparición forzada, </w:t>
      </w:r>
      <w:r w:rsidR="0085399C" w:rsidRPr="006E763F">
        <w:rPr>
          <w:rFonts w:ascii="Cambria" w:hAnsi="Cambria"/>
          <w:sz w:val="20"/>
          <w:szCs w:val="20"/>
          <w:lang w:val="es-ES"/>
        </w:rPr>
        <w:t xml:space="preserve">se debe tomar en cuenta </w:t>
      </w:r>
      <w:r w:rsidRPr="006E763F">
        <w:rPr>
          <w:rFonts w:ascii="Cambria" w:hAnsi="Cambria"/>
          <w:sz w:val="20"/>
          <w:szCs w:val="20"/>
          <w:lang w:val="es-ES"/>
        </w:rPr>
        <w:t>la naturaleza de esta violación, cuyo propósito es borrar toda huella material del crimen y, generalmente, se encuentra seguida de una serie de acciones y omisiones de funcionarios estatales buscando encubrir el hecho a través de maniobras que inician con la negativa de la privación de libertad, continúan con la desinformación o la aportación de datos falsos sobre el paradero o destino de la víctima y van hasta la realización de investigaciones ineficaces y poco diligentes que, lejos de establecer la verdad, perpetúan el desconocimiento de lo sucedido a la víctima</w:t>
      </w:r>
      <w:r w:rsidRPr="006E763F">
        <w:rPr>
          <w:rStyle w:val="FootnoteReference"/>
          <w:rFonts w:ascii="Cambria" w:hAnsi="Cambria"/>
          <w:sz w:val="20"/>
          <w:szCs w:val="20"/>
          <w:lang w:val="es-ES"/>
        </w:rPr>
        <w:footnoteReference w:id="117"/>
      </w:r>
      <w:r w:rsidRPr="006E763F">
        <w:rPr>
          <w:rFonts w:ascii="Cambria" w:hAnsi="Cambria"/>
          <w:sz w:val="20"/>
          <w:szCs w:val="20"/>
          <w:lang w:val="es-ES"/>
        </w:rPr>
        <w:t>.</w:t>
      </w:r>
    </w:p>
    <w:p w14:paraId="0025F540" w14:textId="77777777" w:rsidR="008F0B58" w:rsidRPr="006E763F" w:rsidRDefault="008F0B58" w:rsidP="00E923B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CO"/>
        </w:rPr>
      </w:pPr>
    </w:p>
    <w:p w14:paraId="4B1F485B" w14:textId="77777777" w:rsidR="008F0B58" w:rsidRPr="006E763F" w:rsidRDefault="008F0B58"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r w:rsidRPr="006E763F">
        <w:rPr>
          <w:rFonts w:ascii="Cambria" w:hAnsi="Cambria"/>
          <w:sz w:val="20"/>
          <w:szCs w:val="20"/>
          <w:lang w:val="es-CO"/>
        </w:rPr>
        <w:t>L</w:t>
      </w:r>
      <w:r w:rsidR="000A0D00" w:rsidRPr="006E763F">
        <w:rPr>
          <w:rFonts w:ascii="Cambria" w:hAnsi="Cambria"/>
          <w:sz w:val="20"/>
          <w:szCs w:val="20"/>
          <w:lang w:val="es-ES"/>
        </w:rPr>
        <w:t xml:space="preserve">a Corte ha indicado que </w:t>
      </w:r>
      <w:r w:rsidR="000A0D00" w:rsidRPr="006E763F">
        <w:rPr>
          <w:rFonts w:ascii="Cambria" w:hAnsi="Cambria"/>
          <w:sz w:val="20"/>
          <w:szCs w:val="20"/>
          <w:lang w:val="es-VE"/>
        </w:rPr>
        <w:t>tratándose de un caso de alegada desaparición forzada, la prueba indiciaria y presuntiva resulta de especial importancia ya que “esta forma de violación se caracteriza por procurar la supresión de todo elemento que permita comprobar la detención, el paradero y la suerte de las víctimas”</w:t>
      </w:r>
      <w:r w:rsidR="000A0D00" w:rsidRPr="006E763F">
        <w:rPr>
          <w:rFonts w:ascii="Cambria" w:hAnsi="Cambria"/>
          <w:sz w:val="20"/>
          <w:szCs w:val="20"/>
          <w:vertAlign w:val="superscript"/>
          <w:lang w:val="es-VE"/>
        </w:rPr>
        <w:footnoteReference w:id="118"/>
      </w:r>
      <w:r w:rsidR="000A0D00" w:rsidRPr="006E763F">
        <w:rPr>
          <w:rFonts w:ascii="Cambria" w:hAnsi="Cambria"/>
          <w:sz w:val="20"/>
          <w:szCs w:val="20"/>
          <w:lang w:val="es-VE"/>
        </w:rPr>
        <w:t xml:space="preserve">.  La </w:t>
      </w:r>
      <w:r w:rsidR="000A0D00" w:rsidRPr="006E763F">
        <w:rPr>
          <w:rFonts w:ascii="Cambria" w:hAnsi="Cambria"/>
          <w:sz w:val="20"/>
          <w:szCs w:val="20"/>
          <w:lang w:val="es-VE"/>
        </w:rPr>
        <w:lastRenderedPageBreak/>
        <w:t>Corte ha indicado que es posible demostrar la desaparición de un individuo mediante pruebas testimoniales indirectas y circunstanciales, sumadas a inferencias lógicas pertinentes, así como su vinculación a una práctica general de desapariciones</w:t>
      </w:r>
      <w:r w:rsidR="000A0D00" w:rsidRPr="006E763F">
        <w:rPr>
          <w:rStyle w:val="FootnoteReference"/>
          <w:rFonts w:ascii="Cambria" w:hAnsi="Cambria"/>
          <w:sz w:val="20"/>
          <w:szCs w:val="20"/>
          <w:lang w:val="es-VE"/>
        </w:rPr>
        <w:footnoteReference w:id="119"/>
      </w:r>
      <w:r w:rsidR="000A0D00" w:rsidRPr="006E763F">
        <w:rPr>
          <w:rFonts w:ascii="Cambria" w:hAnsi="Cambria"/>
          <w:sz w:val="20"/>
          <w:szCs w:val="20"/>
          <w:lang w:val="es-VE"/>
        </w:rPr>
        <w:t xml:space="preserve">. </w:t>
      </w:r>
    </w:p>
    <w:p w14:paraId="0A27AD98" w14:textId="77777777" w:rsidR="008F0B58" w:rsidRPr="006E763F" w:rsidRDefault="008F0B58" w:rsidP="00E923BB">
      <w:pPr>
        <w:pStyle w:val="ListParagraph"/>
        <w:rPr>
          <w:rFonts w:eastAsia="Times New Roman"/>
          <w:sz w:val="20"/>
          <w:szCs w:val="20"/>
          <w:lang w:val="es-ES" w:eastAsia="es-ES"/>
        </w:rPr>
      </w:pPr>
    </w:p>
    <w:p w14:paraId="4E309606" w14:textId="35947CD3" w:rsidR="00812B3E" w:rsidRPr="006E763F" w:rsidRDefault="008F0B58"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r w:rsidRPr="006E763F">
        <w:rPr>
          <w:rFonts w:ascii="Cambria" w:eastAsia="Times New Roman" w:hAnsi="Cambria"/>
          <w:sz w:val="20"/>
          <w:szCs w:val="20"/>
          <w:lang w:val="es-ES" w:eastAsia="es-ES"/>
        </w:rPr>
        <w:t xml:space="preserve">En la misma línea, </w:t>
      </w:r>
      <w:r w:rsidR="00812B3E" w:rsidRPr="006E763F">
        <w:rPr>
          <w:rFonts w:ascii="Cambria" w:eastAsia="Times New Roman" w:hAnsi="Cambria"/>
          <w:sz w:val="20"/>
          <w:szCs w:val="20"/>
          <w:lang w:val="es-ES" w:eastAsia="es-ES"/>
        </w:rPr>
        <w:t xml:space="preserve">incluso ante la ausencia de </w:t>
      </w:r>
      <w:r w:rsidR="00D528EA" w:rsidRPr="006E763F">
        <w:rPr>
          <w:rFonts w:ascii="Cambria" w:eastAsia="Times New Roman" w:hAnsi="Cambria"/>
          <w:sz w:val="20"/>
          <w:szCs w:val="20"/>
          <w:lang w:val="es-ES" w:eastAsia="es-ES"/>
        </w:rPr>
        <w:t xml:space="preserve">prueba directa </w:t>
      </w:r>
      <w:r w:rsidR="00812B3E" w:rsidRPr="006E763F">
        <w:rPr>
          <w:rFonts w:ascii="Cambria" w:eastAsia="Times New Roman" w:hAnsi="Cambria"/>
          <w:sz w:val="20"/>
          <w:szCs w:val="20"/>
          <w:lang w:val="es-ES" w:eastAsia="es-ES"/>
        </w:rPr>
        <w:t>sobre</w:t>
      </w:r>
      <w:r w:rsidR="00D528EA" w:rsidRPr="006E763F">
        <w:rPr>
          <w:rFonts w:ascii="Cambria" w:eastAsia="Times New Roman" w:hAnsi="Cambria"/>
          <w:sz w:val="20"/>
          <w:szCs w:val="20"/>
          <w:lang w:val="es-ES" w:eastAsia="es-ES"/>
        </w:rPr>
        <w:t xml:space="preserve"> la</w:t>
      </w:r>
      <w:r w:rsidR="00812B3E" w:rsidRPr="006E763F">
        <w:rPr>
          <w:rFonts w:ascii="Cambria" w:eastAsia="Times New Roman" w:hAnsi="Cambria"/>
          <w:sz w:val="20"/>
          <w:szCs w:val="20"/>
          <w:lang w:val="es-ES" w:eastAsia="es-ES"/>
        </w:rPr>
        <w:t xml:space="preserve"> privación de libertad, la Comisión ha tomado en consideración las circunstancias que rodean una desaparición, el perfil de las víctimas y su estigmatización por su vinculación con determinadas instituciones o funciones, la existencia de documentos policiales o militares que dan cuenta de la supuesta relación de las presuntas víctimas con organizaciones subversivas, así como la propia sensación de persecución y seguimiento que las víctimas comunicaron a sus familiares, concluyendo así con la atribución de la desaparición a agentes estatales</w:t>
      </w:r>
      <w:r w:rsidR="00812B3E" w:rsidRPr="006E763F">
        <w:rPr>
          <w:rStyle w:val="FootnoteReference"/>
          <w:rFonts w:ascii="Cambria" w:eastAsia="Times New Roman" w:hAnsi="Cambria"/>
          <w:sz w:val="20"/>
          <w:szCs w:val="20"/>
          <w:lang w:val="es-ES" w:eastAsia="es-ES"/>
        </w:rPr>
        <w:footnoteReference w:id="120"/>
      </w:r>
      <w:r w:rsidR="00812B3E" w:rsidRPr="006E763F">
        <w:rPr>
          <w:rFonts w:ascii="Cambria" w:eastAsia="Times New Roman" w:hAnsi="Cambria"/>
          <w:sz w:val="20"/>
          <w:szCs w:val="20"/>
          <w:lang w:val="es-ES" w:eastAsia="es-ES"/>
        </w:rPr>
        <w:t>.</w:t>
      </w:r>
    </w:p>
    <w:p w14:paraId="78F2274C" w14:textId="77777777" w:rsidR="000E20D9" w:rsidRPr="006E763F" w:rsidRDefault="000E20D9" w:rsidP="00E923B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4C6E45C1" w14:textId="77777777" w:rsidR="00AC4724" w:rsidRPr="006E763F" w:rsidRDefault="005001E7"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CO"/>
        </w:rPr>
      </w:pPr>
      <w:r w:rsidRPr="006E763F">
        <w:rPr>
          <w:rFonts w:ascii="Cambria" w:eastAsia="Times New Roman" w:hAnsi="Cambria"/>
          <w:sz w:val="20"/>
          <w:szCs w:val="20"/>
          <w:lang w:val="es-ES" w:eastAsia="es-ES"/>
        </w:rPr>
        <w:t xml:space="preserve">La CIDH recuerda que </w:t>
      </w:r>
      <w:r w:rsidR="000E20D9" w:rsidRPr="006E763F">
        <w:rPr>
          <w:rFonts w:ascii="Cambria" w:eastAsia="Times New Roman" w:hAnsi="Cambria"/>
          <w:sz w:val="20"/>
          <w:szCs w:val="20"/>
          <w:lang w:val="es-ES" w:eastAsia="es-ES"/>
        </w:rPr>
        <w:t>los elementos concurrentes y constitutivos</w:t>
      </w:r>
      <w:r w:rsidRPr="006E763F">
        <w:rPr>
          <w:rFonts w:ascii="Cambria" w:eastAsia="Times New Roman" w:hAnsi="Cambria"/>
          <w:sz w:val="20"/>
          <w:szCs w:val="20"/>
          <w:lang w:val="es-ES" w:eastAsia="es-ES"/>
        </w:rPr>
        <w:t xml:space="preserve"> de la desaparición forzada son</w:t>
      </w:r>
      <w:r w:rsidR="000E20D9" w:rsidRPr="006E763F">
        <w:rPr>
          <w:rFonts w:ascii="Cambria" w:eastAsia="Times New Roman" w:hAnsi="Cambria"/>
          <w:sz w:val="20"/>
          <w:szCs w:val="20"/>
          <w:lang w:val="es-ES" w:eastAsia="es-ES"/>
        </w:rPr>
        <w:t>:</w:t>
      </w:r>
      <w:r w:rsidR="000E20D9" w:rsidRPr="006E763F">
        <w:rPr>
          <w:rFonts w:ascii="Cambria" w:eastAsia="Times New Roman" w:hAnsi="Cambria"/>
          <w:sz w:val="20"/>
          <w:szCs w:val="20"/>
          <w:lang w:val="es-VE"/>
        </w:rPr>
        <w:t xml:space="preserve"> i) la</w:t>
      </w:r>
      <w:r w:rsidR="000E20D9" w:rsidRPr="006E763F">
        <w:rPr>
          <w:rFonts w:ascii="Cambria" w:eastAsia="Times New Roman" w:hAnsi="Cambria"/>
          <w:b/>
          <w:sz w:val="20"/>
          <w:szCs w:val="20"/>
          <w:lang w:val="es-VE"/>
        </w:rPr>
        <w:t xml:space="preserve"> </w:t>
      </w:r>
      <w:r w:rsidR="000E20D9" w:rsidRPr="006E763F">
        <w:rPr>
          <w:rFonts w:ascii="Cambria" w:eastAsia="Times New Roman" w:hAnsi="Cambria"/>
          <w:sz w:val="20"/>
          <w:szCs w:val="20"/>
          <w:lang w:val="es-VE"/>
        </w:rPr>
        <w:t>privación de la libertad; ii) la intervención directa de agentes estatales o la aquiescencia de éstos; y iii) la negativa de reconocer la detención o de revelar la suerte o paradero de la persona desaparecida</w:t>
      </w:r>
      <w:r w:rsidR="000E20D9" w:rsidRPr="006E763F">
        <w:rPr>
          <w:rFonts w:ascii="Cambria" w:eastAsia="Times New Roman" w:hAnsi="Cambria"/>
          <w:sz w:val="20"/>
          <w:szCs w:val="20"/>
          <w:vertAlign w:val="superscript"/>
        </w:rPr>
        <w:footnoteReference w:id="121"/>
      </w:r>
      <w:r w:rsidR="000E20D9" w:rsidRPr="006E763F">
        <w:rPr>
          <w:rFonts w:ascii="Cambria" w:eastAsia="Times New Roman" w:hAnsi="Cambria"/>
          <w:sz w:val="20"/>
          <w:szCs w:val="20"/>
          <w:lang w:val="es-VE"/>
        </w:rPr>
        <w:t>.</w:t>
      </w:r>
    </w:p>
    <w:p w14:paraId="1368BD4F" w14:textId="77777777" w:rsidR="00F72271" w:rsidRPr="006E763F" w:rsidRDefault="00F72271" w:rsidP="00E923BB">
      <w:pPr>
        <w:pStyle w:val="ListParagraph"/>
        <w:rPr>
          <w:rFonts w:eastAsia="Times New Roman"/>
          <w:sz w:val="20"/>
          <w:szCs w:val="20"/>
          <w:lang w:val="es-ES" w:eastAsia="es-ES"/>
        </w:rPr>
      </w:pPr>
    </w:p>
    <w:p w14:paraId="4DE3644D" w14:textId="7FC3CB2E" w:rsidR="00E923BB" w:rsidRDefault="00E923BB">
      <w:pPr>
        <w:rPr>
          <w:rFonts w:ascii="Cambria" w:eastAsia="Times New Roman" w:hAnsi="Cambria" w:cs="Cambria"/>
          <w:b/>
          <w:color w:val="000000"/>
          <w:sz w:val="20"/>
          <w:szCs w:val="20"/>
          <w:u w:color="000000"/>
          <w:lang w:val="es-ES" w:eastAsia="es-ES"/>
        </w:rPr>
      </w:pPr>
    </w:p>
    <w:p w14:paraId="3788DD3D" w14:textId="77777777" w:rsidR="007F1DDE" w:rsidRDefault="00AC4724" w:rsidP="00685D78">
      <w:pPr>
        <w:pStyle w:val="Heading3"/>
        <w:numPr>
          <w:ilvl w:val="3"/>
          <w:numId w:val="27"/>
        </w:numPr>
        <w:ind w:left="1440" w:hanging="720"/>
        <w:rPr>
          <w:rFonts w:eastAsia="Times New Roman"/>
          <w:lang w:eastAsia="es-ES"/>
        </w:rPr>
      </w:pPr>
      <w:bookmarkStart w:id="18" w:name="_Toc446158"/>
      <w:r w:rsidRPr="00EA3E8B">
        <w:rPr>
          <w:rFonts w:eastAsia="Times New Roman"/>
          <w:lang w:eastAsia="es-ES"/>
        </w:rPr>
        <w:t>Análisis del caso</w:t>
      </w:r>
      <w:bookmarkEnd w:id="18"/>
    </w:p>
    <w:p w14:paraId="64A6B17F" w14:textId="77777777" w:rsidR="00D90561" w:rsidRPr="00D90561" w:rsidRDefault="00D90561" w:rsidP="00D90561">
      <w:pPr>
        <w:rPr>
          <w:lang w:val="es-ES" w:eastAsia="es-ES"/>
        </w:rPr>
      </w:pPr>
    </w:p>
    <w:p w14:paraId="6E850960" w14:textId="407A7454" w:rsidR="00EC310A" w:rsidRPr="007F1DDE" w:rsidRDefault="0080128A" w:rsidP="00685D78">
      <w:pPr>
        <w:pStyle w:val="Heading3"/>
        <w:numPr>
          <w:ilvl w:val="1"/>
          <w:numId w:val="28"/>
        </w:numPr>
        <w:ind w:firstLine="360"/>
        <w:rPr>
          <w:rFonts w:eastAsia="Arial Unicode MS"/>
          <w:lang w:val="es-CO" w:eastAsia="en-US"/>
        </w:rPr>
      </w:pPr>
      <w:bookmarkStart w:id="19" w:name="_Toc446159"/>
      <w:r w:rsidRPr="007F1DDE">
        <w:rPr>
          <w:bCs w:val="0"/>
        </w:rPr>
        <w:t>E</w:t>
      </w:r>
      <w:r w:rsidR="009E7E98" w:rsidRPr="007F1DDE">
        <w:rPr>
          <w:bCs w:val="0"/>
        </w:rPr>
        <w:t xml:space="preserve">n cuanto a la </w:t>
      </w:r>
      <w:r w:rsidR="00710927" w:rsidRPr="007F1DDE">
        <w:rPr>
          <w:bCs w:val="0"/>
        </w:rPr>
        <w:t>privación</w:t>
      </w:r>
      <w:r w:rsidR="009E7E98" w:rsidRPr="007F1DDE">
        <w:rPr>
          <w:bCs w:val="0"/>
        </w:rPr>
        <w:t xml:space="preserve"> de la libertad </w:t>
      </w:r>
      <w:r w:rsidR="007523D8" w:rsidRPr="007F1DDE">
        <w:rPr>
          <w:bCs w:val="0"/>
        </w:rPr>
        <w:t>por parte de agentes estatales</w:t>
      </w:r>
      <w:bookmarkEnd w:id="19"/>
    </w:p>
    <w:p w14:paraId="00C59F51" w14:textId="77777777" w:rsidR="00EC310A" w:rsidRPr="006E763F" w:rsidRDefault="00EC310A" w:rsidP="00E923BB">
      <w:pPr>
        <w:pStyle w:val="Body"/>
        <w:ind w:firstLine="249"/>
        <w:rPr>
          <w:b/>
          <w:bCs/>
          <w:lang w:val="es-ES"/>
        </w:rPr>
      </w:pPr>
    </w:p>
    <w:p w14:paraId="387D8838" w14:textId="118F5872" w:rsidR="00704A91" w:rsidRPr="006E763F" w:rsidRDefault="00704A91"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ES"/>
        </w:rPr>
      </w:pPr>
      <w:r w:rsidRPr="006E763F">
        <w:rPr>
          <w:rFonts w:ascii="Cambria" w:hAnsi="Cambria"/>
          <w:sz w:val="20"/>
          <w:szCs w:val="20"/>
          <w:bdr w:val="none" w:sz="0" w:space="0" w:color="auto" w:frame="1"/>
          <w:lang w:val="es-ES"/>
        </w:rPr>
        <w:t>La Comisión encuentra</w:t>
      </w:r>
      <w:r w:rsidRPr="006E763F">
        <w:rPr>
          <w:rFonts w:ascii="Cambria" w:hAnsi="Cambria"/>
          <w:sz w:val="20"/>
          <w:szCs w:val="20"/>
          <w:lang w:val="es-ES"/>
        </w:rPr>
        <w:t xml:space="preserve"> que en el presente caso no se cuenta con</w:t>
      </w:r>
      <w:r w:rsidR="00301FB9" w:rsidRPr="006E763F">
        <w:rPr>
          <w:rFonts w:ascii="Cambria" w:hAnsi="Cambria"/>
          <w:sz w:val="20"/>
          <w:szCs w:val="20"/>
          <w:lang w:val="es-ES"/>
        </w:rPr>
        <w:t xml:space="preserve"> </w:t>
      </w:r>
      <w:r w:rsidR="00BA6E42" w:rsidRPr="006E763F">
        <w:rPr>
          <w:rFonts w:ascii="Cambria" w:hAnsi="Cambria"/>
          <w:sz w:val="20"/>
          <w:szCs w:val="20"/>
          <w:lang w:val="es-ES"/>
        </w:rPr>
        <w:t xml:space="preserve">prueba directa que indique que Pedro Julio Movilla Galarcio fue privado de libertad por parte de agentes del Estado. Sin embargo, surgen del expediente múltiples elementos indiciarios, circunstanciales y de contexto que resultan pertinentes para el presente análisis. </w:t>
      </w:r>
    </w:p>
    <w:p w14:paraId="42DFA31D" w14:textId="77777777" w:rsidR="00704A91" w:rsidRPr="006E763F" w:rsidRDefault="00704A91" w:rsidP="00E923BB">
      <w:pPr>
        <w:pStyle w:val="Body"/>
        <w:ind w:left="249" w:firstLine="0"/>
        <w:rPr>
          <w:lang w:val="es-ES"/>
        </w:rPr>
      </w:pPr>
    </w:p>
    <w:p w14:paraId="3E41308D" w14:textId="3B98C75B" w:rsidR="00EF723F" w:rsidRPr="006E763F" w:rsidRDefault="00744C64"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ES"/>
        </w:rPr>
      </w:pPr>
      <w:r w:rsidRPr="006E763F">
        <w:rPr>
          <w:rFonts w:ascii="Cambria" w:hAnsi="Cambria"/>
          <w:sz w:val="20"/>
          <w:szCs w:val="20"/>
          <w:lang w:val="es-ES"/>
        </w:rPr>
        <w:t>En primer lugar, c</w:t>
      </w:r>
      <w:r w:rsidR="00BA6E42" w:rsidRPr="006E763F">
        <w:rPr>
          <w:rFonts w:ascii="Cambria" w:hAnsi="Cambria"/>
          <w:sz w:val="20"/>
          <w:szCs w:val="20"/>
          <w:lang w:val="es-ES"/>
        </w:rPr>
        <w:t xml:space="preserve">omo se estableció </w:t>
      </w:r>
      <w:r w:rsidR="00EF723F" w:rsidRPr="006E763F">
        <w:rPr>
          <w:rFonts w:ascii="Cambria" w:hAnsi="Cambria"/>
          <w:sz w:val="20"/>
          <w:szCs w:val="20"/>
          <w:lang w:val="es-ES"/>
        </w:rPr>
        <w:t>anteriormente, en el presente caso confluían al menos tres contextos relevantes para el análisis del caso. Por una parte, el contexto relativo a la identificación de sindicalistas dentro de la noción de enemigo interno en los manuales estatales de inteligencia y contraguerrilla, lo que tuvo un impacto directo en una alta incidencia en actos de violencia contra dichas personas, incluyendo ejecuciones y desapariciones forzadas. Por otra parte, se encuentra el contexto relativo a la violencia política en Colombia, conforme al cual se registraron cifras alarmantes de ejecuciones y desapariciones de personas vinculadas con ciertos partidos políticos con las características d</w:t>
      </w:r>
      <w:r w:rsidRPr="006E763F">
        <w:rPr>
          <w:rFonts w:ascii="Cambria" w:hAnsi="Cambria"/>
          <w:sz w:val="20"/>
          <w:szCs w:val="20"/>
          <w:lang w:val="es-ES"/>
        </w:rPr>
        <w:t>el PCC-ML. El tercer contexto relevante es el de la alta incidencia de la desaparición forzada en el marco del conflicto armado en Colombia, siendo dicha grave violación de derechos humanos jus</w:t>
      </w:r>
      <w:r w:rsidR="00530D1F" w:rsidRPr="006E763F">
        <w:rPr>
          <w:rFonts w:ascii="Cambria" w:hAnsi="Cambria"/>
          <w:sz w:val="20"/>
          <w:szCs w:val="20"/>
          <w:lang w:val="es-ES"/>
        </w:rPr>
        <w:t xml:space="preserve">tamente una de las documentadas </w:t>
      </w:r>
      <w:r w:rsidRPr="006E763F">
        <w:rPr>
          <w:rFonts w:ascii="Cambria" w:hAnsi="Cambria"/>
          <w:sz w:val="20"/>
          <w:szCs w:val="20"/>
          <w:lang w:val="es-ES"/>
        </w:rPr>
        <w:t xml:space="preserve">en el marco de los primeros dos contextos referidos.  </w:t>
      </w:r>
    </w:p>
    <w:p w14:paraId="65F0607F" w14:textId="77777777" w:rsidR="00EF723F" w:rsidRPr="006E763F" w:rsidRDefault="00EF723F" w:rsidP="00E923BB">
      <w:pPr>
        <w:pStyle w:val="ListParagraph"/>
        <w:rPr>
          <w:sz w:val="20"/>
          <w:szCs w:val="20"/>
          <w:lang w:val="es-ES"/>
        </w:rPr>
      </w:pPr>
    </w:p>
    <w:p w14:paraId="2C60D458" w14:textId="77777777" w:rsidR="007F4C8E" w:rsidRPr="006E763F" w:rsidRDefault="00EB0155"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ES"/>
        </w:rPr>
      </w:pPr>
      <w:r w:rsidRPr="006E763F">
        <w:rPr>
          <w:rFonts w:ascii="Cambria" w:hAnsi="Cambria"/>
          <w:sz w:val="20"/>
          <w:szCs w:val="20"/>
          <w:lang w:val="es-ES"/>
        </w:rPr>
        <w:t>En segundo lugar, la Comisión destaca que efectivamente, Pedro Julio Movilla Galarcio pertenecía a ambos grupos</w:t>
      </w:r>
      <w:r w:rsidR="003940C8" w:rsidRPr="006E763F">
        <w:rPr>
          <w:rFonts w:ascii="Cambria" w:hAnsi="Cambria"/>
          <w:sz w:val="20"/>
          <w:szCs w:val="20"/>
          <w:lang w:val="es-ES"/>
        </w:rPr>
        <w:t>, en su calidad de sindicalista y por su militancia política en el PCC-ML.</w:t>
      </w:r>
      <w:r w:rsidR="007F4C8E" w:rsidRPr="006E763F">
        <w:rPr>
          <w:rFonts w:ascii="Cambria" w:hAnsi="Cambria"/>
          <w:sz w:val="20"/>
          <w:szCs w:val="20"/>
          <w:lang w:val="es-ES"/>
        </w:rPr>
        <w:t xml:space="preserve"> El detalle de sus actividades se encuentra referido en los hechos probados.</w:t>
      </w:r>
    </w:p>
    <w:p w14:paraId="19BEFFB9" w14:textId="77777777" w:rsidR="007F4C8E" w:rsidRPr="006E763F" w:rsidRDefault="007F4C8E" w:rsidP="00E923BB">
      <w:pPr>
        <w:pStyle w:val="ListParagraph"/>
        <w:rPr>
          <w:sz w:val="20"/>
          <w:szCs w:val="20"/>
          <w:lang w:val="es-ES"/>
        </w:rPr>
      </w:pPr>
    </w:p>
    <w:p w14:paraId="47454699" w14:textId="1124B388" w:rsidR="00EB0155" w:rsidRPr="00E923BB" w:rsidRDefault="007F4C8E"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ES"/>
        </w:rPr>
      </w:pPr>
      <w:r w:rsidRPr="00E923BB">
        <w:rPr>
          <w:rFonts w:ascii="Cambria" w:hAnsi="Cambria"/>
          <w:sz w:val="20"/>
          <w:szCs w:val="20"/>
          <w:lang w:val="es-ES"/>
        </w:rPr>
        <w:t xml:space="preserve">En tercer lugar, la Comisión resalta </w:t>
      </w:r>
      <w:r w:rsidR="008E2D6E" w:rsidRPr="00E923BB">
        <w:rPr>
          <w:rFonts w:ascii="Cambria" w:hAnsi="Cambria"/>
          <w:sz w:val="20"/>
          <w:szCs w:val="20"/>
          <w:lang w:val="es-ES"/>
        </w:rPr>
        <w:t xml:space="preserve">la descripción consistente de la esposa del señor Movilla Galarcio sobre los seguimientos anteriores a la desaparición, los cuales asoció </w:t>
      </w:r>
      <w:r w:rsidR="00413961" w:rsidRPr="00E923BB">
        <w:rPr>
          <w:rFonts w:ascii="Cambria" w:hAnsi="Cambria"/>
          <w:sz w:val="20"/>
          <w:szCs w:val="20"/>
          <w:lang w:val="es-ES"/>
        </w:rPr>
        <w:t>a cuerpos de seguridad del Estado</w:t>
      </w:r>
      <w:r w:rsidR="001C28C4" w:rsidRPr="00E923BB">
        <w:rPr>
          <w:rFonts w:ascii="Cambria" w:hAnsi="Cambria"/>
          <w:sz w:val="20"/>
          <w:szCs w:val="20"/>
          <w:lang w:val="es-ES"/>
        </w:rPr>
        <w:t>. La Comisión llama la atención respecto de los desplazamientos de la presunta víctima y su familia, como resultado de estos actos de persecución, incluyendo seguimientos, avistamiento de vehículos desconocidos estacionados fuera de su casa, las advertencias de desconocidos en la calle a la presunta víctima para que se preocupe por su seguridad, entre otros. La Comisión encuentra que</w:t>
      </w:r>
      <w:r w:rsidR="00413961" w:rsidRPr="00E923BB">
        <w:rPr>
          <w:rFonts w:ascii="Cambria" w:hAnsi="Cambria"/>
          <w:sz w:val="20"/>
          <w:szCs w:val="20"/>
          <w:lang w:val="es-ES"/>
        </w:rPr>
        <w:t xml:space="preserve"> todo lo descrito sobre seguimientos anteriores, se explica y resulta consistente con las labores de inteligencia que se realizaron contra el señor Movilla Galarcio</w:t>
      </w:r>
      <w:r w:rsidR="00901ABB" w:rsidRPr="00E923BB">
        <w:rPr>
          <w:rFonts w:ascii="Cambria" w:hAnsi="Cambria"/>
          <w:sz w:val="20"/>
          <w:szCs w:val="20"/>
          <w:lang w:val="es-ES"/>
        </w:rPr>
        <w:t>, como se pasa a indicar.</w:t>
      </w:r>
      <w:r w:rsidR="00413961" w:rsidRPr="00E923BB">
        <w:rPr>
          <w:rFonts w:ascii="Cambria" w:hAnsi="Cambria"/>
          <w:sz w:val="20"/>
          <w:szCs w:val="20"/>
          <w:lang w:val="es-ES"/>
        </w:rPr>
        <w:t xml:space="preserve"> </w:t>
      </w:r>
    </w:p>
    <w:p w14:paraId="4C2F1C72" w14:textId="77777777" w:rsidR="00413961" w:rsidRPr="006E763F" w:rsidRDefault="00413961" w:rsidP="00E923BB">
      <w:pPr>
        <w:pStyle w:val="ListParagraph"/>
        <w:rPr>
          <w:sz w:val="20"/>
          <w:szCs w:val="20"/>
          <w:lang w:val="es-ES"/>
        </w:rPr>
      </w:pPr>
    </w:p>
    <w:p w14:paraId="6BF9A379" w14:textId="78815166" w:rsidR="00710927" w:rsidRPr="006E763F" w:rsidRDefault="00413961"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ES"/>
        </w:rPr>
      </w:pPr>
      <w:r w:rsidRPr="006E763F">
        <w:rPr>
          <w:rFonts w:ascii="Cambria" w:hAnsi="Cambria"/>
          <w:sz w:val="20"/>
          <w:szCs w:val="20"/>
          <w:lang w:val="es-ES"/>
        </w:rPr>
        <w:t>En cuarto lugar, se encuentran justamente la</w:t>
      </w:r>
      <w:r w:rsidR="004F1C51" w:rsidRPr="006E763F">
        <w:rPr>
          <w:rFonts w:ascii="Cambria" w:hAnsi="Cambria"/>
          <w:sz w:val="20"/>
          <w:szCs w:val="20"/>
          <w:lang w:val="es-ES"/>
        </w:rPr>
        <w:t>s</w:t>
      </w:r>
      <w:r w:rsidRPr="006E763F">
        <w:rPr>
          <w:rFonts w:ascii="Cambria" w:hAnsi="Cambria"/>
          <w:sz w:val="20"/>
          <w:szCs w:val="20"/>
          <w:lang w:val="es-ES"/>
        </w:rPr>
        <w:t xml:space="preserve"> actividades de inteligencia por parte de cuerpos de seguridad el Estado colombiano</w:t>
      </w:r>
      <w:r w:rsidR="00C83587" w:rsidRPr="006E763F">
        <w:rPr>
          <w:rFonts w:ascii="Cambria" w:hAnsi="Cambria"/>
          <w:sz w:val="20"/>
          <w:szCs w:val="20"/>
          <w:lang w:val="es-ES"/>
        </w:rPr>
        <w:t xml:space="preserve"> previo a la desaparición del señor Movilla Galarcio</w:t>
      </w:r>
      <w:r w:rsidR="00DB130F" w:rsidRPr="006E763F">
        <w:rPr>
          <w:rFonts w:ascii="Cambria" w:hAnsi="Cambria"/>
          <w:sz w:val="20"/>
          <w:szCs w:val="20"/>
          <w:lang w:val="es-ES"/>
        </w:rPr>
        <w:t>. La Comisión considera particularmente relevante que dichas actividades de inteligencia identificaban a la presunta víctima con detalles tanto de su labor sindical como de su militancia política. Asimismo, se le vincula a un grupo guerrillero</w:t>
      </w:r>
      <w:r w:rsidR="00635154" w:rsidRPr="006E763F">
        <w:rPr>
          <w:rFonts w:ascii="Cambria" w:hAnsi="Cambria"/>
          <w:sz w:val="20"/>
          <w:szCs w:val="20"/>
          <w:lang w:val="es-ES"/>
        </w:rPr>
        <w:t xml:space="preserve"> con anotaciones tales como “adiestrador delictivo”, “EPL/disidente” o “miembro de grupo armado”.</w:t>
      </w:r>
      <w:r w:rsidR="00DB130F" w:rsidRPr="006E763F">
        <w:rPr>
          <w:rFonts w:ascii="Cambria" w:hAnsi="Cambria"/>
          <w:sz w:val="20"/>
          <w:szCs w:val="20"/>
          <w:lang w:val="es-ES"/>
        </w:rPr>
        <w:t xml:space="preserve"> Las tres caracterizaciones en estas anotaciones de inteligencia, conforme a los contextos ya referidos, permiten</w:t>
      </w:r>
      <w:r w:rsidR="00635154" w:rsidRPr="006E763F">
        <w:rPr>
          <w:rFonts w:ascii="Cambria" w:hAnsi="Cambria"/>
          <w:sz w:val="20"/>
          <w:szCs w:val="20"/>
          <w:lang w:val="es-ES"/>
        </w:rPr>
        <w:t xml:space="preserve"> afirmar que dichas labores de inteligencia colocaron a</w:t>
      </w:r>
      <w:r w:rsidR="00DB130F" w:rsidRPr="006E763F">
        <w:rPr>
          <w:rFonts w:ascii="Cambria" w:hAnsi="Cambria"/>
          <w:sz w:val="20"/>
          <w:szCs w:val="20"/>
          <w:lang w:val="es-ES"/>
        </w:rPr>
        <w:t>l señor Movilla Galarcio</w:t>
      </w:r>
      <w:r w:rsidR="00635154" w:rsidRPr="006E763F">
        <w:rPr>
          <w:rFonts w:ascii="Cambria" w:hAnsi="Cambria"/>
          <w:sz w:val="20"/>
          <w:szCs w:val="20"/>
          <w:lang w:val="es-ES"/>
        </w:rPr>
        <w:t xml:space="preserve"> en posición de ser </w:t>
      </w:r>
      <w:r w:rsidR="00DB130F" w:rsidRPr="006E763F">
        <w:rPr>
          <w:rFonts w:ascii="Cambria" w:hAnsi="Cambria"/>
          <w:sz w:val="20"/>
          <w:szCs w:val="20"/>
          <w:lang w:val="es-ES"/>
        </w:rPr>
        <w:t xml:space="preserve">blanco </w:t>
      </w:r>
      <w:r w:rsidR="00FC2112" w:rsidRPr="006E763F">
        <w:rPr>
          <w:rFonts w:ascii="Cambria" w:hAnsi="Cambria"/>
          <w:sz w:val="20"/>
          <w:szCs w:val="20"/>
          <w:lang w:val="es-ES"/>
        </w:rPr>
        <w:t>de los cuerpos de seguridad del Estado en la época de los hechos. Además, la CIDH no deja de nota</w:t>
      </w:r>
      <w:r w:rsidR="000A522B" w:rsidRPr="006E763F">
        <w:rPr>
          <w:rFonts w:ascii="Cambria" w:hAnsi="Cambria"/>
          <w:sz w:val="20"/>
          <w:szCs w:val="20"/>
          <w:lang w:val="es-ES"/>
        </w:rPr>
        <w:t>r</w:t>
      </w:r>
      <w:r w:rsidR="00FC2112" w:rsidRPr="006E763F">
        <w:rPr>
          <w:rFonts w:ascii="Cambria" w:hAnsi="Cambria"/>
          <w:sz w:val="20"/>
          <w:szCs w:val="20"/>
          <w:lang w:val="es-ES"/>
        </w:rPr>
        <w:t xml:space="preserve"> el nivel de detalle en las labores de inteligencia, llegando a especificar la dirección de su casa, sus desplazamientos y lugares que frecuentaba incluso en diversas ciudades de </w:t>
      </w:r>
      <w:r w:rsidR="00212ECE" w:rsidRPr="006E763F">
        <w:rPr>
          <w:rFonts w:ascii="Cambria" w:hAnsi="Cambria"/>
          <w:sz w:val="20"/>
          <w:szCs w:val="20"/>
          <w:lang w:val="es-ES"/>
        </w:rPr>
        <w:t>Colombia.</w:t>
      </w:r>
    </w:p>
    <w:p w14:paraId="48DAF56F" w14:textId="77777777" w:rsidR="000A522B" w:rsidRPr="006E763F" w:rsidRDefault="000A522B" w:rsidP="00E923BB">
      <w:pPr>
        <w:pStyle w:val="ListParagraph"/>
        <w:rPr>
          <w:sz w:val="20"/>
          <w:szCs w:val="20"/>
          <w:lang w:val="es-ES"/>
        </w:rPr>
      </w:pPr>
    </w:p>
    <w:p w14:paraId="2F03E53D" w14:textId="77777777" w:rsidR="0043661F" w:rsidRPr="006E763F" w:rsidRDefault="000A522B"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ES"/>
        </w:rPr>
      </w:pPr>
      <w:r w:rsidRPr="006E763F">
        <w:rPr>
          <w:rFonts w:ascii="Cambria" w:hAnsi="Cambria"/>
          <w:sz w:val="20"/>
          <w:szCs w:val="20"/>
          <w:lang w:val="es-ES"/>
        </w:rPr>
        <w:t xml:space="preserve">En quinto lugar, la CIDH resalta la declaración de Humberto Javier Callejas Rúa, quien afirmó que estando detenido fue golpeado e interrogado sobre las actividades del señor Movilla Galarcio. </w:t>
      </w:r>
      <w:r w:rsidR="0043661F" w:rsidRPr="006E763F">
        <w:rPr>
          <w:rFonts w:ascii="Cambria" w:hAnsi="Cambria"/>
          <w:sz w:val="20"/>
          <w:szCs w:val="20"/>
          <w:lang w:val="es-ES"/>
        </w:rPr>
        <w:t xml:space="preserve">Esta declaración resulta consistente con el hecho de que efectivamente la presunta víctima estaba siendo seguida y vigilada por el Estado, tal como se refirió en los dos puntos anteriores. </w:t>
      </w:r>
    </w:p>
    <w:p w14:paraId="437E1B38" w14:textId="77777777" w:rsidR="0043661F" w:rsidRPr="006E763F" w:rsidRDefault="0043661F" w:rsidP="00E923BB">
      <w:pPr>
        <w:pStyle w:val="ListParagraph"/>
        <w:rPr>
          <w:sz w:val="20"/>
          <w:szCs w:val="20"/>
          <w:lang w:val="es-ES"/>
        </w:rPr>
      </w:pPr>
    </w:p>
    <w:p w14:paraId="24A9BA86" w14:textId="6A7225DB" w:rsidR="00713291" w:rsidRPr="006E763F" w:rsidRDefault="0043661F"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ES"/>
        </w:rPr>
      </w:pPr>
      <w:r w:rsidRPr="006E763F">
        <w:rPr>
          <w:rFonts w:ascii="Cambria" w:hAnsi="Cambria"/>
          <w:sz w:val="20"/>
          <w:szCs w:val="20"/>
          <w:lang w:val="es-ES"/>
        </w:rPr>
        <w:t>En sexto lugar, la Comisión observa que surge un indicio más de participación del Estado en la desaparición del señor Movilla Galarcio, consistente en los disparos al aire realizados por el señor Pabón el día de los hechos, mediante un a</w:t>
      </w:r>
      <w:r w:rsidR="00530D1F" w:rsidRPr="006E763F">
        <w:rPr>
          <w:rFonts w:ascii="Cambria" w:hAnsi="Cambria"/>
          <w:sz w:val="20"/>
          <w:szCs w:val="20"/>
          <w:lang w:val="es-ES"/>
        </w:rPr>
        <w:t>rma que era de propiedad de un</w:t>
      </w:r>
      <w:r w:rsidRPr="006E763F">
        <w:rPr>
          <w:rFonts w:ascii="Cambria" w:hAnsi="Cambria"/>
          <w:sz w:val="20"/>
          <w:szCs w:val="20"/>
          <w:lang w:val="es-ES"/>
        </w:rPr>
        <w:t xml:space="preserve"> policía. Como se desprende de los hechos probados, </w:t>
      </w:r>
      <w:r w:rsidR="0053287F" w:rsidRPr="006E763F">
        <w:rPr>
          <w:rFonts w:ascii="Cambria" w:hAnsi="Cambria"/>
          <w:sz w:val="20"/>
          <w:szCs w:val="20"/>
          <w:lang w:val="es-ES"/>
        </w:rPr>
        <w:t xml:space="preserve">aunque el referido </w:t>
      </w:r>
      <w:r w:rsidR="00530D1F" w:rsidRPr="006E763F">
        <w:rPr>
          <w:rFonts w:ascii="Cambria" w:hAnsi="Cambria"/>
          <w:sz w:val="20"/>
          <w:szCs w:val="20"/>
          <w:lang w:val="es-ES"/>
        </w:rPr>
        <w:t>policía</w:t>
      </w:r>
      <w:r w:rsidR="0053287F" w:rsidRPr="006E763F">
        <w:rPr>
          <w:rFonts w:ascii="Cambria" w:hAnsi="Cambria"/>
          <w:sz w:val="20"/>
          <w:szCs w:val="20"/>
          <w:lang w:val="es-ES"/>
        </w:rPr>
        <w:t xml:space="preserve"> afirmó que </w:t>
      </w:r>
      <w:r w:rsidR="00945E26" w:rsidRPr="006E763F">
        <w:rPr>
          <w:rFonts w:ascii="Cambria" w:hAnsi="Cambria"/>
          <w:sz w:val="20"/>
          <w:szCs w:val="20"/>
          <w:lang w:val="es-ES"/>
        </w:rPr>
        <w:t xml:space="preserve">había interpuesto una denuncia por la pérdida del arma, ello no pudo ser constatado por la Fiscalía General y el Estado no ha logrado explicar satisfactoriamente esta situación. </w:t>
      </w:r>
    </w:p>
    <w:p w14:paraId="5AD37027" w14:textId="77777777" w:rsidR="00252709" w:rsidRPr="006E763F" w:rsidRDefault="00252709" w:rsidP="00E923BB">
      <w:pPr>
        <w:pStyle w:val="ListParagraph"/>
        <w:rPr>
          <w:sz w:val="20"/>
          <w:szCs w:val="20"/>
          <w:lang w:val="es-ES"/>
        </w:rPr>
      </w:pPr>
    </w:p>
    <w:p w14:paraId="3C147BB5" w14:textId="3ABE0322" w:rsidR="00A67A1B" w:rsidRPr="006E763F" w:rsidRDefault="00252709"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ES"/>
        </w:rPr>
      </w:pPr>
      <w:r w:rsidRPr="006E763F">
        <w:rPr>
          <w:rFonts w:ascii="Cambria" w:hAnsi="Cambria"/>
          <w:sz w:val="20"/>
          <w:szCs w:val="20"/>
          <w:lang w:val="es-ES"/>
        </w:rPr>
        <w:t>Finalmente, la Comisión observa que existiendo todos los elementos anteriores que apuntan a la privación de libertad por parte de agentes estatales, el Estado no aportó una hipótesis alternativa con base en una investigación diligente y efectiva. Como se analizará más adelante, el Estado no investigó debidamente todos los elementos mencionados hasta el momento</w:t>
      </w:r>
      <w:r w:rsidR="00A67A1B" w:rsidRPr="006E763F">
        <w:rPr>
          <w:rFonts w:ascii="Cambria" w:hAnsi="Cambria"/>
          <w:sz w:val="20"/>
          <w:szCs w:val="20"/>
          <w:lang w:val="es-ES"/>
        </w:rPr>
        <w:t xml:space="preserve"> y a la fecha no ha logrado esclarecer lo sucedido a Pedro Julio Movilla Galarcio. Esta situación, imputable al Estado, otorga fuerza probatoria a los indicios de participación estatal ya referidos. </w:t>
      </w:r>
    </w:p>
    <w:p w14:paraId="210ACBB6" w14:textId="77777777" w:rsidR="009D5876" w:rsidRPr="006E763F" w:rsidRDefault="009D5876" w:rsidP="00E923BB">
      <w:pPr>
        <w:rPr>
          <w:rFonts w:ascii="Cambria" w:hAnsi="Cambria"/>
          <w:sz w:val="20"/>
          <w:szCs w:val="20"/>
          <w:lang w:val="es-ES"/>
        </w:rPr>
      </w:pPr>
    </w:p>
    <w:p w14:paraId="3635D092" w14:textId="4BF4E5E7" w:rsidR="00EF172F" w:rsidRPr="006E763F" w:rsidRDefault="009E7E98"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bCs/>
          <w:sz w:val="20"/>
          <w:szCs w:val="20"/>
          <w:lang w:val="es-ES"/>
        </w:rPr>
      </w:pPr>
      <w:r w:rsidRPr="006E763F">
        <w:rPr>
          <w:rFonts w:ascii="Cambria" w:hAnsi="Cambria"/>
          <w:sz w:val="20"/>
          <w:szCs w:val="20"/>
          <w:lang w:val="es-ES"/>
        </w:rPr>
        <w:t>En virtud de todo lo ante</w:t>
      </w:r>
      <w:r w:rsidR="002D4533" w:rsidRPr="006E763F">
        <w:rPr>
          <w:rFonts w:ascii="Cambria" w:hAnsi="Cambria"/>
          <w:sz w:val="20"/>
          <w:szCs w:val="20"/>
          <w:lang w:val="es-ES"/>
        </w:rPr>
        <w:t>rior, la Comisión considera que</w:t>
      </w:r>
      <w:r w:rsidR="00866A03" w:rsidRPr="006E763F">
        <w:rPr>
          <w:rFonts w:ascii="Cambria" w:hAnsi="Cambria"/>
          <w:sz w:val="20"/>
          <w:szCs w:val="20"/>
          <w:lang w:val="es-ES"/>
        </w:rPr>
        <w:t xml:space="preserve"> existen suficientes elementos que, en su conjunto, permiten </w:t>
      </w:r>
      <w:r w:rsidR="002E6041" w:rsidRPr="006E763F">
        <w:rPr>
          <w:rFonts w:ascii="Cambria" w:hAnsi="Cambria"/>
          <w:sz w:val="20"/>
          <w:szCs w:val="20"/>
          <w:lang w:val="es-ES"/>
        </w:rPr>
        <w:t>conc</w:t>
      </w:r>
      <w:r w:rsidRPr="006E763F">
        <w:rPr>
          <w:rFonts w:ascii="Cambria" w:hAnsi="Cambria"/>
          <w:sz w:val="20"/>
          <w:szCs w:val="20"/>
          <w:lang w:val="es-ES"/>
        </w:rPr>
        <w:t xml:space="preserve">luir que </w:t>
      </w:r>
      <w:r w:rsidR="002E6041" w:rsidRPr="006E763F">
        <w:rPr>
          <w:rFonts w:ascii="Cambria" w:hAnsi="Cambria"/>
          <w:sz w:val="20"/>
          <w:szCs w:val="20"/>
          <w:lang w:val="es-ES"/>
        </w:rPr>
        <w:t xml:space="preserve">la privación de la libertad de </w:t>
      </w:r>
      <w:r w:rsidRPr="006E763F">
        <w:rPr>
          <w:rFonts w:ascii="Cambria" w:hAnsi="Cambria"/>
          <w:sz w:val="20"/>
          <w:szCs w:val="20"/>
          <w:lang w:val="es-ES"/>
        </w:rPr>
        <w:t xml:space="preserve">Pedro Julio Movilla </w:t>
      </w:r>
      <w:r w:rsidR="00907573" w:rsidRPr="006E763F">
        <w:rPr>
          <w:rFonts w:ascii="Cambria" w:hAnsi="Cambria"/>
          <w:sz w:val="20"/>
          <w:szCs w:val="20"/>
          <w:lang w:val="es-ES"/>
        </w:rPr>
        <w:t xml:space="preserve">Galarcio </w:t>
      </w:r>
      <w:r w:rsidRPr="006E763F">
        <w:rPr>
          <w:rFonts w:ascii="Cambria" w:hAnsi="Cambria"/>
          <w:sz w:val="20"/>
          <w:szCs w:val="20"/>
          <w:lang w:val="es-ES"/>
        </w:rPr>
        <w:t xml:space="preserve">fue </w:t>
      </w:r>
      <w:r w:rsidR="002E6041" w:rsidRPr="006E763F">
        <w:rPr>
          <w:rFonts w:ascii="Cambria" w:hAnsi="Cambria"/>
          <w:sz w:val="20"/>
          <w:szCs w:val="20"/>
          <w:lang w:val="es-ES"/>
        </w:rPr>
        <w:t xml:space="preserve">ejecutada por </w:t>
      </w:r>
      <w:r w:rsidRPr="006E763F">
        <w:rPr>
          <w:rFonts w:ascii="Cambria" w:hAnsi="Cambria"/>
          <w:sz w:val="20"/>
          <w:szCs w:val="20"/>
          <w:lang w:val="es-ES"/>
        </w:rPr>
        <w:t>agentes estatales</w:t>
      </w:r>
      <w:r w:rsidR="002E6041" w:rsidRPr="006E763F">
        <w:rPr>
          <w:rFonts w:ascii="Cambria" w:hAnsi="Cambria"/>
          <w:sz w:val="20"/>
          <w:szCs w:val="20"/>
          <w:lang w:val="es-ES"/>
        </w:rPr>
        <w:t xml:space="preserve">. </w:t>
      </w:r>
    </w:p>
    <w:p w14:paraId="498F4782" w14:textId="77777777" w:rsidR="002E6041" w:rsidRPr="006E763F" w:rsidRDefault="002E6041" w:rsidP="00E923BB">
      <w:pPr>
        <w:rPr>
          <w:rFonts w:ascii="Cambria" w:hAnsi="Cambria"/>
          <w:b/>
          <w:bCs/>
          <w:sz w:val="20"/>
          <w:szCs w:val="20"/>
          <w:lang w:val="es-ES"/>
        </w:rPr>
      </w:pPr>
    </w:p>
    <w:p w14:paraId="18B7113C" w14:textId="602A8407" w:rsidR="00EC310A" w:rsidRPr="006E763F" w:rsidRDefault="0051495C" w:rsidP="00E923BB">
      <w:pPr>
        <w:pStyle w:val="Body"/>
        <w:ind w:firstLine="720"/>
        <w:rPr>
          <w:b/>
          <w:bCs/>
          <w:lang w:val="es-ES"/>
        </w:rPr>
      </w:pPr>
      <w:r w:rsidRPr="006E763F">
        <w:rPr>
          <w:b/>
          <w:bCs/>
          <w:lang w:val="es-ES"/>
        </w:rPr>
        <w:t xml:space="preserve">2.2 </w:t>
      </w:r>
      <w:r w:rsidRPr="006E763F">
        <w:rPr>
          <w:b/>
          <w:bCs/>
          <w:lang w:val="es-ES"/>
        </w:rPr>
        <w:tab/>
        <w:t>L</w:t>
      </w:r>
      <w:r w:rsidR="009E7E98" w:rsidRPr="006E763F">
        <w:rPr>
          <w:b/>
          <w:bCs/>
          <w:lang w:val="es-ES"/>
        </w:rPr>
        <w:t xml:space="preserve">a negativa de reconocer </w:t>
      </w:r>
      <w:r w:rsidR="00EF172F" w:rsidRPr="006E763F">
        <w:rPr>
          <w:b/>
          <w:bCs/>
          <w:lang w:val="es-ES"/>
        </w:rPr>
        <w:t>la detención</w:t>
      </w:r>
      <w:r w:rsidR="009E7E98" w:rsidRPr="006E763F">
        <w:rPr>
          <w:b/>
          <w:bCs/>
          <w:lang w:val="es-ES"/>
        </w:rPr>
        <w:t xml:space="preserve"> o de revelar la suerte o paradero de la persona </w:t>
      </w:r>
    </w:p>
    <w:p w14:paraId="421CD774" w14:textId="77777777" w:rsidR="00EC310A" w:rsidRPr="006E763F" w:rsidRDefault="00EC310A" w:rsidP="00E923BB">
      <w:pPr>
        <w:pStyle w:val="Body"/>
        <w:ind w:firstLine="249"/>
        <w:rPr>
          <w:b/>
          <w:bCs/>
          <w:lang w:val="es-ES"/>
        </w:rPr>
      </w:pPr>
    </w:p>
    <w:p w14:paraId="678260DE" w14:textId="324B7969" w:rsidR="00547C71" w:rsidRPr="006E763F" w:rsidRDefault="00A0538A"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Gothic" w:hAnsi="Cambria"/>
          <w:bCs/>
          <w:sz w:val="20"/>
          <w:szCs w:val="20"/>
          <w:lang w:val="es-ES"/>
        </w:rPr>
      </w:pPr>
      <w:r w:rsidRPr="006E763F">
        <w:rPr>
          <w:rFonts w:ascii="Cambria" w:hAnsi="Cambria"/>
          <w:sz w:val="20"/>
          <w:szCs w:val="20"/>
          <w:bdr w:val="none" w:sz="0" w:space="0" w:color="auto" w:frame="1"/>
          <w:lang w:val="es-ES"/>
        </w:rPr>
        <w:t xml:space="preserve">En este punto, la CIDH considera pertinente tomar en cuenta </w:t>
      </w:r>
      <w:r w:rsidR="00547C71" w:rsidRPr="006E763F">
        <w:rPr>
          <w:rFonts w:ascii="Cambria" w:hAnsi="Cambria"/>
          <w:sz w:val="20"/>
          <w:szCs w:val="20"/>
          <w:lang w:val="es-ES"/>
        </w:rPr>
        <w:t>la</w:t>
      </w:r>
      <w:r w:rsidR="000D1F8E" w:rsidRPr="006E763F">
        <w:rPr>
          <w:rFonts w:ascii="Cambria" w:hAnsi="Cambria"/>
          <w:sz w:val="20"/>
          <w:szCs w:val="20"/>
          <w:lang w:val="es-ES"/>
        </w:rPr>
        <w:t xml:space="preserve"> respuesta estatal</w:t>
      </w:r>
      <w:r w:rsidR="00547C71" w:rsidRPr="006E763F">
        <w:rPr>
          <w:rFonts w:ascii="Cambria" w:hAnsi="Cambria"/>
          <w:sz w:val="20"/>
          <w:szCs w:val="20"/>
          <w:lang w:val="es-ES"/>
        </w:rPr>
        <w:t xml:space="preserve"> ante la interposición del </w:t>
      </w:r>
      <w:r w:rsidR="00547C71" w:rsidRPr="006E763F">
        <w:rPr>
          <w:rFonts w:ascii="Cambria" w:hAnsi="Cambria"/>
          <w:i/>
          <w:sz w:val="20"/>
          <w:szCs w:val="20"/>
          <w:lang w:val="es-ES"/>
        </w:rPr>
        <w:t>hábeas corpus</w:t>
      </w:r>
      <w:r w:rsidR="00547C71" w:rsidRPr="006E763F">
        <w:rPr>
          <w:rFonts w:ascii="Cambria" w:hAnsi="Cambria"/>
          <w:sz w:val="20"/>
          <w:szCs w:val="20"/>
          <w:lang w:val="es-ES"/>
        </w:rPr>
        <w:t xml:space="preserve">, las visitas a los centros de detención para la ubicación física de la presunta víctima, las explicaciones respecto </w:t>
      </w:r>
      <w:r w:rsidR="00D74250" w:rsidRPr="006E763F">
        <w:rPr>
          <w:rFonts w:ascii="Cambria" w:hAnsi="Cambria"/>
          <w:sz w:val="20"/>
          <w:szCs w:val="20"/>
          <w:lang w:val="es-ES"/>
        </w:rPr>
        <w:t>de las acciones de inteligencia</w:t>
      </w:r>
      <w:r w:rsidR="007A4688" w:rsidRPr="006E763F">
        <w:rPr>
          <w:rFonts w:ascii="Cambria" w:hAnsi="Cambria"/>
          <w:sz w:val="20"/>
          <w:szCs w:val="20"/>
          <w:lang w:val="es-ES"/>
        </w:rPr>
        <w:t xml:space="preserve"> previas y otras labores de búsqueda. </w:t>
      </w:r>
    </w:p>
    <w:p w14:paraId="0FCB1BCA" w14:textId="77777777" w:rsidR="00D74250" w:rsidRPr="006E763F" w:rsidRDefault="00D74250" w:rsidP="00E923BB">
      <w:pPr>
        <w:pStyle w:val="ListParagraph"/>
        <w:ind w:left="249" w:firstLine="0"/>
        <w:rPr>
          <w:rFonts w:eastAsia="MS Gothic"/>
          <w:bCs/>
          <w:sz w:val="20"/>
          <w:szCs w:val="20"/>
          <w:lang w:val="es-ES"/>
        </w:rPr>
      </w:pPr>
    </w:p>
    <w:p w14:paraId="1EC5086B" w14:textId="77777777" w:rsidR="00693AAA" w:rsidRPr="006E763F" w:rsidRDefault="00D74250"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ES"/>
        </w:rPr>
      </w:pPr>
      <w:r w:rsidRPr="006E763F">
        <w:rPr>
          <w:rFonts w:ascii="Cambria" w:hAnsi="Cambria"/>
          <w:bCs/>
          <w:sz w:val="20"/>
          <w:szCs w:val="20"/>
          <w:lang w:val="es-ES"/>
        </w:rPr>
        <w:t xml:space="preserve">Pedro Julio Movilla Galarcio desapareció el 13 de mayo de 1993 y la primera acción judicial interpuesta para su búsqueda fue un </w:t>
      </w:r>
      <w:r w:rsidRPr="006E763F">
        <w:rPr>
          <w:rFonts w:ascii="Cambria" w:hAnsi="Cambria"/>
          <w:bCs/>
          <w:i/>
          <w:sz w:val="20"/>
          <w:szCs w:val="20"/>
          <w:lang w:val="es-ES"/>
        </w:rPr>
        <w:t>hábeas corpus</w:t>
      </w:r>
      <w:r w:rsidR="006D39A7" w:rsidRPr="006E763F">
        <w:rPr>
          <w:rFonts w:ascii="Cambria" w:hAnsi="Cambria"/>
          <w:bCs/>
          <w:i/>
          <w:sz w:val="20"/>
          <w:szCs w:val="20"/>
          <w:lang w:val="es-ES"/>
        </w:rPr>
        <w:t xml:space="preserve"> </w:t>
      </w:r>
      <w:r w:rsidR="006D39A7" w:rsidRPr="006E763F">
        <w:rPr>
          <w:rFonts w:ascii="Cambria" w:hAnsi="Cambria"/>
          <w:bCs/>
          <w:sz w:val="20"/>
          <w:szCs w:val="20"/>
          <w:lang w:val="es-ES"/>
        </w:rPr>
        <w:t>el 1</w:t>
      </w:r>
      <w:r w:rsidR="003F7244" w:rsidRPr="006E763F">
        <w:rPr>
          <w:rFonts w:ascii="Cambria" w:hAnsi="Cambria"/>
          <w:bCs/>
          <w:sz w:val="20"/>
          <w:szCs w:val="20"/>
          <w:lang w:val="es-ES"/>
        </w:rPr>
        <w:t>8</w:t>
      </w:r>
      <w:r w:rsidR="006D39A7" w:rsidRPr="006E763F">
        <w:rPr>
          <w:rFonts w:ascii="Cambria" w:hAnsi="Cambria"/>
          <w:bCs/>
          <w:sz w:val="20"/>
          <w:szCs w:val="20"/>
          <w:lang w:val="es-ES"/>
        </w:rPr>
        <w:t xml:space="preserve"> de mayo de 1993</w:t>
      </w:r>
      <w:r w:rsidRPr="006E763F">
        <w:rPr>
          <w:rFonts w:ascii="Cambria" w:hAnsi="Cambria"/>
          <w:bCs/>
          <w:sz w:val="20"/>
          <w:szCs w:val="20"/>
          <w:lang w:val="es-ES"/>
        </w:rPr>
        <w:t xml:space="preserve">. Sin </w:t>
      </w:r>
      <w:r w:rsidR="006D39A7" w:rsidRPr="006E763F">
        <w:rPr>
          <w:rFonts w:ascii="Cambria" w:hAnsi="Cambria"/>
          <w:bCs/>
          <w:sz w:val="20"/>
          <w:szCs w:val="20"/>
          <w:lang w:val="es-ES"/>
        </w:rPr>
        <w:t xml:space="preserve">embargo, el mismo </w:t>
      </w:r>
      <w:r w:rsidR="006D39A7" w:rsidRPr="006E763F">
        <w:rPr>
          <w:rFonts w:ascii="Cambria" w:hAnsi="Cambria"/>
          <w:sz w:val="20"/>
          <w:szCs w:val="20"/>
          <w:bdr w:val="none" w:sz="0" w:space="0" w:color="auto" w:frame="1"/>
          <w:lang w:val="es-ES"/>
        </w:rPr>
        <w:t>fue</w:t>
      </w:r>
      <w:r w:rsidR="006D39A7" w:rsidRPr="006E763F">
        <w:rPr>
          <w:rFonts w:ascii="Cambria" w:hAnsi="Cambria"/>
          <w:bCs/>
          <w:sz w:val="20"/>
          <w:szCs w:val="20"/>
          <w:lang w:val="es-ES"/>
        </w:rPr>
        <w:t xml:space="preserve"> rechazado</w:t>
      </w:r>
      <w:r w:rsidR="00200C36" w:rsidRPr="006E763F">
        <w:rPr>
          <w:rFonts w:ascii="Cambria" w:hAnsi="Cambria"/>
          <w:bCs/>
          <w:sz w:val="20"/>
          <w:szCs w:val="20"/>
          <w:lang w:val="es-ES"/>
        </w:rPr>
        <w:t xml:space="preserve"> al día siguiente, </w:t>
      </w:r>
      <w:r w:rsidRPr="006E763F">
        <w:rPr>
          <w:rFonts w:ascii="Cambria" w:hAnsi="Cambria"/>
          <w:bCs/>
          <w:sz w:val="20"/>
          <w:szCs w:val="20"/>
          <w:lang w:val="es-ES"/>
        </w:rPr>
        <w:t>dado que no se indicó el lugar de la detención</w:t>
      </w:r>
      <w:r w:rsidR="006D39A7" w:rsidRPr="006E763F">
        <w:rPr>
          <w:rFonts w:ascii="Cambria" w:hAnsi="Cambria"/>
          <w:bCs/>
          <w:sz w:val="20"/>
          <w:szCs w:val="20"/>
          <w:lang w:val="es-ES"/>
        </w:rPr>
        <w:t xml:space="preserve">. Al respecto, la Comisión encuentra que el </w:t>
      </w:r>
      <w:r w:rsidR="006D39A7" w:rsidRPr="006E763F">
        <w:rPr>
          <w:rFonts w:ascii="Cambria" w:hAnsi="Cambria"/>
          <w:bCs/>
          <w:i/>
          <w:sz w:val="20"/>
          <w:szCs w:val="20"/>
          <w:lang w:val="es-ES"/>
        </w:rPr>
        <w:t xml:space="preserve">hábeas corpus </w:t>
      </w:r>
      <w:r w:rsidR="006D39A7" w:rsidRPr="006E763F">
        <w:rPr>
          <w:rFonts w:ascii="Cambria" w:hAnsi="Cambria"/>
          <w:bCs/>
          <w:sz w:val="20"/>
          <w:szCs w:val="20"/>
          <w:lang w:val="es-ES"/>
        </w:rPr>
        <w:t xml:space="preserve">es el mecanismo procesal idóneo para iniciar la búsqueda de una persona desaparecida, sobre todo en situaciones de total desconocimiento de su suerte. En estos términos, el rechazo </w:t>
      </w:r>
      <w:r w:rsidR="00C22AF9" w:rsidRPr="006E763F">
        <w:rPr>
          <w:rFonts w:ascii="Cambria" w:hAnsi="Cambria"/>
          <w:bCs/>
          <w:sz w:val="20"/>
          <w:szCs w:val="20"/>
          <w:lang w:val="es-ES"/>
        </w:rPr>
        <w:t xml:space="preserve">apresurado del </w:t>
      </w:r>
      <w:r w:rsidR="006D39A7" w:rsidRPr="006E763F">
        <w:rPr>
          <w:rFonts w:ascii="Cambria" w:hAnsi="Cambria"/>
          <w:bCs/>
          <w:i/>
          <w:sz w:val="20"/>
          <w:szCs w:val="20"/>
          <w:lang w:val="es-ES"/>
        </w:rPr>
        <w:t>hábeas corpus</w:t>
      </w:r>
      <w:r w:rsidR="006D39A7" w:rsidRPr="006E763F">
        <w:rPr>
          <w:rFonts w:ascii="Cambria" w:hAnsi="Cambria"/>
          <w:bCs/>
          <w:sz w:val="20"/>
          <w:szCs w:val="20"/>
          <w:lang w:val="es-ES"/>
        </w:rPr>
        <w:t xml:space="preserve"> </w:t>
      </w:r>
      <w:r w:rsidR="00C22AF9" w:rsidRPr="006E763F">
        <w:rPr>
          <w:rFonts w:ascii="Cambria" w:hAnsi="Cambria"/>
          <w:bCs/>
          <w:sz w:val="20"/>
          <w:szCs w:val="20"/>
          <w:lang w:val="es-ES"/>
        </w:rPr>
        <w:t>por dicha razón y sin emprender labores de búsqueda, equ</w:t>
      </w:r>
      <w:r w:rsidR="003F4B09" w:rsidRPr="006E763F">
        <w:rPr>
          <w:rFonts w:ascii="Cambria" w:hAnsi="Cambria"/>
          <w:bCs/>
          <w:sz w:val="20"/>
          <w:szCs w:val="20"/>
          <w:lang w:val="es-ES"/>
        </w:rPr>
        <w:t>i</w:t>
      </w:r>
      <w:r w:rsidR="00C22AF9" w:rsidRPr="006E763F">
        <w:rPr>
          <w:rFonts w:ascii="Cambria" w:hAnsi="Cambria"/>
          <w:bCs/>
          <w:sz w:val="20"/>
          <w:szCs w:val="20"/>
          <w:lang w:val="es-ES"/>
        </w:rPr>
        <w:t xml:space="preserve">valió en las circunstancias del caso a la negativa de establecer la detención y el destino del señor Movilla Galarcio. </w:t>
      </w:r>
    </w:p>
    <w:p w14:paraId="07E0AF97" w14:textId="77777777" w:rsidR="00693AAA" w:rsidRPr="006E763F" w:rsidRDefault="00693AAA" w:rsidP="00E923BB">
      <w:pPr>
        <w:pStyle w:val="ListParagraph"/>
        <w:rPr>
          <w:bCs/>
          <w:sz w:val="20"/>
          <w:szCs w:val="20"/>
          <w:lang w:val="es-ES"/>
        </w:rPr>
      </w:pPr>
    </w:p>
    <w:p w14:paraId="59538B25" w14:textId="5B63F164" w:rsidR="007E175C" w:rsidRPr="006E763F" w:rsidRDefault="00D16F6B"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ES"/>
        </w:rPr>
      </w:pPr>
      <w:r w:rsidRPr="006E763F">
        <w:rPr>
          <w:rFonts w:ascii="Cambria" w:hAnsi="Cambria"/>
          <w:bCs/>
          <w:sz w:val="20"/>
          <w:szCs w:val="20"/>
          <w:lang w:val="es-ES"/>
        </w:rPr>
        <w:t>E</w:t>
      </w:r>
      <w:r w:rsidR="006D39A7" w:rsidRPr="006E763F">
        <w:rPr>
          <w:rFonts w:ascii="Cambria" w:hAnsi="Cambria"/>
          <w:bCs/>
          <w:sz w:val="20"/>
          <w:szCs w:val="20"/>
          <w:lang w:val="es-ES"/>
        </w:rPr>
        <w:t xml:space="preserve">l Estado practicó tres visitas de búsqueda de la presunta víctima en centros de detención los días 20, 26 y 28 de </w:t>
      </w:r>
      <w:r w:rsidR="0000189E" w:rsidRPr="006E763F">
        <w:rPr>
          <w:rFonts w:ascii="Cambria" w:hAnsi="Cambria"/>
          <w:bCs/>
          <w:sz w:val="20"/>
          <w:szCs w:val="20"/>
          <w:lang w:val="es-ES"/>
        </w:rPr>
        <w:t>mayo</w:t>
      </w:r>
      <w:r w:rsidR="006D39A7" w:rsidRPr="006E763F">
        <w:rPr>
          <w:rFonts w:ascii="Cambria" w:hAnsi="Cambria"/>
          <w:bCs/>
          <w:sz w:val="20"/>
          <w:szCs w:val="20"/>
          <w:lang w:val="es-ES"/>
        </w:rPr>
        <w:t xml:space="preserve"> de 1993. </w:t>
      </w:r>
      <w:r w:rsidR="007C366A" w:rsidRPr="006E763F">
        <w:rPr>
          <w:rFonts w:ascii="Cambria" w:hAnsi="Cambria"/>
          <w:bCs/>
          <w:sz w:val="20"/>
          <w:szCs w:val="20"/>
          <w:lang w:val="es-ES"/>
        </w:rPr>
        <w:t xml:space="preserve">Es decir, el Estado practicó tres visitas en los primeros diez días posteriores a la denuncia de la desaparición, </w:t>
      </w:r>
      <w:r w:rsidR="0000189E" w:rsidRPr="006E763F">
        <w:rPr>
          <w:rFonts w:ascii="Cambria" w:hAnsi="Cambria"/>
          <w:bCs/>
          <w:sz w:val="20"/>
          <w:szCs w:val="20"/>
          <w:lang w:val="es-ES"/>
        </w:rPr>
        <w:t xml:space="preserve">en el marco de la investigación disciplinaria. Lo mismo ocurrió en el marco de la investigación penal, tal como se desprende de un informe del 31 de mayo de 1993 en el que la Fiscalía General da cuenta de visitas a instalaciones de medicina legal y oficios cursados a la Dijin, Sijin, DAS y Fuerzas Militares. La Comisión encuentra que estas acciones de búsqueda </w:t>
      </w:r>
      <w:r w:rsidR="00326811" w:rsidRPr="006E763F">
        <w:rPr>
          <w:rFonts w:ascii="Cambria" w:hAnsi="Cambria"/>
          <w:bCs/>
          <w:sz w:val="20"/>
          <w:szCs w:val="20"/>
          <w:lang w:val="es-ES"/>
        </w:rPr>
        <w:t xml:space="preserve">no fueron suficientes para revelar la suerte o paradero de Pedro Julio Movilla Galarcio. </w:t>
      </w:r>
      <w:r w:rsidR="00653E9A" w:rsidRPr="006E763F">
        <w:rPr>
          <w:rFonts w:ascii="Cambria" w:hAnsi="Cambria"/>
          <w:sz w:val="20"/>
          <w:szCs w:val="20"/>
          <w:lang w:val="es-ES"/>
        </w:rPr>
        <w:t>L</w:t>
      </w:r>
      <w:r w:rsidR="00326811" w:rsidRPr="006E763F">
        <w:rPr>
          <w:rFonts w:ascii="Cambria" w:hAnsi="Cambria"/>
          <w:sz w:val="20"/>
          <w:szCs w:val="20"/>
          <w:lang w:val="es-ES"/>
        </w:rPr>
        <w:t xml:space="preserve">as siguientes acciones practicadas </w:t>
      </w:r>
      <w:r w:rsidR="00B33D9E" w:rsidRPr="006E763F">
        <w:rPr>
          <w:rFonts w:ascii="Cambria" w:hAnsi="Cambria"/>
          <w:sz w:val="20"/>
          <w:szCs w:val="20"/>
          <w:lang w:val="es-ES"/>
        </w:rPr>
        <w:t xml:space="preserve">para la ubicación física de Pedro Julio Movilla </w:t>
      </w:r>
      <w:r w:rsidR="00B33D9E" w:rsidRPr="006E763F">
        <w:rPr>
          <w:rFonts w:ascii="Cambria" w:hAnsi="Cambria"/>
          <w:sz w:val="20"/>
          <w:szCs w:val="20"/>
          <w:lang w:val="es-ES"/>
        </w:rPr>
        <w:lastRenderedPageBreak/>
        <w:t xml:space="preserve">Galarcio </w:t>
      </w:r>
      <w:r w:rsidR="00326811" w:rsidRPr="006E763F">
        <w:rPr>
          <w:rFonts w:ascii="Cambria" w:hAnsi="Cambria"/>
          <w:sz w:val="20"/>
          <w:szCs w:val="20"/>
          <w:lang w:val="es-ES"/>
        </w:rPr>
        <w:t>son del año 2008</w:t>
      </w:r>
      <w:r w:rsidR="00F521C0" w:rsidRPr="006E763F">
        <w:rPr>
          <w:rFonts w:ascii="Cambria" w:hAnsi="Cambria"/>
          <w:sz w:val="20"/>
          <w:szCs w:val="20"/>
          <w:lang w:val="es-ES"/>
        </w:rPr>
        <w:t>,</w:t>
      </w:r>
      <w:r w:rsidR="00894A9D" w:rsidRPr="006E763F">
        <w:rPr>
          <w:rFonts w:ascii="Cambria" w:hAnsi="Cambria"/>
          <w:sz w:val="20"/>
          <w:szCs w:val="20"/>
          <w:lang w:val="es-ES"/>
        </w:rPr>
        <w:t xml:space="preserve"> quince años después,</w:t>
      </w:r>
      <w:r w:rsidR="00F521C0" w:rsidRPr="006E763F">
        <w:rPr>
          <w:rFonts w:ascii="Cambria" w:hAnsi="Cambria"/>
          <w:sz w:val="20"/>
          <w:szCs w:val="20"/>
          <w:lang w:val="es-ES"/>
        </w:rPr>
        <w:t xml:space="preserve"> lo que permite afirmar que en las circunstancias del presente caso, la omisión en buscar diligentemente a la presunta víctima contribuyó al encubrimiento de su detención y destino o paradero. </w:t>
      </w:r>
    </w:p>
    <w:p w14:paraId="750DEED8" w14:textId="77777777" w:rsidR="007E175C" w:rsidRDefault="007E175C" w:rsidP="00E923BB">
      <w:pPr>
        <w:pStyle w:val="ListParagraph"/>
        <w:ind w:left="249" w:firstLine="0"/>
        <w:rPr>
          <w:sz w:val="20"/>
          <w:szCs w:val="20"/>
          <w:lang w:val="es-ES"/>
        </w:rPr>
      </w:pPr>
    </w:p>
    <w:p w14:paraId="69F44441" w14:textId="77777777" w:rsidR="00D90561" w:rsidRPr="006E763F" w:rsidRDefault="00D90561" w:rsidP="00E923BB">
      <w:pPr>
        <w:pStyle w:val="ListParagraph"/>
        <w:ind w:left="249" w:firstLine="0"/>
        <w:rPr>
          <w:sz w:val="20"/>
          <w:szCs w:val="20"/>
          <w:lang w:val="es-ES"/>
        </w:rPr>
      </w:pPr>
    </w:p>
    <w:p w14:paraId="3290BD98" w14:textId="77E5D4B3" w:rsidR="00AF226A" w:rsidRPr="006E763F" w:rsidRDefault="009E7E98"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ES"/>
        </w:rPr>
      </w:pPr>
      <w:r w:rsidRPr="006E763F">
        <w:rPr>
          <w:rFonts w:ascii="Cambria" w:hAnsi="Cambria"/>
          <w:sz w:val="20"/>
          <w:szCs w:val="20"/>
          <w:lang w:val="es-ES"/>
        </w:rPr>
        <w:t xml:space="preserve">Asimismo, </w:t>
      </w:r>
      <w:r w:rsidR="00B33D9E" w:rsidRPr="006E763F">
        <w:rPr>
          <w:rFonts w:ascii="Cambria" w:hAnsi="Cambria"/>
          <w:sz w:val="20"/>
          <w:szCs w:val="20"/>
          <w:lang w:val="es-ES"/>
        </w:rPr>
        <w:t>la</w:t>
      </w:r>
      <w:r w:rsidRPr="006E763F">
        <w:rPr>
          <w:rFonts w:ascii="Cambria" w:hAnsi="Cambria"/>
          <w:sz w:val="20"/>
          <w:szCs w:val="20"/>
          <w:lang w:val="es-ES"/>
        </w:rPr>
        <w:t xml:space="preserve"> Comisi</w:t>
      </w:r>
      <w:r w:rsidR="00832F75" w:rsidRPr="006E763F">
        <w:rPr>
          <w:rFonts w:ascii="Cambria" w:hAnsi="Cambria"/>
          <w:sz w:val="20"/>
          <w:szCs w:val="20"/>
          <w:lang w:val="es-ES"/>
        </w:rPr>
        <w:t>ó</w:t>
      </w:r>
      <w:r w:rsidRPr="006E763F">
        <w:rPr>
          <w:rFonts w:ascii="Cambria" w:hAnsi="Cambria"/>
          <w:sz w:val="20"/>
          <w:szCs w:val="20"/>
          <w:lang w:val="es-ES"/>
        </w:rPr>
        <w:t xml:space="preserve">n observa que el Estado </w:t>
      </w:r>
      <w:r w:rsidR="00B33D9E" w:rsidRPr="006E763F">
        <w:rPr>
          <w:rFonts w:ascii="Cambria" w:hAnsi="Cambria"/>
          <w:sz w:val="20"/>
          <w:szCs w:val="20"/>
          <w:lang w:val="es-ES"/>
        </w:rPr>
        <w:t xml:space="preserve">no </w:t>
      </w:r>
      <w:r w:rsidR="00B70AC8" w:rsidRPr="006E763F">
        <w:rPr>
          <w:rFonts w:ascii="Cambria" w:hAnsi="Cambria"/>
          <w:sz w:val="20"/>
          <w:szCs w:val="20"/>
          <w:lang w:val="es-ES"/>
        </w:rPr>
        <w:t xml:space="preserve">logrado </w:t>
      </w:r>
      <w:r w:rsidR="00AF226A" w:rsidRPr="006E763F">
        <w:rPr>
          <w:rFonts w:ascii="Cambria" w:hAnsi="Cambria"/>
          <w:sz w:val="20"/>
          <w:szCs w:val="20"/>
          <w:lang w:val="es-ES"/>
        </w:rPr>
        <w:t xml:space="preserve">explicar </w:t>
      </w:r>
      <w:r w:rsidR="00B33D9E" w:rsidRPr="006E763F">
        <w:rPr>
          <w:rFonts w:ascii="Cambria" w:hAnsi="Cambria"/>
          <w:sz w:val="20"/>
          <w:szCs w:val="20"/>
          <w:lang w:val="es-ES"/>
        </w:rPr>
        <w:t xml:space="preserve">la naturaleza de </w:t>
      </w:r>
      <w:r w:rsidR="00832F75" w:rsidRPr="006E763F">
        <w:rPr>
          <w:rFonts w:ascii="Cambria" w:hAnsi="Cambria"/>
          <w:sz w:val="20"/>
          <w:szCs w:val="20"/>
          <w:lang w:val="es-ES"/>
        </w:rPr>
        <w:t xml:space="preserve">los </w:t>
      </w:r>
      <w:r w:rsidRPr="006E763F">
        <w:rPr>
          <w:rFonts w:ascii="Cambria" w:hAnsi="Cambria"/>
          <w:sz w:val="20"/>
          <w:szCs w:val="20"/>
          <w:lang w:val="es-ES"/>
        </w:rPr>
        <w:t>seguimiento</w:t>
      </w:r>
      <w:r w:rsidR="00832F75" w:rsidRPr="006E763F">
        <w:rPr>
          <w:rFonts w:ascii="Cambria" w:hAnsi="Cambria"/>
          <w:sz w:val="20"/>
          <w:szCs w:val="20"/>
          <w:lang w:val="es-ES"/>
        </w:rPr>
        <w:t>s</w:t>
      </w:r>
      <w:r w:rsidR="00AF226A" w:rsidRPr="006E763F">
        <w:rPr>
          <w:rFonts w:ascii="Cambria" w:hAnsi="Cambria"/>
          <w:sz w:val="20"/>
          <w:szCs w:val="20"/>
          <w:lang w:val="es-ES"/>
        </w:rPr>
        <w:t xml:space="preserve"> y anotaciones de inteligencia</w:t>
      </w:r>
      <w:r w:rsidR="00EF172F" w:rsidRPr="006E763F">
        <w:rPr>
          <w:rFonts w:ascii="Cambria" w:hAnsi="Cambria"/>
          <w:sz w:val="20"/>
          <w:szCs w:val="20"/>
          <w:lang w:val="es-ES"/>
        </w:rPr>
        <w:t xml:space="preserve"> </w:t>
      </w:r>
      <w:r w:rsidR="00AF226A" w:rsidRPr="006E763F">
        <w:rPr>
          <w:rFonts w:ascii="Cambria" w:hAnsi="Cambria"/>
          <w:sz w:val="20"/>
          <w:szCs w:val="20"/>
          <w:lang w:val="es-ES"/>
        </w:rPr>
        <w:t>de P</w:t>
      </w:r>
      <w:r w:rsidR="00EF172F" w:rsidRPr="006E763F">
        <w:rPr>
          <w:rFonts w:ascii="Cambria" w:hAnsi="Cambria"/>
          <w:sz w:val="20"/>
          <w:szCs w:val="20"/>
          <w:lang w:val="es-ES"/>
        </w:rPr>
        <w:t>edro Julio Movilla Galar</w:t>
      </w:r>
      <w:r w:rsidRPr="006E763F">
        <w:rPr>
          <w:rFonts w:ascii="Cambria" w:hAnsi="Cambria"/>
          <w:sz w:val="20"/>
          <w:szCs w:val="20"/>
          <w:lang w:val="es-ES"/>
        </w:rPr>
        <w:t xml:space="preserve">cio y </w:t>
      </w:r>
      <w:r w:rsidR="00AF226A" w:rsidRPr="006E763F">
        <w:rPr>
          <w:rFonts w:ascii="Cambria" w:hAnsi="Cambria"/>
          <w:sz w:val="20"/>
          <w:szCs w:val="20"/>
          <w:lang w:val="es-ES"/>
        </w:rPr>
        <w:t xml:space="preserve">la relación de las mismas con </w:t>
      </w:r>
      <w:r w:rsidRPr="006E763F">
        <w:rPr>
          <w:rFonts w:ascii="Cambria" w:hAnsi="Cambria"/>
          <w:sz w:val="20"/>
          <w:szCs w:val="20"/>
          <w:lang w:val="es-ES"/>
        </w:rPr>
        <w:t xml:space="preserve">su </w:t>
      </w:r>
      <w:r w:rsidR="00EF172F" w:rsidRPr="006E763F">
        <w:rPr>
          <w:rFonts w:ascii="Cambria" w:hAnsi="Cambria"/>
          <w:sz w:val="20"/>
          <w:szCs w:val="20"/>
          <w:lang w:val="es-ES"/>
        </w:rPr>
        <w:t>desaparición</w:t>
      </w:r>
      <w:r w:rsidR="00B70AC8" w:rsidRPr="006E763F">
        <w:rPr>
          <w:rFonts w:ascii="Cambria" w:hAnsi="Cambria"/>
          <w:sz w:val="20"/>
          <w:szCs w:val="20"/>
          <w:lang w:val="es-ES"/>
        </w:rPr>
        <w:t>, contribuyendo a la incertidumbre y encubrimiento de lo sucedido.</w:t>
      </w:r>
      <w:r w:rsidR="00AF226A" w:rsidRPr="006E763F">
        <w:rPr>
          <w:rFonts w:ascii="Cambria" w:hAnsi="Cambria"/>
          <w:sz w:val="20"/>
          <w:szCs w:val="20"/>
          <w:lang w:val="es-ES"/>
        </w:rPr>
        <w:t xml:space="preserve"> </w:t>
      </w:r>
    </w:p>
    <w:p w14:paraId="75C64410" w14:textId="77777777" w:rsidR="00AF226A" w:rsidRPr="006E763F" w:rsidRDefault="00AF226A" w:rsidP="00E923BB">
      <w:pPr>
        <w:rPr>
          <w:rFonts w:ascii="Cambria" w:hAnsi="Cambria"/>
          <w:sz w:val="20"/>
          <w:szCs w:val="20"/>
          <w:lang w:val="es-ES"/>
        </w:rPr>
      </w:pPr>
    </w:p>
    <w:p w14:paraId="522DFD77" w14:textId="7A7E922D" w:rsidR="00EC310A" w:rsidRPr="006E763F" w:rsidRDefault="00B70AC8"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ES"/>
        </w:rPr>
      </w:pPr>
      <w:r w:rsidRPr="006E763F">
        <w:rPr>
          <w:rFonts w:ascii="Cambria" w:hAnsi="Cambria"/>
          <w:sz w:val="20"/>
          <w:szCs w:val="20"/>
          <w:lang w:val="es-ES"/>
        </w:rPr>
        <w:t>En virtud de las anteriores consid</w:t>
      </w:r>
      <w:r w:rsidR="00501BF0" w:rsidRPr="006E763F">
        <w:rPr>
          <w:rFonts w:ascii="Cambria" w:hAnsi="Cambria"/>
          <w:sz w:val="20"/>
          <w:szCs w:val="20"/>
          <w:lang w:val="es-ES"/>
        </w:rPr>
        <w:t>er</w:t>
      </w:r>
      <w:r w:rsidRPr="006E763F">
        <w:rPr>
          <w:rFonts w:ascii="Cambria" w:hAnsi="Cambria"/>
          <w:sz w:val="20"/>
          <w:szCs w:val="20"/>
          <w:lang w:val="es-ES"/>
        </w:rPr>
        <w:t>aciones, la CIDH entiende que se encuentra</w:t>
      </w:r>
      <w:r w:rsidR="00283897" w:rsidRPr="006E763F">
        <w:rPr>
          <w:rFonts w:ascii="Cambria" w:hAnsi="Cambria"/>
          <w:sz w:val="20"/>
          <w:szCs w:val="20"/>
          <w:lang w:val="es-ES"/>
        </w:rPr>
        <w:t>n</w:t>
      </w:r>
      <w:r w:rsidRPr="006E763F">
        <w:rPr>
          <w:rFonts w:ascii="Cambria" w:hAnsi="Cambria"/>
          <w:sz w:val="20"/>
          <w:szCs w:val="20"/>
          <w:lang w:val="es-ES"/>
        </w:rPr>
        <w:t xml:space="preserve"> suficientemente acreditado</w:t>
      </w:r>
      <w:r w:rsidR="00283897" w:rsidRPr="006E763F">
        <w:rPr>
          <w:rFonts w:ascii="Cambria" w:hAnsi="Cambria"/>
          <w:sz w:val="20"/>
          <w:szCs w:val="20"/>
          <w:lang w:val="es-ES"/>
        </w:rPr>
        <w:t xml:space="preserve">s </w:t>
      </w:r>
      <w:r w:rsidRPr="006E763F">
        <w:rPr>
          <w:rFonts w:ascii="Cambria" w:hAnsi="Cambria"/>
          <w:sz w:val="20"/>
          <w:szCs w:val="20"/>
          <w:lang w:val="es-ES"/>
        </w:rPr>
        <w:t xml:space="preserve">el </w:t>
      </w:r>
      <w:r w:rsidR="00283897" w:rsidRPr="006E763F">
        <w:rPr>
          <w:rFonts w:ascii="Cambria" w:hAnsi="Cambria"/>
          <w:sz w:val="20"/>
          <w:szCs w:val="20"/>
          <w:lang w:val="es-ES"/>
        </w:rPr>
        <w:t xml:space="preserve">segundo y </w:t>
      </w:r>
      <w:r w:rsidRPr="006E763F">
        <w:rPr>
          <w:rFonts w:ascii="Cambria" w:hAnsi="Cambria"/>
          <w:sz w:val="20"/>
          <w:szCs w:val="20"/>
          <w:lang w:val="es-ES"/>
        </w:rPr>
        <w:t xml:space="preserve">tercer elemento de la desaparición forzada. </w:t>
      </w:r>
    </w:p>
    <w:p w14:paraId="24EAAD71" w14:textId="77777777" w:rsidR="00385485" w:rsidRPr="006E763F" w:rsidRDefault="00385485" w:rsidP="00E923BB">
      <w:pPr>
        <w:pStyle w:val="Body"/>
        <w:ind w:firstLine="0"/>
        <w:rPr>
          <w:rFonts w:eastAsia="Times New Roman" w:cs="Times New Roman"/>
          <w:b/>
          <w:bCs/>
          <w:lang w:val="es-ES"/>
        </w:rPr>
      </w:pPr>
    </w:p>
    <w:p w14:paraId="4372156A" w14:textId="2C064BF2" w:rsidR="00EC310A" w:rsidRPr="00EA3E8B" w:rsidRDefault="00547C71" w:rsidP="00685D78">
      <w:pPr>
        <w:pStyle w:val="Heading3"/>
        <w:numPr>
          <w:ilvl w:val="3"/>
          <w:numId w:val="27"/>
        </w:numPr>
        <w:ind w:left="1440" w:hanging="720"/>
        <w:rPr>
          <w:rFonts w:eastAsia="Times New Roman" w:cs="Times New Roman"/>
          <w:bCs w:val="0"/>
        </w:rPr>
      </w:pPr>
      <w:bookmarkStart w:id="20" w:name="_Toc446160"/>
      <w:r w:rsidRPr="00EA3E8B">
        <w:rPr>
          <w:bCs w:val="0"/>
        </w:rPr>
        <w:t>Conclusión</w:t>
      </w:r>
      <w:bookmarkEnd w:id="20"/>
      <w:r w:rsidR="009E7E98" w:rsidRPr="00EA3E8B">
        <w:rPr>
          <w:bCs w:val="0"/>
        </w:rPr>
        <w:t xml:space="preserve"> </w:t>
      </w:r>
    </w:p>
    <w:p w14:paraId="0AAC5436" w14:textId="77777777" w:rsidR="00832F75" w:rsidRPr="006E763F" w:rsidRDefault="00832F75" w:rsidP="00E923BB">
      <w:pPr>
        <w:pStyle w:val="Body"/>
        <w:ind w:left="249" w:firstLine="0"/>
        <w:rPr>
          <w:rFonts w:eastAsia="Times New Roman" w:cs="Times New Roman"/>
          <w:b/>
          <w:bCs/>
          <w:lang w:val="es-ES"/>
        </w:rPr>
      </w:pPr>
    </w:p>
    <w:p w14:paraId="102740C9" w14:textId="6E02AB81" w:rsidR="00EC310A" w:rsidRPr="00575394" w:rsidRDefault="00501BF0"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lang w:val="es-ES"/>
        </w:rPr>
      </w:pPr>
      <w:r w:rsidRPr="006E763F">
        <w:rPr>
          <w:rFonts w:ascii="Cambria" w:hAnsi="Cambria"/>
          <w:sz w:val="20"/>
          <w:szCs w:val="20"/>
          <w:lang w:val="es-ES"/>
        </w:rPr>
        <w:t>L</w:t>
      </w:r>
      <w:r w:rsidR="009E7E98" w:rsidRPr="006E763F">
        <w:rPr>
          <w:rFonts w:ascii="Cambria" w:hAnsi="Cambria"/>
          <w:sz w:val="20"/>
          <w:szCs w:val="20"/>
          <w:lang w:val="es-ES"/>
        </w:rPr>
        <w:t xml:space="preserve">a Comisión </w:t>
      </w:r>
      <w:r w:rsidRPr="006E763F">
        <w:rPr>
          <w:rFonts w:ascii="Cambria" w:hAnsi="Cambria"/>
          <w:sz w:val="20"/>
          <w:szCs w:val="20"/>
          <w:lang w:val="es-ES"/>
        </w:rPr>
        <w:t xml:space="preserve">concluye que lo sucedido a Pedro Julio Movilla Galarcio constituyó una desaparición forzada y, por </w:t>
      </w:r>
      <w:r w:rsidR="00283897" w:rsidRPr="006E763F">
        <w:rPr>
          <w:rFonts w:ascii="Cambria" w:hAnsi="Cambria"/>
          <w:sz w:val="20"/>
          <w:szCs w:val="20"/>
          <w:lang w:val="es-ES"/>
        </w:rPr>
        <w:t>l</w:t>
      </w:r>
      <w:r w:rsidRPr="006E763F">
        <w:rPr>
          <w:rFonts w:ascii="Cambria" w:hAnsi="Cambria"/>
          <w:sz w:val="20"/>
          <w:szCs w:val="20"/>
          <w:lang w:val="es-ES"/>
        </w:rPr>
        <w:t xml:space="preserve">o tanto, el Estado colombiano es responsable por la violación de </w:t>
      </w:r>
      <w:r w:rsidR="009E7E98" w:rsidRPr="006E763F">
        <w:rPr>
          <w:rFonts w:ascii="Cambria" w:hAnsi="Cambria"/>
          <w:sz w:val="20"/>
          <w:szCs w:val="20"/>
          <w:lang w:val="es-ES"/>
        </w:rPr>
        <w:t xml:space="preserve">los derechos al reconocimiento de la personalidad jurídica, a la vida, a la integridad personal y a la libertad personal establecidos en los artículos 3, 4, 5 y 7 de la Convención Americana en relación con las obligaciones establecidas en </w:t>
      </w:r>
      <w:r w:rsidR="008E5C39" w:rsidRPr="006E763F">
        <w:rPr>
          <w:rFonts w:ascii="Cambria" w:hAnsi="Cambria"/>
          <w:sz w:val="20"/>
          <w:szCs w:val="20"/>
          <w:lang w:val="es-ES"/>
        </w:rPr>
        <w:t xml:space="preserve">los </w:t>
      </w:r>
      <w:r w:rsidR="009E7E98" w:rsidRPr="006E763F">
        <w:rPr>
          <w:rFonts w:ascii="Cambria" w:hAnsi="Cambria"/>
          <w:sz w:val="20"/>
          <w:szCs w:val="20"/>
          <w:lang w:val="es-ES"/>
        </w:rPr>
        <w:t>artículo</w:t>
      </w:r>
      <w:r w:rsidR="008E5C39" w:rsidRPr="006E763F">
        <w:rPr>
          <w:rFonts w:ascii="Cambria" w:hAnsi="Cambria"/>
          <w:sz w:val="20"/>
          <w:szCs w:val="20"/>
          <w:lang w:val="es-ES"/>
        </w:rPr>
        <w:t>s</w:t>
      </w:r>
      <w:r w:rsidR="009E7E98" w:rsidRPr="006E763F">
        <w:rPr>
          <w:rFonts w:ascii="Cambria" w:hAnsi="Cambria"/>
          <w:sz w:val="20"/>
          <w:szCs w:val="20"/>
          <w:lang w:val="es-ES"/>
        </w:rPr>
        <w:t xml:space="preserve"> 1.1 </w:t>
      </w:r>
      <w:r w:rsidR="008E5C39" w:rsidRPr="006E763F">
        <w:rPr>
          <w:rFonts w:ascii="Cambria" w:hAnsi="Cambria"/>
          <w:sz w:val="20"/>
          <w:szCs w:val="20"/>
          <w:lang w:val="es-ES"/>
        </w:rPr>
        <w:t>y 2</w:t>
      </w:r>
      <w:r w:rsidR="001522A5" w:rsidRPr="006E763F">
        <w:rPr>
          <w:rFonts w:ascii="Cambria" w:hAnsi="Cambria"/>
          <w:sz w:val="20"/>
          <w:szCs w:val="20"/>
          <w:lang w:val="es-ES"/>
        </w:rPr>
        <w:t xml:space="preserve"> </w:t>
      </w:r>
      <w:r w:rsidR="009E7E98" w:rsidRPr="006E763F">
        <w:rPr>
          <w:rFonts w:ascii="Cambria" w:hAnsi="Cambria"/>
          <w:sz w:val="20"/>
          <w:szCs w:val="20"/>
          <w:lang w:val="es-ES"/>
        </w:rPr>
        <w:t>del mismo instrumento, en perjuicio d</w:t>
      </w:r>
      <w:r w:rsidR="003E6971" w:rsidRPr="006E763F">
        <w:rPr>
          <w:rFonts w:ascii="Cambria" w:hAnsi="Cambria"/>
          <w:sz w:val="20"/>
          <w:szCs w:val="20"/>
          <w:lang w:val="es-ES"/>
        </w:rPr>
        <w:t>e Pedro Julio Movilla Galarcio.</w:t>
      </w:r>
      <w:r w:rsidRPr="006E763F">
        <w:rPr>
          <w:rFonts w:ascii="Cambria" w:hAnsi="Cambria"/>
          <w:sz w:val="20"/>
          <w:szCs w:val="20"/>
          <w:lang w:val="es-ES"/>
        </w:rPr>
        <w:t xml:space="preserve"> Asimismo, tomando en cuenta que a la fecha de entrada en vigor de la CIDFP para Colombia</w:t>
      </w:r>
      <w:r w:rsidR="00283897" w:rsidRPr="006E763F">
        <w:rPr>
          <w:rStyle w:val="FootnoteReference"/>
          <w:rFonts w:ascii="Cambria" w:hAnsi="Cambria"/>
          <w:sz w:val="20"/>
          <w:szCs w:val="20"/>
          <w:lang w:val="es-ES"/>
        </w:rPr>
        <w:footnoteReference w:id="122"/>
      </w:r>
      <w:r w:rsidRPr="006E763F">
        <w:rPr>
          <w:rFonts w:ascii="Cambria" w:hAnsi="Cambria"/>
          <w:sz w:val="20"/>
          <w:szCs w:val="20"/>
          <w:lang w:val="es-ES"/>
        </w:rPr>
        <w:t xml:space="preserve">, la desaparición forzada continuaba cometiéndose, la CIDH concluye que el Estado también violó el artículo I a) de dicho instrumento. </w:t>
      </w:r>
    </w:p>
    <w:p w14:paraId="14D5C487" w14:textId="77777777" w:rsidR="00575394" w:rsidRPr="006E763F" w:rsidRDefault="00575394" w:rsidP="005753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
        </w:rPr>
      </w:pPr>
    </w:p>
    <w:p w14:paraId="3794B057" w14:textId="3B9C32AE" w:rsidR="009B6AF2" w:rsidRPr="00EA3E8B" w:rsidRDefault="00E10776" w:rsidP="00685D78">
      <w:pPr>
        <w:pStyle w:val="Heading2"/>
        <w:numPr>
          <w:ilvl w:val="0"/>
          <w:numId w:val="26"/>
        </w:numPr>
        <w:tabs>
          <w:tab w:val="clear" w:pos="86"/>
          <w:tab w:val="num" w:pos="1440"/>
        </w:tabs>
        <w:ind w:left="1440" w:hanging="720"/>
        <w:rPr>
          <w:rFonts w:eastAsia="Times New Roman" w:cs="Times New Roman"/>
          <w:bCs w:val="0"/>
        </w:rPr>
      </w:pPr>
      <w:bookmarkStart w:id="21" w:name="_Toc446161"/>
      <w:r w:rsidRPr="00EA3E8B">
        <w:rPr>
          <w:rFonts w:eastAsia="Times New Roman" w:cs="Times New Roman"/>
          <w:bCs w:val="0"/>
        </w:rPr>
        <w:t>Derecho a la</w:t>
      </w:r>
      <w:r w:rsidR="004D113C" w:rsidRPr="00EA3E8B">
        <w:rPr>
          <w:rFonts w:eastAsia="Times New Roman" w:cs="Times New Roman"/>
          <w:bCs w:val="0"/>
        </w:rPr>
        <w:t xml:space="preserve"> libertad de asociación (artículos 16.1</w:t>
      </w:r>
      <w:r w:rsidR="004D113C" w:rsidRPr="00EA3E8B">
        <w:rPr>
          <w:rStyle w:val="FootnoteReference"/>
          <w:rFonts w:eastAsia="Times New Roman" w:cs="Times New Roman"/>
          <w:bCs w:val="0"/>
        </w:rPr>
        <w:footnoteReference w:id="123"/>
      </w:r>
      <w:r w:rsidR="00AF26DD" w:rsidRPr="00EA3E8B">
        <w:rPr>
          <w:rFonts w:eastAsia="Times New Roman" w:cs="Times New Roman"/>
          <w:bCs w:val="0"/>
        </w:rPr>
        <w:t>,</w:t>
      </w:r>
      <w:r w:rsidR="004D113C" w:rsidRPr="00EA3E8B">
        <w:rPr>
          <w:rFonts w:eastAsia="Times New Roman" w:cs="Times New Roman"/>
          <w:bCs w:val="0"/>
        </w:rPr>
        <w:t xml:space="preserve"> 1.1</w:t>
      </w:r>
      <w:r w:rsidR="00AF26DD" w:rsidRPr="00EA3E8B">
        <w:rPr>
          <w:rFonts w:eastAsia="Times New Roman" w:cs="Times New Roman"/>
          <w:bCs w:val="0"/>
        </w:rPr>
        <w:t xml:space="preserve"> y 2</w:t>
      </w:r>
      <w:r w:rsidR="004D113C" w:rsidRPr="00EA3E8B">
        <w:rPr>
          <w:rFonts w:eastAsia="Times New Roman" w:cs="Times New Roman"/>
          <w:bCs w:val="0"/>
        </w:rPr>
        <w:t xml:space="preserve"> de Convención Americana)</w:t>
      </w:r>
      <w:bookmarkEnd w:id="21"/>
      <w:r w:rsidR="004D113C" w:rsidRPr="00EA3E8B">
        <w:rPr>
          <w:rFonts w:eastAsia="Times New Roman" w:cs="Times New Roman"/>
          <w:bCs w:val="0"/>
        </w:rPr>
        <w:t xml:space="preserve"> </w:t>
      </w:r>
    </w:p>
    <w:p w14:paraId="00600F4D" w14:textId="77777777" w:rsidR="004D113C" w:rsidRPr="006E763F" w:rsidRDefault="004D113C" w:rsidP="00E923BB">
      <w:pPr>
        <w:pStyle w:val="ListParagraph"/>
        <w:ind w:left="249" w:firstLine="0"/>
        <w:rPr>
          <w:rFonts w:eastAsia="Times New Roman" w:cs="Times New Roman"/>
          <w:b/>
          <w:bCs/>
          <w:sz w:val="20"/>
          <w:szCs w:val="20"/>
          <w:lang w:val="es-ES"/>
        </w:rPr>
      </w:pPr>
    </w:p>
    <w:p w14:paraId="05D9E319" w14:textId="4D1CF9AB" w:rsidR="00FE7C33" w:rsidRPr="006E763F" w:rsidRDefault="00D65E34"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bCs/>
          <w:sz w:val="20"/>
          <w:szCs w:val="20"/>
          <w:lang w:val="es-ES"/>
        </w:rPr>
      </w:pPr>
      <w:r w:rsidRPr="006E763F">
        <w:rPr>
          <w:rFonts w:ascii="Cambria" w:eastAsia="Times New Roman" w:hAnsi="Cambria"/>
          <w:bCs/>
          <w:sz w:val="20"/>
          <w:szCs w:val="20"/>
          <w:lang w:val="es-ES"/>
        </w:rPr>
        <w:t>La Convención Americana protege el derecho a asociarse libremente con fines ideológicos</w:t>
      </w:r>
      <w:r w:rsidR="00FE7C33" w:rsidRPr="006E763F">
        <w:rPr>
          <w:rFonts w:ascii="Cambria" w:eastAsia="Times New Roman" w:hAnsi="Cambria"/>
          <w:bCs/>
          <w:sz w:val="20"/>
          <w:szCs w:val="20"/>
          <w:lang w:val="es-ES"/>
        </w:rPr>
        <w:t>. Al respecto</w:t>
      </w:r>
      <w:r w:rsidR="00DA6E9E" w:rsidRPr="006E763F">
        <w:rPr>
          <w:rFonts w:ascii="Cambria" w:eastAsia="Times New Roman" w:hAnsi="Cambria"/>
          <w:bCs/>
          <w:sz w:val="20"/>
          <w:szCs w:val="20"/>
          <w:lang w:val="es-ES"/>
        </w:rPr>
        <w:t>,</w:t>
      </w:r>
      <w:r w:rsidR="00FE7C33" w:rsidRPr="006E763F">
        <w:rPr>
          <w:rFonts w:ascii="Cambria" w:eastAsia="Times New Roman" w:hAnsi="Cambria"/>
          <w:bCs/>
          <w:sz w:val="20"/>
          <w:szCs w:val="20"/>
          <w:lang w:val="es-ES"/>
        </w:rPr>
        <w:t xml:space="preserve"> la Corte Interamericana ha indicado que dicho derecho entraña dos dimensiones, una individual y otra colectiva. En su dimensión individual, </w:t>
      </w:r>
      <w:r w:rsidRPr="006E763F">
        <w:rPr>
          <w:rFonts w:ascii="Cambria" w:eastAsia="Times New Roman" w:hAnsi="Cambria"/>
          <w:bCs/>
          <w:sz w:val="20"/>
          <w:szCs w:val="20"/>
          <w:lang w:val="es-ES"/>
        </w:rPr>
        <w:t>“quienes están bajo la protección de la Convención tienen no sólo el derecho y la libertad de asociarse libremente con otras personas, sin intervención de las autoridades públicas que limiten o entorpezcan”.</w:t>
      </w:r>
      <w:r w:rsidR="00FE7C33" w:rsidRPr="006E763F">
        <w:rPr>
          <w:rFonts w:ascii="Cambria" w:eastAsia="Times New Roman" w:hAnsi="Cambria"/>
          <w:bCs/>
          <w:sz w:val="20"/>
          <w:szCs w:val="20"/>
          <w:lang w:val="es-ES"/>
        </w:rPr>
        <w:t xml:space="preserve"> En dimensión colectiva, </w:t>
      </w:r>
      <w:r w:rsidR="002E4EB5" w:rsidRPr="006E763F">
        <w:rPr>
          <w:rFonts w:ascii="Cambria" w:eastAsia="Times New Roman" w:hAnsi="Cambria"/>
          <w:bCs/>
          <w:sz w:val="20"/>
          <w:szCs w:val="20"/>
          <w:lang w:val="es-ES"/>
        </w:rPr>
        <w:t>“la libertad de asociación es un medio que permite a los integrantes de un grupo o colectividad laboral alcanzar determinados fines en conjunto y beneficiarse de los mismos</w:t>
      </w:r>
      <w:r w:rsidR="002E4EB5" w:rsidRPr="006E763F">
        <w:rPr>
          <w:rStyle w:val="FootnoteReference"/>
          <w:rFonts w:ascii="Cambria" w:eastAsia="Times New Roman" w:hAnsi="Cambria"/>
          <w:bCs/>
          <w:sz w:val="20"/>
          <w:szCs w:val="20"/>
          <w:lang w:val="es-ES"/>
        </w:rPr>
        <w:footnoteReference w:id="124"/>
      </w:r>
      <w:r w:rsidR="002E4EB5" w:rsidRPr="006E763F">
        <w:rPr>
          <w:rFonts w:ascii="Cambria" w:eastAsia="Times New Roman" w:hAnsi="Cambria"/>
          <w:bCs/>
          <w:sz w:val="20"/>
          <w:szCs w:val="20"/>
          <w:lang w:val="es-ES"/>
        </w:rPr>
        <w:t xml:space="preserve">. </w:t>
      </w:r>
    </w:p>
    <w:p w14:paraId="4F2FD041" w14:textId="77777777" w:rsidR="00DE1DEF" w:rsidRPr="006E763F" w:rsidRDefault="00DE1DEF" w:rsidP="00E923BB">
      <w:pPr>
        <w:pStyle w:val="ListParagraph"/>
        <w:ind w:left="249" w:firstLine="0"/>
        <w:rPr>
          <w:rFonts w:eastAsia="Times New Roman" w:cs="Times New Roman"/>
          <w:bCs/>
          <w:sz w:val="20"/>
          <w:szCs w:val="20"/>
          <w:lang w:val="es-ES"/>
        </w:rPr>
      </w:pPr>
    </w:p>
    <w:p w14:paraId="02A8B35A" w14:textId="22D1D960" w:rsidR="00B60134" w:rsidRPr="006E763F" w:rsidRDefault="009B6AF2"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b/>
          <w:bCs/>
          <w:sz w:val="20"/>
          <w:szCs w:val="20"/>
          <w:lang w:val="es-ES"/>
        </w:rPr>
      </w:pPr>
      <w:r w:rsidRPr="006E763F">
        <w:rPr>
          <w:rFonts w:ascii="Cambria" w:eastAsia="Times New Roman" w:hAnsi="Cambria"/>
          <w:bCs/>
          <w:sz w:val="20"/>
          <w:szCs w:val="20"/>
          <w:lang w:val="es-ES"/>
        </w:rPr>
        <w:t>Como ha quedado establecido</w:t>
      </w:r>
      <w:r w:rsidR="00190FB2" w:rsidRPr="006E763F">
        <w:rPr>
          <w:rFonts w:ascii="Cambria" w:eastAsia="Times New Roman" w:hAnsi="Cambria"/>
          <w:bCs/>
          <w:sz w:val="20"/>
          <w:szCs w:val="20"/>
          <w:lang w:val="es-ES"/>
        </w:rPr>
        <w:t>,</w:t>
      </w:r>
      <w:r w:rsidRPr="006E763F">
        <w:rPr>
          <w:rFonts w:ascii="Cambria" w:eastAsia="Times New Roman" w:hAnsi="Cambria"/>
          <w:bCs/>
          <w:sz w:val="20"/>
          <w:szCs w:val="20"/>
          <w:lang w:val="es-ES"/>
        </w:rPr>
        <w:t xml:space="preserve"> la desaparición </w:t>
      </w:r>
      <w:r w:rsidR="00190FB2" w:rsidRPr="006E763F">
        <w:rPr>
          <w:rFonts w:ascii="Cambria" w:eastAsia="Times New Roman" w:hAnsi="Cambria"/>
          <w:bCs/>
          <w:sz w:val="20"/>
          <w:szCs w:val="20"/>
          <w:lang w:val="es-ES"/>
        </w:rPr>
        <w:t xml:space="preserve">forzada </w:t>
      </w:r>
      <w:r w:rsidRPr="006E763F">
        <w:rPr>
          <w:rFonts w:ascii="Cambria" w:eastAsia="Times New Roman" w:hAnsi="Cambria"/>
          <w:bCs/>
          <w:sz w:val="20"/>
          <w:szCs w:val="20"/>
          <w:lang w:val="es-ES"/>
        </w:rPr>
        <w:t xml:space="preserve">de Pedro Julio Movilla Galarcio respondió a su </w:t>
      </w:r>
      <w:r w:rsidR="00CB55DE" w:rsidRPr="006E763F">
        <w:rPr>
          <w:rFonts w:ascii="Cambria" w:eastAsia="Times New Roman" w:hAnsi="Cambria"/>
          <w:bCs/>
          <w:sz w:val="20"/>
          <w:szCs w:val="20"/>
          <w:lang w:val="es-ES"/>
        </w:rPr>
        <w:t xml:space="preserve">supuesta </w:t>
      </w:r>
      <w:r w:rsidR="002E4EB5" w:rsidRPr="006E763F">
        <w:rPr>
          <w:rFonts w:ascii="Cambria" w:eastAsia="Times New Roman" w:hAnsi="Cambria"/>
          <w:bCs/>
          <w:sz w:val="20"/>
          <w:szCs w:val="20"/>
          <w:lang w:val="es-ES"/>
        </w:rPr>
        <w:t>vinculación a una organización subversiva</w:t>
      </w:r>
      <w:r w:rsidR="00DC6148" w:rsidRPr="006E763F">
        <w:rPr>
          <w:rFonts w:ascii="Cambria" w:eastAsia="Times New Roman" w:hAnsi="Cambria"/>
          <w:bCs/>
          <w:sz w:val="20"/>
          <w:szCs w:val="20"/>
          <w:lang w:val="es-ES"/>
        </w:rPr>
        <w:t xml:space="preserve">, lo que fue derivado, sin que existiera condena penal en firme, del </w:t>
      </w:r>
      <w:r w:rsidRPr="006E763F">
        <w:rPr>
          <w:rFonts w:ascii="Cambria" w:eastAsia="Times New Roman" w:hAnsi="Cambria"/>
          <w:bCs/>
          <w:sz w:val="20"/>
          <w:szCs w:val="20"/>
          <w:lang w:val="es-ES"/>
        </w:rPr>
        <w:t xml:space="preserve">liderazgo </w:t>
      </w:r>
      <w:r w:rsidR="00AF0803" w:rsidRPr="006E763F">
        <w:rPr>
          <w:rFonts w:ascii="Cambria" w:eastAsia="Times New Roman" w:hAnsi="Cambria"/>
          <w:bCs/>
          <w:sz w:val="20"/>
          <w:szCs w:val="20"/>
          <w:lang w:val="es-ES"/>
        </w:rPr>
        <w:t>social</w:t>
      </w:r>
      <w:r w:rsidRPr="006E763F">
        <w:rPr>
          <w:rFonts w:ascii="Cambria" w:eastAsia="Times New Roman" w:hAnsi="Cambria"/>
          <w:bCs/>
          <w:sz w:val="20"/>
          <w:szCs w:val="20"/>
          <w:lang w:val="es-ES"/>
        </w:rPr>
        <w:t xml:space="preserve"> </w:t>
      </w:r>
      <w:r w:rsidR="00C45A93" w:rsidRPr="006E763F">
        <w:rPr>
          <w:rFonts w:ascii="Cambria" w:eastAsia="Times New Roman" w:hAnsi="Cambria"/>
          <w:bCs/>
          <w:sz w:val="20"/>
          <w:szCs w:val="20"/>
          <w:lang w:val="es-ES"/>
        </w:rPr>
        <w:t xml:space="preserve">de la presunta víctima </w:t>
      </w:r>
      <w:r w:rsidR="00D117C7" w:rsidRPr="006E763F">
        <w:rPr>
          <w:rFonts w:ascii="Cambria" w:eastAsia="Times New Roman" w:hAnsi="Cambria"/>
          <w:bCs/>
          <w:sz w:val="20"/>
          <w:szCs w:val="20"/>
          <w:lang w:val="es-ES"/>
        </w:rPr>
        <w:t xml:space="preserve">y </w:t>
      </w:r>
      <w:r w:rsidR="00C45A93" w:rsidRPr="006E763F">
        <w:rPr>
          <w:rFonts w:ascii="Cambria" w:eastAsia="Times New Roman" w:hAnsi="Cambria"/>
          <w:bCs/>
          <w:sz w:val="20"/>
          <w:szCs w:val="20"/>
          <w:lang w:val="es-ES"/>
        </w:rPr>
        <w:t xml:space="preserve">su </w:t>
      </w:r>
      <w:r w:rsidR="00D117C7" w:rsidRPr="006E763F">
        <w:rPr>
          <w:rFonts w:ascii="Cambria" w:eastAsia="Times New Roman" w:hAnsi="Cambria"/>
          <w:bCs/>
          <w:sz w:val="20"/>
          <w:szCs w:val="20"/>
          <w:lang w:val="es-ES"/>
        </w:rPr>
        <w:t>pertenencia a organizaciones</w:t>
      </w:r>
      <w:r w:rsidR="00AF0803" w:rsidRPr="006E763F">
        <w:rPr>
          <w:rFonts w:ascii="Cambria" w:eastAsia="Times New Roman" w:hAnsi="Cambria"/>
          <w:bCs/>
          <w:sz w:val="20"/>
          <w:szCs w:val="20"/>
          <w:lang w:val="es-ES"/>
        </w:rPr>
        <w:t xml:space="preserve"> sindicales y</w:t>
      </w:r>
      <w:r w:rsidR="00D117C7" w:rsidRPr="006E763F">
        <w:rPr>
          <w:rFonts w:ascii="Cambria" w:eastAsia="Times New Roman" w:hAnsi="Cambria"/>
          <w:bCs/>
          <w:sz w:val="20"/>
          <w:szCs w:val="20"/>
          <w:lang w:val="es-ES"/>
        </w:rPr>
        <w:t xml:space="preserve"> </w:t>
      </w:r>
      <w:r w:rsidRPr="006E763F">
        <w:rPr>
          <w:rFonts w:ascii="Cambria" w:eastAsia="Times New Roman" w:hAnsi="Cambria"/>
          <w:bCs/>
          <w:sz w:val="20"/>
          <w:szCs w:val="20"/>
          <w:lang w:val="es-ES"/>
        </w:rPr>
        <w:t>política</w:t>
      </w:r>
      <w:r w:rsidR="00B63C19" w:rsidRPr="006E763F">
        <w:rPr>
          <w:rFonts w:ascii="Cambria" w:eastAsia="Times New Roman" w:hAnsi="Cambria"/>
          <w:bCs/>
          <w:sz w:val="20"/>
          <w:szCs w:val="20"/>
          <w:lang w:val="es-ES"/>
        </w:rPr>
        <w:t>s de ideología</w:t>
      </w:r>
      <w:r w:rsidR="00D117C7" w:rsidRPr="006E763F">
        <w:rPr>
          <w:rFonts w:ascii="Cambria" w:eastAsia="Times New Roman" w:hAnsi="Cambria"/>
          <w:bCs/>
          <w:sz w:val="20"/>
          <w:szCs w:val="20"/>
          <w:lang w:val="es-ES"/>
        </w:rPr>
        <w:t xml:space="preserve"> de izquierda</w:t>
      </w:r>
      <w:r w:rsidRPr="006E763F">
        <w:rPr>
          <w:rFonts w:ascii="Cambria" w:eastAsia="Times New Roman" w:hAnsi="Cambria"/>
          <w:bCs/>
          <w:sz w:val="20"/>
          <w:szCs w:val="20"/>
          <w:lang w:val="es-ES"/>
        </w:rPr>
        <w:t xml:space="preserve">. </w:t>
      </w:r>
      <w:r w:rsidR="00D117C7" w:rsidRPr="006E763F">
        <w:rPr>
          <w:rFonts w:ascii="Cambria" w:eastAsia="Times New Roman" w:hAnsi="Cambria"/>
          <w:bCs/>
          <w:sz w:val="20"/>
          <w:szCs w:val="20"/>
          <w:lang w:val="es-ES"/>
        </w:rPr>
        <w:t>Para la Comisión, e</w:t>
      </w:r>
      <w:r w:rsidRPr="006E763F">
        <w:rPr>
          <w:rFonts w:ascii="Cambria" w:eastAsia="Times New Roman" w:hAnsi="Cambria"/>
          <w:bCs/>
          <w:sz w:val="20"/>
          <w:szCs w:val="20"/>
          <w:lang w:val="es-ES"/>
        </w:rPr>
        <w:t>sta correlación establecida por los órganos de inteligencia militar se enmarca en el contexto en el que se produjeron los hechos descritos en este informe, y responde a un</w:t>
      </w:r>
      <w:r w:rsidR="00D117C7" w:rsidRPr="006E763F">
        <w:rPr>
          <w:rFonts w:ascii="Cambria" w:eastAsia="Times New Roman" w:hAnsi="Cambria"/>
          <w:bCs/>
          <w:sz w:val="20"/>
          <w:szCs w:val="20"/>
          <w:lang w:val="es-ES"/>
        </w:rPr>
        <w:t>a</w:t>
      </w:r>
      <w:r w:rsidRPr="006E763F">
        <w:rPr>
          <w:rFonts w:ascii="Cambria" w:eastAsia="Times New Roman" w:hAnsi="Cambria"/>
          <w:bCs/>
          <w:sz w:val="20"/>
          <w:szCs w:val="20"/>
          <w:lang w:val="es-ES"/>
        </w:rPr>
        <w:t xml:space="preserve"> lógica </w:t>
      </w:r>
      <w:r w:rsidR="00F2479A" w:rsidRPr="006E763F">
        <w:rPr>
          <w:rFonts w:ascii="Cambria" w:eastAsia="Times New Roman" w:hAnsi="Cambria"/>
          <w:bCs/>
          <w:sz w:val="20"/>
          <w:szCs w:val="20"/>
          <w:lang w:val="es-ES"/>
        </w:rPr>
        <w:t xml:space="preserve">selectiva </w:t>
      </w:r>
      <w:r w:rsidR="008535B1" w:rsidRPr="006E763F">
        <w:rPr>
          <w:rFonts w:ascii="Cambria" w:eastAsia="Times New Roman" w:hAnsi="Cambria"/>
          <w:bCs/>
          <w:sz w:val="20"/>
          <w:szCs w:val="20"/>
          <w:lang w:val="es-ES"/>
        </w:rPr>
        <w:t>de las operaciones de seguridad nacional</w:t>
      </w:r>
      <w:r w:rsidR="00AF0803" w:rsidRPr="006E763F">
        <w:rPr>
          <w:rFonts w:ascii="Cambria" w:eastAsia="Times New Roman" w:hAnsi="Cambria"/>
          <w:bCs/>
          <w:sz w:val="20"/>
          <w:szCs w:val="20"/>
          <w:lang w:val="es-ES"/>
        </w:rPr>
        <w:t xml:space="preserve"> </w:t>
      </w:r>
      <w:r w:rsidR="006A0AC5" w:rsidRPr="006E763F">
        <w:rPr>
          <w:rFonts w:ascii="Cambria" w:eastAsia="Times New Roman" w:hAnsi="Cambria"/>
          <w:bCs/>
          <w:sz w:val="20"/>
          <w:szCs w:val="20"/>
          <w:lang w:val="es-ES"/>
        </w:rPr>
        <w:t>que criminalizó</w:t>
      </w:r>
      <w:r w:rsidRPr="006E763F">
        <w:rPr>
          <w:rFonts w:ascii="Cambria" w:eastAsia="Times New Roman" w:hAnsi="Cambria"/>
          <w:bCs/>
          <w:sz w:val="20"/>
          <w:szCs w:val="20"/>
          <w:lang w:val="es-ES"/>
        </w:rPr>
        <w:t xml:space="preserve"> </w:t>
      </w:r>
      <w:r w:rsidR="008535B1" w:rsidRPr="006E763F">
        <w:rPr>
          <w:rFonts w:ascii="Cambria" w:eastAsia="Times New Roman" w:hAnsi="Cambria"/>
          <w:bCs/>
          <w:sz w:val="20"/>
          <w:szCs w:val="20"/>
          <w:lang w:val="es-ES"/>
        </w:rPr>
        <w:t>la</w:t>
      </w:r>
      <w:r w:rsidR="00D117C7" w:rsidRPr="006E763F">
        <w:rPr>
          <w:rFonts w:ascii="Cambria" w:eastAsia="Times New Roman" w:hAnsi="Cambria"/>
          <w:bCs/>
          <w:sz w:val="20"/>
          <w:szCs w:val="20"/>
          <w:lang w:val="es-ES"/>
        </w:rPr>
        <w:t xml:space="preserve"> participación </w:t>
      </w:r>
      <w:r w:rsidR="008535B1" w:rsidRPr="006E763F">
        <w:rPr>
          <w:rFonts w:ascii="Cambria" w:eastAsia="Times New Roman" w:hAnsi="Cambria"/>
          <w:bCs/>
          <w:sz w:val="20"/>
          <w:szCs w:val="20"/>
          <w:lang w:val="es-ES"/>
        </w:rPr>
        <w:t xml:space="preserve">de Pedro Julio Movilla Galarcio </w:t>
      </w:r>
      <w:r w:rsidR="00D117C7" w:rsidRPr="006E763F">
        <w:rPr>
          <w:rFonts w:ascii="Cambria" w:eastAsia="Times New Roman" w:hAnsi="Cambria"/>
          <w:bCs/>
          <w:sz w:val="20"/>
          <w:szCs w:val="20"/>
          <w:lang w:val="es-ES"/>
        </w:rPr>
        <w:t>en organizaciones</w:t>
      </w:r>
      <w:r w:rsidR="00967945" w:rsidRPr="006E763F">
        <w:rPr>
          <w:rFonts w:ascii="Cambria" w:eastAsia="Times New Roman" w:hAnsi="Cambria"/>
          <w:bCs/>
          <w:sz w:val="20"/>
          <w:szCs w:val="20"/>
          <w:lang w:val="es-ES"/>
        </w:rPr>
        <w:t xml:space="preserve"> sindicales y políticas. </w:t>
      </w:r>
    </w:p>
    <w:p w14:paraId="678CF384" w14:textId="77777777" w:rsidR="00CE205F" w:rsidRPr="006E763F" w:rsidRDefault="00CE205F" w:rsidP="00E923B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bCs/>
          <w:sz w:val="20"/>
          <w:szCs w:val="20"/>
          <w:lang w:val="es-ES"/>
        </w:rPr>
      </w:pPr>
    </w:p>
    <w:p w14:paraId="27DBE61C" w14:textId="0E9E47B1" w:rsidR="00B60134" w:rsidRPr="006E763F" w:rsidRDefault="00B60134"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b/>
          <w:bCs/>
          <w:sz w:val="20"/>
          <w:szCs w:val="20"/>
          <w:lang w:val="es-ES"/>
        </w:rPr>
      </w:pPr>
      <w:r w:rsidRPr="006E763F">
        <w:rPr>
          <w:rFonts w:ascii="Cambria" w:hAnsi="Cambria"/>
          <w:sz w:val="20"/>
          <w:szCs w:val="20"/>
          <w:lang w:val="es-ES_tradnl"/>
        </w:rPr>
        <w:t xml:space="preserve">En virtud de las anteriores consideraciones, la Comisión </w:t>
      </w:r>
      <w:r w:rsidR="00713795" w:rsidRPr="006E763F">
        <w:rPr>
          <w:rFonts w:ascii="Cambria" w:hAnsi="Cambria"/>
          <w:sz w:val="20"/>
          <w:szCs w:val="20"/>
          <w:lang w:val="es-ES_tradnl"/>
        </w:rPr>
        <w:t>concluye que en at</w:t>
      </w:r>
      <w:r w:rsidRPr="006E763F">
        <w:rPr>
          <w:rFonts w:ascii="Cambria" w:hAnsi="Cambria"/>
          <w:sz w:val="20"/>
          <w:szCs w:val="20"/>
          <w:lang w:val="es-ES_tradnl"/>
        </w:rPr>
        <w:t>e</w:t>
      </w:r>
      <w:r w:rsidR="00713795" w:rsidRPr="006E763F">
        <w:rPr>
          <w:rFonts w:ascii="Cambria" w:hAnsi="Cambria"/>
          <w:sz w:val="20"/>
          <w:szCs w:val="20"/>
          <w:lang w:val="es-ES_tradnl"/>
        </w:rPr>
        <w:t xml:space="preserve">nción al móvil y carácter selectivo de la desaparición forzada, el Estado colombiano también es responsable por la violación del derecho a la libertad de asociación establecido en el artículo 16 de la Convención Americana, en relación con los artículos 1.1 y 2 del mismo instrumento. </w:t>
      </w:r>
    </w:p>
    <w:p w14:paraId="1079FE18" w14:textId="0B198279" w:rsidR="009A7F2C" w:rsidRDefault="009A7F2C" w:rsidP="00E923BB">
      <w:pPr>
        <w:pStyle w:val="ListParagraph"/>
        <w:ind w:left="249" w:firstLine="0"/>
        <w:rPr>
          <w:rFonts w:eastAsia="Times New Roman" w:cs="Times New Roman"/>
          <w:b/>
          <w:bCs/>
          <w:sz w:val="20"/>
          <w:szCs w:val="20"/>
          <w:lang w:val="es-ES"/>
        </w:rPr>
      </w:pPr>
    </w:p>
    <w:p w14:paraId="31DB0414" w14:textId="77777777" w:rsidR="00D90561" w:rsidRDefault="00D90561" w:rsidP="00E923BB">
      <w:pPr>
        <w:pStyle w:val="ListParagraph"/>
        <w:ind w:left="249" w:firstLine="0"/>
        <w:rPr>
          <w:rFonts w:eastAsia="Times New Roman" w:cs="Times New Roman"/>
          <w:b/>
          <w:bCs/>
          <w:sz w:val="20"/>
          <w:szCs w:val="20"/>
          <w:lang w:val="es-ES"/>
        </w:rPr>
      </w:pPr>
    </w:p>
    <w:p w14:paraId="3A383C9A" w14:textId="1A79BAFC" w:rsidR="00D90561" w:rsidRDefault="00D90561">
      <w:pPr>
        <w:rPr>
          <w:rFonts w:ascii="Cambria" w:eastAsia="Times New Roman" w:hAnsi="Cambria"/>
          <w:b/>
          <w:bCs/>
          <w:color w:val="000000"/>
          <w:sz w:val="20"/>
          <w:szCs w:val="20"/>
          <w:u w:color="000000"/>
          <w:lang w:val="es-ES" w:eastAsia="es-CL"/>
        </w:rPr>
      </w:pPr>
      <w:r>
        <w:rPr>
          <w:rFonts w:eastAsia="Times New Roman"/>
          <w:b/>
          <w:bCs/>
          <w:sz w:val="20"/>
          <w:szCs w:val="20"/>
          <w:lang w:val="es-ES"/>
        </w:rPr>
        <w:br w:type="page"/>
      </w:r>
    </w:p>
    <w:p w14:paraId="4B07239F" w14:textId="77777777" w:rsidR="00D90561" w:rsidRDefault="00D90561" w:rsidP="00E923BB">
      <w:pPr>
        <w:pStyle w:val="ListParagraph"/>
        <w:ind w:left="249" w:firstLine="0"/>
        <w:rPr>
          <w:rFonts w:eastAsia="Times New Roman" w:cs="Times New Roman"/>
          <w:b/>
          <w:bCs/>
          <w:sz w:val="20"/>
          <w:szCs w:val="20"/>
          <w:lang w:val="es-ES"/>
        </w:rPr>
      </w:pPr>
    </w:p>
    <w:p w14:paraId="3315A5D4" w14:textId="34380FD4" w:rsidR="00EC310A" w:rsidRPr="00EA3E8B" w:rsidRDefault="00547C71" w:rsidP="00685D78">
      <w:pPr>
        <w:pStyle w:val="Heading2"/>
        <w:numPr>
          <w:ilvl w:val="0"/>
          <w:numId w:val="26"/>
        </w:numPr>
        <w:tabs>
          <w:tab w:val="clear" w:pos="86"/>
          <w:tab w:val="num" w:pos="1440"/>
        </w:tabs>
        <w:ind w:left="1440" w:hanging="720"/>
        <w:rPr>
          <w:rFonts w:eastAsia="Times New Roman" w:cs="Times New Roman"/>
          <w:bCs w:val="0"/>
        </w:rPr>
      </w:pPr>
      <w:bookmarkStart w:id="22" w:name="_Toc446162"/>
      <w:r w:rsidRPr="00EA3E8B">
        <w:rPr>
          <w:bCs w:val="0"/>
        </w:rPr>
        <w:t>El derecho a las garantías judiciales y la protección judicial (artículos 8</w:t>
      </w:r>
      <w:r w:rsidR="009A5637" w:rsidRPr="00EA3E8B">
        <w:rPr>
          <w:bCs w:val="0"/>
        </w:rPr>
        <w:t>.1</w:t>
      </w:r>
      <w:r w:rsidR="009E7E98" w:rsidRPr="00EA3E8B">
        <w:rPr>
          <w:bCs w:val="0"/>
          <w:vertAlign w:val="superscript"/>
        </w:rPr>
        <w:footnoteReference w:id="125"/>
      </w:r>
      <w:r w:rsidR="009A5637" w:rsidRPr="00EA3E8B">
        <w:rPr>
          <w:bCs w:val="0"/>
        </w:rPr>
        <w:t xml:space="preserve">, </w:t>
      </w:r>
      <w:r w:rsidRPr="00EA3E8B">
        <w:rPr>
          <w:bCs w:val="0"/>
        </w:rPr>
        <w:t>25.1</w:t>
      </w:r>
      <w:r w:rsidR="009E7E98" w:rsidRPr="00EA3E8B">
        <w:rPr>
          <w:bCs w:val="0"/>
          <w:vertAlign w:val="superscript"/>
        </w:rPr>
        <w:footnoteReference w:id="126"/>
      </w:r>
      <w:r w:rsidR="009A5637" w:rsidRPr="00EA3E8B">
        <w:rPr>
          <w:bCs w:val="0"/>
        </w:rPr>
        <w:t xml:space="preserve"> y 1.1 de</w:t>
      </w:r>
      <w:r w:rsidRPr="00EA3E8B">
        <w:rPr>
          <w:bCs w:val="0"/>
        </w:rPr>
        <w:t xml:space="preserve"> la Convención Americana</w:t>
      </w:r>
      <w:r w:rsidR="00023074" w:rsidRPr="00EA3E8B">
        <w:rPr>
          <w:bCs w:val="0"/>
        </w:rPr>
        <w:t xml:space="preserve"> y I. b de la</w:t>
      </w:r>
      <w:r w:rsidR="009A5637" w:rsidRPr="00EA3E8B">
        <w:rPr>
          <w:bCs w:val="0"/>
        </w:rPr>
        <w:t xml:space="preserve"> CIDFP</w:t>
      </w:r>
      <w:r w:rsidR="00023074" w:rsidRPr="00EA3E8B">
        <w:rPr>
          <w:rStyle w:val="FootnoteReference"/>
          <w:bCs w:val="0"/>
        </w:rPr>
        <w:footnoteReference w:id="127"/>
      </w:r>
      <w:bookmarkEnd w:id="22"/>
    </w:p>
    <w:p w14:paraId="67203BB3" w14:textId="77777777" w:rsidR="004E072C" w:rsidRPr="006E763F" w:rsidRDefault="004E072C" w:rsidP="00E923BB">
      <w:pPr>
        <w:pStyle w:val="Body"/>
        <w:ind w:firstLine="0"/>
        <w:rPr>
          <w:b/>
          <w:bCs/>
          <w:lang w:val="es-ES"/>
        </w:rPr>
      </w:pPr>
    </w:p>
    <w:p w14:paraId="5A9F3232" w14:textId="77777777" w:rsidR="004E072C" w:rsidRPr="006E763F" w:rsidRDefault="004E072C"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lang w:val="es-ES" w:eastAsia="es-ES"/>
        </w:rPr>
      </w:pPr>
      <w:r w:rsidRPr="006E763F">
        <w:rPr>
          <w:rFonts w:ascii="Cambria" w:eastAsia="Times New Roman" w:hAnsi="Cambria"/>
          <w:sz w:val="20"/>
          <w:szCs w:val="20"/>
          <w:lang w:val="es-ES" w:eastAsia="es-ES"/>
        </w:rPr>
        <w:t xml:space="preserve">La jurisprudencia interamericana sostiene que cuando se trata de la denuncia de la desaparición de una persona, existe un vínculo inescindible entre la respuesta estatal y la protección de la vida e integridad de la persona que se denuncia desaparecida. La naturaleza inmediata y exhaustiva de la respuesta </w:t>
      </w:r>
      <w:r w:rsidRPr="006E763F">
        <w:rPr>
          <w:rFonts w:ascii="Cambria" w:hAnsi="Cambria"/>
          <w:sz w:val="20"/>
          <w:szCs w:val="20"/>
          <w:lang w:val="es-ES_tradnl"/>
        </w:rPr>
        <w:t>estatal</w:t>
      </w:r>
      <w:r w:rsidRPr="006E763F">
        <w:rPr>
          <w:rFonts w:ascii="Cambria" w:eastAsia="Times New Roman" w:hAnsi="Cambria"/>
          <w:sz w:val="20"/>
          <w:szCs w:val="20"/>
          <w:lang w:val="es-ES" w:eastAsia="es-ES"/>
        </w:rPr>
        <w:t xml:space="preserve"> es independiente de si se trata de una posible desaparición de manos de particulares o de manos de agentes estatales. La Comisión reitera que cuando haya motivos razonables para sospechar que una persona ha sido sometida a desaparición, es imprescindible la actuación pronta e inmediata de las autoridades fiscales y judiciales ordenando medidas oportunas y necesarias dirigidas a la determinación del paradero de la víctima o el lugar donde pueda encontrarse privada de libertad</w:t>
      </w:r>
      <w:bookmarkStart w:id="23" w:name="_Ref280106061"/>
      <w:r w:rsidRPr="006E763F">
        <w:rPr>
          <w:rFonts w:ascii="Cambria" w:eastAsia="Times New Roman" w:hAnsi="Cambria"/>
          <w:sz w:val="20"/>
          <w:szCs w:val="20"/>
          <w:vertAlign w:val="superscript"/>
          <w:lang w:val="es-ES" w:eastAsia="es-ES"/>
        </w:rPr>
        <w:footnoteReference w:id="128"/>
      </w:r>
      <w:bookmarkEnd w:id="23"/>
      <w:r w:rsidRPr="006E763F">
        <w:rPr>
          <w:rFonts w:ascii="Cambria" w:eastAsia="Times New Roman" w:hAnsi="Cambria"/>
          <w:sz w:val="20"/>
          <w:szCs w:val="20"/>
          <w:lang w:val="es-ES" w:eastAsia="es-ES"/>
        </w:rPr>
        <w:t xml:space="preserve">. </w:t>
      </w:r>
    </w:p>
    <w:p w14:paraId="28557EC8" w14:textId="77777777" w:rsidR="004E072C" w:rsidRPr="006E763F" w:rsidRDefault="004E072C" w:rsidP="00E923BB">
      <w:pPr>
        <w:ind w:left="720"/>
        <w:jc w:val="both"/>
        <w:rPr>
          <w:rFonts w:ascii="Cambria" w:eastAsia="Times New Roman" w:hAnsi="Cambria"/>
          <w:sz w:val="20"/>
          <w:szCs w:val="20"/>
          <w:lang w:val="es-ES" w:eastAsia="es-ES"/>
        </w:rPr>
      </w:pPr>
    </w:p>
    <w:p w14:paraId="55485C27" w14:textId="0664291A" w:rsidR="00E91E49" w:rsidRPr="006E763F" w:rsidRDefault="004E072C"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lang w:val="es-ES" w:eastAsia="es-ES"/>
        </w:rPr>
      </w:pPr>
      <w:r w:rsidRPr="006E763F">
        <w:rPr>
          <w:rFonts w:ascii="Cambria" w:hAnsi="Cambria"/>
          <w:spacing w:val="-2"/>
          <w:sz w:val="20"/>
          <w:szCs w:val="20"/>
          <w:lang w:val="es-ES"/>
        </w:rPr>
        <w:t xml:space="preserve">En esta línea, la Corte ha señalado que la obligación de investigar implica que una vez que las autoridades estatales tengan conocimiento del hecho, </w:t>
      </w:r>
      <w:r w:rsidRPr="006E763F">
        <w:rPr>
          <w:rFonts w:ascii="Cambria" w:hAnsi="Cambria"/>
          <w:bCs/>
          <w:spacing w:val="-2"/>
          <w:sz w:val="20"/>
          <w:szCs w:val="20"/>
          <w:lang w:val="es-ES"/>
        </w:rPr>
        <w:t>deben</w:t>
      </w:r>
      <w:r w:rsidRPr="006E763F">
        <w:rPr>
          <w:rFonts w:ascii="Cambria" w:hAnsi="Cambria"/>
          <w:spacing w:val="-2"/>
          <w:sz w:val="20"/>
          <w:szCs w:val="20"/>
          <w:lang w:val="es-ES"/>
        </w:rPr>
        <w:t xml:space="preserve"> iniciar</w:t>
      </w:r>
      <w:r w:rsidRPr="006E763F">
        <w:rPr>
          <w:rFonts w:ascii="Cambria" w:hAnsi="Cambria"/>
          <w:i/>
          <w:spacing w:val="-2"/>
          <w:sz w:val="20"/>
          <w:szCs w:val="20"/>
          <w:lang w:val="es-ES"/>
        </w:rPr>
        <w:t xml:space="preserve"> ex officio</w:t>
      </w:r>
      <w:r w:rsidRPr="006E763F">
        <w:rPr>
          <w:rFonts w:ascii="Cambria" w:hAnsi="Cambria"/>
          <w:spacing w:val="-2"/>
          <w:sz w:val="20"/>
          <w:szCs w:val="20"/>
          <w:lang w:val="es-ES"/>
        </w:rPr>
        <w:t xml:space="preserve"> y sin dilación, una investigación seria, imparcial y </w:t>
      </w:r>
      <w:r w:rsidRPr="006E763F">
        <w:rPr>
          <w:rFonts w:ascii="Cambria" w:hAnsi="Cambria"/>
          <w:sz w:val="20"/>
          <w:szCs w:val="20"/>
          <w:lang w:val="es-ES_tradnl"/>
        </w:rPr>
        <w:t>efectiva</w:t>
      </w:r>
      <w:r w:rsidRPr="006E763F">
        <w:rPr>
          <w:rFonts w:ascii="Cambria" w:hAnsi="Cambria"/>
          <w:spacing w:val="-2"/>
          <w:sz w:val="20"/>
          <w:szCs w:val="20"/>
          <w:lang w:val="es-ES"/>
        </w:rPr>
        <w:t xml:space="preserve"> por todos los medios legales disponibles y orientada a la determinación de la verdad y a la persecución, captura, enjuiciamiento y eventual castigo de todos los autores de los hechos</w:t>
      </w:r>
      <w:r w:rsidRPr="006E763F">
        <w:rPr>
          <w:rFonts w:ascii="Cambria" w:hAnsi="Cambria"/>
          <w:spacing w:val="-2"/>
          <w:sz w:val="20"/>
          <w:szCs w:val="20"/>
          <w:vertAlign w:val="superscript"/>
          <w:lang w:val="es-ES"/>
        </w:rPr>
        <w:footnoteReference w:id="129"/>
      </w:r>
      <w:r w:rsidR="00283897" w:rsidRPr="006E763F">
        <w:rPr>
          <w:rFonts w:ascii="Cambria" w:hAnsi="Cambria"/>
          <w:spacing w:val="-2"/>
          <w:sz w:val="20"/>
          <w:szCs w:val="20"/>
          <w:lang w:val="es-ES"/>
        </w:rPr>
        <w:t>, especialmente cuando esté</w:t>
      </w:r>
      <w:r w:rsidRPr="006E763F">
        <w:rPr>
          <w:rFonts w:ascii="Cambria" w:hAnsi="Cambria"/>
          <w:spacing w:val="-2"/>
          <w:sz w:val="20"/>
          <w:szCs w:val="20"/>
          <w:lang w:val="es-ES"/>
        </w:rPr>
        <w:t>n o puedan estar involucrados agentes estatales</w:t>
      </w:r>
      <w:r w:rsidRPr="006E763F">
        <w:rPr>
          <w:rFonts w:ascii="Cambria" w:hAnsi="Cambria"/>
          <w:spacing w:val="-2"/>
          <w:sz w:val="20"/>
          <w:szCs w:val="20"/>
          <w:vertAlign w:val="superscript"/>
          <w:lang w:val="es-ES"/>
        </w:rPr>
        <w:footnoteReference w:id="130"/>
      </w:r>
      <w:r w:rsidRPr="006E763F">
        <w:rPr>
          <w:rFonts w:ascii="Cambria" w:hAnsi="Cambria"/>
          <w:spacing w:val="-2"/>
          <w:sz w:val="20"/>
          <w:szCs w:val="20"/>
          <w:lang w:val="es-ES"/>
        </w:rPr>
        <w:t>. Este deber es una obligación de medio y no de resultado, que debe ser asumida por el Estado como un deber jurídico propio y no como una simple formalidad condenada de antemano a ser infructuosa, o como una mera gestión de intereses particulares, que dependa de la iniciativa procesal de las víctimas o de sus familiares o de la aportación privada de elementos probatorios</w:t>
      </w:r>
      <w:r w:rsidRPr="006E763F">
        <w:rPr>
          <w:rFonts w:ascii="Cambria" w:hAnsi="Cambria"/>
          <w:spacing w:val="-2"/>
          <w:sz w:val="20"/>
          <w:szCs w:val="20"/>
          <w:vertAlign w:val="superscript"/>
          <w:lang w:val="es-ES"/>
        </w:rPr>
        <w:footnoteReference w:id="131"/>
      </w:r>
      <w:r w:rsidRPr="006E763F">
        <w:rPr>
          <w:rFonts w:ascii="Cambria" w:hAnsi="Cambria"/>
          <w:spacing w:val="-2"/>
          <w:sz w:val="20"/>
          <w:szCs w:val="20"/>
          <w:lang w:val="es-ES"/>
        </w:rPr>
        <w:t>. La obligación del Estado de investigar debe cumplirse diligentemente para evitar la impunidad y que este tipo de hechos vuelvan a repetirse</w:t>
      </w:r>
      <w:r w:rsidRPr="006E763F">
        <w:rPr>
          <w:rFonts w:ascii="Cambria" w:hAnsi="Cambria"/>
          <w:spacing w:val="-2"/>
          <w:sz w:val="20"/>
          <w:szCs w:val="20"/>
          <w:vertAlign w:val="superscript"/>
          <w:lang w:val="es-ES"/>
        </w:rPr>
        <w:footnoteReference w:id="132"/>
      </w:r>
      <w:r w:rsidRPr="006E763F">
        <w:rPr>
          <w:rFonts w:ascii="Cambria" w:hAnsi="Cambria"/>
          <w:spacing w:val="-2"/>
          <w:sz w:val="20"/>
          <w:szCs w:val="20"/>
          <w:lang w:val="es-ES"/>
        </w:rPr>
        <w:t xml:space="preserve">. </w:t>
      </w:r>
    </w:p>
    <w:p w14:paraId="54041C82" w14:textId="77777777" w:rsidR="00E91E49" w:rsidRPr="006E763F" w:rsidRDefault="00E91E49" w:rsidP="00E923BB">
      <w:pPr>
        <w:pStyle w:val="ListParagraph"/>
        <w:rPr>
          <w:rFonts w:cs="Arial"/>
          <w:sz w:val="20"/>
          <w:szCs w:val="20"/>
          <w:lang w:val="es-ES"/>
        </w:rPr>
      </w:pPr>
    </w:p>
    <w:p w14:paraId="126B150E" w14:textId="4C5789A5" w:rsidR="004E072C" w:rsidRPr="006E763F" w:rsidRDefault="004E072C"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lang w:val="es-ES" w:eastAsia="es-ES"/>
        </w:rPr>
      </w:pPr>
      <w:r w:rsidRPr="006E763F">
        <w:rPr>
          <w:rFonts w:ascii="Cambria" w:hAnsi="Cambria" w:cs="Arial"/>
          <w:sz w:val="20"/>
          <w:szCs w:val="20"/>
          <w:lang w:val="es-ES"/>
        </w:rPr>
        <w:t>Además, en cuanto a la debida diligencia durante el desarrollo de la investigación, la Comisión y la Corte Interamericana han establecido que “cada acto estatal que conforma el proceso investigativo, así como la investigación en su totalidad, debe estar orientado hacia una finalidad específica, la determinación de la verdad y la investigación, persecución, captura, enjuiciamiento y, en su caso, la sanción de los responsables de los hechos”</w:t>
      </w:r>
      <w:r w:rsidRPr="006E763F">
        <w:rPr>
          <w:rStyle w:val="FootnoteReference"/>
          <w:rFonts w:ascii="Cambria" w:hAnsi="Cambria"/>
          <w:sz w:val="20"/>
          <w:szCs w:val="20"/>
          <w:lang w:val="es-ES"/>
        </w:rPr>
        <w:footnoteReference w:id="133"/>
      </w:r>
      <w:r w:rsidRPr="006E763F">
        <w:rPr>
          <w:rFonts w:ascii="Cambria" w:hAnsi="Cambria" w:cs="Arial"/>
          <w:sz w:val="20"/>
          <w:szCs w:val="20"/>
          <w:lang w:val="es-ES"/>
        </w:rPr>
        <w:t xml:space="preserve">. A </w:t>
      </w:r>
      <w:r w:rsidRPr="006E763F">
        <w:rPr>
          <w:rFonts w:ascii="Cambria" w:hAnsi="Cambria"/>
          <w:sz w:val="20"/>
          <w:szCs w:val="20"/>
          <w:lang w:val="es-ES"/>
        </w:rPr>
        <w:t xml:space="preserve">ese respecto, el Estado tiene que </w:t>
      </w:r>
      <w:r w:rsidRPr="006E763F">
        <w:rPr>
          <w:rFonts w:ascii="Cambria" w:hAnsi="Cambria"/>
          <w:spacing w:val="-2"/>
          <w:sz w:val="20"/>
          <w:szCs w:val="20"/>
          <w:lang w:val="es-ES"/>
        </w:rPr>
        <w:t xml:space="preserve">demostrar que ha realizado una investigación </w:t>
      </w:r>
      <w:r w:rsidRPr="006E763F">
        <w:rPr>
          <w:rFonts w:ascii="Cambria" w:hAnsi="Cambria"/>
          <w:sz w:val="20"/>
          <w:szCs w:val="20"/>
          <w:lang w:val="es-ES"/>
        </w:rPr>
        <w:t>inmediata</w:t>
      </w:r>
      <w:r w:rsidRPr="006E763F">
        <w:rPr>
          <w:rFonts w:ascii="Cambria" w:hAnsi="Cambria"/>
          <w:spacing w:val="-2"/>
          <w:sz w:val="20"/>
          <w:szCs w:val="20"/>
          <w:lang w:val="es-ES"/>
        </w:rPr>
        <w:t xml:space="preserve">, exhaustiva, </w:t>
      </w:r>
      <w:r w:rsidRPr="006E763F">
        <w:rPr>
          <w:rFonts w:ascii="Cambria" w:hAnsi="Cambria"/>
          <w:spacing w:val="-2"/>
          <w:sz w:val="20"/>
          <w:szCs w:val="20"/>
          <w:lang w:val="es-ES"/>
        </w:rPr>
        <w:lastRenderedPageBreak/>
        <w:t>seria e imparcial</w:t>
      </w:r>
      <w:r w:rsidRPr="006E763F">
        <w:rPr>
          <w:rStyle w:val="FootnoteReference"/>
          <w:rFonts w:ascii="Cambria" w:hAnsi="Cambria"/>
          <w:sz w:val="20"/>
          <w:szCs w:val="20"/>
          <w:lang w:val="es-ES"/>
        </w:rPr>
        <w:footnoteReference w:id="134"/>
      </w:r>
      <w:r w:rsidRPr="006E763F">
        <w:rPr>
          <w:rFonts w:ascii="Cambria" w:hAnsi="Cambria"/>
          <w:spacing w:val="-2"/>
          <w:sz w:val="20"/>
          <w:szCs w:val="20"/>
          <w:lang w:val="es-ES"/>
        </w:rPr>
        <w:t>,</w:t>
      </w:r>
      <w:r w:rsidRPr="006E763F">
        <w:rPr>
          <w:rFonts w:ascii="Cambria" w:hAnsi="Cambria"/>
          <w:sz w:val="20"/>
          <w:szCs w:val="20"/>
          <w:lang w:val="es-ES"/>
        </w:rPr>
        <w:t xml:space="preserve"> la cual debe estar orientada a explorar todas las líneas investigativas posibles</w:t>
      </w:r>
      <w:r w:rsidRPr="006E763F">
        <w:rPr>
          <w:rStyle w:val="FootnoteReference"/>
          <w:rFonts w:ascii="Cambria" w:hAnsi="Cambria" w:cs="Arial"/>
          <w:sz w:val="20"/>
          <w:szCs w:val="20"/>
          <w:lang w:val="es-ES"/>
        </w:rPr>
        <w:footnoteReference w:id="135"/>
      </w:r>
      <w:r w:rsidRPr="006E763F">
        <w:rPr>
          <w:rFonts w:ascii="Cambria" w:hAnsi="Cambria"/>
          <w:sz w:val="20"/>
          <w:szCs w:val="20"/>
          <w:lang w:val="es-ES"/>
        </w:rPr>
        <w:t>. El Estado puede ser responsable por no “ordenar, practicar o valorar pruebas” que pueden ser fundamentales para el debido esclarecimiento de los hechos</w:t>
      </w:r>
      <w:r w:rsidRPr="006E763F">
        <w:rPr>
          <w:rStyle w:val="FootnoteReference"/>
          <w:rFonts w:ascii="Cambria" w:hAnsi="Cambria"/>
          <w:sz w:val="20"/>
          <w:szCs w:val="20"/>
          <w:lang w:val="es-ES"/>
        </w:rPr>
        <w:footnoteReference w:id="136"/>
      </w:r>
      <w:r w:rsidRPr="006E763F">
        <w:rPr>
          <w:rFonts w:ascii="Cambria" w:hAnsi="Cambria"/>
          <w:sz w:val="20"/>
          <w:szCs w:val="20"/>
          <w:lang w:val="es-ES"/>
        </w:rPr>
        <w:t xml:space="preserve">. </w:t>
      </w:r>
    </w:p>
    <w:p w14:paraId="31136B64" w14:textId="77777777" w:rsidR="004E072C" w:rsidRPr="006E763F" w:rsidRDefault="004E072C" w:rsidP="00E923BB">
      <w:pPr>
        <w:pStyle w:val="ListParagraph"/>
        <w:rPr>
          <w:sz w:val="20"/>
          <w:szCs w:val="20"/>
          <w:lang w:val="es-ES"/>
        </w:rPr>
      </w:pPr>
    </w:p>
    <w:p w14:paraId="510BA2BC" w14:textId="77777777" w:rsidR="004E072C" w:rsidRPr="006E763F" w:rsidRDefault="004E072C"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ES"/>
        </w:rPr>
      </w:pPr>
      <w:r w:rsidRPr="006E763F">
        <w:rPr>
          <w:rFonts w:ascii="Cambria" w:hAnsi="Cambria"/>
          <w:sz w:val="20"/>
          <w:szCs w:val="20"/>
          <w:lang w:val="es-ES"/>
        </w:rPr>
        <w:t>En línea con lo anterior, la Corte ha reiterado, específicamente para el caso colombiano, la importancia de que las investigaciones de este tipo de responsabilidades sean conducidas en el marco de la jurisdicción penal principalmente y que otro tipo de indagaciones coadyuvantes, como las llevadas a cabo por la Procuraduría General en el ámbito de los procesos disciplinarios, pueden complementar, pero no sustituir el carácter penal de las investigaciones de graves violaciones de derechos humanos</w:t>
      </w:r>
      <w:r w:rsidRPr="006E763F">
        <w:rPr>
          <w:rStyle w:val="FootnoteReference"/>
          <w:rFonts w:ascii="Cambria" w:hAnsi="Cambria"/>
          <w:sz w:val="20"/>
          <w:szCs w:val="20"/>
          <w:lang w:val="es-ES"/>
        </w:rPr>
        <w:footnoteReference w:id="137"/>
      </w:r>
      <w:r w:rsidRPr="006E763F">
        <w:rPr>
          <w:rFonts w:ascii="Cambria" w:hAnsi="Cambria"/>
          <w:sz w:val="20"/>
          <w:szCs w:val="20"/>
          <w:lang w:val="es-ES"/>
        </w:rPr>
        <w:t xml:space="preserve">. </w:t>
      </w:r>
    </w:p>
    <w:p w14:paraId="466EE41B" w14:textId="77777777" w:rsidR="004E072C" w:rsidRPr="006E763F" w:rsidRDefault="004E072C" w:rsidP="00E923B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2731C989" w14:textId="77777777" w:rsidR="004E072C" w:rsidRPr="006E763F" w:rsidRDefault="004E072C"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lang w:val="es-ES" w:eastAsia="es-ES"/>
        </w:rPr>
      </w:pPr>
      <w:r w:rsidRPr="006E763F">
        <w:rPr>
          <w:rFonts w:ascii="Cambria" w:hAnsi="Cambria"/>
          <w:sz w:val="20"/>
          <w:szCs w:val="20"/>
          <w:lang w:val="es-ES"/>
        </w:rPr>
        <w:t>Asimismo, la Corte ha establecido el deber del Estado de investigar los hechos mientras se mantenga la incertidumbre sobre la suerte de la persona desaparecida y la necesidad de brindar un recurso sencillo y rápido para el caso, con las debidas garantías</w:t>
      </w:r>
      <w:r w:rsidRPr="006E763F">
        <w:rPr>
          <w:rFonts w:ascii="Cambria" w:hAnsi="Cambria"/>
          <w:sz w:val="20"/>
          <w:szCs w:val="20"/>
          <w:vertAlign w:val="superscript"/>
          <w:lang w:val="es-ES" w:bidi="x-none"/>
        </w:rPr>
        <w:footnoteReference w:id="138"/>
      </w:r>
      <w:r w:rsidRPr="006E763F">
        <w:rPr>
          <w:rFonts w:ascii="Cambria" w:hAnsi="Cambria"/>
          <w:sz w:val="20"/>
          <w:szCs w:val="20"/>
          <w:lang w:val="es-ES"/>
        </w:rPr>
        <w:t>. La Comisión recuerda en este sentido que los Estados deben garantizar el derecho a la verdad de la víctima o de sus familiares a través de la investigación y el juzgamiento que previenen los artículos 8 y 25 de la Convención</w:t>
      </w:r>
      <w:r w:rsidRPr="006E763F">
        <w:rPr>
          <w:rFonts w:ascii="Cambria" w:hAnsi="Cambria"/>
          <w:sz w:val="20"/>
          <w:szCs w:val="20"/>
          <w:vertAlign w:val="superscript"/>
          <w:lang w:val="es-ES"/>
        </w:rPr>
        <w:footnoteReference w:id="139"/>
      </w:r>
      <w:r w:rsidRPr="006E763F">
        <w:rPr>
          <w:rFonts w:ascii="Cambria" w:hAnsi="Cambria"/>
          <w:sz w:val="20"/>
          <w:szCs w:val="20"/>
          <w:lang w:val="es-ES"/>
        </w:rPr>
        <w:t>.</w:t>
      </w:r>
    </w:p>
    <w:p w14:paraId="7A33F6D3" w14:textId="77777777" w:rsidR="00207848" w:rsidRPr="006E763F" w:rsidRDefault="00207848" w:rsidP="00E923BB">
      <w:pPr>
        <w:rPr>
          <w:rFonts w:ascii="Cambria" w:hAnsi="Cambria" w:cs="Verdana"/>
          <w:sz w:val="20"/>
          <w:szCs w:val="20"/>
          <w:lang w:val="es-ES"/>
        </w:rPr>
      </w:pPr>
    </w:p>
    <w:p w14:paraId="36910373" w14:textId="60979253" w:rsidR="00207848" w:rsidRPr="006E763F" w:rsidRDefault="00207848"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Verdana"/>
          <w:sz w:val="20"/>
          <w:szCs w:val="20"/>
          <w:lang w:val="es-ES"/>
        </w:rPr>
      </w:pPr>
      <w:r w:rsidRPr="006E763F">
        <w:rPr>
          <w:rFonts w:ascii="Cambria" w:hAnsi="Cambria" w:cs="Verdana"/>
          <w:sz w:val="20"/>
          <w:szCs w:val="20"/>
          <w:lang w:val="es-ES"/>
        </w:rPr>
        <w:t>Finalmente, con respecto al principio de</w:t>
      </w:r>
      <w:r w:rsidR="00FE56BC" w:rsidRPr="006E763F">
        <w:rPr>
          <w:rFonts w:ascii="Cambria" w:hAnsi="Cambria" w:cs="Verdana"/>
          <w:sz w:val="20"/>
          <w:szCs w:val="20"/>
          <w:lang w:val="es-ES"/>
        </w:rPr>
        <w:t>l</w:t>
      </w:r>
      <w:r w:rsidRPr="006E763F">
        <w:rPr>
          <w:rFonts w:ascii="Cambria" w:hAnsi="Cambria" w:cs="Verdana"/>
          <w:sz w:val="20"/>
          <w:szCs w:val="20"/>
          <w:lang w:val="es-ES"/>
        </w:rPr>
        <w:t xml:space="preserve"> plazo razonable contemplado en el artículo 8.1 de la </w:t>
      </w:r>
      <w:r w:rsidRPr="006E763F">
        <w:rPr>
          <w:rFonts w:ascii="Cambria" w:hAnsi="Cambria"/>
          <w:sz w:val="20"/>
          <w:szCs w:val="20"/>
          <w:lang w:val="es-ES"/>
        </w:rPr>
        <w:t>Convención</w:t>
      </w:r>
      <w:r w:rsidRPr="006E763F">
        <w:rPr>
          <w:rFonts w:ascii="Cambria" w:hAnsi="Cambria" w:cs="Verdana"/>
          <w:sz w:val="20"/>
          <w:szCs w:val="20"/>
          <w:lang w:val="es-ES"/>
        </w:rPr>
        <w:t xml:space="preserve"> Americana, la Corte Interamericana ha establecido que es preciso tomar en cuenta tres elementos para determinar la razonabilidad del plazo en el que se desarrolla un proceso: a) la complejidad del asunto, b) la actividad procesal del interesado, y c) la conducta de las autoridades judiciales</w:t>
      </w:r>
      <w:r w:rsidRPr="006E763F">
        <w:rPr>
          <w:rFonts w:ascii="Cambria" w:hAnsi="Cambria" w:cs="Verdana"/>
          <w:sz w:val="20"/>
          <w:szCs w:val="20"/>
          <w:vertAlign w:val="superscript"/>
          <w:lang w:val="es-ES"/>
        </w:rPr>
        <w:footnoteReference w:id="140"/>
      </w:r>
      <w:r w:rsidRPr="006E763F">
        <w:rPr>
          <w:rFonts w:ascii="Cambria" w:hAnsi="Cambria" w:cs="Verdana"/>
          <w:sz w:val="20"/>
          <w:szCs w:val="20"/>
          <w:lang w:val="es-ES"/>
        </w:rPr>
        <w:t xml:space="preserve">. Asimismo, la Comisión y la Corte han considerado también el interés </w:t>
      </w:r>
      <w:r w:rsidR="00FE56BC" w:rsidRPr="006E763F">
        <w:rPr>
          <w:rFonts w:ascii="Cambria" w:hAnsi="Cambria" w:cs="Verdana"/>
          <w:sz w:val="20"/>
          <w:szCs w:val="20"/>
          <w:lang w:val="es-ES"/>
        </w:rPr>
        <w:t xml:space="preserve">del </w:t>
      </w:r>
      <w:r w:rsidRPr="006E763F">
        <w:rPr>
          <w:rFonts w:ascii="Cambria" w:hAnsi="Cambria" w:cs="Verdana"/>
          <w:sz w:val="20"/>
          <w:szCs w:val="20"/>
          <w:lang w:val="es-ES"/>
        </w:rPr>
        <w:t>afectado</w:t>
      </w:r>
      <w:r w:rsidRPr="006E763F">
        <w:rPr>
          <w:rFonts w:ascii="Cambria" w:hAnsi="Cambria" w:cs="Verdana"/>
          <w:sz w:val="20"/>
          <w:szCs w:val="20"/>
          <w:vertAlign w:val="superscript"/>
          <w:lang w:val="es-ES"/>
        </w:rPr>
        <w:footnoteReference w:id="141"/>
      </w:r>
      <w:r w:rsidRPr="006E763F">
        <w:rPr>
          <w:rFonts w:ascii="Cambria" w:hAnsi="Cambria" w:cs="Verdana"/>
          <w:sz w:val="20"/>
          <w:szCs w:val="20"/>
          <w:lang w:val="es-ES"/>
        </w:rPr>
        <w:t xml:space="preserve">. </w:t>
      </w:r>
    </w:p>
    <w:p w14:paraId="743E23EC" w14:textId="77777777" w:rsidR="00EC310A" w:rsidRPr="006E763F" w:rsidRDefault="00EC310A" w:rsidP="00E923BB">
      <w:pPr>
        <w:rPr>
          <w:rFonts w:ascii="Cambria" w:eastAsia="Times New Roman" w:hAnsi="Cambria"/>
          <w:sz w:val="20"/>
          <w:szCs w:val="20"/>
          <w:lang w:val="es-ES" w:eastAsia="es-ES"/>
        </w:rPr>
      </w:pPr>
    </w:p>
    <w:p w14:paraId="69903FC2" w14:textId="47157B24" w:rsidR="004E072C" w:rsidRPr="006E763F" w:rsidRDefault="00547ABC"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Verdana"/>
          <w:sz w:val="20"/>
          <w:szCs w:val="20"/>
          <w:lang w:val="es-ES"/>
        </w:rPr>
      </w:pPr>
      <w:r w:rsidRPr="006E763F">
        <w:rPr>
          <w:rFonts w:ascii="Cambria" w:hAnsi="Cambria" w:cs="Verdana"/>
          <w:sz w:val="20"/>
          <w:szCs w:val="20"/>
          <w:lang w:val="es-ES"/>
        </w:rPr>
        <w:t>A continuación</w:t>
      </w:r>
      <w:r w:rsidR="00A232E9" w:rsidRPr="006E763F">
        <w:rPr>
          <w:rFonts w:ascii="Cambria" w:hAnsi="Cambria" w:cs="Verdana"/>
          <w:sz w:val="20"/>
          <w:szCs w:val="20"/>
          <w:lang w:val="es-ES"/>
        </w:rPr>
        <w:t>,</w:t>
      </w:r>
      <w:r w:rsidRPr="006E763F">
        <w:rPr>
          <w:rFonts w:ascii="Cambria" w:hAnsi="Cambria" w:cs="Verdana"/>
          <w:sz w:val="20"/>
          <w:szCs w:val="20"/>
          <w:lang w:val="es-ES"/>
        </w:rPr>
        <w:t xml:space="preserve"> la Comisión analizará la debida diligencia en la investigación de la desaparición forzada de Pedro Julio M</w:t>
      </w:r>
      <w:r w:rsidR="00B83922" w:rsidRPr="006E763F">
        <w:rPr>
          <w:rFonts w:ascii="Cambria" w:hAnsi="Cambria" w:cs="Verdana"/>
          <w:sz w:val="20"/>
          <w:szCs w:val="20"/>
          <w:lang w:val="es-ES"/>
        </w:rPr>
        <w:t>o</w:t>
      </w:r>
      <w:r w:rsidRPr="006E763F">
        <w:rPr>
          <w:rFonts w:ascii="Cambria" w:hAnsi="Cambria" w:cs="Verdana"/>
          <w:sz w:val="20"/>
          <w:szCs w:val="20"/>
          <w:lang w:val="es-ES"/>
        </w:rPr>
        <w:t>villa</w:t>
      </w:r>
      <w:r w:rsidR="00B83922" w:rsidRPr="006E763F">
        <w:rPr>
          <w:rFonts w:ascii="Cambria" w:hAnsi="Cambria" w:cs="Verdana"/>
          <w:sz w:val="20"/>
          <w:szCs w:val="20"/>
          <w:lang w:val="es-ES"/>
        </w:rPr>
        <w:t xml:space="preserve"> Galarcio</w:t>
      </w:r>
      <w:r w:rsidRPr="006E763F">
        <w:rPr>
          <w:rFonts w:ascii="Cambria" w:hAnsi="Cambria" w:cs="Verdana"/>
          <w:sz w:val="20"/>
          <w:szCs w:val="20"/>
          <w:lang w:val="es-ES"/>
        </w:rPr>
        <w:t xml:space="preserve"> </w:t>
      </w:r>
      <w:r w:rsidR="00293991" w:rsidRPr="006E763F">
        <w:rPr>
          <w:rFonts w:ascii="Cambria" w:hAnsi="Cambria" w:cs="Verdana"/>
          <w:sz w:val="20"/>
          <w:szCs w:val="20"/>
          <w:lang w:val="es-ES"/>
        </w:rPr>
        <w:t xml:space="preserve">tomando en cuenta </w:t>
      </w:r>
      <w:r w:rsidRPr="006E763F">
        <w:rPr>
          <w:rFonts w:ascii="Cambria" w:hAnsi="Cambria" w:cs="Verdana"/>
          <w:sz w:val="20"/>
          <w:szCs w:val="20"/>
          <w:lang w:val="es-ES"/>
        </w:rPr>
        <w:t xml:space="preserve">las líneas que condujeron la investigación, la conducción de la investigación y la participación de los familiares en las diligencias. </w:t>
      </w:r>
    </w:p>
    <w:p w14:paraId="5DEAF2E8" w14:textId="77777777" w:rsidR="00547ABC" w:rsidRPr="006E763F" w:rsidRDefault="00547ABC" w:rsidP="00E923BB">
      <w:pPr>
        <w:pStyle w:val="ListParagraph"/>
        <w:ind w:left="249" w:firstLine="0"/>
        <w:rPr>
          <w:rFonts w:cs="Verdana"/>
          <w:sz w:val="20"/>
          <w:szCs w:val="20"/>
          <w:lang w:val="es-ES"/>
        </w:rPr>
      </w:pPr>
    </w:p>
    <w:p w14:paraId="19CF122C" w14:textId="7BA9CC12" w:rsidR="00A728DD" w:rsidRPr="006E763F" w:rsidRDefault="00207848"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Verdana"/>
          <w:sz w:val="20"/>
          <w:szCs w:val="20"/>
          <w:lang w:val="es-ES"/>
        </w:rPr>
      </w:pPr>
      <w:r w:rsidRPr="006E763F">
        <w:rPr>
          <w:rFonts w:ascii="Cambria" w:hAnsi="Cambria" w:cs="Verdana"/>
          <w:sz w:val="20"/>
          <w:szCs w:val="20"/>
          <w:lang w:val="es-ES"/>
        </w:rPr>
        <w:t xml:space="preserve">En primer lugar, </w:t>
      </w:r>
      <w:r w:rsidR="00B83922" w:rsidRPr="006E763F">
        <w:rPr>
          <w:rFonts w:ascii="Cambria" w:hAnsi="Cambria" w:cs="Verdana"/>
          <w:sz w:val="20"/>
          <w:szCs w:val="20"/>
          <w:bdr w:val="none" w:sz="0" w:space="0" w:color="auto" w:frame="1"/>
          <w:lang w:val="es-ES"/>
        </w:rPr>
        <w:t>la Comisión encuen</w:t>
      </w:r>
      <w:r w:rsidR="006534C1" w:rsidRPr="006E763F">
        <w:rPr>
          <w:rFonts w:ascii="Cambria" w:hAnsi="Cambria" w:cs="Verdana"/>
          <w:sz w:val="20"/>
          <w:szCs w:val="20"/>
          <w:bdr w:val="none" w:sz="0" w:space="0" w:color="auto" w:frame="1"/>
          <w:lang w:val="es-ES"/>
        </w:rPr>
        <w:t xml:space="preserve">tra que </w:t>
      </w:r>
      <w:r w:rsidR="00177309" w:rsidRPr="006E763F">
        <w:rPr>
          <w:rFonts w:ascii="Cambria" w:hAnsi="Cambria" w:cs="Verdana"/>
          <w:sz w:val="20"/>
          <w:szCs w:val="20"/>
          <w:bdr w:val="none" w:sz="0" w:space="0" w:color="auto" w:frame="1"/>
          <w:lang w:val="es-ES"/>
        </w:rPr>
        <w:t xml:space="preserve">las finalidades esenciales </w:t>
      </w:r>
      <w:r w:rsidR="0035272E" w:rsidRPr="006E763F">
        <w:rPr>
          <w:rFonts w:ascii="Cambria" w:hAnsi="Cambria" w:cs="Verdana"/>
          <w:sz w:val="20"/>
          <w:szCs w:val="20"/>
          <w:bdr w:val="none" w:sz="0" w:space="0" w:color="auto" w:frame="1"/>
          <w:lang w:val="es-ES"/>
        </w:rPr>
        <w:t xml:space="preserve">de la investigación </w:t>
      </w:r>
      <w:r w:rsidR="00177309" w:rsidRPr="006E763F">
        <w:rPr>
          <w:rFonts w:ascii="Cambria" w:hAnsi="Cambria" w:cs="Verdana"/>
          <w:sz w:val="20"/>
          <w:szCs w:val="20"/>
          <w:bdr w:val="none" w:sz="0" w:space="0" w:color="auto" w:frame="1"/>
          <w:lang w:val="es-ES"/>
        </w:rPr>
        <w:t xml:space="preserve">eran </w:t>
      </w:r>
      <w:r w:rsidR="0035272E" w:rsidRPr="006E763F">
        <w:rPr>
          <w:rFonts w:ascii="Cambria" w:hAnsi="Cambria" w:cs="Arial"/>
          <w:sz w:val="20"/>
          <w:szCs w:val="20"/>
          <w:lang w:val="es-ES"/>
        </w:rPr>
        <w:t>la identificación del parader</w:t>
      </w:r>
      <w:r w:rsidR="0010443A" w:rsidRPr="006E763F">
        <w:rPr>
          <w:rFonts w:ascii="Cambria" w:hAnsi="Cambria" w:cs="Arial"/>
          <w:sz w:val="20"/>
          <w:szCs w:val="20"/>
          <w:lang w:val="es-ES"/>
        </w:rPr>
        <w:t>o de Pedro Julio Movilla Galarci</w:t>
      </w:r>
      <w:r w:rsidR="0035272E" w:rsidRPr="006E763F">
        <w:rPr>
          <w:rFonts w:ascii="Cambria" w:hAnsi="Cambria" w:cs="Arial"/>
          <w:sz w:val="20"/>
          <w:szCs w:val="20"/>
          <w:lang w:val="es-ES"/>
        </w:rPr>
        <w:t>o y la individualización de los</w:t>
      </w:r>
      <w:r w:rsidR="00024CBF" w:rsidRPr="006E763F">
        <w:rPr>
          <w:rFonts w:ascii="Cambria" w:hAnsi="Cambria" w:cs="Arial"/>
          <w:sz w:val="20"/>
          <w:szCs w:val="20"/>
          <w:lang w:val="es-ES"/>
        </w:rPr>
        <w:t xml:space="preserve"> responsables. </w:t>
      </w:r>
      <w:r w:rsidR="0035272E" w:rsidRPr="006E763F">
        <w:rPr>
          <w:rFonts w:ascii="Cambria" w:hAnsi="Cambria" w:cs="Verdana"/>
          <w:sz w:val="20"/>
          <w:szCs w:val="20"/>
          <w:bdr w:val="none" w:sz="0" w:space="0" w:color="auto" w:frame="1"/>
          <w:lang w:val="es-ES"/>
        </w:rPr>
        <w:t xml:space="preserve">En este sentido, la Comisión reconoce que, tras la denuncia, </w:t>
      </w:r>
      <w:r w:rsidR="006534C1" w:rsidRPr="006E763F">
        <w:rPr>
          <w:rFonts w:ascii="Cambria" w:hAnsi="Cambria" w:cs="Verdana"/>
          <w:sz w:val="20"/>
          <w:szCs w:val="20"/>
          <w:bdr w:val="none" w:sz="0" w:space="0" w:color="auto" w:frame="1"/>
          <w:lang w:val="es-ES"/>
        </w:rPr>
        <w:t xml:space="preserve">se </w:t>
      </w:r>
      <w:r w:rsidR="0035272E" w:rsidRPr="006E763F">
        <w:rPr>
          <w:rFonts w:ascii="Cambria" w:hAnsi="Cambria" w:cs="Verdana"/>
          <w:sz w:val="20"/>
          <w:szCs w:val="20"/>
          <w:bdr w:val="none" w:sz="0" w:space="0" w:color="auto" w:frame="1"/>
          <w:lang w:val="es-ES"/>
        </w:rPr>
        <w:t>practicaron diversas diligencias, en las fechas cercanas a la desaparición, concentradas en la determinación de si</w:t>
      </w:r>
      <w:r w:rsidR="00024CBF" w:rsidRPr="006E763F">
        <w:rPr>
          <w:rFonts w:ascii="Cambria" w:hAnsi="Cambria" w:cs="Verdana"/>
          <w:sz w:val="20"/>
          <w:szCs w:val="20"/>
          <w:bdr w:val="none" w:sz="0" w:space="0" w:color="auto" w:frame="1"/>
          <w:lang w:val="es-ES"/>
        </w:rPr>
        <w:t xml:space="preserve"> el señor </w:t>
      </w:r>
      <w:r w:rsidR="0035272E" w:rsidRPr="006E763F">
        <w:rPr>
          <w:rFonts w:ascii="Cambria" w:hAnsi="Cambria" w:cs="Verdana"/>
          <w:sz w:val="20"/>
          <w:szCs w:val="20"/>
          <w:bdr w:val="none" w:sz="0" w:space="0" w:color="auto" w:frame="1"/>
          <w:lang w:val="es-ES"/>
        </w:rPr>
        <w:t xml:space="preserve">Movilla Galarcio </w:t>
      </w:r>
      <w:r w:rsidR="00024CBF" w:rsidRPr="006E763F">
        <w:rPr>
          <w:rFonts w:ascii="Cambria" w:hAnsi="Cambria" w:cs="Verdana"/>
          <w:sz w:val="20"/>
          <w:szCs w:val="20"/>
          <w:bdr w:val="none" w:sz="0" w:space="0" w:color="auto" w:frame="1"/>
          <w:lang w:val="es-ES"/>
        </w:rPr>
        <w:t xml:space="preserve">estaba detenido </w:t>
      </w:r>
      <w:r w:rsidR="0035272E" w:rsidRPr="006E763F">
        <w:rPr>
          <w:rFonts w:ascii="Cambria" w:hAnsi="Cambria" w:cs="Verdana"/>
          <w:sz w:val="20"/>
          <w:szCs w:val="20"/>
          <w:bdr w:val="none" w:sz="0" w:space="0" w:color="auto" w:frame="1"/>
          <w:lang w:val="es-ES"/>
        </w:rPr>
        <w:t>y la identificación de posibles testigos de su</w:t>
      </w:r>
      <w:r w:rsidR="00024CBF" w:rsidRPr="006E763F">
        <w:rPr>
          <w:rFonts w:ascii="Cambria" w:hAnsi="Cambria" w:cs="Verdana"/>
          <w:sz w:val="20"/>
          <w:szCs w:val="20"/>
          <w:bdr w:val="none" w:sz="0" w:space="0" w:color="auto" w:frame="1"/>
          <w:lang w:val="es-ES"/>
        </w:rPr>
        <w:t xml:space="preserve"> desaparición</w:t>
      </w:r>
      <w:r w:rsidR="0035272E" w:rsidRPr="006E763F">
        <w:rPr>
          <w:rFonts w:ascii="Cambria" w:hAnsi="Cambria" w:cs="Verdana"/>
          <w:sz w:val="20"/>
          <w:szCs w:val="20"/>
          <w:bdr w:val="none" w:sz="0" w:space="0" w:color="auto" w:frame="1"/>
          <w:lang w:val="es-ES"/>
        </w:rPr>
        <w:t xml:space="preserve">. </w:t>
      </w:r>
      <w:r w:rsidR="00A728DD" w:rsidRPr="006E763F">
        <w:rPr>
          <w:rFonts w:ascii="Cambria" w:hAnsi="Cambria" w:cs="Verdana"/>
          <w:sz w:val="20"/>
          <w:szCs w:val="20"/>
          <w:bdr w:val="none" w:sz="0" w:space="0" w:color="auto" w:frame="1"/>
          <w:lang w:val="es-ES"/>
        </w:rPr>
        <w:t xml:space="preserve">Sin embargo, estas diligencias se realizaron durante unos pocos días y luego pasaron quince años para que se volvieran a disponer labores de búsqueda. </w:t>
      </w:r>
    </w:p>
    <w:p w14:paraId="37F8EFC3" w14:textId="77777777" w:rsidR="00A728DD" w:rsidRPr="006E763F" w:rsidRDefault="00A728DD" w:rsidP="00E923BB">
      <w:pPr>
        <w:pStyle w:val="ListParagraph"/>
        <w:rPr>
          <w:rFonts w:cs="Verdana"/>
          <w:sz w:val="20"/>
          <w:szCs w:val="20"/>
          <w:bdr w:val="none" w:sz="0" w:space="0" w:color="auto" w:frame="1"/>
          <w:lang w:val="es-ES"/>
        </w:rPr>
      </w:pPr>
    </w:p>
    <w:p w14:paraId="23C843D0" w14:textId="77777777" w:rsidR="006C2206" w:rsidRPr="006E763F" w:rsidRDefault="00341C05"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Verdana"/>
          <w:sz w:val="20"/>
          <w:szCs w:val="20"/>
          <w:lang w:val="es-ES"/>
        </w:rPr>
      </w:pPr>
      <w:r w:rsidRPr="006E763F">
        <w:rPr>
          <w:rFonts w:ascii="Cambria" w:hAnsi="Cambria" w:cs="Verdana"/>
          <w:sz w:val="20"/>
          <w:szCs w:val="20"/>
          <w:bdr w:val="none" w:sz="0" w:space="0" w:color="auto" w:frame="1"/>
          <w:lang w:val="es-ES"/>
        </w:rPr>
        <w:t xml:space="preserve">En segundo lugar, </w:t>
      </w:r>
      <w:r w:rsidR="0035272E" w:rsidRPr="006E763F">
        <w:rPr>
          <w:rFonts w:ascii="Cambria" w:hAnsi="Cambria" w:cs="Verdana"/>
          <w:sz w:val="20"/>
          <w:szCs w:val="20"/>
          <w:bdr w:val="none" w:sz="0" w:space="0" w:color="auto" w:frame="1"/>
          <w:lang w:val="es-ES"/>
        </w:rPr>
        <w:t>la</w:t>
      </w:r>
      <w:r w:rsidR="00D337C9" w:rsidRPr="006E763F">
        <w:rPr>
          <w:rFonts w:ascii="Cambria" w:hAnsi="Cambria" w:cs="Verdana"/>
          <w:sz w:val="20"/>
          <w:szCs w:val="20"/>
          <w:bdr w:val="none" w:sz="0" w:space="0" w:color="auto" w:frame="1"/>
          <w:lang w:val="es-ES"/>
        </w:rPr>
        <w:t xml:space="preserve"> CIDH</w:t>
      </w:r>
      <w:r w:rsidR="0035272E" w:rsidRPr="006E763F">
        <w:rPr>
          <w:rFonts w:ascii="Cambria" w:hAnsi="Cambria" w:cs="Verdana"/>
          <w:sz w:val="20"/>
          <w:szCs w:val="20"/>
          <w:bdr w:val="none" w:sz="0" w:space="0" w:color="auto" w:frame="1"/>
          <w:lang w:val="es-ES"/>
        </w:rPr>
        <w:t xml:space="preserve"> encuentra que</w:t>
      </w:r>
      <w:r w:rsidR="003E0A07" w:rsidRPr="006E763F">
        <w:rPr>
          <w:rFonts w:ascii="Cambria" w:hAnsi="Cambria" w:cs="Verdana"/>
          <w:sz w:val="20"/>
          <w:szCs w:val="20"/>
          <w:bdr w:val="none" w:sz="0" w:space="0" w:color="auto" w:frame="1"/>
          <w:lang w:val="es-ES"/>
        </w:rPr>
        <w:t xml:space="preserve"> el Estado no desplegó</w:t>
      </w:r>
      <w:r w:rsidR="00AF377F" w:rsidRPr="006E763F">
        <w:rPr>
          <w:rFonts w:ascii="Cambria" w:hAnsi="Cambria" w:cs="Verdana"/>
          <w:sz w:val="20"/>
          <w:szCs w:val="20"/>
          <w:bdr w:val="none" w:sz="0" w:space="0" w:color="auto" w:frame="1"/>
          <w:lang w:val="es-ES"/>
        </w:rPr>
        <w:t xml:space="preserve"> sus máximos esfuerzos para identificar </w:t>
      </w:r>
      <w:r w:rsidR="00A728DD" w:rsidRPr="006E763F">
        <w:rPr>
          <w:rFonts w:ascii="Cambria" w:hAnsi="Cambria" w:cs="Verdana"/>
          <w:sz w:val="20"/>
          <w:szCs w:val="20"/>
          <w:bdr w:val="none" w:sz="0" w:space="0" w:color="auto" w:frame="1"/>
          <w:lang w:val="es-ES"/>
        </w:rPr>
        <w:t xml:space="preserve">el carácter selectivo de la </w:t>
      </w:r>
      <w:r w:rsidR="00AF377F" w:rsidRPr="006E763F">
        <w:rPr>
          <w:rFonts w:ascii="Cambria" w:hAnsi="Cambria" w:cs="Verdana"/>
          <w:sz w:val="20"/>
          <w:szCs w:val="20"/>
          <w:bdr w:val="none" w:sz="0" w:space="0" w:color="auto" w:frame="1"/>
          <w:lang w:val="es-ES"/>
        </w:rPr>
        <w:t>desaparición y su relación</w:t>
      </w:r>
      <w:r w:rsidRPr="006E763F">
        <w:rPr>
          <w:rFonts w:ascii="Cambria" w:hAnsi="Cambria" w:cs="Verdana"/>
          <w:sz w:val="20"/>
          <w:szCs w:val="20"/>
          <w:bdr w:val="none" w:sz="0" w:space="0" w:color="auto" w:frame="1"/>
          <w:lang w:val="es-ES"/>
        </w:rPr>
        <w:t xml:space="preserve"> tanto con las actividades sindicales y políticas de Pedro Julio Movilla Galarcio, como con las </w:t>
      </w:r>
      <w:r w:rsidR="00AF377F" w:rsidRPr="006E763F">
        <w:rPr>
          <w:rFonts w:ascii="Cambria" w:hAnsi="Cambria" w:cs="Verdana"/>
          <w:sz w:val="20"/>
          <w:szCs w:val="20"/>
          <w:bdr w:val="none" w:sz="0" w:space="0" w:color="auto" w:frame="1"/>
          <w:lang w:val="es-ES"/>
        </w:rPr>
        <w:t xml:space="preserve">anotaciones de inteligencia. En este sentido, la Comisión observa que existe </w:t>
      </w:r>
      <w:r w:rsidR="0011404E" w:rsidRPr="006E763F">
        <w:rPr>
          <w:rFonts w:ascii="Cambria" w:hAnsi="Cambria" w:cs="Verdana"/>
          <w:sz w:val="20"/>
          <w:szCs w:val="20"/>
          <w:bdr w:val="none" w:sz="0" w:space="0" w:color="auto" w:frame="1"/>
          <w:lang w:val="es-ES"/>
        </w:rPr>
        <w:t xml:space="preserve">falta de </w:t>
      </w:r>
      <w:r w:rsidR="0011404E" w:rsidRPr="006E763F">
        <w:rPr>
          <w:rFonts w:ascii="Cambria" w:hAnsi="Cambria" w:cs="Verdana"/>
          <w:sz w:val="20"/>
          <w:szCs w:val="20"/>
          <w:lang w:val="es-ES"/>
        </w:rPr>
        <w:t>esclarecimiento</w:t>
      </w:r>
      <w:r w:rsidR="0011404E" w:rsidRPr="006E763F">
        <w:rPr>
          <w:rFonts w:ascii="Cambria" w:hAnsi="Cambria" w:cs="Verdana"/>
          <w:sz w:val="20"/>
          <w:szCs w:val="20"/>
          <w:bdr w:val="none" w:sz="0" w:space="0" w:color="auto" w:frame="1"/>
          <w:lang w:val="es-ES"/>
        </w:rPr>
        <w:t xml:space="preserve"> acerca de</w:t>
      </w:r>
      <w:r w:rsidR="00780561" w:rsidRPr="006E763F">
        <w:rPr>
          <w:rFonts w:ascii="Cambria" w:hAnsi="Cambria" w:cs="Verdana"/>
          <w:sz w:val="20"/>
          <w:szCs w:val="20"/>
          <w:bdr w:val="none" w:sz="0" w:space="0" w:color="auto" w:frame="1"/>
          <w:lang w:val="es-ES"/>
        </w:rPr>
        <w:t xml:space="preserve">l fundamento de tales </w:t>
      </w:r>
      <w:r w:rsidR="00AF377F" w:rsidRPr="006E763F">
        <w:rPr>
          <w:rFonts w:ascii="Cambria" w:hAnsi="Cambria" w:cs="Verdana"/>
          <w:sz w:val="20"/>
          <w:szCs w:val="20"/>
          <w:bdr w:val="none" w:sz="0" w:space="0" w:color="auto" w:frame="1"/>
          <w:lang w:val="es-ES"/>
        </w:rPr>
        <w:t>anotaciones, y que se practicaron</w:t>
      </w:r>
      <w:r w:rsidR="0011404E" w:rsidRPr="006E763F">
        <w:rPr>
          <w:rFonts w:ascii="Cambria" w:hAnsi="Cambria" w:cs="Verdana"/>
          <w:sz w:val="20"/>
          <w:szCs w:val="20"/>
          <w:bdr w:val="none" w:sz="0" w:space="0" w:color="auto" w:frame="1"/>
          <w:lang w:val="es-ES"/>
        </w:rPr>
        <w:t xml:space="preserve"> escasas diligencias investigativas destinadas a</w:t>
      </w:r>
      <w:r w:rsidR="00AF377F" w:rsidRPr="006E763F">
        <w:rPr>
          <w:rFonts w:ascii="Cambria" w:hAnsi="Cambria" w:cs="Verdana"/>
          <w:sz w:val="20"/>
          <w:szCs w:val="20"/>
          <w:bdr w:val="none" w:sz="0" w:space="0" w:color="auto" w:frame="1"/>
          <w:lang w:val="es-ES"/>
        </w:rPr>
        <w:t xml:space="preserve"> tal</w:t>
      </w:r>
      <w:r w:rsidR="0011404E" w:rsidRPr="006E763F">
        <w:rPr>
          <w:rFonts w:ascii="Cambria" w:hAnsi="Cambria" w:cs="Verdana"/>
          <w:sz w:val="20"/>
          <w:szCs w:val="20"/>
          <w:bdr w:val="none" w:sz="0" w:space="0" w:color="auto" w:frame="1"/>
          <w:lang w:val="es-ES"/>
        </w:rPr>
        <w:t xml:space="preserve"> efecto</w:t>
      </w:r>
      <w:r w:rsidR="00AF377F" w:rsidRPr="006E763F">
        <w:rPr>
          <w:rFonts w:ascii="Cambria" w:hAnsi="Cambria" w:cs="Verdana"/>
          <w:sz w:val="20"/>
          <w:szCs w:val="20"/>
          <w:bdr w:val="none" w:sz="0" w:space="0" w:color="auto" w:frame="1"/>
          <w:lang w:val="es-ES"/>
        </w:rPr>
        <w:t xml:space="preserve">. </w:t>
      </w:r>
      <w:r w:rsidR="004D5498" w:rsidRPr="006E763F">
        <w:rPr>
          <w:rFonts w:ascii="Cambria" w:hAnsi="Cambria" w:cs="Verdana"/>
          <w:sz w:val="20"/>
          <w:szCs w:val="20"/>
          <w:bdr w:val="none" w:sz="0" w:space="0" w:color="auto" w:frame="1"/>
          <w:lang w:val="es-ES"/>
        </w:rPr>
        <w:t xml:space="preserve">La </w:t>
      </w:r>
      <w:r w:rsidR="00AF377F" w:rsidRPr="006E763F">
        <w:rPr>
          <w:rFonts w:ascii="Cambria" w:hAnsi="Cambria" w:cs="Verdana"/>
          <w:sz w:val="20"/>
          <w:szCs w:val="20"/>
          <w:bdr w:val="none" w:sz="0" w:space="0" w:color="auto" w:frame="1"/>
          <w:lang w:val="es-ES"/>
        </w:rPr>
        <w:t>C</w:t>
      </w:r>
      <w:r w:rsidR="00FE56BC" w:rsidRPr="006E763F">
        <w:rPr>
          <w:rFonts w:ascii="Cambria" w:hAnsi="Cambria" w:cs="Verdana"/>
          <w:sz w:val="20"/>
          <w:szCs w:val="20"/>
          <w:bdr w:val="none" w:sz="0" w:space="0" w:color="auto" w:frame="1"/>
          <w:lang w:val="es-ES"/>
        </w:rPr>
        <w:t>IDH</w:t>
      </w:r>
      <w:r w:rsidR="00AC712F" w:rsidRPr="006E763F">
        <w:rPr>
          <w:rFonts w:ascii="Cambria" w:hAnsi="Cambria" w:cs="Verdana"/>
          <w:sz w:val="20"/>
          <w:szCs w:val="20"/>
          <w:bdr w:val="none" w:sz="0" w:space="0" w:color="auto" w:frame="1"/>
          <w:lang w:val="es-ES"/>
        </w:rPr>
        <w:t xml:space="preserve"> considera que esta línea de investigación, que resultaba crucial a la luz de los indicios consistentes ya descritos, no fue impulsada ni agotada exhaustivamente por parte del Estado. </w:t>
      </w:r>
      <w:r w:rsidR="0073347B" w:rsidRPr="006E763F">
        <w:rPr>
          <w:rFonts w:ascii="Cambria" w:hAnsi="Cambria" w:cs="Verdana"/>
          <w:sz w:val="20"/>
          <w:szCs w:val="20"/>
          <w:bdr w:val="none" w:sz="0" w:space="0" w:color="auto" w:frame="1"/>
          <w:lang w:val="es-ES"/>
        </w:rPr>
        <w:lastRenderedPageBreak/>
        <w:t>M</w:t>
      </w:r>
      <w:r w:rsidR="00AF377F" w:rsidRPr="006E763F">
        <w:rPr>
          <w:rFonts w:ascii="Cambria" w:hAnsi="Cambria" w:cs="Verdana"/>
          <w:sz w:val="20"/>
          <w:szCs w:val="20"/>
          <w:bdr w:val="none" w:sz="0" w:space="0" w:color="auto" w:frame="1"/>
          <w:lang w:val="es-ES"/>
        </w:rPr>
        <w:t xml:space="preserve">ás bien la Fiscalía General, dio por aceptadas las declaraciones de los exfuncionarios de inteligencia </w:t>
      </w:r>
      <w:r w:rsidR="00C20459" w:rsidRPr="006E763F">
        <w:rPr>
          <w:rFonts w:ascii="Cambria" w:hAnsi="Cambria" w:cs="Verdana"/>
          <w:sz w:val="20"/>
          <w:szCs w:val="20"/>
          <w:bdr w:val="none" w:sz="0" w:space="0" w:color="auto" w:frame="1"/>
          <w:lang w:val="es-ES"/>
        </w:rPr>
        <w:t xml:space="preserve">a pesar de que no aportaban explicaciones satisfactorias y claras sobre las labores de inteligencia contra la víctima. </w:t>
      </w:r>
      <w:r w:rsidR="00557993" w:rsidRPr="006E763F">
        <w:rPr>
          <w:rFonts w:ascii="Cambria" w:hAnsi="Cambria" w:cs="Verdana"/>
          <w:sz w:val="20"/>
          <w:szCs w:val="20"/>
          <w:bdr w:val="none" w:sz="0" w:space="0" w:color="auto" w:frame="1"/>
          <w:lang w:val="es-ES"/>
        </w:rPr>
        <w:t>Tampoco constan diligencias dirigidas a profundizar en las actividades de la víctima, los intereses que las mismas pudieran estar afectando, ni su relación con los contextos más generales ya señalados en el presente informe.</w:t>
      </w:r>
    </w:p>
    <w:p w14:paraId="1C2563B1" w14:textId="6CFC4082" w:rsidR="00A232E9" w:rsidRPr="006E763F" w:rsidRDefault="00A232E9" w:rsidP="00E923B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Verdana"/>
          <w:sz w:val="20"/>
          <w:szCs w:val="20"/>
          <w:lang w:val="es-ES"/>
        </w:rPr>
      </w:pPr>
    </w:p>
    <w:p w14:paraId="1A2650C0" w14:textId="605D0101" w:rsidR="006C2206" w:rsidRPr="006E763F" w:rsidRDefault="006C2206"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Verdana"/>
          <w:sz w:val="20"/>
          <w:szCs w:val="20"/>
          <w:lang w:val="es-ES"/>
        </w:rPr>
      </w:pPr>
      <w:r w:rsidRPr="006E763F">
        <w:rPr>
          <w:rFonts w:ascii="Cambria" w:hAnsi="Cambria" w:cs="Verdana"/>
          <w:sz w:val="20"/>
          <w:szCs w:val="20"/>
          <w:lang w:val="es-ES"/>
        </w:rPr>
        <w:t xml:space="preserve">En tercer lugar, del expediente no se desprende que el Estado hubiese esclarecido la cuestión de los tiros al aire en las cercanías de lugar de la desaparición, por parte de una persona con un arma de pertenencia de un teniente de la Policía. La CIDH observa que a pesar de que dicho teniente indicó haber denunciado la pérdida del arma, la Fiscalía General no logró acreditar tal denuncia y no se observa el diseño y agotamiento diligente de una línea de investigación con relación a esta cuestión que permanece sin ser esclarecida.  </w:t>
      </w:r>
    </w:p>
    <w:p w14:paraId="5BFE8C34" w14:textId="77777777" w:rsidR="00A232E9" w:rsidRPr="006E763F" w:rsidRDefault="00A232E9" w:rsidP="00E923B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Verdana"/>
          <w:sz w:val="20"/>
          <w:szCs w:val="20"/>
          <w:lang w:val="es-ES"/>
        </w:rPr>
      </w:pPr>
    </w:p>
    <w:p w14:paraId="0FC9838E" w14:textId="321757A5" w:rsidR="007F1720" w:rsidRPr="006E763F" w:rsidRDefault="00021667"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Verdana"/>
          <w:sz w:val="20"/>
          <w:szCs w:val="20"/>
          <w:lang w:val="es-ES"/>
        </w:rPr>
      </w:pPr>
      <w:r w:rsidRPr="006E763F">
        <w:rPr>
          <w:rFonts w:ascii="Cambria" w:hAnsi="Cambria" w:cs="Verdana"/>
          <w:sz w:val="20"/>
          <w:szCs w:val="20"/>
          <w:lang w:val="es-ES"/>
        </w:rPr>
        <w:t xml:space="preserve">En </w:t>
      </w:r>
      <w:r w:rsidR="006C2206" w:rsidRPr="006E763F">
        <w:rPr>
          <w:rFonts w:ascii="Cambria" w:hAnsi="Cambria" w:cs="Verdana"/>
          <w:sz w:val="20"/>
          <w:szCs w:val="20"/>
          <w:lang w:val="es-ES"/>
        </w:rPr>
        <w:t xml:space="preserve">cuarto </w:t>
      </w:r>
      <w:r w:rsidRPr="006E763F">
        <w:rPr>
          <w:rFonts w:ascii="Cambria" w:hAnsi="Cambria" w:cs="Verdana"/>
          <w:sz w:val="20"/>
          <w:szCs w:val="20"/>
          <w:lang w:val="es-ES"/>
        </w:rPr>
        <w:t xml:space="preserve">lugar, la Comisión encuentra </w:t>
      </w:r>
      <w:r w:rsidR="00B926E3" w:rsidRPr="006E763F">
        <w:rPr>
          <w:rFonts w:ascii="Cambria" w:hAnsi="Cambria" w:cs="Verdana"/>
          <w:sz w:val="20"/>
          <w:szCs w:val="20"/>
          <w:lang w:val="es-ES"/>
        </w:rPr>
        <w:t xml:space="preserve">que la investigación fue impulsada separadamente por la PGN y Fiscalía General, </w:t>
      </w:r>
      <w:r w:rsidR="00897E13" w:rsidRPr="006E763F">
        <w:rPr>
          <w:rFonts w:ascii="Cambria" w:hAnsi="Cambria" w:cs="Verdana"/>
          <w:sz w:val="20"/>
          <w:szCs w:val="20"/>
          <w:lang w:val="es-ES"/>
        </w:rPr>
        <w:t xml:space="preserve">y </w:t>
      </w:r>
      <w:r w:rsidR="00B926E3" w:rsidRPr="006E763F">
        <w:rPr>
          <w:rFonts w:ascii="Cambria" w:hAnsi="Cambria" w:cs="Verdana"/>
          <w:sz w:val="20"/>
          <w:szCs w:val="20"/>
          <w:lang w:val="es-ES"/>
        </w:rPr>
        <w:t xml:space="preserve">que si bien los </w:t>
      </w:r>
      <w:r w:rsidR="00897E13" w:rsidRPr="006E763F">
        <w:rPr>
          <w:rFonts w:ascii="Cambria" w:hAnsi="Cambria" w:cs="Verdana"/>
          <w:sz w:val="20"/>
          <w:szCs w:val="20"/>
          <w:lang w:val="es-ES"/>
        </w:rPr>
        <w:t>avances</w:t>
      </w:r>
      <w:r w:rsidR="00B926E3" w:rsidRPr="006E763F">
        <w:rPr>
          <w:rFonts w:ascii="Cambria" w:hAnsi="Cambria" w:cs="Verdana"/>
          <w:sz w:val="20"/>
          <w:szCs w:val="20"/>
          <w:lang w:val="es-ES"/>
        </w:rPr>
        <w:t xml:space="preserve"> de las mismas</w:t>
      </w:r>
      <w:r w:rsidR="00897E13" w:rsidRPr="006E763F">
        <w:rPr>
          <w:rFonts w:ascii="Cambria" w:hAnsi="Cambria" w:cs="Verdana"/>
          <w:sz w:val="20"/>
          <w:szCs w:val="20"/>
          <w:lang w:val="es-ES"/>
        </w:rPr>
        <w:t xml:space="preserve"> fueron comunicados entre sí</w:t>
      </w:r>
      <w:r w:rsidR="00B926E3" w:rsidRPr="006E763F">
        <w:rPr>
          <w:rFonts w:ascii="Cambria" w:hAnsi="Cambria" w:cs="Verdana"/>
          <w:sz w:val="20"/>
          <w:szCs w:val="20"/>
          <w:lang w:val="es-ES"/>
        </w:rPr>
        <w:t xml:space="preserve">, </w:t>
      </w:r>
      <w:r w:rsidR="00A232E9" w:rsidRPr="006E763F">
        <w:rPr>
          <w:rFonts w:ascii="Cambria" w:hAnsi="Cambria" w:cs="Verdana"/>
          <w:sz w:val="20"/>
          <w:szCs w:val="20"/>
          <w:lang w:val="es-ES"/>
        </w:rPr>
        <w:t xml:space="preserve">se observa una </w:t>
      </w:r>
      <w:r w:rsidR="00B926E3" w:rsidRPr="006E763F">
        <w:rPr>
          <w:rFonts w:ascii="Cambria" w:hAnsi="Cambria" w:cs="Verdana"/>
          <w:sz w:val="20"/>
          <w:szCs w:val="20"/>
          <w:lang w:val="es-ES"/>
        </w:rPr>
        <w:t>fragmentación</w:t>
      </w:r>
      <w:r w:rsidR="00F325FA" w:rsidRPr="006E763F">
        <w:rPr>
          <w:rFonts w:ascii="Cambria" w:hAnsi="Cambria" w:cs="Verdana"/>
          <w:sz w:val="20"/>
          <w:szCs w:val="20"/>
          <w:lang w:val="es-ES"/>
        </w:rPr>
        <w:t xml:space="preserve"> de las diligencias</w:t>
      </w:r>
      <w:r w:rsidR="00201B1C" w:rsidRPr="006E763F">
        <w:rPr>
          <w:rFonts w:ascii="Cambria" w:hAnsi="Cambria" w:cs="Verdana"/>
          <w:sz w:val="20"/>
          <w:szCs w:val="20"/>
          <w:lang w:val="es-ES"/>
        </w:rPr>
        <w:t>, llevando a la repetición de muchas de ellas en ambos procesos</w:t>
      </w:r>
      <w:r w:rsidR="009E456A" w:rsidRPr="006E763F">
        <w:rPr>
          <w:rFonts w:ascii="Cambria" w:hAnsi="Cambria" w:cs="Verdana"/>
          <w:sz w:val="20"/>
          <w:szCs w:val="20"/>
          <w:lang w:val="es-ES"/>
        </w:rPr>
        <w:t xml:space="preserve">, con </w:t>
      </w:r>
      <w:r w:rsidR="00B21C47" w:rsidRPr="006E763F">
        <w:rPr>
          <w:rFonts w:ascii="Cambria" w:hAnsi="Cambria" w:cs="Verdana"/>
          <w:sz w:val="20"/>
          <w:szCs w:val="20"/>
          <w:lang w:val="es-ES"/>
        </w:rPr>
        <w:t>un</w:t>
      </w:r>
      <w:r w:rsidR="009E456A" w:rsidRPr="006E763F">
        <w:rPr>
          <w:rFonts w:ascii="Cambria" w:hAnsi="Cambria" w:cs="Verdana"/>
          <w:sz w:val="20"/>
          <w:szCs w:val="20"/>
          <w:lang w:val="es-ES"/>
        </w:rPr>
        <w:t xml:space="preserve"> impacto en la dilación de las investigaciones. </w:t>
      </w:r>
      <w:r w:rsidR="00F325FA" w:rsidRPr="006E763F">
        <w:rPr>
          <w:rFonts w:ascii="Cambria" w:hAnsi="Cambria" w:cs="Verdana"/>
          <w:sz w:val="20"/>
          <w:szCs w:val="20"/>
          <w:lang w:val="es-ES"/>
        </w:rPr>
        <w:t xml:space="preserve">La </w:t>
      </w:r>
      <w:r w:rsidR="00201B1C" w:rsidRPr="006E763F">
        <w:rPr>
          <w:rFonts w:ascii="Cambria" w:hAnsi="Cambria" w:cs="Verdana"/>
          <w:sz w:val="20"/>
          <w:szCs w:val="20"/>
          <w:lang w:val="es-ES"/>
        </w:rPr>
        <w:t xml:space="preserve">Comisión </w:t>
      </w:r>
      <w:r w:rsidR="00F325FA" w:rsidRPr="006E763F">
        <w:rPr>
          <w:rFonts w:ascii="Cambria" w:hAnsi="Cambria" w:cs="Verdana"/>
          <w:sz w:val="20"/>
          <w:szCs w:val="20"/>
          <w:lang w:val="es-ES"/>
        </w:rPr>
        <w:t xml:space="preserve">observa </w:t>
      </w:r>
      <w:r w:rsidR="00201B1C" w:rsidRPr="006E763F">
        <w:rPr>
          <w:rFonts w:ascii="Cambria" w:hAnsi="Cambria" w:cs="Verdana"/>
          <w:sz w:val="20"/>
          <w:szCs w:val="20"/>
          <w:lang w:val="es-ES"/>
        </w:rPr>
        <w:t xml:space="preserve">que incluso </w:t>
      </w:r>
      <w:r w:rsidR="00F325FA" w:rsidRPr="006E763F">
        <w:rPr>
          <w:rFonts w:ascii="Cambria" w:hAnsi="Cambria" w:cs="Verdana"/>
          <w:sz w:val="20"/>
          <w:szCs w:val="20"/>
          <w:lang w:val="es-ES"/>
        </w:rPr>
        <w:t>en la propia investigación fiscal</w:t>
      </w:r>
      <w:r w:rsidR="00201B1C" w:rsidRPr="006E763F">
        <w:rPr>
          <w:rFonts w:ascii="Cambria" w:hAnsi="Cambria" w:cs="Verdana"/>
          <w:sz w:val="20"/>
          <w:szCs w:val="20"/>
          <w:lang w:val="es-ES"/>
        </w:rPr>
        <w:t xml:space="preserve"> </w:t>
      </w:r>
      <w:r w:rsidR="00F325FA" w:rsidRPr="006E763F">
        <w:rPr>
          <w:rFonts w:ascii="Cambria" w:hAnsi="Cambria" w:cs="Verdana"/>
          <w:sz w:val="20"/>
          <w:szCs w:val="20"/>
          <w:lang w:val="es-ES"/>
        </w:rPr>
        <w:t xml:space="preserve">se percibe </w:t>
      </w:r>
      <w:r w:rsidR="00201B1C" w:rsidRPr="006E763F">
        <w:rPr>
          <w:rFonts w:ascii="Cambria" w:hAnsi="Cambria" w:cs="Verdana"/>
          <w:sz w:val="20"/>
          <w:szCs w:val="20"/>
          <w:lang w:val="es-ES"/>
        </w:rPr>
        <w:t xml:space="preserve">una dispersión en </w:t>
      </w:r>
      <w:r w:rsidR="00F325FA" w:rsidRPr="006E763F">
        <w:rPr>
          <w:rFonts w:ascii="Cambria" w:hAnsi="Cambria" w:cs="Verdana"/>
          <w:sz w:val="20"/>
          <w:szCs w:val="20"/>
          <w:lang w:val="es-ES"/>
        </w:rPr>
        <w:t xml:space="preserve">el desarrollo de </w:t>
      </w:r>
      <w:r w:rsidR="00201B1C" w:rsidRPr="006E763F">
        <w:rPr>
          <w:rFonts w:ascii="Cambria" w:hAnsi="Cambria" w:cs="Verdana"/>
          <w:sz w:val="20"/>
          <w:szCs w:val="20"/>
          <w:lang w:val="es-ES"/>
        </w:rPr>
        <w:t xml:space="preserve">la investigación, </w:t>
      </w:r>
      <w:r w:rsidR="00F325FA" w:rsidRPr="006E763F">
        <w:rPr>
          <w:rFonts w:ascii="Cambria" w:hAnsi="Cambria" w:cs="Verdana"/>
          <w:sz w:val="20"/>
          <w:szCs w:val="20"/>
          <w:lang w:val="es-ES"/>
        </w:rPr>
        <w:t>dado que las diligencias fueron avocadas a</w:t>
      </w:r>
      <w:r w:rsidR="00201B1C" w:rsidRPr="006E763F">
        <w:rPr>
          <w:rFonts w:ascii="Cambria" w:hAnsi="Cambria" w:cs="Verdana"/>
          <w:sz w:val="20"/>
          <w:szCs w:val="20"/>
          <w:lang w:val="es-ES"/>
        </w:rPr>
        <w:t xml:space="preserve"> </w:t>
      </w:r>
      <w:r w:rsidR="00F325FA" w:rsidRPr="006E763F">
        <w:rPr>
          <w:rFonts w:ascii="Cambria" w:hAnsi="Cambria" w:cs="Verdana"/>
          <w:sz w:val="20"/>
          <w:szCs w:val="20"/>
          <w:lang w:val="es-ES"/>
        </w:rPr>
        <w:t>múltiples</w:t>
      </w:r>
      <w:r w:rsidR="00201B1C" w:rsidRPr="006E763F">
        <w:rPr>
          <w:rFonts w:ascii="Cambria" w:hAnsi="Cambria" w:cs="Verdana"/>
          <w:sz w:val="20"/>
          <w:szCs w:val="20"/>
          <w:lang w:val="es-ES"/>
        </w:rPr>
        <w:t xml:space="preserve"> unidades dentro de la Fiscalía General, hasta su </w:t>
      </w:r>
      <w:r w:rsidR="00F325FA" w:rsidRPr="006E763F">
        <w:rPr>
          <w:rFonts w:ascii="Cambria" w:hAnsi="Cambria" w:cs="Verdana"/>
          <w:sz w:val="20"/>
          <w:szCs w:val="20"/>
          <w:lang w:val="es-ES"/>
        </w:rPr>
        <w:t xml:space="preserve">última </w:t>
      </w:r>
      <w:r w:rsidR="00201B1C" w:rsidRPr="006E763F">
        <w:rPr>
          <w:rFonts w:ascii="Cambria" w:hAnsi="Cambria" w:cs="Verdana"/>
          <w:sz w:val="20"/>
          <w:szCs w:val="20"/>
          <w:lang w:val="es-ES"/>
        </w:rPr>
        <w:t xml:space="preserve">radicación en la Fiscalía 12 </w:t>
      </w:r>
      <w:r w:rsidR="00D81696" w:rsidRPr="006E763F">
        <w:rPr>
          <w:rFonts w:ascii="Cambria" w:hAnsi="Cambria" w:cs="Verdana"/>
          <w:sz w:val="20"/>
          <w:szCs w:val="20"/>
          <w:lang w:val="es-ES"/>
        </w:rPr>
        <w:t>de la Unidad Nacional de Derechos Humanos y Derecho Internacional Humanitario</w:t>
      </w:r>
      <w:r w:rsidR="00201B1C" w:rsidRPr="006E763F">
        <w:rPr>
          <w:rFonts w:ascii="Cambria" w:hAnsi="Cambria" w:cs="Verdana"/>
          <w:sz w:val="20"/>
          <w:szCs w:val="20"/>
          <w:lang w:val="es-ES"/>
        </w:rPr>
        <w:t xml:space="preserve"> en el año </w:t>
      </w:r>
      <w:r w:rsidR="00D81696" w:rsidRPr="006E763F">
        <w:rPr>
          <w:rFonts w:ascii="Cambria" w:hAnsi="Cambria" w:cs="Verdana"/>
          <w:sz w:val="20"/>
          <w:szCs w:val="20"/>
          <w:lang w:val="es-ES"/>
        </w:rPr>
        <w:t>2013.</w:t>
      </w:r>
      <w:r w:rsidR="00F325FA" w:rsidRPr="006E763F">
        <w:rPr>
          <w:rFonts w:ascii="Cambria" w:hAnsi="Cambria" w:cs="Verdana"/>
          <w:sz w:val="20"/>
          <w:szCs w:val="20"/>
          <w:lang w:val="es-ES"/>
        </w:rPr>
        <w:t xml:space="preserve"> Asimismo</w:t>
      </w:r>
      <w:r w:rsidR="00201B1C" w:rsidRPr="006E763F">
        <w:rPr>
          <w:rFonts w:ascii="Cambria" w:hAnsi="Cambria" w:cs="Verdana"/>
          <w:sz w:val="20"/>
          <w:szCs w:val="20"/>
          <w:lang w:val="es-ES"/>
        </w:rPr>
        <w:t xml:space="preserve">, la CIDH </w:t>
      </w:r>
      <w:r w:rsidR="00F325FA" w:rsidRPr="006E763F">
        <w:rPr>
          <w:rFonts w:ascii="Cambria" w:hAnsi="Cambria" w:cs="Verdana"/>
          <w:sz w:val="20"/>
          <w:szCs w:val="20"/>
          <w:lang w:val="es-ES"/>
        </w:rPr>
        <w:t xml:space="preserve">nota que </w:t>
      </w:r>
      <w:r w:rsidR="00201B1C" w:rsidRPr="006E763F">
        <w:rPr>
          <w:rFonts w:ascii="Cambria" w:hAnsi="Cambria" w:cs="Verdana"/>
          <w:sz w:val="20"/>
          <w:szCs w:val="20"/>
          <w:lang w:val="es-ES"/>
        </w:rPr>
        <w:t xml:space="preserve">en la primera etapa de la investigación, la mayor cantidad de diligencias fueron practicadas por la PGN, cuando </w:t>
      </w:r>
      <w:r w:rsidR="006C2206" w:rsidRPr="006E763F">
        <w:rPr>
          <w:rFonts w:ascii="Cambria" w:hAnsi="Cambria" w:cs="Verdana"/>
          <w:sz w:val="20"/>
          <w:szCs w:val="20"/>
          <w:lang w:val="es-ES"/>
        </w:rPr>
        <w:t xml:space="preserve">como se indicó, </w:t>
      </w:r>
      <w:r w:rsidR="00201B1C" w:rsidRPr="006E763F">
        <w:rPr>
          <w:rFonts w:ascii="Cambria" w:hAnsi="Cambria" w:cs="Verdana"/>
          <w:sz w:val="20"/>
          <w:szCs w:val="20"/>
          <w:lang w:val="es-ES"/>
        </w:rPr>
        <w:t xml:space="preserve">este tipo de investigaciones </w:t>
      </w:r>
      <w:r w:rsidR="00CD0305" w:rsidRPr="006E763F">
        <w:rPr>
          <w:rFonts w:ascii="Cambria" w:hAnsi="Cambria" w:cs="Verdana"/>
          <w:sz w:val="20"/>
          <w:szCs w:val="20"/>
          <w:lang w:val="es-ES"/>
        </w:rPr>
        <w:t xml:space="preserve">tienen un carácter </w:t>
      </w:r>
      <w:r w:rsidR="00201B1C" w:rsidRPr="006E763F">
        <w:rPr>
          <w:rFonts w:ascii="Cambria" w:hAnsi="Cambria" w:cs="Verdana"/>
          <w:sz w:val="20"/>
          <w:szCs w:val="20"/>
          <w:lang w:val="es-ES"/>
        </w:rPr>
        <w:t>coadyuvante</w:t>
      </w:r>
      <w:r w:rsidR="00E77F49" w:rsidRPr="006E763F">
        <w:rPr>
          <w:rFonts w:ascii="Cambria" w:hAnsi="Cambria" w:cs="Verdana"/>
          <w:sz w:val="20"/>
          <w:szCs w:val="20"/>
          <w:lang w:val="es-ES"/>
        </w:rPr>
        <w:t xml:space="preserve"> de la jurisdicción penal</w:t>
      </w:r>
      <w:r w:rsidR="00201B1C" w:rsidRPr="006E763F">
        <w:rPr>
          <w:rFonts w:ascii="Cambria" w:hAnsi="Cambria" w:cs="Verdana"/>
          <w:sz w:val="20"/>
          <w:szCs w:val="20"/>
          <w:lang w:val="es-ES"/>
        </w:rPr>
        <w:t xml:space="preserve">. </w:t>
      </w:r>
    </w:p>
    <w:p w14:paraId="40C8A086" w14:textId="77777777" w:rsidR="007F1720" w:rsidRPr="006E763F" w:rsidRDefault="007F1720" w:rsidP="00E923BB">
      <w:pPr>
        <w:pStyle w:val="ListParagraph"/>
        <w:ind w:left="249" w:firstLine="0"/>
        <w:rPr>
          <w:rFonts w:eastAsia="Calibri" w:cs="MinionPro-Regular"/>
          <w:color w:val="FF0000"/>
          <w:sz w:val="20"/>
          <w:szCs w:val="20"/>
          <w:bdr w:val="none" w:sz="0" w:space="0" w:color="auto"/>
          <w:lang w:val="es-ES"/>
        </w:rPr>
      </w:pPr>
    </w:p>
    <w:p w14:paraId="6BC30886" w14:textId="6B4E993B" w:rsidR="006E6CC9" w:rsidRPr="006E763F" w:rsidRDefault="007F1720"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Calibri" w:hAnsi="Cambria" w:cs="MinionPro-Regular"/>
          <w:color w:val="FF0000"/>
          <w:sz w:val="20"/>
          <w:szCs w:val="20"/>
          <w:bdr w:val="none" w:sz="0" w:space="0" w:color="auto"/>
          <w:lang w:val="es-ES"/>
        </w:rPr>
      </w:pPr>
      <w:r w:rsidRPr="006E763F">
        <w:rPr>
          <w:rFonts w:ascii="Cambria" w:hAnsi="Cambria" w:cs="Verdana"/>
          <w:sz w:val="20"/>
          <w:szCs w:val="20"/>
          <w:lang w:val="es-ES"/>
        </w:rPr>
        <w:t xml:space="preserve">En </w:t>
      </w:r>
      <w:r w:rsidR="0050756C" w:rsidRPr="006E763F">
        <w:rPr>
          <w:rFonts w:ascii="Cambria" w:hAnsi="Cambria" w:cs="Verdana"/>
          <w:sz w:val="20"/>
          <w:szCs w:val="20"/>
          <w:lang w:val="es-ES"/>
        </w:rPr>
        <w:t xml:space="preserve">quinto </w:t>
      </w:r>
      <w:r w:rsidRPr="006E763F">
        <w:rPr>
          <w:rFonts w:ascii="Cambria" w:hAnsi="Cambria" w:cs="Verdana"/>
          <w:sz w:val="20"/>
          <w:szCs w:val="20"/>
          <w:lang w:val="es-ES"/>
        </w:rPr>
        <w:t xml:space="preserve">lugar, la Comisión encuentra que la participación de los familiares en la investigación de los hechos fue limitada y restringida por varios años, siendo rechazados sus intentos de </w:t>
      </w:r>
      <w:r w:rsidR="00CD0305" w:rsidRPr="006E763F">
        <w:rPr>
          <w:rFonts w:ascii="Cambria" w:hAnsi="Cambria" w:cs="Verdana"/>
          <w:sz w:val="20"/>
          <w:szCs w:val="20"/>
          <w:lang w:val="es-ES"/>
        </w:rPr>
        <w:t xml:space="preserve">constituirse </w:t>
      </w:r>
      <w:r w:rsidRPr="006E763F">
        <w:rPr>
          <w:rFonts w:ascii="Cambria" w:hAnsi="Cambria" w:cs="Verdana"/>
          <w:sz w:val="20"/>
          <w:szCs w:val="20"/>
          <w:lang w:val="es-ES"/>
        </w:rPr>
        <w:t>como parte civil</w:t>
      </w:r>
      <w:r w:rsidR="00CD0305" w:rsidRPr="006E763F">
        <w:rPr>
          <w:rFonts w:ascii="Cambria" w:hAnsi="Cambria" w:cs="Verdana"/>
          <w:sz w:val="20"/>
          <w:szCs w:val="20"/>
          <w:lang w:val="es-ES"/>
        </w:rPr>
        <w:t xml:space="preserve"> en el proceso</w:t>
      </w:r>
      <w:r w:rsidR="0050756C" w:rsidRPr="006E763F">
        <w:rPr>
          <w:rFonts w:ascii="Cambria" w:hAnsi="Cambria" w:cs="Verdana"/>
          <w:sz w:val="20"/>
          <w:szCs w:val="20"/>
          <w:lang w:val="es-ES"/>
        </w:rPr>
        <w:t xml:space="preserve">, lo que ocurrió </w:t>
      </w:r>
      <w:r w:rsidRPr="006E763F">
        <w:rPr>
          <w:rFonts w:ascii="Cambria" w:hAnsi="Cambria" w:cs="Verdana"/>
          <w:sz w:val="20"/>
          <w:szCs w:val="20"/>
          <w:lang w:val="es-ES"/>
        </w:rPr>
        <w:t>recién en 2011</w:t>
      </w:r>
      <w:r w:rsidR="0050756C" w:rsidRPr="006E763F">
        <w:rPr>
          <w:rFonts w:ascii="Cambria" w:hAnsi="Cambria" w:cs="Verdana"/>
          <w:sz w:val="20"/>
          <w:szCs w:val="20"/>
          <w:lang w:val="es-ES"/>
        </w:rPr>
        <w:t>.</w:t>
      </w:r>
      <w:r w:rsidRPr="006E763F">
        <w:rPr>
          <w:rFonts w:ascii="Cambria" w:hAnsi="Cambria" w:cs="Verdana"/>
          <w:sz w:val="20"/>
          <w:szCs w:val="20"/>
          <w:lang w:val="es-ES"/>
        </w:rPr>
        <w:t xml:space="preserve"> </w:t>
      </w:r>
    </w:p>
    <w:p w14:paraId="342AE056" w14:textId="77777777" w:rsidR="006E6CC9" w:rsidRPr="006E763F" w:rsidRDefault="006E6CC9" w:rsidP="00E923BB">
      <w:pPr>
        <w:rPr>
          <w:rFonts w:ascii="Cambria" w:eastAsia="Calibri" w:hAnsi="Cambria" w:cs="MinionPro-Regular"/>
          <w:color w:val="FF0000"/>
          <w:sz w:val="20"/>
          <w:szCs w:val="20"/>
          <w:bdr w:val="none" w:sz="0" w:space="0" w:color="auto"/>
          <w:lang w:val="es-ES"/>
        </w:rPr>
      </w:pPr>
    </w:p>
    <w:p w14:paraId="6BED0D32" w14:textId="6E2BFE99" w:rsidR="005A0756" w:rsidRPr="006E763F" w:rsidRDefault="007F1720"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Calibri" w:hAnsi="Cambria" w:cs="MinionPro-Regular"/>
          <w:sz w:val="20"/>
          <w:szCs w:val="20"/>
          <w:bdr w:val="none" w:sz="0" w:space="0" w:color="auto"/>
          <w:lang w:val="es-ES"/>
        </w:rPr>
      </w:pPr>
      <w:r w:rsidRPr="006E763F">
        <w:rPr>
          <w:rFonts w:ascii="Cambria" w:eastAsia="Calibri" w:hAnsi="Cambria" w:cs="MinionPro-Regular"/>
          <w:sz w:val="20"/>
          <w:szCs w:val="20"/>
          <w:bdr w:val="none" w:sz="0" w:space="0" w:color="auto"/>
          <w:lang w:val="es-ES"/>
        </w:rPr>
        <w:t>En</w:t>
      </w:r>
      <w:r w:rsidR="004078B7" w:rsidRPr="006E763F">
        <w:rPr>
          <w:rFonts w:ascii="Cambria" w:eastAsia="Calibri" w:hAnsi="Cambria" w:cs="MinionPro-Regular"/>
          <w:sz w:val="20"/>
          <w:szCs w:val="20"/>
          <w:bdr w:val="none" w:sz="0" w:space="0" w:color="auto"/>
          <w:lang w:val="es-ES"/>
        </w:rPr>
        <w:t xml:space="preserve"> sexto lugar, </w:t>
      </w:r>
      <w:r w:rsidR="006E6CC9" w:rsidRPr="006E763F">
        <w:rPr>
          <w:rFonts w:ascii="Cambria" w:eastAsia="Calibri" w:hAnsi="Cambria" w:cs="MinionPro-Regular"/>
          <w:sz w:val="20"/>
          <w:szCs w:val="20"/>
          <w:bdr w:val="none" w:sz="0" w:space="0" w:color="auto"/>
          <w:lang w:val="es-ES"/>
        </w:rPr>
        <w:t>la Comisión</w:t>
      </w:r>
      <w:r w:rsidR="004078B7" w:rsidRPr="006E763F">
        <w:rPr>
          <w:rFonts w:ascii="Cambria" w:eastAsia="Calibri" w:hAnsi="Cambria" w:cs="MinionPro-Regular"/>
          <w:sz w:val="20"/>
          <w:szCs w:val="20"/>
          <w:bdr w:val="none" w:sz="0" w:space="0" w:color="auto"/>
          <w:lang w:val="es-ES"/>
        </w:rPr>
        <w:t xml:space="preserve"> recuerda </w:t>
      </w:r>
      <w:r w:rsidR="006E6CC9" w:rsidRPr="006E763F">
        <w:rPr>
          <w:rFonts w:ascii="Cambria" w:eastAsia="Calibri" w:hAnsi="Cambria" w:cs="MinionPro-Regular"/>
          <w:sz w:val="20"/>
          <w:szCs w:val="20"/>
          <w:bdr w:val="none" w:sz="0" w:space="0" w:color="auto"/>
          <w:lang w:val="es-ES"/>
        </w:rPr>
        <w:t xml:space="preserve">que el </w:t>
      </w:r>
      <w:r w:rsidR="006E6CC9" w:rsidRPr="006E763F">
        <w:rPr>
          <w:rFonts w:ascii="Cambria" w:eastAsia="Calibri" w:hAnsi="Cambria" w:cs="MinionPro-Regular"/>
          <w:i/>
          <w:sz w:val="20"/>
          <w:szCs w:val="20"/>
          <w:bdr w:val="none" w:sz="0" w:space="0" w:color="auto"/>
          <w:lang w:val="es-ES"/>
        </w:rPr>
        <w:t>hábeas corpus</w:t>
      </w:r>
      <w:r w:rsidR="006E6CC9" w:rsidRPr="006E763F">
        <w:rPr>
          <w:rFonts w:ascii="Cambria" w:eastAsia="Calibri" w:hAnsi="Cambria" w:cs="MinionPro-Regular"/>
          <w:sz w:val="20"/>
          <w:szCs w:val="20"/>
          <w:bdr w:val="none" w:sz="0" w:space="0" w:color="auto"/>
          <w:lang w:val="es-ES"/>
        </w:rPr>
        <w:t xml:space="preserve"> fue inadmitido por un requisito formal</w:t>
      </w:r>
      <w:r w:rsidR="004078B7" w:rsidRPr="006E763F">
        <w:rPr>
          <w:rFonts w:ascii="Cambria" w:eastAsia="Calibri" w:hAnsi="Cambria" w:cs="MinionPro-Regular"/>
          <w:sz w:val="20"/>
          <w:szCs w:val="20"/>
          <w:bdr w:val="none" w:sz="0" w:space="0" w:color="auto"/>
          <w:lang w:val="es-ES"/>
        </w:rPr>
        <w:t>, inconsistente con la razón de ser y finalidad esencial del recurso.</w:t>
      </w:r>
    </w:p>
    <w:p w14:paraId="69A989C4" w14:textId="1CCB1D70" w:rsidR="00CD0305" w:rsidRPr="006E763F" w:rsidRDefault="00207848" w:rsidP="00E923B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354"/>
        <w:rPr>
          <w:rFonts w:ascii="Cambria" w:eastAsia="Calibri" w:hAnsi="Cambria" w:cs="MinionPro-Regular"/>
          <w:color w:val="FF0000"/>
          <w:sz w:val="20"/>
          <w:szCs w:val="20"/>
          <w:bdr w:val="none" w:sz="0" w:space="0" w:color="auto"/>
          <w:lang w:val="es-ES"/>
        </w:rPr>
      </w:pPr>
      <w:r w:rsidRPr="006E763F">
        <w:rPr>
          <w:rFonts w:ascii="Cambria" w:eastAsia="Calibri" w:hAnsi="Cambria" w:cs="MinionPro-Regular"/>
          <w:color w:val="FF0000"/>
          <w:sz w:val="20"/>
          <w:szCs w:val="20"/>
          <w:bdr w:val="none" w:sz="0" w:space="0" w:color="auto"/>
          <w:lang w:val="es-ES"/>
        </w:rPr>
        <w:t xml:space="preserve"> </w:t>
      </w:r>
    </w:p>
    <w:p w14:paraId="47DD80A6" w14:textId="3E6F1804" w:rsidR="006C2C11" w:rsidRPr="006E763F" w:rsidRDefault="00A858AC"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Verdana"/>
          <w:sz w:val="20"/>
          <w:szCs w:val="20"/>
          <w:lang w:val="es-ES"/>
        </w:rPr>
      </w:pPr>
      <w:r w:rsidRPr="006E763F">
        <w:rPr>
          <w:rFonts w:ascii="Cambria" w:hAnsi="Cambria" w:cs="Verdana"/>
          <w:sz w:val="20"/>
          <w:szCs w:val="20"/>
          <w:lang w:val="es-ES"/>
        </w:rPr>
        <w:t>Por último y en cuanto al plazo razonable, l</w:t>
      </w:r>
      <w:r w:rsidR="006C2C11" w:rsidRPr="006E763F">
        <w:rPr>
          <w:rFonts w:ascii="Cambria" w:hAnsi="Cambria" w:cs="Verdana"/>
          <w:sz w:val="20"/>
          <w:szCs w:val="20"/>
          <w:lang w:val="es-ES"/>
        </w:rPr>
        <w:t xml:space="preserve">a Comisión toma nota de que la investigación de la PGN se desarrolló por casi </w:t>
      </w:r>
      <w:r w:rsidR="0079336E" w:rsidRPr="006E763F">
        <w:rPr>
          <w:rFonts w:ascii="Cambria" w:hAnsi="Cambria" w:cs="Verdana"/>
          <w:sz w:val="20"/>
          <w:szCs w:val="20"/>
          <w:lang w:val="es-ES"/>
        </w:rPr>
        <w:t>8 años (1993</w:t>
      </w:r>
      <w:r w:rsidR="006C2C11" w:rsidRPr="006E763F">
        <w:rPr>
          <w:rFonts w:ascii="Cambria" w:hAnsi="Cambria" w:cs="Verdana"/>
          <w:sz w:val="20"/>
          <w:szCs w:val="20"/>
          <w:lang w:val="es-ES"/>
        </w:rPr>
        <w:t xml:space="preserve"> – 20</w:t>
      </w:r>
      <w:r w:rsidR="0079336E" w:rsidRPr="006E763F">
        <w:rPr>
          <w:rFonts w:ascii="Cambria" w:hAnsi="Cambria" w:cs="Verdana"/>
          <w:sz w:val="20"/>
          <w:szCs w:val="20"/>
          <w:lang w:val="es-ES"/>
        </w:rPr>
        <w:t>01</w:t>
      </w:r>
      <w:r w:rsidR="006C2C11" w:rsidRPr="006E763F">
        <w:rPr>
          <w:rFonts w:ascii="Cambria" w:hAnsi="Cambria" w:cs="Verdana"/>
          <w:sz w:val="20"/>
          <w:szCs w:val="20"/>
          <w:lang w:val="es-ES"/>
        </w:rPr>
        <w:t xml:space="preserve">) y que la </w:t>
      </w:r>
      <w:r w:rsidR="006C2C11" w:rsidRPr="006E763F">
        <w:rPr>
          <w:rFonts w:ascii="Cambria" w:eastAsia="Calibri" w:hAnsi="Cambria" w:cs="MinionPro-Regular"/>
          <w:sz w:val="20"/>
          <w:szCs w:val="20"/>
          <w:bdr w:val="none" w:sz="0" w:space="0" w:color="auto"/>
          <w:lang w:val="es-ES"/>
        </w:rPr>
        <w:t>investigación</w:t>
      </w:r>
      <w:r w:rsidR="006C2C11" w:rsidRPr="006E763F">
        <w:rPr>
          <w:rFonts w:ascii="Cambria" w:hAnsi="Cambria" w:cs="Verdana"/>
          <w:sz w:val="20"/>
          <w:szCs w:val="20"/>
          <w:lang w:val="es-ES"/>
        </w:rPr>
        <w:t xml:space="preserve"> de la Fiscalía General por casi</w:t>
      </w:r>
      <w:r w:rsidR="0079336E" w:rsidRPr="006E763F">
        <w:rPr>
          <w:rFonts w:ascii="Cambria" w:hAnsi="Cambria" w:cs="Verdana"/>
          <w:sz w:val="20"/>
          <w:szCs w:val="20"/>
          <w:lang w:val="es-ES"/>
        </w:rPr>
        <w:t xml:space="preserve"> 25</w:t>
      </w:r>
      <w:r w:rsidR="006C2C11" w:rsidRPr="006E763F">
        <w:rPr>
          <w:rFonts w:ascii="Cambria" w:hAnsi="Cambria" w:cs="Verdana"/>
          <w:sz w:val="20"/>
          <w:szCs w:val="20"/>
          <w:lang w:val="es-ES"/>
        </w:rPr>
        <w:t xml:space="preserve"> años (19</w:t>
      </w:r>
      <w:r w:rsidR="0079336E" w:rsidRPr="006E763F">
        <w:rPr>
          <w:rFonts w:ascii="Cambria" w:hAnsi="Cambria" w:cs="Verdana"/>
          <w:sz w:val="20"/>
          <w:szCs w:val="20"/>
          <w:lang w:val="es-ES"/>
        </w:rPr>
        <w:t>93</w:t>
      </w:r>
      <w:r w:rsidR="006C2C11" w:rsidRPr="006E763F">
        <w:rPr>
          <w:rFonts w:ascii="Cambria" w:hAnsi="Cambria" w:cs="Verdana"/>
          <w:sz w:val="20"/>
          <w:szCs w:val="20"/>
          <w:lang w:val="es-ES"/>
        </w:rPr>
        <w:t xml:space="preserve"> – 20</w:t>
      </w:r>
      <w:r w:rsidR="0079336E" w:rsidRPr="006E763F">
        <w:rPr>
          <w:rFonts w:ascii="Cambria" w:hAnsi="Cambria" w:cs="Verdana"/>
          <w:sz w:val="20"/>
          <w:szCs w:val="20"/>
          <w:lang w:val="es-ES"/>
        </w:rPr>
        <w:t>18</w:t>
      </w:r>
      <w:r w:rsidR="008B5B16" w:rsidRPr="006E763F">
        <w:rPr>
          <w:rFonts w:ascii="Cambria" w:hAnsi="Cambria" w:cs="Verdana"/>
          <w:sz w:val="20"/>
          <w:szCs w:val="20"/>
          <w:lang w:val="es-ES"/>
        </w:rPr>
        <w:t xml:space="preserve">). Particularmente en cuanto a la investigación penal, la misma </w:t>
      </w:r>
      <w:r w:rsidR="001C294E" w:rsidRPr="006E763F">
        <w:rPr>
          <w:rFonts w:ascii="Cambria" w:hAnsi="Cambria" w:cs="Verdana"/>
          <w:sz w:val="20"/>
          <w:szCs w:val="20"/>
          <w:lang w:val="es-ES"/>
        </w:rPr>
        <w:t xml:space="preserve">ha tardado más de 25 años y permanece en etapa preliminar. </w:t>
      </w:r>
      <w:r w:rsidR="006C2C11" w:rsidRPr="006E763F">
        <w:rPr>
          <w:rFonts w:ascii="Cambria" w:hAnsi="Cambria" w:cs="Verdana"/>
          <w:sz w:val="20"/>
          <w:szCs w:val="20"/>
          <w:lang w:val="es-ES"/>
        </w:rPr>
        <w:t>En cuanto a la complejidad del asunto, la Comisión observa que el Estado ha manifestado que “existen dificultades que se han visto reflejadas en la falta de resultado satisfactorios desde la ocurrencia de los hechos las cuales ha insistido en superar a través de las acciones que ha ejecutado”</w:t>
      </w:r>
      <w:r w:rsidR="00BF74A5" w:rsidRPr="006E763F">
        <w:rPr>
          <w:rFonts w:ascii="Cambria" w:hAnsi="Cambria" w:cs="Verdana"/>
          <w:sz w:val="20"/>
          <w:szCs w:val="20"/>
          <w:lang w:val="es-ES"/>
        </w:rPr>
        <w:t xml:space="preserve">. Al respecto, </w:t>
      </w:r>
      <w:r w:rsidR="006C2C11" w:rsidRPr="006E763F">
        <w:rPr>
          <w:rFonts w:ascii="Cambria" w:eastAsia="Batang" w:hAnsi="Cambria"/>
          <w:sz w:val="20"/>
          <w:szCs w:val="20"/>
          <w:bdr w:val="none" w:sz="0" w:space="0" w:color="auto" w:frame="1"/>
          <w:lang w:val="es-ES"/>
        </w:rPr>
        <w:t>a fin de que un argumento de complejidad sea procedente, no es suficiente con que los Estados invoquen en términos genéric</w:t>
      </w:r>
      <w:r w:rsidR="00BF74A5" w:rsidRPr="006E763F">
        <w:rPr>
          <w:rFonts w:ascii="Cambria" w:eastAsia="Batang" w:hAnsi="Cambria"/>
          <w:sz w:val="20"/>
          <w:szCs w:val="20"/>
          <w:bdr w:val="none" w:sz="0" w:space="0" w:color="auto" w:frame="1"/>
          <w:lang w:val="es-ES"/>
        </w:rPr>
        <w:t>os la complejidad de un asunto, sino que e</w:t>
      </w:r>
      <w:r w:rsidR="006C2C11" w:rsidRPr="006E763F">
        <w:rPr>
          <w:rFonts w:ascii="Cambria" w:eastAsia="Batang" w:hAnsi="Cambria"/>
          <w:sz w:val="20"/>
          <w:szCs w:val="20"/>
          <w:bdr w:val="none" w:sz="0" w:space="0" w:color="auto" w:frame="1"/>
          <w:lang w:val="es-ES"/>
        </w:rPr>
        <w:t>s necesario que se presente información específica que vincule en cada caso la complejidad con la demora</w:t>
      </w:r>
      <w:r w:rsidR="006C2C11" w:rsidRPr="006E763F">
        <w:rPr>
          <w:rFonts w:ascii="Cambria" w:eastAsia="Batang" w:hAnsi="Cambria"/>
          <w:sz w:val="20"/>
          <w:szCs w:val="20"/>
          <w:bdr w:val="none" w:sz="0" w:space="0" w:color="auto" w:frame="1"/>
          <w:vertAlign w:val="superscript"/>
          <w:lang w:val="es-ES"/>
        </w:rPr>
        <w:footnoteReference w:id="142"/>
      </w:r>
      <w:r w:rsidR="006C2C11" w:rsidRPr="006E763F">
        <w:rPr>
          <w:rFonts w:ascii="Cambria" w:eastAsia="Batang" w:hAnsi="Cambria"/>
          <w:sz w:val="20"/>
          <w:szCs w:val="20"/>
          <w:bdr w:val="none" w:sz="0" w:space="0" w:color="auto" w:frame="1"/>
          <w:lang w:val="es-ES"/>
        </w:rPr>
        <w:t>, lo que no ha sucedido en el presente cas</w:t>
      </w:r>
      <w:r w:rsidR="005F0E78" w:rsidRPr="006E763F">
        <w:rPr>
          <w:rFonts w:ascii="Cambria" w:eastAsia="Batang" w:hAnsi="Cambria"/>
          <w:sz w:val="20"/>
          <w:szCs w:val="20"/>
          <w:bdr w:val="none" w:sz="0" w:space="0" w:color="auto" w:frame="1"/>
          <w:lang w:val="es-ES"/>
        </w:rPr>
        <w:t xml:space="preserve">o. </w:t>
      </w:r>
      <w:r w:rsidR="006C2C11" w:rsidRPr="006E763F">
        <w:rPr>
          <w:rFonts w:ascii="Cambria" w:hAnsi="Cambria" w:cs="Verdana"/>
          <w:sz w:val="20"/>
          <w:szCs w:val="20"/>
          <w:lang w:val="es-ES"/>
        </w:rPr>
        <w:t>En cuanto a las actuaciones de la parte interesada, la Comisión observa que no se desprende del expediente información alguna que indique que las presuntas víctimas obstaculizaron las investigaciones. Respecto de la conducta de las autoridades estatales, la Comisión se atiene a</w:t>
      </w:r>
      <w:r w:rsidR="005C7BA1" w:rsidRPr="006E763F">
        <w:rPr>
          <w:rFonts w:ascii="Cambria" w:hAnsi="Cambria" w:cs="Verdana"/>
          <w:sz w:val="20"/>
          <w:szCs w:val="20"/>
          <w:lang w:val="es-ES"/>
        </w:rPr>
        <w:t xml:space="preserve"> todo lo dicho en la presente sección. </w:t>
      </w:r>
      <w:r w:rsidR="006C2C11" w:rsidRPr="006E763F">
        <w:rPr>
          <w:rFonts w:ascii="Cambria" w:hAnsi="Cambria" w:cs="Verdana"/>
          <w:sz w:val="20"/>
          <w:szCs w:val="20"/>
          <w:lang w:val="es-ES"/>
        </w:rPr>
        <w:t>Además, la CIDH observa que</w:t>
      </w:r>
      <w:r w:rsidR="00F90A44" w:rsidRPr="006E763F">
        <w:rPr>
          <w:rFonts w:ascii="Cambria" w:hAnsi="Cambria" w:cs="Verdana"/>
          <w:sz w:val="20"/>
          <w:szCs w:val="20"/>
          <w:lang w:val="es-ES"/>
        </w:rPr>
        <w:t xml:space="preserve"> </w:t>
      </w:r>
      <w:r w:rsidR="006C2C11" w:rsidRPr="006E763F">
        <w:rPr>
          <w:rFonts w:ascii="Cambria" w:hAnsi="Cambria" w:cs="Verdana"/>
          <w:sz w:val="20"/>
          <w:szCs w:val="20"/>
          <w:lang w:val="es-ES"/>
        </w:rPr>
        <w:t>existieron periodos de inactividad no justificados por el Estado</w:t>
      </w:r>
      <w:r w:rsidR="005C7BA1" w:rsidRPr="006E763F">
        <w:rPr>
          <w:rFonts w:ascii="Cambria" w:hAnsi="Cambria" w:cs="Verdana"/>
          <w:sz w:val="20"/>
          <w:szCs w:val="20"/>
          <w:lang w:val="es-ES"/>
        </w:rPr>
        <w:t xml:space="preserve">, particularmente los archivos, cierres y reaperturas de las investigaciones. </w:t>
      </w:r>
    </w:p>
    <w:p w14:paraId="0385BDDB" w14:textId="77777777" w:rsidR="00C458F1" w:rsidRPr="006E763F" w:rsidRDefault="00C458F1" w:rsidP="00E923BB">
      <w:pPr>
        <w:pStyle w:val="Body"/>
        <w:ind w:firstLine="0"/>
        <w:rPr>
          <w:rFonts w:eastAsia="Times New Roman" w:cs="Times New Roman"/>
          <w:b/>
          <w:bCs/>
          <w:lang w:val="es-ES"/>
        </w:rPr>
      </w:pPr>
    </w:p>
    <w:p w14:paraId="3CD12126" w14:textId="20FAE7FD" w:rsidR="00EC310A" w:rsidRPr="006E763F" w:rsidRDefault="00C458F1"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bCs/>
          <w:color w:val="FF0000"/>
          <w:sz w:val="20"/>
          <w:szCs w:val="20"/>
          <w:u w:color="FF0000"/>
          <w:lang w:val="es-ES"/>
        </w:rPr>
      </w:pPr>
      <w:r w:rsidRPr="006E763F">
        <w:rPr>
          <w:rFonts w:ascii="Cambria" w:hAnsi="Cambria"/>
          <w:sz w:val="20"/>
          <w:szCs w:val="20"/>
          <w:bdr w:val="none" w:sz="0" w:space="0" w:color="auto" w:frame="1"/>
          <w:lang w:val="es-ES"/>
        </w:rPr>
        <w:t>En virtud de</w:t>
      </w:r>
      <w:r w:rsidR="001D5261" w:rsidRPr="006E763F">
        <w:rPr>
          <w:rFonts w:ascii="Cambria" w:hAnsi="Cambria"/>
          <w:sz w:val="20"/>
          <w:szCs w:val="20"/>
          <w:bdr w:val="none" w:sz="0" w:space="0" w:color="auto" w:frame="1"/>
          <w:lang w:val="es-ES"/>
        </w:rPr>
        <w:t xml:space="preserve"> lo anterior, l</w:t>
      </w:r>
      <w:r w:rsidRPr="006E763F">
        <w:rPr>
          <w:rFonts w:ascii="Cambria" w:hAnsi="Cambria"/>
          <w:sz w:val="20"/>
          <w:szCs w:val="20"/>
          <w:bdr w:val="none" w:sz="0" w:space="0" w:color="auto" w:frame="1"/>
          <w:lang w:val="es-ES"/>
        </w:rPr>
        <w:t xml:space="preserve">a Comisión concluye que el Estado colombiano </w:t>
      </w:r>
      <w:r w:rsidR="00035CCC" w:rsidRPr="006E763F">
        <w:rPr>
          <w:rFonts w:ascii="Cambria" w:hAnsi="Cambria"/>
          <w:sz w:val="20"/>
          <w:szCs w:val="20"/>
          <w:bdr w:val="none" w:sz="0" w:space="0" w:color="auto" w:frame="1"/>
          <w:lang w:val="es-ES"/>
        </w:rPr>
        <w:t xml:space="preserve">incumplió </w:t>
      </w:r>
      <w:r w:rsidRPr="006E763F">
        <w:rPr>
          <w:rFonts w:ascii="Cambria" w:hAnsi="Cambria"/>
          <w:sz w:val="20"/>
          <w:szCs w:val="20"/>
          <w:bdr w:val="none" w:sz="0" w:space="0" w:color="auto" w:frame="1"/>
          <w:lang w:val="es-ES"/>
        </w:rPr>
        <w:t>su obligación de investigar, juzgar y sancionar, en un plazo razonable y con la debida diligencia, la desaparición forzada analizada en el presente informe. En consecuencia, la Comisión concluye que el Estado colombiano es responsable por la violación de los derechos a las garantías judiciales y a la protección judicial establecidos en los artículos 8</w:t>
      </w:r>
      <w:r w:rsidR="005F0E78" w:rsidRPr="006E763F">
        <w:rPr>
          <w:rFonts w:ascii="Cambria" w:hAnsi="Cambria"/>
          <w:sz w:val="20"/>
          <w:szCs w:val="20"/>
          <w:bdr w:val="none" w:sz="0" w:space="0" w:color="auto" w:frame="1"/>
          <w:lang w:val="es-ES"/>
        </w:rPr>
        <w:t>.</w:t>
      </w:r>
      <w:r w:rsidRPr="006E763F">
        <w:rPr>
          <w:rFonts w:ascii="Cambria" w:hAnsi="Cambria"/>
          <w:sz w:val="20"/>
          <w:szCs w:val="20"/>
          <w:bdr w:val="none" w:sz="0" w:space="0" w:color="auto" w:frame="1"/>
          <w:lang w:val="es-ES"/>
        </w:rPr>
        <w:t xml:space="preserve">1 y 25.1 de la Convención Americana, en relación con las obligaciones establecidas en los artículos 1.1 del mismo instrumento, en perjuicio de Pedro Julio Movilla Galarcio y sus familiares </w:t>
      </w:r>
      <w:r w:rsidR="005F0E78" w:rsidRPr="006E763F">
        <w:rPr>
          <w:rFonts w:ascii="Cambria" w:hAnsi="Cambria"/>
          <w:sz w:val="20"/>
          <w:szCs w:val="20"/>
          <w:bdr w:val="none" w:sz="0" w:space="0" w:color="auto" w:frame="1"/>
          <w:lang w:val="es-ES"/>
        </w:rPr>
        <w:t>identificados en el</w:t>
      </w:r>
      <w:r w:rsidRPr="006E763F">
        <w:rPr>
          <w:rFonts w:ascii="Cambria" w:hAnsi="Cambria"/>
          <w:sz w:val="20"/>
          <w:szCs w:val="20"/>
          <w:bdr w:val="none" w:sz="0" w:space="0" w:color="auto" w:frame="1"/>
          <w:lang w:val="es-ES"/>
        </w:rPr>
        <w:t xml:space="preserve"> presente informe. Asimismo, el Estado colombiano es responsable por la violación del artículo I</w:t>
      </w:r>
      <w:r w:rsidR="007F1CC2" w:rsidRPr="006E763F">
        <w:rPr>
          <w:rFonts w:ascii="Cambria" w:hAnsi="Cambria"/>
          <w:sz w:val="20"/>
          <w:szCs w:val="20"/>
          <w:bdr w:val="none" w:sz="0" w:space="0" w:color="auto" w:frame="1"/>
          <w:lang w:val="es-ES"/>
        </w:rPr>
        <w:t>.</w:t>
      </w:r>
      <w:r w:rsidRPr="006E763F">
        <w:rPr>
          <w:rFonts w:ascii="Cambria" w:hAnsi="Cambria"/>
          <w:sz w:val="20"/>
          <w:szCs w:val="20"/>
          <w:bdr w:val="none" w:sz="0" w:space="0" w:color="auto" w:frame="1"/>
          <w:lang w:val="es-ES"/>
        </w:rPr>
        <w:t>b</w:t>
      </w:r>
      <w:r w:rsidR="005F0E78" w:rsidRPr="006E763F">
        <w:rPr>
          <w:rFonts w:ascii="Cambria" w:hAnsi="Cambria"/>
          <w:sz w:val="20"/>
          <w:szCs w:val="20"/>
          <w:bdr w:val="none" w:sz="0" w:space="0" w:color="auto" w:frame="1"/>
          <w:lang w:val="es-ES"/>
        </w:rPr>
        <w:t>)</w:t>
      </w:r>
      <w:r w:rsidRPr="006E763F">
        <w:rPr>
          <w:rFonts w:ascii="Cambria" w:hAnsi="Cambria"/>
          <w:sz w:val="20"/>
          <w:szCs w:val="20"/>
          <w:bdr w:val="none" w:sz="0" w:space="0" w:color="auto" w:frame="1"/>
          <w:lang w:val="es-ES"/>
        </w:rPr>
        <w:t xml:space="preserve"> de la C</w:t>
      </w:r>
      <w:r w:rsidR="005F0E78" w:rsidRPr="006E763F">
        <w:rPr>
          <w:rFonts w:ascii="Cambria" w:hAnsi="Cambria"/>
          <w:sz w:val="20"/>
          <w:szCs w:val="20"/>
          <w:bdr w:val="none" w:sz="0" w:space="0" w:color="auto" w:frame="1"/>
          <w:lang w:val="es-ES"/>
        </w:rPr>
        <w:t>IDFP</w:t>
      </w:r>
      <w:r w:rsidRPr="006E763F">
        <w:rPr>
          <w:rFonts w:ascii="Cambria" w:hAnsi="Cambria"/>
          <w:sz w:val="20"/>
          <w:szCs w:val="20"/>
          <w:bdr w:val="none" w:sz="0" w:space="0" w:color="auto" w:frame="1"/>
          <w:lang w:val="es-ES"/>
        </w:rPr>
        <w:t>.</w:t>
      </w:r>
    </w:p>
    <w:p w14:paraId="3DF17730" w14:textId="77777777" w:rsidR="00EC310A" w:rsidRDefault="00EC310A" w:rsidP="00E923BB">
      <w:pPr>
        <w:pStyle w:val="Body"/>
        <w:ind w:firstLine="249"/>
        <w:rPr>
          <w:lang w:val="es-ES"/>
        </w:rPr>
      </w:pPr>
    </w:p>
    <w:p w14:paraId="6BEE6EF0" w14:textId="77777777" w:rsidR="00D90561" w:rsidRDefault="00D90561" w:rsidP="00E923BB">
      <w:pPr>
        <w:pStyle w:val="Body"/>
        <w:ind w:firstLine="249"/>
        <w:rPr>
          <w:lang w:val="es-ES"/>
        </w:rPr>
      </w:pPr>
    </w:p>
    <w:p w14:paraId="3522E7C5" w14:textId="77777777" w:rsidR="00D90561" w:rsidRPr="006E763F" w:rsidRDefault="00D90561" w:rsidP="00E923BB">
      <w:pPr>
        <w:pStyle w:val="Body"/>
        <w:ind w:firstLine="249"/>
        <w:rPr>
          <w:lang w:val="es-ES"/>
        </w:rPr>
      </w:pPr>
    </w:p>
    <w:p w14:paraId="737631BE" w14:textId="12ABAAE6" w:rsidR="00EC310A" w:rsidRPr="006E763F" w:rsidRDefault="004411DD" w:rsidP="00685D78">
      <w:pPr>
        <w:pStyle w:val="Heading2"/>
        <w:numPr>
          <w:ilvl w:val="0"/>
          <w:numId w:val="26"/>
        </w:numPr>
        <w:tabs>
          <w:tab w:val="clear" w:pos="86"/>
          <w:tab w:val="num" w:pos="1440"/>
        </w:tabs>
        <w:ind w:left="1440" w:hanging="720"/>
        <w:rPr>
          <w:rFonts w:eastAsia="Times New Roman" w:cs="Times New Roman"/>
        </w:rPr>
      </w:pPr>
      <w:bookmarkStart w:id="24" w:name="_Toc446163"/>
      <w:r w:rsidRPr="006E763F">
        <w:t>El derecho a la integridad personal de l</w:t>
      </w:r>
      <w:r w:rsidR="00B745C4" w:rsidRPr="006E763F">
        <w:t>os familiares</w:t>
      </w:r>
      <w:r w:rsidRPr="006E763F">
        <w:t xml:space="preserve"> (artículo</w:t>
      </w:r>
      <w:r w:rsidR="00B745C4" w:rsidRPr="006E763F">
        <w:t>s</w:t>
      </w:r>
      <w:r w:rsidRPr="006E763F">
        <w:t xml:space="preserve"> 5.1</w:t>
      </w:r>
      <w:r w:rsidR="00B745C4" w:rsidRPr="006E763F">
        <w:t xml:space="preserve"> y 1.1 de la Convención</w:t>
      </w:r>
      <w:r w:rsidR="001D5F78" w:rsidRPr="006E763F">
        <w:t>)</w:t>
      </w:r>
      <w:bookmarkEnd w:id="24"/>
    </w:p>
    <w:p w14:paraId="185F46E7" w14:textId="77777777" w:rsidR="00EC310A" w:rsidRPr="006E763F" w:rsidRDefault="00EC310A" w:rsidP="00E923BB">
      <w:pPr>
        <w:pStyle w:val="Body"/>
        <w:ind w:firstLine="249"/>
        <w:rPr>
          <w:lang w:val="es-ES"/>
        </w:rPr>
      </w:pPr>
    </w:p>
    <w:p w14:paraId="1A2FCF95" w14:textId="77777777" w:rsidR="00EC310A" w:rsidRPr="006E763F" w:rsidRDefault="009E7E98"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ES"/>
        </w:rPr>
      </w:pPr>
      <w:r w:rsidRPr="006E763F">
        <w:rPr>
          <w:rFonts w:ascii="Cambria" w:hAnsi="Cambria"/>
          <w:sz w:val="20"/>
          <w:szCs w:val="20"/>
          <w:lang w:val="es-ES"/>
        </w:rPr>
        <w:t xml:space="preserve">Con respecto a los familiares de víctimas de ciertas violaciones de derechos humanos, la Comisión y la Corte </w:t>
      </w:r>
      <w:r w:rsidRPr="006E763F">
        <w:rPr>
          <w:rFonts w:ascii="Cambria" w:hAnsi="Cambria"/>
          <w:sz w:val="20"/>
          <w:szCs w:val="20"/>
          <w:bdr w:val="none" w:sz="0" w:space="0" w:color="auto" w:frame="1"/>
          <w:lang w:val="es-ES"/>
        </w:rPr>
        <w:t>Interamericana</w:t>
      </w:r>
      <w:r w:rsidRPr="006E763F">
        <w:rPr>
          <w:rFonts w:ascii="Cambria" w:hAnsi="Cambria"/>
          <w:sz w:val="20"/>
          <w:szCs w:val="20"/>
          <w:lang w:val="es-ES"/>
        </w:rPr>
        <w:t xml:space="preserve"> han indicado que éstos pueden ser considerados, a su vez, como víctimas</w:t>
      </w:r>
      <w:r w:rsidRPr="006E763F">
        <w:rPr>
          <w:rFonts w:ascii="Cambria" w:hAnsi="Cambria"/>
          <w:sz w:val="20"/>
          <w:szCs w:val="20"/>
          <w:vertAlign w:val="superscript"/>
          <w:lang w:val="es-ES"/>
        </w:rPr>
        <w:footnoteReference w:id="143"/>
      </w:r>
      <w:r w:rsidRPr="006E763F">
        <w:rPr>
          <w:rFonts w:ascii="Cambria" w:hAnsi="Cambria"/>
          <w:sz w:val="20"/>
          <w:szCs w:val="20"/>
          <w:lang w:val="es-ES"/>
        </w:rPr>
        <w:t>. Al respecto, la Corte ha dispuesto que pueden verse afectados en su integridad psíquica y moral como consecuencia de las situaciones particulares que padecieron las víctimas, así como de las posteriores actuaciones u omisiones de las autoridades internas frente a estos hechos</w:t>
      </w:r>
      <w:r w:rsidRPr="006E763F">
        <w:rPr>
          <w:rFonts w:ascii="Cambria" w:hAnsi="Cambria"/>
          <w:sz w:val="20"/>
          <w:szCs w:val="20"/>
          <w:vertAlign w:val="superscript"/>
          <w:lang w:val="es-ES"/>
        </w:rPr>
        <w:footnoteReference w:id="144"/>
      </w:r>
      <w:r w:rsidRPr="006E763F">
        <w:rPr>
          <w:rFonts w:ascii="Cambria" w:hAnsi="Cambria"/>
          <w:sz w:val="20"/>
          <w:szCs w:val="20"/>
          <w:lang w:val="es-ES"/>
        </w:rPr>
        <w:t>.</w:t>
      </w:r>
    </w:p>
    <w:p w14:paraId="373B3B6E" w14:textId="77777777" w:rsidR="00EC310A" w:rsidRPr="006E763F" w:rsidRDefault="00EC310A" w:rsidP="00E923BB">
      <w:pPr>
        <w:pStyle w:val="Body"/>
        <w:ind w:firstLine="249"/>
        <w:rPr>
          <w:lang w:val="es-ES"/>
        </w:rPr>
      </w:pPr>
    </w:p>
    <w:p w14:paraId="7663BC8E" w14:textId="7703AFCF" w:rsidR="00EC310A" w:rsidRPr="006E763F" w:rsidRDefault="009E7E98"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ES"/>
        </w:rPr>
      </w:pPr>
      <w:r w:rsidRPr="006E763F">
        <w:rPr>
          <w:rFonts w:ascii="Cambria" w:hAnsi="Cambria"/>
          <w:sz w:val="20"/>
          <w:szCs w:val="20"/>
          <w:lang w:val="es-ES"/>
        </w:rPr>
        <w:t>En el presente caso la Comisión dio por establecido que Pedro Julio Movilla Gala</w:t>
      </w:r>
      <w:r w:rsidR="0010443A" w:rsidRPr="006E763F">
        <w:rPr>
          <w:rFonts w:ascii="Cambria" w:hAnsi="Cambria"/>
          <w:sz w:val="20"/>
          <w:szCs w:val="20"/>
          <w:lang w:val="es-ES"/>
        </w:rPr>
        <w:t>r</w:t>
      </w:r>
      <w:r w:rsidRPr="006E763F">
        <w:rPr>
          <w:rFonts w:ascii="Cambria" w:hAnsi="Cambria"/>
          <w:sz w:val="20"/>
          <w:szCs w:val="20"/>
          <w:lang w:val="es-ES"/>
        </w:rPr>
        <w:t xml:space="preserve">cio </w:t>
      </w:r>
      <w:r w:rsidR="00627065" w:rsidRPr="006E763F">
        <w:rPr>
          <w:rFonts w:ascii="Cambria" w:hAnsi="Cambria"/>
          <w:sz w:val="20"/>
          <w:szCs w:val="20"/>
          <w:lang w:val="es-ES"/>
        </w:rPr>
        <w:t>fue desaparecido forzadamente</w:t>
      </w:r>
      <w:r w:rsidR="00627065" w:rsidRPr="006E763F">
        <w:rPr>
          <w:lang w:val="es-ES"/>
        </w:rPr>
        <w:t xml:space="preserve"> </w:t>
      </w:r>
      <w:r w:rsidRPr="006E763F">
        <w:rPr>
          <w:rFonts w:ascii="Cambria" w:hAnsi="Cambria"/>
          <w:sz w:val="20"/>
          <w:szCs w:val="20"/>
          <w:lang w:val="es-ES"/>
        </w:rPr>
        <w:t xml:space="preserve">en circunstancias no esclarecidas ni investigadas con la debida diligencia. Estas circunstancias constituyen de modo autónomo una fuente de sufrimiento e impotencia para sus familiares, quienes a la fecha no tienen certeza de la causa y las circunstancias de su paradero. En ese tipo de circunstancias, la Corte ha indicado que: […] la ausencia de una </w:t>
      </w:r>
      <w:r w:rsidR="0010443A" w:rsidRPr="006E763F">
        <w:rPr>
          <w:rFonts w:ascii="Cambria" w:hAnsi="Cambria"/>
          <w:sz w:val="20"/>
          <w:szCs w:val="20"/>
          <w:lang w:val="es-ES"/>
        </w:rPr>
        <w:t>investigación</w:t>
      </w:r>
      <w:r w:rsidRPr="006E763F">
        <w:rPr>
          <w:rFonts w:ascii="Cambria" w:hAnsi="Cambria"/>
          <w:sz w:val="20"/>
          <w:szCs w:val="20"/>
          <w:lang w:val="es-ES"/>
        </w:rPr>
        <w:t xml:space="preserve"> completa y efectiva sobre los hechos constituye una fuente de sufrimiento y angustia adicional para las víctimas y sus familiares, quienes tienen el derecho de conocer la verdad de lo ocurrido. Dicho derecho a la verdad exige la determinación procesal de la más completa verdad histórica posible, lo cual incluye la determinación judicial de los patrones de actuación conjunta y de todas las personas que de diversas formas participaron en dichas violaciones y sus correspondientes responsabilidades</w:t>
      </w:r>
      <w:r w:rsidRPr="006E763F">
        <w:rPr>
          <w:rFonts w:ascii="Cambria" w:hAnsi="Cambria"/>
          <w:sz w:val="20"/>
          <w:szCs w:val="20"/>
          <w:vertAlign w:val="superscript"/>
          <w:lang w:val="es-ES"/>
        </w:rPr>
        <w:footnoteReference w:id="145"/>
      </w:r>
      <w:r w:rsidRPr="006E763F">
        <w:rPr>
          <w:rFonts w:ascii="Cambria" w:hAnsi="Cambria"/>
          <w:sz w:val="20"/>
          <w:szCs w:val="20"/>
          <w:vertAlign w:val="superscript"/>
          <w:lang w:val="es-ES"/>
        </w:rPr>
        <w:t>.</w:t>
      </w:r>
    </w:p>
    <w:p w14:paraId="6B458C5E" w14:textId="77777777" w:rsidR="00EC310A" w:rsidRPr="006E763F" w:rsidRDefault="00EC310A" w:rsidP="00E923BB">
      <w:pPr>
        <w:pStyle w:val="Body"/>
        <w:ind w:firstLine="249"/>
        <w:rPr>
          <w:lang w:val="es-ES"/>
        </w:rPr>
      </w:pPr>
    </w:p>
    <w:p w14:paraId="1D2E9953" w14:textId="7E6B4255" w:rsidR="00E923BB" w:rsidRPr="00CB5BBF" w:rsidRDefault="00271583" w:rsidP="001B27E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Cambria" w:hAnsi="Cambria" w:cs="Cambria"/>
          <w:b/>
          <w:bCs/>
          <w:color w:val="000000"/>
          <w:sz w:val="20"/>
          <w:szCs w:val="20"/>
          <w:u w:color="000000"/>
          <w:lang w:val="es-ES" w:eastAsia="es-CL"/>
        </w:rPr>
      </w:pPr>
      <w:r w:rsidRPr="00CB5BBF">
        <w:rPr>
          <w:rFonts w:ascii="Cambria" w:hAnsi="Cambria"/>
          <w:sz w:val="20"/>
          <w:szCs w:val="20"/>
          <w:lang w:val="es-ES"/>
        </w:rPr>
        <w:t>L</w:t>
      </w:r>
      <w:r w:rsidR="009E7E98" w:rsidRPr="00CB5BBF">
        <w:rPr>
          <w:rFonts w:ascii="Cambria" w:hAnsi="Cambria"/>
          <w:sz w:val="20"/>
          <w:szCs w:val="20"/>
          <w:lang w:val="es-ES"/>
        </w:rPr>
        <w:t>a Comisión considera que la</w:t>
      </w:r>
      <w:r w:rsidR="00FC333F" w:rsidRPr="00CB5BBF">
        <w:rPr>
          <w:rFonts w:ascii="Cambria" w:hAnsi="Cambria"/>
          <w:sz w:val="20"/>
          <w:szCs w:val="20"/>
          <w:lang w:val="es-ES"/>
        </w:rPr>
        <w:t xml:space="preserve"> desaparición </w:t>
      </w:r>
      <w:r w:rsidR="009E7E98" w:rsidRPr="00CB5BBF">
        <w:rPr>
          <w:rFonts w:ascii="Cambria" w:hAnsi="Cambria"/>
          <w:sz w:val="20"/>
          <w:szCs w:val="20"/>
          <w:lang w:val="es-ES"/>
        </w:rPr>
        <w:t>de su ser querido</w:t>
      </w:r>
      <w:r w:rsidR="00FC333F" w:rsidRPr="00CB5BBF">
        <w:rPr>
          <w:rFonts w:ascii="Cambria" w:hAnsi="Cambria"/>
          <w:sz w:val="20"/>
          <w:szCs w:val="20"/>
          <w:lang w:val="es-ES"/>
        </w:rPr>
        <w:t>, la incertidumbre de su destino o paradero,</w:t>
      </w:r>
      <w:r w:rsidR="009E7E98" w:rsidRPr="00CB5BBF">
        <w:rPr>
          <w:rFonts w:ascii="Cambria" w:hAnsi="Cambria"/>
          <w:sz w:val="20"/>
          <w:szCs w:val="20"/>
          <w:lang w:val="es-ES"/>
        </w:rPr>
        <w:t xml:space="preserve"> así como la ausencia de verdad y justicia, ocasionaron sufrimiento y angustia en perjuicio de los familiares de Pedro Julio Movilla Galarcio, en violación de su derecho a la integridad psíquica y moral establecido en el artículo 5.1 de la Convención Americana en relación con </w:t>
      </w:r>
      <w:r w:rsidR="00CC7516" w:rsidRPr="00CB5BBF">
        <w:rPr>
          <w:rFonts w:ascii="Cambria" w:hAnsi="Cambria"/>
          <w:sz w:val="20"/>
          <w:szCs w:val="20"/>
          <w:lang w:val="es-ES"/>
        </w:rPr>
        <w:t xml:space="preserve">el artículo 1.1 del mismo instrumento. </w:t>
      </w:r>
    </w:p>
    <w:p w14:paraId="73DCA638" w14:textId="77777777" w:rsidR="00CB5BBF" w:rsidRPr="00CB5BBF" w:rsidRDefault="00CB5BBF" w:rsidP="00CB5BB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b/>
          <w:bCs/>
          <w:color w:val="000000"/>
          <w:sz w:val="20"/>
          <w:szCs w:val="20"/>
          <w:u w:color="000000"/>
          <w:lang w:val="es-ES" w:eastAsia="es-CL"/>
        </w:rPr>
      </w:pPr>
    </w:p>
    <w:p w14:paraId="4AFCCA58" w14:textId="5E37C933" w:rsidR="00EC310A" w:rsidRPr="00E923BB" w:rsidRDefault="009E7E98" w:rsidP="00E923BB">
      <w:pPr>
        <w:pStyle w:val="Heading1"/>
      </w:pPr>
      <w:bookmarkStart w:id="25" w:name="_Toc446164"/>
      <w:r w:rsidRPr="00E923BB">
        <w:t>CONCLUSIONES Y RECOMENDACIONES</w:t>
      </w:r>
      <w:bookmarkEnd w:id="25"/>
      <w:r w:rsidRPr="00E923BB">
        <w:t xml:space="preserve"> </w:t>
      </w:r>
    </w:p>
    <w:p w14:paraId="5EEB5D1F" w14:textId="77777777" w:rsidR="00EC310A" w:rsidRPr="006E763F" w:rsidRDefault="00EC310A" w:rsidP="00E923BB">
      <w:pPr>
        <w:pStyle w:val="Body"/>
        <w:suppressAutoHyphens/>
        <w:ind w:firstLine="249"/>
        <w:rPr>
          <w:b/>
          <w:bCs/>
          <w:lang w:val="es-ES"/>
        </w:rPr>
      </w:pPr>
    </w:p>
    <w:p w14:paraId="06604F39" w14:textId="6807B325" w:rsidR="007F1CC2" w:rsidRPr="006E763F" w:rsidRDefault="000D3296" w:rsidP="00E923B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Verdana"/>
          <w:sz w:val="20"/>
          <w:szCs w:val="20"/>
          <w:bdr w:val="none" w:sz="0" w:space="0" w:color="auto" w:frame="1"/>
          <w:lang w:val="es-ES"/>
        </w:rPr>
      </w:pPr>
      <w:r w:rsidRPr="006E763F">
        <w:rPr>
          <w:rFonts w:ascii="Cambria" w:hAnsi="Cambria"/>
          <w:sz w:val="20"/>
          <w:szCs w:val="20"/>
          <w:u w:color="548DD4"/>
          <w:lang w:val="es-ES"/>
        </w:rPr>
        <w:t>La Comisión concluye que el Estado colombiano es responsable por la violación de los derechos a</w:t>
      </w:r>
      <w:r w:rsidR="002C0E55" w:rsidRPr="006E763F">
        <w:rPr>
          <w:rFonts w:ascii="Cambria" w:hAnsi="Cambria"/>
          <w:sz w:val="20"/>
          <w:szCs w:val="20"/>
          <w:u w:color="548DD4"/>
          <w:lang w:val="es-ES"/>
        </w:rPr>
        <w:t>l reconocimiento de</w:t>
      </w:r>
      <w:r w:rsidRPr="006E763F">
        <w:rPr>
          <w:rFonts w:ascii="Cambria" w:hAnsi="Cambria"/>
          <w:sz w:val="20"/>
          <w:szCs w:val="20"/>
          <w:u w:color="548DD4"/>
          <w:lang w:val="es-ES"/>
        </w:rPr>
        <w:t xml:space="preserve"> la personalidad jurídica, a la vida, a la integridad personal, a la libertad personal, a las garantías judici</w:t>
      </w:r>
      <w:r w:rsidR="00097B36" w:rsidRPr="006E763F">
        <w:rPr>
          <w:rFonts w:ascii="Cambria" w:hAnsi="Cambria"/>
          <w:sz w:val="20"/>
          <w:szCs w:val="20"/>
          <w:u w:color="548DD4"/>
          <w:lang w:val="es-ES"/>
        </w:rPr>
        <w:t>ale</w:t>
      </w:r>
      <w:r w:rsidR="004B4638" w:rsidRPr="006E763F">
        <w:rPr>
          <w:rFonts w:ascii="Cambria" w:hAnsi="Cambria"/>
          <w:sz w:val="20"/>
          <w:szCs w:val="20"/>
          <w:u w:color="548DD4"/>
          <w:lang w:val="es-ES"/>
        </w:rPr>
        <w:t>s</w:t>
      </w:r>
      <w:r w:rsidR="009E5684" w:rsidRPr="006E763F">
        <w:rPr>
          <w:rFonts w:ascii="Cambria" w:hAnsi="Cambria"/>
          <w:sz w:val="20"/>
          <w:szCs w:val="20"/>
          <w:u w:color="548DD4"/>
          <w:lang w:val="es-ES"/>
        </w:rPr>
        <w:t>, a la libertad de asociación y</w:t>
      </w:r>
      <w:r w:rsidR="004B4638" w:rsidRPr="006E763F">
        <w:rPr>
          <w:rFonts w:ascii="Cambria" w:hAnsi="Cambria"/>
          <w:sz w:val="20"/>
          <w:szCs w:val="20"/>
          <w:u w:color="548DD4"/>
          <w:lang w:val="es-ES"/>
        </w:rPr>
        <w:t xml:space="preserve"> a la protección judicial</w:t>
      </w:r>
      <w:r w:rsidR="002C0E55" w:rsidRPr="006E763F">
        <w:rPr>
          <w:rFonts w:ascii="Cambria" w:hAnsi="Cambria"/>
          <w:sz w:val="20"/>
          <w:szCs w:val="20"/>
          <w:u w:color="548DD4"/>
          <w:lang w:val="es-ES"/>
        </w:rPr>
        <w:t xml:space="preserve"> </w:t>
      </w:r>
      <w:r w:rsidRPr="006E763F">
        <w:rPr>
          <w:rFonts w:ascii="Cambria" w:hAnsi="Cambria"/>
          <w:sz w:val="20"/>
          <w:szCs w:val="20"/>
          <w:u w:color="548DD4"/>
          <w:lang w:val="es-ES"/>
        </w:rPr>
        <w:t xml:space="preserve">consagrados en los artículos </w:t>
      </w:r>
      <w:r w:rsidR="004B4638" w:rsidRPr="006E763F">
        <w:rPr>
          <w:rFonts w:ascii="Cambria" w:hAnsi="Cambria" w:cs="Verdana"/>
          <w:sz w:val="20"/>
          <w:szCs w:val="20"/>
          <w:bdr w:val="none" w:sz="0" w:space="0" w:color="auto" w:frame="1"/>
          <w:lang w:val="es-ES"/>
        </w:rPr>
        <w:t>3, 4</w:t>
      </w:r>
      <w:r w:rsidR="002C0E55" w:rsidRPr="006E763F">
        <w:rPr>
          <w:rFonts w:ascii="Cambria" w:hAnsi="Cambria" w:cs="Verdana"/>
          <w:sz w:val="20"/>
          <w:szCs w:val="20"/>
          <w:bdr w:val="none" w:sz="0" w:space="0" w:color="auto" w:frame="1"/>
          <w:lang w:val="es-ES"/>
        </w:rPr>
        <w:t>.1</w:t>
      </w:r>
      <w:r w:rsidR="004B4638" w:rsidRPr="006E763F">
        <w:rPr>
          <w:rFonts w:ascii="Cambria" w:hAnsi="Cambria" w:cs="Verdana"/>
          <w:sz w:val="20"/>
          <w:szCs w:val="20"/>
          <w:bdr w:val="none" w:sz="0" w:space="0" w:color="auto" w:frame="1"/>
          <w:lang w:val="es-ES"/>
        </w:rPr>
        <w:t>, 5</w:t>
      </w:r>
      <w:r w:rsidR="002C0E55" w:rsidRPr="006E763F">
        <w:rPr>
          <w:rFonts w:ascii="Cambria" w:hAnsi="Cambria" w:cs="Verdana"/>
          <w:sz w:val="20"/>
          <w:szCs w:val="20"/>
          <w:bdr w:val="none" w:sz="0" w:space="0" w:color="auto" w:frame="1"/>
          <w:lang w:val="es-ES"/>
        </w:rPr>
        <w:t>.1</w:t>
      </w:r>
      <w:r w:rsidR="004B4638" w:rsidRPr="006E763F">
        <w:rPr>
          <w:rFonts w:ascii="Cambria" w:hAnsi="Cambria" w:cs="Verdana"/>
          <w:sz w:val="20"/>
          <w:szCs w:val="20"/>
          <w:bdr w:val="none" w:sz="0" w:space="0" w:color="auto" w:frame="1"/>
          <w:lang w:val="es-ES"/>
        </w:rPr>
        <w:t>, 7</w:t>
      </w:r>
      <w:r w:rsidR="002C0E55" w:rsidRPr="006E763F">
        <w:rPr>
          <w:rFonts w:ascii="Cambria" w:hAnsi="Cambria" w:cs="Verdana"/>
          <w:sz w:val="20"/>
          <w:szCs w:val="20"/>
          <w:bdr w:val="none" w:sz="0" w:space="0" w:color="auto" w:frame="1"/>
          <w:lang w:val="es-ES"/>
        </w:rPr>
        <w:t>.1</w:t>
      </w:r>
      <w:r w:rsidR="004B4638" w:rsidRPr="006E763F">
        <w:rPr>
          <w:rFonts w:ascii="Cambria" w:hAnsi="Cambria" w:cs="Verdana"/>
          <w:sz w:val="20"/>
          <w:szCs w:val="20"/>
          <w:bdr w:val="none" w:sz="0" w:space="0" w:color="auto" w:frame="1"/>
          <w:lang w:val="es-ES"/>
        </w:rPr>
        <w:t>, 8</w:t>
      </w:r>
      <w:r w:rsidR="002C0E55" w:rsidRPr="006E763F">
        <w:rPr>
          <w:rFonts w:ascii="Cambria" w:hAnsi="Cambria" w:cs="Verdana"/>
          <w:sz w:val="20"/>
          <w:szCs w:val="20"/>
          <w:bdr w:val="none" w:sz="0" w:space="0" w:color="auto" w:frame="1"/>
          <w:lang w:val="es-ES"/>
        </w:rPr>
        <w:t>.1, 16 y</w:t>
      </w:r>
      <w:r w:rsidR="004B4638" w:rsidRPr="006E763F">
        <w:rPr>
          <w:rFonts w:ascii="Cambria" w:hAnsi="Cambria" w:cs="Verdana"/>
          <w:sz w:val="20"/>
          <w:szCs w:val="20"/>
          <w:bdr w:val="none" w:sz="0" w:space="0" w:color="auto" w:frame="1"/>
          <w:lang w:val="es-ES"/>
        </w:rPr>
        <w:t xml:space="preserve"> 25</w:t>
      </w:r>
      <w:r w:rsidR="002C0E55" w:rsidRPr="006E763F">
        <w:rPr>
          <w:rFonts w:ascii="Cambria" w:hAnsi="Cambria" w:cs="Verdana"/>
          <w:sz w:val="20"/>
          <w:szCs w:val="20"/>
          <w:bdr w:val="none" w:sz="0" w:space="0" w:color="auto" w:frame="1"/>
          <w:lang w:val="es-ES"/>
        </w:rPr>
        <w:t>.1</w:t>
      </w:r>
      <w:r w:rsidR="004B4638" w:rsidRPr="006E763F">
        <w:rPr>
          <w:rFonts w:ascii="Cambria" w:hAnsi="Cambria" w:cs="Verdana"/>
          <w:sz w:val="20"/>
          <w:szCs w:val="20"/>
          <w:bdr w:val="none" w:sz="0" w:space="0" w:color="auto" w:frame="1"/>
          <w:lang w:val="es-ES"/>
        </w:rPr>
        <w:t xml:space="preserve"> </w:t>
      </w:r>
      <w:r w:rsidRPr="006E763F">
        <w:rPr>
          <w:rFonts w:ascii="Cambria" w:hAnsi="Cambria" w:cs="Verdana"/>
          <w:sz w:val="20"/>
          <w:szCs w:val="20"/>
          <w:bdr w:val="none" w:sz="0" w:space="0" w:color="auto" w:frame="1"/>
          <w:lang w:val="es-ES"/>
        </w:rPr>
        <w:t xml:space="preserve">en relación con los </w:t>
      </w:r>
      <w:r w:rsidRPr="006E763F">
        <w:rPr>
          <w:rFonts w:ascii="Cambria" w:hAnsi="Cambria"/>
          <w:sz w:val="20"/>
          <w:szCs w:val="20"/>
          <w:lang w:val="es-ES"/>
        </w:rPr>
        <w:t>artículos</w:t>
      </w:r>
      <w:r w:rsidRPr="006E763F">
        <w:rPr>
          <w:rFonts w:ascii="Cambria" w:hAnsi="Cambria" w:cs="Verdana"/>
          <w:sz w:val="20"/>
          <w:szCs w:val="20"/>
          <w:bdr w:val="none" w:sz="0" w:space="0" w:color="auto" w:frame="1"/>
          <w:lang w:val="es-ES"/>
        </w:rPr>
        <w:t xml:space="preserve"> 1.1 </w:t>
      </w:r>
      <w:r w:rsidR="002C0E55" w:rsidRPr="006E763F">
        <w:rPr>
          <w:rFonts w:ascii="Cambria" w:hAnsi="Cambria" w:cs="Verdana"/>
          <w:sz w:val="20"/>
          <w:szCs w:val="20"/>
          <w:bdr w:val="none" w:sz="0" w:space="0" w:color="auto" w:frame="1"/>
          <w:lang w:val="es-ES"/>
        </w:rPr>
        <w:t xml:space="preserve">y 2 </w:t>
      </w:r>
      <w:r w:rsidRPr="006E763F">
        <w:rPr>
          <w:rFonts w:ascii="Cambria" w:hAnsi="Cambria" w:cs="Verdana"/>
          <w:sz w:val="20"/>
          <w:szCs w:val="20"/>
          <w:bdr w:val="none" w:sz="0" w:space="0" w:color="auto" w:frame="1"/>
          <w:lang w:val="es-ES"/>
        </w:rPr>
        <w:t>del mismo instrumento en perjuicio de las personas que se indican a lo largo del presente informe. Asimismo, la Comisión concluye que el Estado es responsable por la violación de</w:t>
      </w:r>
      <w:r w:rsidR="004478EF" w:rsidRPr="006E763F">
        <w:rPr>
          <w:rFonts w:ascii="Cambria" w:hAnsi="Cambria" w:cs="Verdana"/>
          <w:sz w:val="20"/>
          <w:szCs w:val="20"/>
          <w:bdr w:val="none" w:sz="0" w:space="0" w:color="auto" w:frame="1"/>
          <w:lang w:val="es-ES"/>
        </w:rPr>
        <w:t xml:space="preserve"> </w:t>
      </w:r>
      <w:r w:rsidR="007F1CC2" w:rsidRPr="006E763F">
        <w:rPr>
          <w:rFonts w:ascii="Cambria" w:hAnsi="Cambria" w:cs="Verdana"/>
          <w:sz w:val="20"/>
          <w:szCs w:val="20"/>
          <w:bdr w:val="none" w:sz="0" w:space="0" w:color="auto" w:frame="1"/>
          <w:lang w:val="es-ES"/>
        </w:rPr>
        <w:t>l</w:t>
      </w:r>
      <w:r w:rsidR="004478EF" w:rsidRPr="006E763F">
        <w:rPr>
          <w:rFonts w:ascii="Cambria" w:hAnsi="Cambria" w:cs="Verdana"/>
          <w:sz w:val="20"/>
          <w:szCs w:val="20"/>
          <w:bdr w:val="none" w:sz="0" w:space="0" w:color="auto" w:frame="1"/>
          <w:lang w:val="es-ES"/>
        </w:rPr>
        <w:t>os</w:t>
      </w:r>
      <w:r w:rsidRPr="006E763F">
        <w:rPr>
          <w:rFonts w:ascii="Cambria" w:hAnsi="Cambria" w:cs="Verdana"/>
          <w:sz w:val="20"/>
          <w:szCs w:val="20"/>
          <w:bdr w:val="none" w:sz="0" w:space="0" w:color="auto" w:frame="1"/>
          <w:lang w:val="es-ES"/>
        </w:rPr>
        <w:t xml:space="preserve"> artículo</w:t>
      </w:r>
      <w:r w:rsidR="004478EF" w:rsidRPr="006E763F">
        <w:rPr>
          <w:rFonts w:ascii="Cambria" w:hAnsi="Cambria" w:cs="Verdana"/>
          <w:sz w:val="20"/>
          <w:szCs w:val="20"/>
          <w:bdr w:val="none" w:sz="0" w:space="0" w:color="auto" w:frame="1"/>
          <w:lang w:val="es-ES"/>
        </w:rPr>
        <w:t>s</w:t>
      </w:r>
      <w:r w:rsidR="007F1CC2" w:rsidRPr="006E763F">
        <w:rPr>
          <w:rFonts w:ascii="Cambria" w:hAnsi="Cambria" w:cs="Verdana"/>
          <w:sz w:val="20"/>
          <w:szCs w:val="20"/>
          <w:bdr w:val="none" w:sz="0" w:space="0" w:color="auto" w:frame="1"/>
          <w:lang w:val="es-ES"/>
        </w:rPr>
        <w:t xml:space="preserve"> I.</w:t>
      </w:r>
      <w:r w:rsidR="004478EF" w:rsidRPr="006E763F">
        <w:rPr>
          <w:rFonts w:ascii="Cambria" w:hAnsi="Cambria" w:cs="Verdana"/>
          <w:sz w:val="20"/>
          <w:szCs w:val="20"/>
          <w:bdr w:val="none" w:sz="0" w:space="0" w:color="auto" w:frame="1"/>
          <w:lang w:val="es-ES"/>
        </w:rPr>
        <w:t>a) y b)</w:t>
      </w:r>
      <w:r w:rsidRPr="006E763F">
        <w:rPr>
          <w:rFonts w:ascii="Cambria" w:hAnsi="Cambria" w:cs="Verdana"/>
          <w:sz w:val="20"/>
          <w:szCs w:val="20"/>
          <w:bdr w:val="none" w:sz="0" w:space="0" w:color="auto" w:frame="1"/>
          <w:lang w:val="es-ES"/>
        </w:rPr>
        <w:t xml:space="preserve"> de la Convención Interamericana sobre De</w:t>
      </w:r>
      <w:r w:rsidR="007F1CC2" w:rsidRPr="006E763F">
        <w:rPr>
          <w:rFonts w:ascii="Cambria" w:hAnsi="Cambria" w:cs="Verdana"/>
          <w:sz w:val="20"/>
          <w:szCs w:val="20"/>
          <w:bdr w:val="none" w:sz="0" w:space="0" w:color="auto" w:frame="1"/>
          <w:lang w:val="es-ES"/>
        </w:rPr>
        <w:t>saparición Forzada de Personas.</w:t>
      </w:r>
    </w:p>
    <w:p w14:paraId="37CBF2D5" w14:textId="77777777" w:rsidR="007F1CC2" w:rsidRPr="006E763F" w:rsidRDefault="007F1CC2" w:rsidP="00E923BB">
      <w:pPr>
        <w:pStyle w:val="Body"/>
        <w:ind w:left="249" w:firstLine="0"/>
        <w:rPr>
          <w:rFonts w:cs="Verdana"/>
          <w:bdr w:val="none" w:sz="0" w:space="0" w:color="auto" w:frame="1"/>
          <w:lang w:val="es-ES"/>
        </w:rPr>
      </w:pPr>
    </w:p>
    <w:p w14:paraId="07E18DFC" w14:textId="77777777" w:rsidR="00EC310A" w:rsidRPr="006E763F" w:rsidRDefault="009E7E98" w:rsidP="00E923BB">
      <w:pPr>
        <w:pStyle w:val="Body"/>
        <w:ind w:firstLine="249"/>
        <w:rPr>
          <w:b/>
          <w:bCs/>
          <w:lang w:val="es-ES"/>
        </w:rPr>
      </w:pPr>
      <w:r w:rsidRPr="006E763F">
        <w:rPr>
          <w:b/>
          <w:bCs/>
          <w:lang w:val="es-ES"/>
        </w:rPr>
        <w:tab/>
        <w:t xml:space="preserve">LA COMISIÓN INTERAMERICANA DE DERECHOS HUMANOS, RECOMIENDA AL ESTADO DE </w:t>
      </w:r>
      <w:r w:rsidR="007F1CC2" w:rsidRPr="006E763F">
        <w:rPr>
          <w:b/>
          <w:bCs/>
          <w:color w:val="auto"/>
          <w:u w:color="FF0000"/>
          <w:lang w:val="es-ES"/>
        </w:rPr>
        <w:t>COLOMBIA</w:t>
      </w:r>
      <w:r w:rsidRPr="006E763F">
        <w:rPr>
          <w:b/>
          <w:bCs/>
          <w:lang w:val="es-ES"/>
        </w:rPr>
        <w:t>,</w:t>
      </w:r>
    </w:p>
    <w:p w14:paraId="7310A12F" w14:textId="77777777" w:rsidR="00EC310A" w:rsidRPr="006E763F" w:rsidRDefault="00EC310A" w:rsidP="00E923BB">
      <w:pPr>
        <w:pStyle w:val="Body"/>
        <w:ind w:firstLine="567"/>
        <w:rPr>
          <w:b/>
          <w:bCs/>
          <w:lang w:val="es-ES"/>
        </w:rPr>
      </w:pPr>
    </w:p>
    <w:p w14:paraId="60048175" w14:textId="77777777" w:rsidR="00EC310A" w:rsidRPr="006E763F" w:rsidRDefault="009E7E98" w:rsidP="00685D78">
      <w:pPr>
        <w:pStyle w:val="ListParagraph"/>
        <w:numPr>
          <w:ilvl w:val="0"/>
          <w:numId w:val="19"/>
        </w:numPr>
        <w:tabs>
          <w:tab w:val="clear" w:pos="806"/>
        </w:tabs>
        <w:ind w:left="0" w:firstLine="720"/>
        <w:rPr>
          <w:sz w:val="20"/>
          <w:szCs w:val="20"/>
          <w:lang w:val="es-ES"/>
        </w:rPr>
      </w:pPr>
      <w:r w:rsidRPr="006E763F">
        <w:rPr>
          <w:sz w:val="20"/>
          <w:szCs w:val="20"/>
          <w:lang w:val="es-ES"/>
        </w:rPr>
        <w:t xml:space="preserve">Reparar integralmente las violaciones de derechos humanos declaradas en el presente informe tanto en el aspecto material como inmaterial. El Estado deberá adoptar las medidas de compensación económica y satisfacción. </w:t>
      </w:r>
    </w:p>
    <w:p w14:paraId="27E7493C" w14:textId="77777777" w:rsidR="00EC310A" w:rsidRPr="006E763F" w:rsidRDefault="00EC310A" w:rsidP="00E923BB">
      <w:pPr>
        <w:pStyle w:val="ListParagraph"/>
        <w:ind w:left="0" w:firstLine="720"/>
        <w:rPr>
          <w:sz w:val="20"/>
          <w:szCs w:val="20"/>
          <w:lang w:val="es-ES"/>
        </w:rPr>
      </w:pPr>
    </w:p>
    <w:p w14:paraId="6EF15391" w14:textId="77777777" w:rsidR="00EC310A" w:rsidRPr="006E763F" w:rsidRDefault="009E7E98" w:rsidP="00685D78">
      <w:pPr>
        <w:pStyle w:val="ListParagraph"/>
        <w:numPr>
          <w:ilvl w:val="0"/>
          <w:numId w:val="19"/>
        </w:numPr>
        <w:tabs>
          <w:tab w:val="clear" w:pos="806"/>
        </w:tabs>
        <w:ind w:left="0" w:firstLine="720"/>
        <w:rPr>
          <w:sz w:val="20"/>
          <w:szCs w:val="20"/>
          <w:lang w:val="es-ES"/>
        </w:rPr>
      </w:pPr>
      <w:r w:rsidRPr="006E763F">
        <w:rPr>
          <w:sz w:val="20"/>
          <w:szCs w:val="20"/>
          <w:lang w:val="es-ES"/>
        </w:rPr>
        <w:t>Disponer las medidas de atención en salud física y mental necesarias para la rehabilitación de los familiares de Pedro Julio Movilla Galarcio, de ser su voluntad y de manera concertada.</w:t>
      </w:r>
    </w:p>
    <w:p w14:paraId="3B1FDA89" w14:textId="77777777" w:rsidR="00EC310A" w:rsidRDefault="00EC310A" w:rsidP="00E923BB">
      <w:pPr>
        <w:pStyle w:val="ListParagraph"/>
        <w:ind w:left="0" w:firstLine="720"/>
        <w:rPr>
          <w:sz w:val="20"/>
          <w:szCs w:val="20"/>
          <w:lang w:val="es-ES"/>
        </w:rPr>
      </w:pPr>
    </w:p>
    <w:p w14:paraId="12B40D00" w14:textId="77777777" w:rsidR="009F7596" w:rsidRDefault="009F7596" w:rsidP="00E923BB">
      <w:pPr>
        <w:pStyle w:val="ListParagraph"/>
        <w:ind w:left="0" w:firstLine="720"/>
        <w:rPr>
          <w:sz w:val="20"/>
          <w:szCs w:val="20"/>
          <w:lang w:val="es-ES"/>
        </w:rPr>
      </w:pPr>
    </w:p>
    <w:p w14:paraId="20638401" w14:textId="77777777" w:rsidR="009F7596" w:rsidRPr="006E763F" w:rsidRDefault="009F7596" w:rsidP="00E923BB">
      <w:pPr>
        <w:pStyle w:val="ListParagraph"/>
        <w:ind w:left="0" w:firstLine="720"/>
        <w:rPr>
          <w:sz w:val="20"/>
          <w:szCs w:val="20"/>
          <w:lang w:val="es-ES"/>
        </w:rPr>
      </w:pPr>
    </w:p>
    <w:p w14:paraId="500F9329" w14:textId="1C249FB6" w:rsidR="00EC310A" w:rsidRPr="006E763F" w:rsidRDefault="009E7E98" w:rsidP="00685D78">
      <w:pPr>
        <w:pStyle w:val="ListParagraph"/>
        <w:numPr>
          <w:ilvl w:val="0"/>
          <w:numId w:val="19"/>
        </w:numPr>
        <w:tabs>
          <w:tab w:val="clear" w:pos="806"/>
        </w:tabs>
        <w:ind w:left="0" w:firstLine="720"/>
        <w:rPr>
          <w:sz w:val="20"/>
          <w:szCs w:val="20"/>
          <w:lang w:val="es-ES"/>
        </w:rPr>
      </w:pPr>
      <w:r w:rsidRPr="006E763F">
        <w:rPr>
          <w:sz w:val="20"/>
          <w:szCs w:val="20"/>
          <w:lang w:val="es-ES"/>
        </w:rPr>
        <w:t>Investigar el destino o paradero de Pedro Julio Movilla Galarcio y, de ser el caso, adoptar las medidas necesarias para identificar y entregar a sus familiares los restos mortales</w:t>
      </w:r>
      <w:r w:rsidR="00D43193" w:rsidRPr="006E763F">
        <w:rPr>
          <w:sz w:val="20"/>
          <w:szCs w:val="20"/>
          <w:lang w:val="es-ES"/>
        </w:rPr>
        <w:t xml:space="preserve">, de ser el caso. </w:t>
      </w:r>
    </w:p>
    <w:p w14:paraId="008D5A20" w14:textId="77777777" w:rsidR="00EC310A" w:rsidRPr="006E763F" w:rsidRDefault="00EC310A" w:rsidP="00E923BB">
      <w:pPr>
        <w:pStyle w:val="Body"/>
        <w:ind w:firstLine="720"/>
        <w:rPr>
          <w:lang w:val="es-ES"/>
        </w:rPr>
      </w:pPr>
    </w:p>
    <w:p w14:paraId="49C72304" w14:textId="6C337AB3" w:rsidR="00EC310A" w:rsidRPr="006E763F" w:rsidRDefault="007F1CC2" w:rsidP="00685D78">
      <w:pPr>
        <w:pStyle w:val="ListParagraph"/>
        <w:numPr>
          <w:ilvl w:val="0"/>
          <w:numId w:val="19"/>
        </w:numPr>
        <w:tabs>
          <w:tab w:val="clear" w:pos="806"/>
        </w:tabs>
        <w:ind w:left="0" w:firstLine="720"/>
        <w:rPr>
          <w:sz w:val="20"/>
          <w:szCs w:val="20"/>
          <w:lang w:val="es-ES"/>
        </w:rPr>
      </w:pPr>
      <w:r w:rsidRPr="006E763F">
        <w:rPr>
          <w:color w:val="auto"/>
          <w:sz w:val="20"/>
          <w:szCs w:val="20"/>
          <w:lang w:val="es-ES"/>
        </w:rPr>
        <w:t>Concluir</w:t>
      </w:r>
      <w:r w:rsidR="009E7E98" w:rsidRPr="006E763F">
        <w:rPr>
          <w:color w:val="auto"/>
          <w:sz w:val="20"/>
          <w:szCs w:val="20"/>
          <w:lang w:val="es-ES"/>
        </w:rPr>
        <w:t xml:space="preserve"> l</w:t>
      </w:r>
      <w:r w:rsidR="009E7E98" w:rsidRPr="006E763F">
        <w:rPr>
          <w:sz w:val="20"/>
          <w:szCs w:val="20"/>
          <w:lang w:val="es-ES"/>
        </w:rPr>
        <w:t>a investigación penal de manera diligente, efectiva y dentro de un plazo razonable con el objeto de esclarecer los hechos en forma completa, identificar todas las posibles responsabilidades e imponer las sanciones que correspondan respecto de las violaciones de derechos humanos declaradas en el presente informe.</w:t>
      </w:r>
    </w:p>
    <w:p w14:paraId="77971C6E" w14:textId="77777777" w:rsidR="00EC310A" w:rsidRPr="006E763F" w:rsidRDefault="00EC310A" w:rsidP="00E923BB">
      <w:pPr>
        <w:pStyle w:val="ListParagraph"/>
        <w:ind w:left="0" w:firstLine="720"/>
        <w:rPr>
          <w:sz w:val="20"/>
          <w:szCs w:val="20"/>
          <w:lang w:val="es-ES"/>
        </w:rPr>
      </w:pPr>
    </w:p>
    <w:p w14:paraId="7B2A944E" w14:textId="2DD6EB5A" w:rsidR="00EC310A" w:rsidRPr="006E763F" w:rsidRDefault="009E7E98" w:rsidP="00685D78">
      <w:pPr>
        <w:pStyle w:val="ListParagraph"/>
        <w:numPr>
          <w:ilvl w:val="0"/>
          <w:numId w:val="19"/>
        </w:numPr>
        <w:tabs>
          <w:tab w:val="clear" w:pos="806"/>
        </w:tabs>
        <w:ind w:left="0" w:firstLine="720"/>
        <w:rPr>
          <w:sz w:val="20"/>
          <w:szCs w:val="20"/>
          <w:lang w:val="es-ES"/>
        </w:rPr>
      </w:pPr>
      <w:r w:rsidRPr="006E763F">
        <w:rPr>
          <w:sz w:val="20"/>
          <w:szCs w:val="20"/>
          <w:lang w:val="es-ES"/>
        </w:rPr>
        <w:t>Disponer mecanismos de no repetición que incluyan:</w:t>
      </w:r>
      <w:r w:rsidR="006F20F0" w:rsidRPr="006E763F">
        <w:rPr>
          <w:sz w:val="20"/>
          <w:szCs w:val="20"/>
          <w:lang w:val="es-ES"/>
        </w:rPr>
        <w:t xml:space="preserve"> </w:t>
      </w:r>
      <w:r w:rsidR="00105DF5" w:rsidRPr="006E763F">
        <w:rPr>
          <w:sz w:val="20"/>
          <w:szCs w:val="20"/>
          <w:lang w:val="es-ES"/>
        </w:rPr>
        <w:t>i) la derogación de los reglamentos y manuales militares</w:t>
      </w:r>
      <w:r w:rsidR="006E763F">
        <w:rPr>
          <w:sz w:val="20"/>
          <w:szCs w:val="20"/>
          <w:lang w:val="es-ES"/>
        </w:rPr>
        <w:t xml:space="preserve"> indicados en el presente informe</w:t>
      </w:r>
      <w:r w:rsidR="001161A6">
        <w:rPr>
          <w:sz w:val="20"/>
          <w:szCs w:val="20"/>
          <w:lang w:val="es-ES"/>
        </w:rPr>
        <w:t xml:space="preserve"> y otros que puedan identificarse</w:t>
      </w:r>
      <w:r w:rsidR="00105DF5" w:rsidRPr="006E763F">
        <w:rPr>
          <w:sz w:val="20"/>
          <w:szCs w:val="20"/>
          <w:lang w:val="es-ES"/>
        </w:rPr>
        <w:t xml:space="preserve">, ii) </w:t>
      </w:r>
      <w:r w:rsidR="00F76ED6" w:rsidRPr="006E763F">
        <w:rPr>
          <w:sz w:val="20"/>
          <w:szCs w:val="20"/>
          <w:lang w:val="es-ES"/>
        </w:rPr>
        <w:t xml:space="preserve">la instrucción explícita del alto mando militar y policial a todas las instancias jerárquicas de la imposibilidad de la aplicación de los reglamentos y manuales militares </w:t>
      </w:r>
      <w:r w:rsidR="001161A6">
        <w:rPr>
          <w:sz w:val="20"/>
          <w:szCs w:val="20"/>
          <w:lang w:val="es-ES"/>
        </w:rPr>
        <w:t xml:space="preserve">indicados </w:t>
      </w:r>
      <w:r w:rsidR="007B4E89" w:rsidRPr="006E763F">
        <w:rPr>
          <w:sz w:val="20"/>
          <w:szCs w:val="20"/>
          <w:lang w:val="es-ES"/>
        </w:rPr>
        <w:t>por su incompatibilidad con la Convención Americana</w:t>
      </w:r>
      <w:r w:rsidR="00F76ED6" w:rsidRPr="006E763F">
        <w:rPr>
          <w:sz w:val="20"/>
          <w:szCs w:val="20"/>
          <w:lang w:val="es-ES"/>
        </w:rPr>
        <w:t xml:space="preserve">; y iii) </w:t>
      </w:r>
      <w:r w:rsidR="00105DF5" w:rsidRPr="006E763F">
        <w:rPr>
          <w:sz w:val="20"/>
          <w:szCs w:val="20"/>
          <w:lang w:val="es-ES"/>
        </w:rPr>
        <w:t xml:space="preserve">asegurar la discontinuidad </w:t>
      </w:r>
      <w:r w:rsidR="00F76ED6" w:rsidRPr="006E763F">
        <w:rPr>
          <w:sz w:val="20"/>
          <w:szCs w:val="20"/>
          <w:lang w:val="es-ES"/>
        </w:rPr>
        <w:t xml:space="preserve">de las prácticas instaladas por el </w:t>
      </w:r>
      <w:r w:rsidR="00105DF5" w:rsidRPr="006E763F">
        <w:rPr>
          <w:sz w:val="20"/>
          <w:szCs w:val="20"/>
          <w:lang w:val="es-ES"/>
        </w:rPr>
        <w:t xml:space="preserve">uso de dichos reglamentos y manuales </w:t>
      </w:r>
      <w:r w:rsidR="007B4E89" w:rsidRPr="006E763F">
        <w:rPr>
          <w:sz w:val="20"/>
          <w:szCs w:val="20"/>
          <w:lang w:val="es-ES"/>
        </w:rPr>
        <w:t xml:space="preserve">y la noción de “enemigo interno” </w:t>
      </w:r>
      <w:r w:rsidR="00105DF5" w:rsidRPr="006E763F">
        <w:rPr>
          <w:sz w:val="20"/>
          <w:szCs w:val="20"/>
          <w:lang w:val="es-ES"/>
        </w:rPr>
        <w:t>a trav</w:t>
      </w:r>
      <w:r w:rsidR="00F76ED6" w:rsidRPr="006E763F">
        <w:rPr>
          <w:sz w:val="20"/>
          <w:szCs w:val="20"/>
          <w:lang w:val="es-ES"/>
        </w:rPr>
        <w:t>és de</w:t>
      </w:r>
      <w:r w:rsidR="007B4E89" w:rsidRPr="006E763F">
        <w:rPr>
          <w:sz w:val="20"/>
          <w:szCs w:val="20"/>
          <w:lang w:val="es-ES"/>
        </w:rPr>
        <w:t xml:space="preserve"> la incorporación del presente caso en las </w:t>
      </w:r>
      <w:r w:rsidR="00F76ED6" w:rsidRPr="006E763F">
        <w:rPr>
          <w:sz w:val="20"/>
          <w:szCs w:val="20"/>
          <w:lang w:val="es-ES"/>
        </w:rPr>
        <w:t xml:space="preserve">capacitaciones </w:t>
      </w:r>
      <w:r w:rsidR="007B4E89" w:rsidRPr="006E763F">
        <w:rPr>
          <w:sz w:val="20"/>
          <w:szCs w:val="20"/>
          <w:lang w:val="es-ES"/>
        </w:rPr>
        <w:t xml:space="preserve">relativas a derechos humanos que se dirigen </w:t>
      </w:r>
      <w:r w:rsidR="00F76ED6" w:rsidRPr="006E763F">
        <w:rPr>
          <w:sz w:val="20"/>
          <w:szCs w:val="20"/>
          <w:lang w:val="es-ES"/>
        </w:rPr>
        <w:t>al personal policial, militar y órganos de inteligencia.</w:t>
      </w:r>
    </w:p>
    <w:p w14:paraId="1D389E56" w14:textId="77777777" w:rsidR="009F7596" w:rsidRDefault="009F7596" w:rsidP="009F7596">
      <w:pPr>
        <w:suppressAutoHyphens/>
        <w:jc w:val="both"/>
        <w:rPr>
          <w:rFonts w:ascii="Cambria" w:hAnsi="Cambria"/>
          <w:sz w:val="20"/>
          <w:szCs w:val="20"/>
          <w:lang w:val="es-AR"/>
        </w:rPr>
      </w:pPr>
    </w:p>
    <w:p w14:paraId="201F0590" w14:textId="77777777" w:rsidR="009F7596" w:rsidRDefault="009F7596" w:rsidP="009F7596">
      <w:pPr>
        <w:ind w:firstLine="720"/>
        <w:jc w:val="both"/>
        <w:rPr>
          <w:rFonts w:ascii="Cambria" w:hAnsi="Cambria"/>
          <w:spacing w:val="-2"/>
          <w:sz w:val="20"/>
          <w:szCs w:val="20"/>
          <w:lang w:val="es-CL"/>
        </w:rPr>
      </w:pPr>
      <w:r>
        <w:rPr>
          <w:rFonts w:ascii="Cambria" w:hAnsi="Cambria"/>
          <w:spacing w:val="-2"/>
          <w:sz w:val="20"/>
          <w:szCs w:val="20"/>
          <w:lang w:val="es-CL"/>
        </w:rPr>
        <w:t>Aprobado por la Comisión Interamericana de Derechos Humanos en la ciudad de Washington, D.C. a los 7 días del mes de diciembre de 2018.  (Firmado): Margarette May Macaulay, Presidenta; Esmeralda Arosemena de Troitiño, Primera Vicepresidenta; Francisco José Eguiguren Praeli, Joel Hernández García, Antonia Urrejola y Flavia Piovesan, Miembros de la Comisión.</w:t>
      </w:r>
      <w:r>
        <w:rPr>
          <w:rFonts w:ascii="Cambria" w:hAnsi="Cambria"/>
          <w:sz w:val="20"/>
          <w:szCs w:val="20"/>
          <w:lang w:val="es-CL"/>
        </w:rPr>
        <w:t xml:space="preserve"> </w:t>
      </w:r>
    </w:p>
    <w:p w14:paraId="61252141" w14:textId="77777777" w:rsidR="009F7596" w:rsidRDefault="009F7596" w:rsidP="009F7596">
      <w:pPr>
        <w:ind w:firstLine="720"/>
        <w:jc w:val="both"/>
        <w:rPr>
          <w:rFonts w:ascii="Cambria" w:hAnsi="Cambria"/>
          <w:spacing w:val="-2"/>
          <w:sz w:val="20"/>
          <w:szCs w:val="20"/>
          <w:lang w:val="es-CL"/>
        </w:rPr>
      </w:pPr>
    </w:p>
    <w:p w14:paraId="6879A070" w14:textId="42B74062" w:rsidR="009F7596" w:rsidRDefault="009F7596" w:rsidP="009F7596">
      <w:pPr>
        <w:ind w:firstLine="720"/>
        <w:jc w:val="both"/>
        <w:rPr>
          <w:rFonts w:ascii="Cambria" w:hAnsi="Cambria"/>
          <w:sz w:val="20"/>
          <w:szCs w:val="20"/>
          <w:lang w:val="es-CL"/>
        </w:rPr>
      </w:pPr>
      <w:r>
        <w:rPr>
          <w:rFonts w:ascii="Cambria" w:hAnsi="Cambria"/>
          <w:sz w:val="20"/>
          <w:szCs w:val="20"/>
          <w:lang w:val="es-CL"/>
        </w:rPr>
        <w:t xml:space="preserve">El que suscribe, </w:t>
      </w:r>
      <w:r w:rsidR="00F72634">
        <w:rPr>
          <w:rFonts w:ascii="Cambria" w:hAnsi="Cambria" w:cs="Arial"/>
          <w:sz w:val="20"/>
          <w:szCs w:val="20"/>
          <w:lang w:val="es-PE"/>
        </w:rPr>
        <w:t>Mario López-Garelli</w:t>
      </w:r>
      <w:r>
        <w:rPr>
          <w:rFonts w:ascii="Cambria" w:hAnsi="Cambria"/>
          <w:sz w:val="20"/>
          <w:szCs w:val="20"/>
          <w:lang w:val="es-CL"/>
        </w:rPr>
        <w:t xml:space="preserve">, </w:t>
      </w:r>
      <w:r w:rsidR="00F72634">
        <w:rPr>
          <w:rFonts w:ascii="Cambria" w:hAnsi="Cambria"/>
          <w:sz w:val="20"/>
          <w:szCs w:val="20"/>
          <w:lang w:val="es-CL"/>
        </w:rPr>
        <w:t xml:space="preserve">por autorización del </w:t>
      </w:r>
      <w:r>
        <w:rPr>
          <w:rFonts w:ascii="Cambria" w:hAnsi="Cambria"/>
          <w:sz w:val="20"/>
          <w:szCs w:val="20"/>
          <w:lang w:val="es-CL"/>
        </w:rPr>
        <w:t>Secretario Ejecutivo, de conformidad con el artículo 49 del Reglamento de la Comisión, certifica que es copia fiel del original depositado en los archivos de la Secretaría de la CIDH.</w:t>
      </w:r>
    </w:p>
    <w:p w14:paraId="1D0CE31F" w14:textId="77777777" w:rsidR="009F7596" w:rsidRPr="0066757A" w:rsidRDefault="009F7596" w:rsidP="009F7596">
      <w:pPr>
        <w:rPr>
          <w:rFonts w:ascii="Cambria" w:hAnsi="Cambria"/>
          <w:sz w:val="20"/>
          <w:szCs w:val="20"/>
          <w:lang w:val="es-PE"/>
        </w:rPr>
      </w:pPr>
    </w:p>
    <w:p w14:paraId="1271EE76" w14:textId="77777777" w:rsidR="009F7596" w:rsidRPr="0066757A" w:rsidRDefault="009F7596" w:rsidP="009F7596">
      <w:pPr>
        <w:rPr>
          <w:rFonts w:ascii="Cambria" w:hAnsi="Cambria"/>
          <w:sz w:val="20"/>
          <w:szCs w:val="20"/>
          <w:lang w:val="es-PE"/>
        </w:rPr>
      </w:pPr>
    </w:p>
    <w:p w14:paraId="37D5E24F" w14:textId="77777777" w:rsidR="009F7596" w:rsidRPr="0066757A" w:rsidRDefault="009F7596" w:rsidP="009F7596">
      <w:pPr>
        <w:rPr>
          <w:rFonts w:ascii="Cambria" w:hAnsi="Cambria"/>
          <w:sz w:val="20"/>
          <w:szCs w:val="20"/>
          <w:lang w:val="es-PE"/>
        </w:rPr>
      </w:pPr>
    </w:p>
    <w:p w14:paraId="2357C871" w14:textId="77777777" w:rsidR="009F7596" w:rsidRPr="0066757A" w:rsidRDefault="009F7596" w:rsidP="009F7596">
      <w:pPr>
        <w:rPr>
          <w:rFonts w:ascii="Cambria" w:hAnsi="Cambria"/>
          <w:sz w:val="20"/>
          <w:szCs w:val="20"/>
          <w:lang w:val="es-PE"/>
        </w:rPr>
      </w:pPr>
    </w:p>
    <w:p w14:paraId="79B1656C" w14:textId="77777777" w:rsidR="009F7596" w:rsidRPr="0066757A" w:rsidRDefault="009F7596" w:rsidP="009F7596">
      <w:pPr>
        <w:rPr>
          <w:rFonts w:ascii="Cambria" w:hAnsi="Cambria"/>
          <w:sz w:val="20"/>
          <w:szCs w:val="20"/>
          <w:lang w:val="es-PE"/>
        </w:rPr>
      </w:pPr>
    </w:p>
    <w:p w14:paraId="258CE04A" w14:textId="77777777" w:rsidR="009F7596" w:rsidRPr="009F7596" w:rsidRDefault="009F7596" w:rsidP="009F7596">
      <w:pPr>
        <w:ind w:left="2160" w:firstLine="720"/>
        <w:jc w:val="center"/>
        <w:rPr>
          <w:rFonts w:ascii="Cambria" w:hAnsi="Cambria"/>
          <w:sz w:val="20"/>
          <w:szCs w:val="20"/>
          <w:lang w:val="es-PE"/>
        </w:rPr>
      </w:pPr>
      <w:r w:rsidRPr="009F7596">
        <w:rPr>
          <w:rFonts w:ascii="Cambria" w:hAnsi="Cambria" w:cs="Arial"/>
          <w:sz w:val="20"/>
          <w:szCs w:val="20"/>
          <w:lang w:val="es-PE"/>
        </w:rPr>
        <w:t>Mario López-Garelli</w:t>
      </w:r>
    </w:p>
    <w:p w14:paraId="28853AB2" w14:textId="77777777" w:rsidR="009F7596" w:rsidRPr="009F7596" w:rsidRDefault="009F7596" w:rsidP="009F7596">
      <w:pPr>
        <w:ind w:left="2160" w:firstLine="720"/>
        <w:jc w:val="center"/>
        <w:rPr>
          <w:rFonts w:ascii="Cambria" w:hAnsi="Cambria"/>
          <w:sz w:val="20"/>
          <w:szCs w:val="20"/>
          <w:lang w:val="es-PE"/>
        </w:rPr>
      </w:pPr>
      <w:r w:rsidRPr="009F7596">
        <w:rPr>
          <w:rFonts w:ascii="Cambria" w:hAnsi="Cambria"/>
          <w:sz w:val="20"/>
          <w:szCs w:val="20"/>
          <w:lang w:val="es-PE"/>
        </w:rPr>
        <w:t>Por autorización del Secretario Ejecutivo</w:t>
      </w:r>
    </w:p>
    <w:p w14:paraId="1A2980E7" w14:textId="77777777" w:rsidR="009F7596" w:rsidRPr="009F7596" w:rsidRDefault="009F7596" w:rsidP="009F7596">
      <w:pPr>
        <w:jc w:val="both"/>
        <w:rPr>
          <w:rFonts w:ascii="Cambria" w:hAnsi="Cambria"/>
          <w:sz w:val="20"/>
          <w:szCs w:val="20"/>
          <w:lang w:val="es-PE"/>
        </w:rPr>
      </w:pPr>
    </w:p>
    <w:sectPr w:rsidR="009F7596" w:rsidRPr="009F7596" w:rsidSect="001A3AB4">
      <w:type w:val="oddPage"/>
      <w:pgSz w:w="12240" w:h="15840"/>
      <w:pgMar w:top="1440" w:right="1183"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E18D8" w14:textId="77777777" w:rsidR="00B934ED" w:rsidRDefault="00B934ED">
      <w:r>
        <w:separator/>
      </w:r>
    </w:p>
  </w:endnote>
  <w:endnote w:type="continuationSeparator" w:id="0">
    <w:p w14:paraId="2AD60719" w14:textId="77777777" w:rsidR="00B934ED" w:rsidRDefault="00B9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ionPro-Regular">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97169" w14:textId="77777777" w:rsidR="00B934ED" w:rsidRDefault="00B934ED">
    <w:pPr>
      <w:pStyle w:val="Footer"/>
      <w:jc w:val="center"/>
    </w:pPr>
    <w:r>
      <w:rPr>
        <w:sz w:val="16"/>
        <w:szCs w:val="16"/>
      </w:rPr>
      <w:fldChar w:fldCharType="begin"/>
    </w:r>
    <w:r>
      <w:rPr>
        <w:sz w:val="16"/>
        <w:szCs w:val="16"/>
      </w:rPr>
      <w:instrText xml:space="preserve"> PAGE </w:instrText>
    </w:r>
    <w:r>
      <w:rPr>
        <w:sz w:val="16"/>
        <w:szCs w:val="16"/>
      </w:rPr>
      <w:fldChar w:fldCharType="separate"/>
    </w:r>
    <w:r w:rsidR="00F72634">
      <w:rPr>
        <w:noProof/>
        <w:sz w:val="16"/>
        <w:szCs w:val="16"/>
      </w:rPr>
      <w:t>24</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4183D" w14:textId="77777777" w:rsidR="00B934ED" w:rsidRDefault="00B934ED">
      <w:r>
        <w:separator/>
      </w:r>
    </w:p>
  </w:footnote>
  <w:footnote w:type="continuationSeparator" w:id="0">
    <w:p w14:paraId="138310D7" w14:textId="77777777" w:rsidR="00B934ED" w:rsidRDefault="00B934ED">
      <w:r>
        <w:continuationSeparator/>
      </w:r>
    </w:p>
  </w:footnote>
  <w:footnote w:type="continuationNotice" w:id="1">
    <w:p w14:paraId="29CBF7C7" w14:textId="77777777" w:rsidR="00B934ED" w:rsidRDefault="00B934ED"/>
  </w:footnote>
  <w:footnote w:id="2">
    <w:p w14:paraId="13A00349" w14:textId="515BA2FE"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CIDH. Informe de Admisibilidad No. 48/14. Caso 11.641. Pedro Julio Movilla Galarcio. Colombia. 21 de julio de 2014. Se declaró la admisibilidad de los artículo 3, 4, 5, 7, 8, 16, y 25 de la Convención Americana y el I.b) de la CIDF.</w:t>
      </w:r>
    </w:p>
  </w:footnote>
  <w:footnote w:id="3">
    <w:p w14:paraId="5CED7396" w14:textId="427F631C" w:rsidR="00B934ED" w:rsidRPr="006E763F" w:rsidRDefault="00B934ED" w:rsidP="0080128A">
      <w:pPr>
        <w:tabs>
          <w:tab w:val="left" w:pos="9356"/>
        </w:tabs>
        <w:jc w:val="both"/>
        <w:rPr>
          <w:rFonts w:ascii="Cambria" w:hAnsi="Cambria"/>
          <w:sz w:val="16"/>
          <w:szCs w:val="16"/>
          <w:lang w:val="es-CO"/>
        </w:rPr>
      </w:pPr>
      <w:r w:rsidRPr="006E763F">
        <w:rPr>
          <w:rStyle w:val="FootnoteReference"/>
          <w:rFonts w:ascii="Cambria" w:hAnsi="Cambria"/>
          <w:sz w:val="16"/>
          <w:szCs w:val="16"/>
        </w:rPr>
        <w:footnoteRef/>
      </w:r>
      <w:r w:rsidRPr="006E763F">
        <w:rPr>
          <w:rFonts w:ascii="Cambria" w:hAnsi="Cambria"/>
          <w:sz w:val="16"/>
          <w:szCs w:val="16"/>
          <w:lang w:val="es-CO"/>
        </w:rPr>
        <w:t xml:space="preserve"> </w:t>
      </w:r>
      <w:hyperlink r:id="rId1" w:history="1">
        <w:r w:rsidRPr="006E763F">
          <w:rPr>
            <w:rStyle w:val="Hyperlink"/>
            <w:rFonts w:ascii="Cambria" w:hAnsi="Cambria"/>
            <w:sz w:val="16"/>
            <w:szCs w:val="16"/>
            <w:lang w:val="es-CO"/>
          </w:rPr>
          <w:t>Huellas y Rostros de la Desaparición Forzada (1970-2010). Tomo II. Centro Nacional de Memoria Histórica. Caso 4.  Víctor Manuel Isaza Uribe: Desaparición Forzada y Represión Antisindical.</w:t>
        </w:r>
      </w:hyperlink>
      <w:r w:rsidRPr="006E763F">
        <w:rPr>
          <w:rFonts w:ascii="Cambria" w:hAnsi="Cambria"/>
          <w:sz w:val="16"/>
          <w:szCs w:val="16"/>
          <w:lang w:val="es-CO"/>
        </w:rPr>
        <w:t xml:space="preserve"> </w:t>
      </w:r>
    </w:p>
  </w:footnote>
  <w:footnote w:id="4">
    <w:p w14:paraId="1C782FDD" w14:textId="106D0C59" w:rsidR="00B934ED" w:rsidRPr="006E763F" w:rsidRDefault="00B934ED" w:rsidP="0080128A">
      <w:pPr>
        <w:pStyle w:val="FootnoteText"/>
        <w:tabs>
          <w:tab w:val="left" w:pos="9356"/>
        </w:tabs>
        <w:ind w:firstLine="0"/>
        <w:rPr>
          <w:lang w:val="es-CO"/>
        </w:rPr>
      </w:pPr>
      <w:r w:rsidRPr="006E763F">
        <w:rPr>
          <w:rStyle w:val="FootnoteReference"/>
        </w:rPr>
        <w:footnoteRef/>
      </w:r>
      <w:r w:rsidRPr="006E763F">
        <w:rPr>
          <w:lang w:val="es-CO"/>
        </w:rPr>
        <w:t xml:space="preserve"> </w:t>
      </w:r>
      <w:hyperlink r:id="rId2" w:history="1">
        <w:r w:rsidRPr="006E763F">
          <w:rPr>
            <w:rStyle w:val="Hyperlink"/>
            <w:lang w:val="es-CO"/>
          </w:rPr>
          <w:t>Huellas y Rostros de la Desaparición Forzada (1970-2010). Tomo II. Centro Nacional de Memoria Histórica. Caso 4.  Víctor Manuel Isaza Uribe: Desaparición Forzada y Represión Antisindical.</w:t>
        </w:r>
      </w:hyperlink>
      <w:r w:rsidRPr="006E763F">
        <w:rPr>
          <w:lang w:val="es-CO"/>
        </w:rPr>
        <w:t xml:space="preserve"> Este informe destaca los siguientes: a) Reglamento de combate de contraguerrillas – EJC 3-10, del Comando General de las Fuerzas Militares, Disposición No. 005 de 9 de abril de 1969; b) El Manual de Guerrillas y Contraguerrillas urbanas – EJC 3-18, del Ejército Nacional, Disposición No. 00006 de 1977; c) Las Instrucciones generales para operaciones de contraguerrillas, del Comando General del Ejército de 1979; d) El Manual ECJ-3-101, del Comando General del Ejército, de 25 de junio de 1982; y e) el Reglamento de combate de contraguerrilla – EJC-3-10, del Comando General de las Fuerzas Militares, de 1987. </w:t>
      </w:r>
    </w:p>
  </w:footnote>
  <w:footnote w:id="5">
    <w:p w14:paraId="711819A7" w14:textId="100E9F86" w:rsidR="00B934ED" w:rsidRPr="006E763F" w:rsidRDefault="00B934ED" w:rsidP="0080128A">
      <w:pPr>
        <w:tabs>
          <w:tab w:val="left" w:pos="9356"/>
        </w:tabs>
        <w:jc w:val="both"/>
        <w:rPr>
          <w:rFonts w:ascii="Cambria" w:hAnsi="Cambria"/>
          <w:sz w:val="16"/>
          <w:szCs w:val="16"/>
          <w:lang w:val="es-CO"/>
        </w:rPr>
      </w:pPr>
      <w:r w:rsidRPr="006E763F">
        <w:rPr>
          <w:rStyle w:val="FootnoteReference"/>
          <w:rFonts w:ascii="Cambria" w:hAnsi="Cambria"/>
          <w:sz w:val="16"/>
          <w:szCs w:val="16"/>
        </w:rPr>
        <w:footnoteRef/>
      </w:r>
      <w:r w:rsidRPr="006E763F">
        <w:rPr>
          <w:rFonts w:ascii="Cambria" w:hAnsi="Cambria"/>
          <w:sz w:val="16"/>
          <w:szCs w:val="16"/>
          <w:lang w:val="es-CO"/>
        </w:rPr>
        <w:t xml:space="preserve"> </w:t>
      </w:r>
      <w:hyperlink r:id="rId3" w:history="1">
        <w:r w:rsidRPr="006E763F">
          <w:rPr>
            <w:rStyle w:val="Hyperlink"/>
            <w:rFonts w:ascii="Cambria" w:hAnsi="Cambria"/>
            <w:sz w:val="16"/>
            <w:szCs w:val="16"/>
            <w:lang w:val="es-CO"/>
          </w:rPr>
          <w:t>Huellas y Rostros de la Desaparición Forzada (1970-2010). Tomo II. Centro Nacional de Memoria Histórica. Caso 4.  Víctor Manuel Isaza Uribe: Desaparición Forzada y Represión Antisindical.</w:t>
        </w:r>
      </w:hyperlink>
    </w:p>
  </w:footnote>
  <w:footnote w:id="6">
    <w:p w14:paraId="449D03D1" w14:textId="41F7362B" w:rsidR="00B934ED" w:rsidRPr="006E763F" w:rsidRDefault="00B934ED" w:rsidP="0080128A">
      <w:pPr>
        <w:pStyle w:val="FootnoteText"/>
        <w:tabs>
          <w:tab w:val="left" w:pos="9356"/>
        </w:tabs>
        <w:ind w:firstLine="0"/>
        <w:rPr>
          <w:lang w:val="es-CO"/>
        </w:rPr>
      </w:pPr>
      <w:r w:rsidRPr="006E763F">
        <w:rPr>
          <w:rStyle w:val="FootnoteReference"/>
        </w:rPr>
        <w:footnoteRef/>
      </w:r>
      <w:r>
        <w:rPr>
          <w:lang w:val="es-CO"/>
        </w:rPr>
        <w:t xml:space="preserve"> Ver: </w:t>
      </w:r>
      <w:r w:rsidRPr="006E763F">
        <w:rPr>
          <w:lang w:val="es-CO"/>
        </w:rPr>
        <w:t xml:space="preserve">Consejo de Estado. Sala de lo Contencioso Administrativo. Sección Primera. 5 de febrero de 2009. Expediente 11001-03-15-000-2008-01400-01. Actor, Javier Giraldo Moreno. Entre los manuales que se destacan por la parte peticionaria se encuentran: El Reglamento de combate de contraguerrilla- EJC 3-10, del Comando General de las Fuerzas Militares, Disposición No. 005 de 9 de abril de 1969; El Manual de Guerrillas y Contraguerrillas Urbanas -EJC 3-18, del Ejército Nacional, Disposición No. 00006 de 1977; Las Instrucciones generales para operaciones de contraguerrilla, del Comando General del Ejército de 1979; El Manual ECJ-3-101, del Comando General del Ejército, de 25 de junio de 1982; y El Reglamento de combate de contraguerrilla EJC-1-10, del Comando General de las Fuerzas Militares, de 1987. Cfr. Centro Nacional de Memoria Histórica (2013). pp. 133-136. En el mismo sentido ilustró la declaración del perito Sr. Alberto Yepes propuesto por la CIDH en la Audiencia del caso </w:t>
      </w:r>
      <w:r w:rsidRPr="006E763F">
        <w:rPr>
          <w:iCs/>
          <w:lang w:val="es-CO"/>
        </w:rPr>
        <w:t>Isaza Uribe vs Colombia</w:t>
      </w:r>
      <w:r w:rsidRPr="006E763F">
        <w:rPr>
          <w:lang w:val="es-CO"/>
        </w:rPr>
        <w:t>, de fecha 31 de enero de 2018.</w:t>
      </w:r>
    </w:p>
  </w:footnote>
  <w:footnote w:id="7">
    <w:p w14:paraId="12D94B10" w14:textId="33261D4A" w:rsidR="00B934ED" w:rsidRPr="006E763F" w:rsidRDefault="00B934ED" w:rsidP="0080128A">
      <w:pPr>
        <w:tabs>
          <w:tab w:val="left" w:pos="9356"/>
        </w:tabs>
        <w:jc w:val="both"/>
        <w:rPr>
          <w:rFonts w:ascii="Cambria" w:hAnsi="Cambria"/>
          <w:sz w:val="16"/>
          <w:szCs w:val="16"/>
          <w:lang w:val="es-CO"/>
        </w:rPr>
      </w:pPr>
      <w:r w:rsidRPr="006E763F">
        <w:rPr>
          <w:rStyle w:val="FootnoteReference"/>
          <w:rFonts w:ascii="Cambria" w:hAnsi="Cambria"/>
          <w:sz w:val="16"/>
          <w:szCs w:val="16"/>
        </w:rPr>
        <w:footnoteRef/>
      </w:r>
      <w:r w:rsidRPr="006E763F">
        <w:rPr>
          <w:rFonts w:ascii="Cambria" w:hAnsi="Cambria"/>
          <w:sz w:val="16"/>
          <w:szCs w:val="16"/>
          <w:lang w:val="es-CO"/>
        </w:rPr>
        <w:t xml:space="preserve"> </w:t>
      </w:r>
      <w:hyperlink r:id="rId4" w:history="1">
        <w:r w:rsidRPr="006E763F">
          <w:rPr>
            <w:rStyle w:val="Hyperlink"/>
            <w:rFonts w:ascii="Cambria" w:hAnsi="Cambria"/>
            <w:sz w:val="16"/>
            <w:szCs w:val="16"/>
            <w:lang w:val="es-CO"/>
          </w:rPr>
          <w:t>Huellas y Rostros de la Desaparición Forzada (1970-2010). Tomo II. Centro Nacional de Memoria Histórica. Caso 4.  Víctor Manuel Isaza Uribe: Desaparición Forzada y Represión Antisindical</w:t>
        </w:r>
      </w:hyperlink>
      <w:r w:rsidRPr="006E763F">
        <w:rPr>
          <w:rFonts w:ascii="Cambria" w:hAnsi="Cambria"/>
          <w:sz w:val="16"/>
          <w:szCs w:val="16"/>
          <w:lang w:val="es-CO"/>
        </w:rPr>
        <w:t xml:space="preserve">. Citando. Informe Conjunto del Relator Especial encargado de la cuestión de la tortura, Sr. Nigel S. Rodley, y del Relator Especial encargado de la cuestión de las ejecuciones extrajudiciales, sumarias o arbitrarias, Sr. Bacre Waly Ndiaye. E/CN.4/1995/111 de 16 de enero de 1995. </w:t>
      </w:r>
    </w:p>
  </w:footnote>
  <w:footnote w:id="8">
    <w:p w14:paraId="35216DDE" w14:textId="128D7524" w:rsidR="00B934ED" w:rsidRPr="006E763F" w:rsidRDefault="00B934ED" w:rsidP="0080128A">
      <w:pPr>
        <w:pStyle w:val="FootnoteText"/>
        <w:tabs>
          <w:tab w:val="left" w:pos="9356"/>
        </w:tabs>
        <w:ind w:firstLine="0"/>
        <w:rPr>
          <w:lang w:val="es-MX"/>
        </w:rPr>
      </w:pPr>
      <w:r w:rsidRPr="006E763F">
        <w:rPr>
          <w:rStyle w:val="FootnoteReference"/>
        </w:rPr>
        <w:footnoteRef/>
      </w:r>
      <w:r w:rsidRPr="006E763F">
        <w:rPr>
          <w:lang w:val="es-MX"/>
        </w:rPr>
        <w:t xml:space="preserve"> </w:t>
      </w:r>
      <w:r w:rsidRPr="006E763F">
        <w:rPr>
          <w:lang w:val="es-AR"/>
        </w:rPr>
        <w:t xml:space="preserve">CIDH. </w:t>
      </w:r>
      <w:hyperlink r:id="rId5" w:history="1">
        <w:r w:rsidRPr="006E763F">
          <w:rPr>
            <w:rStyle w:val="Hyperlink"/>
            <w:iCs/>
            <w:lang w:val="es-ES_tradnl"/>
          </w:rPr>
          <w:t>Segundo Informe sobre la Situación de los Derechos Humanos en Colombia.</w:t>
        </w:r>
        <w:r w:rsidRPr="006E763F">
          <w:rPr>
            <w:rStyle w:val="Hyperlink"/>
            <w:lang w:val="es-ES_tradnl"/>
          </w:rPr>
          <w:t xml:space="preserve"> OEA/Ser.L/V/II.84 Doc.39 rev., 14 de octubre de 1993, Cap. VIII.</w:t>
        </w:r>
      </w:hyperlink>
      <w:r w:rsidRPr="006E763F">
        <w:rPr>
          <w:lang w:val="es-ES_tradnl"/>
        </w:rPr>
        <w:t xml:space="preserve"> </w:t>
      </w:r>
    </w:p>
  </w:footnote>
  <w:footnote w:id="9">
    <w:p w14:paraId="5E80BB4F" w14:textId="5E79CEF8" w:rsidR="00B934ED" w:rsidRPr="006E763F" w:rsidRDefault="00B934ED" w:rsidP="0080128A">
      <w:pPr>
        <w:pStyle w:val="FootnoteText"/>
        <w:tabs>
          <w:tab w:val="left" w:pos="9356"/>
        </w:tabs>
        <w:ind w:firstLine="0"/>
        <w:rPr>
          <w:lang w:val="es-MX"/>
        </w:rPr>
      </w:pPr>
      <w:r w:rsidRPr="006E763F">
        <w:rPr>
          <w:rStyle w:val="FootnoteReference"/>
        </w:rPr>
        <w:footnoteRef/>
      </w:r>
      <w:r w:rsidRPr="006E763F">
        <w:rPr>
          <w:lang w:val="es-MX"/>
        </w:rPr>
        <w:t xml:space="preserve"> Anexo 1. Nota de prensa “En el último año murieron asesinados 32 sindicalistas” publicada por El Colombiano el 1 de mayo de 1987. Anexo a comunicación de los peticionarios recibida el 18 de febrero de 1992.</w:t>
      </w:r>
    </w:p>
  </w:footnote>
  <w:footnote w:id="10">
    <w:p w14:paraId="643E1B3B" w14:textId="5ACDDF2A"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w:t>
      </w:r>
      <w:r>
        <w:rPr>
          <w:sz w:val="16"/>
          <w:szCs w:val="16"/>
        </w:rPr>
        <w:t>CNMH</w:t>
      </w:r>
      <w:r w:rsidRPr="006E763F">
        <w:rPr>
          <w:sz w:val="16"/>
          <w:szCs w:val="16"/>
        </w:rPr>
        <w:t xml:space="preserve"> (2016), </w:t>
      </w:r>
      <w:r w:rsidRPr="006E763F">
        <w:rPr>
          <w:iCs/>
          <w:sz w:val="16"/>
          <w:szCs w:val="16"/>
        </w:rPr>
        <w:t>Hasta encontrarlos. El drama de la desaparición forzada en Colombia</w:t>
      </w:r>
      <w:r w:rsidRPr="006E763F">
        <w:rPr>
          <w:sz w:val="16"/>
          <w:szCs w:val="16"/>
        </w:rPr>
        <w:t>, CNMH, Bogotá. p. 74.</w:t>
      </w:r>
    </w:p>
  </w:footnote>
  <w:footnote w:id="11">
    <w:p w14:paraId="3DA7A044" w14:textId="3639C6C6"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w:t>
      </w:r>
      <w:r>
        <w:rPr>
          <w:sz w:val="16"/>
          <w:szCs w:val="16"/>
        </w:rPr>
        <w:t>CNMH</w:t>
      </w:r>
      <w:r w:rsidRPr="006E763F">
        <w:rPr>
          <w:sz w:val="16"/>
          <w:szCs w:val="16"/>
        </w:rPr>
        <w:t xml:space="preserve"> (2016), Ibíd. p. 86. </w:t>
      </w:r>
    </w:p>
  </w:footnote>
  <w:footnote w:id="12">
    <w:p w14:paraId="69B89125" w14:textId="50BA6CD5"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w:t>
      </w:r>
      <w:r>
        <w:rPr>
          <w:sz w:val="16"/>
          <w:szCs w:val="16"/>
        </w:rPr>
        <w:t>CNMH</w:t>
      </w:r>
      <w:r w:rsidRPr="006E763F">
        <w:rPr>
          <w:sz w:val="16"/>
          <w:szCs w:val="16"/>
        </w:rPr>
        <w:t xml:space="preserve">. Desaparición forzada Tomo II: Huellas y rostros de la desaparición forzada (1970-2010). Bogotá: Imprenta Nacional, 2013. pp. 137. </w:t>
      </w:r>
    </w:p>
  </w:footnote>
  <w:footnote w:id="13">
    <w:p w14:paraId="24B76C69" w14:textId="0E9AAA09"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CIDH. </w:t>
      </w:r>
      <w:r w:rsidRPr="006E763F">
        <w:rPr>
          <w:iCs/>
          <w:sz w:val="16"/>
          <w:szCs w:val="16"/>
        </w:rPr>
        <w:t xml:space="preserve">Informe Anual de </w:t>
      </w:r>
      <w:r>
        <w:rPr>
          <w:iCs/>
          <w:sz w:val="16"/>
          <w:szCs w:val="16"/>
        </w:rPr>
        <w:t>la CIDH de</w:t>
      </w:r>
      <w:r w:rsidRPr="006E763F">
        <w:rPr>
          <w:iCs/>
          <w:sz w:val="16"/>
          <w:szCs w:val="16"/>
        </w:rPr>
        <w:t xml:space="preserve"> 2016. Capítulo V.</w:t>
      </w:r>
      <w:r>
        <w:rPr>
          <w:sz w:val="16"/>
          <w:szCs w:val="16"/>
        </w:rPr>
        <w:t xml:space="preserve"> OEA/Ser.L/V/II.</w:t>
      </w:r>
      <w:r w:rsidRPr="006E763F">
        <w:rPr>
          <w:sz w:val="16"/>
          <w:szCs w:val="16"/>
        </w:rPr>
        <w:t>Doc. 2015 marzo 2017. párr. 47.</w:t>
      </w:r>
    </w:p>
  </w:footnote>
  <w:footnote w:id="14">
    <w:p w14:paraId="5F6C045E" w14:textId="379F07E3" w:rsidR="00B934ED" w:rsidRPr="006E763F" w:rsidRDefault="00B934ED" w:rsidP="0080128A">
      <w:pPr>
        <w:pStyle w:val="FootnoteText"/>
        <w:tabs>
          <w:tab w:val="left" w:pos="9356"/>
        </w:tabs>
        <w:ind w:firstLine="0"/>
        <w:rPr>
          <w:lang w:val="es-CO"/>
        </w:rPr>
      </w:pPr>
      <w:r w:rsidRPr="006E763F">
        <w:rPr>
          <w:rStyle w:val="FootnoteReference"/>
        </w:rPr>
        <w:footnoteRef/>
      </w:r>
      <w:r>
        <w:rPr>
          <w:lang w:val="es-CO"/>
        </w:rPr>
        <w:t xml:space="preserve"> CIDH. </w:t>
      </w:r>
      <w:hyperlink r:id="rId6" w:history="1">
        <w:r w:rsidRPr="006E763F">
          <w:rPr>
            <w:rStyle w:val="Hyperlink"/>
            <w:lang w:val="es-CO"/>
          </w:rPr>
          <w:t>Segundo Informe sobre la Situación de los Derechos Humanos en Colombia</w:t>
        </w:r>
      </w:hyperlink>
      <w:r w:rsidRPr="006E763F">
        <w:rPr>
          <w:lang w:val="es-CO"/>
        </w:rPr>
        <w:t xml:space="preserve">, 14 de octubre de 1993. </w:t>
      </w:r>
    </w:p>
  </w:footnote>
  <w:footnote w:id="15">
    <w:p w14:paraId="4DF082C8" w14:textId="70C998E0" w:rsidR="00B934ED" w:rsidRPr="006E763F" w:rsidRDefault="00B934ED" w:rsidP="0080128A">
      <w:pPr>
        <w:pStyle w:val="FootnoteText"/>
        <w:tabs>
          <w:tab w:val="left" w:pos="9356"/>
        </w:tabs>
        <w:ind w:firstLine="0"/>
        <w:rPr>
          <w:lang w:val="es-CO"/>
        </w:rPr>
      </w:pPr>
      <w:r w:rsidRPr="006E763F">
        <w:rPr>
          <w:rStyle w:val="FootnoteReference"/>
        </w:rPr>
        <w:footnoteRef/>
      </w:r>
      <w:r>
        <w:rPr>
          <w:lang w:val="es-CO"/>
        </w:rPr>
        <w:t xml:space="preserve"> CIDH. </w:t>
      </w:r>
      <w:r w:rsidRPr="006E763F">
        <w:rPr>
          <w:lang w:val="es-CO"/>
        </w:rPr>
        <w:t>Informe Anual de la Comisión Interamericana de Derechos Humanos de 1996, OEA/Ser.L/V/II.95. doc. 7 rev., 14 de marzo de 1997, pág. 663.</w:t>
      </w:r>
    </w:p>
  </w:footnote>
  <w:footnote w:id="16">
    <w:p w14:paraId="1ED61D6E" w14:textId="296BE0D9" w:rsidR="00B934ED" w:rsidRPr="006E763F" w:rsidRDefault="00B934ED" w:rsidP="0080128A">
      <w:pPr>
        <w:pStyle w:val="FootnoteText"/>
        <w:tabs>
          <w:tab w:val="left" w:pos="9356"/>
        </w:tabs>
        <w:ind w:firstLine="0"/>
        <w:rPr>
          <w:lang w:val="es-CO"/>
        </w:rPr>
      </w:pPr>
      <w:r w:rsidRPr="006E763F">
        <w:rPr>
          <w:rStyle w:val="FootnoteReference"/>
        </w:rPr>
        <w:footnoteRef/>
      </w:r>
      <w:r>
        <w:rPr>
          <w:lang w:val="es-CO"/>
        </w:rPr>
        <w:t xml:space="preserve"> CIDH. </w:t>
      </w:r>
      <w:hyperlink r:id="rId7" w:history="1">
        <w:r w:rsidRPr="006E763F">
          <w:rPr>
            <w:rStyle w:val="Hyperlink"/>
            <w:lang w:val="es-CO"/>
          </w:rPr>
          <w:t>Segundo Informe sobre la Situación de los Derechos Humanos en Colombia</w:t>
        </w:r>
      </w:hyperlink>
      <w:r w:rsidRPr="006E763F">
        <w:rPr>
          <w:lang w:val="es-CO"/>
        </w:rPr>
        <w:t xml:space="preserve">, 14 de octubre de 1993. </w:t>
      </w:r>
    </w:p>
  </w:footnote>
  <w:footnote w:id="17">
    <w:p w14:paraId="1733D895" w14:textId="15BFBE7D" w:rsidR="00B934ED" w:rsidRPr="006E763F" w:rsidRDefault="00B934ED" w:rsidP="0080128A">
      <w:pPr>
        <w:pStyle w:val="FootnoteText"/>
        <w:tabs>
          <w:tab w:val="left" w:pos="9356"/>
        </w:tabs>
        <w:ind w:firstLine="0"/>
        <w:rPr>
          <w:lang w:val="es-CO"/>
        </w:rPr>
      </w:pPr>
      <w:r w:rsidRPr="006E763F">
        <w:rPr>
          <w:rStyle w:val="FootnoteReference"/>
        </w:rPr>
        <w:footnoteRef/>
      </w:r>
      <w:r>
        <w:rPr>
          <w:lang w:val="es-CO"/>
        </w:rPr>
        <w:t xml:space="preserve"> CIDH. </w:t>
      </w:r>
      <w:r w:rsidRPr="006E763F">
        <w:rPr>
          <w:lang w:val="es-CO"/>
        </w:rPr>
        <w:t>Tercer Informe sobre la Situación de los Derechos Humanos en Colombia, OEA/Ser.L/V/II. 102 Doc. 9 rev. 1 del 26 de febrero de 1999, Capitulo IX, La Libertad de Asociación y los Derechos Políticos, E. Partidos Políticos Alternativos, p</w:t>
      </w:r>
      <w:r w:rsidRPr="006E763F">
        <w:rPr>
          <w:lang w:val="es-MX"/>
        </w:rPr>
        <w:t>árrs. 36, 47 y 48</w:t>
      </w:r>
      <w:r w:rsidRPr="006E763F">
        <w:rPr>
          <w:lang w:val="es-CO"/>
        </w:rPr>
        <w:t>.</w:t>
      </w:r>
    </w:p>
  </w:footnote>
  <w:footnote w:id="18">
    <w:p w14:paraId="3B089AE1" w14:textId="77777777" w:rsidR="00B934ED" w:rsidRPr="006E763F" w:rsidRDefault="00B934ED" w:rsidP="0080128A">
      <w:pPr>
        <w:pStyle w:val="FootnoteText"/>
        <w:tabs>
          <w:tab w:val="left" w:pos="9356"/>
        </w:tabs>
        <w:ind w:firstLine="0"/>
        <w:rPr>
          <w:lang w:val="es-CO"/>
        </w:rPr>
      </w:pPr>
      <w:r w:rsidRPr="006E763F">
        <w:rPr>
          <w:rStyle w:val="FootnoteReference"/>
        </w:rPr>
        <w:footnoteRef/>
      </w:r>
      <w:r w:rsidRPr="006E763F">
        <w:rPr>
          <w:lang w:val="es-CO"/>
        </w:rPr>
        <w:t xml:space="preserve"> Naciones Unidas, Informe conjunto de la visita a Colombia del Relator Especial encargado de la cuestión de la tortura, Sr. Nigel S. Rodley, y del Relator Especial encargado de la cuestión de las ejecuciones extrajudiciales, sumarias o arbitrarias, Sr. Bacre Waly Ndiaye, E/CN.4/1995/111, 16 de enero de 1995.</w:t>
      </w:r>
    </w:p>
  </w:footnote>
  <w:footnote w:id="19">
    <w:p w14:paraId="542A7FE8" w14:textId="77777777" w:rsidR="00B934ED" w:rsidRPr="006E763F" w:rsidRDefault="00B934ED" w:rsidP="0080128A">
      <w:pPr>
        <w:pStyle w:val="FootnoteText"/>
        <w:tabs>
          <w:tab w:val="left" w:pos="9356"/>
        </w:tabs>
        <w:ind w:firstLine="0"/>
        <w:rPr>
          <w:lang w:val="es-CO"/>
        </w:rPr>
      </w:pPr>
      <w:r w:rsidRPr="006E763F">
        <w:rPr>
          <w:rStyle w:val="FootnoteReference"/>
        </w:rPr>
        <w:footnoteRef/>
      </w:r>
      <w:r w:rsidRPr="006E763F">
        <w:rPr>
          <w:lang w:val="es-CO"/>
        </w:rPr>
        <w:t xml:space="preserve"> Naciones Unidas, Informe conjunto de la visita a Colombia del Relator Especial encargado de la cuestión de la tortura, Sr. Nigel S. Rodley, y del Relator Especial encargado de la cuestión de las ejecuciones extrajudiciales, sumarias o arbitrarias, Sr. Bacre Waly Ndiaye, E/CN.4/1995/111, 16 de enero de 1995.</w:t>
      </w:r>
    </w:p>
  </w:footnote>
  <w:footnote w:id="20">
    <w:p w14:paraId="7D79BCC5" w14:textId="77777777" w:rsidR="00B934ED" w:rsidRPr="006E763F" w:rsidRDefault="00B934ED" w:rsidP="0080128A">
      <w:pPr>
        <w:pStyle w:val="FootnoteText"/>
        <w:tabs>
          <w:tab w:val="left" w:pos="9356"/>
        </w:tabs>
        <w:ind w:firstLine="0"/>
        <w:rPr>
          <w:lang w:val="es-CO"/>
        </w:rPr>
      </w:pPr>
      <w:r w:rsidRPr="006E763F">
        <w:rPr>
          <w:rStyle w:val="FootnoteReference"/>
        </w:rPr>
        <w:footnoteRef/>
      </w:r>
      <w:r w:rsidRPr="006E763F">
        <w:rPr>
          <w:lang w:val="es-CO"/>
        </w:rPr>
        <w:t xml:space="preserve"> Naciones Unidas, Informe conjunto de la visita a Colombia del Relator Especial encargado de la cuestión de la tortura, Sr. Nigel S. Rodley, y del Relator Especial encargado de la cuestión de las ejecuciones extrajudiciales, sumarias o arbitrarias, Sr. Bacre Waly Ndiaye, E/CN.4/1995/111, 16 de enero de 1995.</w:t>
      </w:r>
    </w:p>
  </w:footnote>
  <w:footnote w:id="21">
    <w:p w14:paraId="732E138D" w14:textId="77777777" w:rsidR="00B934ED" w:rsidRPr="006E763F" w:rsidRDefault="00B934ED" w:rsidP="0080128A">
      <w:pPr>
        <w:pStyle w:val="FootnoteText"/>
        <w:tabs>
          <w:tab w:val="left" w:pos="720"/>
          <w:tab w:val="left" w:pos="9356"/>
        </w:tabs>
        <w:ind w:firstLine="0"/>
        <w:rPr>
          <w:lang w:val="es-CO"/>
        </w:rPr>
      </w:pPr>
      <w:r w:rsidRPr="006E763F">
        <w:rPr>
          <w:rStyle w:val="FootnoteReference"/>
        </w:rPr>
        <w:footnoteRef/>
      </w:r>
      <w:r w:rsidRPr="006E763F">
        <w:rPr>
          <w:lang w:val="es-CO"/>
        </w:rPr>
        <w:t xml:space="preserve"> </w:t>
      </w:r>
      <w:r w:rsidRPr="006E763F">
        <w:rPr>
          <w:lang w:val="es-ES"/>
        </w:rPr>
        <w:t>Corte Constitucional colombiana, Sentencia T-439 de 1992, 2 de julio de 1992. Magistrado Ponente Eduardo Cifuentes Muñoz.</w:t>
      </w:r>
    </w:p>
  </w:footnote>
  <w:footnote w:id="22">
    <w:p w14:paraId="0161F10A" w14:textId="23DFDB74"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Al respecto, esta Comisión identifica lo constatado por la PGN en los registros de la DAS, en que aparece la anotación de una condena a arresto de 25 días por el inspector 5 de Policía de Montería a Pedro Julio Movilla Galarcio de marzo de 1976. Anexo 5. </w:t>
      </w:r>
      <w:r>
        <w:rPr>
          <w:sz w:val="16"/>
          <w:szCs w:val="16"/>
        </w:rPr>
        <w:t>PGN.</w:t>
      </w:r>
      <w:r w:rsidRPr="006E763F">
        <w:rPr>
          <w:sz w:val="16"/>
          <w:szCs w:val="16"/>
        </w:rPr>
        <w:t xml:space="preserve"> Radicación No. 008-139893. Acta de visita practicada en la Oficina de Archivos especializados de la DAS. 5 de agosto de 1993. Anexo a escrito de la parte peticionaria de 28 de </w:t>
      </w:r>
      <w:r>
        <w:rPr>
          <w:sz w:val="16"/>
          <w:szCs w:val="16"/>
        </w:rPr>
        <w:t>enero de 2012</w:t>
      </w:r>
      <w:r w:rsidRPr="006E763F">
        <w:rPr>
          <w:sz w:val="16"/>
          <w:szCs w:val="16"/>
        </w:rPr>
        <w:t>.</w:t>
      </w:r>
    </w:p>
  </w:footnote>
  <w:footnote w:id="23">
    <w:p w14:paraId="2568BB51" w14:textId="335054F9"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2</w:t>
      </w:r>
      <w:r w:rsidRPr="006E763F">
        <w:rPr>
          <w:sz w:val="16"/>
          <w:szCs w:val="16"/>
        </w:rPr>
        <w:t>. Fi</w:t>
      </w:r>
      <w:r>
        <w:rPr>
          <w:sz w:val="16"/>
          <w:szCs w:val="16"/>
        </w:rPr>
        <w:t xml:space="preserve">scalía General. </w:t>
      </w:r>
      <w:r w:rsidRPr="006E763F">
        <w:rPr>
          <w:sz w:val="16"/>
          <w:szCs w:val="16"/>
        </w:rPr>
        <w:t xml:space="preserve">Rad. 096. </w:t>
      </w:r>
      <w:r>
        <w:rPr>
          <w:sz w:val="16"/>
          <w:szCs w:val="16"/>
        </w:rPr>
        <w:t>D</w:t>
      </w:r>
      <w:r w:rsidRPr="006E763F">
        <w:rPr>
          <w:sz w:val="16"/>
          <w:szCs w:val="16"/>
        </w:rPr>
        <w:t>eclaración de Candelaria Nurys Vergara Carri</w:t>
      </w:r>
      <w:r>
        <w:rPr>
          <w:sz w:val="16"/>
          <w:szCs w:val="16"/>
        </w:rPr>
        <w:t>azo. 7 de junio de 2012; Anexo 3</w:t>
      </w:r>
      <w:r w:rsidRPr="006E763F">
        <w:rPr>
          <w:sz w:val="16"/>
          <w:szCs w:val="16"/>
        </w:rPr>
        <w:t xml:space="preserve">. </w:t>
      </w:r>
      <w:r>
        <w:rPr>
          <w:sz w:val="16"/>
          <w:szCs w:val="16"/>
        </w:rPr>
        <w:t>Fiscalía General.</w:t>
      </w:r>
      <w:r w:rsidRPr="006E763F">
        <w:rPr>
          <w:sz w:val="16"/>
          <w:szCs w:val="16"/>
        </w:rPr>
        <w:t xml:space="preserve"> Rad. 096. </w:t>
      </w:r>
      <w:r>
        <w:rPr>
          <w:sz w:val="16"/>
          <w:szCs w:val="16"/>
        </w:rPr>
        <w:t>D</w:t>
      </w:r>
      <w:r w:rsidRPr="006E763F">
        <w:rPr>
          <w:sz w:val="16"/>
          <w:szCs w:val="16"/>
        </w:rPr>
        <w:t xml:space="preserve">eclaración Candelaria Nurys Vergara Carriazo ante la Fiscalía General. 13 de abril de 1994. Anexos a escrito de la parte peticionaria de 28 de enero </w:t>
      </w:r>
      <w:r>
        <w:rPr>
          <w:sz w:val="16"/>
          <w:szCs w:val="16"/>
        </w:rPr>
        <w:t xml:space="preserve">de </w:t>
      </w:r>
      <w:r w:rsidRPr="006E763F">
        <w:rPr>
          <w:sz w:val="16"/>
          <w:szCs w:val="16"/>
        </w:rPr>
        <w:t xml:space="preserve">2012. </w:t>
      </w:r>
    </w:p>
  </w:footnote>
  <w:footnote w:id="24">
    <w:p w14:paraId="3DE6CC1F" w14:textId="3847E6E0"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Pr>
          <w:sz w:val="16"/>
          <w:szCs w:val="16"/>
        </w:rPr>
        <w:t xml:space="preserve"> </w:t>
      </w:r>
      <w:r w:rsidRPr="006E763F">
        <w:rPr>
          <w:sz w:val="16"/>
          <w:szCs w:val="16"/>
        </w:rPr>
        <w:t xml:space="preserve">Anexo </w:t>
      </w:r>
      <w:r>
        <w:rPr>
          <w:sz w:val="16"/>
          <w:szCs w:val="16"/>
        </w:rPr>
        <w:t>2</w:t>
      </w:r>
      <w:r w:rsidRPr="006E763F">
        <w:rPr>
          <w:sz w:val="16"/>
          <w:szCs w:val="16"/>
        </w:rPr>
        <w:t>. Fi</w:t>
      </w:r>
      <w:r>
        <w:rPr>
          <w:sz w:val="16"/>
          <w:szCs w:val="16"/>
        </w:rPr>
        <w:t xml:space="preserve">scalía General. </w:t>
      </w:r>
      <w:r w:rsidRPr="006E763F">
        <w:rPr>
          <w:sz w:val="16"/>
          <w:szCs w:val="16"/>
        </w:rPr>
        <w:t xml:space="preserve">Rad. 096. </w:t>
      </w:r>
      <w:r>
        <w:rPr>
          <w:sz w:val="16"/>
          <w:szCs w:val="16"/>
        </w:rPr>
        <w:t>D</w:t>
      </w:r>
      <w:r w:rsidRPr="006E763F">
        <w:rPr>
          <w:sz w:val="16"/>
          <w:szCs w:val="16"/>
        </w:rPr>
        <w:t>eclaración de Candelaria Nurys Vergara Carri</w:t>
      </w:r>
      <w:r>
        <w:rPr>
          <w:sz w:val="16"/>
          <w:szCs w:val="16"/>
        </w:rPr>
        <w:t>azo. 7 de junio de 2012</w:t>
      </w:r>
      <w:r w:rsidRPr="006E763F">
        <w:rPr>
          <w:sz w:val="16"/>
          <w:szCs w:val="16"/>
        </w:rPr>
        <w:t xml:space="preserve">. Anexo a escrito de la parte peticionaria de 28 de enero </w:t>
      </w:r>
      <w:r>
        <w:rPr>
          <w:sz w:val="16"/>
          <w:szCs w:val="16"/>
        </w:rPr>
        <w:t xml:space="preserve">de </w:t>
      </w:r>
      <w:r w:rsidRPr="006E763F">
        <w:rPr>
          <w:sz w:val="16"/>
          <w:szCs w:val="16"/>
        </w:rPr>
        <w:t>2012.</w:t>
      </w:r>
    </w:p>
  </w:footnote>
  <w:footnote w:id="25">
    <w:p w14:paraId="5A31A15B" w14:textId="1E5931E0"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Pr>
          <w:sz w:val="16"/>
          <w:szCs w:val="16"/>
        </w:rPr>
        <w:t xml:space="preserve"> </w:t>
      </w:r>
      <w:r w:rsidRPr="006E763F">
        <w:rPr>
          <w:sz w:val="16"/>
          <w:szCs w:val="16"/>
        </w:rPr>
        <w:t>Escrito de la parte peticionaria de 15 de junio de 2016.</w:t>
      </w:r>
    </w:p>
  </w:footnote>
  <w:footnote w:id="26">
    <w:p w14:paraId="78A88017" w14:textId="69DD1253"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 xml:space="preserve">4. PGN. </w:t>
      </w:r>
      <w:r w:rsidRPr="006E763F">
        <w:rPr>
          <w:sz w:val="16"/>
          <w:szCs w:val="16"/>
        </w:rPr>
        <w:t xml:space="preserve">Radicación No. 008-139893. Diligencia de declaración rendida por el señor Humberto Javier Callejas Rua. 22 de junio de 1993. Anexo a escrito de la parte peticionaria de 28 de enero </w:t>
      </w:r>
      <w:r>
        <w:rPr>
          <w:sz w:val="16"/>
          <w:szCs w:val="16"/>
        </w:rPr>
        <w:t xml:space="preserve">de </w:t>
      </w:r>
      <w:r w:rsidRPr="006E763F">
        <w:rPr>
          <w:sz w:val="16"/>
          <w:szCs w:val="16"/>
        </w:rPr>
        <w:t>2012.</w:t>
      </w:r>
    </w:p>
  </w:footnote>
  <w:footnote w:id="27">
    <w:p w14:paraId="7346F0FB" w14:textId="5B563868"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Pr>
          <w:sz w:val="16"/>
          <w:szCs w:val="16"/>
        </w:rPr>
        <w:t xml:space="preserve"> Anexo 5. Fiscalía Genera. </w:t>
      </w:r>
      <w:r w:rsidRPr="006E763F">
        <w:rPr>
          <w:sz w:val="16"/>
          <w:szCs w:val="16"/>
        </w:rPr>
        <w:t xml:space="preserve">Rad. 096. Diligencia de declaración de Humberto Javier Callejas Rua. 25 de octubre de 2012. Anexo a escrito parte peticionaria de 28 de enero </w:t>
      </w:r>
      <w:r>
        <w:rPr>
          <w:sz w:val="16"/>
          <w:szCs w:val="16"/>
        </w:rPr>
        <w:t xml:space="preserve">de </w:t>
      </w:r>
      <w:r w:rsidRPr="006E763F">
        <w:rPr>
          <w:sz w:val="16"/>
          <w:szCs w:val="16"/>
        </w:rPr>
        <w:t>2012.</w:t>
      </w:r>
    </w:p>
  </w:footnote>
  <w:footnote w:id="28">
    <w:p w14:paraId="0397CC7E" w14:textId="30FAD754"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6</w:t>
      </w:r>
      <w:r w:rsidRPr="006E763F">
        <w:rPr>
          <w:sz w:val="16"/>
          <w:szCs w:val="16"/>
        </w:rPr>
        <w:t>. PGN</w:t>
      </w:r>
      <w:r>
        <w:rPr>
          <w:sz w:val="16"/>
          <w:szCs w:val="16"/>
        </w:rPr>
        <w:t>.</w:t>
      </w:r>
      <w:r w:rsidRPr="006E763F">
        <w:rPr>
          <w:sz w:val="16"/>
          <w:szCs w:val="16"/>
        </w:rPr>
        <w:t xml:space="preserve"> Radicación No. 008-139893. Hojas de anotaciones del Ejército Nacional con datos generales de Pedro Julio Movilla Galarcio. Emitido el 28 de mayo de 1993 y firmado por el Brigadier General Iván Ramírez Quintero, director de inteligencia del ejército. Anexo a escrito de la parte peticionaria de 28 de enero</w:t>
      </w:r>
      <w:r>
        <w:rPr>
          <w:sz w:val="16"/>
          <w:szCs w:val="16"/>
        </w:rPr>
        <w:t xml:space="preserve"> de</w:t>
      </w:r>
      <w:r w:rsidRPr="006E763F">
        <w:rPr>
          <w:sz w:val="16"/>
          <w:szCs w:val="16"/>
        </w:rPr>
        <w:t xml:space="preserve"> 2012.</w:t>
      </w:r>
    </w:p>
  </w:footnote>
  <w:footnote w:id="29">
    <w:p w14:paraId="718CA243" w14:textId="1720BB45"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Anexo </w:t>
      </w:r>
      <w:r>
        <w:rPr>
          <w:sz w:val="16"/>
          <w:szCs w:val="16"/>
        </w:rPr>
        <w:t>7. PGN.</w:t>
      </w:r>
      <w:r w:rsidRPr="006E763F">
        <w:rPr>
          <w:sz w:val="16"/>
          <w:szCs w:val="16"/>
        </w:rPr>
        <w:t xml:space="preserve"> Radicación No. 008-139893. Acta de visita especial realizada en la Oficina de Dijin. 2 de junio de 1993. Anexo a escrito parte peticionaria de 28 de enero </w:t>
      </w:r>
      <w:r>
        <w:rPr>
          <w:sz w:val="16"/>
          <w:szCs w:val="16"/>
        </w:rPr>
        <w:t xml:space="preserve">de </w:t>
      </w:r>
      <w:r w:rsidRPr="006E763F">
        <w:rPr>
          <w:sz w:val="16"/>
          <w:szCs w:val="16"/>
        </w:rPr>
        <w:t>2012.</w:t>
      </w:r>
    </w:p>
  </w:footnote>
  <w:footnote w:id="30">
    <w:p w14:paraId="3B39CFCA" w14:textId="3844798F" w:rsidR="00B934ED" w:rsidRPr="00925B44" w:rsidRDefault="00B934ED" w:rsidP="00925B44">
      <w:pPr>
        <w:pStyle w:val="FootnoteText"/>
        <w:tabs>
          <w:tab w:val="left" w:pos="9356"/>
        </w:tabs>
        <w:ind w:firstLine="0"/>
        <w:rPr>
          <w:lang w:val="es-ES"/>
        </w:rPr>
      </w:pPr>
      <w:r w:rsidRPr="006E763F">
        <w:rPr>
          <w:vertAlign w:val="superscript"/>
        </w:rPr>
        <w:footnoteRef/>
      </w:r>
      <w:r w:rsidRPr="002B27F9">
        <w:rPr>
          <w:lang w:val="es-ES"/>
        </w:rPr>
        <w:t xml:space="preserve">Anexo </w:t>
      </w:r>
      <w:r>
        <w:rPr>
          <w:lang w:val="es-ES"/>
        </w:rPr>
        <w:t>2</w:t>
      </w:r>
      <w:r w:rsidRPr="002B27F9">
        <w:rPr>
          <w:lang w:val="es-ES"/>
        </w:rPr>
        <w:t>. Fi</w:t>
      </w:r>
      <w:r>
        <w:rPr>
          <w:lang w:val="es-ES"/>
        </w:rPr>
        <w:t xml:space="preserve">scalía General. </w:t>
      </w:r>
      <w:r w:rsidRPr="002B27F9">
        <w:rPr>
          <w:lang w:val="es-ES"/>
        </w:rPr>
        <w:t xml:space="preserve"> Rad. 096. </w:t>
      </w:r>
      <w:r>
        <w:rPr>
          <w:lang w:val="es-ES"/>
        </w:rPr>
        <w:t>D</w:t>
      </w:r>
      <w:r w:rsidRPr="002B27F9">
        <w:rPr>
          <w:lang w:val="es-ES"/>
        </w:rPr>
        <w:t>eclaración de Candelaria Nurys Vergar</w:t>
      </w:r>
      <w:r>
        <w:rPr>
          <w:lang w:val="es-ES"/>
        </w:rPr>
        <w:t xml:space="preserve">a Carriazo. 7 de junio de 2012. </w:t>
      </w:r>
      <w:r w:rsidRPr="002B27F9">
        <w:rPr>
          <w:lang w:val="es-ES"/>
        </w:rPr>
        <w:t xml:space="preserve">Anexo a escrito de la parte peticionaria de 28 de enero </w:t>
      </w:r>
      <w:r>
        <w:rPr>
          <w:lang w:val="es-ES"/>
        </w:rPr>
        <w:t xml:space="preserve">de </w:t>
      </w:r>
      <w:r w:rsidRPr="002B27F9">
        <w:rPr>
          <w:lang w:val="es-ES"/>
        </w:rPr>
        <w:t>2012.</w:t>
      </w:r>
    </w:p>
  </w:footnote>
  <w:footnote w:id="31">
    <w:p w14:paraId="33E53E24" w14:textId="07B2FB73"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Pr>
          <w:sz w:val="16"/>
          <w:szCs w:val="16"/>
        </w:rPr>
        <w:t xml:space="preserve"> </w:t>
      </w:r>
      <w:r w:rsidRPr="006E763F">
        <w:rPr>
          <w:sz w:val="16"/>
          <w:szCs w:val="16"/>
        </w:rPr>
        <w:t xml:space="preserve">Anexo </w:t>
      </w:r>
      <w:r>
        <w:rPr>
          <w:sz w:val="16"/>
          <w:szCs w:val="16"/>
        </w:rPr>
        <w:t>7. PGN.</w:t>
      </w:r>
      <w:r w:rsidRPr="006E763F">
        <w:rPr>
          <w:sz w:val="16"/>
          <w:szCs w:val="16"/>
        </w:rPr>
        <w:t xml:space="preserve"> Radicación No. 008-139893. Acta de visita especial realizada en la Oficina de Dijin. 2 de junio de 1993. Anexo a escrito parte peticionaria de 28 de enero </w:t>
      </w:r>
      <w:r>
        <w:rPr>
          <w:sz w:val="16"/>
          <w:szCs w:val="16"/>
        </w:rPr>
        <w:t xml:space="preserve">de </w:t>
      </w:r>
      <w:r w:rsidRPr="006E763F">
        <w:rPr>
          <w:sz w:val="16"/>
          <w:szCs w:val="16"/>
        </w:rPr>
        <w:t>2012.</w:t>
      </w:r>
    </w:p>
  </w:footnote>
  <w:footnote w:id="32">
    <w:p w14:paraId="666655EE" w14:textId="4639B79C"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Pr>
          <w:sz w:val="16"/>
          <w:szCs w:val="16"/>
        </w:rPr>
        <w:t xml:space="preserve"> Anexo 8. PGN. </w:t>
      </w:r>
      <w:r w:rsidRPr="006E763F">
        <w:rPr>
          <w:sz w:val="16"/>
          <w:szCs w:val="16"/>
        </w:rPr>
        <w:t>Radicación No. 008-139893. Declaración de Germán Chávez Murcia. 25</w:t>
      </w:r>
      <w:r>
        <w:rPr>
          <w:sz w:val="16"/>
          <w:szCs w:val="16"/>
        </w:rPr>
        <w:t xml:space="preserve"> de mayo de 1993; Anexo 9. PGN.</w:t>
      </w:r>
      <w:r w:rsidRPr="006E763F">
        <w:rPr>
          <w:sz w:val="16"/>
          <w:szCs w:val="16"/>
        </w:rPr>
        <w:t xml:space="preserve"> Radicación No. 008-139893. Declaración de Hugo León Peña.</w:t>
      </w:r>
      <w:r>
        <w:rPr>
          <w:sz w:val="16"/>
          <w:szCs w:val="16"/>
        </w:rPr>
        <w:t xml:space="preserve"> 25 de mayo 1993; Anexo 10. PGN.</w:t>
      </w:r>
      <w:r w:rsidRPr="006E763F">
        <w:rPr>
          <w:sz w:val="16"/>
          <w:szCs w:val="16"/>
        </w:rPr>
        <w:t xml:space="preserve"> Radicación No. 008-139893. Declaración de Ana Elvina Fernández. 26 </w:t>
      </w:r>
      <w:r>
        <w:rPr>
          <w:sz w:val="16"/>
          <w:szCs w:val="16"/>
        </w:rPr>
        <w:t xml:space="preserve">de mayo de 1993; Anexo 11. PGN. </w:t>
      </w:r>
      <w:r w:rsidRPr="006E763F">
        <w:rPr>
          <w:sz w:val="16"/>
          <w:szCs w:val="16"/>
        </w:rPr>
        <w:t>Radicación No. 008-139893. Declaración de Olga Inés Galeano. 18 de junio de 1993. Anexos a escrito de la parte peticionaria de 28 de enero</w:t>
      </w:r>
      <w:r>
        <w:rPr>
          <w:sz w:val="16"/>
          <w:szCs w:val="16"/>
        </w:rPr>
        <w:t xml:space="preserve"> de </w:t>
      </w:r>
      <w:r w:rsidRPr="006E763F">
        <w:rPr>
          <w:sz w:val="16"/>
          <w:szCs w:val="16"/>
        </w:rPr>
        <w:t>2012.</w:t>
      </w:r>
    </w:p>
  </w:footnote>
  <w:footnote w:id="33">
    <w:p w14:paraId="7EFB6872" w14:textId="77777777"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La Comisión deja constancia de que el número exacto de motocicletas reportadas por los testigos difieren entre sí entre una, dos o tres. </w:t>
      </w:r>
    </w:p>
  </w:footnote>
  <w:footnote w:id="34">
    <w:p w14:paraId="0DE2C737" w14:textId="77777777"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Algunos testimonios indican que el rostro estaba cubierto por capuchas y, otros, por cascos. </w:t>
      </w:r>
    </w:p>
  </w:footnote>
  <w:footnote w:id="35">
    <w:p w14:paraId="50014EBD" w14:textId="228EC170"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Pr>
          <w:sz w:val="16"/>
          <w:szCs w:val="16"/>
        </w:rPr>
        <w:t xml:space="preserve"> Anexo 12. PGN. </w:t>
      </w:r>
      <w:r w:rsidRPr="006E763F">
        <w:rPr>
          <w:sz w:val="16"/>
          <w:szCs w:val="16"/>
        </w:rPr>
        <w:t xml:space="preserve">Radicación No. 008-139893. Informe evaluativo sobre diligencias de investigación. 4 de junio de 1993. Anexo a escrito parte peticionaria de 28 de enero </w:t>
      </w:r>
      <w:r>
        <w:rPr>
          <w:sz w:val="16"/>
          <w:szCs w:val="16"/>
        </w:rPr>
        <w:t xml:space="preserve">de </w:t>
      </w:r>
      <w:r w:rsidRPr="006E763F">
        <w:rPr>
          <w:sz w:val="16"/>
          <w:szCs w:val="16"/>
        </w:rPr>
        <w:t>2012.</w:t>
      </w:r>
    </w:p>
  </w:footnote>
  <w:footnote w:id="36">
    <w:p w14:paraId="24E49E7F" w14:textId="599FA8F9"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w:t>
      </w:r>
      <w:r>
        <w:rPr>
          <w:sz w:val="16"/>
          <w:szCs w:val="16"/>
        </w:rPr>
        <w:t xml:space="preserve">Anexo 12. PGN. </w:t>
      </w:r>
      <w:r w:rsidRPr="006E763F">
        <w:rPr>
          <w:sz w:val="16"/>
          <w:szCs w:val="16"/>
        </w:rPr>
        <w:t>Radicación No. 008-139893. Informe evaluativo sobre diligencias de investigación. 4 de junio de 1993. Anexo a escrito parte peticionaria de 28 de enero</w:t>
      </w:r>
      <w:r>
        <w:rPr>
          <w:sz w:val="16"/>
          <w:szCs w:val="16"/>
        </w:rPr>
        <w:t xml:space="preserve"> de</w:t>
      </w:r>
      <w:r w:rsidRPr="006E763F">
        <w:rPr>
          <w:sz w:val="16"/>
          <w:szCs w:val="16"/>
        </w:rPr>
        <w:t xml:space="preserve"> 2012.</w:t>
      </w:r>
      <w:r>
        <w:rPr>
          <w:sz w:val="16"/>
          <w:szCs w:val="16"/>
        </w:rPr>
        <w:t xml:space="preserve"> </w:t>
      </w:r>
      <w:r w:rsidRPr="006E763F">
        <w:rPr>
          <w:sz w:val="16"/>
          <w:szCs w:val="16"/>
        </w:rPr>
        <w:t>Dicha información se refiere al reporte de Policía metropolitana de Santa Fe de Bogotá, Estación Cien, de Incidente de “Porte ilegal de armas” en AV. 1 de mayo &amp;CR 50 el 13 de mayo de 1993: “Se decomisa revolver llama CASIDI, 38 largo, pavonado, con tres cartuchos y tres vainillas para el mismo, N° IM-9753g, portado por el Sr. Pedro Luis Pabón Díaz, (…)”</w:t>
      </w:r>
    </w:p>
  </w:footnote>
  <w:footnote w:id="37">
    <w:p w14:paraId="71A1255C" w14:textId="7B6CBE25"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vertAlign w:val="superscript"/>
        </w:rPr>
        <w:t xml:space="preserve"> </w:t>
      </w:r>
      <w:r w:rsidRPr="006E763F">
        <w:rPr>
          <w:sz w:val="16"/>
          <w:szCs w:val="16"/>
        </w:rPr>
        <w:t xml:space="preserve">Anexo </w:t>
      </w:r>
      <w:r>
        <w:rPr>
          <w:sz w:val="16"/>
          <w:szCs w:val="16"/>
        </w:rPr>
        <w:t>13. PGN.</w:t>
      </w:r>
      <w:r w:rsidRPr="006E763F">
        <w:rPr>
          <w:sz w:val="16"/>
          <w:szCs w:val="16"/>
        </w:rPr>
        <w:t xml:space="preserve"> Radicación No. 008-139893. Acta visita especial en oficina jurídica del Departamento de control de Comercio de Armas, municiones y explosivos de Fuerzas Militares de Colombia. 4 de noviembre de 1993.  </w:t>
      </w:r>
      <w:r w:rsidRPr="006E763F">
        <w:rPr>
          <w:sz w:val="16"/>
          <w:szCs w:val="16"/>
          <w:lang w:val="es-CL"/>
        </w:rPr>
        <w:t xml:space="preserve">Anexo a escrito de la parte peticionaria de 28 de enero </w:t>
      </w:r>
      <w:r>
        <w:rPr>
          <w:sz w:val="16"/>
          <w:szCs w:val="16"/>
          <w:lang w:val="es-CL"/>
        </w:rPr>
        <w:t xml:space="preserve"> de </w:t>
      </w:r>
      <w:r w:rsidRPr="006E763F">
        <w:rPr>
          <w:sz w:val="16"/>
          <w:szCs w:val="16"/>
          <w:lang w:val="es-CL"/>
        </w:rPr>
        <w:t>2012.</w:t>
      </w:r>
    </w:p>
  </w:footnote>
  <w:footnote w:id="38">
    <w:p w14:paraId="4E23263E" w14:textId="3252EEE7"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14</w:t>
      </w:r>
      <w:r w:rsidRPr="006E763F">
        <w:rPr>
          <w:sz w:val="16"/>
          <w:szCs w:val="16"/>
        </w:rPr>
        <w:t xml:space="preserve">. </w:t>
      </w:r>
      <w:r>
        <w:rPr>
          <w:sz w:val="16"/>
          <w:szCs w:val="16"/>
        </w:rPr>
        <w:t>Fiscalía General.</w:t>
      </w:r>
      <w:r w:rsidRPr="006E763F">
        <w:rPr>
          <w:sz w:val="16"/>
          <w:szCs w:val="16"/>
        </w:rPr>
        <w:t xml:space="preserve"> Rad. No. 096. Informe del Departamento Control Comercio de Armas, municiones y explosivos de Fuerzas Militares de Colombia. 2 de marzo de 2009.  </w:t>
      </w:r>
      <w:r w:rsidRPr="006E763F">
        <w:rPr>
          <w:sz w:val="16"/>
          <w:szCs w:val="16"/>
          <w:lang w:val="es-CL"/>
        </w:rPr>
        <w:t xml:space="preserve">Anexo a escrito de la parte peticionaria de 28 de enero </w:t>
      </w:r>
      <w:r>
        <w:rPr>
          <w:sz w:val="16"/>
          <w:szCs w:val="16"/>
          <w:lang w:val="es-CL"/>
        </w:rPr>
        <w:t xml:space="preserve">de </w:t>
      </w:r>
      <w:r w:rsidRPr="006E763F">
        <w:rPr>
          <w:sz w:val="16"/>
          <w:szCs w:val="16"/>
          <w:lang w:val="es-CL"/>
        </w:rPr>
        <w:t>2012.</w:t>
      </w:r>
    </w:p>
  </w:footnote>
  <w:footnote w:id="39">
    <w:p w14:paraId="357F010D" w14:textId="7BEED5E6"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w:t>
      </w:r>
      <w:r>
        <w:rPr>
          <w:sz w:val="16"/>
          <w:szCs w:val="16"/>
        </w:rPr>
        <w:t xml:space="preserve"> 15. PGN.</w:t>
      </w:r>
      <w:r w:rsidRPr="006E763F">
        <w:rPr>
          <w:sz w:val="16"/>
          <w:szCs w:val="16"/>
        </w:rPr>
        <w:t xml:space="preserve"> Radicación No. 008-139893. Informe de División Procedimientos de personal sección oficiales. 8 de noviembre de 1993. </w:t>
      </w:r>
      <w:r w:rsidRPr="006E763F">
        <w:rPr>
          <w:sz w:val="16"/>
          <w:szCs w:val="16"/>
          <w:lang w:val="es-CL"/>
        </w:rPr>
        <w:t xml:space="preserve">Anexo a escrito de la parte peticionaria de 28 de enero </w:t>
      </w:r>
      <w:r>
        <w:rPr>
          <w:sz w:val="16"/>
          <w:szCs w:val="16"/>
          <w:lang w:val="es-CL"/>
        </w:rPr>
        <w:t xml:space="preserve">de </w:t>
      </w:r>
      <w:r w:rsidRPr="006E763F">
        <w:rPr>
          <w:sz w:val="16"/>
          <w:szCs w:val="16"/>
          <w:lang w:val="es-CL"/>
        </w:rPr>
        <w:t>2012.</w:t>
      </w:r>
    </w:p>
  </w:footnote>
  <w:footnote w:id="40">
    <w:p w14:paraId="6458121B" w14:textId="5B836580"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Pr>
          <w:sz w:val="16"/>
          <w:szCs w:val="16"/>
        </w:rPr>
        <w:t xml:space="preserve"> Escrito </w:t>
      </w:r>
      <w:r w:rsidRPr="006E763F">
        <w:rPr>
          <w:sz w:val="16"/>
          <w:szCs w:val="16"/>
        </w:rPr>
        <w:t>del Estado de 16 de noviembre de 2017.</w:t>
      </w:r>
    </w:p>
  </w:footnote>
  <w:footnote w:id="41">
    <w:p w14:paraId="21BB9377" w14:textId="3C9473AB"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16</w:t>
      </w:r>
      <w:r w:rsidRPr="006E763F">
        <w:rPr>
          <w:sz w:val="16"/>
          <w:szCs w:val="16"/>
        </w:rPr>
        <w:t xml:space="preserve">. Resolución del 54 Penal del Circuito sobre recurso de Habeas Corpus en favor de Pedro Julio Movilla Galarcio. 19 de mayo de 1993. Rechaza el recurso en virtud del art. 432 del Código de Procedimiento Penal que señala que en la “solicitud se debe manifestar el lugar en donde se encuentra el capturado y en lo posible, el nombre del funcionario que ha ordenado la captura”. </w:t>
      </w:r>
      <w:r w:rsidRPr="006E763F">
        <w:rPr>
          <w:sz w:val="16"/>
          <w:szCs w:val="16"/>
          <w:lang w:val="es-CL"/>
        </w:rPr>
        <w:t xml:space="preserve">Anexo a escrito de la parte peticionaria de 28 de enero </w:t>
      </w:r>
      <w:r>
        <w:rPr>
          <w:sz w:val="16"/>
          <w:szCs w:val="16"/>
          <w:lang w:val="es-CL"/>
        </w:rPr>
        <w:t xml:space="preserve">de </w:t>
      </w:r>
      <w:r w:rsidRPr="006E763F">
        <w:rPr>
          <w:sz w:val="16"/>
          <w:szCs w:val="16"/>
          <w:lang w:val="es-CL"/>
        </w:rPr>
        <w:t>2012.</w:t>
      </w:r>
    </w:p>
  </w:footnote>
  <w:footnote w:id="42">
    <w:p w14:paraId="34150729" w14:textId="74E56F79"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17</w:t>
      </w:r>
      <w:r w:rsidRPr="006E763F">
        <w:rPr>
          <w:sz w:val="16"/>
          <w:szCs w:val="16"/>
        </w:rPr>
        <w:t xml:space="preserve">. Resolución de Investigación previa de la Fiscalía Regional de Medellín. 7 de septiembre de 1993. </w:t>
      </w:r>
      <w:r w:rsidRPr="006E763F">
        <w:rPr>
          <w:sz w:val="16"/>
          <w:szCs w:val="16"/>
          <w:lang w:val="es-CL"/>
        </w:rPr>
        <w:t xml:space="preserve">Anexo a escrito de la parte peticionaria de 28 de enero </w:t>
      </w:r>
      <w:r>
        <w:rPr>
          <w:sz w:val="16"/>
          <w:szCs w:val="16"/>
          <w:lang w:val="es-CL"/>
        </w:rPr>
        <w:t xml:space="preserve">de </w:t>
      </w:r>
      <w:r w:rsidRPr="006E763F">
        <w:rPr>
          <w:sz w:val="16"/>
          <w:szCs w:val="16"/>
          <w:lang w:val="es-CL"/>
        </w:rPr>
        <w:t>2012.</w:t>
      </w:r>
    </w:p>
  </w:footnote>
  <w:footnote w:id="43">
    <w:p w14:paraId="25C07BF3" w14:textId="4578FB55"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18</w:t>
      </w:r>
      <w:r w:rsidRPr="006E763F">
        <w:rPr>
          <w:sz w:val="16"/>
          <w:szCs w:val="16"/>
        </w:rPr>
        <w:t xml:space="preserve">. Carta de FESUTRAN dirigida a PGN. 10 de junio de 1993. </w:t>
      </w:r>
      <w:r w:rsidRPr="006E763F">
        <w:rPr>
          <w:sz w:val="16"/>
          <w:szCs w:val="16"/>
          <w:lang w:val="es-CL"/>
        </w:rPr>
        <w:t xml:space="preserve">Anexo a escrito de la parte peticionaria de 28 de </w:t>
      </w:r>
      <w:r>
        <w:rPr>
          <w:sz w:val="16"/>
          <w:szCs w:val="16"/>
          <w:lang w:val="es-CL"/>
        </w:rPr>
        <w:t>enero de 2012</w:t>
      </w:r>
      <w:r w:rsidRPr="006E763F">
        <w:rPr>
          <w:sz w:val="16"/>
          <w:szCs w:val="16"/>
          <w:lang w:val="es-CL"/>
        </w:rPr>
        <w:t>.</w:t>
      </w:r>
    </w:p>
  </w:footnote>
  <w:footnote w:id="44">
    <w:p w14:paraId="645FDAC3" w14:textId="20F25937"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19</w:t>
      </w:r>
      <w:r w:rsidRPr="006E763F">
        <w:rPr>
          <w:sz w:val="16"/>
          <w:szCs w:val="16"/>
        </w:rPr>
        <w:t xml:space="preserve">. Remisión por competencia de la Fiscalía Regional de Medellín. 19 de octubre de 1993. </w:t>
      </w:r>
      <w:r w:rsidRPr="006E763F">
        <w:rPr>
          <w:sz w:val="16"/>
          <w:szCs w:val="16"/>
          <w:lang w:val="es-CL"/>
        </w:rPr>
        <w:t xml:space="preserve">Anexo a escrito de la parte peticionaria de 28 de enero </w:t>
      </w:r>
      <w:r>
        <w:rPr>
          <w:sz w:val="16"/>
          <w:szCs w:val="16"/>
          <w:lang w:val="es-CL"/>
        </w:rPr>
        <w:t xml:space="preserve">de </w:t>
      </w:r>
      <w:r w:rsidRPr="006E763F">
        <w:rPr>
          <w:sz w:val="16"/>
          <w:szCs w:val="16"/>
          <w:lang w:val="es-CL"/>
        </w:rPr>
        <w:t>2012.</w:t>
      </w:r>
    </w:p>
  </w:footnote>
  <w:footnote w:id="45">
    <w:p w14:paraId="591C8C32" w14:textId="1A894AEB"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 xml:space="preserve">20. PGN. </w:t>
      </w:r>
      <w:r w:rsidRPr="006E763F">
        <w:rPr>
          <w:sz w:val="16"/>
          <w:szCs w:val="16"/>
        </w:rPr>
        <w:t xml:space="preserve">Radicación No. 008-139893. Queja presentada por Candelaria Vergara. 19 de mayo 1995. </w:t>
      </w:r>
      <w:r w:rsidRPr="006E763F">
        <w:rPr>
          <w:sz w:val="16"/>
          <w:szCs w:val="16"/>
          <w:lang w:val="es-CL"/>
        </w:rPr>
        <w:t xml:space="preserve">Anexo a escrito de la parte peticionaria de 28 de enero </w:t>
      </w:r>
      <w:r>
        <w:rPr>
          <w:sz w:val="16"/>
          <w:szCs w:val="16"/>
          <w:lang w:val="es-CL"/>
        </w:rPr>
        <w:t xml:space="preserve">de </w:t>
      </w:r>
      <w:r w:rsidRPr="006E763F">
        <w:rPr>
          <w:sz w:val="16"/>
          <w:szCs w:val="16"/>
          <w:lang w:val="es-CL"/>
        </w:rPr>
        <w:t>2012.</w:t>
      </w:r>
    </w:p>
  </w:footnote>
  <w:footnote w:id="46">
    <w:p w14:paraId="1E783D4D" w14:textId="03FA21C1"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Pr>
          <w:sz w:val="16"/>
          <w:szCs w:val="16"/>
        </w:rPr>
        <w:t xml:space="preserve"> Anexo 21. PGN. </w:t>
      </w:r>
      <w:r w:rsidRPr="006E763F">
        <w:rPr>
          <w:sz w:val="16"/>
          <w:szCs w:val="16"/>
        </w:rPr>
        <w:t xml:space="preserve">Radicación No. 008-139893. Informe de labores de indagación preliminar ordenada el 17 de junio de 1993. Anexo a escrito de la parte peticionaria de 28 de enero </w:t>
      </w:r>
      <w:r>
        <w:rPr>
          <w:sz w:val="16"/>
          <w:szCs w:val="16"/>
        </w:rPr>
        <w:t xml:space="preserve">de </w:t>
      </w:r>
      <w:r w:rsidRPr="006E763F">
        <w:rPr>
          <w:sz w:val="16"/>
          <w:szCs w:val="16"/>
        </w:rPr>
        <w:t>2012.</w:t>
      </w:r>
    </w:p>
  </w:footnote>
  <w:footnote w:id="47">
    <w:p w14:paraId="74642CC8" w14:textId="0CAEE049"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Pr>
          <w:sz w:val="16"/>
          <w:szCs w:val="16"/>
        </w:rPr>
        <w:t xml:space="preserve"> Anexo 22. PGN. Radicación No. 008-139893. </w:t>
      </w:r>
      <w:r w:rsidRPr="006E763F">
        <w:rPr>
          <w:sz w:val="16"/>
          <w:szCs w:val="16"/>
        </w:rPr>
        <w:t xml:space="preserve">Comunicación de 05 de abril de 1995. Anexo a escrito de la parte peticionaria de 28 de enero </w:t>
      </w:r>
      <w:r>
        <w:rPr>
          <w:sz w:val="16"/>
          <w:szCs w:val="16"/>
        </w:rPr>
        <w:t xml:space="preserve">de </w:t>
      </w:r>
      <w:r w:rsidRPr="006E763F">
        <w:rPr>
          <w:sz w:val="16"/>
          <w:szCs w:val="16"/>
        </w:rPr>
        <w:t>2012.</w:t>
      </w:r>
    </w:p>
  </w:footnote>
  <w:footnote w:id="48">
    <w:p w14:paraId="2B999AB2" w14:textId="654831BB"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Pr>
          <w:sz w:val="16"/>
          <w:szCs w:val="16"/>
        </w:rPr>
        <w:t xml:space="preserve"> Anexo 23. PGN. </w:t>
      </w:r>
      <w:r w:rsidRPr="006E763F">
        <w:rPr>
          <w:sz w:val="16"/>
          <w:szCs w:val="16"/>
        </w:rPr>
        <w:t xml:space="preserve">Radicación No. 008-139893. Oficio de la Policía Metropolitana, Estación 100 a la PGN. 27 de mayo de 1993. Anexo a escrito de la parte peticionaria de 28 de enero </w:t>
      </w:r>
      <w:r>
        <w:rPr>
          <w:sz w:val="16"/>
          <w:szCs w:val="16"/>
        </w:rPr>
        <w:t xml:space="preserve">de </w:t>
      </w:r>
      <w:r w:rsidRPr="006E763F">
        <w:rPr>
          <w:sz w:val="16"/>
          <w:szCs w:val="16"/>
        </w:rPr>
        <w:t xml:space="preserve">2012; Anexo </w:t>
      </w:r>
      <w:r>
        <w:rPr>
          <w:sz w:val="16"/>
          <w:szCs w:val="16"/>
        </w:rPr>
        <w:t xml:space="preserve">24. PGN. </w:t>
      </w:r>
      <w:r w:rsidRPr="006E763F">
        <w:rPr>
          <w:sz w:val="16"/>
          <w:szCs w:val="16"/>
        </w:rPr>
        <w:t xml:space="preserve">Radicación No. 008-139893. Informe evaluativo sobre diligencias de investigación. 4 de junio de 1993. Anexo a escrito de la parte peticionaria de 28 de enero </w:t>
      </w:r>
      <w:r>
        <w:rPr>
          <w:sz w:val="16"/>
          <w:szCs w:val="16"/>
        </w:rPr>
        <w:t xml:space="preserve">de </w:t>
      </w:r>
      <w:r w:rsidRPr="006E763F">
        <w:rPr>
          <w:sz w:val="16"/>
          <w:szCs w:val="16"/>
        </w:rPr>
        <w:t xml:space="preserve">2012; y Anexo </w:t>
      </w:r>
      <w:r>
        <w:rPr>
          <w:sz w:val="16"/>
          <w:szCs w:val="16"/>
        </w:rPr>
        <w:t>25. PGN.</w:t>
      </w:r>
      <w:r w:rsidRPr="006E763F">
        <w:rPr>
          <w:sz w:val="16"/>
          <w:szCs w:val="16"/>
        </w:rPr>
        <w:t xml:space="preserve"> Radicación No. 008-139893. Declaración juramentada rendida por Ramiro Bohórquez Neuta. 15 de diciembre 1993. Anexo a escrito de la parte peticionaria de 28 de enero </w:t>
      </w:r>
      <w:r>
        <w:rPr>
          <w:sz w:val="16"/>
          <w:szCs w:val="16"/>
        </w:rPr>
        <w:t xml:space="preserve">de </w:t>
      </w:r>
      <w:r w:rsidRPr="006E763F">
        <w:rPr>
          <w:sz w:val="16"/>
          <w:szCs w:val="16"/>
        </w:rPr>
        <w:t xml:space="preserve">2012. </w:t>
      </w:r>
    </w:p>
  </w:footnote>
  <w:footnote w:id="49">
    <w:p w14:paraId="36C483F4" w14:textId="2D022088"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26</w:t>
      </w:r>
      <w:r w:rsidRPr="006E763F">
        <w:rPr>
          <w:sz w:val="16"/>
          <w:szCs w:val="16"/>
        </w:rPr>
        <w:t>. PGN</w:t>
      </w:r>
      <w:r>
        <w:rPr>
          <w:sz w:val="16"/>
          <w:szCs w:val="16"/>
        </w:rPr>
        <w:t>.</w:t>
      </w:r>
      <w:r w:rsidRPr="006E763F">
        <w:rPr>
          <w:sz w:val="16"/>
          <w:szCs w:val="16"/>
        </w:rPr>
        <w:t xml:space="preserve"> Radicación No. 008-139893. Acta de visita especial adelantada en el Juzgado 51 Penal del Circuito. Proceso penal C-545 contra Pedro Julián Pabón Díaz por los delitos de Porte ilegal de Armas, Cohecho, Usurpación de funciones Públicas y Circulación de moneda falsa. Oficina de Investigaciones Especiales de la PGN. 14 de diciembre de 1993. Anexo a escrito de la parte peticionaria de 28 de enero </w:t>
      </w:r>
      <w:r>
        <w:rPr>
          <w:sz w:val="16"/>
          <w:szCs w:val="16"/>
        </w:rPr>
        <w:t xml:space="preserve">de </w:t>
      </w:r>
      <w:r w:rsidRPr="006E763F">
        <w:rPr>
          <w:sz w:val="16"/>
          <w:szCs w:val="16"/>
        </w:rPr>
        <w:t>2012.</w:t>
      </w:r>
    </w:p>
  </w:footnote>
  <w:footnote w:id="50">
    <w:p w14:paraId="2016484B" w14:textId="5E397E43"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w:t>
      </w:r>
      <w:r>
        <w:rPr>
          <w:sz w:val="16"/>
          <w:szCs w:val="16"/>
        </w:rPr>
        <w:t xml:space="preserve">Anexo 22. PGN. Radicación No. 008-139893. </w:t>
      </w:r>
      <w:r w:rsidRPr="006E763F">
        <w:rPr>
          <w:sz w:val="16"/>
          <w:szCs w:val="16"/>
        </w:rPr>
        <w:t xml:space="preserve">Comunicación de 05 de abril de 1995. Anexo a escrito de la parte peticionaria de 28 de enero </w:t>
      </w:r>
      <w:r>
        <w:rPr>
          <w:sz w:val="16"/>
          <w:szCs w:val="16"/>
        </w:rPr>
        <w:t xml:space="preserve">de </w:t>
      </w:r>
      <w:r w:rsidRPr="006E763F">
        <w:rPr>
          <w:sz w:val="16"/>
          <w:szCs w:val="16"/>
        </w:rPr>
        <w:t>2012.</w:t>
      </w:r>
    </w:p>
  </w:footnote>
  <w:footnote w:id="51">
    <w:p w14:paraId="11E031C0" w14:textId="17666782"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 xml:space="preserve">27. PGN. </w:t>
      </w:r>
      <w:r w:rsidRPr="006E763F">
        <w:rPr>
          <w:sz w:val="16"/>
          <w:szCs w:val="16"/>
        </w:rPr>
        <w:t xml:space="preserve">Radicación No. 008-139893. Acta Visita especial en Oficina de División de Documentación Grupo de Archivos de Impuestos y Aduanas Nacionales de Personas naturales, Santa Fe. Bogotá. 4 de noviembre de 1993. Anexo a escrito de la parte peticionaria de 28 de enero </w:t>
      </w:r>
      <w:r>
        <w:rPr>
          <w:sz w:val="16"/>
          <w:szCs w:val="16"/>
        </w:rPr>
        <w:t xml:space="preserve">de </w:t>
      </w:r>
      <w:r w:rsidRPr="006E763F">
        <w:rPr>
          <w:sz w:val="16"/>
          <w:szCs w:val="16"/>
        </w:rPr>
        <w:t>2012.</w:t>
      </w:r>
    </w:p>
  </w:footnote>
  <w:footnote w:id="52">
    <w:p w14:paraId="60E157AF" w14:textId="7A9B3A05"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Pr>
          <w:sz w:val="16"/>
          <w:szCs w:val="16"/>
        </w:rPr>
        <w:t xml:space="preserve"> Anexo 28</w:t>
      </w:r>
      <w:r w:rsidRPr="006E763F">
        <w:rPr>
          <w:sz w:val="16"/>
          <w:szCs w:val="16"/>
        </w:rPr>
        <w:t>. PGN</w:t>
      </w:r>
      <w:r>
        <w:rPr>
          <w:sz w:val="16"/>
          <w:szCs w:val="16"/>
        </w:rPr>
        <w:t>.</w:t>
      </w:r>
      <w:r w:rsidRPr="006E763F">
        <w:rPr>
          <w:sz w:val="16"/>
          <w:szCs w:val="16"/>
        </w:rPr>
        <w:t xml:space="preserve"> Radicación No. 008-139893. Acta de Visita especial practicada en la Oficina de Castrato de la ciudad de Fusagasuga (Cundinamarca). 18 de junio de 1993; Anexo </w:t>
      </w:r>
      <w:r>
        <w:rPr>
          <w:sz w:val="16"/>
          <w:szCs w:val="16"/>
        </w:rPr>
        <w:t>29</w:t>
      </w:r>
      <w:r w:rsidRPr="006E763F">
        <w:rPr>
          <w:sz w:val="16"/>
          <w:szCs w:val="16"/>
        </w:rPr>
        <w:t>. PGN</w:t>
      </w:r>
      <w:r>
        <w:rPr>
          <w:sz w:val="16"/>
          <w:szCs w:val="16"/>
        </w:rPr>
        <w:t>.</w:t>
      </w:r>
      <w:r w:rsidRPr="006E763F">
        <w:rPr>
          <w:sz w:val="16"/>
          <w:szCs w:val="16"/>
        </w:rPr>
        <w:t xml:space="preserve"> Radicación No. 008-139893. Notificación de comparecencia a Pedro Julián Pabón Díaz. 18 de julio</w:t>
      </w:r>
      <w:r>
        <w:rPr>
          <w:sz w:val="16"/>
          <w:szCs w:val="16"/>
        </w:rPr>
        <w:t xml:space="preserve"> de </w:t>
      </w:r>
      <w:r w:rsidRPr="006E763F">
        <w:rPr>
          <w:sz w:val="16"/>
          <w:szCs w:val="16"/>
        </w:rPr>
        <w:t xml:space="preserve">1993; Anexo </w:t>
      </w:r>
      <w:r>
        <w:rPr>
          <w:sz w:val="16"/>
          <w:szCs w:val="16"/>
        </w:rPr>
        <w:t>29</w:t>
      </w:r>
      <w:r w:rsidRPr="006E763F">
        <w:rPr>
          <w:sz w:val="16"/>
          <w:szCs w:val="16"/>
        </w:rPr>
        <w:t>. PGN</w:t>
      </w:r>
      <w:r>
        <w:rPr>
          <w:sz w:val="16"/>
          <w:szCs w:val="16"/>
        </w:rPr>
        <w:t>.</w:t>
      </w:r>
      <w:r w:rsidRPr="006E763F">
        <w:rPr>
          <w:sz w:val="16"/>
          <w:szCs w:val="16"/>
        </w:rPr>
        <w:t xml:space="preserve"> Radicación No. 008-139893. Acta visita especial en Oficina de División de Archivo de Catastro Distrital. 5 de noviembre de 1993. Anexos a escrito de la parte peticionaria de 28 de enero </w:t>
      </w:r>
      <w:r>
        <w:rPr>
          <w:sz w:val="16"/>
          <w:szCs w:val="16"/>
        </w:rPr>
        <w:t xml:space="preserve">de </w:t>
      </w:r>
      <w:r w:rsidRPr="006E763F">
        <w:rPr>
          <w:sz w:val="16"/>
          <w:szCs w:val="16"/>
        </w:rPr>
        <w:t>2012.</w:t>
      </w:r>
    </w:p>
  </w:footnote>
  <w:footnote w:id="53">
    <w:p w14:paraId="3FEDB29C" w14:textId="5EACA17B"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Pr>
          <w:sz w:val="16"/>
          <w:szCs w:val="16"/>
        </w:rPr>
        <w:t xml:space="preserve"> Anexo 30. Fiscalía General.</w:t>
      </w:r>
      <w:r w:rsidRPr="006E763F">
        <w:rPr>
          <w:sz w:val="16"/>
          <w:szCs w:val="16"/>
        </w:rPr>
        <w:t xml:space="preserve"> Rad. 096. Resolución No. 003 de 29 de octubre de 1993. Anexo a escrito de la parte peticionaria de 28 de enero </w:t>
      </w:r>
      <w:r>
        <w:rPr>
          <w:sz w:val="16"/>
          <w:szCs w:val="16"/>
        </w:rPr>
        <w:t xml:space="preserve">de </w:t>
      </w:r>
      <w:r w:rsidRPr="006E763F">
        <w:rPr>
          <w:sz w:val="16"/>
          <w:szCs w:val="16"/>
        </w:rPr>
        <w:t>2012.</w:t>
      </w:r>
    </w:p>
  </w:footnote>
  <w:footnote w:id="54">
    <w:p w14:paraId="1CE9E2F1" w14:textId="54F42D7B"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31</w:t>
      </w:r>
      <w:r w:rsidRPr="006E763F">
        <w:rPr>
          <w:sz w:val="16"/>
          <w:szCs w:val="16"/>
        </w:rPr>
        <w:t>. PGN</w:t>
      </w:r>
      <w:r>
        <w:rPr>
          <w:sz w:val="16"/>
          <w:szCs w:val="16"/>
        </w:rPr>
        <w:t>.</w:t>
      </w:r>
      <w:r w:rsidRPr="006E763F">
        <w:rPr>
          <w:sz w:val="16"/>
          <w:szCs w:val="16"/>
        </w:rPr>
        <w:t xml:space="preserve"> Radicación No. 008-139893. Acta de visita practicada en Oficina de información de la Registraduría Nacional. 12 de julio de 1993. Anexo a escrito de la parte peticionaria de 28 de enero </w:t>
      </w:r>
      <w:r>
        <w:rPr>
          <w:sz w:val="16"/>
          <w:szCs w:val="16"/>
        </w:rPr>
        <w:t xml:space="preserve">de </w:t>
      </w:r>
      <w:r w:rsidRPr="006E763F">
        <w:rPr>
          <w:sz w:val="16"/>
          <w:szCs w:val="16"/>
        </w:rPr>
        <w:t>2012.</w:t>
      </w:r>
    </w:p>
  </w:footnote>
  <w:footnote w:id="55">
    <w:p w14:paraId="53B3E9FA" w14:textId="158784F8"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32</w:t>
      </w:r>
      <w:r w:rsidRPr="006E763F">
        <w:rPr>
          <w:sz w:val="16"/>
          <w:szCs w:val="16"/>
        </w:rPr>
        <w:t>. PGN</w:t>
      </w:r>
      <w:r>
        <w:rPr>
          <w:sz w:val="16"/>
          <w:szCs w:val="16"/>
        </w:rPr>
        <w:t>.</w:t>
      </w:r>
      <w:r w:rsidRPr="006E763F">
        <w:rPr>
          <w:sz w:val="16"/>
          <w:szCs w:val="16"/>
        </w:rPr>
        <w:t xml:space="preserve"> Radicación No. 008-139893. Informe de la Oficina de Identificación y personas desaparecidas del Instituto Nacional de Medicina Legal y Ciencias Forenses. 9 de julio de 1993. Anexo a escrito de la parte peticionaria de 28 de enero </w:t>
      </w:r>
      <w:r>
        <w:rPr>
          <w:sz w:val="16"/>
          <w:szCs w:val="16"/>
        </w:rPr>
        <w:t xml:space="preserve">de </w:t>
      </w:r>
      <w:r w:rsidRPr="006E763F">
        <w:rPr>
          <w:sz w:val="16"/>
          <w:szCs w:val="16"/>
        </w:rPr>
        <w:t>2012.</w:t>
      </w:r>
    </w:p>
  </w:footnote>
  <w:footnote w:id="56">
    <w:p w14:paraId="3823FF07" w14:textId="28A82AAD"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33. PGN.</w:t>
      </w:r>
      <w:r w:rsidRPr="006E763F">
        <w:rPr>
          <w:sz w:val="16"/>
          <w:szCs w:val="16"/>
        </w:rPr>
        <w:t xml:space="preserve"> Radicación No. 008-139893. Acta de visita practicada en la Oficina de archivos especializados de la DAS. 5 de agosto de 1993. Anexo a escrito de la parte peticionaria de 28 de enero </w:t>
      </w:r>
      <w:r>
        <w:rPr>
          <w:sz w:val="16"/>
          <w:szCs w:val="16"/>
        </w:rPr>
        <w:t xml:space="preserve">de </w:t>
      </w:r>
      <w:r w:rsidRPr="006E763F">
        <w:rPr>
          <w:sz w:val="16"/>
          <w:szCs w:val="16"/>
        </w:rPr>
        <w:t>2012.</w:t>
      </w:r>
    </w:p>
  </w:footnote>
  <w:footnote w:id="57">
    <w:p w14:paraId="57FB75E6" w14:textId="6B5E010C"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34. PGN.</w:t>
      </w:r>
      <w:r w:rsidRPr="006E763F">
        <w:rPr>
          <w:sz w:val="16"/>
          <w:szCs w:val="16"/>
        </w:rPr>
        <w:t xml:space="preserve"> Radicación No. 008-139893. Acta visita especial en de la Unidad de Necrodactilias de Dijin, División Criminalística. 4 de agosto de 1993. Anexo a escrito de la parte peticionaria de 28 de enero </w:t>
      </w:r>
      <w:r>
        <w:rPr>
          <w:sz w:val="16"/>
          <w:szCs w:val="16"/>
        </w:rPr>
        <w:t xml:space="preserve">de </w:t>
      </w:r>
      <w:r w:rsidRPr="006E763F">
        <w:rPr>
          <w:sz w:val="16"/>
          <w:szCs w:val="16"/>
        </w:rPr>
        <w:t>2012.</w:t>
      </w:r>
    </w:p>
  </w:footnote>
  <w:footnote w:id="58">
    <w:p w14:paraId="64E6E7E5" w14:textId="6D7107F4"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35</w:t>
      </w:r>
      <w:r w:rsidRPr="006E763F">
        <w:rPr>
          <w:sz w:val="16"/>
          <w:szCs w:val="16"/>
        </w:rPr>
        <w:t>. PGN</w:t>
      </w:r>
      <w:r>
        <w:rPr>
          <w:sz w:val="16"/>
          <w:szCs w:val="16"/>
        </w:rPr>
        <w:t>.</w:t>
      </w:r>
      <w:r w:rsidRPr="006E763F">
        <w:rPr>
          <w:sz w:val="16"/>
          <w:szCs w:val="16"/>
        </w:rPr>
        <w:t xml:space="preserve"> Radicación No. 008-139893. Informe de la Sección Nacional N.N y Desaparecidos del Cuerpo Técnico de Investigación División Criminalística de la Fiscalía General. 26 de agosto de 1993. Anexo a escrito de la parte peticionaria de 28 de </w:t>
      </w:r>
      <w:r>
        <w:rPr>
          <w:sz w:val="16"/>
          <w:szCs w:val="16"/>
        </w:rPr>
        <w:t>enero de 2012</w:t>
      </w:r>
      <w:r w:rsidRPr="006E763F">
        <w:rPr>
          <w:sz w:val="16"/>
          <w:szCs w:val="16"/>
        </w:rPr>
        <w:t>.</w:t>
      </w:r>
    </w:p>
  </w:footnote>
  <w:footnote w:id="59">
    <w:p w14:paraId="095B3940" w14:textId="6C089239"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36</w:t>
      </w:r>
      <w:r w:rsidRPr="006E763F">
        <w:rPr>
          <w:sz w:val="16"/>
          <w:szCs w:val="16"/>
        </w:rPr>
        <w:t>. PGN</w:t>
      </w:r>
      <w:r>
        <w:rPr>
          <w:sz w:val="16"/>
          <w:szCs w:val="16"/>
        </w:rPr>
        <w:t>.</w:t>
      </w:r>
      <w:r w:rsidRPr="006E763F">
        <w:rPr>
          <w:sz w:val="16"/>
          <w:szCs w:val="16"/>
        </w:rPr>
        <w:t xml:space="preserve"> Radicación No. 008-139893. Oficio de Oficina de Identificación y Personas Desaparecidas. Oficio No. 092-93-OPD de 9 de julio de 1993. Anexo a escrito de la parte peticionaria de 28 de </w:t>
      </w:r>
      <w:r>
        <w:rPr>
          <w:sz w:val="16"/>
          <w:szCs w:val="16"/>
        </w:rPr>
        <w:t>enero de 2012</w:t>
      </w:r>
      <w:r w:rsidRPr="006E763F">
        <w:rPr>
          <w:sz w:val="16"/>
          <w:szCs w:val="16"/>
        </w:rPr>
        <w:t>.</w:t>
      </w:r>
    </w:p>
  </w:footnote>
  <w:footnote w:id="60">
    <w:p w14:paraId="0BB005CC" w14:textId="35ADC6BA"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37</w:t>
      </w:r>
      <w:r w:rsidRPr="006E763F">
        <w:rPr>
          <w:sz w:val="16"/>
          <w:szCs w:val="16"/>
        </w:rPr>
        <w:t xml:space="preserve">. </w:t>
      </w:r>
      <w:r>
        <w:rPr>
          <w:sz w:val="16"/>
          <w:szCs w:val="16"/>
        </w:rPr>
        <w:t>PGN.</w:t>
      </w:r>
      <w:r w:rsidRPr="006E763F">
        <w:rPr>
          <w:sz w:val="16"/>
          <w:szCs w:val="16"/>
        </w:rPr>
        <w:t xml:space="preserve"> Radicación No. 008-139893. Acta de visita practicada en Laboratorio de dactiloscopia del Instituto Nacional de Medicina Legal y Ciencias Forenses. 1 de septiembre de 1993. Anexo a escrito de la parte peticionaria de 28 de </w:t>
      </w:r>
      <w:r>
        <w:rPr>
          <w:sz w:val="16"/>
          <w:szCs w:val="16"/>
        </w:rPr>
        <w:t>enero de 2012</w:t>
      </w:r>
      <w:r w:rsidRPr="006E763F">
        <w:rPr>
          <w:sz w:val="16"/>
          <w:szCs w:val="16"/>
        </w:rPr>
        <w:t>.</w:t>
      </w:r>
    </w:p>
  </w:footnote>
  <w:footnote w:id="61">
    <w:p w14:paraId="7ADB29C3" w14:textId="5F74F965"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38</w:t>
      </w:r>
      <w:r w:rsidRPr="006E763F">
        <w:rPr>
          <w:sz w:val="16"/>
          <w:szCs w:val="16"/>
        </w:rPr>
        <w:t xml:space="preserve">. </w:t>
      </w:r>
      <w:r>
        <w:rPr>
          <w:sz w:val="16"/>
          <w:szCs w:val="16"/>
        </w:rPr>
        <w:t>PGN.</w:t>
      </w:r>
      <w:r w:rsidRPr="006E763F">
        <w:rPr>
          <w:sz w:val="16"/>
          <w:szCs w:val="16"/>
        </w:rPr>
        <w:t xml:space="preserve"> Radicación No. 008-139893. Acta de inspección al CAI 72. 20 de mayo de 1993; Anexo </w:t>
      </w:r>
      <w:r>
        <w:rPr>
          <w:sz w:val="16"/>
          <w:szCs w:val="16"/>
        </w:rPr>
        <w:t>39</w:t>
      </w:r>
      <w:r w:rsidRPr="006E763F">
        <w:rPr>
          <w:sz w:val="16"/>
          <w:szCs w:val="16"/>
        </w:rPr>
        <w:t xml:space="preserve">. </w:t>
      </w:r>
      <w:r>
        <w:rPr>
          <w:sz w:val="16"/>
          <w:szCs w:val="16"/>
        </w:rPr>
        <w:t>PGN.</w:t>
      </w:r>
      <w:r w:rsidRPr="006E763F">
        <w:rPr>
          <w:sz w:val="16"/>
          <w:szCs w:val="16"/>
        </w:rPr>
        <w:t xml:space="preserve"> Radicación No. 008-139893. Acta de visita especial en el comando de la Estación Cien “C.A.D” de la Policía Nacional, en Santa fe de Bogotá. 26 de mayo de 1993; Anexo </w:t>
      </w:r>
      <w:r>
        <w:rPr>
          <w:sz w:val="16"/>
          <w:szCs w:val="16"/>
        </w:rPr>
        <w:t>40</w:t>
      </w:r>
      <w:r w:rsidRPr="006E763F">
        <w:rPr>
          <w:sz w:val="16"/>
          <w:szCs w:val="16"/>
        </w:rPr>
        <w:t xml:space="preserve">. </w:t>
      </w:r>
      <w:r>
        <w:rPr>
          <w:sz w:val="16"/>
          <w:szCs w:val="16"/>
        </w:rPr>
        <w:t>PGN.</w:t>
      </w:r>
      <w:r w:rsidRPr="006E763F">
        <w:rPr>
          <w:sz w:val="16"/>
          <w:szCs w:val="16"/>
        </w:rPr>
        <w:t xml:space="preserve"> Radicación No. 008-139893. Acta de visita especial practicada en la sala de retenidos de la DAS, Santa Fe de Bogotá D.C. 28 de mayo de 1993; Anexo </w:t>
      </w:r>
      <w:r>
        <w:rPr>
          <w:sz w:val="16"/>
          <w:szCs w:val="16"/>
        </w:rPr>
        <w:t>41</w:t>
      </w:r>
      <w:r w:rsidRPr="006E763F">
        <w:rPr>
          <w:sz w:val="16"/>
          <w:szCs w:val="16"/>
        </w:rPr>
        <w:t xml:space="preserve">. </w:t>
      </w:r>
      <w:r>
        <w:rPr>
          <w:sz w:val="16"/>
          <w:szCs w:val="16"/>
        </w:rPr>
        <w:t>PGN.</w:t>
      </w:r>
      <w:r w:rsidRPr="006E763F">
        <w:rPr>
          <w:sz w:val="16"/>
          <w:szCs w:val="16"/>
        </w:rPr>
        <w:t xml:space="preserve"> Radicación No. 008-139893. Acta de visita especial en la sala de retenidos del Sijin y DAS. 28 de mayo de 1993; Anexo </w:t>
      </w:r>
      <w:r>
        <w:rPr>
          <w:sz w:val="16"/>
          <w:szCs w:val="16"/>
        </w:rPr>
        <w:t>42</w:t>
      </w:r>
      <w:r w:rsidRPr="006E763F">
        <w:rPr>
          <w:sz w:val="16"/>
          <w:szCs w:val="16"/>
        </w:rPr>
        <w:t>. Fiscalía General</w:t>
      </w:r>
      <w:r>
        <w:rPr>
          <w:sz w:val="16"/>
          <w:szCs w:val="16"/>
        </w:rPr>
        <w:t>.</w:t>
      </w:r>
      <w:r w:rsidRPr="006E763F">
        <w:rPr>
          <w:sz w:val="16"/>
          <w:szCs w:val="16"/>
        </w:rPr>
        <w:t xml:space="preserve"> Rad. 096. Informe de Fiscalía General de 31 de mayo de 1993. Anexos a escrito de la parte peticionaria de 28 de </w:t>
      </w:r>
      <w:r>
        <w:rPr>
          <w:sz w:val="16"/>
          <w:szCs w:val="16"/>
        </w:rPr>
        <w:t>enero de 2012</w:t>
      </w:r>
      <w:r w:rsidRPr="006E763F">
        <w:rPr>
          <w:sz w:val="16"/>
          <w:szCs w:val="16"/>
        </w:rPr>
        <w:t>.</w:t>
      </w:r>
    </w:p>
  </w:footnote>
  <w:footnote w:id="62">
    <w:p w14:paraId="38B7FB97" w14:textId="100B9489"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Pr>
          <w:sz w:val="16"/>
          <w:szCs w:val="16"/>
        </w:rPr>
        <w:t>Anexo 43</w:t>
      </w:r>
      <w:r w:rsidRPr="006E763F">
        <w:rPr>
          <w:sz w:val="16"/>
          <w:szCs w:val="16"/>
        </w:rPr>
        <w:t xml:space="preserve">. </w:t>
      </w:r>
      <w:r>
        <w:rPr>
          <w:sz w:val="16"/>
          <w:szCs w:val="16"/>
        </w:rPr>
        <w:t>PGN.</w:t>
      </w:r>
      <w:r w:rsidRPr="006E763F">
        <w:rPr>
          <w:sz w:val="16"/>
          <w:szCs w:val="16"/>
        </w:rPr>
        <w:t xml:space="preserve"> Radicación No. 008-139893. Informe de Procuraduría Delegada para la Defensa de los Derechos Humanos sobre revocación de decisión de archivo de 27 de marzo de 1998. Notificada el 24 de agosto de 1998. </w:t>
      </w:r>
      <w:r w:rsidRPr="006E763F">
        <w:rPr>
          <w:sz w:val="16"/>
          <w:szCs w:val="16"/>
          <w:lang w:val="es-CL"/>
        </w:rPr>
        <w:t xml:space="preserve">Anexo a escrito de la parte peticionaria de 28 de </w:t>
      </w:r>
      <w:r>
        <w:rPr>
          <w:sz w:val="16"/>
          <w:szCs w:val="16"/>
          <w:lang w:val="es-CL"/>
        </w:rPr>
        <w:t>enero de 2012</w:t>
      </w:r>
      <w:r w:rsidRPr="006E763F">
        <w:rPr>
          <w:sz w:val="16"/>
          <w:szCs w:val="16"/>
          <w:lang w:val="es-CL"/>
        </w:rPr>
        <w:t>.</w:t>
      </w:r>
    </w:p>
  </w:footnote>
  <w:footnote w:id="63">
    <w:p w14:paraId="053B9CD0" w14:textId="7977D77B"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Pr>
          <w:sz w:val="16"/>
          <w:szCs w:val="16"/>
        </w:rPr>
        <w:t xml:space="preserve"> Escrito</w:t>
      </w:r>
      <w:r w:rsidRPr="006E763F">
        <w:rPr>
          <w:sz w:val="16"/>
          <w:szCs w:val="16"/>
        </w:rPr>
        <w:t xml:space="preserve"> del Estado de 16 noviembre de 2017.</w:t>
      </w:r>
    </w:p>
  </w:footnote>
  <w:footnote w:id="64">
    <w:p w14:paraId="44DE290F" w14:textId="327CEB0C"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Pr>
          <w:sz w:val="16"/>
          <w:szCs w:val="16"/>
        </w:rPr>
        <w:t xml:space="preserve"> Anexo 44. Fiscalía General. </w:t>
      </w:r>
      <w:r w:rsidRPr="006E763F">
        <w:rPr>
          <w:sz w:val="16"/>
          <w:szCs w:val="16"/>
        </w:rPr>
        <w:t xml:space="preserve">Rad. 096. Informe de la Fiscalía General de 31 de marzo de 1993. Se informan dos declaraciones testimoniales de Candelaria Vergara, Olga Inés Medina, visitas a instalaciones de Medicina Legal, Dijin, Sijin, DAS y Fuerzas Militares. Anexos a escrito de la parte peticionaria de 28 de </w:t>
      </w:r>
      <w:r>
        <w:rPr>
          <w:sz w:val="16"/>
          <w:szCs w:val="16"/>
        </w:rPr>
        <w:t>enero de 2012</w:t>
      </w:r>
      <w:r w:rsidRPr="006E763F">
        <w:rPr>
          <w:sz w:val="16"/>
          <w:szCs w:val="16"/>
        </w:rPr>
        <w:t>.</w:t>
      </w:r>
    </w:p>
  </w:footnote>
  <w:footnote w:id="65">
    <w:p w14:paraId="19D9EACF" w14:textId="6D79965B"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45. Fiscalía General.</w:t>
      </w:r>
      <w:r w:rsidRPr="006E763F">
        <w:rPr>
          <w:sz w:val="16"/>
          <w:szCs w:val="16"/>
        </w:rPr>
        <w:t xml:space="preserve"> Rad. No. 096. Oficio a ASFADDES. 17 de febrero de 1994; Anexo </w:t>
      </w:r>
      <w:r>
        <w:rPr>
          <w:sz w:val="16"/>
          <w:szCs w:val="16"/>
        </w:rPr>
        <w:t>46</w:t>
      </w:r>
      <w:r w:rsidRPr="006E763F">
        <w:rPr>
          <w:sz w:val="16"/>
          <w:szCs w:val="16"/>
        </w:rPr>
        <w:t xml:space="preserve">. </w:t>
      </w:r>
      <w:r>
        <w:rPr>
          <w:sz w:val="16"/>
          <w:szCs w:val="16"/>
        </w:rPr>
        <w:t>Fiscalía General.</w:t>
      </w:r>
      <w:r w:rsidRPr="006E763F">
        <w:rPr>
          <w:sz w:val="16"/>
          <w:szCs w:val="16"/>
        </w:rPr>
        <w:t xml:space="preserve"> Rad. 096. Oficio a la División de Laboratorio e Identificación. 29 de marzo de 1994; Anexo </w:t>
      </w:r>
      <w:r>
        <w:rPr>
          <w:sz w:val="16"/>
          <w:szCs w:val="16"/>
        </w:rPr>
        <w:t>3.</w:t>
      </w:r>
      <w:r w:rsidRPr="006E763F">
        <w:rPr>
          <w:sz w:val="16"/>
          <w:szCs w:val="16"/>
        </w:rPr>
        <w:t xml:space="preserve"> </w:t>
      </w:r>
      <w:r>
        <w:rPr>
          <w:sz w:val="16"/>
          <w:szCs w:val="16"/>
        </w:rPr>
        <w:t>Fiscalía General.</w:t>
      </w:r>
      <w:r w:rsidRPr="006E763F">
        <w:rPr>
          <w:sz w:val="16"/>
          <w:szCs w:val="16"/>
        </w:rPr>
        <w:t xml:space="preserve"> Rad. 096. Diligencia de declaración de Candelaria Vergara. 13 de abril de 1994. Anexos a escrito de la parte peticionaria de 28 de </w:t>
      </w:r>
      <w:r>
        <w:rPr>
          <w:sz w:val="16"/>
          <w:szCs w:val="16"/>
        </w:rPr>
        <w:t>enero de 2012</w:t>
      </w:r>
      <w:r w:rsidRPr="006E763F">
        <w:rPr>
          <w:sz w:val="16"/>
          <w:szCs w:val="16"/>
        </w:rPr>
        <w:t xml:space="preserve">.  </w:t>
      </w:r>
    </w:p>
  </w:footnote>
  <w:footnote w:id="66">
    <w:p w14:paraId="7B5AC3D6" w14:textId="7348075B"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Pr>
          <w:sz w:val="16"/>
          <w:szCs w:val="16"/>
        </w:rPr>
        <w:t xml:space="preserve"> </w:t>
      </w:r>
      <w:r w:rsidRPr="006E763F">
        <w:rPr>
          <w:sz w:val="16"/>
          <w:szCs w:val="16"/>
        </w:rPr>
        <w:t>Escrito de la parte peticionaria de 15 de junio de 2016.</w:t>
      </w:r>
    </w:p>
  </w:footnote>
  <w:footnote w:id="67">
    <w:p w14:paraId="6417D550" w14:textId="7351E439"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47</w:t>
      </w:r>
      <w:r w:rsidRPr="006E763F">
        <w:rPr>
          <w:sz w:val="16"/>
          <w:szCs w:val="16"/>
        </w:rPr>
        <w:t xml:space="preserve">. </w:t>
      </w:r>
      <w:r>
        <w:rPr>
          <w:sz w:val="16"/>
          <w:szCs w:val="16"/>
        </w:rPr>
        <w:t>Fiscalía General.</w:t>
      </w:r>
      <w:r w:rsidRPr="006E763F">
        <w:rPr>
          <w:sz w:val="16"/>
          <w:szCs w:val="16"/>
        </w:rPr>
        <w:t xml:space="preserve"> Rad. No. 096. Resolución UDH de 24 de octubre de 1996. Anexo a escrito de la parte peticionaria de 28 de </w:t>
      </w:r>
      <w:r>
        <w:rPr>
          <w:sz w:val="16"/>
          <w:szCs w:val="16"/>
        </w:rPr>
        <w:t>enero de 2012</w:t>
      </w:r>
      <w:r w:rsidRPr="006E763F">
        <w:rPr>
          <w:sz w:val="16"/>
          <w:szCs w:val="16"/>
        </w:rPr>
        <w:t>.</w:t>
      </w:r>
    </w:p>
  </w:footnote>
  <w:footnote w:id="68">
    <w:p w14:paraId="47EE6C42" w14:textId="3E86E031" w:rsidR="00B934ED" w:rsidRPr="006E763F" w:rsidRDefault="00B934ED" w:rsidP="00F23C31">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48</w:t>
      </w:r>
      <w:r w:rsidRPr="006E763F">
        <w:rPr>
          <w:sz w:val="16"/>
          <w:szCs w:val="16"/>
        </w:rPr>
        <w:t xml:space="preserve">. </w:t>
      </w:r>
      <w:r>
        <w:rPr>
          <w:sz w:val="16"/>
          <w:szCs w:val="16"/>
        </w:rPr>
        <w:t>Fiscalía General.</w:t>
      </w:r>
      <w:r w:rsidRPr="006E763F">
        <w:rPr>
          <w:sz w:val="16"/>
          <w:szCs w:val="16"/>
        </w:rPr>
        <w:t xml:space="preserve"> Rad. No. 096. Oficio al Cuerpo técnico de investigación por la Dirección Nacional de Fiscalías Unidad de Derechos Humanos. 8 de abril de 1997. Anexo a escrito de la parte peticionaria de 28 de </w:t>
      </w:r>
      <w:r>
        <w:rPr>
          <w:sz w:val="16"/>
          <w:szCs w:val="16"/>
        </w:rPr>
        <w:t>enero de 2012</w:t>
      </w:r>
      <w:r w:rsidRPr="006E763F">
        <w:rPr>
          <w:sz w:val="16"/>
          <w:szCs w:val="16"/>
        </w:rPr>
        <w:t>.</w:t>
      </w:r>
    </w:p>
  </w:footnote>
  <w:footnote w:id="69">
    <w:p w14:paraId="015F3F8C" w14:textId="54323965"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49</w:t>
      </w:r>
      <w:r w:rsidRPr="006E763F">
        <w:rPr>
          <w:sz w:val="16"/>
          <w:szCs w:val="16"/>
        </w:rPr>
        <w:t xml:space="preserve">. </w:t>
      </w:r>
      <w:r>
        <w:rPr>
          <w:sz w:val="16"/>
          <w:szCs w:val="16"/>
        </w:rPr>
        <w:t>Fiscalía General.</w:t>
      </w:r>
      <w:r w:rsidRPr="006E763F">
        <w:rPr>
          <w:sz w:val="16"/>
          <w:szCs w:val="16"/>
        </w:rPr>
        <w:t xml:space="preserve"> Rad. No. 096. Resolución de Fiscal Especializado U.D.H de 11 de diciembre de 2001, en que resolvió que “teniendo en cuenta que hasta la fecha han transcurrido más de 180 días de proferida la resolución de apertura de investigación previa, resulta pertinente dar aplicación a lo establecido en el artículo 326 del C.P.P., por cuanto no ha sido posible establecer, identificar o individualizar a persona alguna como presunta autora o partícipe en los hechos”. Por Constancia Secretarial de 11 de enero de 2002, en relación a dicha resolución, se informó al fiscal de conocimiento que “a esta no se le dio cumplimiento por parte de la suscrita toda vez que el art. 326 del C.P.P fue declarado inexequible por la Corte Constitucional mediante sentencia C-760 de julio 19 de 2001. Anexos a escrito de la parte peticionaria de 28 de </w:t>
      </w:r>
      <w:r>
        <w:rPr>
          <w:sz w:val="16"/>
          <w:szCs w:val="16"/>
        </w:rPr>
        <w:t>enero de 2012</w:t>
      </w:r>
      <w:r w:rsidRPr="006E763F">
        <w:rPr>
          <w:sz w:val="16"/>
          <w:szCs w:val="16"/>
        </w:rPr>
        <w:t>.</w:t>
      </w:r>
    </w:p>
  </w:footnote>
  <w:footnote w:id="70">
    <w:p w14:paraId="3E159D66" w14:textId="74855ED4"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Pr>
          <w:sz w:val="16"/>
          <w:szCs w:val="16"/>
        </w:rPr>
        <w:t xml:space="preserve"> Anexo 50</w:t>
      </w:r>
      <w:r w:rsidRPr="006E763F">
        <w:rPr>
          <w:sz w:val="16"/>
          <w:szCs w:val="16"/>
        </w:rPr>
        <w:t xml:space="preserve">. </w:t>
      </w:r>
      <w:r>
        <w:rPr>
          <w:sz w:val="16"/>
          <w:szCs w:val="16"/>
        </w:rPr>
        <w:t>Fiscalía General.</w:t>
      </w:r>
      <w:r w:rsidRPr="006E763F">
        <w:rPr>
          <w:sz w:val="16"/>
          <w:szCs w:val="16"/>
        </w:rPr>
        <w:t xml:space="preserve"> Rad. No. 096. Auto/resolución Fiscalía 23 especializada avoca conocimiento y ordena la práctica de pruebas. 17 de enero de 2006. Anexo escrito parte peticionaria de 28 de </w:t>
      </w:r>
      <w:r>
        <w:rPr>
          <w:sz w:val="16"/>
          <w:szCs w:val="16"/>
        </w:rPr>
        <w:t>enero de 2012</w:t>
      </w:r>
      <w:r w:rsidRPr="006E763F">
        <w:rPr>
          <w:sz w:val="16"/>
          <w:szCs w:val="16"/>
        </w:rPr>
        <w:t>.</w:t>
      </w:r>
    </w:p>
  </w:footnote>
  <w:footnote w:id="71">
    <w:p w14:paraId="66FA7385" w14:textId="497ABA9C" w:rsidR="00B934ED" w:rsidRPr="006E763F" w:rsidRDefault="00B934ED" w:rsidP="00F23C31">
      <w:pPr>
        <w:pStyle w:val="NoSpacing"/>
        <w:tabs>
          <w:tab w:val="left" w:pos="9356"/>
        </w:tabs>
        <w:ind w:firstLine="0"/>
        <w:rPr>
          <w:sz w:val="16"/>
          <w:szCs w:val="16"/>
        </w:rPr>
      </w:pPr>
      <w:r w:rsidRPr="006E763F">
        <w:rPr>
          <w:sz w:val="16"/>
          <w:szCs w:val="16"/>
          <w:vertAlign w:val="superscript"/>
        </w:rPr>
        <w:footnoteRef/>
      </w:r>
      <w:r>
        <w:rPr>
          <w:sz w:val="16"/>
          <w:szCs w:val="16"/>
        </w:rPr>
        <w:t xml:space="preserve"> Anexo 51.</w:t>
      </w:r>
      <w:r w:rsidRPr="006E763F">
        <w:rPr>
          <w:sz w:val="16"/>
          <w:szCs w:val="16"/>
        </w:rPr>
        <w:t xml:space="preserve"> </w:t>
      </w:r>
      <w:r>
        <w:rPr>
          <w:sz w:val="16"/>
          <w:szCs w:val="16"/>
        </w:rPr>
        <w:t>Fiscalía General.</w:t>
      </w:r>
      <w:r w:rsidRPr="006E763F">
        <w:rPr>
          <w:sz w:val="16"/>
          <w:szCs w:val="16"/>
        </w:rPr>
        <w:t xml:space="preserve"> Rad. No. 096. Oficio de PGN con fotocopia auténtica del expediente 008-139893. 15 abril 1994. Anexo a escrito de la parte peticionaria de 28 de </w:t>
      </w:r>
      <w:r>
        <w:rPr>
          <w:sz w:val="16"/>
          <w:szCs w:val="16"/>
        </w:rPr>
        <w:t>enero de 2012</w:t>
      </w:r>
      <w:r w:rsidRPr="006E763F">
        <w:rPr>
          <w:sz w:val="16"/>
          <w:szCs w:val="16"/>
        </w:rPr>
        <w:t>.</w:t>
      </w:r>
    </w:p>
  </w:footnote>
  <w:footnote w:id="72">
    <w:p w14:paraId="312EA8D2" w14:textId="6B6285F3" w:rsidR="00B934ED" w:rsidRPr="006E763F" w:rsidRDefault="00B934ED" w:rsidP="00F23C31">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52</w:t>
      </w:r>
      <w:r w:rsidRPr="006E763F">
        <w:rPr>
          <w:sz w:val="16"/>
          <w:szCs w:val="16"/>
        </w:rPr>
        <w:t xml:space="preserve">. </w:t>
      </w:r>
      <w:r>
        <w:rPr>
          <w:sz w:val="16"/>
          <w:szCs w:val="16"/>
        </w:rPr>
        <w:t>Fiscalía General.</w:t>
      </w:r>
      <w:r w:rsidRPr="006E763F">
        <w:rPr>
          <w:sz w:val="16"/>
          <w:szCs w:val="16"/>
        </w:rPr>
        <w:t xml:space="preserve"> Rad. No. 096. Oficio a PGN de solicitud de copias de actuaciones adelantadas en proceso 008-139893. 14 de noviembre de 1996. Anexo a escrito de la parte peticionaria de 28 de </w:t>
      </w:r>
      <w:r>
        <w:rPr>
          <w:sz w:val="16"/>
          <w:szCs w:val="16"/>
        </w:rPr>
        <w:t>enero de 2012</w:t>
      </w:r>
      <w:r w:rsidRPr="006E763F">
        <w:rPr>
          <w:sz w:val="16"/>
          <w:szCs w:val="16"/>
        </w:rPr>
        <w:t>.</w:t>
      </w:r>
    </w:p>
  </w:footnote>
  <w:footnote w:id="73">
    <w:p w14:paraId="660F46F2" w14:textId="720DB96F" w:rsidR="00B934ED" w:rsidRPr="006E763F" w:rsidRDefault="00B934ED" w:rsidP="00F23C31">
      <w:pPr>
        <w:pStyle w:val="NoSpacing"/>
        <w:tabs>
          <w:tab w:val="left" w:pos="9356"/>
        </w:tabs>
        <w:ind w:firstLine="0"/>
        <w:rPr>
          <w:sz w:val="16"/>
          <w:szCs w:val="16"/>
        </w:rPr>
      </w:pPr>
      <w:r w:rsidRPr="006E763F">
        <w:rPr>
          <w:sz w:val="16"/>
          <w:szCs w:val="16"/>
          <w:vertAlign w:val="superscript"/>
        </w:rPr>
        <w:footnoteRef/>
      </w:r>
      <w:r>
        <w:rPr>
          <w:sz w:val="16"/>
          <w:szCs w:val="16"/>
        </w:rPr>
        <w:t xml:space="preserve"> Anexo 53</w:t>
      </w:r>
      <w:r w:rsidRPr="006E763F">
        <w:rPr>
          <w:sz w:val="16"/>
          <w:szCs w:val="16"/>
        </w:rPr>
        <w:t xml:space="preserve">. </w:t>
      </w:r>
      <w:r>
        <w:rPr>
          <w:sz w:val="16"/>
          <w:szCs w:val="16"/>
        </w:rPr>
        <w:t>Fiscalía General.</w:t>
      </w:r>
      <w:r w:rsidRPr="006E763F">
        <w:rPr>
          <w:sz w:val="16"/>
          <w:szCs w:val="16"/>
        </w:rPr>
        <w:t xml:space="preserve"> Rad. No. 096. Oficio de remisión de expediente por la PGN.</w:t>
      </w:r>
      <w:r>
        <w:rPr>
          <w:sz w:val="16"/>
          <w:szCs w:val="16"/>
        </w:rPr>
        <w:t xml:space="preserve"> </w:t>
      </w:r>
      <w:r w:rsidRPr="006E763F">
        <w:rPr>
          <w:sz w:val="16"/>
          <w:szCs w:val="16"/>
        </w:rPr>
        <w:t xml:space="preserve">19 de diciembre de 2000. Anexo a escrito de la parte peticionaria de 28 de </w:t>
      </w:r>
      <w:r>
        <w:rPr>
          <w:sz w:val="16"/>
          <w:szCs w:val="16"/>
        </w:rPr>
        <w:t>enero de 2012</w:t>
      </w:r>
      <w:r w:rsidRPr="006E763F">
        <w:rPr>
          <w:sz w:val="16"/>
          <w:szCs w:val="16"/>
        </w:rPr>
        <w:t xml:space="preserve">. </w:t>
      </w:r>
    </w:p>
  </w:footnote>
  <w:footnote w:id="74">
    <w:p w14:paraId="5E442D18" w14:textId="056AB219"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Escrito de la parte peticionaria de 15 de junio de 2016. </w:t>
      </w:r>
    </w:p>
  </w:footnote>
  <w:footnote w:id="75">
    <w:p w14:paraId="7882CB41" w14:textId="10311712"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Pr>
          <w:sz w:val="16"/>
          <w:szCs w:val="16"/>
        </w:rPr>
        <w:t xml:space="preserve"> Escrito</w:t>
      </w:r>
      <w:r w:rsidRPr="006E763F">
        <w:rPr>
          <w:sz w:val="16"/>
          <w:szCs w:val="16"/>
        </w:rPr>
        <w:t xml:space="preserve"> del Estado de 16 de noviembre de 2017.</w:t>
      </w:r>
    </w:p>
  </w:footnote>
  <w:footnote w:id="76">
    <w:p w14:paraId="4CBC7F23" w14:textId="70ABFB25"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54</w:t>
      </w:r>
      <w:r w:rsidRPr="006E763F">
        <w:rPr>
          <w:sz w:val="16"/>
          <w:szCs w:val="16"/>
        </w:rPr>
        <w:t xml:space="preserve">. </w:t>
      </w:r>
      <w:r>
        <w:rPr>
          <w:sz w:val="16"/>
          <w:szCs w:val="16"/>
        </w:rPr>
        <w:t>Fiscalía General.</w:t>
      </w:r>
      <w:r w:rsidRPr="006E763F">
        <w:rPr>
          <w:sz w:val="16"/>
          <w:szCs w:val="16"/>
        </w:rPr>
        <w:t xml:space="preserve"> Rad. No. 096. Resolución de Fiscalía General en respuesta al derecho de petición presentado por Reinaldo Villalba Vargas. 14 de julio de 2000. Anexo escrito parte peticionaria de 28 de </w:t>
      </w:r>
      <w:r>
        <w:rPr>
          <w:sz w:val="16"/>
          <w:szCs w:val="16"/>
        </w:rPr>
        <w:t>enero de 2012</w:t>
      </w:r>
      <w:r w:rsidRPr="006E763F">
        <w:rPr>
          <w:sz w:val="16"/>
          <w:szCs w:val="16"/>
        </w:rPr>
        <w:t xml:space="preserve">; en el mismo sentido, Anexo </w:t>
      </w:r>
      <w:r>
        <w:rPr>
          <w:sz w:val="16"/>
          <w:szCs w:val="16"/>
        </w:rPr>
        <w:t>55</w:t>
      </w:r>
      <w:r w:rsidRPr="006E763F">
        <w:rPr>
          <w:sz w:val="16"/>
          <w:szCs w:val="16"/>
        </w:rPr>
        <w:t xml:space="preserve">. </w:t>
      </w:r>
      <w:r>
        <w:rPr>
          <w:sz w:val="16"/>
          <w:szCs w:val="16"/>
        </w:rPr>
        <w:t>Fiscalía General.</w:t>
      </w:r>
      <w:r w:rsidRPr="006E763F">
        <w:rPr>
          <w:sz w:val="16"/>
          <w:szCs w:val="16"/>
        </w:rPr>
        <w:t xml:space="preserve"> Rad. 096. Resolución de Fiscalía General en respuesta al derecho de petición presentado por Reinaldo Villalba Vargas. 3 de julio de 2001; Anexo </w:t>
      </w:r>
      <w:r>
        <w:rPr>
          <w:sz w:val="16"/>
          <w:szCs w:val="16"/>
        </w:rPr>
        <w:t>56</w:t>
      </w:r>
      <w:r w:rsidRPr="006E763F">
        <w:rPr>
          <w:sz w:val="16"/>
          <w:szCs w:val="16"/>
        </w:rPr>
        <w:t xml:space="preserve">. </w:t>
      </w:r>
      <w:r>
        <w:rPr>
          <w:sz w:val="16"/>
          <w:szCs w:val="16"/>
        </w:rPr>
        <w:t>Fiscalía General.</w:t>
      </w:r>
      <w:r w:rsidRPr="006E763F">
        <w:rPr>
          <w:sz w:val="16"/>
          <w:szCs w:val="16"/>
        </w:rPr>
        <w:t xml:space="preserve"> Rad. 096. Resolución Fiscalía General de 10 de julio de 2001. Anexos </w:t>
      </w:r>
      <w:r>
        <w:rPr>
          <w:sz w:val="16"/>
          <w:szCs w:val="16"/>
        </w:rPr>
        <w:t xml:space="preserve">a </w:t>
      </w:r>
      <w:r w:rsidRPr="006E763F">
        <w:rPr>
          <w:sz w:val="16"/>
          <w:szCs w:val="16"/>
        </w:rPr>
        <w:t xml:space="preserve">escrito parte peticionaria de 28 de </w:t>
      </w:r>
      <w:r>
        <w:rPr>
          <w:sz w:val="16"/>
          <w:szCs w:val="16"/>
        </w:rPr>
        <w:t>enero de 2012</w:t>
      </w:r>
      <w:r w:rsidRPr="006E763F">
        <w:rPr>
          <w:sz w:val="16"/>
          <w:szCs w:val="16"/>
        </w:rPr>
        <w:t>.</w:t>
      </w:r>
    </w:p>
  </w:footnote>
  <w:footnote w:id="77">
    <w:p w14:paraId="76664BBC" w14:textId="3CBAE616"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57</w:t>
      </w:r>
      <w:r w:rsidRPr="006E763F">
        <w:rPr>
          <w:sz w:val="16"/>
          <w:szCs w:val="16"/>
        </w:rPr>
        <w:t xml:space="preserve">. </w:t>
      </w:r>
      <w:r>
        <w:rPr>
          <w:sz w:val="16"/>
          <w:szCs w:val="16"/>
        </w:rPr>
        <w:t>Fiscalía General.</w:t>
      </w:r>
      <w:r w:rsidRPr="006E763F">
        <w:rPr>
          <w:sz w:val="16"/>
          <w:szCs w:val="16"/>
        </w:rPr>
        <w:t xml:space="preserve"> Rad. No. 096. Resolución de la Fiscalía 48 especializada de la UDH de 26 de mayo de 2011. Anexo a escrito de la parte peticionaria de 28 de </w:t>
      </w:r>
      <w:r>
        <w:rPr>
          <w:sz w:val="16"/>
          <w:szCs w:val="16"/>
        </w:rPr>
        <w:t>enero de 2012</w:t>
      </w:r>
      <w:r w:rsidRPr="006E763F">
        <w:rPr>
          <w:sz w:val="16"/>
          <w:szCs w:val="16"/>
        </w:rPr>
        <w:t>.</w:t>
      </w:r>
    </w:p>
  </w:footnote>
  <w:footnote w:id="78">
    <w:p w14:paraId="4D746C53" w14:textId="1CE909A4"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58</w:t>
      </w:r>
      <w:r w:rsidRPr="006E763F">
        <w:rPr>
          <w:sz w:val="16"/>
          <w:szCs w:val="16"/>
        </w:rPr>
        <w:t xml:space="preserve">. </w:t>
      </w:r>
      <w:r>
        <w:rPr>
          <w:sz w:val="16"/>
          <w:szCs w:val="16"/>
        </w:rPr>
        <w:t>Fiscalía General.</w:t>
      </w:r>
      <w:r w:rsidRPr="006E763F">
        <w:rPr>
          <w:sz w:val="16"/>
          <w:szCs w:val="16"/>
        </w:rPr>
        <w:t xml:space="preserve"> Rad. No. 096. Decreto de práctica de pruebas por la UDH. 13 de septiembre de 2011. Anexo a escrito de la parte peticionaria de 28 de </w:t>
      </w:r>
      <w:r>
        <w:rPr>
          <w:sz w:val="16"/>
          <w:szCs w:val="16"/>
        </w:rPr>
        <w:t>enero de 2012</w:t>
      </w:r>
      <w:r w:rsidRPr="006E763F">
        <w:rPr>
          <w:sz w:val="16"/>
          <w:szCs w:val="16"/>
        </w:rPr>
        <w:t>.</w:t>
      </w:r>
    </w:p>
  </w:footnote>
  <w:footnote w:id="79">
    <w:p w14:paraId="0B26C0EB" w14:textId="625D08B4" w:rsidR="00B934ED" w:rsidRPr="00947535" w:rsidRDefault="00B934ED" w:rsidP="00947535">
      <w:pPr>
        <w:pStyle w:val="FootnoteText"/>
        <w:tabs>
          <w:tab w:val="left" w:pos="9356"/>
        </w:tabs>
        <w:ind w:firstLine="0"/>
        <w:rPr>
          <w:rFonts w:asciiTheme="majorHAnsi" w:hAnsiTheme="majorHAnsi"/>
          <w:lang w:val="es-MX"/>
        </w:rPr>
      </w:pPr>
      <w:r w:rsidRPr="006E763F">
        <w:rPr>
          <w:vertAlign w:val="superscript"/>
        </w:rPr>
        <w:footnoteRef/>
      </w:r>
      <w:r w:rsidRPr="000D2D54">
        <w:rPr>
          <w:lang w:val="es-PE"/>
        </w:rPr>
        <w:t xml:space="preserve"> </w:t>
      </w:r>
      <w:r w:rsidRPr="002B27F9">
        <w:rPr>
          <w:lang w:val="es-ES"/>
        </w:rPr>
        <w:t xml:space="preserve">Anexo </w:t>
      </w:r>
      <w:r>
        <w:rPr>
          <w:lang w:val="es-ES"/>
        </w:rPr>
        <w:t>2</w:t>
      </w:r>
      <w:r w:rsidRPr="002B27F9">
        <w:rPr>
          <w:lang w:val="es-ES"/>
        </w:rPr>
        <w:t>. Fi</w:t>
      </w:r>
      <w:r>
        <w:rPr>
          <w:lang w:val="es-ES"/>
        </w:rPr>
        <w:t xml:space="preserve">scalía General. </w:t>
      </w:r>
      <w:r w:rsidRPr="002B27F9">
        <w:rPr>
          <w:lang w:val="es-ES"/>
        </w:rPr>
        <w:t xml:space="preserve"> Rad. 096. </w:t>
      </w:r>
      <w:r>
        <w:rPr>
          <w:lang w:val="es-ES"/>
        </w:rPr>
        <w:t>D</w:t>
      </w:r>
      <w:r w:rsidRPr="002B27F9">
        <w:rPr>
          <w:lang w:val="es-ES"/>
        </w:rPr>
        <w:t>eclaración de Candelaria Nurys Vergar</w:t>
      </w:r>
      <w:r>
        <w:rPr>
          <w:lang w:val="es-ES"/>
        </w:rPr>
        <w:t xml:space="preserve">a Carriazo. 7 de junio de 2012. </w:t>
      </w:r>
      <w:r w:rsidRPr="002B27F9">
        <w:rPr>
          <w:lang w:val="es-ES"/>
        </w:rPr>
        <w:t xml:space="preserve">Anexo a escrito de la parte peticionaria de 28 de enero </w:t>
      </w:r>
      <w:r>
        <w:rPr>
          <w:lang w:val="es-ES"/>
        </w:rPr>
        <w:t xml:space="preserve">de 2012; y Anexo 3. Fiscalía General. </w:t>
      </w:r>
      <w:r w:rsidRPr="002B27F9">
        <w:rPr>
          <w:lang w:val="es-ES"/>
        </w:rPr>
        <w:t xml:space="preserve"> Rad. 096. Diligencia de declaración Candelaria Nurys Vergara Carriazo ante la Fiscalía General. </w:t>
      </w:r>
      <w:r w:rsidRPr="00054BFE">
        <w:rPr>
          <w:lang w:val="es-ES"/>
        </w:rPr>
        <w:t>13 de abril de 1994. Anexo a escrito de la parte peticionaria de 28 de enero de 2012.</w:t>
      </w:r>
    </w:p>
  </w:footnote>
  <w:footnote w:id="80">
    <w:p w14:paraId="68C39B1C" w14:textId="0A497C36"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59</w:t>
      </w:r>
      <w:r w:rsidRPr="006E763F">
        <w:rPr>
          <w:sz w:val="16"/>
          <w:szCs w:val="16"/>
        </w:rPr>
        <w:t xml:space="preserve">. </w:t>
      </w:r>
      <w:r>
        <w:rPr>
          <w:sz w:val="16"/>
          <w:szCs w:val="16"/>
        </w:rPr>
        <w:t>Fiscalía General.</w:t>
      </w:r>
      <w:r w:rsidRPr="006E763F">
        <w:rPr>
          <w:sz w:val="16"/>
          <w:szCs w:val="16"/>
        </w:rPr>
        <w:t xml:space="preserve"> Rad. No. 096. Declaración de Martha Yolanda Medina de Chaparro, profesora del colegio Kennedy. 12 de abril de 1996. Anexo a escrito de la parte peticionaria de 28 de </w:t>
      </w:r>
      <w:r>
        <w:rPr>
          <w:sz w:val="16"/>
          <w:szCs w:val="16"/>
        </w:rPr>
        <w:t xml:space="preserve">enero de 2012. </w:t>
      </w:r>
    </w:p>
  </w:footnote>
  <w:footnote w:id="81">
    <w:p w14:paraId="332273AA" w14:textId="18B59FA5"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60</w:t>
      </w:r>
      <w:r w:rsidRPr="006E763F">
        <w:rPr>
          <w:sz w:val="16"/>
          <w:szCs w:val="16"/>
        </w:rPr>
        <w:t xml:space="preserve">. </w:t>
      </w:r>
      <w:r>
        <w:rPr>
          <w:sz w:val="16"/>
          <w:szCs w:val="16"/>
        </w:rPr>
        <w:t>Fiscalía General.</w:t>
      </w:r>
      <w:r w:rsidRPr="006E763F">
        <w:rPr>
          <w:sz w:val="16"/>
          <w:szCs w:val="16"/>
        </w:rPr>
        <w:t xml:space="preserve"> Rad. No. 096. Testimonio de Carlos Eduardo Otárola García.12 de abril de 1996. Anexo escrito parte peticionaria de 28 de </w:t>
      </w:r>
      <w:r>
        <w:rPr>
          <w:sz w:val="16"/>
          <w:szCs w:val="16"/>
        </w:rPr>
        <w:t>enero de 2012</w:t>
      </w:r>
      <w:r w:rsidRPr="006E763F">
        <w:rPr>
          <w:sz w:val="16"/>
          <w:szCs w:val="16"/>
        </w:rPr>
        <w:t>.</w:t>
      </w:r>
    </w:p>
  </w:footnote>
  <w:footnote w:id="82">
    <w:p w14:paraId="4BBC0937" w14:textId="46B5FF39" w:rsidR="00B934ED" w:rsidRPr="000D2D54" w:rsidRDefault="00B934ED" w:rsidP="00947535">
      <w:pPr>
        <w:jc w:val="both"/>
        <w:rPr>
          <w:sz w:val="16"/>
          <w:szCs w:val="16"/>
          <w:lang w:val="es-ES"/>
        </w:rPr>
      </w:pPr>
      <w:r w:rsidRPr="006E763F">
        <w:rPr>
          <w:sz w:val="16"/>
          <w:szCs w:val="16"/>
          <w:vertAlign w:val="superscript"/>
        </w:rPr>
        <w:footnoteRef/>
      </w:r>
      <w:r w:rsidRPr="00947535">
        <w:rPr>
          <w:sz w:val="16"/>
          <w:szCs w:val="16"/>
          <w:lang w:val="es-ES"/>
        </w:rPr>
        <w:t xml:space="preserve"> </w:t>
      </w:r>
      <w:r w:rsidRPr="00054BFE">
        <w:rPr>
          <w:sz w:val="16"/>
          <w:szCs w:val="16"/>
          <w:lang w:val="es-ES"/>
        </w:rPr>
        <w:t>Anexo 5</w:t>
      </w:r>
      <w:r>
        <w:rPr>
          <w:sz w:val="16"/>
          <w:szCs w:val="16"/>
          <w:lang w:val="es-ES"/>
        </w:rPr>
        <w:t>. Fiscalía General.</w:t>
      </w:r>
      <w:r w:rsidRPr="00054BFE">
        <w:rPr>
          <w:sz w:val="16"/>
          <w:szCs w:val="16"/>
          <w:lang w:val="es-ES"/>
        </w:rPr>
        <w:t xml:space="preserve"> Rad. 096. Diligencia de declaración de Humberto Javier Callejas Rua. 25 de octubre de 2012. Anexo a escrito parte peticionaria de 28 de e</w:t>
      </w:r>
      <w:r w:rsidRPr="000D2D54">
        <w:rPr>
          <w:sz w:val="16"/>
          <w:szCs w:val="16"/>
          <w:lang w:val="es-ES"/>
        </w:rPr>
        <w:t>nero de 2012.</w:t>
      </w:r>
    </w:p>
  </w:footnote>
  <w:footnote w:id="83">
    <w:p w14:paraId="07BA4F43" w14:textId="462FB805"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61</w:t>
      </w:r>
      <w:r w:rsidRPr="006E763F">
        <w:rPr>
          <w:sz w:val="16"/>
          <w:szCs w:val="16"/>
        </w:rPr>
        <w:t xml:space="preserve">. </w:t>
      </w:r>
      <w:r>
        <w:rPr>
          <w:sz w:val="16"/>
          <w:szCs w:val="16"/>
        </w:rPr>
        <w:t>Fiscalía General.</w:t>
      </w:r>
      <w:r w:rsidRPr="006E763F">
        <w:rPr>
          <w:sz w:val="16"/>
          <w:szCs w:val="16"/>
        </w:rPr>
        <w:t xml:space="preserve"> Rad.No.096. Informe No. 000003 SIA de 5 de febrero de 1999. Anexo a escrito de la parte peticionaria de 28 de </w:t>
      </w:r>
      <w:r>
        <w:rPr>
          <w:sz w:val="16"/>
          <w:szCs w:val="16"/>
        </w:rPr>
        <w:t>enero de 2012; Anexo 62</w:t>
      </w:r>
      <w:r w:rsidRPr="006E763F">
        <w:rPr>
          <w:sz w:val="16"/>
          <w:szCs w:val="16"/>
        </w:rPr>
        <w:t xml:space="preserve">. </w:t>
      </w:r>
      <w:r>
        <w:rPr>
          <w:sz w:val="16"/>
          <w:szCs w:val="16"/>
        </w:rPr>
        <w:t>Fiscalía General.</w:t>
      </w:r>
      <w:r w:rsidRPr="006E763F">
        <w:rPr>
          <w:sz w:val="16"/>
          <w:szCs w:val="16"/>
        </w:rPr>
        <w:t xml:space="preserve"> Rad. No.096. Oficio de Armada Nacional. Oficio No. 003/SAYP-N2-SUB-252 del Departamento de Inteligencia N2-FNA de 4 de enero de 1999. Anexo a escrito de la parte peticionaria de 28 de </w:t>
      </w:r>
      <w:r>
        <w:rPr>
          <w:sz w:val="16"/>
          <w:szCs w:val="16"/>
        </w:rPr>
        <w:t>enero de 2012</w:t>
      </w:r>
      <w:r w:rsidRPr="006E763F">
        <w:rPr>
          <w:sz w:val="16"/>
          <w:szCs w:val="16"/>
        </w:rPr>
        <w:t xml:space="preserve">; Anexo </w:t>
      </w:r>
      <w:r>
        <w:rPr>
          <w:sz w:val="16"/>
          <w:szCs w:val="16"/>
        </w:rPr>
        <w:t>63</w:t>
      </w:r>
      <w:r w:rsidRPr="006E763F">
        <w:rPr>
          <w:sz w:val="16"/>
          <w:szCs w:val="16"/>
        </w:rPr>
        <w:t xml:space="preserve">. </w:t>
      </w:r>
      <w:r>
        <w:rPr>
          <w:sz w:val="16"/>
          <w:szCs w:val="16"/>
        </w:rPr>
        <w:t>Fiscalía General.</w:t>
      </w:r>
      <w:r w:rsidRPr="006E763F">
        <w:rPr>
          <w:sz w:val="16"/>
          <w:szCs w:val="16"/>
        </w:rPr>
        <w:t xml:space="preserve"> Rad. No, 096. Declaración del suboficial de Policía Nacional Fanor Rodríguez España del 7 de febrero de 2001. Anexo a escrito de la parte peticionaria de 28 de </w:t>
      </w:r>
      <w:r>
        <w:rPr>
          <w:sz w:val="16"/>
          <w:szCs w:val="16"/>
        </w:rPr>
        <w:t>enero de 2012</w:t>
      </w:r>
      <w:r w:rsidRPr="006E763F">
        <w:rPr>
          <w:sz w:val="16"/>
          <w:szCs w:val="16"/>
        </w:rPr>
        <w:t>.</w:t>
      </w:r>
    </w:p>
  </w:footnote>
  <w:footnote w:id="84">
    <w:p w14:paraId="19766701" w14:textId="64A450E9"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62</w:t>
      </w:r>
      <w:r w:rsidRPr="006E763F">
        <w:rPr>
          <w:sz w:val="16"/>
          <w:szCs w:val="16"/>
        </w:rPr>
        <w:t xml:space="preserve">. </w:t>
      </w:r>
      <w:r>
        <w:rPr>
          <w:sz w:val="16"/>
          <w:szCs w:val="16"/>
        </w:rPr>
        <w:t>Fiscalía General.</w:t>
      </w:r>
      <w:r w:rsidRPr="006E763F">
        <w:rPr>
          <w:sz w:val="16"/>
          <w:szCs w:val="16"/>
        </w:rPr>
        <w:t xml:space="preserve"> Rad. No. 096. Declaración del Teniente Coronel Gilberto Castellanos de 3 de septiembre de 1999. Anexo a escrito de la parte peticionaria de 28 de </w:t>
      </w:r>
      <w:r>
        <w:rPr>
          <w:sz w:val="16"/>
          <w:szCs w:val="16"/>
        </w:rPr>
        <w:t>enero de 2012</w:t>
      </w:r>
      <w:r w:rsidRPr="006E763F">
        <w:rPr>
          <w:sz w:val="16"/>
          <w:szCs w:val="16"/>
        </w:rPr>
        <w:t>.</w:t>
      </w:r>
    </w:p>
  </w:footnote>
  <w:footnote w:id="85">
    <w:p w14:paraId="6E5A4E5A" w14:textId="1784A0A2"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63</w:t>
      </w:r>
      <w:r w:rsidRPr="006E763F">
        <w:rPr>
          <w:sz w:val="16"/>
          <w:szCs w:val="16"/>
        </w:rPr>
        <w:t xml:space="preserve">. </w:t>
      </w:r>
      <w:r>
        <w:rPr>
          <w:sz w:val="16"/>
          <w:szCs w:val="16"/>
        </w:rPr>
        <w:t>Fiscalía General.</w:t>
      </w:r>
      <w:r w:rsidRPr="006E763F">
        <w:rPr>
          <w:sz w:val="16"/>
          <w:szCs w:val="16"/>
        </w:rPr>
        <w:t xml:space="preserve"> Rad. No. 096. Declaración del Mayor General Iván Ramírez Quinteros de 1 de octubre de 1999. Anexo a escrito de la parte peticionaria de 28 de </w:t>
      </w:r>
      <w:r>
        <w:rPr>
          <w:sz w:val="16"/>
          <w:szCs w:val="16"/>
        </w:rPr>
        <w:t>enero de 2012</w:t>
      </w:r>
      <w:r w:rsidRPr="006E763F">
        <w:rPr>
          <w:sz w:val="16"/>
          <w:szCs w:val="16"/>
        </w:rPr>
        <w:t xml:space="preserve">. </w:t>
      </w:r>
    </w:p>
  </w:footnote>
  <w:footnote w:id="86">
    <w:p w14:paraId="197CCD5B" w14:textId="3966B1D7"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64</w:t>
      </w:r>
      <w:r w:rsidRPr="006E763F">
        <w:rPr>
          <w:sz w:val="16"/>
          <w:szCs w:val="16"/>
        </w:rPr>
        <w:t xml:space="preserve">. </w:t>
      </w:r>
      <w:r>
        <w:rPr>
          <w:sz w:val="16"/>
          <w:szCs w:val="16"/>
        </w:rPr>
        <w:t>Fiscalía General.</w:t>
      </w:r>
      <w:r w:rsidRPr="006E763F">
        <w:rPr>
          <w:sz w:val="16"/>
          <w:szCs w:val="16"/>
        </w:rPr>
        <w:t xml:space="preserve"> Rad. No. 096. Oficio al Grupo de Investigaciones U.D.H. 25 de junio de 2012. Anexo a escrito de la parte peticionaria de 28 de </w:t>
      </w:r>
      <w:r>
        <w:rPr>
          <w:sz w:val="16"/>
          <w:szCs w:val="16"/>
        </w:rPr>
        <w:t>enero de 2012</w:t>
      </w:r>
      <w:r w:rsidRPr="006E763F">
        <w:rPr>
          <w:sz w:val="16"/>
          <w:szCs w:val="16"/>
        </w:rPr>
        <w:t>.</w:t>
      </w:r>
    </w:p>
  </w:footnote>
  <w:footnote w:id="87">
    <w:p w14:paraId="63DEDCDF" w14:textId="1DFDB87B"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65</w:t>
      </w:r>
      <w:r w:rsidRPr="006E763F">
        <w:rPr>
          <w:sz w:val="16"/>
          <w:szCs w:val="16"/>
        </w:rPr>
        <w:t xml:space="preserve">. </w:t>
      </w:r>
      <w:r>
        <w:rPr>
          <w:sz w:val="16"/>
          <w:szCs w:val="16"/>
        </w:rPr>
        <w:t>Fiscalía General.</w:t>
      </w:r>
      <w:r w:rsidRPr="006E763F">
        <w:rPr>
          <w:sz w:val="16"/>
          <w:szCs w:val="16"/>
        </w:rPr>
        <w:t xml:space="preserve"> Rad. No. 096. Oficio a la Dirección de Inteligencia de la Policía Nacional. 8 de junio de 2012. Anexo escrito parte peticionaria de 28 de </w:t>
      </w:r>
      <w:r>
        <w:rPr>
          <w:sz w:val="16"/>
          <w:szCs w:val="16"/>
        </w:rPr>
        <w:t>enero de 2012</w:t>
      </w:r>
      <w:r w:rsidRPr="006E763F">
        <w:rPr>
          <w:sz w:val="16"/>
          <w:szCs w:val="16"/>
        </w:rPr>
        <w:t>.</w:t>
      </w:r>
    </w:p>
  </w:footnote>
  <w:footnote w:id="88">
    <w:p w14:paraId="77CC356B" w14:textId="0204A81A"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66</w:t>
      </w:r>
      <w:r w:rsidRPr="006E763F">
        <w:rPr>
          <w:sz w:val="16"/>
          <w:szCs w:val="16"/>
        </w:rPr>
        <w:t xml:space="preserve">. </w:t>
      </w:r>
      <w:r>
        <w:rPr>
          <w:sz w:val="16"/>
          <w:szCs w:val="16"/>
        </w:rPr>
        <w:t>Fiscalía General.</w:t>
      </w:r>
      <w:r w:rsidRPr="006E763F">
        <w:rPr>
          <w:sz w:val="16"/>
          <w:szCs w:val="16"/>
        </w:rPr>
        <w:t xml:space="preserve"> Rad. No. 096. Oficio a la Dirección de Inteligencia Militar. 8 de junio de 2012. Anexo a escrito de la parte peticionaria de 28 de </w:t>
      </w:r>
      <w:r>
        <w:rPr>
          <w:sz w:val="16"/>
          <w:szCs w:val="16"/>
        </w:rPr>
        <w:t>enero de 2012</w:t>
      </w:r>
      <w:r w:rsidRPr="006E763F">
        <w:rPr>
          <w:sz w:val="16"/>
          <w:szCs w:val="16"/>
        </w:rPr>
        <w:t>.</w:t>
      </w:r>
    </w:p>
  </w:footnote>
  <w:footnote w:id="89">
    <w:p w14:paraId="702A44FA" w14:textId="43D656A7"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67</w:t>
      </w:r>
      <w:r w:rsidRPr="006E763F">
        <w:rPr>
          <w:sz w:val="16"/>
          <w:szCs w:val="16"/>
        </w:rPr>
        <w:t xml:space="preserve">. </w:t>
      </w:r>
      <w:r>
        <w:rPr>
          <w:sz w:val="16"/>
          <w:szCs w:val="16"/>
        </w:rPr>
        <w:t>Fiscalía General.</w:t>
      </w:r>
      <w:r w:rsidRPr="006E763F">
        <w:rPr>
          <w:sz w:val="16"/>
          <w:szCs w:val="16"/>
        </w:rPr>
        <w:t xml:space="preserve"> Rad. No. 096. Oficio a la Sección de Análisis Criminal de Fiscalía General. 8 de junio de 2012. Anexo a escrito de la parte peticionaria de 28 de </w:t>
      </w:r>
      <w:r>
        <w:rPr>
          <w:sz w:val="16"/>
          <w:szCs w:val="16"/>
        </w:rPr>
        <w:t>enero de 2012</w:t>
      </w:r>
      <w:r w:rsidRPr="006E763F">
        <w:rPr>
          <w:sz w:val="16"/>
          <w:szCs w:val="16"/>
        </w:rPr>
        <w:t>.</w:t>
      </w:r>
    </w:p>
  </w:footnote>
  <w:footnote w:id="90">
    <w:p w14:paraId="20A51572" w14:textId="3FA25124"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68</w:t>
      </w:r>
      <w:r w:rsidRPr="006E763F">
        <w:rPr>
          <w:sz w:val="16"/>
          <w:szCs w:val="16"/>
        </w:rPr>
        <w:t xml:space="preserve">. </w:t>
      </w:r>
      <w:r>
        <w:rPr>
          <w:sz w:val="16"/>
          <w:szCs w:val="16"/>
        </w:rPr>
        <w:t>Fiscalía General.</w:t>
      </w:r>
      <w:r w:rsidRPr="006E763F">
        <w:rPr>
          <w:sz w:val="16"/>
          <w:szCs w:val="16"/>
        </w:rPr>
        <w:t xml:space="preserve"> Rad. No. 096. Informe de Dirección de Inteligencia Militar. 4 de agosto de 2012. Anexo a escrito de la parte peticionaria de 28 de </w:t>
      </w:r>
      <w:r>
        <w:rPr>
          <w:sz w:val="16"/>
          <w:szCs w:val="16"/>
        </w:rPr>
        <w:t>enero de 2012</w:t>
      </w:r>
      <w:r w:rsidRPr="006E763F">
        <w:rPr>
          <w:sz w:val="16"/>
          <w:szCs w:val="16"/>
        </w:rPr>
        <w:t>.</w:t>
      </w:r>
    </w:p>
  </w:footnote>
  <w:footnote w:id="91">
    <w:p w14:paraId="78347C2B" w14:textId="5FC4D93E"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69</w:t>
      </w:r>
      <w:r w:rsidRPr="006E763F">
        <w:rPr>
          <w:sz w:val="16"/>
          <w:szCs w:val="16"/>
        </w:rPr>
        <w:t xml:space="preserve">. </w:t>
      </w:r>
      <w:r>
        <w:rPr>
          <w:sz w:val="16"/>
          <w:szCs w:val="16"/>
        </w:rPr>
        <w:t>Fiscalía General.</w:t>
      </w:r>
      <w:r w:rsidRPr="006E763F">
        <w:rPr>
          <w:sz w:val="16"/>
          <w:szCs w:val="16"/>
        </w:rPr>
        <w:t xml:space="preserve"> Rad. No. 096. Informe de la Sección de Análisis Criminal. Armados ilegales. 25 de junio de 2012. Anexo a escrito de la parte peticionaria de 28 de </w:t>
      </w:r>
      <w:r>
        <w:rPr>
          <w:sz w:val="16"/>
          <w:szCs w:val="16"/>
        </w:rPr>
        <w:t>enero de 2012</w:t>
      </w:r>
      <w:r w:rsidRPr="006E763F">
        <w:rPr>
          <w:sz w:val="16"/>
          <w:szCs w:val="16"/>
        </w:rPr>
        <w:t>.</w:t>
      </w:r>
    </w:p>
  </w:footnote>
  <w:footnote w:id="92">
    <w:p w14:paraId="108C81F3" w14:textId="2D5534D1"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70</w:t>
      </w:r>
      <w:r w:rsidRPr="006E763F">
        <w:rPr>
          <w:sz w:val="16"/>
          <w:szCs w:val="16"/>
        </w:rPr>
        <w:t xml:space="preserve">. </w:t>
      </w:r>
      <w:r>
        <w:rPr>
          <w:sz w:val="16"/>
          <w:szCs w:val="16"/>
        </w:rPr>
        <w:t>Fiscalía General.</w:t>
      </w:r>
      <w:r w:rsidRPr="006E763F">
        <w:rPr>
          <w:sz w:val="16"/>
          <w:szCs w:val="16"/>
        </w:rPr>
        <w:t xml:space="preserve"> Rad. No. 096. Oficio No. 859. 8 de abril de 1997. Anexo escrito de parte peticionaria de 28 de </w:t>
      </w:r>
      <w:r>
        <w:rPr>
          <w:sz w:val="16"/>
          <w:szCs w:val="16"/>
        </w:rPr>
        <w:t>enero de 2012</w:t>
      </w:r>
      <w:r w:rsidRPr="006E763F">
        <w:rPr>
          <w:sz w:val="16"/>
          <w:szCs w:val="16"/>
        </w:rPr>
        <w:t>; Anexo</w:t>
      </w:r>
      <w:r>
        <w:rPr>
          <w:sz w:val="16"/>
          <w:szCs w:val="16"/>
        </w:rPr>
        <w:t xml:space="preserve"> 71</w:t>
      </w:r>
      <w:r w:rsidRPr="006E763F">
        <w:rPr>
          <w:sz w:val="16"/>
          <w:szCs w:val="16"/>
        </w:rPr>
        <w:t xml:space="preserve">. </w:t>
      </w:r>
      <w:r>
        <w:rPr>
          <w:sz w:val="16"/>
          <w:szCs w:val="16"/>
        </w:rPr>
        <w:t>Fiscalía General.</w:t>
      </w:r>
      <w:r w:rsidRPr="006E763F">
        <w:rPr>
          <w:sz w:val="16"/>
          <w:szCs w:val="16"/>
        </w:rPr>
        <w:t xml:space="preserve"> Rad. No. 096. Oficio a la Unidad de Instrumentos Públicos. 11 de junio de 1997; Anexo </w:t>
      </w:r>
      <w:r>
        <w:rPr>
          <w:sz w:val="16"/>
          <w:szCs w:val="16"/>
        </w:rPr>
        <w:t>72</w:t>
      </w:r>
      <w:r w:rsidRPr="006E763F">
        <w:rPr>
          <w:sz w:val="16"/>
          <w:szCs w:val="16"/>
        </w:rPr>
        <w:t xml:space="preserve">. </w:t>
      </w:r>
      <w:r>
        <w:rPr>
          <w:sz w:val="16"/>
          <w:szCs w:val="16"/>
        </w:rPr>
        <w:t>Fiscalía General.</w:t>
      </w:r>
      <w:r w:rsidRPr="006E763F">
        <w:rPr>
          <w:sz w:val="16"/>
          <w:szCs w:val="16"/>
        </w:rPr>
        <w:t xml:space="preserve"> Rad. No. 096. Acta de Fiscalía General de adelantamiento de obras tendientes a ubicación de Pedro Pabón Díaz; Anexo </w:t>
      </w:r>
      <w:r>
        <w:rPr>
          <w:sz w:val="16"/>
          <w:szCs w:val="16"/>
        </w:rPr>
        <w:t>73</w:t>
      </w:r>
      <w:r w:rsidRPr="006E763F">
        <w:rPr>
          <w:sz w:val="16"/>
          <w:szCs w:val="16"/>
        </w:rPr>
        <w:t xml:space="preserve">. </w:t>
      </w:r>
      <w:r>
        <w:rPr>
          <w:sz w:val="16"/>
          <w:szCs w:val="16"/>
        </w:rPr>
        <w:t>Fiscalía General.</w:t>
      </w:r>
      <w:r w:rsidRPr="006E763F">
        <w:rPr>
          <w:sz w:val="16"/>
          <w:szCs w:val="16"/>
        </w:rPr>
        <w:t xml:space="preserve"> Rad. No. 096. Informe de diligencias de investigación de Fiscalía General. 11 de julio de 2012. Anexos a escrito de la parte peticionaria de 28 de </w:t>
      </w:r>
      <w:r>
        <w:rPr>
          <w:sz w:val="16"/>
          <w:szCs w:val="16"/>
        </w:rPr>
        <w:t>enero de 2012</w:t>
      </w:r>
      <w:r w:rsidRPr="006E763F">
        <w:rPr>
          <w:sz w:val="16"/>
          <w:szCs w:val="16"/>
        </w:rPr>
        <w:t xml:space="preserve">; Anexo </w:t>
      </w:r>
      <w:r>
        <w:rPr>
          <w:sz w:val="16"/>
          <w:szCs w:val="16"/>
        </w:rPr>
        <w:t>74</w:t>
      </w:r>
      <w:r w:rsidRPr="006E763F">
        <w:rPr>
          <w:sz w:val="16"/>
          <w:szCs w:val="16"/>
        </w:rPr>
        <w:t xml:space="preserve">. </w:t>
      </w:r>
      <w:r>
        <w:rPr>
          <w:sz w:val="16"/>
          <w:szCs w:val="16"/>
        </w:rPr>
        <w:t>Fiscalía General.</w:t>
      </w:r>
      <w:r w:rsidRPr="006E763F">
        <w:rPr>
          <w:sz w:val="16"/>
          <w:szCs w:val="16"/>
        </w:rPr>
        <w:t xml:space="preserve"> Rad. No. 096. Solicitud a través de la Unidad de Policía Judicial a la ASOBANCARIA. 11 de junio de 1997. Anexo a escrito de la parte peticionaria de 28 de </w:t>
      </w:r>
      <w:r>
        <w:rPr>
          <w:sz w:val="16"/>
          <w:szCs w:val="16"/>
        </w:rPr>
        <w:t>enero de 2012</w:t>
      </w:r>
      <w:r w:rsidRPr="006E763F">
        <w:rPr>
          <w:sz w:val="16"/>
          <w:szCs w:val="16"/>
        </w:rPr>
        <w:t xml:space="preserve">; Anexo </w:t>
      </w:r>
      <w:r>
        <w:rPr>
          <w:sz w:val="16"/>
          <w:szCs w:val="16"/>
        </w:rPr>
        <w:t>75</w:t>
      </w:r>
      <w:r w:rsidRPr="006E763F">
        <w:rPr>
          <w:sz w:val="16"/>
          <w:szCs w:val="16"/>
        </w:rPr>
        <w:t xml:space="preserve">. </w:t>
      </w:r>
      <w:r>
        <w:rPr>
          <w:sz w:val="16"/>
          <w:szCs w:val="16"/>
        </w:rPr>
        <w:t>Fiscalía General.</w:t>
      </w:r>
      <w:r w:rsidRPr="006E763F">
        <w:rPr>
          <w:sz w:val="16"/>
          <w:szCs w:val="16"/>
        </w:rPr>
        <w:t xml:space="preserve"> Rad. No.</w:t>
      </w:r>
      <w:r>
        <w:rPr>
          <w:sz w:val="16"/>
          <w:szCs w:val="16"/>
        </w:rPr>
        <w:t xml:space="preserve"> </w:t>
      </w:r>
      <w:r w:rsidRPr="006E763F">
        <w:rPr>
          <w:sz w:val="16"/>
          <w:szCs w:val="16"/>
        </w:rPr>
        <w:t xml:space="preserve">096. Organización Electoral de la Registraduría Nacional del Estado Civil. 11 de septiembre de 1997. Anexo a escrito de la parte peticionaria de 28 de </w:t>
      </w:r>
      <w:r>
        <w:rPr>
          <w:sz w:val="16"/>
          <w:szCs w:val="16"/>
        </w:rPr>
        <w:t>enero de 2012</w:t>
      </w:r>
      <w:r w:rsidRPr="006E763F">
        <w:rPr>
          <w:sz w:val="16"/>
          <w:szCs w:val="16"/>
        </w:rPr>
        <w:t>.</w:t>
      </w:r>
    </w:p>
  </w:footnote>
  <w:footnote w:id="93">
    <w:p w14:paraId="7961F25C" w14:textId="30EDEC96"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76</w:t>
      </w:r>
      <w:r w:rsidRPr="006E763F">
        <w:rPr>
          <w:sz w:val="16"/>
          <w:szCs w:val="16"/>
        </w:rPr>
        <w:t xml:space="preserve">. </w:t>
      </w:r>
      <w:r>
        <w:rPr>
          <w:sz w:val="16"/>
          <w:szCs w:val="16"/>
        </w:rPr>
        <w:t>Fiscalía General.</w:t>
      </w:r>
      <w:r w:rsidRPr="006E763F">
        <w:rPr>
          <w:sz w:val="16"/>
          <w:szCs w:val="16"/>
        </w:rPr>
        <w:t xml:space="preserve"> Rad. No. 096. Declaración de Ramiro Bohórquez. 15 de abril de 1997. Anexo a escrito de la parte peticionaria de 28 de </w:t>
      </w:r>
      <w:r>
        <w:rPr>
          <w:sz w:val="16"/>
          <w:szCs w:val="16"/>
        </w:rPr>
        <w:t>enero de 2012</w:t>
      </w:r>
      <w:r w:rsidRPr="006E763F">
        <w:rPr>
          <w:sz w:val="16"/>
          <w:szCs w:val="16"/>
        </w:rPr>
        <w:t>.</w:t>
      </w:r>
    </w:p>
  </w:footnote>
  <w:footnote w:id="94">
    <w:p w14:paraId="3D9B9E45" w14:textId="58A41AD0"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77</w:t>
      </w:r>
      <w:r w:rsidRPr="006E763F">
        <w:rPr>
          <w:sz w:val="16"/>
          <w:szCs w:val="16"/>
        </w:rPr>
        <w:t xml:space="preserve">. </w:t>
      </w:r>
      <w:r>
        <w:rPr>
          <w:sz w:val="16"/>
          <w:szCs w:val="16"/>
        </w:rPr>
        <w:t>Fiscalía General.</w:t>
      </w:r>
      <w:r w:rsidRPr="006E763F">
        <w:rPr>
          <w:sz w:val="16"/>
          <w:szCs w:val="16"/>
        </w:rPr>
        <w:t xml:space="preserve"> Rad. No. 096. Informe sobre visita realizada en la Alcaldía Menor de Kennedy de 13 de junio de 1997. Se verificó que desde el 26 de abril de 1993 hasta el 9 de agosto del mismo año no se registra anotación de la denuncia por hurto del arma de propiedad del Sr. Ramiro Bohórquez Neuta. Anexo a escrito de la parte peticionaria de 28 de </w:t>
      </w:r>
      <w:r>
        <w:rPr>
          <w:sz w:val="16"/>
          <w:szCs w:val="16"/>
        </w:rPr>
        <w:t>enero de 2012</w:t>
      </w:r>
      <w:r w:rsidRPr="006E763F">
        <w:rPr>
          <w:sz w:val="16"/>
          <w:szCs w:val="16"/>
        </w:rPr>
        <w:t>.</w:t>
      </w:r>
    </w:p>
  </w:footnote>
  <w:footnote w:id="95">
    <w:p w14:paraId="161397CF" w14:textId="256CEC0C"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78</w:t>
      </w:r>
      <w:r w:rsidRPr="006E763F">
        <w:rPr>
          <w:sz w:val="16"/>
          <w:szCs w:val="16"/>
        </w:rPr>
        <w:t xml:space="preserve">. </w:t>
      </w:r>
      <w:r>
        <w:rPr>
          <w:sz w:val="16"/>
          <w:szCs w:val="16"/>
        </w:rPr>
        <w:t>Fiscalía General.</w:t>
      </w:r>
      <w:r w:rsidRPr="006E763F">
        <w:rPr>
          <w:sz w:val="16"/>
          <w:szCs w:val="16"/>
        </w:rPr>
        <w:t xml:space="preserve"> Rad. No. 096. Informe de la Secretaría de Gobierno de Bogotá. 28 de enero de 1997. Señala que “no se encontró el denuncio que presentó el señor Ramiro Bohórquez Neuta ante la Unidad judicial de esa localidad en el año 1993. Anexo a escrito de la parte peticionaria de 28 de </w:t>
      </w:r>
      <w:r>
        <w:rPr>
          <w:sz w:val="16"/>
          <w:szCs w:val="16"/>
        </w:rPr>
        <w:t>enero de 2012</w:t>
      </w:r>
      <w:r w:rsidRPr="006E763F">
        <w:rPr>
          <w:sz w:val="16"/>
          <w:szCs w:val="16"/>
        </w:rPr>
        <w:t>.</w:t>
      </w:r>
    </w:p>
  </w:footnote>
  <w:footnote w:id="96">
    <w:p w14:paraId="08B39268" w14:textId="5144443D"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79</w:t>
      </w:r>
      <w:r w:rsidRPr="006E763F">
        <w:rPr>
          <w:sz w:val="16"/>
          <w:szCs w:val="16"/>
        </w:rPr>
        <w:t xml:space="preserve">. </w:t>
      </w:r>
      <w:r>
        <w:rPr>
          <w:sz w:val="16"/>
          <w:szCs w:val="16"/>
        </w:rPr>
        <w:t>Fiscalía General.</w:t>
      </w:r>
      <w:r w:rsidRPr="006E763F">
        <w:rPr>
          <w:sz w:val="16"/>
          <w:szCs w:val="16"/>
        </w:rPr>
        <w:t xml:space="preserve"> Rad. No. 096. Informe UNPJ.DH.A. 17 de abril de 1997. Anexo a escrito de la parte peticionaria de 28 de </w:t>
      </w:r>
      <w:r>
        <w:rPr>
          <w:sz w:val="16"/>
          <w:szCs w:val="16"/>
        </w:rPr>
        <w:t>enero de 2012</w:t>
      </w:r>
      <w:r w:rsidRPr="006E763F">
        <w:rPr>
          <w:sz w:val="16"/>
          <w:szCs w:val="16"/>
        </w:rPr>
        <w:t>.</w:t>
      </w:r>
    </w:p>
  </w:footnote>
  <w:footnote w:id="97">
    <w:p w14:paraId="0ECC2CBE" w14:textId="19DF8C42"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80</w:t>
      </w:r>
      <w:r w:rsidRPr="006E763F">
        <w:rPr>
          <w:sz w:val="16"/>
          <w:szCs w:val="16"/>
        </w:rPr>
        <w:t xml:space="preserve">. </w:t>
      </w:r>
      <w:r>
        <w:rPr>
          <w:sz w:val="16"/>
          <w:szCs w:val="16"/>
        </w:rPr>
        <w:t>Fiscalía General.</w:t>
      </w:r>
      <w:r w:rsidRPr="006E763F">
        <w:rPr>
          <w:sz w:val="16"/>
          <w:szCs w:val="16"/>
        </w:rPr>
        <w:t xml:space="preserve"> Rad. No.096. Informe de Departamento Administrativo de Seguridad DAS. 18 de diciembre de 2008. Anexo a escrito de la parte peticionaria de 28 de </w:t>
      </w:r>
      <w:r>
        <w:rPr>
          <w:sz w:val="16"/>
          <w:szCs w:val="16"/>
        </w:rPr>
        <w:t>enero de 2012</w:t>
      </w:r>
      <w:r w:rsidRPr="006E763F">
        <w:rPr>
          <w:sz w:val="16"/>
          <w:szCs w:val="16"/>
        </w:rPr>
        <w:t xml:space="preserve">. </w:t>
      </w:r>
    </w:p>
  </w:footnote>
  <w:footnote w:id="98">
    <w:p w14:paraId="49DD26A0" w14:textId="05B84EF1"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81</w:t>
      </w:r>
      <w:r w:rsidRPr="006E763F">
        <w:rPr>
          <w:sz w:val="16"/>
          <w:szCs w:val="16"/>
        </w:rPr>
        <w:t xml:space="preserve">. </w:t>
      </w:r>
      <w:r>
        <w:rPr>
          <w:sz w:val="16"/>
          <w:szCs w:val="16"/>
        </w:rPr>
        <w:t>Fiscalía General.</w:t>
      </w:r>
      <w:r w:rsidRPr="006E763F">
        <w:rPr>
          <w:sz w:val="16"/>
          <w:szCs w:val="16"/>
        </w:rPr>
        <w:t xml:space="preserve"> Rad. No. 096. Diligencia de inspección judicial en Registraduría Nacional del Estado Civil. 7 de abril de 1994. Anexo  escrito de la parte peticionaria de 28 de </w:t>
      </w:r>
      <w:r>
        <w:rPr>
          <w:sz w:val="16"/>
          <w:szCs w:val="16"/>
        </w:rPr>
        <w:t>enero de 2012</w:t>
      </w:r>
      <w:r w:rsidRPr="006E763F">
        <w:rPr>
          <w:sz w:val="16"/>
          <w:szCs w:val="16"/>
        </w:rPr>
        <w:t>.</w:t>
      </w:r>
    </w:p>
  </w:footnote>
  <w:footnote w:id="99">
    <w:p w14:paraId="0DFF821C" w14:textId="336A4BB7"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73</w:t>
      </w:r>
      <w:r w:rsidRPr="006E763F">
        <w:rPr>
          <w:sz w:val="16"/>
          <w:szCs w:val="16"/>
        </w:rPr>
        <w:t xml:space="preserve">. </w:t>
      </w:r>
      <w:r>
        <w:rPr>
          <w:sz w:val="16"/>
          <w:szCs w:val="16"/>
        </w:rPr>
        <w:t>Fiscalía General.</w:t>
      </w:r>
      <w:r w:rsidRPr="006E763F">
        <w:rPr>
          <w:sz w:val="16"/>
          <w:szCs w:val="16"/>
        </w:rPr>
        <w:t xml:space="preserve"> Rad. No. 096. Informe de diligencias de investigación de Fiscalía General. 11 de julio de 2012. Anexo a escrito de la parte peticionaria de 28 de </w:t>
      </w:r>
      <w:r>
        <w:rPr>
          <w:sz w:val="16"/>
          <w:szCs w:val="16"/>
        </w:rPr>
        <w:t>enero de 2012.</w:t>
      </w:r>
    </w:p>
  </w:footnote>
  <w:footnote w:id="100">
    <w:p w14:paraId="1E2F3109" w14:textId="3FAD6F91"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82</w:t>
      </w:r>
      <w:r w:rsidRPr="006E763F">
        <w:rPr>
          <w:sz w:val="16"/>
          <w:szCs w:val="16"/>
        </w:rPr>
        <w:t xml:space="preserve">. </w:t>
      </w:r>
      <w:r>
        <w:rPr>
          <w:sz w:val="16"/>
          <w:szCs w:val="16"/>
        </w:rPr>
        <w:t>Fiscalía General.</w:t>
      </w:r>
      <w:r w:rsidRPr="006E763F">
        <w:rPr>
          <w:sz w:val="16"/>
          <w:szCs w:val="16"/>
        </w:rPr>
        <w:t xml:space="preserve"> Rad. No. 096. Informe de diligencias dirigida a la Fiscalía 48 especializada. 3 de febrero de 2009. Consta que el Instituto de medicina legal diligenció el formulario del desaparecido Movilla Galarcio, donde ingresan datos al sistema Sirdec con No. 2008D007280. Anexo a escrito de la parte peticionaria de 28 de </w:t>
      </w:r>
      <w:r>
        <w:rPr>
          <w:sz w:val="16"/>
          <w:szCs w:val="16"/>
        </w:rPr>
        <w:t>enero de 2012</w:t>
      </w:r>
      <w:r w:rsidRPr="006E763F">
        <w:rPr>
          <w:sz w:val="16"/>
          <w:szCs w:val="16"/>
        </w:rPr>
        <w:t>.</w:t>
      </w:r>
    </w:p>
  </w:footnote>
  <w:footnote w:id="101">
    <w:p w14:paraId="1378D6FA" w14:textId="086BBA3B"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Pr>
          <w:sz w:val="16"/>
          <w:szCs w:val="16"/>
        </w:rPr>
        <w:t xml:space="preserve"> Anexo 83</w:t>
      </w:r>
      <w:r w:rsidRPr="006E763F">
        <w:rPr>
          <w:sz w:val="16"/>
          <w:szCs w:val="16"/>
        </w:rPr>
        <w:t xml:space="preserve">. Demanda de Reparación Directa Rad. 10896 ante Tribunal Contencioso Administrativo de Cundinamarca. 19 de mayo de 1995. Expediente N° 95-D-10896. Anexo a escrito de la parte peticionaria de 28 de </w:t>
      </w:r>
      <w:r>
        <w:rPr>
          <w:sz w:val="16"/>
          <w:szCs w:val="16"/>
        </w:rPr>
        <w:t>enero de 2012</w:t>
      </w:r>
      <w:r w:rsidRPr="006E763F">
        <w:rPr>
          <w:sz w:val="16"/>
          <w:szCs w:val="16"/>
        </w:rPr>
        <w:t>.</w:t>
      </w:r>
    </w:p>
  </w:footnote>
  <w:footnote w:id="102">
    <w:p w14:paraId="1DDBEAD9" w14:textId="20660872"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84</w:t>
      </w:r>
      <w:r w:rsidRPr="006E763F">
        <w:rPr>
          <w:sz w:val="16"/>
          <w:szCs w:val="16"/>
        </w:rPr>
        <w:t xml:space="preserve">. Fallo del Tribunal Administrativo de Cundinamarca, Sección Tercera, de 30 de octubre de 2001. Anexo a escrito de la parte peticionaria de 28 de </w:t>
      </w:r>
      <w:r>
        <w:rPr>
          <w:sz w:val="16"/>
          <w:szCs w:val="16"/>
        </w:rPr>
        <w:t>enero de 2012</w:t>
      </w:r>
      <w:r w:rsidRPr="006E763F">
        <w:rPr>
          <w:sz w:val="16"/>
          <w:szCs w:val="16"/>
        </w:rPr>
        <w:t>.</w:t>
      </w:r>
    </w:p>
  </w:footnote>
  <w:footnote w:id="103">
    <w:p w14:paraId="18CD38E3" w14:textId="35F5E398"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Anexo </w:t>
      </w:r>
      <w:r>
        <w:rPr>
          <w:sz w:val="16"/>
          <w:szCs w:val="16"/>
        </w:rPr>
        <w:t>85</w:t>
      </w:r>
      <w:r w:rsidRPr="006E763F">
        <w:rPr>
          <w:sz w:val="16"/>
          <w:szCs w:val="16"/>
        </w:rPr>
        <w:t xml:space="preserve">. Sentencia Consejo de Estado- Sala de lo Contencioso Administrativo. Sección Tercera- Subsección A, de 23 de junio 2011. Anexo escrito de parte peticionaria de 28 de </w:t>
      </w:r>
      <w:r>
        <w:rPr>
          <w:sz w:val="16"/>
          <w:szCs w:val="16"/>
        </w:rPr>
        <w:t>enero de 2012</w:t>
      </w:r>
      <w:r w:rsidRPr="006E763F">
        <w:rPr>
          <w:sz w:val="16"/>
          <w:szCs w:val="16"/>
        </w:rPr>
        <w:t xml:space="preserve">. </w:t>
      </w:r>
    </w:p>
  </w:footnote>
  <w:footnote w:id="104">
    <w:p w14:paraId="140C1CD5" w14:textId="77777777" w:rsidR="00B934ED" w:rsidRPr="006E763F" w:rsidRDefault="00B934ED" w:rsidP="0080128A">
      <w:pPr>
        <w:pStyle w:val="FootnoteText"/>
        <w:tabs>
          <w:tab w:val="left" w:pos="9356"/>
        </w:tabs>
        <w:ind w:firstLine="0"/>
        <w:rPr>
          <w:lang w:val="es-ES"/>
        </w:rPr>
      </w:pPr>
      <w:r w:rsidRPr="006E763F">
        <w:rPr>
          <w:rStyle w:val="FootnoteReference"/>
        </w:rPr>
        <w:footnoteRef/>
      </w:r>
      <w:r w:rsidRPr="006E763F">
        <w:rPr>
          <w:lang w:val="es-ES"/>
        </w:rPr>
        <w:t xml:space="preserve"> En lo pertinente, el artículo 3 de la Convención Americana establece lo siguiente: Toda persona tiene derecho al reconocimiento de su personalidad jurídica.</w:t>
      </w:r>
    </w:p>
  </w:footnote>
  <w:footnote w:id="105">
    <w:p w14:paraId="2FBACBFB" w14:textId="77777777" w:rsidR="00B934ED" w:rsidRPr="006E763F" w:rsidRDefault="00B934ED" w:rsidP="0080128A">
      <w:pPr>
        <w:pStyle w:val="FootnoteText"/>
        <w:tabs>
          <w:tab w:val="left" w:pos="9356"/>
        </w:tabs>
        <w:ind w:firstLine="0"/>
        <w:rPr>
          <w:lang w:val="es-ES"/>
        </w:rPr>
      </w:pPr>
      <w:r w:rsidRPr="006E763F">
        <w:rPr>
          <w:rStyle w:val="FootnoteReference"/>
        </w:rPr>
        <w:footnoteRef/>
      </w:r>
      <w:r w:rsidRPr="006E763F">
        <w:rPr>
          <w:lang w:val="es-ES"/>
        </w:rPr>
        <w:t xml:space="preserve"> En lo pertinente, el artículo 4 de la Convención Americana establece lo siguiente: 1. Toda persona tiene derecho a que se respete su vida.  Este derecho estará protegido por la ley y, en general, a partir del momento de la concepción. Nadie puede ser privado de la vida arbitrariamente. </w:t>
      </w:r>
    </w:p>
  </w:footnote>
  <w:footnote w:id="106">
    <w:p w14:paraId="2C30234B" w14:textId="77777777" w:rsidR="00B934ED" w:rsidRPr="006E763F" w:rsidRDefault="00B934ED" w:rsidP="0080128A">
      <w:pPr>
        <w:pStyle w:val="FootnoteText"/>
        <w:tabs>
          <w:tab w:val="left" w:pos="9356"/>
        </w:tabs>
        <w:ind w:firstLine="0"/>
        <w:rPr>
          <w:lang w:val="es-ES"/>
        </w:rPr>
      </w:pPr>
      <w:r w:rsidRPr="006E763F">
        <w:rPr>
          <w:rStyle w:val="FootnoteReference"/>
        </w:rPr>
        <w:footnoteRef/>
      </w:r>
      <w:r w:rsidRPr="006E763F">
        <w:rPr>
          <w:lang w:val="es-ES"/>
        </w:rPr>
        <w:t xml:space="preserve"> En lo pertinente, el artículo 5 de la Convención Americana establece lo siguiente: 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w:t>
      </w:r>
    </w:p>
  </w:footnote>
  <w:footnote w:id="107">
    <w:p w14:paraId="4DC6B62F" w14:textId="3874D24E" w:rsidR="00B934ED" w:rsidRPr="006E763F" w:rsidRDefault="00B934ED" w:rsidP="0080128A">
      <w:pPr>
        <w:pStyle w:val="FootnoteText"/>
        <w:tabs>
          <w:tab w:val="left" w:pos="9356"/>
        </w:tabs>
        <w:ind w:firstLine="0"/>
        <w:rPr>
          <w:lang w:val="es-ES"/>
        </w:rPr>
      </w:pPr>
      <w:r w:rsidRPr="006E763F">
        <w:rPr>
          <w:rStyle w:val="FootnoteReference"/>
        </w:rPr>
        <w:footnoteRef/>
      </w:r>
      <w:r w:rsidRPr="006E763F">
        <w:rPr>
          <w:lang w:val="es-ES"/>
        </w:rPr>
        <w:t xml:space="preserve"> En lo pertinente, el artículo 7 de la Convención Americana establece lo siguiente:  1. Toda persona tiene derecho a la libertad y a la seguridad personales; (…).</w:t>
      </w:r>
    </w:p>
  </w:footnote>
  <w:footnote w:id="108">
    <w:p w14:paraId="1E11D6C7" w14:textId="77777777" w:rsidR="00B934ED" w:rsidRPr="006E763F" w:rsidRDefault="00B934ED" w:rsidP="00E24327">
      <w:pPr>
        <w:pStyle w:val="FootnoteText"/>
        <w:tabs>
          <w:tab w:val="left" w:pos="9356"/>
        </w:tabs>
        <w:ind w:firstLine="0"/>
        <w:rPr>
          <w:lang w:val="es-ES"/>
        </w:rPr>
      </w:pPr>
      <w:r w:rsidRPr="006E763F">
        <w:rPr>
          <w:rStyle w:val="FootnoteReference"/>
        </w:rPr>
        <w:footnoteRef/>
      </w:r>
      <w:r w:rsidRPr="006E763F">
        <w:rPr>
          <w:lang w:val="es-ES"/>
        </w:rPr>
        <w:t xml:space="preserve"> </w:t>
      </w:r>
      <w:r w:rsidRPr="006E763F">
        <w:rPr>
          <w:lang w:val="es-VE"/>
        </w:rPr>
        <w:t xml:space="preserve">El artículo 1.1 de la Convención establece: </w:t>
      </w:r>
      <w:r w:rsidRPr="006E763F">
        <w:rPr>
          <w:lang w:val="es-ES"/>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109">
    <w:p w14:paraId="3FD5896E" w14:textId="0E007FFF" w:rsidR="00B934ED" w:rsidRPr="006E763F" w:rsidRDefault="00B934ED" w:rsidP="00B0429C">
      <w:pPr>
        <w:pStyle w:val="FootnoteText"/>
        <w:ind w:firstLine="0"/>
        <w:rPr>
          <w:lang w:val="es-ES"/>
        </w:rPr>
      </w:pPr>
      <w:r w:rsidRPr="006E763F">
        <w:rPr>
          <w:rStyle w:val="FootnoteReference"/>
        </w:rPr>
        <w:footnoteRef/>
      </w:r>
      <w:r w:rsidRPr="006E763F">
        <w:rPr>
          <w:lang w:val="es-ES"/>
        </w:rPr>
        <w:t xml:space="preserve"> El artículo 2 de la Convención establece: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110">
    <w:p w14:paraId="0AF16BCA" w14:textId="1AFA891F" w:rsidR="00B934ED" w:rsidRPr="006E763F" w:rsidRDefault="00B934ED" w:rsidP="0080128A">
      <w:pPr>
        <w:tabs>
          <w:tab w:val="left" w:pos="9356"/>
        </w:tabs>
        <w:jc w:val="both"/>
        <w:rPr>
          <w:rFonts w:ascii="Cambria" w:eastAsia="Times New Roman" w:hAnsi="Cambria"/>
          <w:sz w:val="16"/>
          <w:szCs w:val="16"/>
          <w:lang w:val="es-ES"/>
        </w:rPr>
      </w:pPr>
      <w:r w:rsidRPr="006E763F">
        <w:rPr>
          <w:rStyle w:val="FootnoteReference"/>
          <w:rFonts w:ascii="Cambria" w:hAnsi="Cambria"/>
          <w:sz w:val="16"/>
          <w:szCs w:val="16"/>
        </w:rPr>
        <w:footnoteRef/>
      </w:r>
      <w:r w:rsidRPr="006E763F">
        <w:rPr>
          <w:rFonts w:ascii="Cambria" w:hAnsi="Cambria"/>
          <w:sz w:val="16"/>
          <w:szCs w:val="16"/>
          <w:lang w:val="es-CO"/>
        </w:rPr>
        <w:t xml:space="preserve"> El artículo </w:t>
      </w:r>
      <w:r w:rsidRPr="006E763F">
        <w:rPr>
          <w:rFonts w:ascii="Cambria" w:eastAsia="Times New Roman" w:hAnsi="Cambria"/>
          <w:sz w:val="16"/>
          <w:szCs w:val="16"/>
          <w:lang w:val="es-ES"/>
        </w:rPr>
        <w:t>Artículo I de la CIDFP señala que: Los Estados partes en esta Convención se comprometen a: a) No practicar, no permitir, ni tolerar la desaparición forzada de personas, ni aun en estado de emergencia, excepción o suspensión de garantías individuales; (...).</w:t>
      </w:r>
    </w:p>
  </w:footnote>
  <w:footnote w:id="111">
    <w:p w14:paraId="39403057" w14:textId="77777777" w:rsidR="00B934ED" w:rsidRPr="006E763F" w:rsidRDefault="00B934ED" w:rsidP="0080128A">
      <w:pPr>
        <w:tabs>
          <w:tab w:val="left" w:pos="360"/>
        </w:tabs>
        <w:jc w:val="both"/>
        <w:rPr>
          <w:rFonts w:ascii="Cambria" w:hAnsi="Cambria"/>
          <w:sz w:val="16"/>
          <w:szCs w:val="16"/>
          <w:lang w:val="es-ES_tradnl"/>
        </w:rPr>
      </w:pPr>
      <w:r w:rsidRPr="006E763F">
        <w:rPr>
          <w:rStyle w:val="FootnoteReference"/>
          <w:rFonts w:ascii="Cambria" w:hAnsi="Cambria"/>
          <w:sz w:val="16"/>
          <w:szCs w:val="16"/>
        </w:rPr>
        <w:footnoteRef/>
      </w:r>
      <w:r w:rsidRPr="006E763F">
        <w:rPr>
          <w:rFonts w:ascii="Cambria" w:hAnsi="Cambria"/>
          <w:sz w:val="16"/>
          <w:szCs w:val="16"/>
          <w:lang w:val="es-CO"/>
        </w:rPr>
        <w:t xml:space="preserve"> </w:t>
      </w:r>
      <w:r w:rsidRPr="006E763F">
        <w:rPr>
          <w:rFonts w:ascii="Cambria" w:hAnsi="Cambria"/>
          <w:sz w:val="16"/>
          <w:szCs w:val="16"/>
          <w:lang w:val="es-ES_tradnl"/>
        </w:rPr>
        <w:t xml:space="preserve">CIDH. Informe 101/01. Caso 10.247 y otros. Ejecuciones extrajudiciales y desapariciones forzadas de personas. Perú. 10 de octubre de 2001. Párr. 178; </w:t>
      </w:r>
      <w:r w:rsidRPr="006E763F">
        <w:rPr>
          <w:rFonts w:ascii="Cambria" w:hAnsi="Cambria"/>
          <w:sz w:val="16"/>
          <w:szCs w:val="16"/>
          <w:lang w:val="de-DE"/>
        </w:rPr>
        <w:t xml:space="preserve">CIDH. Demanda ante la Corte Interamericana, Caso No. 11.324, Narciso González y otros, República Domincana, 2 de mayo de 2010, párr. 103; CIDH. Demanda ante la Corte Interamericana, Caso No. 12.517, Gregoria Herminia Contreras y otros, El Salvador, 28 de junio de 2010, párr. 131; </w:t>
      </w:r>
      <w:r w:rsidRPr="006E763F">
        <w:rPr>
          <w:rFonts w:ascii="Cambria" w:hAnsi="Cambria"/>
          <w:sz w:val="16"/>
          <w:szCs w:val="16"/>
          <w:lang w:val="es-ES_tradnl"/>
        </w:rPr>
        <w:t xml:space="preserve">Corte IDH, </w:t>
      </w:r>
      <w:r w:rsidRPr="006E763F">
        <w:rPr>
          <w:rFonts w:ascii="Cambria" w:hAnsi="Cambria"/>
          <w:i/>
          <w:iCs/>
          <w:sz w:val="16"/>
          <w:szCs w:val="16"/>
          <w:lang w:val="es-ES_tradnl"/>
        </w:rPr>
        <w:t>Caso Goiburú y otros</w:t>
      </w:r>
      <w:r w:rsidRPr="006E763F">
        <w:rPr>
          <w:rFonts w:ascii="Cambria" w:hAnsi="Cambria"/>
          <w:sz w:val="16"/>
          <w:szCs w:val="16"/>
          <w:lang w:val="es-ES_tradnl"/>
        </w:rPr>
        <w:t xml:space="preserve">. Sentencia sobre Fondo, Reparaciones y Costas. Sentencia de 22 de septiembre de 2006. Serie C No. 153. Párr. </w:t>
      </w:r>
      <w:r w:rsidRPr="006E763F">
        <w:rPr>
          <w:rFonts w:ascii="Cambria" w:hAnsi="Cambria"/>
          <w:sz w:val="16"/>
          <w:szCs w:val="16"/>
          <w:lang w:val="es-CO"/>
        </w:rPr>
        <w:t xml:space="preserve">82; </w:t>
      </w:r>
      <w:r w:rsidRPr="006E763F">
        <w:rPr>
          <w:rFonts w:ascii="Cambria" w:hAnsi="Cambria"/>
          <w:sz w:val="16"/>
          <w:szCs w:val="16"/>
          <w:lang w:val="es-ES_tradnl"/>
        </w:rPr>
        <w:t xml:space="preserve">Corte I.D.H., </w:t>
      </w:r>
      <w:r w:rsidRPr="006E763F">
        <w:rPr>
          <w:rFonts w:ascii="Cambria" w:hAnsi="Cambria"/>
          <w:i/>
          <w:iCs/>
          <w:sz w:val="16"/>
          <w:szCs w:val="16"/>
          <w:lang w:val="es-ES_tradnl"/>
        </w:rPr>
        <w:t>Caso Gómez Palomino</w:t>
      </w:r>
      <w:r w:rsidRPr="006E763F">
        <w:rPr>
          <w:rFonts w:ascii="Cambria" w:hAnsi="Cambria"/>
          <w:sz w:val="16"/>
          <w:szCs w:val="16"/>
          <w:lang w:val="es-ES_tradnl"/>
        </w:rPr>
        <w:t xml:space="preserve">. Sentencia de 22 de noviembre de 2005. Serie C No. 136. </w:t>
      </w:r>
      <w:r w:rsidRPr="006E763F">
        <w:rPr>
          <w:rFonts w:ascii="Cambria" w:hAnsi="Cambria"/>
          <w:sz w:val="16"/>
          <w:szCs w:val="16"/>
          <w:lang w:val="es-CO"/>
        </w:rPr>
        <w:t xml:space="preserve">Párr. 92; </w:t>
      </w:r>
      <w:r w:rsidRPr="006E763F">
        <w:rPr>
          <w:rFonts w:ascii="Cambria" w:hAnsi="Cambria"/>
          <w:sz w:val="16"/>
          <w:szCs w:val="16"/>
          <w:lang w:val="es-ES_tradnl"/>
        </w:rPr>
        <w:t>Corte I.D.H.,</w:t>
      </w:r>
      <w:r w:rsidRPr="006E763F">
        <w:rPr>
          <w:rFonts w:ascii="Cambria" w:hAnsi="Cambria"/>
          <w:sz w:val="16"/>
          <w:szCs w:val="16"/>
          <w:lang w:val="es-CO"/>
        </w:rPr>
        <w:t xml:space="preserve"> </w:t>
      </w:r>
      <w:r w:rsidRPr="006E763F">
        <w:rPr>
          <w:rFonts w:ascii="Cambria" w:hAnsi="Cambria"/>
          <w:i/>
          <w:noProof/>
          <w:sz w:val="16"/>
          <w:szCs w:val="16"/>
          <w:lang w:val="es-CO"/>
        </w:rPr>
        <w:t xml:space="preserve">Caso de las Hermanas Serrano Cruz. Excepciones preliminares. </w:t>
      </w:r>
      <w:r w:rsidRPr="006E763F">
        <w:rPr>
          <w:rFonts w:ascii="Cambria" w:hAnsi="Cambria"/>
          <w:sz w:val="16"/>
          <w:szCs w:val="16"/>
          <w:lang w:val="es-CO"/>
        </w:rPr>
        <w:t xml:space="preserve">Sentencia de 23 de noviembre de 2004. </w:t>
      </w:r>
      <w:r w:rsidRPr="006E763F">
        <w:rPr>
          <w:rFonts w:ascii="Cambria" w:hAnsi="Cambria"/>
          <w:sz w:val="16"/>
          <w:szCs w:val="16"/>
          <w:lang w:val="es-ES_tradnl"/>
        </w:rPr>
        <w:t>Serie C No. 118</w:t>
      </w:r>
      <w:r w:rsidRPr="006E763F">
        <w:rPr>
          <w:rFonts w:ascii="Cambria" w:hAnsi="Cambria"/>
          <w:noProof/>
          <w:sz w:val="16"/>
          <w:szCs w:val="16"/>
          <w:lang w:val="es-ES_tradnl"/>
        </w:rPr>
        <w:t xml:space="preserve">, Párrs. 100 a 106; Corte IDH., </w:t>
      </w:r>
      <w:r w:rsidRPr="006E763F">
        <w:rPr>
          <w:rFonts w:ascii="Cambria" w:hAnsi="Cambria"/>
          <w:sz w:val="16"/>
          <w:szCs w:val="16"/>
          <w:lang w:val="es-ES_tradnl"/>
        </w:rPr>
        <w:t xml:space="preserve">Caso Molina Theissen. </w:t>
      </w:r>
      <w:r w:rsidRPr="006E763F">
        <w:rPr>
          <w:rFonts w:ascii="Cambria" w:hAnsi="Cambria"/>
          <w:noProof/>
          <w:sz w:val="16"/>
          <w:szCs w:val="16"/>
          <w:lang w:val="es-ES_tradnl"/>
        </w:rPr>
        <w:t xml:space="preserve">Reparaciones (art. 63.1 Convención Americana sobre Derechos Humanos). </w:t>
      </w:r>
      <w:r w:rsidRPr="006E763F">
        <w:rPr>
          <w:rFonts w:ascii="Cambria" w:hAnsi="Cambria"/>
          <w:sz w:val="16"/>
          <w:szCs w:val="16"/>
          <w:lang w:val="es-ES_tradnl"/>
        </w:rPr>
        <w:t xml:space="preserve">Sentencia de 3 de julio de 2004, Serie C No. 108, Párr. 41. </w:t>
      </w:r>
    </w:p>
  </w:footnote>
  <w:footnote w:id="112">
    <w:p w14:paraId="6E8B3A1E" w14:textId="77777777" w:rsidR="00B934ED" w:rsidRPr="006E763F" w:rsidRDefault="00B934ED" w:rsidP="0080128A">
      <w:pPr>
        <w:pStyle w:val="FootnoteText"/>
        <w:tabs>
          <w:tab w:val="left" w:pos="720"/>
        </w:tabs>
        <w:ind w:firstLine="0"/>
        <w:rPr>
          <w:lang w:val="es-ES_tradnl"/>
        </w:rPr>
      </w:pPr>
      <w:r w:rsidRPr="006E763F">
        <w:rPr>
          <w:rStyle w:val="FootnoteReference"/>
        </w:rPr>
        <w:footnoteRef/>
      </w:r>
      <w:r w:rsidRPr="006E763F">
        <w:rPr>
          <w:lang w:val="es-ES_tradnl"/>
        </w:rPr>
        <w:t xml:space="preserve"> Corte IDH. Caso Velásquez Rodríguez Vs. Honduras. </w:t>
      </w:r>
      <w:hyperlink r:id="rId8" w:history="1">
        <w:r w:rsidRPr="006E763F">
          <w:rPr>
            <w:rStyle w:val="Hyperlink"/>
            <w:rFonts w:cs="Arial"/>
            <w:shd w:val="clear" w:color="auto" w:fill="FFFFFF"/>
            <w:lang w:val="es-ES_tradnl"/>
          </w:rPr>
          <w:t>Fondo. Sentencia de 29 de julio de 1988. Serie C No. 4</w:t>
        </w:r>
      </w:hyperlink>
      <w:r w:rsidRPr="006E763F">
        <w:rPr>
          <w:lang w:val="es-ES_tradnl"/>
        </w:rPr>
        <w:t xml:space="preserve">, párr. 174; Caso Anzualdo Castro Vs. Perú. Excepción Preliminar, Fondo, Reparaciones y Costas. Sentencia de 22 de septiembre de 2009. Serie C No. 202, párr. párr. 62; y Caso </w:t>
      </w:r>
      <w:r w:rsidRPr="006E763F">
        <w:rPr>
          <w:lang w:val="es-CR"/>
        </w:rPr>
        <w:t xml:space="preserve">Radilla Pacheco Vs. México. </w:t>
      </w:r>
      <w:r w:rsidRPr="006E763F">
        <w:rPr>
          <w:lang w:val="es-ES_tradnl"/>
        </w:rPr>
        <w:t>Excepciones Preliminares, Fondo, Reparaciones y Costas. Sentencia de 23 de noviembre de 2009. Serie C No. 209, párr. 142.</w:t>
      </w:r>
    </w:p>
  </w:footnote>
  <w:footnote w:id="113">
    <w:p w14:paraId="6E4179CC" w14:textId="77777777" w:rsidR="00B934ED" w:rsidRPr="006E763F" w:rsidRDefault="00B934ED" w:rsidP="0080128A">
      <w:pPr>
        <w:pStyle w:val="FootnoteText"/>
        <w:ind w:firstLine="0"/>
        <w:rPr>
          <w:lang w:val="es-CO"/>
        </w:rPr>
      </w:pPr>
      <w:r w:rsidRPr="006E763F">
        <w:rPr>
          <w:rStyle w:val="FootnoteReference"/>
        </w:rPr>
        <w:footnoteRef/>
      </w:r>
      <w:r w:rsidRPr="006E763F">
        <w:rPr>
          <w:lang w:val="es-CO"/>
        </w:rPr>
        <w:t xml:space="preserve"> </w:t>
      </w:r>
      <w:r w:rsidRPr="006E763F">
        <w:rPr>
          <w:lang w:val="de-DE"/>
        </w:rPr>
        <w:t>CIDH. Demanda ante la Corte Interamericana, Caso No. 12.529, Rainer Ibsen Cárdenas y José Luis Ibsen Peña, Bolivia, Mayo 12, 2009, párr. 106.</w:t>
      </w:r>
    </w:p>
  </w:footnote>
  <w:footnote w:id="114">
    <w:p w14:paraId="60EA6C56" w14:textId="77777777" w:rsidR="00B934ED" w:rsidRPr="006E763F" w:rsidRDefault="00B934ED" w:rsidP="0080128A">
      <w:pPr>
        <w:pStyle w:val="FootnoteText"/>
        <w:tabs>
          <w:tab w:val="left" w:pos="720"/>
        </w:tabs>
        <w:ind w:firstLine="0"/>
        <w:rPr>
          <w:lang w:val="es-ES_tradnl"/>
        </w:rPr>
      </w:pPr>
      <w:r w:rsidRPr="006E763F">
        <w:rPr>
          <w:rStyle w:val="FootnoteReference"/>
        </w:rPr>
        <w:footnoteRef/>
      </w:r>
      <w:r w:rsidRPr="006E763F">
        <w:rPr>
          <w:lang w:val="es-ES_tradnl"/>
        </w:rPr>
        <w:t xml:space="preserve"> Corte IDH. Caso Chaparro Álvarez y Lapo Iñiguez Vs. Ecuador. Excepciones Preliminares, Fondo, Reparaciones y Costas. Sentencia de 21 de noviembre de 2007. Serie C No. 170, párr. 171; y Caso Anzualdo Castro Vs. Perú. Excepción Preliminar, Fondo, Reparaciones y Costas. Sentencia de 22 de septiembre de 2009. Serie C No. 202, párr. 85. </w:t>
      </w:r>
    </w:p>
  </w:footnote>
  <w:footnote w:id="115">
    <w:p w14:paraId="058CD1EC" w14:textId="77777777" w:rsidR="00B934ED" w:rsidRPr="006E763F" w:rsidRDefault="00B934ED" w:rsidP="0080128A">
      <w:pPr>
        <w:pStyle w:val="FootnoteText"/>
        <w:ind w:firstLine="0"/>
        <w:rPr>
          <w:lang w:val="es-ES_tradnl"/>
        </w:rPr>
      </w:pPr>
      <w:r w:rsidRPr="006E763F">
        <w:rPr>
          <w:rStyle w:val="FootnoteReference"/>
        </w:rPr>
        <w:footnoteRef/>
      </w:r>
      <w:r w:rsidRPr="006E763F">
        <w:rPr>
          <w:lang w:val="es-VE"/>
        </w:rPr>
        <w:t xml:space="preserve"> Corte IDH. Caso Anzualdo Castro Vs. </w:t>
      </w:r>
      <w:r w:rsidRPr="006E763F">
        <w:rPr>
          <w:lang w:val="es-ES_tradnl"/>
        </w:rPr>
        <w:t xml:space="preserve">Perú. Excepción Preliminar, Fondo, Reparaciones y Costas. Sentencia de 22 de septiembre de 2009. Serie C No. 202, párrs. 91-92; Caso </w:t>
      </w:r>
      <w:r w:rsidRPr="006E763F">
        <w:rPr>
          <w:lang w:val="es-CR"/>
        </w:rPr>
        <w:t xml:space="preserve">Radilla Pacheco Vs. México. </w:t>
      </w:r>
      <w:r w:rsidRPr="006E763F">
        <w:rPr>
          <w:lang w:val="es-ES_tradnl"/>
        </w:rPr>
        <w:t xml:space="preserve">Excepciones Preliminares, Fondo, Reparaciones y Costas. Sentencia de 23 de noviembre de 2009. Serie C No. 209, párr. 157. </w:t>
      </w:r>
    </w:p>
  </w:footnote>
  <w:footnote w:id="116">
    <w:p w14:paraId="065E0110" w14:textId="77777777" w:rsidR="00B934ED" w:rsidRPr="006E763F" w:rsidRDefault="00B934ED" w:rsidP="0080128A">
      <w:pPr>
        <w:pStyle w:val="FootnoteText"/>
        <w:tabs>
          <w:tab w:val="left" w:pos="720"/>
        </w:tabs>
        <w:ind w:firstLine="0"/>
        <w:rPr>
          <w:lang w:val="es-ES_tradnl"/>
        </w:rPr>
      </w:pPr>
      <w:r w:rsidRPr="006E763F">
        <w:rPr>
          <w:rStyle w:val="FootnoteReference"/>
        </w:rPr>
        <w:footnoteRef/>
      </w:r>
      <w:r w:rsidRPr="006E763F">
        <w:rPr>
          <w:lang w:val="es-VE"/>
        </w:rPr>
        <w:t xml:space="preserve"> Corte IDH. Caso Anzualdo Castro Vs. </w:t>
      </w:r>
      <w:r w:rsidRPr="006E763F">
        <w:rPr>
          <w:lang w:val="es-ES_tradnl"/>
        </w:rPr>
        <w:t xml:space="preserve">Perú. Excepción Preliminar, Fondo, Reparaciones y Costas. Sentencia de 22 de septiembre de 2009. Serie C No. 202, párr. </w:t>
      </w:r>
      <w:r w:rsidRPr="006E763F">
        <w:rPr>
          <w:lang w:val="es-VE"/>
        </w:rPr>
        <w:t>90.</w:t>
      </w:r>
    </w:p>
  </w:footnote>
  <w:footnote w:id="117">
    <w:p w14:paraId="0DF29F32" w14:textId="77777777" w:rsidR="00B934ED" w:rsidRPr="006E763F" w:rsidRDefault="00B934ED" w:rsidP="0080128A">
      <w:pPr>
        <w:pStyle w:val="FootnoteText"/>
        <w:ind w:firstLine="0"/>
        <w:rPr>
          <w:lang w:val="es-ES"/>
        </w:rPr>
      </w:pPr>
      <w:r w:rsidRPr="006E763F">
        <w:rPr>
          <w:rStyle w:val="FootnoteReference"/>
        </w:rPr>
        <w:footnoteRef/>
      </w:r>
      <w:r w:rsidRPr="006E763F">
        <w:rPr>
          <w:lang w:val="es-ES"/>
        </w:rPr>
        <w:t xml:space="preserve"> CIDH. Informe No. 111/09. Caso 11.324. Fondo. Narciso González Medina. República Dominicana. 10 de noviembre de 2009. Párr. 56. </w:t>
      </w:r>
    </w:p>
  </w:footnote>
  <w:footnote w:id="118">
    <w:p w14:paraId="2FD203C7" w14:textId="77777777" w:rsidR="00B934ED" w:rsidRPr="006E763F" w:rsidRDefault="00B934ED" w:rsidP="0080128A">
      <w:pPr>
        <w:pStyle w:val="FootnoteText"/>
        <w:ind w:firstLine="0"/>
        <w:rPr>
          <w:lang w:val="es-VE"/>
        </w:rPr>
      </w:pPr>
      <w:r w:rsidRPr="006E763F">
        <w:rPr>
          <w:rStyle w:val="FootnoteReference"/>
        </w:rPr>
        <w:footnoteRef/>
      </w:r>
      <w:r w:rsidRPr="006E763F">
        <w:rPr>
          <w:lang w:val="es-ES"/>
        </w:rPr>
        <w:t xml:space="preserve"> </w:t>
      </w:r>
      <w:hyperlink r:id="rId9" w:history="1">
        <w:r w:rsidRPr="006E763F">
          <w:rPr>
            <w:rStyle w:val="Hyperlink"/>
            <w:lang w:val="es-ES"/>
          </w:rPr>
          <w:t>Corte IDH.</w:t>
        </w:r>
        <w:r w:rsidRPr="006E763F">
          <w:rPr>
            <w:rStyle w:val="Hyperlink"/>
            <w:iCs/>
            <w:lang w:val="es-ES"/>
          </w:rPr>
          <w:t xml:space="preserve"> </w:t>
        </w:r>
        <w:r w:rsidRPr="006E763F">
          <w:rPr>
            <w:rStyle w:val="Hyperlink"/>
            <w:iCs/>
            <w:lang w:val="es-ES_tradnl"/>
          </w:rPr>
          <w:t xml:space="preserve">Caso González Medina y familiares Vs. República Dominicana. </w:t>
        </w:r>
        <w:r w:rsidRPr="006E763F">
          <w:rPr>
            <w:rStyle w:val="Hyperlink"/>
            <w:lang w:val="es-ES_tradnl"/>
          </w:rPr>
          <w:t>Excepciones Preliminares, Fondo, Reparaciones y Costas. Sentencia de 27 de febrero de 2012 Serie C No. 240</w:t>
        </w:r>
      </w:hyperlink>
      <w:r w:rsidRPr="006E763F">
        <w:rPr>
          <w:lang w:val="es-ES_tradnl"/>
        </w:rPr>
        <w:t>, párr. 134.</w:t>
      </w:r>
    </w:p>
  </w:footnote>
  <w:footnote w:id="119">
    <w:p w14:paraId="26E7AF21" w14:textId="77777777" w:rsidR="00B934ED" w:rsidRPr="006E763F" w:rsidRDefault="00B934ED" w:rsidP="0080128A">
      <w:pPr>
        <w:pStyle w:val="FootnoteText"/>
        <w:ind w:firstLine="0"/>
        <w:rPr>
          <w:lang w:val="es-VE"/>
        </w:rPr>
      </w:pPr>
      <w:r w:rsidRPr="006E763F">
        <w:rPr>
          <w:rStyle w:val="FootnoteReference"/>
        </w:rPr>
        <w:footnoteRef/>
      </w:r>
      <w:r w:rsidRPr="006E763F">
        <w:rPr>
          <w:lang w:val="es-VE"/>
        </w:rPr>
        <w:t xml:space="preserve"> Corte IDH. Caso Blake vs. Guatemala. Sentencia de 24 d enero de 1998. Serie C No. 36, párr.49.</w:t>
      </w:r>
    </w:p>
  </w:footnote>
  <w:footnote w:id="120">
    <w:p w14:paraId="7A6DAFB7" w14:textId="77777777" w:rsidR="00B934ED" w:rsidRPr="006E763F" w:rsidRDefault="00B934ED" w:rsidP="0080128A">
      <w:pPr>
        <w:pStyle w:val="FootnoteText"/>
        <w:tabs>
          <w:tab w:val="left" w:pos="9356"/>
        </w:tabs>
        <w:ind w:firstLine="0"/>
        <w:rPr>
          <w:lang w:val="es-CL"/>
        </w:rPr>
      </w:pPr>
      <w:r w:rsidRPr="006E763F">
        <w:rPr>
          <w:rStyle w:val="FootnoteReference"/>
        </w:rPr>
        <w:footnoteRef/>
      </w:r>
      <w:r w:rsidRPr="006E763F">
        <w:rPr>
          <w:lang w:val="es-ES"/>
        </w:rPr>
        <w:t xml:space="preserve"> </w:t>
      </w:r>
      <w:r w:rsidRPr="006E763F">
        <w:rPr>
          <w:lang w:val="es-CL"/>
        </w:rPr>
        <w:t>CIDH, Informe No. 5 /16, Casos 11.053, 11.054, 12.224, 12.225, y 12.823. Fondo. Perú.13 de abril de 2016,</w:t>
      </w:r>
      <w:r w:rsidRPr="006E763F">
        <w:rPr>
          <w:lang w:val="es-ES"/>
        </w:rPr>
        <w:t xml:space="preserve"> Párrs. 175 – 179. </w:t>
      </w:r>
    </w:p>
  </w:footnote>
  <w:footnote w:id="121">
    <w:p w14:paraId="5F5B6A60" w14:textId="77777777" w:rsidR="00B934ED" w:rsidRPr="006E763F" w:rsidRDefault="00B934ED" w:rsidP="0080128A">
      <w:pPr>
        <w:pStyle w:val="FootnoteText"/>
        <w:tabs>
          <w:tab w:val="left" w:pos="720"/>
        </w:tabs>
        <w:ind w:firstLine="0"/>
        <w:rPr>
          <w:lang w:val="es-ES_tradnl"/>
        </w:rPr>
      </w:pPr>
      <w:r w:rsidRPr="006E763F">
        <w:rPr>
          <w:rStyle w:val="FootnoteReference"/>
        </w:rPr>
        <w:footnoteRef/>
      </w:r>
      <w:r w:rsidRPr="006E763F">
        <w:rPr>
          <w:lang w:val="es-VE"/>
        </w:rPr>
        <w:t xml:space="preserve"> Corte IDH. Caso Gómez Palomino Vs. </w:t>
      </w:r>
      <w:r w:rsidRPr="006E763F">
        <w:rPr>
          <w:lang w:val="es-ES_tradnl"/>
        </w:rPr>
        <w:t xml:space="preserve">Perú. </w:t>
      </w:r>
      <w:hyperlink r:id="rId10" w:history="1">
        <w:r w:rsidRPr="006E763F">
          <w:rPr>
            <w:rStyle w:val="Hyperlink"/>
            <w:rFonts w:cs="Arial"/>
            <w:shd w:val="clear" w:color="auto" w:fill="FFFFFF"/>
            <w:lang w:val="es-ES_tradnl"/>
          </w:rPr>
          <w:t>Fondo, Reparaciones y Costas. Sentencia de 22 de noviembre de 2005. Serie C No. 136</w:t>
        </w:r>
      </w:hyperlink>
      <w:r w:rsidRPr="006E763F">
        <w:rPr>
          <w:lang w:val="es-ES_tradnl"/>
        </w:rPr>
        <w:t xml:space="preserve">, párr. 97; Caso Ticona Estrada Vs. </w:t>
      </w:r>
      <w:r w:rsidRPr="006E763F">
        <w:rPr>
          <w:lang w:val="es-CL"/>
        </w:rPr>
        <w:t xml:space="preserve">Bolivia. Fondo, Reparaciones y Costas. Sentencia de 27 de noviembre de 2008. Serie C No. 191, párr. </w:t>
      </w:r>
      <w:r w:rsidRPr="006E763F">
        <w:rPr>
          <w:lang w:val="es-ES_tradnl"/>
        </w:rPr>
        <w:t>55; y Caso Anzualdo Castro Vs. Perú. Excepción Preliminar, Fondo, Reparaciones y Costas. Sentencia de 22 de septiembre de 2009. Serie C No. 202, párr. 60.</w:t>
      </w:r>
    </w:p>
  </w:footnote>
  <w:footnote w:id="122">
    <w:p w14:paraId="777A5591" w14:textId="4687B820" w:rsidR="00B934ED" w:rsidRPr="006E763F" w:rsidRDefault="00B934ED" w:rsidP="00283897">
      <w:pPr>
        <w:pStyle w:val="FootnoteText"/>
        <w:ind w:firstLine="0"/>
        <w:rPr>
          <w:lang w:val="es-ES"/>
        </w:rPr>
      </w:pPr>
      <w:r w:rsidRPr="006E763F">
        <w:rPr>
          <w:rStyle w:val="FootnoteReference"/>
        </w:rPr>
        <w:footnoteRef/>
      </w:r>
      <w:r w:rsidRPr="006E763F">
        <w:rPr>
          <w:lang w:val="es-ES"/>
        </w:rPr>
        <w:t xml:space="preserve"> Colombia depositó el instrumento de ratificación de la CIDFP ante la Secretaría General de la OEA el 12 de abril de 2005.</w:t>
      </w:r>
    </w:p>
  </w:footnote>
  <w:footnote w:id="123">
    <w:p w14:paraId="1AB0960A" w14:textId="77777777" w:rsidR="00B934ED" w:rsidRPr="006E763F" w:rsidRDefault="00B934ED" w:rsidP="0080128A">
      <w:pPr>
        <w:pStyle w:val="FootnoteText"/>
        <w:tabs>
          <w:tab w:val="left" w:pos="9356"/>
        </w:tabs>
        <w:ind w:firstLine="0"/>
        <w:rPr>
          <w:lang w:val="es-ES"/>
        </w:rPr>
      </w:pPr>
      <w:r w:rsidRPr="006E763F">
        <w:rPr>
          <w:rStyle w:val="FootnoteReference"/>
        </w:rPr>
        <w:footnoteRef/>
      </w:r>
      <w:r w:rsidRPr="006E763F">
        <w:rPr>
          <w:lang w:val="es-ES"/>
        </w:rPr>
        <w:t xml:space="preserve">  El artículo 16 de la Convención Americana consagra en lo pertinente: 1. Todas las personas tienen derecho a asociarse libremente con fines ideológicos, religiosos, políticos, económicos, laborales, sociales, culturales, deportivos o de cualquiera otra índole.</w:t>
      </w:r>
    </w:p>
  </w:footnote>
  <w:footnote w:id="124">
    <w:p w14:paraId="1CAA6D51" w14:textId="3AC2D0EA" w:rsidR="00B934ED" w:rsidRPr="006E763F" w:rsidRDefault="00B934ED" w:rsidP="0080128A">
      <w:pPr>
        <w:pStyle w:val="FootnoteText"/>
        <w:tabs>
          <w:tab w:val="left" w:pos="9356"/>
        </w:tabs>
        <w:ind w:firstLine="0"/>
        <w:rPr>
          <w:lang w:val="es-CL"/>
        </w:rPr>
      </w:pPr>
      <w:r w:rsidRPr="006E763F">
        <w:rPr>
          <w:rStyle w:val="FootnoteReference"/>
        </w:rPr>
        <w:footnoteRef/>
      </w:r>
      <w:r w:rsidRPr="006E763F">
        <w:rPr>
          <w:lang w:val="pt-BR"/>
        </w:rPr>
        <w:t xml:space="preserve"> Corte IDH. Caso Huilca Tecse Vs. </w:t>
      </w:r>
      <w:r w:rsidRPr="006E763F">
        <w:rPr>
          <w:lang w:val="es-CL"/>
        </w:rPr>
        <w:t>Perú. Excepciones Preliminares, Fondo, Reparaciones y Costas. Sentencia de 3 de marzo de 2005. párr. 71; Corte IDH. Caso Lagos del Campo Vs. Perú. Excepciones Preliminares, Fondo, Reparaciones y Costas. Sentencia de 31 de agosto de 2017. Párr. 23.</w:t>
      </w:r>
    </w:p>
  </w:footnote>
  <w:footnote w:id="125">
    <w:p w14:paraId="4C80A8B9" w14:textId="77777777" w:rsidR="00B934ED" w:rsidRPr="006E763F" w:rsidRDefault="00B934ED" w:rsidP="0080128A">
      <w:pPr>
        <w:pStyle w:val="NoSpacing"/>
        <w:tabs>
          <w:tab w:val="left" w:pos="9356"/>
        </w:tabs>
        <w:ind w:firstLine="0"/>
        <w:rPr>
          <w:sz w:val="16"/>
          <w:szCs w:val="16"/>
        </w:rPr>
      </w:pPr>
      <w:r w:rsidRPr="006E763F">
        <w:rPr>
          <w:b/>
          <w:bCs/>
          <w:sz w:val="16"/>
          <w:szCs w:val="16"/>
          <w:vertAlign w:val="superscript"/>
        </w:rPr>
        <w:footnoteRef/>
      </w:r>
      <w:r w:rsidRPr="006E763F">
        <w:rPr>
          <w:sz w:val="16"/>
          <w:szCs w:val="16"/>
        </w:rPr>
        <w:t xml:space="preserve"> El artículo 8 de la Convención Americana consagra en lo pertinente: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footnote>
  <w:footnote w:id="126">
    <w:p w14:paraId="7ED5AE60" w14:textId="77777777" w:rsidR="00B934ED" w:rsidRPr="006E763F" w:rsidRDefault="00B934ED" w:rsidP="0080128A">
      <w:pPr>
        <w:pStyle w:val="NoSpacing"/>
        <w:tabs>
          <w:tab w:val="left" w:pos="9356"/>
        </w:tabs>
        <w:ind w:firstLine="0"/>
        <w:rPr>
          <w:sz w:val="16"/>
          <w:szCs w:val="16"/>
        </w:rPr>
      </w:pPr>
      <w:r w:rsidRPr="006E763F">
        <w:rPr>
          <w:b/>
          <w:bCs/>
          <w:sz w:val="16"/>
          <w:szCs w:val="16"/>
          <w:vertAlign w:val="superscript"/>
        </w:rPr>
        <w:footnoteRef/>
      </w:r>
      <w:r w:rsidRPr="006E763F">
        <w:rPr>
          <w:sz w:val="16"/>
          <w:szCs w:val="16"/>
        </w:rPr>
        <w:t xml:space="preserve"> El artículo 25 de la Convención Americana señala en lo pertinente que: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27">
    <w:p w14:paraId="668F8BAA" w14:textId="5E7CA6B4" w:rsidR="00B934ED" w:rsidRPr="006E763F" w:rsidRDefault="00B934ED" w:rsidP="0080128A">
      <w:pPr>
        <w:pStyle w:val="FootnoteText"/>
        <w:tabs>
          <w:tab w:val="left" w:pos="9356"/>
        </w:tabs>
        <w:ind w:firstLine="0"/>
        <w:rPr>
          <w:lang w:val="es-ES"/>
        </w:rPr>
      </w:pPr>
      <w:r w:rsidRPr="006E763F">
        <w:rPr>
          <w:rStyle w:val="FootnoteReference"/>
        </w:rPr>
        <w:footnoteRef/>
      </w:r>
      <w:r w:rsidRPr="006E763F">
        <w:rPr>
          <w:lang w:val="es-ES"/>
        </w:rPr>
        <w:t xml:space="preserve"> El artículo I.b de la CIDFP consagra en lo pertinente: b. </w:t>
      </w:r>
      <w:r w:rsidRPr="006E763F">
        <w:rPr>
          <w:lang w:val="es-MX"/>
        </w:rPr>
        <w:t>sancionar en el ámbito de su jurisdicción a los autores, cómplices y encubridores del delito de desaparición forzada de personas, así como la tentativa de comisión del mismo.</w:t>
      </w:r>
    </w:p>
  </w:footnote>
  <w:footnote w:id="128">
    <w:p w14:paraId="2BEDDD17" w14:textId="7CBDC355" w:rsidR="00B934ED" w:rsidRPr="006E763F" w:rsidRDefault="00B934ED" w:rsidP="0080128A">
      <w:pPr>
        <w:tabs>
          <w:tab w:val="left" w:pos="900"/>
          <w:tab w:val="left" w:pos="1080"/>
          <w:tab w:val="left" w:pos="9356"/>
        </w:tabs>
        <w:autoSpaceDE w:val="0"/>
        <w:autoSpaceDN w:val="0"/>
        <w:adjustRightInd w:val="0"/>
        <w:jc w:val="both"/>
        <w:rPr>
          <w:rFonts w:ascii="Cambria" w:hAnsi="Cambria"/>
          <w:sz w:val="16"/>
          <w:szCs w:val="16"/>
          <w:lang w:val="es-VE"/>
        </w:rPr>
      </w:pPr>
      <w:r w:rsidRPr="006E763F">
        <w:rPr>
          <w:rFonts w:ascii="Cambria" w:hAnsi="Cambria"/>
          <w:sz w:val="16"/>
          <w:szCs w:val="16"/>
          <w:lang w:val="es-VE"/>
        </w:rPr>
        <w:t xml:space="preserve"> </w:t>
      </w:r>
      <w:r w:rsidRPr="006E763F">
        <w:rPr>
          <w:rStyle w:val="FootnoteReference"/>
          <w:rFonts w:ascii="Cambria" w:hAnsi="Cambria"/>
          <w:sz w:val="16"/>
          <w:szCs w:val="16"/>
        </w:rPr>
        <w:footnoteRef/>
      </w:r>
      <w:r w:rsidRPr="006E763F">
        <w:rPr>
          <w:rFonts w:ascii="Cambria" w:hAnsi="Cambria"/>
          <w:sz w:val="16"/>
          <w:szCs w:val="16"/>
          <w:lang w:val="es-CO"/>
        </w:rPr>
        <w:t xml:space="preserve"> CIDH. Informe No. 111/09. Caso 11.324. Fondo. Narciso González Medina. República Dominicana. 10 de noviembre de 2009. Párr. 225; Corte IDH. Caso Anzualdo Castro Vs. </w:t>
      </w:r>
      <w:r w:rsidRPr="006E763F">
        <w:rPr>
          <w:rFonts w:ascii="Cambria" w:hAnsi="Cambria"/>
          <w:sz w:val="16"/>
          <w:szCs w:val="16"/>
          <w:lang w:val="es-VE"/>
        </w:rPr>
        <w:t xml:space="preserve">Perú. Excepción Preliminar, Fondo, Reparaciones y Costas. Sentencia de 22 de Septiembre de 2009. Serie C No. 202, párr. 134; </w:t>
      </w:r>
      <w:r w:rsidRPr="006E763F">
        <w:rPr>
          <w:rFonts w:ascii="Cambria" w:hAnsi="Cambria"/>
          <w:bCs/>
          <w:sz w:val="16"/>
          <w:szCs w:val="16"/>
          <w:lang w:val="es-VE"/>
        </w:rPr>
        <w:t xml:space="preserve">Caso Radilla Pacheco Vs. México. </w:t>
      </w:r>
      <w:r w:rsidRPr="006E763F">
        <w:rPr>
          <w:rFonts w:ascii="Cambria" w:hAnsi="Cambria"/>
          <w:sz w:val="16"/>
          <w:szCs w:val="16"/>
          <w:lang w:val="es-VE"/>
        </w:rPr>
        <w:t xml:space="preserve">Excepciones Preliminares, Fondo, Reparaciones y Costas. Sentencia de 23 de Noviembre de 2009. Serie C No. 209, párr. 221; Corte IDH, </w:t>
      </w:r>
      <w:r w:rsidRPr="006E763F">
        <w:rPr>
          <w:rFonts w:ascii="Cambria" w:hAnsi="Cambria"/>
          <w:bCs/>
          <w:sz w:val="16"/>
          <w:szCs w:val="16"/>
          <w:lang w:val="es-VE"/>
        </w:rPr>
        <w:t xml:space="preserve">Caso Ibsen Cárdenas e Ibsen Peña Vs. Bolivia. </w:t>
      </w:r>
      <w:r w:rsidRPr="006E763F">
        <w:rPr>
          <w:rFonts w:ascii="Cambria" w:hAnsi="Cambria"/>
          <w:sz w:val="16"/>
          <w:szCs w:val="16"/>
          <w:lang w:val="es-VE"/>
        </w:rPr>
        <w:t xml:space="preserve">Fondo, Reparaciones y Costas. Sentencia de 1 de septiembre de 2010. Serie C No. 217, párr. 167. Ver también Corte IDH, Asunto Natera Balboa. Medida Provisionales respecto de Venezuela. Resolución de la Corte de 1 de febrero de 2010, Considerando decimotercero, y Asunto Guerrero Larez. Medidas Provisionales respecto de Venezuela. Resolución de la Corte de 29 de agosto de 2013. Considerando sexto. </w:t>
      </w:r>
    </w:p>
  </w:footnote>
  <w:footnote w:id="129">
    <w:p w14:paraId="5F477726" w14:textId="41DD5FD1" w:rsidR="00B934ED" w:rsidRPr="006E763F" w:rsidRDefault="00B934ED" w:rsidP="0080128A">
      <w:pPr>
        <w:widowControl w:val="0"/>
        <w:tabs>
          <w:tab w:val="left" w:pos="567"/>
          <w:tab w:val="left" w:pos="9356"/>
        </w:tabs>
        <w:autoSpaceDE w:val="0"/>
        <w:autoSpaceDN w:val="0"/>
        <w:adjustRightInd w:val="0"/>
        <w:jc w:val="both"/>
        <w:rPr>
          <w:rFonts w:ascii="Cambria" w:hAnsi="Cambria" w:cs="Calibri"/>
          <w:color w:val="000000"/>
          <w:sz w:val="16"/>
          <w:szCs w:val="16"/>
          <w:u w:color="000000"/>
          <w:lang w:val="es-MX" w:eastAsia="es-ES"/>
        </w:rPr>
      </w:pPr>
      <w:r w:rsidRPr="006E763F">
        <w:rPr>
          <w:rStyle w:val="FootnoteReference"/>
          <w:rFonts w:ascii="Cambria" w:hAnsi="Cambria"/>
          <w:spacing w:val="-6"/>
          <w:sz w:val="16"/>
          <w:szCs w:val="16"/>
        </w:rPr>
        <w:footnoteRef/>
      </w:r>
      <w:r w:rsidRPr="006E763F">
        <w:rPr>
          <w:rFonts w:ascii="Cambria" w:hAnsi="Cambria"/>
          <w:spacing w:val="-6"/>
          <w:sz w:val="16"/>
          <w:szCs w:val="16"/>
          <w:lang w:val="es-CR"/>
        </w:rPr>
        <w:t xml:space="preserve"> </w:t>
      </w:r>
      <w:r w:rsidRPr="006E763F">
        <w:rPr>
          <w:rFonts w:ascii="Cambria" w:hAnsi="Cambria" w:cs="Calibri"/>
          <w:color w:val="000000"/>
          <w:sz w:val="16"/>
          <w:szCs w:val="16"/>
          <w:u w:color="000000"/>
          <w:lang w:val="es-MX" w:eastAsia="es-ES"/>
        </w:rPr>
        <w:t>Corte IDH. Caso Velásquez Rodríguez. Vs. Honduras. Fondo. Sentencia de 29 de julio de 1988. Serie C No. 1, párr. 177; y Caso Veliz Franco y otros Vs. Guatemala. Excepciones Preliminares, Fondo, Reparaciones y Costas. Sentencia de 19 de mayo de 2014. Serie C No. 277, párr. 183.</w:t>
      </w:r>
    </w:p>
  </w:footnote>
  <w:footnote w:id="130">
    <w:p w14:paraId="53B2C4B2" w14:textId="77777777" w:rsidR="00B934ED" w:rsidRPr="006E763F" w:rsidRDefault="00B934ED" w:rsidP="0080128A">
      <w:pPr>
        <w:pStyle w:val="FootnoteText"/>
        <w:tabs>
          <w:tab w:val="left" w:pos="9356"/>
        </w:tabs>
        <w:ind w:firstLine="0"/>
        <w:rPr>
          <w:lang w:val="es-MX"/>
        </w:rPr>
      </w:pPr>
      <w:r w:rsidRPr="006E763F">
        <w:rPr>
          <w:rStyle w:val="FootnoteReference"/>
        </w:rPr>
        <w:footnoteRef/>
      </w:r>
      <w:r w:rsidRPr="006E763F">
        <w:rPr>
          <w:lang w:val="es-MX"/>
        </w:rPr>
        <w:t xml:space="preserve"> Corte IDH. Caso Myrna Mack Chan Vs. Guatemala. Fondo, Reparaciones y Costas. Sentencia de 25 de noviembre de 2003. Serie C No. 101, párr. 156; y Caso de las Comunidades Afrodescendientes Desplazadas de la Cuenca del Río Cacarica (Operación Génesis) Vs. Colombia. Excepciones Preliminares, Fondo, Reparaciones y Costas. Sentencia de 20 de noviembre de 2013. Serie C No. 270, párr. 371.</w:t>
      </w:r>
    </w:p>
  </w:footnote>
  <w:footnote w:id="131">
    <w:p w14:paraId="0C30BCFB" w14:textId="016353CD" w:rsidR="00B934ED" w:rsidRPr="006E763F" w:rsidRDefault="00B934ED" w:rsidP="0080128A">
      <w:pPr>
        <w:tabs>
          <w:tab w:val="left" w:pos="567"/>
          <w:tab w:val="left" w:pos="9356"/>
        </w:tabs>
        <w:jc w:val="both"/>
        <w:rPr>
          <w:rFonts w:ascii="Cambria" w:hAnsi="Cambria" w:cs="Calibri"/>
          <w:color w:val="000000"/>
          <w:sz w:val="16"/>
          <w:szCs w:val="16"/>
          <w:u w:color="000000"/>
          <w:lang w:val="es-MX" w:eastAsia="es-ES"/>
        </w:rPr>
      </w:pPr>
      <w:r w:rsidRPr="006E763F">
        <w:rPr>
          <w:rStyle w:val="FootnoteReference"/>
          <w:rFonts w:ascii="Cambria" w:hAnsi="Cambria"/>
          <w:spacing w:val="-6"/>
          <w:sz w:val="16"/>
          <w:szCs w:val="16"/>
        </w:rPr>
        <w:footnoteRef/>
      </w:r>
      <w:r w:rsidRPr="006E763F">
        <w:rPr>
          <w:rFonts w:ascii="Cambria" w:hAnsi="Cambria" w:cs="Calibri"/>
          <w:color w:val="000000"/>
          <w:sz w:val="16"/>
          <w:szCs w:val="16"/>
          <w:u w:color="000000"/>
          <w:lang w:val="es-MX" w:eastAsia="es-ES"/>
        </w:rPr>
        <w:t>Corte IDH. Caso Velásquez Rodríguez Vs. Honduras. Fondo. Sentencia de 29 de julio de 1988. Serie C No. 1, párr. 177; y Caso Veliz Franco y otros Vs. Guatemala. Excepciones Preliminares. Fondo, Reparaciones y Costas. Sentencia de 19 de mayo de 2014. Serie C No. 277, párr.183.</w:t>
      </w:r>
    </w:p>
  </w:footnote>
  <w:footnote w:id="132">
    <w:p w14:paraId="44CE9444" w14:textId="0E3A1602" w:rsidR="00B934ED" w:rsidRPr="006E763F" w:rsidRDefault="00B934ED" w:rsidP="0080128A">
      <w:pPr>
        <w:widowControl w:val="0"/>
        <w:tabs>
          <w:tab w:val="left" w:pos="567"/>
          <w:tab w:val="left" w:pos="9356"/>
        </w:tabs>
        <w:autoSpaceDE w:val="0"/>
        <w:autoSpaceDN w:val="0"/>
        <w:adjustRightInd w:val="0"/>
        <w:jc w:val="both"/>
        <w:rPr>
          <w:rFonts w:ascii="Cambria" w:hAnsi="Cambria"/>
          <w:spacing w:val="-6"/>
          <w:sz w:val="16"/>
          <w:szCs w:val="16"/>
          <w:lang w:val="es-CR"/>
        </w:rPr>
      </w:pPr>
      <w:r w:rsidRPr="006E763F">
        <w:rPr>
          <w:rStyle w:val="FootnoteReference"/>
          <w:rFonts w:ascii="Cambria" w:hAnsi="Cambria"/>
          <w:spacing w:val="-6"/>
          <w:sz w:val="16"/>
          <w:szCs w:val="16"/>
        </w:rPr>
        <w:footnoteRef/>
      </w:r>
      <w:r w:rsidRPr="006E763F">
        <w:rPr>
          <w:rFonts w:ascii="Cambria" w:hAnsi="Cambria"/>
          <w:spacing w:val="-6"/>
          <w:sz w:val="16"/>
          <w:szCs w:val="16"/>
          <w:lang w:val="es-CR"/>
        </w:rPr>
        <w:t xml:space="preserve"> Corte IDH. Caso de las Masacres de Ituango Vs. Colombia. Sentencia de 1 de julio de 2006, Serie C. No. 148, párr. 319; Caso Veliz Franco </w:t>
      </w:r>
      <w:r w:rsidRPr="006E763F">
        <w:rPr>
          <w:rFonts w:ascii="Cambria" w:hAnsi="Cambria" w:cs="Verdana"/>
          <w:spacing w:val="-6"/>
          <w:sz w:val="16"/>
          <w:szCs w:val="16"/>
          <w:lang w:val="es-ES"/>
        </w:rPr>
        <w:t xml:space="preserve">y otros Vs. Guatemala. Excepciones Preliminares, Fondo, Reparaciones y Costas. Sentencia de 19 de mayo de 2014. Serie C No. 277, párr. 183; y </w:t>
      </w:r>
      <w:r w:rsidRPr="006E763F">
        <w:rPr>
          <w:rFonts w:ascii="Cambria" w:hAnsi="Cambria"/>
          <w:sz w:val="16"/>
          <w:szCs w:val="16"/>
          <w:lang w:val="es-MX"/>
        </w:rPr>
        <w:t xml:space="preserve">Caso Hermanos Landaeta Mejías y otros Vs. Venezuela. Excepciones Preliminares, Fondo, Reparaciones y Costas. Sentencia de 27 de agosto de 2014. Serie C No. 281, párr., 216. </w:t>
      </w:r>
    </w:p>
  </w:footnote>
  <w:footnote w:id="133">
    <w:p w14:paraId="441ADF8D" w14:textId="72498484" w:rsidR="00B934ED" w:rsidRPr="006E763F" w:rsidRDefault="00B934ED" w:rsidP="0080128A">
      <w:pPr>
        <w:pStyle w:val="FootnoteText"/>
        <w:tabs>
          <w:tab w:val="left" w:pos="9356"/>
        </w:tabs>
        <w:ind w:firstLine="0"/>
        <w:rPr>
          <w:lang w:val="es-PE"/>
        </w:rPr>
      </w:pPr>
      <w:r w:rsidRPr="006E763F">
        <w:rPr>
          <w:rStyle w:val="FootnoteReference"/>
        </w:rPr>
        <w:footnoteRef/>
      </w:r>
      <w:r w:rsidRPr="006E763F">
        <w:rPr>
          <w:lang w:val="es-MX"/>
        </w:rPr>
        <w:t xml:space="preserve"> Corte IDH. Caso Cantoral Huamaní y García Santa Cruz Vs. Perú. Excepción Preliminar, Fondo, Reparaciones y Costas. Sentencia de 10 de julio de 2007. </w:t>
      </w:r>
      <w:r w:rsidRPr="00835996">
        <w:rPr>
          <w:lang w:val="es-PE"/>
        </w:rPr>
        <w:t xml:space="preserve">Serie C No. 167, párr. 131; </w:t>
      </w:r>
      <w:r w:rsidRPr="00835996">
        <w:rPr>
          <w:color w:val="auto"/>
          <w:lang w:val="es-PE"/>
        </w:rPr>
        <w:t xml:space="preserve">Corte I.D.H., Caso Kawas Fernández Vs. </w:t>
      </w:r>
      <w:r w:rsidRPr="006E763F">
        <w:rPr>
          <w:color w:val="auto"/>
          <w:lang w:val="es-ES_tradnl"/>
        </w:rPr>
        <w:t xml:space="preserve">Honduras. Fondo, Reparaciones y Costas. Sentencia de 3 de abril de 2009 Serie C No. 196, párr. 101; </w:t>
      </w:r>
      <w:r w:rsidRPr="006E763F">
        <w:rPr>
          <w:color w:val="auto"/>
          <w:lang w:val="es-ES"/>
        </w:rPr>
        <w:t xml:space="preserve">CIDH, Informe No. 85/13, Caso 12.251, Admisibilidad y Fondo, Vereda la Esperanza, Colombia, 4 de noviembre de 2013, párr. </w:t>
      </w:r>
      <w:r w:rsidRPr="006E763F">
        <w:rPr>
          <w:color w:val="auto"/>
          <w:lang w:val="es-MX"/>
        </w:rPr>
        <w:t xml:space="preserve">242. </w:t>
      </w:r>
    </w:p>
  </w:footnote>
  <w:footnote w:id="134">
    <w:p w14:paraId="55FEFECF" w14:textId="77777777" w:rsidR="00B934ED" w:rsidRPr="006E763F" w:rsidRDefault="00B934ED" w:rsidP="0080128A">
      <w:pPr>
        <w:tabs>
          <w:tab w:val="left" w:pos="9356"/>
        </w:tabs>
        <w:jc w:val="both"/>
        <w:rPr>
          <w:rFonts w:ascii="Cambria" w:hAnsi="Cambria"/>
          <w:sz w:val="16"/>
          <w:szCs w:val="16"/>
          <w:lang w:val="pt-BR"/>
        </w:rPr>
      </w:pPr>
      <w:r w:rsidRPr="006E763F">
        <w:rPr>
          <w:rStyle w:val="FootnoteReference"/>
          <w:rFonts w:ascii="Cambria" w:hAnsi="Cambria"/>
          <w:sz w:val="16"/>
          <w:szCs w:val="16"/>
          <w:lang w:val="es-ES"/>
        </w:rPr>
        <w:footnoteRef/>
      </w:r>
      <w:r w:rsidRPr="006E763F">
        <w:rPr>
          <w:rFonts w:ascii="Cambria" w:hAnsi="Cambria"/>
          <w:sz w:val="16"/>
          <w:szCs w:val="16"/>
          <w:lang w:val="es-ES"/>
        </w:rPr>
        <w:t xml:space="preserve"> CIDH, Informe de Fondo, N˚ 55/97, Juan Carlos Abella y Otros (Argentina), 18 de noviembre de 1997, párr. </w:t>
      </w:r>
      <w:r w:rsidRPr="006E763F">
        <w:rPr>
          <w:rFonts w:ascii="Cambria" w:hAnsi="Cambria"/>
          <w:sz w:val="16"/>
          <w:szCs w:val="16"/>
          <w:lang w:val="pt-BR"/>
        </w:rPr>
        <w:t>412.</w:t>
      </w:r>
    </w:p>
  </w:footnote>
  <w:footnote w:id="135">
    <w:p w14:paraId="32823C31" w14:textId="77777777" w:rsidR="00B934ED" w:rsidRPr="006E763F" w:rsidRDefault="00B934ED" w:rsidP="0080128A">
      <w:pPr>
        <w:pStyle w:val="FootnoteText"/>
        <w:tabs>
          <w:tab w:val="left" w:pos="9356"/>
        </w:tabs>
        <w:ind w:firstLine="0"/>
        <w:rPr>
          <w:lang w:val="es-PE"/>
        </w:rPr>
      </w:pPr>
      <w:r w:rsidRPr="006E763F">
        <w:rPr>
          <w:rStyle w:val="FootnoteReference"/>
        </w:rPr>
        <w:footnoteRef/>
      </w:r>
      <w:r w:rsidRPr="006E763F">
        <w:rPr>
          <w:lang w:val="pt-BR"/>
        </w:rPr>
        <w:t xml:space="preserve"> CIDH, Informe No. 25/09 Fondo (Sebastião Camargo Filho) Brasil, 19 de marzo de 2009, párr. </w:t>
      </w:r>
      <w:r w:rsidRPr="006E763F">
        <w:rPr>
          <w:lang w:val="es-ES_tradnl"/>
        </w:rPr>
        <w:t xml:space="preserve">109. Ver también, </w:t>
      </w:r>
      <w:r w:rsidRPr="006E763F">
        <w:rPr>
          <w:lang w:val="es-VE"/>
        </w:rPr>
        <w:t xml:space="preserve">CIDH, Acceso a la Justicia para las Mujeres Víctimas de Violencia en las Américas, </w:t>
      </w:r>
      <w:r w:rsidRPr="006E763F">
        <w:rPr>
          <w:lang w:val="es-ES_tradnl"/>
        </w:rPr>
        <w:t>OEA/Ser. L/V/II. doc.68, 20 de enero de 2007, párr. 41.</w:t>
      </w:r>
    </w:p>
  </w:footnote>
  <w:footnote w:id="136">
    <w:p w14:paraId="494BFA58" w14:textId="59FC56EC" w:rsidR="00B934ED" w:rsidRPr="006E763F" w:rsidRDefault="00B934ED" w:rsidP="0080128A">
      <w:pPr>
        <w:pStyle w:val="FootnoteText"/>
        <w:tabs>
          <w:tab w:val="left" w:pos="9356"/>
        </w:tabs>
        <w:ind w:firstLine="0"/>
        <w:rPr>
          <w:lang w:val="es-PE"/>
        </w:rPr>
      </w:pPr>
      <w:r w:rsidRPr="006E763F">
        <w:rPr>
          <w:rStyle w:val="FootnoteReference"/>
        </w:rPr>
        <w:footnoteRef/>
      </w:r>
      <w:r w:rsidRPr="006E763F">
        <w:rPr>
          <w:lang w:val="es-MX"/>
        </w:rPr>
        <w:t xml:space="preserve"> </w:t>
      </w:r>
      <w:r w:rsidRPr="006E763F">
        <w:rPr>
          <w:lang w:val="es-PE"/>
        </w:rPr>
        <w:t xml:space="preserve">Corte IDH. </w:t>
      </w:r>
      <w:r w:rsidRPr="006E763F">
        <w:rPr>
          <w:iCs/>
          <w:lang w:val="es-ES_tradnl"/>
        </w:rPr>
        <w:t>Caso de los “Niños de la Calle” (Villagrán Morales y otros) Vs. Guatemala.</w:t>
      </w:r>
      <w:r w:rsidRPr="006E763F">
        <w:rPr>
          <w:lang w:val="es-ES_tradnl"/>
        </w:rPr>
        <w:t xml:space="preserve"> Sentencia de 19 de noviembre de 1999. Serie C No. 63,</w:t>
      </w:r>
      <w:r w:rsidRPr="006E763F">
        <w:rPr>
          <w:lang w:val="es-CR"/>
        </w:rPr>
        <w:t xml:space="preserve"> párr. 230. </w:t>
      </w:r>
      <w:r w:rsidRPr="006E763F">
        <w:rPr>
          <w:lang w:val="es-ES_tradnl"/>
        </w:rPr>
        <w:t xml:space="preserve">Ver también, </w:t>
      </w:r>
      <w:r w:rsidRPr="006E763F">
        <w:rPr>
          <w:lang w:val="es-VE"/>
        </w:rPr>
        <w:t xml:space="preserve">CIDH, Acceso a la Justicia para las Mujeres Víctimas de Violencia en las Américas, </w:t>
      </w:r>
      <w:r w:rsidRPr="006E763F">
        <w:rPr>
          <w:lang w:val="es-ES_tradnl"/>
        </w:rPr>
        <w:t>OEA/Ser. L/V/II. doc.68, 20 de enero de 2007, párr. 41.</w:t>
      </w:r>
    </w:p>
  </w:footnote>
  <w:footnote w:id="137">
    <w:p w14:paraId="02CFD3F2" w14:textId="5CA8E3A2" w:rsidR="00B934ED" w:rsidRPr="006E763F" w:rsidRDefault="00B934ED" w:rsidP="0080128A">
      <w:pPr>
        <w:pStyle w:val="FootnoteText"/>
        <w:tabs>
          <w:tab w:val="left" w:pos="9356"/>
        </w:tabs>
        <w:ind w:firstLine="0"/>
        <w:rPr>
          <w:lang w:val="es-ES"/>
        </w:rPr>
      </w:pPr>
      <w:r w:rsidRPr="006E763F">
        <w:rPr>
          <w:rStyle w:val="FootnoteReference"/>
        </w:rPr>
        <w:footnoteRef/>
      </w:r>
      <w:r w:rsidRPr="006E763F">
        <w:rPr>
          <w:lang w:val="es-ES"/>
        </w:rPr>
        <w:t xml:space="preserve"> </w:t>
      </w:r>
      <w:r w:rsidRPr="006E763F">
        <w:rPr>
          <w:bCs/>
          <w:lang w:val="es-ES"/>
        </w:rPr>
        <w:t xml:space="preserve">Corte IDH. Caso de la Masacre de La Rochela Vs. Colombia. Interpretación de la Sentencia de Fondo, Reparaciones y Costas. Sentencia de 28 de enero de 2008. Serie C No. 175; </w:t>
      </w:r>
      <w:r w:rsidRPr="006E763F">
        <w:rPr>
          <w:lang w:val="es-ES"/>
        </w:rPr>
        <w:t>Caso de las Masacres de Ituango, párr. 333; y Caso de la Masacre de Pueblo Bello, párr. 203.</w:t>
      </w:r>
    </w:p>
  </w:footnote>
  <w:footnote w:id="138">
    <w:p w14:paraId="7A029372" w14:textId="77777777" w:rsidR="00B934ED" w:rsidRPr="006E763F" w:rsidRDefault="00B934ED" w:rsidP="0080128A">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9356"/>
        </w:tabs>
        <w:autoSpaceDE w:val="0"/>
        <w:autoSpaceDN w:val="0"/>
        <w:adjustRightInd w:val="0"/>
        <w:jc w:val="both"/>
        <w:rPr>
          <w:rFonts w:ascii="Cambria" w:hAnsi="Cambria"/>
          <w:sz w:val="16"/>
          <w:szCs w:val="16"/>
          <w:lang w:val="es-ES" w:bidi="x-none"/>
        </w:rPr>
      </w:pPr>
      <w:r w:rsidRPr="006E763F">
        <w:rPr>
          <w:rStyle w:val="FootnoteReference"/>
          <w:rFonts w:ascii="Cambria" w:hAnsi="Cambria"/>
          <w:sz w:val="16"/>
          <w:szCs w:val="16"/>
          <w:lang w:val="es-ES"/>
        </w:rPr>
        <w:footnoteRef/>
      </w:r>
      <w:r w:rsidRPr="006E763F">
        <w:rPr>
          <w:rFonts w:ascii="Cambria" w:hAnsi="Cambria"/>
          <w:sz w:val="16"/>
          <w:szCs w:val="16"/>
          <w:lang w:val="es-ES"/>
        </w:rPr>
        <w:t xml:space="preserve"> Cor</w:t>
      </w:r>
      <w:r w:rsidRPr="006E763F">
        <w:rPr>
          <w:rFonts w:ascii="Cambria" w:hAnsi="Cambria"/>
          <w:sz w:val="16"/>
          <w:szCs w:val="16"/>
          <w:lang w:val="es-CL"/>
        </w:rPr>
        <w:t xml:space="preserve">te IDH., </w:t>
      </w:r>
      <w:r w:rsidRPr="006E763F">
        <w:rPr>
          <w:rFonts w:ascii="Cambria" w:hAnsi="Cambria"/>
          <w:bCs/>
          <w:sz w:val="16"/>
          <w:szCs w:val="16"/>
          <w:lang w:val="es-CL"/>
        </w:rPr>
        <w:t xml:space="preserve">Caso Bámaca Velásquez Vs. </w:t>
      </w:r>
      <w:r w:rsidRPr="006E763F">
        <w:rPr>
          <w:rFonts w:ascii="Cambria" w:hAnsi="Cambria"/>
          <w:bCs/>
          <w:sz w:val="16"/>
          <w:szCs w:val="16"/>
          <w:lang w:val="es-ES"/>
        </w:rPr>
        <w:t xml:space="preserve">Guatemala. </w:t>
      </w:r>
      <w:r w:rsidRPr="006E763F">
        <w:rPr>
          <w:rFonts w:ascii="Cambria" w:hAnsi="Cambria"/>
          <w:sz w:val="16"/>
          <w:szCs w:val="16"/>
          <w:lang w:val="es-ES"/>
        </w:rPr>
        <w:t xml:space="preserve">Fondo. Sentencia de 25 de noviembre de 2000. Serie C No. 70, </w:t>
      </w:r>
      <w:r w:rsidRPr="006E763F">
        <w:rPr>
          <w:rFonts w:ascii="Cambria" w:hAnsi="Cambria"/>
          <w:sz w:val="16"/>
          <w:szCs w:val="16"/>
          <w:lang w:val="es-ES" w:bidi="x-none"/>
        </w:rPr>
        <w:t xml:space="preserve">párr. 197. </w:t>
      </w:r>
    </w:p>
  </w:footnote>
  <w:footnote w:id="139">
    <w:p w14:paraId="4FDF86E2" w14:textId="77777777" w:rsidR="00B934ED" w:rsidRPr="006E763F" w:rsidRDefault="00B934ED" w:rsidP="0080128A">
      <w:pPr>
        <w:pStyle w:val="FootnoteText"/>
        <w:tabs>
          <w:tab w:val="left" w:pos="9356"/>
        </w:tabs>
        <w:ind w:firstLine="0"/>
        <w:rPr>
          <w:lang w:val="pt-BR"/>
        </w:rPr>
      </w:pPr>
      <w:r w:rsidRPr="006E763F">
        <w:rPr>
          <w:rStyle w:val="FootnoteReference"/>
        </w:rPr>
        <w:footnoteRef/>
      </w:r>
      <w:r w:rsidRPr="006E763F">
        <w:rPr>
          <w:lang w:val="es-ES"/>
        </w:rPr>
        <w:t xml:space="preserve"> CIDH. Derecho a la Verdad en las Américas. </w:t>
      </w:r>
      <w:r w:rsidRPr="006E763F">
        <w:rPr>
          <w:lang w:val="pt-BR"/>
        </w:rPr>
        <w:t xml:space="preserve">OEA/Ser.L/V/II.152. Doc. 2. 13 de agosto de 2014. Párr. 13. </w:t>
      </w:r>
    </w:p>
  </w:footnote>
  <w:footnote w:id="140">
    <w:p w14:paraId="77905DB1" w14:textId="77777777" w:rsidR="00B934ED" w:rsidRPr="006E763F" w:rsidRDefault="00B934ED" w:rsidP="0080128A">
      <w:pPr>
        <w:pStyle w:val="FootnoteText"/>
        <w:tabs>
          <w:tab w:val="left" w:pos="9356"/>
        </w:tabs>
        <w:ind w:firstLine="0"/>
        <w:rPr>
          <w:rFonts w:cs="Calibri"/>
          <w:lang w:val="es-ES"/>
        </w:rPr>
      </w:pPr>
      <w:r w:rsidRPr="006E763F">
        <w:rPr>
          <w:rStyle w:val="FootnoteReference"/>
        </w:rPr>
        <w:footnoteRef/>
      </w:r>
      <w:r w:rsidRPr="006E763F">
        <w:rPr>
          <w:lang w:val="pt-BR"/>
        </w:rPr>
        <w:t xml:space="preserve"> </w:t>
      </w:r>
      <w:hyperlink r:id="rId11" w:history="1">
        <w:r w:rsidRPr="006E763F">
          <w:rPr>
            <w:lang w:val="pt-BR"/>
          </w:rPr>
          <w:t xml:space="preserve">Corte IDH. Caso Vargas Areco Vs. </w:t>
        </w:r>
        <w:r w:rsidRPr="006E763F">
          <w:rPr>
            <w:lang w:val="es-ES"/>
          </w:rPr>
          <w:t>Paraguay. Sentencia de 26 de septiembre de 2006. Serie C No. 155</w:t>
        </w:r>
      </w:hyperlink>
      <w:r w:rsidRPr="006E763F">
        <w:rPr>
          <w:lang w:val="es-ES"/>
        </w:rPr>
        <w:t xml:space="preserve">, párr. 196; </w:t>
      </w:r>
      <w:hyperlink r:id="rId12" w:history="1">
        <w:r w:rsidRPr="006E763F">
          <w:rPr>
            <w:lang w:val="es-ES"/>
          </w:rPr>
          <w:t>Caso de las Masacres de Ituango Vs. Colombia. Sentencia de 1 de julio de 2006 Serie C No. 148</w:t>
        </w:r>
      </w:hyperlink>
      <w:r w:rsidRPr="006E763F">
        <w:rPr>
          <w:lang w:val="es-ES"/>
        </w:rPr>
        <w:t xml:space="preserve">, párr. 289; y </w:t>
      </w:r>
      <w:hyperlink r:id="rId13" w:history="1">
        <w:r w:rsidRPr="006E763F">
          <w:rPr>
            <w:lang w:val="es-ES"/>
          </w:rPr>
          <w:t>Corte IDH. Caso Baldeón García Vs. Perú. Fondo, Reparaciones y Costas. Sentencia de 6 de abril de 2006. Serie C No. 147</w:t>
        </w:r>
      </w:hyperlink>
      <w:r w:rsidRPr="006E763F">
        <w:rPr>
          <w:lang w:val="es-ES"/>
        </w:rPr>
        <w:t>, párr. 151.</w:t>
      </w:r>
    </w:p>
  </w:footnote>
  <w:footnote w:id="141">
    <w:p w14:paraId="7867471C" w14:textId="77777777" w:rsidR="00B934ED" w:rsidRPr="006E763F" w:rsidRDefault="00B934ED" w:rsidP="0080128A">
      <w:pPr>
        <w:pStyle w:val="FootnoteText"/>
        <w:tabs>
          <w:tab w:val="left" w:pos="9356"/>
        </w:tabs>
        <w:ind w:firstLine="0"/>
        <w:rPr>
          <w:lang w:val="es-ES"/>
        </w:rPr>
      </w:pPr>
      <w:r w:rsidRPr="006E763F">
        <w:rPr>
          <w:rStyle w:val="FootnoteReference"/>
        </w:rPr>
        <w:footnoteRef/>
      </w:r>
      <w:r w:rsidRPr="006E763F">
        <w:rPr>
          <w:lang w:val="es-ES"/>
        </w:rPr>
        <w:t xml:space="preserve"> </w:t>
      </w:r>
      <w:r w:rsidRPr="006E763F">
        <w:rPr>
          <w:noProof/>
          <w:lang w:val="es-ES"/>
        </w:rPr>
        <w:t>Corte IDH. Caso Valle Jaramillo y otros Vs. Colombia. Fondo, Reparaciones y Costas. Sentencia de 27 de noviembre de 2008. Serie C No. 192, párr. 155.</w:t>
      </w:r>
    </w:p>
  </w:footnote>
  <w:footnote w:id="142">
    <w:p w14:paraId="2D1FE819" w14:textId="77777777" w:rsidR="00B934ED" w:rsidRPr="006E763F" w:rsidRDefault="00B934ED" w:rsidP="0080128A">
      <w:pPr>
        <w:pStyle w:val="FootnoteText"/>
        <w:tabs>
          <w:tab w:val="left" w:pos="9356"/>
        </w:tabs>
        <w:ind w:firstLine="0"/>
        <w:rPr>
          <w:rFonts w:cs="Calibri"/>
          <w:lang w:val="es-MX"/>
        </w:rPr>
      </w:pPr>
      <w:r w:rsidRPr="006E763F">
        <w:rPr>
          <w:rStyle w:val="FootnoteReference"/>
        </w:rPr>
        <w:footnoteRef/>
      </w:r>
      <w:r w:rsidRPr="006E763F">
        <w:rPr>
          <w:lang w:val="es-MX"/>
        </w:rPr>
        <w:t xml:space="preserve"> CIDH. Informe No 34/14. Caso 12.492. Fondo. Carlos Escaleras Mejía y familia, párr. 172.</w:t>
      </w:r>
    </w:p>
  </w:footnote>
  <w:footnote w:id="143">
    <w:p w14:paraId="7687C42B" w14:textId="77777777"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CIDH. Informe No. 11/10. Caso 12.488. Fondo. Miembros de la Familia Barrios. Venezuela. 16 de marzo de 2010. 91. CIDH. Informe sobre Terrorismo y Derechos Humanos. Párr. 227; Corte IDH. Caso Cantoral Huamaní y García Santa Cruz Vs. Perú. Excepción Preliminar, Fondo, Reparaciones y Costas. Sentencia de 10 de julio de 2007. Serie C No. 167. párr. 112; y Caso Bueno Alves Vs. Argentina. Fondo, Reparaciones y Costas. Sentencia de 11 de mayo de 2007. Serie C. No. 164. párr. 102. </w:t>
      </w:r>
    </w:p>
  </w:footnote>
  <w:footnote w:id="144">
    <w:p w14:paraId="517D9EC8" w14:textId="77777777" w:rsidR="00B934ED" w:rsidRPr="006E763F"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Corte IDH. Caso Cantoral Huamaní y García Santa Cruz Vs. Perú. Excepción Preliminar, Fondo, Reparaciones y Costas. Sentencia de 10 de julio de 2007. Serie C No. 167. párr. 112; y Caso Vargas Areco Vs. Paraguay. Sentencia de 26 de septiembre de 2006. Serie C No. 155. párr. 96.</w:t>
      </w:r>
    </w:p>
  </w:footnote>
  <w:footnote w:id="145">
    <w:p w14:paraId="5B412D8E" w14:textId="77777777" w:rsidR="00B934ED" w:rsidRPr="00E91E49" w:rsidRDefault="00B934ED" w:rsidP="0080128A">
      <w:pPr>
        <w:pStyle w:val="NoSpacing"/>
        <w:tabs>
          <w:tab w:val="left" w:pos="9356"/>
        </w:tabs>
        <w:ind w:firstLine="0"/>
        <w:rPr>
          <w:sz w:val="16"/>
          <w:szCs w:val="16"/>
        </w:rPr>
      </w:pPr>
      <w:r w:rsidRPr="006E763F">
        <w:rPr>
          <w:sz w:val="16"/>
          <w:szCs w:val="16"/>
          <w:vertAlign w:val="superscript"/>
        </w:rPr>
        <w:footnoteRef/>
      </w:r>
      <w:r w:rsidRPr="006E763F">
        <w:rPr>
          <w:sz w:val="16"/>
          <w:szCs w:val="16"/>
        </w:rPr>
        <w:t xml:space="preserve"> Corte IDH. Caso Valle Jaramillo y otros Vs. Colombia. Fondo, Reparaciones y Costas. Sentencia de 27 de noviembre de 2008. Serie C No. 192, párr. 102; Caso de la Masacre de la Rochela Vs. Colombia. Fondo, Reparaciones y Costas. Sentencia de 11 de mayo de 2007, Serie C No. 163, párr. 195; y Caso Heliodoro Portugal Vs. Panamá. </w:t>
      </w:r>
      <w:hyperlink r:id="rId14" w:history="1">
        <w:r w:rsidRPr="006E763F">
          <w:rPr>
            <w:rStyle w:val="Hyperlink1"/>
          </w:rPr>
          <w:t>Excepciones Preliminares, Fondo, Reparaciones y Costas. Sentencia de 12 de agosto de 2008. Serie C No. 186</w:t>
        </w:r>
      </w:hyperlink>
      <w:r w:rsidRPr="006E763F">
        <w:rPr>
          <w:sz w:val="16"/>
          <w:szCs w:val="16"/>
        </w:rPr>
        <w:t>, párr. 146.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3FE14" w14:textId="77777777" w:rsidR="00B934ED" w:rsidRDefault="00B934ED">
    <w:pPr>
      <w:pStyle w:val="Header"/>
      <w:tabs>
        <w:tab w:val="clear" w:pos="4320"/>
        <w:tab w:val="clear" w:pos="8640"/>
      </w:tabs>
      <w:jc w:val="center"/>
      <w:rPr>
        <w:sz w:val="22"/>
        <w:szCs w:val="22"/>
      </w:rPr>
    </w:pPr>
    <w:r>
      <w:rPr>
        <w:noProof/>
        <w:sz w:val="22"/>
        <w:szCs w:val="22"/>
        <w:lang w:val="en-US" w:eastAsia="en-US"/>
      </w:rPr>
      <w:drawing>
        <wp:inline distT="0" distB="0" distL="0" distR="0" wp14:anchorId="0A8084C1" wp14:editId="7F71935C">
          <wp:extent cx="1972237" cy="104775"/>
          <wp:effectExtent l="0" t="0" r="0" b="0"/>
          <wp:docPr id="1073741825" name="officeArt object" descr="C:\Users\mfontana\Documents\Eva Fontana\GRAFICA CIDH\cartas\logos\cidh-peq.jpg"/>
          <wp:cNvGraphicFramePr/>
          <a:graphic xmlns:a="http://schemas.openxmlformats.org/drawingml/2006/main">
            <a:graphicData uri="http://schemas.openxmlformats.org/drawingml/2006/picture">
              <pic:pic xmlns:pic="http://schemas.openxmlformats.org/drawingml/2006/picture">
                <pic:nvPicPr>
                  <pic:cNvPr id="1073741825" name="image3.jpg" descr="C:\Users\mfontana\Documents\Eva Fontana\GRAFICA CIDH\cartas\logos\cidh-peq.jpg"/>
                  <pic:cNvPicPr/>
                </pic:nvPicPr>
                <pic:blipFill>
                  <a:blip r:embed="rId1"/>
                  <a:stretch>
                    <a:fillRect/>
                  </a:stretch>
                </pic:blipFill>
                <pic:spPr>
                  <a:xfrm>
                    <a:off x="0" y="0"/>
                    <a:ext cx="1972237" cy="104775"/>
                  </a:xfrm>
                  <a:prstGeom prst="rect">
                    <a:avLst/>
                  </a:prstGeom>
                  <a:ln w="12700" cap="flat">
                    <a:noFill/>
                    <a:miter lim="400000"/>
                  </a:ln>
                  <a:effectLst/>
                </pic:spPr>
              </pic:pic>
            </a:graphicData>
          </a:graphic>
        </wp:inline>
      </w:drawing>
    </w:r>
  </w:p>
  <w:p w14:paraId="378715F7" w14:textId="77777777" w:rsidR="00B934ED" w:rsidRDefault="00B934ED">
    <w:pPr>
      <w:pStyle w:val="Header"/>
      <w:tabs>
        <w:tab w:val="clear" w:pos="4320"/>
        <w:tab w:val="clear" w:pos="8640"/>
      </w:tabs>
      <w:jc w:val="center"/>
    </w:pPr>
    <w:r>
      <w:rPr>
        <w:noProof/>
        <w:sz w:val="22"/>
        <w:szCs w:val="22"/>
        <w:lang w:val="en-US" w:eastAsia="en-US"/>
      </w:rPr>
      <mc:AlternateContent>
        <mc:Choice Requires="wps">
          <w:drawing>
            <wp:inline distT="0" distB="0" distL="0" distR="0" wp14:anchorId="432F39EA" wp14:editId="05CDABD7">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2352158B"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utgEAAE8DAAAOAAAAZHJzL2Uyb0RvYy54bWysU9tu2zAMfR+wfxD0vshJ06Q14hTFiu5l&#10;2Ap0+wBGlmINuoHS4uTvRyle1q1vxWxAFkXx8PCQ3twdnWUHhckE3/H5rOFMeRl64/cd//7t8cMN&#10;ZymD78EGrzp+Uonfbd+/24yxVYswBNsrZATiUzvGjg85x1aIJAflIM1CVJ6cOqCDTCbuRY8wErqz&#10;YtE0KzEG7CMGqVKi04ezk28rvtZK5q9aJ5WZ7Thxy3XFuu7KKrYbaPcIcTByogFvYOHAeEp6gXqA&#10;DOwnmldQzkgMKeg8k8GJoLWRqtZA1cybf6p5HiCqWguJk+JFpvT/YOWXwxMy01PvmvXVejm/Waw4&#10;8+CoV2d295hZ2P0gJYtYY0wtxTzHJ5ysRNtS+VGjK1+KYscq8OkisDpmJunw+nZ5tWqoD5J889vm&#10;ujZA/AmOmPInFRwrm45jyVpA4fA5ZUpIV39fKccpWNM/GmurgfvdR4vsANTr+6a8hTGF/HXNejZS&#10;8sW68gCaOW3hnMWHgkUx0DqTaS6tcR1fNuWZoKwvXlUna6JUJDmLUHa70J+qNqJY1LXKYJqwMhYv&#10;bdq//A+2vwAAAP//AwBQSwMEFAAGAAgAAAAhAFSppkLYAAAAAwEAAA8AAABkcnMvZG93bnJldi54&#10;bWxMj9FKw0AQRd8F/2EZwRexGy0UjdkUFQQRrLT2A6bZMQlmZ0N20sZ+vaMv+jJwucOZM8VyCp3Z&#10;05DayA6uZhkY4ir6lmsH2/enyxswSZA9dpHJwRclWJanJwXmPh54TfuN1EYhnHJ00Ij0ubWpaihg&#10;msWeWLuPOAQUjUNt/YAHhYfOXmfZwgZsWS802NNjQ9XnZgwO5scLXvPLq4Tt81s44sPKj3Hl3PnZ&#10;dH8HRmiSv2X40Vd1KNVpF0f2yXQO9BH5ndrdzhcadwrOwJaF/e9efgMAAP//AwBQSwECLQAUAAYA&#10;CAAAACEAtoM4kv4AAADhAQAAEwAAAAAAAAAAAAAAAAAAAAAAW0NvbnRlbnRfVHlwZXNdLnhtbFBL&#10;AQItABQABgAIAAAAIQA4/SH/1gAAAJQBAAALAAAAAAAAAAAAAAAAAC8BAABfcmVscy8ucmVsc1BL&#10;AQItABQABgAIAAAAIQAjW7/utgEAAE8DAAAOAAAAAAAAAAAAAAAAAC4CAABkcnMvZTJvRG9jLnht&#10;bFBLAQItABQABgAIAAAAIQBUqaZC2AAAAAMBAAAPAAAAAAAAAAAAAAAAABAEAABkcnMvZG93bnJl&#10;di54bWxQSwUGAAAAAAQABADzAAAAFQUAAAAA&#10;" fillcolor="#a0a0a0" stroked="f" strokeweight="1pt">
              <v:stroke miterlimit="4"/>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61C5"/>
    <w:multiLevelType w:val="multilevel"/>
    <w:tmpl w:val="2810681A"/>
    <w:styleLink w:val="List1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15:restartNumberingAfterBreak="0">
    <w:nsid w:val="0E9933AD"/>
    <w:multiLevelType w:val="multilevel"/>
    <w:tmpl w:val="53C40FB2"/>
    <w:styleLink w:val="List6"/>
    <w:lvl w:ilvl="0">
      <w:start w:val="67"/>
      <w:numFmt w:val="decimal"/>
      <w:lvlText w:val="%1."/>
      <w:lvlJc w:val="left"/>
      <w:rPr>
        <w:rFonts w:ascii="Times New Roman" w:eastAsia="Times New Roman" w:hAnsi="Times New Roman" w:cs="Times New Roman"/>
        <w:color w:val="000000"/>
        <w:position w:val="0"/>
        <w:lang w:val="es-ES_tradnl"/>
      </w:rPr>
    </w:lvl>
    <w:lvl w:ilvl="1">
      <w:start w:val="1"/>
      <w:numFmt w:val="lowerLetter"/>
      <w:lvlText w:val="%2."/>
      <w:lvlJc w:val="left"/>
      <w:rPr>
        <w:rFonts w:ascii="Cambria" w:eastAsia="Cambria" w:hAnsi="Cambria" w:cs="Cambria"/>
        <w:color w:val="000000"/>
        <w:position w:val="0"/>
        <w:lang w:val="es-ES_tradnl"/>
      </w:rPr>
    </w:lvl>
    <w:lvl w:ilvl="2">
      <w:start w:val="1"/>
      <w:numFmt w:val="lowerRoman"/>
      <w:lvlText w:val="%3."/>
      <w:lvlJc w:val="left"/>
      <w:rPr>
        <w:rFonts w:ascii="Cambria" w:eastAsia="Cambria" w:hAnsi="Cambria" w:cs="Cambria"/>
        <w:color w:val="000000"/>
        <w:position w:val="0"/>
        <w:lang w:val="es-ES_tradnl"/>
      </w:rPr>
    </w:lvl>
    <w:lvl w:ilvl="3">
      <w:start w:val="1"/>
      <w:numFmt w:val="decimal"/>
      <w:lvlText w:val="%4."/>
      <w:lvlJc w:val="left"/>
      <w:rPr>
        <w:rFonts w:ascii="Cambria" w:eastAsia="Cambria" w:hAnsi="Cambria" w:cs="Cambria"/>
        <w:color w:val="000000"/>
        <w:position w:val="0"/>
        <w:lang w:val="es-ES_tradnl"/>
      </w:rPr>
    </w:lvl>
    <w:lvl w:ilvl="4">
      <w:start w:val="1"/>
      <w:numFmt w:val="lowerLetter"/>
      <w:lvlText w:val="%5."/>
      <w:lvlJc w:val="left"/>
      <w:rPr>
        <w:rFonts w:ascii="Cambria" w:eastAsia="Cambria" w:hAnsi="Cambria" w:cs="Cambria"/>
        <w:color w:val="000000"/>
        <w:position w:val="0"/>
        <w:lang w:val="es-ES_tradnl"/>
      </w:rPr>
    </w:lvl>
    <w:lvl w:ilvl="5">
      <w:start w:val="1"/>
      <w:numFmt w:val="lowerRoman"/>
      <w:lvlText w:val="%6."/>
      <w:lvlJc w:val="left"/>
      <w:rPr>
        <w:rFonts w:ascii="Cambria" w:eastAsia="Cambria" w:hAnsi="Cambria" w:cs="Cambria"/>
        <w:color w:val="000000"/>
        <w:position w:val="0"/>
        <w:lang w:val="es-ES_tradnl"/>
      </w:rPr>
    </w:lvl>
    <w:lvl w:ilvl="6">
      <w:start w:val="1"/>
      <w:numFmt w:val="decimal"/>
      <w:lvlText w:val="%7."/>
      <w:lvlJc w:val="left"/>
      <w:rPr>
        <w:rFonts w:ascii="Cambria" w:eastAsia="Cambria" w:hAnsi="Cambria" w:cs="Cambria"/>
        <w:color w:val="000000"/>
        <w:position w:val="0"/>
        <w:lang w:val="es-ES_tradnl"/>
      </w:rPr>
    </w:lvl>
    <w:lvl w:ilvl="7">
      <w:start w:val="1"/>
      <w:numFmt w:val="lowerLetter"/>
      <w:lvlText w:val="%8."/>
      <w:lvlJc w:val="left"/>
      <w:rPr>
        <w:rFonts w:ascii="Cambria" w:eastAsia="Cambria" w:hAnsi="Cambria" w:cs="Cambria"/>
        <w:color w:val="000000"/>
        <w:position w:val="0"/>
        <w:lang w:val="es-ES_tradnl"/>
      </w:rPr>
    </w:lvl>
    <w:lvl w:ilvl="8">
      <w:start w:val="1"/>
      <w:numFmt w:val="lowerRoman"/>
      <w:lvlText w:val="%9."/>
      <w:lvlJc w:val="left"/>
      <w:rPr>
        <w:rFonts w:ascii="Cambria" w:eastAsia="Cambria" w:hAnsi="Cambria" w:cs="Cambria"/>
        <w:color w:val="000000"/>
        <w:position w:val="0"/>
        <w:lang w:val="es-ES_tradnl"/>
      </w:rPr>
    </w:lvl>
  </w:abstractNum>
  <w:abstractNum w:abstractNumId="2" w15:restartNumberingAfterBreak="0">
    <w:nsid w:val="14011FF9"/>
    <w:multiLevelType w:val="multilevel"/>
    <w:tmpl w:val="E4E49050"/>
    <w:styleLink w:val="List41"/>
    <w:lvl w:ilvl="0">
      <w:start w:val="1"/>
      <w:numFmt w:val="decimal"/>
      <w:lvlText w:val="%1."/>
      <w:lvlJc w:val="left"/>
      <w:pPr>
        <w:tabs>
          <w:tab w:val="num" w:pos="86"/>
        </w:tabs>
        <w:ind w:left="86" w:hanging="86"/>
      </w:pPr>
      <w:rPr>
        <w:rFonts w:ascii="Times New Roman" w:eastAsia="Times New Roman" w:hAnsi="Times New Roman" w:cs="Times New Roman"/>
        <w:b/>
        <w:bCs/>
        <w:color w:val="000000"/>
        <w:position w:val="0"/>
        <w:sz w:val="20"/>
        <w:szCs w:val="20"/>
        <w:u w:color="000000"/>
        <w:lang w:val="es-ES_tradnl"/>
      </w:rPr>
    </w:lvl>
    <w:lvl w:ilvl="1">
      <w:start w:val="1"/>
      <w:numFmt w:val="decimal"/>
      <w:lvlText w:val="%1.%2."/>
      <w:lvlJc w:val="left"/>
      <w:pPr>
        <w:tabs>
          <w:tab w:val="num" w:pos="1380"/>
        </w:tabs>
        <w:ind w:left="1380" w:hanging="300"/>
      </w:pPr>
      <w:rPr>
        <w:rFonts w:ascii="Cambria" w:eastAsia="Cambria" w:hAnsi="Cambria" w:cs="Cambria"/>
        <w:b/>
        <w:bCs/>
        <w:color w:val="000000"/>
        <w:position w:val="0"/>
        <w:sz w:val="20"/>
        <w:szCs w:val="20"/>
        <w:u w:color="000000"/>
        <w:lang w:val="es-ES_tradnl"/>
      </w:rPr>
    </w:lvl>
    <w:lvl w:ilvl="2">
      <w:start w:val="1"/>
      <w:numFmt w:val="decimal"/>
      <w:lvlText w:val="%1.%2.%3."/>
      <w:lvlJc w:val="left"/>
      <w:pPr>
        <w:tabs>
          <w:tab w:val="num" w:pos="2040"/>
        </w:tabs>
        <w:ind w:left="2040" w:hanging="600"/>
      </w:pPr>
      <w:rPr>
        <w:rFonts w:ascii="Cambria" w:eastAsia="Cambria" w:hAnsi="Cambria" w:cs="Cambria"/>
        <w:b/>
        <w:bCs/>
        <w:color w:val="000000"/>
        <w:position w:val="0"/>
        <w:sz w:val="20"/>
        <w:szCs w:val="20"/>
        <w:u w:color="000000"/>
        <w:lang w:val="es-ES_tradnl"/>
      </w:rPr>
    </w:lvl>
    <w:lvl w:ilvl="3">
      <w:start w:val="1"/>
      <w:numFmt w:val="decimal"/>
      <w:lvlText w:val="%1.%2.%3.%4."/>
      <w:lvlJc w:val="left"/>
      <w:pPr>
        <w:tabs>
          <w:tab w:val="num" w:pos="2400"/>
        </w:tabs>
        <w:ind w:left="2400" w:hanging="600"/>
      </w:pPr>
      <w:rPr>
        <w:rFonts w:ascii="Cambria" w:eastAsia="Cambria" w:hAnsi="Cambria" w:cs="Cambria"/>
        <w:b/>
        <w:bCs/>
        <w:color w:val="000000"/>
        <w:position w:val="0"/>
        <w:sz w:val="20"/>
        <w:szCs w:val="20"/>
        <w:u w:color="000000"/>
        <w:lang w:val="es-ES_tradnl"/>
      </w:rPr>
    </w:lvl>
    <w:lvl w:ilvl="4">
      <w:start w:val="1"/>
      <w:numFmt w:val="decimal"/>
      <w:lvlText w:val="%1.%2.%3.%4.%5."/>
      <w:lvlJc w:val="left"/>
      <w:pPr>
        <w:tabs>
          <w:tab w:val="num" w:pos="3060"/>
        </w:tabs>
        <w:ind w:left="3060" w:hanging="900"/>
      </w:pPr>
      <w:rPr>
        <w:rFonts w:ascii="Cambria" w:eastAsia="Cambria" w:hAnsi="Cambria" w:cs="Cambria"/>
        <w:b/>
        <w:bCs/>
        <w:color w:val="000000"/>
        <w:position w:val="0"/>
        <w:sz w:val="20"/>
        <w:szCs w:val="20"/>
        <w:u w:color="000000"/>
        <w:lang w:val="es-ES_tradnl"/>
      </w:rPr>
    </w:lvl>
    <w:lvl w:ilvl="5">
      <w:start w:val="1"/>
      <w:numFmt w:val="decimal"/>
      <w:lvlText w:val="%1.%2.%3.%4.%5.%6."/>
      <w:lvlJc w:val="left"/>
      <w:pPr>
        <w:tabs>
          <w:tab w:val="num" w:pos="3420"/>
        </w:tabs>
        <w:ind w:left="3420" w:hanging="900"/>
      </w:pPr>
      <w:rPr>
        <w:rFonts w:ascii="Cambria" w:eastAsia="Cambria" w:hAnsi="Cambria" w:cs="Cambria"/>
        <w:b/>
        <w:bCs/>
        <w:color w:val="000000"/>
        <w:position w:val="0"/>
        <w:sz w:val="20"/>
        <w:szCs w:val="20"/>
        <w:u w:color="000000"/>
        <w:lang w:val="es-ES_tradnl"/>
      </w:rPr>
    </w:lvl>
    <w:lvl w:ilvl="6">
      <w:start w:val="1"/>
      <w:numFmt w:val="decimal"/>
      <w:lvlText w:val="%1.%2.%3.%4.%5.%6.%7."/>
      <w:lvlJc w:val="left"/>
      <w:pPr>
        <w:tabs>
          <w:tab w:val="num" w:pos="4080"/>
        </w:tabs>
        <w:ind w:left="4080" w:hanging="1200"/>
      </w:pPr>
      <w:rPr>
        <w:rFonts w:ascii="Cambria" w:eastAsia="Cambria" w:hAnsi="Cambria" w:cs="Cambria"/>
        <w:b/>
        <w:bCs/>
        <w:color w:val="000000"/>
        <w:position w:val="0"/>
        <w:sz w:val="20"/>
        <w:szCs w:val="20"/>
        <w:u w:color="000000"/>
        <w:lang w:val="es-ES_tradnl"/>
      </w:rPr>
    </w:lvl>
    <w:lvl w:ilvl="7">
      <w:start w:val="1"/>
      <w:numFmt w:val="decimal"/>
      <w:lvlText w:val="%1.%2.%3.%4.%5.%6.%7.%8."/>
      <w:lvlJc w:val="left"/>
      <w:pPr>
        <w:tabs>
          <w:tab w:val="num" w:pos="4440"/>
        </w:tabs>
        <w:ind w:left="4440" w:hanging="1200"/>
      </w:pPr>
      <w:rPr>
        <w:rFonts w:ascii="Cambria" w:eastAsia="Cambria" w:hAnsi="Cambria" w:cs="Cambria"/>
        <w:b/>
        <w:bCs/>
        <w:color w:val="000000"/>
        <w:position w:val="0"/>
        <w:sz w:val="20"/>
        <w:szCs w:val="20"/>
        <w:u w:color="000000"/>
        <w:lang w:val="es-ES_tradnl"/>
      </w:rPr>
    </w:lvl>
    <w:lvl w:ilvl="8">
      <w:start w:val="1"/>
      <w:numFmt w:val="decimal"/>
      <w:lvlText w:val="%1.%2.%3.%4.%5.%6.%7.%8.%9."/>
      <w:lvlJc w:val="left"/>
      <w:pPr>
        <w:tabs>
          <w:tab w:val="num" w:pos="5100"/>
        </w:tabs>
        <w:ind w:left="5100" w:hanging="1500"/>
      </w:pPr>
      <w:rPr>
        <w:rFonts w:ascii="Cambria" w:eastAsia="Cambria" w:hAnsi="Cambria" w:cs="Cambria"/>
        <w:b/>
        <w:bCs/>
        <w:color w:val="000000"/>
        <w:position w:val="0"/>
        <w:sz w:val="20"/>
        <w:szCs w:val="20"/>
        <w:u w:color="000000"/>
        <w:lang w:val="es-ES_tradnl"/>
      </w:rPr>
    </w:lvl>
  </w:abstractNum>
  <w:abstractNum w:abstractNumId="3" w15:restartNumberingAfterBreak="0">
    <w:nsid w:val="1DA61E90"/>
    <w:multiLevelType w:val="multilevel"/>
    <w:tmpl w:val="15B63694"/>
    <w:lvl w:ilvl="0">
      <w:start w:val="1"/>
      <w:numFmt w:val="decimal"/>
      <w:lvlText w:val="%1."/>
      <w:lvlJc w:val="left"/>
      <w:rPr>
        <w:rFonts w:ascii="Cambria" w:eastAsia="Cambria" w:hAnsi="Cambria" w:cs="Cambria"/>
        <w:b w:val="0"/>
        <w:color w:val="000000"/>
        <w:position w:val="0"/>
        <w:u w:color="FF0000"/>
        <w:rtl w:val="0"/>
        <w:lang w:val="es-ES_tradnl"/>
      </w:rPr>
    </w:lvl>
    <w:lvl w:ilvl="1">
      <w:start w:val="1"/>
      <w:numFmt w:val="lowerLetter"/>
      <w:lvlText w:val="%2."/>
      <w:lvlJc w:val="left"/>
      <w:rPr>
        <w:rFonts w:ascii="Cambria" w:eastAsia="Cambria" w:hAnsi="Cambria" w:cs="Cambria"/>
        <w:color w:val="000000"/>
        <w:position w:val="0"/>
        <w:u w:color="000000"/>
        <w:rtl w:val="0"/>
        <w:lang w:val="es-ES_tradnl"/>
      </w:rPr>
    </w:lvl>
    <w:lvl w:ilvl="2">
      <w:start w:val="1"/>
      <w:numFmt w:val="lowerRoman"/>
      <w:lvlText w:val="%3."/>
      <w:lvlJc w:val="left"/>
      <w:rPr>
        <w:rFonts w:ascii="Cambria" w:eastAsia="Cambria" w:hAnsi="Cambria" w:cs="Cambria"/>
        <w:color w:val="000000"/>
        <w:position w:val="0"/>
        <w:u w:color="000000"/>
        <w:rtl w:val="0"/>
        <w:lang w:val="es-ES_tradnl"/>
      </w:rPr>
    </w:lvl>
    <w:lvl w:ilvl="3">
      <w:start w:val="1"/>
      <w:numFmt w:val="decimal"/>
      <w:lvlText w:val="%4."/>
      <w:lvlJc w:val="left"/>
      <w:rPr>
        <w:rFonts w:ascii="Cambria" w:eastAsia="Cambria" w:hAnsi="Cambria" w:cs="Cambria"/>
        <w:color w:val="000000"/>
        <w:position w:val="0"/>
        <w:u w:color="000000"/>
        <w:rtl w:val="0"/>
        <w:lang w:val="es-ES_tradnl"/>
      </w:rPr>
    </w:lvl>
    <w:lvl w:ilvl="4">
      <w:start w:val="1"/>
      <w:numFmt w:val="lowerLetter"/>
      <w:lvlText w:val="%5."/>
      <w:lvlJc w:val="left"/>
      <w:rPr>
        <w:rFonts w:ascii="Cambria" w:eastAsia="Cambria" w:hAnsi="Cambria" w:cs="Cambria"/>
        <w:color w:val="000000"/>
        <w:position w:val="0"/>
        <w:u w:color="000000"/>
        <w:rtl w:val="0"/>
        <w:lang w:val="es-ES_tradnl"/>
      </w:rPr>
    </w:lvl>
    <w:lvl w:ilvl="5">
      <w:start w:val="1"/>
      <w:numFmt w:val="lowerRoman"/>
      <w:lvlText w:val="%6."/>
      <w:lvlJc w:val="left"/>
      <w:rPr>
        <w:rFonts w:ascii="Cambria" w:eastAsia="Cambria" w:hAnsi="Cambria" w:cs="Cambria"/>
        <w:color w:val="000000"/>
        <w:position w:val="0"/>
        <w:u w:color="000000"/>
        <w:rtl w:val="0"/>
        <w:lang w:val="es-ES_tradnl"/>
      </w:rPr>
    </w:lvl>
    <w:lvl w:ilvl="6">
      <w:start w:val="1"/>
      <w:numFmt w:val="decimal"/>
      <w:lvlText w:val="%7."/>
      <w:lvlJc w:val="left"/>
      <w:rPr>
        <w:rFonts w:ascii="Cambria" w:eastAsia="Cambria" w:hAnsi="Cambria" w:cs="Cambria"/>
        <w:color w:val="000000"/>
        <w:position w:val="0"/>
        <w:u w:color="000000"/>
        <w:rtl w:val="0"/>
        <w:lang w:val="es-ES_tradnl"/>
      </w:rPr>
    </w:lvl>
    <w:lvl w:ilvl="7">
      <w:start w:val="1"/>
      <w:numFmt w:val="lowerLetter"/>
      <w:lvlText w:val="%8."/>
      <w:lvlJc w:val="left"/>
      <w:rPr>
        <w:rFonts w:ascii="Cambria" w:eastAsia="Cambria" w:hAnsi="Cambria" w:cs="Cambria"/>
        <w:color w:val="000000"/>
        <w:position w:val="0"/>
        <w:u w:color="000000"/>
        <w:rtl w:val="0"/>
        <w:lang w:val="es-ES_tradnl"/>
      </w:rPr>
    </w:lvl>
    <w:lvl w:ilvl="8">
      <w:start w:val="1"/>
      <w:numFmt w:val="lowerRoman"/>
      <w:lvlText w:val="%9."/>
      <w:lvlJc w:val="left"/>
      <w:rPr>
        <w:rFonts w:ascii="Cambria" w:eastAsia="Cambria" w:hAnsi="Cambria" w:cs="Cambria"/>
        <w:color w:val="000000"/>
        <w:position w:val="0"/>
        <w:u w:color="000000"/>
        <w:rtl w:val="0"/>
        <w:lang w:val="es-ES_tradnl"/>
      </w:rPr>
    </w:lvl>
  </w:abstractNum>
  <w:abstractNum w:abstractNumId="4" w15:restartNumberingAfterBreak="0">
    <w:nsid w:val="25247D32"/>
    <w:multiLevelType w:val="multilevel"/>
    <w:tmpl w:val="6C7E9AA2"/>
    <w:styleLink w:val="List14"/>
    <w:lvl w:ilvl="0">
      <w:start w:val="3"/>
      <w:numFmt w:val="decimal"/>
      <w:lvlText w:val="%1."/>
      <w:lvlJc w:val="left"/>
      <w:rPr>
        <w:rFonts w:ascii="Times New Roman" w:eastAsia="Times New Roman" w:hAnsi="Times New Roman" w:cs="Times New Roman"/>
        <w:b/>
        <w:bCs/>
        <w:position w:val="0"/>
      </w:rPr>
    </w:lvl>
    <w:lvl w:ilvl="1">
      <w:start w:val="1"/>
      <w:numFmt w:val="lowerLetter"/>
      <w:lvlText w:val="%2."/>
      <w:lvlJc w:val="left"/>
      <w:rPr>
        <w:rFonts w:ascii="Cambria" w:eastAsia="Cambria" w:hAnsi="Cambria" w:cs="Cambria"/>
        <w:b/>
        <w:bCs/>
        <w:position w:val="0"/>
      </w:rPr>
    </w:lvl>
    <w:lvl w:ilvl="2">
      <w:start w:val="1"/>
      <w:numFmt w:val="lowerRoman"/>
      <w:lvlText w:val="%3."/>
      <w:lvlJc w:val="left"/>
      <w:rPr>
        <w:rFonts w:ascii="Cambria" w:eastAsia="Cambria" w:hAnsi="Cambria" w:cs="Cambria"/>
        <w:b/>
        <w:bCs/>
        <w:position w:val="0"/>
      </w:rPr>
    </w:lvl>
    <w:lvl w:ilvl="3">
      <w:start w:val="1"/>
      <w:numFmt w:val="decimal"/>
      <w:lvlText w:val="%4."/>
      <w:lvlJc w:val="left"/>
      <w:rPr>
        <w:rFonts w:ascii="Cambria" w:eastAsia="Cambria" w:hAnsi="Cambria" w:cs="Cambria"/>
        <w:b/>
        <w:bCs/>
        <w:position w:val="0"/>
      </w:rPr>
    </w:lvl>
    <w:lvl w:ilvl="4">
      <w:start w:val="1"/>
      <w:numFmt w:val="lowerLetter"/>
      <w:lvlText w:val="%5."/>
      <w:lvlJc w:val="left"/>
      <w:rPr>
        <w:rFonts w:ascii="Cambria" w:eastAsia="Cambria" w:hAnsi="Cambria" w:cs="Cambria"/>
        <w:b/>
        <w:bCs/>
        <w:position w:val="0"/>
      </w:rPr>
    </w:lvl>
    <w:lvl w:ilvl="5">
      <w:start w:val="1"/>
      <w:numFmt w:val="lowerRoman"/>
      <w:lvlText w:val="%6."/>
      <w:lvlJc w:val="left"/>
      <w:rPr>
        <w:rFonts w:ascii="Cambria" w:eastAsia="Cambria" w:hAnsi="Cambria" w:cs="Cambria"/>
        <w:b/>
        <w:bCs/>
        <w:position w:val="0"/>
      </w:rPr>
    </w:lvl>
    <w:lvl w:ilvl="6">
      <w:start w:val="1"/>
      <w:numFmt w:val="decimal"/>
      <w:lvlText w:val="%7."/>
      <w:lvlJc w:val="left"/>
      <w:rPr>
        <w:rFonts w:ascii="Cambria" w:eastAsia="Cambria" w:hAnsi="Cambria" w:cs="Cambria"/>
        <w:b/>
        <w:bCs/>
        <w:position w:val="0"/>
      </w:rPr>
    </w:lvl>
    <w:lvl w:ilvl="7">
      <w:start w:val="1"/>
      <w:numFmt w:val="lowerLetter"/>
      <w:lvlText w:val="%8."/>
      <w:lvlJc w:val="left"/>
      <w:rPr>
        <w:rFonts w:ascii="Cambria" w:eastAsia="Cambria" w:hAnsi="Cambria" w:cs="Cambria"/>
        <w:b/>
        <w:bCs/>
        <w:position w:val="0"/>
      </w:rPr>
    </w:lvl>
    <w:lvl w:ilvl="8">
      <w:start w:val="1"/>
      <w:numFmt w:val="lowerRoman"/>
      <w:lvlText w:val="%9."/>
      <w:lvlJc w:val="left"/>
      <w:rPr>
        <w:rFonts w:ascii="Cambria" w:eastAsia="Cambria" w:hAnsi="Cambria" w:cs="Cambria"/>
        <w:b/>
        <w:bCs/>
        <w:position w:val="0"/>
      </w:rPr>
    </w:lvl>
  </w:abstractNum>
  <w:abstractNum w:abstractNumId="5" w15:restartNumberingAfterBreak="0">
    <w:nsid w:val="287E324D"/>
    <w:multiLevelType w:val="multilevel"/>
    <w:tmpl w:val="EFCAB6EE"/>
    <w:styleLink w:val="List9"/>
    <w:lvl w:ilvl="0">
      <w:start w:val="1"/>
      <w:numFmt w:val="decimal"/>
      <w:lvlText w:val="%1."/>
      <w:lvlJc w:val="left"/>
      <w:pPr>
        <w:tabs>
          <w:tab w:val="num" w:pos="1020"/>
        </w:tabs>
        <w:ind w:left="1020" w:hanging="300"/>
      </w:pPr>
      <w:rPr>
        <w:rFonts w:ascii="Cambria" w:eastAsia="Cambria" w:hAnsi="Cambria" w:cs="Cambria"/>
        <w:b/>
        <w:bCs/>
        <w:color w:val="000000"/>
        <w:position w:val="0"/>
        <w:sz w:val="20"/>
        <w:szCs w:val="20"/>
        <w:rtl w:val="0"/>
        <w:lang w:val="es-ES_tradnl"/>
      </w:rPr>
    </w:lvl>
    <w:lvl w:ilvl="1">
      <w:start w:val="1"/>
      <w:numFmt w:val="decimal"/>
      <w:lvlText w:val="%1.%2."/>
      <w:lvlJc w:val="left"/>
      <w:pPr>
        <w:tabs>
          <w:tab w:val="num" w:pos="1380"/>
        </w:tabs>
        <w:ind w:left="1380" w:hanging="300"/>
      </w:pPr>
      <w:rPr>
        <w:rFonts w:ascii="Cambria" w:eastAsia="Cambria" w:hAnsi="Cambria" w:cs="Cambria"/>
        <w:b/>
        <w:bCs/>
        <w:color w:val="000000"/>
        <w:position w:val="0"/>
        <w:sz w:val="20"/>
        <w:szCs w:val="20"/>
        <w:rtl w:val="0"/>
        <w:lang w:val="es-ES_tradnl"/>
      </w:rPr>
    </w:lvl>
    <w:lvl w:ilvl="2">
      <w:start w:val="1"/>
      <w:numFmt w:val="decimal"/>
      <w:lvlText w:val="%1.%2.%3."/>
      <w:lvlJc w:val="left"/>
      <w:pPr>
        <w:tabs>
          <w:tab w:val="num" w:pos="806"/>
        </w:tabs>
        <w:ind w:left="806" w:hanging="806"/>
      </w:pPr>
      <w:rPr>
        <w:rFonts w:ascii="Cambria" w:eastAsia="Cambria" w:hAnsi="Cambria" w:cs="Cambria"/>
        <w:b/>
        <w:bCs/>
        <w:color w:val="000000"/>
        <w:position w:val="0"/>
        <w:sz w:val="20"/>
        <w:szCs w:val="20"/>
        <w:rtl w:val="0"/>
        <w:lang w:val="es-ES_tradnl"/>
      </w:rPr>
    </w:lvl>
    <w:lvl w:ilvl="3">
      <w:start w:val="1"/>
      <w:numFmt w:val="decimal"/>
      <w:lvlText w:val="%1.%2.%3.%4."/>
      <w:lvlJc w:val="left"/>
      <w:pPr>
        <w:tabs>
          <w:tab w:val="num" w:pos="2400"/>
        </w:tabs>
        <w:ind w:left="2400" w:hanging="600"/>
      </w:pPr>
      <w:rPr>
        <w:rFonts w:ascii="Cambria" w:eastAsia="Cambria" w:hAnsi="Cambria" w:cs="Cambria"/>
        <w:b/>
        <w:bCs/>
        <w:color w:val="000000"/>
        <w:position w:val="0"/>
        <w:sz w:val="20"/>
        <w:szCs w:val="20"/>
        <w:rtl w:val="0"/>
        <w:lang w:val="es-ES_tradnl"/>
      </w:rPr>
    </w:lvl>
    <w:lvl w:ilvl="4">
      <w:start w:val="1"/>
      <w:numFmt w:val="decimal"/>
      <w:lvlText w:val="%1.%2.%3.%4.%5."/>
      <w:lvlJc w:val="left"/>
      <w:pPr>
        <w:tabs>
          <w:tab w:val="num" w:pos="3060"/>
        </w:tabs>
        <w:ind w:left="3060" w:hanging="900"/>
      </w:pPr>
      <w:rPr>
        <w:rFonts w:ascii="Cambria" w:eastAsia="Cambria" w:hAnsi="Cambria" w:cs="Cambria"/>
        <w:b/>
        <w:bCs/>
        <w:color w:val="000000"/>
        <w:position w:val="0"/>
        <w:sz w:val="20"/>
        <w:szCs w:val="20"/>
        <w:rtl w:val="0"/>
        <w:lang w:val="es-ES_tradnl"/>
      </w:rPr>
    </w:lvl>
    <w:lvl w:ilvl="5">
      <w:start w:val="1"/>
      <w:numFmt w:val="decimal"/>
      <w:lvlText w:val="%1.%2.%3.%4.%5.%6."/>
      <w:lvlJc w:val="left"/>
      <w:pPr>
        <w:tabs>
          <w:tab w:val="num" w:pos="3420"/>
        </w:tabs>
        <w:ind w:left="3420" w:hanging="900"/>
      </w:pPr>
      <w:rPr>
        <w:rFonts w:ascii="Cambria" w:eastAsia="Cambria" w:hAnsi="Cambria" w:cs="Cambria"/>
        <w:b/>
        <w:bCs/>
        <w:color w:val="000000"/>
        <w:position w:val="0"/>
        <w:sz w:val="20"/>
        <w:szCs w:val="20"/>
        <w:rtl w:val="0"/>
        <w:lang w:val="es-ES_tradnl"/>
      </w:rPr>
    </w:lvl>
    <w:lvl w:ilvl="6">
      <w:start w:val="1"/>
      <w:numFmt w:val="decimal"/>
      <w:lvlText w:val="%1.%2.%3.%4.%5.%6.%7."/>
      <w:lvlJc w:val="left"/>
      <w:pPr>
        <w:tabs>
          <w:tab w:val="num" w:pos="4080"/>
        </w:tabs>
        <w:ind w:left="4080" w:hanging="1200"/>
      </w:pPr>
      <w:rPr>
        <w:rFonts w:ascii="Cambria" w:eastAsia="Cambria" w:hAnsi="Cambria" w:cs="Cambria"/>
        <w:b/>
        <w:bCs/>
        <w:color w:val="000000"/>
        <w:position w:val="0"/>
        <w:sz w:val="20"/>
        <w:szCs w:val="20"/>
        <w:rtl w:val="0"/>
        <w:lang w:val="es-ES_tradnl"/>
      </w:rPr>
    </w:lvl>
    <w:lvl w:ilvl="7">
      <w:start w:val="1"/>
      <w:numFmt w:val="decimal"/>
      <w:lvlText w:val="%1.%2.%3.%4.%5.%6.%7.%8."/>
      <w:lvlJc w:val="left"/>
      <w:pPr>
        <w:tabs>
          <w:tab w:val="num" w:pos="4440"/>
        </w:tabs>
        <w:ind w:left="4440" w:hanging="1200"/>
      </w:pPr>
      <w:rPr>
        <w:rFonts w:ascii="Cambria" w:eastAsia="Cambria" w:hAnsi="Cambria" w:cs="Cambria"/>
        <w:b/>
        <w:bCs/>
        <w:color w:val="000000"/>
        <w:position w:val="0"/>
        <w:sz w:val="20"/>
        <w:szCs w:val="20"/>
        <w:rtl w:val="0"/>
        <w:lang w:val="es-ES_tradnl"/>
      </w:rPr>
    </w:lvl>
    <w:lvl w:ilvl="8">
      <w:start w:val="1"/>
      <w:numFmt w:val="decimal"/>
      <w:lvlText w:val="%1.%2.%3.%4.%5.%6.%7.%8.%9."/>
      <w:lvlJc w:val="left"/>
      <w:pPr>
        <w:tabs>
          <w:tab w:val="num" w:pos="5100"/>
        </w:tabs>
        <w:ind w:left="5100" w:hanging="1500"/>
      </w:pPr>
      <w:rPr>
        <w:rFonts w:ascii="Cambria" w:eastAsia="Cambria" w:hAnsi="Cambria" w:cs="Cambria"/>
        <w:b/>
        <w:bCs/>
        <w:color w:val="000000"/>
        <w:position w:val="0"/>
        <w:sz w:val="20"/>
        <w:szCs w:val="20"/>
        <w:rtl w:val="0"/>
        <w:lang w:val="es-ES_tradnl"/>
      </w:rPr>
    </w:lvl>
  </w:abstractNum>
  <w:abstractNum w:abstractNumId="6" w15:restartNumberingAfterBreak="0">
    <w:nsid w:val="2C36448F"/>
    <w:multiLevelType w:val="multilevel"/>
    <w:tmpl w:val="E1E234CA"/>
    <w:styleLink w:val="List7"/>
    <w:lvl w:ilvl="0">
      <w:start w:val="1"/>
      <w:numFmt w:val="decimal"/>
      <w:lvlText w:val="%1."/>
      <w:lvlJc w:val="left"/>
      <w:pPr>
        <w:tabs>
          <w:tab w:val="num" w:pos="1020"/>
        </w:tabs>
        <w:ind w:left="1020" w:hanging="300"/>
      </w:pPr>
      <w:rPr>
        <w:rFonts w:ascii="Cambria" w:eastAsia="Cambria" w:hAnsi="Cambria" w:cs="Cambria"/>
        <w:b/>
        <w:bCs/>
        <w:color w:val="000000"/>
        <w:position w:val="0"/>
        <w:sz w:val="20"/>
        <w:szCs w:val="20"/>
        <w:lang w:val="es-ES_tradnl"/>
      </w:rPr>
    </w:lvl>
    <w:lvl w:ilvl="1">
      <w:start w:val="1"/>
      <w:numFmt w:val="decimal"/>
      <w:lvlText w:val="%1.%2."/>
      <w:lvlJc w:val="left"/>
      <w:pPr>
        <w:tabs>
          <w:tab w:val="num" w:pos="1380"/>
        </w:tabs>
        <w:ind w:left="1380" w:hanging="300"/>
      </w:pPr>
      <w:rPr>
        <w:rFonts w:ascii="Cambria" w:eastAsia="Cambria" w:hAnsi="Cambria" w:cs="Cambria"/>
        <w:b/>
        <w:bCs/>
        <w:color w:val="000000"/>
        <w:position w:val="0"/>
        <w:sz w:val="20"/>
        <w:szCs w:val="20"/>
        <w:lang w:val="es-ES_tradnl"/>
      </w:rPr>
    </w:lvl>
    <w:lvl w:ilvl="2">
      <w:start w:val="4"/>
      <w:numFmt w:val="decimal"/>
      <w:lvlText w:val="%1.%2.%3."/>
      <w:lvlJc w:val="left"/>
      <w:pPr>
        <w:tabs>
          <w:tab w:val="num" w:pos="2160"/>
        </w:tabs>
        <w:ind w:left="2160" w:hanging="720"/>
      </w:pPr>
      <w:rPr>
        <w:rFonts w:ascii="Times New Roman" w:eastAsia="Times New Roman" w:hAnsi="Times New Roman" w:cs="Times New Roman"/>
        <w:b/>
        <w:bCs/>
        <w:color w:val="000000"/>
        <w:position w:val="0"/>
        <w:sz w:val="20"/>
        <w:szCs w:val="20"/>
        <w:lang w:val="es-ES_tradnl"/>
      </w:rPr>
    </w:lvl>
    <w:lvl w:ilvl="3">
      <w:start w:val="1"/>
      <w:numFmt w:val="decimal"/>
      <w:lvlText w:val="%1.%2.%3.%4."/>
      <w:lvlJc w:val="left"/>
      <w:pPr>
        <w:tabs>
          <w:tab w:val="num" w:pos="2400"/>
        </w:tabs>
        <w:ind w:left="2400" w:hanging="600"/>
      </w:pPr>
      <w:rPr>
        <w:rFonts w:ascii="Cambria" w:eastAsia="Cambria" w:hAnsi="Cambria" w:cs="Cambria"/>
        <w:b/>
        <w:bCs/>
        <w:color w:val="000000"/>
        <w:position w:val="0"/>
        <w:sz w:val="20"/>
        <w:szCs w:val="20"/>
        <w:lang w:val="es-ES_tradnl"/>
      </w:rPr>
    </w:lvl>
    <w:lvl w:ilvl="4">
      <w:start w:val="1"/>
      <w:numFmt w:val="decimal"/>
      <w:lvlText w:val="%1.%2.%3.%4.%5."/>
      <w:lvlJc w:val="left"/>
      <w:pPr>
        <w:tabs>
          <w:tab w:val="num" w:pos="3060"/>
        </w:tabs>
        <w:ind w:left="3060" w:hanging="900"/>
      </w:pPr>
      <w:rPr>
        <w:rFonts w:ascii="Cambria" w:eastAsia="Cambria" w:hAnsi="Cambria" w:cs="Cambria"/>
        <w:b/>
        <w:bCs/>
        <w:color w:val="000000"/>
        <w:position w:val="0"/>
        <w:sz w:val="20"/>
        <w:szCs w:val="20"/>
        <w:lang w:val="es-ES_tradnl"/>
      </w:rPr>
    </w:lvl>
    <w:lvl w:ilvl="5">
      <w:start w:val="1"/>
      <w:numFmt w:val="decimal"/>
      <w:lvlText w:val="%1.%2.%3.%4.%5.%6."/>
      <w:lvlJc w:val="left"/>
      <w:pPr>
        <w:tabs>
          <w:tab w:val="num" w:pos="3420"/>
        </w:tabs>
        <w:ind w:left="3420" w:hanging="900"/>
      </w:pPr>
      <w:rPr>
        <w:rFonts w:ascii="Cambria" w:eastAsia="Cambria" w:hAnsi="Cambria" w:cs="Cambria"/>
        <w:b/>
        <w:bCs/>
        <w:color w:val="000000"/>
        <w:position w:val="0"/>
        <w:sz w:val="20"/>
        <w:szCs w:val="20"/>
        <w:lang w:val="es-ES_tradnl"/>
      </w:rPr>
    </w:lvl>
    <w:lvl w:ilvl="6">
      <w:start w:val="1"/>
      <w:numFmt w:val="decimal"/>
      <w:lvlText w:val="%1.%2.%3.%4.%5.%6.%7."/>
      <w:lvlJc w:val="left"/>
      <w:pPr>
        <w:tabs>
          <w:tab w:val="num" w:pos="4080"/>
        </w:tabs>
        <w:ind w:left="4080" w:hanging="1200"/>
      </w:pPr>
      <w:rPr>
        <w:rFonts w:ascii="Cambria" w:eastAsia="Cambria" w:hAnsi="Cambria" w:cs="Cambria"/>
        <w:b/>
        <w:bCs/>
        <w:color w:val="000000"/>
        <w:position w:val="0"/>
        <w:sz w:val="20"/>
        <w:szCs w:val="20"/>
        <w:lang w:val="es-ES_tradnl"/>
      </w:rPr>
    </w:lvl>
    <w:lvl w:ilvl="7">
      <w:start w:val="1"/>
      <w:numFmt w:val="decimal"/>
      <w:lvlText w:val="%1.%2.%3.%4.%5.%6.%7.%8."/>
      <w:lvlJc w:val="left"/>
      <w:pPr>
        <w:tabs>
          <w:tab w:val="num" w:pos="4440"/>
        </w:tabs>
        <w:ind w:left="4440" w:hanging="1200"/>
      </w:pPr>
      <w:rPr>
        <w:rFonts w:ascii="Cambria" w:eastAsia="Cambria" w:hAnsi="Cambria" w:cs="Cambria"/>
        <w:b/>
        <w:bCs/>
        <w:color w:val="000000"/>
        <w:position w:val="0"/>
        <w:sz w:val="20"/>
        <w:szCs w:val="20"/>
        <w:lang w:val="es-ES_tradnl"/>
      </w:rPr>
    </w:lvl>
    <w:lvl w:ilvl="8">
      <w:start w:val="1"/>
      <w:numFmt w:val="decimal"/>
      <w:lvlText w:val="%1.%2.%3.%4.%5.%6.%7.%8.%9."/>
      <w:lvlJc w:val="left"/>
      <w:pPr>
        <w:tabs>
          <w:tab w:val="num" w:pos="5100"/>
        </w:tabs>
        <w:ind w:left="5100" w:hanging="1500"/>
      </w:pPr>
      <w:rPr>
        <w:rFonts w:ascii="Cambria" w:eastAsia="Cambria" w:hAnsi="Cambria" w:cs="Cambria"/>
        <w:b/>
        <w:bCs/>
        <w:color w:val="000000"/>
        <w:position w:val="0"/>
        <w:sz w:val="20"/>
        <w:szCs w:val="20"/>
        <w:lang w:val="es-ES_tradnl"/>
      </w:rPr>
    </w:lvl>
  </w:abstractNum>
  <w:abstractNum w:abstractNumId="7" w15:restartNumberingAfterBreak="0">
    <w:nsid w:val="335B6644"/>
    <w:multiLevelType w:val="multilevel"/>
    <w:tmpl w:val="1E202842"/>
    <w:styleLink w:val="List11"/>
    <w:lvl w:ilvl="0">
      <w:start w:val="1"/>
      <w:numFmt w:val="decimal"/>
      <w:lvlText w:val="%1."/>
      <w:lvlJc w:val="left"/>
      <w:rPr>
        <w:rFonts w:ascii="Cambria" w:eastAsia="Cambria" w:hAnsi="Cambria" w:cs="Cambria"/>
        <w:color w:val="000000"/>
        <w:position w:val="0"/>
        <w:rtl w:val="0"/>
        <w:lang w:val="es-ES_tradnl"/>
      </w:rPr>
    </w:lvl>
    <w:lvl w:ilvl="1">
      <w:start w:val="1"/>
      <w:numFmt w:val="lowerLetter"/>
      <w:lvlText w:val="%2."/>
      <w:lvlJc w:val="left"/>
      <w:rPr>
        <w:rFonts w:ascii="Cambria" w:eastAsia="Cambria" w:hAnsi="Cambria" w:cs="Cambria"/>
        <w:color w:val="000000"/>
        <w:position w:val="0"/>
        <w:rtl w:val="0"/>
        <w:lang w:val="es-ES_tradnl"/>
      </w:rPr>
    </w:lvl>
    <w:lvl w:ilvl="2">
      <w:start w:val="1"/>
      <w:numFmt w:val="lowerRoman"/>
      <w:lvlText w:val="%3."/>
      <w:lvlJc w:val="left"/>
      <w:rPr>
        <w:rFonts w:ascii="Cambria" w:eastAsia="Cambria" w:hAnsi="Cambria" w:cs="Cambria"/>
        <w:color w:val="000000"/>
        <w:position w:val="0"/>
        <w:rtl w:val="0"/>
        <w:lang w:val="es-ES_tradnl"/>
      </w:rPr>
    </w:lvl>
    <w:lvl w:ilvl="3">
      <w:start w:val="1"/>
      <w:numFmt w:val="decimal"/>
      <w:lvlText w:val="%4."/>
      <w:lvlJc w:val="left"/>
      <w:rPr>
        <w:rFonts w:ascii="Cambria" w:eastAsia="Cambria" w:hAnsi="Cambria" w:cs="Cambria"/>
        <w:color w:val="000000"/>
        <w:position w:val="0"/>
        <w:rtl w:val="0"/>
        <w:lang w:val="es-ES_tradnl"/>
      </w:rPr>
    </w:lvl>
    <w:lvl w:ilvl="4">
      <w:start w:val="1"/>
      <w:numFmt w:val="lowerLetter"/>
      <w:lvlText w:val="%5."/>
      <w:lvlJc w:val="left"/>
      <w:rPr>
        <w:rFonts w:ascii="Cambria" w:eastAsia="Cambria" w:hAnsi="Cambria" w:cs="Cambria"/>
        <w:color w:val="000000"/>
        <w:position w:val="0"/>
        <w:rtl w:val="0"/>
        <w:lang w:val="es-ES_tradnl"/>
      </w:rPr>
    </w:lvl>
    <w:lvl w:ilvl="5">
      <w:start w:val="1"/>
      <w:numFmt w:val="lowerRoman"/>
      <w:lvlText w:val="%6."/>
      <w:lvlJc w:val="left"/>
      <w:rPr>
        <w:rFonts w:ascii="Cambria" w:eastAsia="Cambria" w:hAnsi="Cambria" w:cs="Cambria"/>
        <w:color w:val="000000"/>
        <w:position w:val="0"/>
        <w:rtl w:val="0"/>
        <w:lang w:val="es-ES_tradnl"/>
      </w:rPr>
    </w:lvl>
    <w:lvl w:ilvl="6">
      <w:start w:val="1"/>
      <w:numFmt w:val="decimal"/>
      <w:lvlText w:val="%7."/>
      <w:lvlJc w:val="left"/>
      <w:rPr>
        <w:rFonts w:ascii="Cambria" w:eastAsia="Cambria" w:hAnsi="Cambria" w:cs="Cambria"/>
        <w:color w:val="000000"/>
        <w:position w:val="0"/>
        <w:rtl w:val="0"/>
        <w:lang w:val="es-ES_tradnl"/>
      </w:rPr>
    </w:lvl>
    <w:lvl w:ilvl="7">
      <w:start w:val="1"/>
      <w:numFmt w:val="lowerLetter"/>
      <w:lvlText w:val="%8."/>
      <w:lvlJc w:val="left"/>
      <w:rPr>
        <w:rFonts w:ascii="Cambria" w:eastAsia="Cambria" w:hAnsi="Cambria" w:cs="Cambria"/>
        <w:color w:val="000000"/>
        <w:position w:val="0"/>
        <w:rtl w:val="0"/>
        <w:lang w:val="es-ES_tradnl"/>
      </w:rPr>
    </w:lvl>
    <w:lvl w:ilvl="8">
      <w:start w:val="1"/>
      <w:numFmt w:val="lowerRoman"/>
      <w:lvlText w:val="%9."/>
      <w:lvlJc w:val="left"/>
      <w:rPr>
        <w:rFonts w:ascii="Cambria" w:eastAsia="Cambria" w:hAnsi="Cambria" w:cs="Cambria"/>
        <w:color w:val="000000"/>
        <w:position w:val="0"/>
        <w:rtl w:val="0"/>
        <w:lang w:val="es-ES_tradnl"/>
      </w:rPr>
    </w:lvl>
  </w:abstractNum>
  <w:abstractNum w:abstractNumId="8" w15:restartNumberingAfterBreak="0">
    <w:nsid w:val="34CD4FE2"/>
    <w:multiLevelType w:val="multilevel"/>
    <w:tmpl w:val="C1D8EF76"/>
    <w:lvl w:ilvl="0">
      <w:start w:val="2"/>
      <w:numFmt w:val="decimal"/>
      <w:lvlText w:val="%1."/>
      <w:lvlJc w:val="left"/>
      <w:pPr>
        <w:ind w:left="360" w:hanging="360"/>
      </w:pPr>
      <w:rPr>
        <w:rFonts w:eastAsia="Cambria" w:hint="default"/>
      </w:rPr>
    </w:lvl>
    <w:lvl w:ilvl="1">
      <w:start w:val="1"/>
      <w:numFmt w:val="decimal"/>
      <w:lvlText w:val="%1.%2."/>
      <w:lvlJc w:val="left"/>
      <w:pPr>
        <w:ind w:left="360" w:hanging="36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9" w15:restartNumberingAfterBreak="0">
    <w:nsid w:val="358B4DA5"/>
    <w:multiLevelType w:val="multilevel"/>
    <w:tmpl w:val="CB761F26"/>
    <w:styleLink w:val="List10"/>
    <w:lvl w:ilvl="0">
      <w:start w:val="1"/>
      <w:numFmt w:val="decimal"/>
      <w:lvlText w:val="%1."/>
      <w:lvlJc w:val="left"/>
      <w:pPr>
        <w:tabs>
          <w:tab w:val="num" w:pos="1020"/>
        </w:tabs>
        <w:ind w:left="1020" w:hanging="300"/>
      </w:pPr>
      <w:rPr>
        <w:rFonts w:ascii="Cambria" w:eastAsia="Cambria" w:hAnsi="Cambria" w:cs="Cambria"/>
        <w:b/>
        <w:bCs/>
        <w:color w:val="000000"/>
        <w:position w:val="0"/>
        <w:sz w:val="20"/>
        <w:szCs w:val="20"/>
        <w:lang w:val="es-ES_tradnl"/>
      </w:rPr>
    </w:lvl>
    <w:lvl w:ilvl="1">
      <w:start w:val="1"/>
      <w:numFmt w:val="decimal"/>
      <w:lvlText w:val="%1.%2."/>
      <w:lvlJc w:val="left"/>
      <w:pPr>
        <w:tabs>
          <w:tab w:val="num" w:pos="1380"/>
        </w:tabs>
        <w:ind w:left="1380" w:hanging="300"/>
      </w:pPr>
      <w:rPr>
        <w:rFonts w:ascii="Cambria" w:eastAsia="Cambria" w:hAnsi="Cambria" w:cs="Cambria"/>
        <w:b/>
        <w:bCs/>
        <w:color w:val="000000"/>
        <w:position w:val="0"/>
        <w:sz w:val="20"/>
        <w:szCs w:val="20"/>
        <w:lang w:val="es-ES_tradnl"/>
      </w:rPr>
    </w:lvl>
    <w:lvl w:ilvl="2">
      <w:start w:val="2"/>
      <w:numFmt w:val="decimal"/>
      <w:lvlText w:val="%1.%2.%3."/>
      <w:lvlJc w:val="left"/>
      <w:pPr>
        <w:tabs>
          <w:tab w:val="num" w:pos="86"/>
        </w:tabs>
        <w:ind w:left="86" w:hanging="86"/>
      </w:pPr>
      <w:rPr>
        <w:rFonts w:ascii="Times New Roman" w:eastAsia="Times New Roman" w:hAnsi="Times New Roman" w:cs="Times New Roman"/>
        <w:b/>
        <w:bCs/>
        <w:color w:val="000000"/>
        <w:position w:val="0"/>
        <w:sz w:val="20"/>
        <w:szCs w:val="20"/>
        <w:lang w:val="es-ES_tradnl"/>
      </w:rPr>
    </w:lvl>
    <w:lvl w:ilvl="3">
      <w:start w:val="1"/>
      <w:numFmt w:val="decimal"/>
      <w:lvlText w:val="%1.%2.%3.%4."/>
      <w:lvlJc w:val="left"/>
      <w:pPr>
        <w:tabs>
          <w:tab w:val="num" w:pos="2400"/>
        </w:tabs>
        <w:ind w:left="2400" w:hanging="600"/>
      </w:pPr>
      <w:rPr>
        <w:rFonts w:ascii="Cambria" w:eastAsia="Cambria" w:hAnsi="Cambria" w:cs="Cambria"/>
        <w:b/>
        <w:bCs/>
        <w:color w:val="000000"/>
        <w:position w:val="0"/>
        <w:sz w:val="20"/>
        <w:szCs w:val="20"/>
        <w:lang w:val="es-ES_tradnl"/>
      </w:rPr>
    </w:lvl>
    <w:lvl w:ilvl="4">
      <w:start w:val="1"/>
      <w:numFmt w:val="decimal"/>
      <w:lvlText w:val="%1.%2.%3.%4.%5."/>
      <w:lvlJc w:val="left"/>
      <w:pPr>
        <w:tabs>
          <w:tab w:val="num" w:pos="3060"/>
        </w:tabs>
        <w:ind w:left="3060" w:hanging="900"/>
      </w:pPr>
      <w:rPr>
        <w:rFonts w:ascii="Cambria" w:eastAsia="Cambria" w:hAnsi="Cambria" w:cs="Cambria"/>
        <w:b/>
        <w:bCs/>
        <w:color w:val="000000"/>
        <w:position w:val="0"/>
        <w:sz w:val="20"/>
        <w:szCs w:val="20"/>
        <w:lang w:val="es-ES_tradnl"/>
      </w:rPr>
    </w:lvl>
    <w:lvl w:ilvl="5">
      <w:start w:val="1"/>
      <w:numFmt w:val="decimal"/>
      <w:lvlText w:val="%1.%2.%3.%4.%5.%6."/>
      <w:lvlJc w:val="left"/>
      <w:pPr>
        <w:tabs>
          <w:tab w:val="num" w:pos="3420"/>
        </w:tabs>
        <w:ind w:left="3420" w:hanging="900"/>
      </w:pPr>
      <w:rPr>
        <w:rFonts w:ascii="Cambria" w:eastAsia="Cambria" w:hAnsi="Cambria" w:cs="Cambria"/>
        <w:b/>
        <w:bCs/>
        <w:color w:val="000000"/>
        <w:position w:val="0"/>
        <w:sz w:val="20"/>
        <w:szCs w:val="20"/>
        <w:lang w:val="es-ES_tradnl"/>
      </w:rPr>
    </w:lvl>
    <w:lvl w:ilvl="6">
      <w:start w:val="1"/>
      <w:numFmt w:val="decimal"/>
      <w:lvlText w:val="%1.%2.%3.%4.%5.%6.%7."/>
      <w:lvlJc w:val="left"/>
      <w:pPr>
        <w:tabs>
          <w:tab w:val="num" w:pos="4080"/>
        </w:tabs>
        <w:ind w:left="4080" w:hanging="1200"/>
      </w:pPr>
      <w:rPr>
        <w:rFonts w:ascii="Cambria" w:eastAsia="Cambria" w:hAnsi="Cambria" w:cs="Cambria"/>
        <w:b/>
        <w:bCs/>
        <w:color w:val="000000"/>
        <w:position w:val="0"/>
        <w:sz w:val="20"/>
        <w:szCs w:val="20"/>
        <w:lang w:val="es-ES_tradnl"/>
      </w:rPr>
    </w:lvl>
    <w:lvl w:ilvl="7">
      <w:start w:val="1"/>
      <w:numFmt w:val="decimal"/>
      <w:lvlText w:val="%1.%2.%3.%4.%5.%6.%7.%8."/>
      <w:lvlJc w:val="left"/>
      <w:pPr>
        <w:tabs>
          <w:tab w:val="num" w:pos="4440"/>
        </w:tabs>
        <w:ind w:left="4440" w:hanging="1200"/>
      </w:pPr>
      <w:rPr>
        <w:rFonts w:ascii="Cambria" w:eastAsia="Cambria" w:hAnsi="Cambria" w:cs="Cambria"/>
        <w:b/>
        <w:bCs/>
        <w:color w:val="000000"/>
        <w:position w:val="0"/>
        <w:sz w:val="20"/>
        <w:szCs w:val="20"/>
        <w:lang w:val="es-ES_tradnl"/>
      </w:rPr>
    </w:lvl>
    <w:lvl w:ilvl="8">
      <w:start w:val="1"/>
      <w:numFmt w:val="decimal"/>
      <w:lvlText w:val="%1.%2.%3.%4.%5.%6.%7.%8.%9."/>
      <w:lvlJc w:val="left"/>
      <w:pPr>
        <w:tabs>
          <w:tab w:val="num" w:pos="5100"/>
        </w:tabs>
        <w:ind w:left="5100" w:hanging="1500"/>
      </w:pPr>
      <w:rPr>
        <w:rFonts w:ascii="Cambria" w:eastAsia="Cambria" w:hAnsi="Cambria" w:cs="Cambria"/>
        <w:b/>
        <w:bCs/>
        <w:color w:val="000000"/>
        <w:position w:val="0"/>
        <w:sz w:val="20"/>
        <w:szCs w:val="20"/>
        <w:lang w:val="es-ES_tradnl"/>
      </w:rPr>
    </w:lvl>
  </w:abstractNum>
  <w:abstractNum w:abstractNumId="10" w15:restartNumberingAfterBreak="0">
    <w:nsid w:val="35B51E09"/>
    <w:multiLevelType w:val="multilevel"/>
    <w:tmpl w:val="1C3EC828"/>
    <w:styleLink w:val="List13"/>
    <w:lvl w:ilvl="0">
      <w:start w:val="1"/>
      <w:numFmt w:val="upperLetter"/>
      <w:lvlText w:val="%1."/>
      <w:lvlJc w:val="left"/>
      <w:rPr>
        <w:rFonts w:ascii="Times New Roman" w:eastAsia="Times New Roman" w:hAnsi="Times New Roman" w:cs="Times New Roman"/>
        <w:b/>
        <w:bCs/>
        <w:color w:val="FF0000"/>
        <w:position w:val="0"/>
        <w:u w:color="FF0000"/>
        <w:lang w:val="es-ES_tradnl"/>
      </w:rPr>
    </w:lvl>
    <w:lvl w:ilvl="1">
      <w:start w:val="1"/>
      <w:numFmt w:val="lowerLetter"/>
      <w:lvlText w:val="%2."/>
      <w:lvlJc w:val="left"/>
      <w:rPr>
        <w:rFonts w:ascii="Cambria" w:eastAsia="Cambria" w:hAnsi="Cambria" w:cs="Cambria"/>
        <w:b/>
        <w:bCs/>
        <w:color w:val="FF0000"/>
        <w:position w:val="0"/>
        <w:u w:color="FF0000"/>
        <w:lang w:val="es-ES_tradnl"/>
      </w:rPr>
    </w:lvl>
    <w:lvl w:ilvl="2">
      <w:start w:val="1"/>
      <w:numFmt w:val="lowerRoman"/>
      <w:lvlText w:val="%3."/>
      <w:lvlJc w:val="left"/>
      <w:rPr>
        <w:rFonts w:ascii="Cambria" w:eastAsia="Cambria" w:hAnsi="Cambria" w:cs="Cambria"/>
        <w:b/>
        <w:bCs/>
        <w:color w:val="FF0000"/>
        <w:position w:val="0"/>
        <w:u w:color="FF0000"/>
        <w:lang w:val="es-ES_tradnl"/>
      </w:rPr>
    </w:lvl>
    <w:lvl w:ilvl="3">
      <w:start w:val="1"/>
      <w:numFmt w:val="decimal"/>
      <w:lvlText w:val="%4."/>
      <w:lvlJc w:val="left"/>
      <w:rPr>
        <w:rFonts w:ascii="Cambria" w:eastAsia="Cambria" w:hAnsi="Cambria" w:cs="Cambria"/>
        <w:b/>
        <w:bCs/>
        <w:color w:val="FF0000"/>
        <w:position w:val="0"/>
        <w:u w:color="FF0000"/>
        <w:lang w:val="es-ES_tradnl"/>
      </w:rPr>
    </w:lvl>
    <w:lvl w:ilvl="4">
      <w:start w:val="1"/>
      <w:numFmt w:val="lowerLetter"/>
      <w:lvlText w:val="%5."/>
      <w:lvlJc w:val="left"/>
      <w:rPr>
        <w:rFonts w:ascii="Cambria" w:eastAsia="Cambria" w:hAnsi="Cambria" w:cs="Cambria"/>
        <w:b/>
        <w:bCs/>
        <w:color w:val="FF0000"/>
        <w:position w:val="0"/>
        <w:u w:color="FF0000"/>
        <w:lang w:val="es-ES_tradnl"/>
      </w:rPr>
    </w:lvl>
    <w:lvl w:ilvl="5">
      <w:start w:val="1"/>
      <w:numFmt w:val="lowerRoman"/>
      <w:lvlText w:val="%6."/>
      <w:lvlJc w:val="left"/>
      <w:rPr>
        <w:rFonts w:ascii="Cambria" w:eastAsia="Cambria" w:hAnsi="Cambria" w:cs="Cambria"/>
        <w:b/>
        <w:bCs/>
        <w:color w:val="FF0000"/>
        <w:position w:val="0"/>
        <w:u w:color="FF0000"/>
        <w:lang w:val="es-ES_tradnl"/>
      </w:rPr>
    </w:lvl>
    <w:lvl w:ilvl="6">
      <w:start w:val="1"/>
      <w:numFmt w:val="decimal"/>
      <w:lvlText w:val="%7."/>
      <w:lvlJc w:val="left"/>
      <w:rPr>
        <w:rFonts w:ascii="Cambria" w:eastAsia="Cambria" w:hAnsi="Cambria" w:cs="Cambria"/>
        <w:b/>
        <w:bCs/>
        <w:color w:val="FF0000"/>
        <w:position w:val="0"/>
        <w:u w:color="FF0000"/>
        <w:lang w:val="es-ES_tradnl"/>
      </w:rPr>
    </w:lvl>
    <w:lvl w:ilvl="7">
      <w:start w:val="1"/>
      <w:numFmt w:val="lowerLetter"/>
      <w:lvlText w:val="%8."/>
      <w:lvlJc w:val="left"/>
      <w:rPr>
        <w:rFonts w:ascii="Cambria" w:eastAsia="Cambria" w:hAnsi="Cambria" w:cs="Cambria"/>
        <w:b/>
        <w:bCs/>
        <w:color w:val="FF0000"/>
        <w:position w:val="0"/>
        <w:u w:color="FF0000"/>
        <w:lang w:val="es-ES_tradnl"/>
      </w:rPr>
    </w:lvl>
    <w:lvl w:ilvl="8">
      <w:start w:val="1"/>
      <w:numFmt w:val="lowerRoman"/>
      <w:lvlText w:val="%9."/>
      <w:lvlJc w:val="left"/>
      <w:rPr>
        <w:rFonts w:ascii="Cambria" w:eastAsia="Cambria" w:hAnsi="Cambria" w:cs="Cambria"/>
        <w:b/>
        <w:bCs/>
        <w:color w:val="FF0000"/>
        <w:position w:val="0"/>
        <w:u w:color="FF0000"/>
        <w:lang w:val="es-ES_tradnl"/>
      </w:rPr>
    </w:lvl>
  </w:abstractNum>
  <w:abstractNum w:abstractNumId="11" w15:restartNumberingAfterBreak="0">
    <w:nsid w:val="37B31F19"/>
    <w:multiLevelType w:val="multilevel"/>
    <w:tmpl w:val="77881B08"/>
    <w:styleLink w:val="List15"/>
    <w:lvl w:ilvl="0">
      <w:start w:val="2"/>
      <w:numFmt w:val="decimal"/>
      <w:lvlText w:val="%1."/>
      <w:lvlJc w:val="left"/>
      <w:rPr>
        <w:rFonts w:ascii="Times New Roman" w:eastAsia="Times New Roman" w:hAnsi="Times New Roman" w:cs="Times New Roman"/>
        <w:b/>
        <w:bCs/>
        <w:position w:val="0"/>
      </w:rPr>
    </w:lvl>
    <w:lvl w:ilvl="1">
      <w:start w:val="1"/>
      <w:numFmt w:val="lowerLetter"/>
      <w:lvlText w:val="%2."/>
      <w:lvlJc w:val="left"/>
      <w:rPr>
        <w:rFonts w:ascii="Cambria" w:eastAsia="Cambria" w:hAnsi="Cambria" w:cs="Cambria"/>
        <w:b/>
        <w:bCs/>
        <w:position w:val="0"/>
      </w:rPr>
    </w:lvl>
    <w:lvl w:ilvl="2">
      <w:start w:val="1"/>
      <w:numFmt w:val="lowerRoman"/>
      <w:lvlText w:val="%3."/>
      <w:lvlJc w:val="left"/>
      <w:rPr>
        <w:rFonts w:ascii="Cambria" w:eastAsia="Cambria" w:hAnsi="Cambria" w:cs="Cambria"/>
        <w:b/>
        <w:bCs/>
        <w:position w:val="0"/>
      </w:rPr>
    </w:lvl>
    <w:lvl w:ilvl="3">
      <w:start w:val="1"/>
      <w:numFmt w:val="decimal"/>
      <w:lvlText w:val="%4."/>
      <w:lvlJc w:val="left"/>
      <w:rPr>
        <w:rFonts w:ascii="Cambria" w:eastAsia="Cambria" w:hAnsi="Cambria" w:cs="Cambria"/>
        <w:b/>
        <w:bCs/>
        <w:position w:val="0"/>
      </w:rPr>
    </w:lvl>
    <w:lvl w:ilvl="4">
      <w:start w:val="1"/>
      <w:numFmt w:val="lowerLetter"/>
      <w:lvlText w:val="%5."/>
      <w:lvlJc w:val="left"/>
      <w:rPr>
        <w:rFonts w:ascii="Cambria" w:eastAsia="Cambria" w:hAnsi="Cambria" w:cs="Cambria"/>
        <w:b/>
        <w:bCs/>
        <w:position w:val="0"/>
      </w:rPr>
    </w:lvl>
    <w:lvl w:ilvl="5">
      <w:start w:val="1"/>
      <w:numFmt w:val="lowerRoman"/>
      <w:lvlText w:val="%6."/>
      <w:lvlJc w:val="left"/>
      <w:rPr>
        <w:rFonts w:ascii="Cambria" w:eastAsia="Cambria" w:hAnsi="Cambria" w:cs="Cambria"/>
        <w:b/>
        <w:bCs/>
        <w:position w:val="0"/>
      </w:rPr>
    </w:lvl>
    <w:lvl w:ilvl="6">
      <w:start w:val="1"/>
      <w:numFmt w:val="decimal"/>
      <w:lvlText w:val="%7."/>
      <w:lvlJc w:val="left"/>
      <w:rPr>
        <w:rFonts w:ascii="Cambria" w:eastAsia="Cambria" w:hAnsi="Cambria" w:cs="Cambria"/>
        <w:b/>
        <w:bCs/>
        <w:position w:val="0"/>
      </w:rPr>
    </w:lvl>
    <w:lvl w:ilvl="7">
      <w:start w:val="1"/>
      <w:numFmt w:val="lowerLetter"/>
      <w:lvlText w:val="%8."/>
      <w:lvlJc w:val="left"/>
      <w:rPr>
        <w:rFonts w:ascii="Cambria" w:eastAsia="Cambria" w:hAnsi="Cambria" w:cs="Cambria"/>
        <w:b/>
        <w:bCs/>
        <w:position w:val="0"/>
      </w:rPr>
    </w:lvl>
    <w:lvl w:ilvl="8">
      <w:start w:val="1"/>
      <w:numFmt w:val="lowerRoman"/>
      <w:lvlText w:val="%9."/>
      <w:lvlJc w:val="left"/>
      <w:rPr>
        <w:rFonts w:ascii="Cambria" w:eastAsia="Cambria" w:hAnsi="Cambria" w:cs="Cambria"/>
        <w:b/>
        <w:bCs/>
        <w:position w:val="0"/>
      </w:rPr>
    </w:lvl>
  </w:abstractNum>
  <w:abstractNum w:abstractNumId="12" w15:restartNumberingAfterBreak="0">
    <w:nsid w:val="39BC2481"/>
    <w:multiLevelType w:val="multilevel"/>
    <w:tmpl w:val="3290149C"/>
    <w:styleLink w:val="List12"/>
    <w:lvl w:ilvl="0">
      <w:start w:val="1"/>
      <w:numFmt w:val="decimal"/>
      <w:lvlText w:val="%1."/>
      <w:lvlJc w:val="left"/>
      <w:rPr>
        <w:rFonts w:ascii="Cambria" w:eastAsia="Cambria" w:hAnsi="Cambria" w:cs="Cambria"/>
        <w:color w:val="000000"/>
        <w:position w:val="0"/>
        <w:rtl w:val="0"/>
        <w:lang w:val="es-ES_tradnl"/>
      </w:rPr>
    </w:lvl>
    <w:lvl w:ilvl="1">
      <w:start w:val="1"/>
      <w:numFmt w:val="lowerLetter"/>
      <w:lvlText w:val="%2."/>
      <w:lvlJc w:val="left"/>
      <w:rPr>
        <w:rFonts w:ascii="Cambria" w:eastAsia="Cambria" w:hAnsi="Cambria" w:cs="Cambria"/>
        <w:color w:val="000000"/>
        <w:position w:val="0"/>
        <w:rtl w:val="0"/>
        <w:lang w:val="es-ES_tradnl"/>
      </w:rPr>
    </w:lvl>
    <w:lvl w:ilvl="2">
      <w:start w:val="1"/>
      <w:numFmt w:val="lowerRoman"/>
      <w:lvlText w:val="%3."/>
      <w:lvlJc w:val="left"/>
      <w:rPr>
        <w:rFonts w:ascii="Cambria" w:eastAsia="Cambria" w:hAnsi="Cambria" w:cs="Cambria"/>
        <w:color w:val="000000"/>
        <w:position w:val="0"/>
        <w:rtl w:val="0"/>
        <w:lang w:val="es-ES_tradnl"/>
      </w:rPr>
    </w:lvl>
    <w:lvl w:ilvl="3">
      <w:start w:val="1"/>
      <w:numFmt w:val="decimal"/>
      <w:lvlText w:val="%4."/>
      <w:lvlJc w:val="left"/>
      <w:rPr>
        <w:rFonts w:ascii="Cambria" w:eastAsia="Cambria" w:hAnsi="Cambria" w:cs="Cambria"/>
        <w:color w:val="000000"/>
        <w:position w:val="0"/>
        <w:rtl w:val="0"/>
        <w:lang w:val="es-ES_tradnl"/>
      </w:rPr>
    </w:lvl>
    <w:lvl w:ilvl="4">
      <w:start w:val="1"/>
      <w:numFmt w:val="lowerLetter"/>
      <w:lvlText w:val="%5."/>
      <w:lvlJc w:val="left"/>
      <w:rPr>
        <w:rFonts w:ascii="Cambria" w:eastAsia="Cambria" w:hAnsi="Cambria" w:cs="Cambria"/>
        <w:color w:val="000000"/>
        <w:position w:val="0"/>
        <w:rtl w:val="0"/>
        <w:lang w:val="es-ES_tradnl"/>
      </w:rPr>
    </w:lvl>
    <w:lvl w:ilvl="5">
      <w:start w:val="1"/>
      <w:numFmt w:val="lowerRoman"/>
      <w:lvlText w:val="%6."/>
      <w:lvlJc w:val="left"/>
      <w:rPr>
        <w:rFonts w:ascii="Cambria" w:eastAsia="Cambria" w:hAnsi="Cambria" w:cs="Cambria"/>
        <w:color w:val="000000"/>
        <w:position w:val="0"/>
        <w:rtl w:val="0"/>
        <w:lang w:val="es-ES_tradnl"/>
      </w:rPr>
    </w:lvl>
    <w:lvl w:ilvl="6">
      <w:start w:val="1"/>
      <w:numFmt w:val="decimal"/>
      <w:lvlText w:val="%7."/>
      <w:lvlJc w:val="left"/>
      <w:rPr>
        <w:rFonts w:ascii="Cambria" w:eastAsia="Cambria" w:hAnsi="Cambria" w:cs="Cambria"/>
        <w:color w:val="000000"/>
        <w:position w:val="0"/>
        <w:rtl w:val="0"/>
        <w:lang w:val="es-ES_tradnl"/>
      </w:rPr>
    </w:lvl>
    <w:lvl w:ilvl="7">
      <w:start w:val="1"/>
      <w:numFmt w:val="lowerLetter"/>
      <w:lvlText w:val="%8."/>
      <w:lvlJc w:val="left"/>
      <w:rPr>
        <w:rFonts w:ascii="Cambria" w:eastAsia="Cambria" w:hAnsi="Cambria" w:cs="Cambria"/>
        <w:color w:val="000000"/>
        <w:position w:val="0"/>
        <w:rtl w:val="0"/>
        <w:lang w:val="es-ES_tradnl"/>
      </w:rPr>
    </w:lvl>
    <w:lvl w:ilvl="8">
      <w:start w:val="1"/>
      <w:numFmt w:val="lowerRoman"/>
      <w:lvlText w:val="%9."/>
      <w:lvlJc w:val="left"/>
      <w:rPr>
        <w:rFonts w:ascii="Cambria" w:eastAsia="Cambria" w:hAnsi="Cambria" w:cs="Cambria"/>
        <w:color w:val="000000"/>
        <w:position w:val="0"/>
        <w:rtl w:val="0"/>
        <w:lang w:val="es-ES_tradnl"/>
      </w:rPr>
    </w:lvl>
  </w:abstractNum>
  <w:abstractNum w:abstractNumId="13" w15:restartNumberingAfterBreak="0">
    <w:nsid w:val="3B2005A7"/>
    <w:multiLevelType w:val="multilevel"/>
    <w:tmpl w:val="23B0950C"/>
    <w:styleLink w:val="List31"/>
    <w:lvl w:ilvl="0">
      <w:start w:val="1"/>
      <w:numFmt w:val="upperLetter"/>
      <w:lvlText w:val="%1."/>
      <w:lvlJc w:val="left"/>
      <w:pPr>
        <w:tabs>
          <w:tab w:val="num" w:pos="1331"/>
        </w:tabs>
        <w:ind w:left="1331" w:hanging="86"/>
      </w:pPr>
      <w:rPr>
        <w:rFonts w:ascii="Times New Roman" w:eastAsia="Times New Roman" w:hAnsi="Times New Roman" w:cs="Times New Roman"/>
        <w:b/>
        <w:bCs/>
        <w:color w:val="000000"/>
        <w:position w:val="0"/>
        <w:sz w:val="20"/>
        <w:szCs w:val="20"/>
        <w:u w:color="000000"/>
        <w:lang w:val="es-ES_tradnl"/>
      </w:rPr>
    </w:lvl>
    <w:lvl w:ilvl="1">
      <w:start w:val="1"/>
      <w:numFmt w:val="lowerLetter"/>
      <w:lvlText w:val="%2."/>
      <w:lvlJc w:val="left"/>
      <w:pPr>
        <w:tabs>
          <w:tab w:val="num" w:pos="2625"/>
        </w:tabs>
        <w:ind w:left="2625" w:hanging="300"/>
      </w:pPr>
      <w:rPr>
        <w:rFonts w:ascii="Cambria" w:eastAsia="Cambria" w:hAnsi="Cambria" w:cs="Cambria"/>
        <w:b/>
        <w:bCs/>
        <w:color w:val="000000"/>
        <w:position w:val="0"/>
        <w:sz w:val="20"/>
        <w:szCs w:val="20"/>
        <w:u w:color="000000"/>
        <w:lang w:val="es-ES_tradnl"/>
      </w:rPr>
    </w:lvl>
    <w:lvl w:ilvl="2">
      <w:start w:val="1"/>
      <w:numFmt w:val="lowerRoman"/>
      <w:lvlText w:val="%3."/>
      <w:lvlJc w:val="left"/>
      <w:pPr>
        <w:tabs>
          <w:tab w:val="num" w:pos="3356"/>
        </w:tabs>
        <w:ind w:left="3356" w:hanging="247"/>
      </w:pPr>
      <w:rPr>
        <w:rFonts w:ascii="Cambria" w:eastAsia="Cambria" w:hAnsi="Cambria" w:cs="Cambria"/>
        <w:b/>
        <w:bCs/>
        <w:color w:val="000000"/>
        <w:position w:val="0"/>
        <w:sz w:val="20"/>
        <w:szCs w:val="20"/>
        <w:u w:color="000000"/>
        <w:lang w:val="es-ES_tradnl"/>
      </w:rPr>
    </w:lvl>
    <w:lvl w:ilvl="3">
      <w:start w:val="1"/>
      <w:numFmt w:val="decimal"/>
      <w:lvlText w:val="%4."/>
      <w:lvlJc w:val="left"/>
      <w:pPr>
        <w:tabs>
          <w:tab w:val="num" w:pos="4065"/>
        </w:tabs>
        <w:ind w:left="4065" w:hanging="300"/>
      </w:pPr>
      <w:rPr>
        <w:rFonts w:ascii="Cambria" w:eastAsia="Cambria" w:hAnsi="Cambria" w:cs="Cambria"/>
        <w:b/>
        <w:bCs/>
        <w:color w:val="000000"/>
        <w:position w:val="0"/>
        <w:sz w:val="20"/>
        <w:szCs w:val="20"/>
        <w:u w:color="000000"/>
        <w:lang w:val="es-ES_tradnl"/>
      </w:rPr>
    </w:lvl>
    <w:lvl w:ilvl="4">
      <w:start w:val="1"/>
      <w:numFmt w:val="lowerLetter"/>
      <w:lvlText w:val="%5."/>
      <w:lvlJc w:val="left"/>
      <w:pPr>
        <w:tabs>
          <w:tab w:val="num" w:pos="4785"/>
        </w:tabs>
        <w:ind w:left="4785" w:hanging="300"/>
      </w:pPr>
      <w:rPr>
        <w:rFonts w:ascii="Cambria" w:eastAsia="Cambria" w:hAnsi="Cambria" w:cs="Cambria"/>
        <w:b/>
        <w:bCs/>
        <w:color w:val="000000"/>
        <w:position w:val="0"/>
        <w:sz w:val="20"/>
        <w:szCs w:val="20"/>
        <w:u w:color="000000"/>
        <w:lang w:val="es-ES_tradnl"/>
      </w:rPr>
    </w:lvl>
    <w:lvl w:ilvl="5">
      <w:start w:val="1"/>
      <w:numFmt w:val="lowerRoman"/>
      <w:lvlText w:val="%6."/>
      <w:lvlJc w:val="left"/>
      <w:pPr>
        <w:tabs>
          <w:tab w:val="num" w:pos="5516"/>
        </w:tabs>
        <w:ind w:left="5516" w:hanging="247"/>
      </w:pPr>
      <w:rPr>
        <w:rFonts w:ascii="Cambria" w:eastAsia="Cambria" w:hAnsi="Cambria" w:cs="Cambria"/>
        <w:b/>
        <w:bCs/>
        <w:color w:val="000000"/>
        <w:position w:val="0"/>
        <w:sz w:val="20"/>
        <w:szCs w:val="20"/>
        <w:u w:color="000000"/>
        <w:lang w:val="es-ES_tradnl"/>
      </w:rPr>
    </w:lvl>
    <w:lvl w:ilvl="6">
      <w:start w:val="1"/>
      <w:numFmt w:val="decimal"/>
      <w:lvlText w:val="%7."/>
      <w:lvlJc w:val="left"/>
      <w:pPr>
        <w:tabs>
          <w:tab w:val="num" w:pos="6225"/>
        </w:tabs>
        <w:ind w:left="6225" w:hanging="300"/>
      </w:pPr>
      <w:rPr>
        <w:rFonts w:ascii="Cambria" w:eastAsia="Cambria" w:hAnsi="Cambria" w:cs="Cambria"/>
        <w:b/>
        <w:bCs/>
        <w:color w:val="000000"/>
        <w:position w:val="0"/>
        <w:sz w:val="20"/>
        <w:szCs w:val="20"/>
        <w:u w:color="000000"/>
        <w:lang w:val="es-ES_tradnl"/>
      </w:rPr>
    </w:lvl>
    <w:lvl w:ilvl="7">
      <w:start w:val="1"/>
      <w:numFmt w:val="lowerLetter"/>
      <w:lvlText w:val="%8."/>
      <w:lvlJc w:val="left"/>
      <w:pPr>
        <w:tabs>
          <w:tab w:val="num" w:pos="6945"/>
        </w:tabs>
        <w:ind w:left="6945" w:hanging="300"/>
      </w:pPr>
      <w:rPr>
        <w:rFonts w:ascii="Cambria" w:eastAsia="Cambria" w:hAnsi="Cambria" w:cs="Cambria"/>
        <w:b/>
        <w:bCs/>
        <w:color w:val="000000"/>
        <w:position w:val="0"/>
        <w:sz w:val="20"/>
        <w:szCs w:val="20"/>
        <w:u w:color="000000"/>
        <w:lang w:val="es-ES_tradnl"/>
      </w:rPr>
    </w:lvl>
    <w:lvl w:ilvl="8">
      <w:start w:val="1"/>
      <w:numFmt w:val="lowerRoman"/>
      <w:lvlText w:val="%9."/>
      <w:lvlJc w:val="left"/>
      <w:pPr>
        <w:tabs>
          <w:tab w:val="num" w:pos="7676"/>
        </w:tabs>
        <w:ind w:left="7676" w:hanging="247"/>
      </w:pPr>
      <w:rPr>
        <w:rFonts w:ascii="Cambria" w:eastAsia="Cambria" w:hAnsi="Cambria" w:cs="Cambria"/>
        <w:b/>
        <w:bCs/>
        <w:color w:val="000000"/>
        <w:position w:val="0"/>
        <w:sz w:val="20"/>
        <w:szCs w:val="20"/>
        <w:u w:color="000000"/>
        <w:lang w:val="es-ES_tradnl"/>
      </w:rPr>
    </w:lvl>
  </w:abstractNum>
  <w:abstractNum w:abstractNumId="14" w15:restartNumberingAfterBreak="0">
    <w:nsid w:val="42E51BF1"/>
    <w:multiLevelType w:val="multilevel"/>
    <w:tmpl w:val="BE40186C"/>
    <w:styleLink w:val="List0"/>
    <w:lvl w:ilvl="0">
      <w:start w:val="1"/>
      <w:numFmt w:val="upperRoman"/>
      <w:pStyle w:val="Heading1"/>
      <w:lvlText w:val="%1."/>
      <w:lvlJc w:val="left"/>
      <w:pPr>
        <w:tabs>
          <w:tab w:val="num" w:pos="86"/>
        </w:tabs>
        <w:ind w:left="86" w:hanging="86"/>
      </w:pPr>
      <w:rPr>
        <w:rFonts w:ascii="Times New Roman" w:eastAsia="Times New Roman" w:hAnsi="Times New Roman" w:cs="Times New Roman"/>
        <w:b/>
        <w:bCs/>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b/>
        <w:bCs/>
        <w:position w:val="0"/>
        <w:sz w:val="20"/>
        <w:szCs w:val="20"/>
        <w:lang w:val="es-ES_tradnl"/>
      </w:rPr>
    </w:lvl>
    <w:lvl w:ilvl="2">
      <w:start w:val="1"/>
      <w:numFmt w:val="lowerRoman"/>
      <w:lvlText w:val="%3."/>
      <w:lvlJc w:val="left"/>
      <w:pPr>
        <w:tabs>
          <w:tab w:val="num" w:pos="2111"/>
        </w:tabs>
        <w:ind w:left="2111" w:hanging="247"/>
      </w:pPr>
      <w:rPr>
        <w:rFonts w:ascii="Cambria" w:eastAsia="Cambria" w:hAnsi="Cambria" w:cs="Cambria"/>
        <w:b/>
        <w:bCs/>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b/>
        <w:bCs/>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b/>
        <w:bCs/>
        <w:position w:val="0"/>
        <w:sz w:val="20"/>
        <w:szCs w:val="20"/>
        <w:lang w:val="es-ES_tradnl"/>
      </w:rPr>
    </w:lvl>
    <w:lvl w:ilvl="5">
      <w:start w:val="1"/>
      <w:numFmt w:val="lowerRoman"/>
      <w:lvlText w:val="%6."/>
      <w:lvlJc w:val="left"/>
      <w:pPr>
        <w:tabs>
          <w:tab w:val="num" w:pos="4271"/>
        </w:tabs>
        <w:ind w:left="4271" w:hanging="247"/>
      </w:pPr>
      <w:rPr>
        <w:rFonts w:ascii="Cambria" w:eastAsia="Cambria" w:hAnsi="Cambria" w:cs="Cambria"/>
        <w:b/>
        <w:bCs/>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b/>
        <w:bCs/>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b/>
        <w:bCs/>
        <w:position w:val="0"/>
        <w:sz w:val="20"/>
        <w:szCs w:val="20"/>
        <w:lang w:val="es-ES_tradnl"/>
      </w:rPr>
    </w:lvl>
    <w:lvl w:ilvl="8">
      <w:start w:val="1"/>
      <w:numFmt w:val="lowerRoman"/>
      <w:lvlText w:val="%9."/>
      <w:lvlJc w:val="left"/>
      <w:pPr>
        <w:tabs>
          <w:tab w:val="num" w:pos="6431"/>
        </w:tabs>
        <w:ind w:left="6431" w:hanging="247"/>
      </w:pPr>
      <w:rPr>
        <w:rFonts w:ascii="Cambria" w:eastAsia="Cambria" w:hAnsi="Cambria" w:cs="Cambria"/>
        <w:b/>
        <w:bCs/>
        <w:position w:val="0"/>
        <w:sz w:val="20"/>
        <w:szCs w:val="20"/>
        <w:lang w:val="es-ES_tradnl"/>
      </w:rPr>
    </w:lvl>
  </w:abstractNum>
  <w:abstractNum w:abstractNumId="15" w15:restartNumberingAfterBreak="0">
    <w:nsid w:val="4412342E"/>
    <w:multiLevelType w:val="multilevel"/>
    <w:tmpl w:val="1ADE2FB2"/>
    <w:styleLink w:val="List19"/>
    <w:lvl w:ilvl="0">
      <w:start w:val="1"/>
      <w:numFmt w:val="decimal"/>
      <w:lvlText w:val="%1."/>
      <w:lvlJc w:val="left"/>
      <w:pPr>
        <w:tabs>
          <w:tab w:val="num" w:pos="806"/>
        </w:tabs>
        <w:ind w:left="806" w:hanging="806"/>
      </w:pPr>
      <w:rPr>
        <w:rFonts w:ascii="Cambria" w:eastAsia="Cambria" w:hAnsi="Cambria" w:cs="Cambria"/>
        <w:position w:val="0"/>
        <w:sz w:val="20"/>
        <w:szCs w:val="20"/>
        <w:rtl w:val="0"/>
        <w:lang w:val="es-ES_tradnl"/>
      </w:rPr>
    </w:lvl>
    <w:lvl w:ilvl="1">
      <w:start w:val="1"/>
      <w:numFmt w:val="lowerLetter"/>
      <w:lvlText w:val="%2."/>
      <w:lvlJc w:val="left"/>
      <w:pPr>
        <w:tabs>
          <w:tab w:val="num" w:pos="1740"/>
        </w:tabs>
        <w:ind w:left="1740" w:hanging="300"/>
      </w:pPr>
      <w:rPr>
        <w:rFonts w:ascii="Cambria" w:eastAsia="Cambria" w:hAnsi="Cambria" w:cs="Cambria"/>
        <w:position w:val="0"/>
        <w:sz w:val="20"/>
        <w:szCs w:val="20"/>
        <w:rtl w:val="0"/>
        <w:lang w:val="es-ES_tradnl"/>
      </w:rPr>
    </w:lvl>
    <w:lvl w:ilvl="2">
      <w:start w:val="1"/>
      <w:numFmt w:val="lowerRoman"/>
      <w:lvlText w:val="%3."/>
      <w:lvlJc w:val="left"/>
      <w:pPr>
        <w:tabs>
          <w:tab w:val="num" w:pos="2471"/>
        </w:tabs>
        <w:ind w:left="2471" w:hanging="247"/>
      </w:pPr>
      <w:rPr>
        <w:rFonts w:ascii="Cambria" w:eastAsia="Cambria" w:hAnsi="Cambria" w:cs="Cambria"/>
        <w:position w:val="0"/>
        <w:sz w:val="20"/>
        <w:szCs w:val="20"/>
        <w:rtl w:val="0"/>
        <w:lang w:val="es-ES_tradnl"/>
      </w:rPr>
    </w:lvl>
    <w:lvl w:ilvl="3">
      <w:start w:val="1"/>
      <w:numFmt w:val="decimal"/>
      <w:lvlText w:val="%4."/>
      <w:lvlJc w:val="left"/>
      <w:pPr>
        <w:tabs>
          <w:tab w:val="num" w:pos="3180"/>
        </w:tabs>
        <w:ind w:left="3180" w:hanging="300"/>
      </w:pPr>
      <w:rPr>
        <w:rFonts w:ascii="Cambria" w:eastAsia="Cambria" w:hAnsi="Cambria" w:cs="Cambria"/>
        <w:position w:val="0"/>
        <w:sz w:val="20"/>
        <w:szCs w:val="20"/>
        <w:rtl w:val="0"/>
        <w:lang w:val="es-ES_tradnl"/>
      </w:rPr>
    </w:lvl>
    <w:lvl w:ilvl="4">
      <w:start w:val="1"/>
      <w:numFmt w:val="lowerLetter"/>
      <w:lvlText w:val="%5."/>
      <w:lvlJc w:val="left"/>
      <w:pPr>
        <w:tabs>
          <w:tab w:val="num" w:pos="3900"/>
        </w:tabs>
        <w:ind w:left="3900" w:hanging="300"/>
      </w:pPr>
      <w:rPr>
        <w:rFonts w:ascii="Cambria" w:eastAsia="Cambria" w:hAnsi="Cambria" w:cs="Cambria"/>
        <w:position w:val="0"/>
        <w:sz w:val="20"/>
        <w:szCs w:val="20"/>
        <w:rtl w:val="0"/>
        <w:lang w:val="es-ES_tradnl"/>
      </w:rPr>
    </w:lvl>
    <w:lvl w:ilvl="5">
      <w:start w:val="1"/>
      <w:numFmt w:val="lowerRoman"/>
      <w:lvlText w:val="%6."/>
      <w:lvlJc w:val="left"/>
      <w:pPr>
        <w:tabs>
          <w:tab w:val="num" w:pos="4631"/>
        </w:tabs>
        <w:ind w:left="4631" w:hanging="247"/>
      </w:pPr>
      <w:rPr>
        <w:rFonts w:ascii="Cambria" w:eastAsia="Cambria" w:hAnsi="Cambria" w:cs="Cambria"/>
        <w:position w:val="0"/>
        <w:sz w:val="20"/>
        <w:szCs w:val="20"/>
        <w:rtl w:val="0"/>
        <w:lang w:val="es-ES_tradnl"/>
      </w:rPr>
    </w:lvl>
    <w:lvl w:ilvl="6">
      <w:start w:val="1"/>
      <w:numFmt w:val="decimal"/>
      <w:lvlText w:val="%7."/>
      <w:lvlJc w:val="left"/>
      <w:pPr>
        <w:tabs>
          <w:tab w:val="num" w:pos="5340"/>
        </w:tabs>
        <w:ind w:left="5340" w:hanging="300"/>
      </w:pPr>
      <w:rPr>
        <w:rFonts w:ascii="Cambria" w:eastAsia="Cambria" w:hAnsi="Cambria" w:cs="Cambria"/>
        <w:position w:val="0"/>
        <w:sz w:val="20"/>
        <w:szCs w:val="20"/>
        <w:rtl w:val="0"/>
        <w:lang w:val="es-ES_tradnl"/>
      </w:rPr>
    </w:lvl>
    <w:lvl w:ilvl="7">
      <w:start w:val="1"/>
      <w:numFmt w:val="lowerLetter"/>
      <w:lvlText w:val="%8."/>
      <w:lvlJc w:val="left"/>
      <w:pPr>
        <w:tabs>
          <w:tab w:val="num" w:pos="6060"/>
        </w:tabs>
        <w:ind w:left="6060" w:hanging="300"/>
      </w:pPr>
      <w:rPr>
        <w:rFonts w:ascii="Cambria" w:eastAsia="Cambria" w:hAnsi="Cambria" w:cs="Cambria"/>
        <w:position w:val="0"/>
        <w:sz w:val="20"/>
        <w:szCs w:val="20"/>
        <w:rtl w:val="0"/>
        <w:lang w:val="es-ES_tradnl"/>
      </w:rPr>
    </w:lvl>
    <w:lvl w:ilvl="8">
      <w:start w:val="1"/>
      <w:numFmt w:val="lowerRoman"/>
      <w:lvlText w:val="%9."/>
      <w:lvlJc w:val="left"/>
      <w:pPr>
        <w:tabs>
          <w:tab w:val="num" w:pos="6791"/>
        </w:tabs>
        <w:ind w:left="6791" w:hanging="247"/>
      </w:pPr>
      <w:rPr>
        <w:rFonts w:ascii="Cambria" w:eastAsia="Cambria" w:hAnsi="Cambria" w:cs="Cambria"/>
        <w:position w:val="0"/>
        <w:sz w:val="20"/>
        <w:szCs w:val="20"/>
        <w:rtl w:val="0"/>
        <w:lang w:val="es-ES_tradnl"/>
      </w:rPr>
    </w:lvl>
  </w:abstractNum>
  <w:abstractNum w:abstractNumId="16" w15:restartNumberingAfterBreak="0">
    <w:nsid w:val="53B75436"/>
    <w:multiLevelType w:val="multilevel"/>
    <w:tmpl w:val="B84259C4"/>
    <w:styleLink w:val="List51"/>
    <w:lvl w:ilvl="0">
      <w:start w:val="1"/>
      <w:numFmt w:val="decimal"/>
      <w:lvlText w:val="%1."/>
      <w:lvlJc w:val="left"/>
      <w:pPr>
        <w:tabs>
          <w:tab w:val="num" w:pos="1020"/>
        </w:tabs>
        <w:ind w:left="1020" w:hanging="300"/>
      </w:pPr>
      <w:rPr>
        <w:rFonts w:ascii="Cambria" w:eastAsia="Cambria" w:hAnsi="Cambria" w:cs="Cambria"/>
        <w:b/>
        <w:bCs/>
        <w:color w:val="000000"/>
        <w:position w:val="0"/>
        <w:sz w:val="20"/>
        <w:szCs w:val="20"/>
        <w:u w:color="000000"/>
        <w:lang w:val="es-ES_tradnl"/>
      </w:rPr>
    </w:lvl>
    <w:lvl w:ilvl="1">
      <w:start w:val="3"/>
      <w:numFmt w:val="decimal"/>
      <w:lvlText w:val="%1.%2."/>
      <w:lvlJc w:val="left"/>
      <w:pPr>
        <w:tabs>
          <w:tab w:val="num" w:pos="86"/>
        </w:tabs>
        <w:ind w:left="86" w:hanging="86"/>
      </w:pPr>
      <w:rPr>
        <w:rFonts w:ascii="Times New Roman" w:eastAsia="Times New Roman" w:hAnsi="Times New Roman" w:cs="Times New Roman"/>
        <w:b/>
        <w:bCs/>
        <w:color w:val="000000"/>
        <w:position w:val="0"/>
        <w:sz w:val="20"/>
        <w:szCs w:val="20"/>
        <w:u w:color="000000"/>
        <w:lang w:val="es-ES_tradnl"/>
      </w:rPr>
    </w:lvl>
    <w:lvl w:ilvl="2">
      <w:start w:val="1"/>
      <w:numFmt w:val="decimal"/>
      <w:lvlText w:val="%1.%2.%3."/>
      <w:lvlJc w:val="left"/>
      <w:pPr>
        <w:tabs>
          <w:tab w:val="num" w:pos="2040"/>
        </w:tabs>
        <w:ind w:left="2040" w:hanging="600"/>
      </w:pPr>
      <w:rPr>
        <w:rFonts w:ascii="Cambria" w:eastAsia="Cambria" w:hAnsi="Cambria" w:cs="Cambria"/>
        <w:b/>
        <w:bCs/>
        <w:color w:val="000000"/>
        <w:position w:val="0"/>
        <w:sz w:val="20"/>
        <w:szCs w:val="20"/>
        <w:u w:color="000000"/>
        <w:lang w:val="es-ES_tradnl"/>
      </w:rPr>
    </w:lvl>
    <w:lvl w:ilvl="3">
      <w:start w:val="1"/>
      <w:numFmt w:val="decimal"/>
      <w:lvlText w:val="%1.%2.%3.%4."/>
      <w:lvlJc w:val="left"/>
      <w:pPr>
        <w:tabs>
          <w:tab w:val="num" w:pos="2400"/>
        </w:tabs>
        <w:ind w:left="2400" w:hanging="600"/>
      </w:pPr>
      <w:rPr>
        <w:rFonts w:ascii="Cambria" w:eastAsia="Cambria" w:hAnsi="Cambria" w:cs="Cambria"/>
        <w:b/>
        <w:bCs/>
        <w:color w:val="000000"/>
        <w:position w:val="0"/>
        <w:sz w:val="20"/>
        <w:szCs w:val="20"/>
        <w:u w:color="000000"/>
        <w:lang w:val="es-ES_tradnl"/>
      </w:rPr>
    </w:lvl>
    <w:lvl w:ilvl="4">
      <w:start w:val="1"/>
      <w:numFmt w:val="decimal"/>
      <w:lvlText w:val="%1.%2.%3.%4.%5."/>
      <w:lvlJc w:val="left"/>
      <w:pPr>
        <w:tabs>
          <w:tab w:val="num" w:pos="3060"/>
        </w:tabs>
        <w:ind w:left="3060" w:hanging="900"/>
      </w:pPr>
      <w:rPr>
        <w:rFonts w:ascii="Cambria" w:eastAsia="Cambria" w:hAnsi="Cambria" w:cs="Cambria"/>
        <w:b/>
        <w:bCs/>
        <w:color w:val="000000"/>
        <w:position w:val="0"/>
        <w:sz w:val="20"/>
        <w:szCs w:val="20"/>
        <w:u w:color="000000"/>
        <w:lang w:val="es-ES_tradnl"/>
      </w:rPr>
    </w:lvl>
    <w:lvl w:ilvl="5">
      <w:start w:val="1"/>
      <w:numFmt w:val="decimal"/>
      <w:lvlText w:val="%1.%2.%3.%4.%5.%6."/>
      <w:lvlJc w:val="left"/>
      <w:pPr>
        <w:tabs>
          <w:tab w:val="num" w:pos="3420"/>
        </w:tabs>
        <w:ind w:left="3420" w:hanging="900"/>
      </w:pPr>
      <w:rPr>
        <w:rFonts w:ascii="Cambria" w:eastAsia="Cambria" w:hAnsi="Cambria" w:cs="Cambria"/>
        <w:b/>
        <w:bCs/>
        <w:color w:val="000000"/>
        <w:position w:val="0"/>
        <w:sz w:val="20"/>
        <w:szCs w:val="20"/>
        <w:u w:color="000000"/>
        <w:lang w:val="es-ES_tradnl"/>
      </w:rPr>
    </w:lvl>
    <w:lvl w:ilvl="6">
      <w:start w:val="1"/>
      <w:numFmt w:val="decimal"/>
      <w:lvlText w:val="%1.%2.%3.%4.%5.%6.%7."/>
      <w:lvlJc w:val="left"/>
      <w:pPr>
        <w:tabs>
          <w:tab w:val="num" w:pos="4080"/>
        </w:tabs>
        <w:ind w:left="4080" w:hanging="1200"/>
      </w:pPr>
      <w:rPr>
        <w:rFonts w:ascii="Cambria" w:eastAsia="Cambria" w:hAnsi="Cambria" w:cs="Cambria"/>
        <w:b/>
        <w:bCs/>
        <w:color w:val="000000"/>
        <w:position w:val="0"/>
        <w:sz w:val="20"/>
        <w:szCs w:val="20"/>
        <w:u w:color="000000"/>
        <w:lang w:val="es-ES_tradnl"/>
      </w:rPr>
    </w:lvl>
    <w:lvl w:ilvl="7">
      <w:start w:val="1"/>
      <w:numFmt w:val="decimal"/>
      <w:lvlText w:val="%1.%2.%3.%4.%5.%6.%7.%8."/>
      <w:lvlJc w:val="left"/>
      <w:pPr>
        <w:tabs>
          <w:tab w:val="num" w:pos="4440"/>
        </w:tabs>
        <w:ind w:left="4440" w:hanging="1200"/>
      </w:pPr>
      <w:rPr>
        <w:rFonts w:ascii="Cambria" w:eastAsia="Cambria" w:hAnsi="Cambria" w:cs="Cambria"/>
        <w:b/>
        <w:bCs/>
        <w:color w:val="000000"/>
        <w:position w:val="0"/>
        <w:sz w:val="20"/>
        <w:szCs w:val="20"/>
        <w:u w:color="000000"/>
        <w:lang w:val="es-ES_tradnl"/>
      </w:rPr>
    </w:lvl>
    <w:lvl w:ilvl="8">
      <w:start w:val="1"/>
      <w:numFmt w:val="decimal"/>
      <w:lvlText w:val="%1.%2.%3.%4.%5.%6.%7.%8.%9."/>
      <w:lvlJc w:val="left"/>
      <w:pPr>
        <w:tabs>
          <w:tab w:val="num" w:pos="5100"/>
        </w:tabs>
        <w:ind w:left="5100" w:hanging="1500"/>
      </w:pPr>
      <w:rPr>
        <w:rFonts w:ascii="Cambria" w:eastAsia="Cambria" w:hAnsi="Cambria" w:cs="Cambria"/>
        <w:b/>
        <w:bCs/>
        <w:color w:val="000000"/>
        <w:position w:val="0"/>
        <w:sz w:val="20"/>
        <w:szCs w:val="20"/>
        <w:u w:color="000000"/>
        <w:lang w:val="es-ES_tradnl"/>
      </w:rPr>
    </w:lvl>
  </w:abstractNum>
  <w:abstractNum w:abstractNumId="17" w15:restartNumberingAfterBreak="0">
    <w:nsid w:val="60F728FB"/>
    <w:multiLevelType w:val="multilevel"/>
    <w:tmpl w:val="AE38332A"/>
    <w:lvl w:ilvl="0">
      <w:start w:val="49"/>
      <w:numFmt w:val="decimal"/>
      <w:lvlText w:val="%1."/>
      <w:lvlJc w:val="left"/>
      <w:rPr>
        <w:rFonts w:ascii="Times New Roman" w:eastAsia="Times New Roman" w:hAnsi="Times New Roman" w:cs="Times New Roman"/>
        <w:b w:val="0"/>
        <w:color w:val="000000"/>
        <w:position w:val="0"/>
        <w:lang w:val="es-ES_tradnl"/>
      </w:rPr>
    </w:lvl>
    <w:lvl w:ilvl="1">
      <w:start w:val="1"/>
      <w:numFmt w:val="lowerLetter"/>
      <w:lvlText w:val="%2."/>
      <w:lvlJc w:val="left"/>
      <w:rPr>
        <w:rFonts w:ascii="Cambria" w:eastAsia="Cambria" w:hAnsi="Cambria" w:cs="Cambria"/>
        <w:color w:val="000000"/>
        <w:position w:val="0"/>
        <w:lang w:val="es-ES_tradnl"/>
      </w:rPr>
    </w:lvl>
    <w:lvl w:ilvl="2">
      <w:start w:val="1"/>
      <w:numFmt w:val="lowerRoman"/>
      <w:lvlText w:val="%3."/>
      <w:lvlJc w:val="left"/>
      <w:rPr>
        <w:rFonts w:ascii="Cambria" w:eastAsia="Cambria" w:hAnsi="Cambria" w:cs="Cambria"/>
        <w:color w:val="000000"/>
        <w:position w:val="0"/>
        <w:lang w:val="es-ES_tradnl"/>
      </w:rPr>
    </w:lvl>
    <w:lvl w:ilvl="3">
      <w:start w:val="1"/>
      <w:numFmt w:val="decimal"/>
      <w:pStyle w:val="Heading3"/>
      <w:lvlText w:val="%4."/>
      <w:lvlJc w:val="left"/>
      <w:rPr>
        <w:rFonts w:ascii="Cambria" w:eastAsia="Cambria" w:hAnsi="Cambria" w:cs="Cambria"/>
        <w:color w:val="000000"/>
        <w:position w:val="0"/>
        <w:lang w:val="es-ES"/>
      </w:rPr>
    </w:lvl>
    <w:lvl w:ilvl="4">
      <w:start w:val="1"/>
      <w:numFmt w:val="lowerLetter"/>
      <w:lvlText w:val="%5."/>
      <w:lvlJc w:val="left"/>
      <w:rPr>
        <w:rFonts w:ascii="Cambria" w:eastAsia="Cambria" w:hAnsi="Cambria" w:cs="Cambria"/>
        <w:color w:val="000000"/>
        <w:position w:val="0"/>
        <w:lang w:val="es-ES_tradnl"/>
      </w:rPr>
    </w:lvl>
    <w:lvl w:ilvl="5">
      <w:start w:val="1"/>
      <w:numFmt w:val="lowerRoman"/>
      <w:lvlText w:val="%6."/>
      <w:lvlJc w:val="left"/>
      <w:rPr>
        <w:rFonts w:ascii="Cambria" w:eastAsia="Cambria" w:hAnsi="Cambria" w:cs="Cambria"/>
        <w:color w:val="000000"/>
        <w:position w:val="0"/>
        <w:lang w:val="es-ES_tradnl"/>
      </w:rPr>
    </w:lvl>
    <w:lvl w:ilvl="6">
      <w:start w:val="1"/>
      <w:numFmt w:val="decimal"/>
      <w:lvlText w:val="%7."/>
      <w:lvlJc w:val="left"/>
      <w:rPr>
        <w:rFonts w:ascii="Cambria" w:eastAsia="Cambria" w:hAnsi="Cambria" w:cs="Cambria"/>
        <w:color w:val="000000"/>
        <w:position w:val="0"/>
        <w:lang w:val="es-ES_tradnl"/>
      </w:rPr>
    </w:lvl>
    <w:lvl w:ilvl="7">
      <w:start w:val="1"/>
      <w:numFmt w:val="lowerLetter"/>
      <w:lvlText w:val="%8."/>
      <w:lvlJc w:val="left"/>
      <w:rPr>
        <w:rFonts w:ascii="Cambria" w:eastAsia="Cambria" w:hAnsi="Cambria" w:cs="Cambria"/>
        <w:color w:val="000000"/>
        <w:position w:val="0"/>
        <w:lang w:val="es-ES_tradnl"/>
      </w:rPr>
    </w:lvl>
    <w:lvl w:ilvl="8">
      <w:start w:val="1"/>
      <w:numFmt w:val="lowerRoman"/>
      <w:lvlText w:val="%9."/>
      <w:lvlJc w:val="left"/>
      <w:rPr>
        <w:rFonts w:ascii="Cambria" w:eastAsia="Cambria" w:hAnsi="Cambria" w:cs="Cambria"/>
        <w:color w:val="000000"/>
        <w:position w:val="0"/>
        <w:lang w:val="es-ES_tradnl"/>
      </w:rPr>
    </w:lvl>
  </w:abstractNum>
  <w:abstractNum w:abstractNumId="18" w15:restartNumberingAfterBreak="0">
    <w:nsid w:val="63F86BCD"/>
    <w:multiLevelType w:val="multilevel"/>
    <w:tmpl w:val="F1725050"/>
    <w:styleLink w:val="List1"/>
    <w:lvl w:ilvl="0">
      <w:start w:val="99"/>
      <w:numFmt w:val="decimal"/>
      <w:lvlText w:val="%1."/>
      <w:lvlJc w:val="left"/>
      <w:rPr>
        <w:rFonts w:ascii="Cambria" w:eastAsia="Cambria" w:hAnsi="Cambria" w:cs="Cambria"/>
        <w:color w:val="000000"/>
        <w:position w:val="0"/>
        <w:rtl w:val="0"/>
      </w:rPr>
    </w:lvl>
    <w:lvl w:ilvl="1">
      <w:start w:val="1"/>
      <w:numFmt w:val="lowerLetter"/>
      <w:lvlText w:val="%2."/>
      <w:lvlJc w:val="left"/>
      <w:rPr>
        <w:rFonts w:ascii="Cambria" w:eastAsia="Cambria" w:hAnsi="Cambria" w:cs="Cambria"/>
        <w:color w:val="000000"/>
        <w:position w:val="0"/>
        <w:rtl w:val="0"/>
      </w:rPr>
    </w:lvl>
    <w:lvl w:ilvl="2">
      <w:start w:val="1"/>
      <w:numFmt w:val="lowerRoman"/>
      <w:lvlText w:val="%3."/>
      <w:lvlJc w:val="left"/>
      <w:rPr>
        <w:rFonts w:ascii="Cambria" w:eastAsia="Cambria" w:hAnsi="Cambria" w:cs="Cambria"/>
        <w:color w:val="000000"/>
        <w:position w:val="0"/>
        <w:rtl w:val="0"/>
      </w:rPr>
    </w:lvl>
    <w:lvl w:ilvl="3">
      <w:start w:val="1"/>
      <w:numFmt w:val="decimal"/>
      <w:lvlText w:val="%4."/>
      <w:lvlJc w:val="left"/>
      <w:rPr>
        <w:rFonts w:ascii="Cambria" w:eastAsia="Cambria" w:hAnsi="Cambria" w:cs="Cambria"/>
        <w:color w:val="000000"/>
        <w:position w:val="0"/>
        <w:rtl w:val="0"/>
      </w:rPr>
    </w:lvl>
    <w:lvl w:ilvl="4">
      <w:start w:val="1"/>
      <w:numFmt w:val="lowerLetter"/>
      <w:lvlText w:val="%5."/>
      <w:lvlJc w:val="left"/>
      <w:rPr>
        <w:rFonts w:ascii="Cambria" w:eastAsia="Cambria" w:hAnsi="Cambria" w:cs="Cambria"/>
        <w:color w:val="000000"/>
        <w:position w:val="0"/>
        <w:rtl w:val="0"/>
      </w:rPr>
    </w:lvl>
    <w:lvl w:ilvl="5">
      <w:start w:val="1"/>
      <w:numFmt w:val="lowerRoman"/>
      <w:lvlText w:val="%6."/>
      <w:lvlJc w:val="left"/>
      <w:rPr>
        <w:rFonts w:ascii="Cambria" w:eastAsia="Cambria" w:hAnsi="Cambria" w:cs="Cambria"/>
        <w:color w:val="000000"/>
        <w:position w:val="0"/>
        <w:rtl w:val="0"/>
      </w:rPr>
    </w:lvl>
    <w:lvl w:ilvl="6">
      <w:start w:val="1"/>
      <w:numFmt w:val="decimal"/>
      <w:lvlText w:val="%7."/>
      <w:lvlJc w:val="left"/>
      <w:rPr>
        <w:rFonts w:ascii="Cambria" w:eastAsia="Cambria" w:hAnsi="Cambria" w:cs="Cambria"/>
        <w:color w:val="000000"/>
        <w:position w:val="0"/>
        <w:rtl w:val="0"/>
      </w:rPr>
    </w:lvl>
    <w:lvl w:ilvl="7">
      <w:start w:val="1"/>
      <w:numFmt w:val="lowerLetter"/>
      <w:lvlText w:val="%8."/>
      <w:lvlJc w:val="left"/>
      <w:rPr>
        <w:rFonts w:ascii="Cambria" w:eastAsia="Cambria" w:hAnsi="Cambria" w:cs="Cambria"/>
        <w:color w:val="000000"/>
        <w:position w:val="0"/>
        <w:rtl w:val="0"/>
      </w:rPr>
    </w:lvl>
    <w:lvl w:ilvl="8">
      <w:start w:val="1"/>
      <w:numFmt w:val="lowerRoman"/>
      <w:lvlText w:val="%9."/>
      <w:lvlJc w:val="left"/>
      <w:rPr>
        <w:rFonts w:ascii="Cambria" w:eastAsia="Cambria" w:hAnsi="Cambria" w:cs="Cambria"/>
        <w:color w:val="000000"/>
        <w:position w:val="0"/>
        <w:rtl w:val="0"/>
      </w:rPr>
    </w:lvl>
  </w:abstractNum>
  <w:abstractNum w:abstractNumId="19" w15:restartNumberingAfterBreak="0">
    <w:nsid w:val="648642AE"/>
    <w:multiLevelType w:val="multilevel"/>
    <w:tmpl w:val="BE7292C4"/>
    <w:styleLink w:val="List18"/>
    <w:lvl w:ilvl="0">
      <w:start w:val="1"/>
      <w:numFmt w:val="decimal"/>
      <w:lvlText w:val="%1."/>
      <w:lvlJc w:val="left"/>
      <w:rPr>
        <w:rFonts w:ascii="Cambria" w:eastAsia="Cambria" w:hAnsi="Cambria" w:cs="Cambria"/>
        <w:position w:val="0"/>
        <w:rtl w:val="0"/>
        <w:lang w:val="es-ES_tradnl"/>
      </w:rPr>
    </w:lvl>
    <w:lvl w:ilvl="1">
      <w:start w:val="1"/>
      <w:numFmt w:val="lowerLetter"/>
      <w:lvlText w:val="%2."/>
      <w:lvlJc w:val="left"/>
      <w:rPr>
        <w:rFonts w:ascii="Cambria" w:eastAsia="Cambria" w:hAnsi="Cambria" w:cs="Cambria"/>
        <w:position w:val="0"/>
        <w:rtl w:val="0"/>
        <w:lang w:val="es-ES_tradnl"/>
      </w:rPr>
    </w:lvl>
    <w:lvl w:ilvl="2">
      <w:start w:val="1"/>
      <w:numFmt w:val="lowerRoman"/>
      <w:lvlText w:val="%3."/>
      <w:lvlJc w:val="left"/>
      <w:rPr>
        <w:rFonts w:ascii="Cambria" w:eastAsia="Cambria" w:hAnsi="Cambria" w:cs="Cambria"/>
        <w:position w:val="0"/>
        <w:rtl w:val="0"/>
        <w:lang w:val="es-ES_tradnl"/>
      </w:rPr>
    </w:lvl>
    <w:lvl w:ilvl="3">
      <w:start w:val="1"/>
      <w:numFmt w:val="decimal"/>
      <w:lvlText w:val="%4."/>
      <w:lvlJc w:val="left"/>
      <w:rPr>
        <w:rFonts w:ascii="Cambria" w:eastAsia="Cambria" w:hAnsi="Cambria" w:cs="Cambria"/>
        <w:position w:val="0"/>
        <w:rtl w:val="0"/>
        <w:lang w:val="es-ES_tradnl"/>
      </w:rPr>
    </w:lvl>
    <w:lvl w:ilvl="4">
      <w:start w:val="1"/>
      <w:numFmt w:val="lowerLetter"/>
      <w:lvlText w:val="%5."/>
      <w:lvlJc w:val="left"/>
      <w:rPr>
        <w:rFonts w:ascii="Cambria" w:eastAsia="Cambria" w:hAnsi="Cambria" w:cs="Cambria"/>
        <w:position w:val="0"/>
        <w:rtl w:val="0"/>
        <w:lang w:val="es-ES_tradnl"/>
      </w:rPr>
    </w:lvl>
    <w:lvl w:ilvl="5">
      <w:start w:val="1"/>
      <w:numFmt w:val="lowerRoman"/>
      <w:lvlText w:val="%6."/>
      <w:lvlJc w:val="left"/>
      <w:rPr>
        <w:rFonts w:ascii="Cambria" w:eastAsia="Cambria" w:hAnsi="Cambria" w:cs="Cambria"/>
        <w:position w:val="0"/>
        <w:rtl w:val="0"/>
        <w:lang w:val="es-ES_tradnl"/>
      </w:rPr>
    </w:lvl>
    <w:lvl w:ilvl="6">
      <w:start w:val="1"/>
      <w:numFmt w:val="decimal"/>
      <w:lvlText w:val="%7."/>
      <w:lvlJc w:val="left"/>
      <w:rPr>
        <w:rFonts w:ascii="Cambria" w:eastAsia="Cambria" w:hAnsi="Cambria" w:cs="Cambria"/>
        <w:position w:val="0"/>
        <w:rtl w:val="0"/>
        <w:lang w:val="es-ES_tradnl"/>
      </w:rPr>
    </w:lvl>
    <w:lvl w:ilvl="7">
      <w:start w:val="1"/>
      <w:numFmt w:val="lowerLetter"/>
      <w:lvlText w:val="%8."/>
      <w:lvlJc w:val="left"/>
      <w:rPr>
        <w:rFonts w:ascii="Cambria" w:eastAsia="Cambria" w:hAnsi="Cambria" w:cs="Cambria"/>
        <w:position w:val="0"/>
        <w:rtl w:val="0"/>
        <w:lang w:val="es-ES_tradnl"/>
      </w:rPr>
    </w:lvl>
    <w:lvl w:ilvl="8">
      <w:start w:val="1"/>
      <w:numFmt w:val="lowerRoman"/>
      <w:lvlText w:val="%9."/>
      <w:lvlJc w:val="left"/>
      <w:rPr>
        <w:rFonts w:ascii="Cambria" w:eastAsia="Cambria" w:hAnsi="Cambria" w:cs="Cambria"/>
        <w:position w:val="0"/>
        <w:rtl w:val="0"/>
        <w:lang w:val="es-ES_tradnl"/>
      </w:rPr>
    </w:lvl>
  </w:abstractNum>
  <w:abstractNum w:abstractNumId="20" w15:restartNumberingAfterBreak="0">
    <w:nsid w:val="6ED12955"/>
    <w:multiLevelType w:val="multilevel"/>
    <w:tmpl w:val="B4E2EBF6"/>
    <w:styleLink w:val="List17"/>
    <w:lvl w:ilvl="0">
      <w:start w:val="1"/>
      <w:numFmt w:val="decimal"/>
      <w:lvlText w:val="%1."/>
      <w:lvlJc w:val="left"/>
      <w:rPr>
        <w:rFonts w:ascii="Times New Roman" w:eastAsia="Times New Roman" w:hAnsi="Times New Roman" w:cs="Times New Roman"/>
        <w:b/>
        <w:bCs/>
        <w:position w:val="0"/>
      </w:rPr>
    </w:lvl>
    <w:lvl w:ilvl="1">
      <w:start w:val="1"/>
      <w:numFmt w:val="lowerLetter"/>
      <w:lvlText w:val="%2."/>
      <w:lvlJc w:val="left"/>
      <w:rPr>
        <w:rFonts w:ascii="Cambria" w:eastAsia="Cambria" w:hAnsi="Cambria" w:cs="Cambria"/>
        <w:b/>
        <w:bCs/>
        <w:position w:val="0"/>
      </w:rPr>
    </w:lvl>
    <w:lvl w:ilvl="2">
      <w:start w:val="1"/>
      <w:numFmt w:val="lowerRoman"/>
      <w:lvlText w:val="%3."/>
      <w:lvlJc w:val="left"/>
      <w:rPr>
        <w:rFonts w:ascii="Cambria" w:eastAsia="Cambria" w:hAnsi="Cambria" w:cs="Cambria"/>
        <w:b/>
        <w:bCs/>
        <w:position w:val="0"/>
      </w:rPr>
    </w:lvl>
    <w:lvl w:ilvl="3">
      <w:start w:val="1"/>
      <w:numFmt w:val="decimal"/>
      <w:lvlText w:val="%4."/>
      <w:lvlJc w:val="left"/>
      <w:rPr>
        <w:rFonts w:ascii="Cambria" w:eastAsia="Cambria" w:hAnsi="Cambria" w:cs="Cambria"/>
        <w:b/>
        <w:bCs/>
        <w:position w:val="0"/>
      </w:rPr>
    </w:lvl>
    <w:lvl w:ilvl="4">
      <w:start w:val="1"/>
      <w:numFmt w:val="lowerLetter"/>
      <w:lvlText w:val="%5."/>
      <w:lvlJc w:val="left"/>
      <w:rPr>
        <w:rFonts w:ascii="Cambria" w:eastAsia="Cambria" w:hAnsi="Cambria" w:cs="Cambria"/>
        <w:b/>
        <w:bCs/>
        <w:position w:val="0"/>
      </w:rPr>
    </w:lvl>
    <w:lvl w:ilvl="5">
      <w:start w:val="1"/>
      <w:numFmt w:val="lowerRoman"/>
      <w:lvlText w:val="%6."/>
      <w:lvlJc w:val="left"/>
      <w:rPr>
        <w:rFonts w:ascii="Cambria" w:eastAsia="Cambria" w:hAnsi="Cambria" w:cs="Cambria"/>
        <w:b/>
        <w:bCs/>
        <w:position w:val="0"/>
      </w:rPr>
    </w:lvl>
    <w:lvl w:ilvl="6">
      <w:start w:val="1"/>
      <w:numFmt w:val="decimal"/>
      <w:lvlText w:val="%7."/>
      <w:lvlJc w:val="left"/>
      <w:rPr>
        <w:rFonts w:ascii="Cambria" w:eastAsia="Cambria" w:hAnsi="Cambria" w:cs="Cambria"/>
        <w:b/>
        <w:bCs/>
        <w:position w:val="0"/>
      </w:rPr>
    </w:lvl>
    <w:lvl w:ilvl="7">
      <w:start w:val="1"/>
      <w:numFmt w:val="lowerLetter"/>
      <w:lvlText w:val="%8."/>
      <w:lvlJc w:val="left"/>
      <w:rPr>
        <w:rFonts w:ascii="Cambria" w:eastAsia="Cambria" w:hAnsi="Cambria" w:cs="Cambria"/>
        <w:b/>
        <w:bCs/>
        <w:position w:val="0"/>
      </w:rPr>
    </w:lvl>
    <w:lvl w:ilvl="8">
      <w:start w:val="1"/>
      <w:numFmt w:val="lowerRoman"/>
      <w:lvlText w:val="%9."/>
      <w:lvlJc w:val="left"/>
      <w:rPr>
        <w:rFonts w:ascii="Cambria" w:eastAsia="Cambria" w:hAnsi="Cambria" w:cs="Cambria"/>
        <w:b/>
        <w:bCs/>
        <w:position w:val="0"/>
      </w:rPr>
    </w:lvl>
  </w:abstractNum>
  <w:abstractNum w:abstractNumId="21" w15:restartNumberingAfterBreak="0">
    <w:nsid w:val="70A94F71"/>
    <w:multiLevelType w:val="multilevel"/>
    <w:tmpl w:val="8C12F900"/>
    <w:styleLink w:val="List21"/>
    <w:lvl w:ilvl="0">
      <w:start w:val="1"/>
      <w:numFmt w:val="upperLetter"/>
      <w:pStyle w:val="Heading2"/>
      <w:lvlText w:val="%1."/>
      <w:lvlJc w:val="left"/>
      <w:pPr>
        <w:tabs>
          <w:tab w:val="num" w:pos="86"/>
        </w:tabs>
        <w:ind w:left="86" w:hanging="86"/>
      </w:pPr>
      <w:rPr>
        <w:rFonts w:ascii="Times New Roman" w:eastAsia="Times New Roman" w:hAnsi="Times New Roman" w:cs="Times New Roman"/>
        <w:b/>
        <w:bCs/>
        <w:position w:val="0"/>
        <w:sz w:val="20"/>
        <w:szCs w:val="20"/>
        <w:lang w:val="es-ES_tradnl"/>
      </w:rPr>
    </w:lvl>
    <w:lvl w:ilvl="1">
      <w:start w:val="1"/>
      <w:numFmt w:val="lowerLetter"/>
      <w:lvlText w:val="%2."/>
      <w:lvlJc w:val="left"/>
      <w:pPr>
        <w:tabs>
          <w:tab w:val="num" w:pos="2100"/>
        </w:tabs>
        <w:ind w:left="2100" w:hanging="300"/>
      </w:pPr>
      <w:rPr>
        <w:rFonts w:ascii="Cambria" w:eastAsia="Cambria" w:hAnsi="Cambria" w:cs="Cambria"/>
        <w:b/>
        <w:bCs/>
        <w:position w:val="0"/>
        <w:sz w:val="20"/>
        <w:szCs w:val="20"/>
        <w:lang w:val="es-ES_tradnl"/>
      </w:rPr>
    </w:lvl>
    <w:lvl w:ilvl="2">
      <w:start w:val="1"/>
      <w:numFmt w:val="lowerRoman"/>
      <w:lvlText w:val="%3."/>
      <w:lvlJc w:val="left"/>
      <w:pPr>
        <w:tabs>
          <w:tab w:val="num" w:pos="2831"/>
        </w:tabs>
        <w:ind w:left="2831" w:hanging="247"/>
      </w:pPr>
      <w:rPr>
        <w:rFonts w:ascii="Cambria" w:eastAsia="Cambria" w:hAnsi="Cambria" w:cs="Cambria"/>
        <w:b/>
        <w:bCs/>
        <w:position w:val="0"/>
        <w:sz w:val="20"/>
        <w:szCs w:val="20"/>
        <w:lang w:val="es-ES_tradnl"/>
      </w:rPr>
    </w:lvl>
    <w:lvl w:ilvl="3">
      <w:start w:val="1"/>
      <w:numFmt w:val="decimal"/>
      <w:lvlText w:val="%4."/>
      <w:lvlJc w:val="left"/>
      <w:pPr>
        <w:tabs>
          <w:tab w:val="num" w:pos="3540"/>
        </w:tabs>
        <w:ind w:left="3540" w:hanging="300"/>
      </w:pPr>
      <w:rPr>
        <w:rFonts w:ascii="Cambria" w:eastAsia="Cambria" w:hAnsi="Cambria" w:cs="Cambria"/>
        <w:b/>
        <w:bCs/>
        <w:position w:val="0"/>
        <w:sz w:val="20"/>
        <w:szCs w:val="20"/>
        <w:lang w:val="es-ES_tradnl"/>
      </w:rPr>
    </w:lvl>
    <w:lvl w:ilvl="4">
      <w:start w:val="1"/>
      <w:numFmt w:val="lowerLetter"/>
      <w:lvlText w:val="%5."/>
      <w:lvlJc w:val="left"/>
      <w:pPr>
        <w:tabs>
          <w:tab w:val="num" w:pos="4260"/>
        </w:tabs>
        <w:ind w:left="4260" w:hanging="300"/>
      </w:pPr>
      <w:rPr>
        <w:rFonts w:ascii="Cambria" w:eastAsia="Cambria" w:hAnsi="Cambria" w:cs="Cambria"/>
        <w:b/>
        <w:bCs/>
        <w:position w:val="0"/>
        <w:sz w:val="20"/>
        <w:szCs w:val="20"/>
        <w:lang w:val="es-ES_tradnl"/>
      </w:rPr>
    </w:lvl>
    <w:lvl w:ilvl="5">
      <w:start w:val="1"/>
      <w:numFmt w:val="lowerRoman"/>
      <w:lvlText w:val="%6."/>
      <w:lvlJc w:val="left"/>
      <w:pPr>
        <w:tabs>
          <w:tab w:val="num" w:pos="4991"/>
        </w:tabs>
        <w:ind w:left="4991" w:hanging="247"/>
      </w:pPr>
      <w:rPr>
        <w:rFonts w:ascii="Cambria" w:eastAsia="Cambria" w:hAnsi="Cambria" w:cs="Cambria"/>
        <w:b/>
        <w:bCs/>
        <w:position w:val="0"/>
        <w:sz w:val="20"/>
        <w:szCs w:val="20"/>
        <w:lang w:val="es-ES_tradnl"/>
      </w:rPr>
    </w:lvl>
    <w:lvl w:ilvl="6">
      <w:start w:val="1"/>
      <w:numFmt w:val="decimal"/>
      <w:lvlText w:val="%7."/>
      <w:lvlJc w:val="left"/>
      <w:pPr>
        <w:tabs>
          <w:tab w:val="num" w:pos="5700"/>
        </w:tabs>
        <w:ind w:left="5700" w:hanging="300"/>
      </w:pPr>
      <w:rPr>
        <w:rFonts w:ascii="Cambria" w:eastAsia="Cambria" w:hAnsi="Cambria" w:cs="Cambria"/>
        <w:b/>
        <w:bCs/>
        <w:position w:val="0"/>
        <w:sz w:val="20"/>
        <w:szCs w:val="20"/>
        <w:lang w:val="es-ES_tradnl"/>
      </w:rPr>
    </w:lvl>
    <w:lvl w:ilvl="7">
      <w:start w:val="1"/>
      <w:numFmt w:val="lowerLetter"/>
      <w:lvlText w:val="%8."/>
      <w:lvlJc w:val="left"/>
      <w:pPr>
        <w:tabs>
          <w:tab w:val="num" w:pos="6420"/>
        </w:tabs>
        <w:ind w:left="6420" w:hanging="300"/>
      </w:pPr>
      <w:rPr>
        <w:rFonts w:ascii="Cambria" w:eastAsia="Cambria" w:hAnsi="Cambria" w:cs="Cambria"/>
        <w:b/>
        <w:bCs/>
        <w:position w:val="0"/>
        <w:sz w:val="20"/>
        <w:szCs w:val="20"/>
        <w:lang w:val="es-ES_tradnl"/>
      </w:rPr>
    </w:lvl>
    <w:lvl w:ilvl="8">
      <w:start w:val="1"/>
      <w:numFmt w:val="lowerRoman"/>
      <w:lvlText w:val="%9."/>
      <w:lvlJc w:val="left"/>
      <w:pPr>
        <w:tabs>
          <w:tab w:val="num" w:pos="7151"/>
        </w:tabs>
        <w:ind w:left="7151" w:hanging="247"/>
      </w:pPr>
      <w:rPr>
        <w:rFonts w:ascii="Cambria" w:eastAsia="Cambria" w:hAnsi="Cambria" w:cs="Cambria"/>
        <w:b/>
        <w:bCs/>
        <w:position w:val="0"/>
        <w:sz w:val="20"/>
        <w:szCs w:val="20"/>
        <w:lang w:val="es-ES_tradnl"/>
      </w:rPr>
    </w:lvl>
  </w:abstractNum>
  <w:abstractNum w:abstractNumId="22" w15:restartNumberingAfterBreak="0">
    <w:nsid w:val="71EB0D25"/>
    <w:multiLevelType w:val="multilevel"/>
    <w:tmpl w:val="E2A69C98"/>
    <w:styleLink w:val="List8"/>
    <w:lvl w:ilvl="0">
      <w:start w:val="1"/>
      <w:numFmt w:val="decimal"/>
      <w:lvlText w:val="%1."/>
      <w:lvlJc w:val="left"/>
      <w:pPr>
        <w:tabs>
          <w:tab w:val="num" w:pos="1020"/>
        </w:tabs>
        <w:ind w:left="1020" w:hanging="300"/>
      </w:pPr>
      <w:rPr>
        <w:rFonts w:ascii="Cambria" w:eastAsia="Cambria" w:hAnsi="Cambria" w:cs="Cambria"/>
        <w:b/>
        <w:bCs/>
        <w:color w:val="000000"/>
        <w:position w:val="0"/>
        <w:sz w:val="20"/>
        <w:szCs w:val="20"/>
        <w:u w:color="000000"/>
        <w:lang w:val="es-ES_tradnl"/>
      </w:rPr>
    </w:lvl>
    <w:lvl w:ilvl="1">
      <w:start w:val="2"/>
      <w:numFmt w:val="decimal"/>
      <w:lvlText w:val="%1.%2."/>
      <w:lvlJc w:val="left"/>
      <w:pPr>
        <w:tabs>
          <w:tab w:val="num" w:pos="1440"/>
        </w:tabs>
        <w:ind w:left="1440" w:hanging="360"/>
      </w:pPr>
      <w:rPr>
        <w:rFonts w:ascii="Times New Roman" w:eastAsia="Times New Roman" w:hAnsi="Times New Roman" w:cs="Times New Roman"/>
        <w:b/>
        <w:bCs/>
        <w:color w:val="000000"/>
        <w:position w:val="0"/>
        <w:sz w:val="20"/>
        <w:szCs w:val="20"/>
        <w:u w:color="000000"/>
        <w:lang w:val="es-ES_tradnl"/>
      </w:rPr>
    </w:lvl>
    <w:lvl w:ilvl="2">
      <w:start w:val="1"/>
      <w:numFmt w:val="decimal"/>
      <w:lvlText w:val="%1.%2.%3."/>
      <w:lvlJc w:val="left"/>
      <w:pPr>
        <w:tabs>
          <w:tab w:val="num" w:pos="2040"/>
        </w:tabs>
        <w:ind w:left="2040" w:hanging="600"/>
      </w:pPr>
      <w:rPr>
        <w:rFonts w:ascii="Cambria" w:eastAsia="Cambria" w:hAnsi="Cambria" w:cs="Cambria"/>
        <w:b/>
        <w:bCs/>
        <w:color w:val="000000"/>
        <w:position w:val="0"/>
        <w:sz w:val="20"/>
        <w:szCs w:val="20"/>
        <w:u w:color="000000"/>
        <w:lang w:val="es-ES_tradnl"/>
      </w:rPr>
    </w:lvl>
    <w:lvl w:ilvl="3">
      <w:start w:val="1"/>
      <w:numFmt w:val="decimal"/>
      <w:lvlText w:val="%1.%2.%3.%4."/>
      <w:lvlJc w:val="left"/>
      <w:pPr>
        <w:tabs>
          <w:tab w:val="num" w:pos="2400"/>
        </w:tabs>
        <w:ind w:left="2400" w:hanging="600"/>
      </w:pPr>
      <w:rPr>
        <w:rFonts w:ascii="Cambria" w:eastAsia="Cambria" w:hAnsi="Cambria" w:cs="Cambria"/>
        <w:b/>
        <w:bCs/>
        <w:color w:val="000000"/>
        <w:position w:val="0"/>
        <w:sz w:val="20"/>
        <w:szCs w:val="20"/>
        <w:u w:color="000000"/>
        <w:lang w:val="es-ES_tradnl"/>
      </w:rPr>
    </w:lvl>
    <w:lvl w:ilvl="4">
      <w:start w:val="1"/>
      <w:numFmt w:val="decimal"/>
      <w:lvlText w:val="%1.%2.%3.%4.%5."/>
      <w:lvlJc w:val="left"/>
      <w:pPr>
        <w:tabs>
          <w:tab w:val="num" w:pos="3060"/>
        </w:tabs>
        <w:ind w:left="3060" w:hanging="900"/>
      </w:pPr>
      <w:rPr>
        <w:rFonts w:ascii="Cambria" w:eastAsia="Cambria" w:hAnsi="Cambria" w:cs="Cambria"/>
        <w:b/>
        <w:bCs/>
        <w:color w:val="000000"/>
        <w:position w:val="0"/>
        <w:sz w:val="20"/>
        <w:szCs w:val="20"/>
        <w:u w:color="000000"/>
        <w:lang w:val="es-ES_tradnl"/>
      </w:rPr>
    </w:lvl>
    <w:lvl w:ilvl="5">
      <w:start w:val="1"/>
      <w:numFmt w:val="decimal"/>
      <w:lvlText w:val="%1.%2.%3.%4.%5.%6."/>
      <w:lvlJc w:val="left"/>
      <w:pPr>
        <w:tabs>
          <w:tab w:val="num" w:pos="3420"/>
        </w:tabs>
        <w:ind w:left="3420" w:hanging="900"/>
      </w:pPr>
      <w:rPr>
        <w:rFonts w:ascii="Cambria" w:eastAsia="Cambria" w:hAnsi="Cambria" w:cs="Cambria"/>
        <w:b/>
        <w:bCs/>
        <w:color w:val="000000"/>
        <w:position w:val="0"/>
        <w:sz w:val="20"/>
        <w:szCs w:val="20"/>
        <w:u w:color="000000"/>
        <w:lang w:val="es-ES_tradnl"/>
      </w:rPr>
    </w:lvl>
    <w:lvl w:ilvl="6">
      <w:start w:val="1"/>
      <w:numFmt w:val="decimal"/>
      <w:lvlText w:val="%1.%2.%3.%4.%5.%6.%7."/>
      <w:lvlJc w:val="left"/>
      <w:pPr>
        <w:tabs>
          <w:tab w:val="num" w:pos="4080"/>
        </w:tabs>
        <w:ind w:left="4080" w:hanging="1200"/>
      </w:pPr>
      <w:rPr>
        <w:rFonts w:ascii="Cambria" w:eastAsia="Cambria" w:hAnsi="Cambria" w:cs="Cambria"/>
        <w:b/>
        <w:bCs/>
        <w:color w:val="000000"/>
        <w:position w:val="0"/>
        <w:sz w:val="20"/>
        <w:szCs w:val="20"/>
        <w:u w:color="000000"/>
        <w:lang w:val="es-ES_tradnl"/>
      </w:rPr>
    </w:lvl>
    <w:lvl w:ilvl="7">
      <w:start w:val="1"/>
      <w:numFmt w:val="decimal"/>
      <w:lvlText w:val="%1.%2.%3.%4.%5.%6.%7.%8."/>
      <w:lvlJc w:val="left"/>
      <w:pPr>
        <w:tabs>
          <w:tab w:val="num" w:pos="4440"/>
        </w:tabs>
        <w:ind w:left="4440" w:hanging="1200"/>
      </w:pPr>
      <w:rPr>
        <w:rFonts w:ascii="Cambria" w:eastAsia="Cambria" w:hAnsi="Cambria" w:cs="Cambria"/>
        <w:b/>
        <w:bCs/>
        <w:color w:val="000000"/>
        <w:position w:val="0"/>
        <w:sz w:val="20"/>
        <w:szCs w:val="20"/>
        <w:u w:color="000000"/>
        <w:lang w:val="es-ES_tradnl"/>
      </w:rPr>
    </w:lvl>
    <w:lvl w:ilvl="8">
      <w:start w:val="1"/>
      <w:numFmt w:val="decimal"/>
      <w:lvlText w:val="%1.%2.%3.%4.%5.%6.%7.%8.%9."/>
      <w:lvlJc w:val="left"/>
      <w:pPr>
        <w:tabs>
          <w:tab w:val="num" w:pos="5100"/>
        </w:tabs>
        <w:ind w:left="5100" w:hanging="1500"/>
      </w:pPr>
      <w:rPr>
        <w:rFonts w:ascii="Cambria" w:eastAsia="Cambria" w:hAnsi="Cambria" w:cs="Cambria"/>
        <w:b/>
        <w:bCs/>
        <w:color w:val="000000"/>
        <w:position w:val="0"/>
        <w:sz w:val="20"/>
        <w:szCs w:val="20"/>
        <w:u w:color="000000"/>
        <w:lang w:val="es-ES_tradnl"/>
      </w:rPr>
    </w:lvl>
  </w:abstractNum>
  <w:num w:numId="1">
    <w:abstractNumId w:val="14"/>
    <w:lvlOverride w:ilvl="0">
      <w:lvl w:ilvl="0">
        <w:start w:val="1"/>
        <w:numFmt w:val="upperRoman"/>
        <w:pStyle w:val="Heading1"/>
        <w:lvlText w:val="%1."/>
        <w:lvlJc w:val="left"/>
        <w:pPr>
          <w:tabs>
            <w:tab w:val="num" w:pos="86"/>
          </w:tabs>
          <w:ind w:left="86" w:hanging="86"/>
        </w:pPr>
        <w:rPr>
          <w:rFonts w:ascii="Cambria" w:eastAsia="Times New Roman" w:hAnsi="Cambria" w:cs="Times New Roman" w:hint="default"/>
          <w:b/>
          <w:bCs/>
          <w:position w:val="0"/>
          <w:sz w:val="20"/>
          <w:szCs w:val="20"/>
          <w:lang w:val="es-ES_tradnl"/>
        </w:rPr>
      </w:lvl>
    </w:lvlOverride>
  </w:num>
  <w:num w:numId="2">
    <w:abstractNumId w:val="3"/>
  </w:num>
  <w:num w:numId="3">
    <w:abstractNumId w:val="21"/>
    <w:lvlOverride w:ilvl="0">
      <w:lvl w:ilvl="0">
        <w:start w:val="1"/>
        <w:numFmt w:val="upperLetter"/>
        <w:pStyle w:val="Heading2"/>
        <w:lvlText w:val="%1."/>
        <w:lvlJc w:val="left"/>
        <w:pPr>
          <w:tabs>
            <w:tab w:val="num" w:pos="806"/>
          </w:tabs>
          <w:ind w:left="806" w:hanging="86"/>
        </w:pPr>
        <w:rPr>
          <w:rFonts w:ascii="Times New Roman" w:eastAsia="Times New Roman" w:hAnsi="Times New Roman" w:cs="Times New Roman"/>
          <w:b/>
          <w:bCs/>
          <w:position w:val="0"/>
          <w:sz w:val="20"/>
          <w:szCs w:val="20"/>
          <w:lang w:val="es-ES_tradnl"/>
        </w:rPr>
      </w:lvl>
    </w:lvlOverride>
    <w:lvlOverride w:ilvl="1">
      <w:lvl w:ilvl="1">
        <w:start w:val="1"/>
        <w:numFmt w:val="lowerLetter"/>
        <w:lvlText w:val="%2."/>
        <w:lvlJc w:val="left"/>
        <w:pPr>
          <w:tabs>
            <w:tab w:val="num" w:pos="2820"/>
          </w:tabs>
          <w:ind w:left="2820" w:hanging="300"/>
        </w:pPr>
        <w:rPr>
          <w:rFonts w:ascii="Cambria" w:eastAsia="Cambria" w:hAnsi="Cambria" w:cs="Cambria"/>
          <w:b/>
          <w:bCs/>
          <w:position w:val="0"/>
          <w:sz w:val="20"/>
          <w:szCs w:val="20"/>
          <w:lang w:val="es-ES_tradnl"/>
        </w:rPr>
      </w:lvl>
    </w:lvlOverride>
    <w:lvlOverride w:ilvl="2">
      <w:lvl w:ilvl="2">
        <w:start w:val="1"/>
        <w:numFmt w:val="lowerRoman"/>
        <w:lvlText w:val="%3."/>
        <w:lvlJc w:val="left"/>
        <w:pPr>
          <w:tabs>
            <w:tab w:val="num" w:pos="3551"/>
          </w:tabs>
          <w:ind w:left="3551" w:hanging="247"/>
        </w:pPr>
        <w:rPr>
          <w:rFonts w:ascii="Cambria" w:eastAsia="Cambria" w:hAnsi="Cambria" w:cs="Cambria"/>
          <w:b/>
          <w:bCs/>
          <w:position w:val="0"/>
          <w:sz w:val="20"/>
          <w:szCs w:val="20"/>
          <w:lang w:val="es-ES_tradnl"/>
        </w:rPr>
      </w:lvl>
    </w:lvlOverride>
    <w:lvlOverride w:ilvl="3">
      <w:lvl w:ilvl="3">
        <w:start w:val="1"/>
        <w:numFmt w:val="decimal"/>
        <w:lvlText w:val="%4."/>
        <w:lvlJc w:val="left"/>
        <w:pPr>
          <w:tabs>
            <w:tab w:val="num" w:pos="4260"/>
          </w:tabs>
          <w:ind w:left="4260" w:hanging="300"/>
        </w:pPr>
        <w:rPr>
          <w:rFonts w:ascii="Cambria" w:eastAsia="Cambria" w:hAnsi="Cambria" w:cs="Cambria"/>
          <w:b/>
          <w:bCs/>
          <w:position w:val="0"/>
          <w:sz w:val="20"/>
          <w:szCs w:val="20"/>
          <w:lang w:val="es-ES_tradnl"/>
        </w:rPr>
      </w:lvl>
    </w:lvlOverride>
    <w:lvlOverride w:ilvl="4">
      <w:lvl w:ilvl="4">
        <w:start w:val="1"/>
        <w:numFmt w:val="lowerLetter"/>
        <w:lvlText w:val="%5."/>
        <w:lvlJc w:val="left"/>
        <w:pPr>
          <w:tabs>
            <w:tab w:val="num" w:pos="4980"/>
          </w:tabs>
          <w:ind w:left="4980" w:hanging="300"/>
        </w:pPr>
        <w:rPr>
          <w:rFonts w:ascii="Cambria" w:eastAsia="Cambria" w:hAnsi="Cambria" w:cs="Cambria"/>
          <w:b/>
          <w:bCs/>
          <w:position w:val="0"/>
          <w:sz w:val="20"/>
          <w:szCs w:val="20"/>
          <w:lang w:val="es-ES_tradnl"/>
        </w:rPr>
      </w:lvl>
    </w:lvlOverride>
    <w:lvlOverride w:ilvl="5">
      <w:lvl w:ilvl="5">
        <w:start w:val="1"/>
        <w:numFmt w:val="lowerRoman"/>
        <w:lvlText w:val="%6."/>
        <w:lvlJc w:val="left"/>
        <w:pPr>
          <w:tabs>
            <w:tab w:val="num" w:pos="5711"/>
          </w:tabs>
          <w:ind w:left="5711" w:hanging="247"/>
        </w:pPr>
        <w:rPr>
          <w:rFonts w:ascii="Cambria" w:eastAsia="Cambria" w:hAnsi="Cambria" w:cs="Cambria"/>
          <w:b/>
          <w:bCs/>
          <w:position w:val="0"/>
          <w:sz w:val="20"/>
          <w:szCs w:val="20"/>
          <w:lang w:val="es-ES_tradnl"/>
        </w:rPr>
      </w:lvl>
    </w:lvlOverride>
    <w:lvlOverride w:ilvl="6">
      <w:lvl w:ilvl="6">
        <w:start w:val="1"/>
        <w:numFmt w:val="decimal"/>
        <w:lvlText w:val="%7."/>
        <w:lvlJc w:val="left"/>
        <w:pPr>
          <w:tabs>
            <w:tab w:val="num" w:pos="6420"/>
          </w:tabs>
          <w:ind w:left="6420" w:hanging="300"/>
        </w:pPr>
        <w:rPr>
          <w:rFonts w:ascii="Cambria" w:eastAsia="Cambria" w:hAnsi="Cambria" w:cs="Cambria"/>
          <w:b/>
          <w:bCs/>
          <w:position w:val="0"/>
          <w:sz w:val="20"/>
          <w:szCs w:val="20"/>
          <w:lang w:val="es-ES_tradnl"/>
        </w:rPr>
      </w:lvl>
    </w:lvlOverride>
    <w:lvlOverride w:ilvl="7">
      <w:lvl w:ilvl="7">
        <w:start w:val="1"/>
        <w:numFmt w:val="lowerLetter"/>
        <w:lvlText w:val="%8."/>
        <w:lvlJc w:val="left"/>
        <w:pPr>
          <w:tabs>
            <w:tab w:val="num" w:pos="7140"/>
          </w:tabs>
          <w:ind w:left="7140" w:hanging="300"/>
        </w:pPr>
        <w:rPr>
          <w:rFonts w:ascii="Cambria" w:eastAsia="Cambria" w:hAnsi="Cambria" w:cs="Cambria"/>
          <w:b/>
          <w:bCs/>
          <w:position w:val="0"/>
          <w:sz w:val="20"/>
          <w:szCs w:val="20"/>
          <w:lang w:val="es-ES_tradnl"/>
        </w:rPr>
      </w:lvl>
    </w:lvlOverride>
    <w:lvlOverride w:ilvl="8">
      <w:lvl w:ilvl="8">
        <w:start w:val="1"/>
        <w:numFmt w:val="lowerRoman"/>
        <w:lvlText w:val="%9."/>
        <w:lvlJc w:val="left"/>
        <w:pPr>
          <w:tabs>
            <w:tab w:val="num" w:pos="7871"/>
          </w:tabs>
          <w:ind w:left="7871" w:hanging="247"/>
        </w:pPr>
        <w:rPr>
          <w:rFonts w:ascii="Cambria" w:eastAsia="Cambria" w:hAnsi="Cambria" w:cs="Cambria"/>
          <w:b/>
          <w:bCs/>
          <w:position w:val="0"/>
          <w:sz w:val="20"/>
          <w:szCs w:val="20"/>
          <w:lang w:val="es-ES_tradnl"/>
        </w:rPr>
      </w:lvl>
    </w:lvlOverride>
  </w:num>
  <w:num w:numId="4">
    <w:abstractNumId w:val="17"/>
  </w:num>
  <w:num w:numId="5">
    <w:abstractNumId w:val="22"/>
  </w:num>
  <w:num w:numId="6">
    <w:abstractNumId w:val="1"/>
  </w:num>
  <w:num w:numId="7">
    <w:abstractNumId w:val="5"/>
  </w:num>
  <w:num w:numId="8">
    <w:abstractNumId w:val="9"/>
  </w:num>
  <w:num w:numId="9">
    <w:abstractNumId w:val="6"/>
  </w:num>
  <w:num w:numId="10">
    <w:abstractNumId w:val="16"/>
  </w:num>
  <w:num w:numId="11">
    <w:abstractNumId w:val="7"/>
  </w:num>
  <w:num w:numId="12">
    <w:abstractNumId w:val="12"/>
  </w:num>
  <w:num w:numId="13">
    <w:abstractNumId w:val="11"/>
  </w:num>
  <w:num w:numId="14">
    <w:abstractNumId w:val="0"/>
  </w:num>
  <w:num w:numId="15">
    <w:abstractNumId w:val="4"/>
  </w:num>
  <w:num w:numId="16">
    <w:abstractNumId w:val="20"/>
  </w:num>
  <w:num w:numId="17">
    <w:abstractNumId w:val="18"/>
  </w:num>
  <w:num w:numId="18">
    <w:abstractNumId w:val="19"/>
  </w:num>
  <w:num w:numId="19">
    <w:abstractNumId w:val="15"/>
  </w:num>
  <w:num w:numId="20">
    <w:abstractNumId w:val="10"/>
  </w:num>
  <w:num w:numId="21">
    <w:abstractNumId w:val="13"/>
  </w:num>
  <w:num w:numId="22">
    <w:abstractNumId w:val="2"/>
  </w:num>
  <w:num w:numId="23">
    <w:abstractNumId w:val="14"/>
  </w:num>
  <w:num w:numId="24">
    <w:abstractNumId w:val="21"/>
  </w:num>
  <w:num w:numId="25">
    <w:abstractNumId w:val="21"/>
    <w:lvlOverride w:ilvl="0">
      <w:startOverride w:val="1"/>
      <w:lvl w:ilvl="0">
        <w:start w:val="1"/>
        <w:numFmt w:val="upperLetter"/>
        <w:pStyle w:val="Heading2"/>
        <w:lvlText w:val="%1."/>
        <w:lvlJc w:val="left"/>
        <w:pPr>
          <w:tabs>
            <w:tab w:val="num" w:pos="86"/>
          </w:tabs>
          <w:ind w:left="86" w:hanging="86"/>
        </w:pPr>
        <w:rPr>
          <w:rFonts w:ascii="Cambria" w:eastAsia="Times New Roman" w:hAnsi="Cambria" w:cs="Times New Roman" w:hint="default"/>
          <w:b/>
          <w:bCs/>
          <w:position w:val="0"/>
          <w:sz w:val="20"/>
          <w:szCs w:val="20"/>
          <w:lang w:val="es-ES_tradnl"/>
        </w:rPr>
      </w:lvl>
    </w:lvlOverride>
    <w:lvlOverride w:ilvl="1">
      <w:startOverride w:val="1"/>
      <w:lvl w:ilvl="1">
        <w:start w:val="1"/>
        <w:numFmt w:val="lowerLetter"/>
        <w:lvlText w:val="%2."/>
        <w:lvlJc w:val="left"/>
        <w:pPr>
          <w:tabs>
            <w:tab w:val="num" w:pos="2100"/>
          </w:tabs>
          <w:ind w:left="2100" w:hanging="300"/>
        </w:pPr>
        <w:rPr>
          <w:rFonts w:ascii="Cambria" w:eastAsia="Cambria" w:hAnsi="Cambria" w:cs="Cambria"/>
          <w:b/>
          <w:bCs/>
          <w:position w:val="0"/>
          <w:sz w:val="20"/>
          <w:szCs w:val="20"/>
          <w:lang w:val="es-ES_tradnl"/>
        </w:rPr>
      </w:lvl>
    </w:lvlOverride>
    <w:lvlOverride w:ilvl="2">
      <w:startOverride w:val="1"/>
      <w:lvl w:ilvl="2">
        <w:start w:val="1"/>
        <w:numFmt w:val="lowerRoman"/>
        <w:lvlText w:val="%3."/>
        <w:lvlJc w:val="left"/>
        <w:pPr>
          <w:tabs>
            <w:tab w:val="num" w:pos="2831"/>
          </w:tabs>
          <w:ind w:left="2831" w:hanging="247"/>
        </w:pPr>
        <w:rPr>
          <w:rFonts w:ascii="Cambria" w:eastAsia="Cambria" w:hAnsi="Cambria" w:cs="Cambria"/>
          <w:b/>
          <w:bCs/>
          <w:position w:val="0"/>
          <w:sz w:val="20"/>
          <w:szCs w:val="20"/>
          <w:lang w:val="es-ES_tradnl"/>
        </w:rPr>
      </w:lvl>
    </w:lvlOverride>
    <w:lvlOverride w:ilvl="3">
      <w:startOverride w:val="1"/>
      <w:lvl w:ilvl="3">
        <w:start w:val="1"/>
        <w:numFmt w:val="decimal"/>
        <w:lvlText w:val="%4."/>
        <w:lvlJc w:val="left"/>
        <w:pPr>
          <w:tabs>
            <w:tab w:val="num" w:pos="3540"/>
          </w:tabs>
          <w:ind w:left="3540" w:hanging="300"/>
        </w:pPr>
        <w:rPr>
          <w:rFonts w:ascii="Cambria" w:eastAsia="Cambria" w:hAnsi="Cambria" w:cs="Cambria"/>
          <w:b/>
          <w:bCs/>
          <w:position w:val="0"/>
          <w:sz w:val="20"/>
          <w:szCs w:val="20"/>
          <w:lang w:val="es-ES_tradnl"/>
        </w:rPr>
      </w:lvl>
    </w:lvlOverride>
    <w:lvlOverride w:ilvl="4">
      <w:startOverride w:val="1"/>
      <w:lvl w:ilvl="4">
        <w:start w:val="1"/>
        <w:numFmt w:val="lowerLetter"/>
        <w:lvlText w:val="%5."/>
        <w:lvlJc w:val="left"/>
        <w:pPr>
          <w:tabs>
            <w:tab w:val="num" w:pos="4260"/>
          </w:tabs>
          <w:ind w:left="4260" w:hanging="300"/>
        </w:pPr>
        <w:rPr>
          <w:rFonts w:ascii="Cambria" w:eastAsia="Cambria" w:hAnsi="Cambria" w:cs="Cambria"/>
          <w:b/>
          <w:bCs/>
          <w:position w:val="0"/>
          <w:sz w:val="20"/>
          <w:szCs w:val="20"/>
          <w:lang w:val="es-ES_tradnl"/>
        </w:rPr>
      </w:lvl>
    </w:lvlOverride>
    <w:lvlOverride w:ilvl="5">
      <w:startOverride w:val="1"/>
      <w:lvl w:ilvl="5">
        <w:start w:val="1"/>
        <w:numFmt w:val="lowerRoman"/>
        <w:lvlText w:val="%6."/>
        <w:lvlJc w:val="left"/>
        <w:pPr>
          <w:tabs>
            <w:tab w:val="num" w:pos="4991"/>
          </w:tabs>
          <w:ind w:left="4991" w:hanging="247"/>
        </w:pPr>
        <w:rPr>
          <w:rFonts w:ascii="Cambria" w:eastAsia="Cambria" w:hAnsi="Cambria" w:cs="Cambria"/>
          <w:b/>
          <w:bCs/>
          <w:position w:val="0"/>
          <w:sz w:val="20"/>
          <w:szCs w:val="20"/>
          <w:lang w:val="es-ES_tradnl"/>
        </w:rPr>
      </w:lvl>
    </w:lvlOverride>
    <w:lvlOverride w:ilvl="6">
      <w:startOverride w:val="1"/>
      <w:lvl w:ilvl="6">
        <w:start w:val="1"/>
        <w:numFmt w:val="decimal"/>
        <w:lvlText w:val="%7."/>
        <w:lvlJc w:val="left"/>
        <w:pPr>
          <w:tabs>
            <w:tab w:val="num" w:pos="5700"/>
          </w:tabs>
          <w:ind w:left="5700" w:hanging="300"/>
        </w:pPr>
        <w:rPr>
          <w:rFonts w:ascii="Cambria" w:eastAsia="Cambria" w:hAnsi="Cambria" w:cs="Cambria"/>
          <w:b/>
          <w:bCs/>
          <w:position w:val="0"/>
          <w:sz w:val="20"/>
          <w:szCs w:val="20"/>
          <w:lang w:val="es-ES_tradnl"/>
        </w:rPr>
      </w:lvl>
    </w:lvlOverride>
    <w:lvlOverride w:ilvl="7">
      <w:startOverride w:val="1"/>
      <w:lvl w:ilvl="7">
        <w:start w:val="1"/>
        <w:numFmt w:val="lowerLetter"/>
        <w:lvlText w:val="%8."/>
        <w:lvlJc w:val="left"/>
        <w:pPr>
          <w:tabs>
            <w:tab w:val="num" w:pos="6420"/>
          </w:tabs>
          <w:ind w:left="6420" w:hanging="300"/>
        </w:pPr>
        <w:rPr>
          <w:rFonts w:ascii="Cambria" w:eastAsia="Cambria" w:hAnsi="Cambria" w:cs="Cambria"/>
          <w:b/>
          <w:bCs/>
          <w:position w:val="0"/>
          <w:sz w:val="20"/>
          <w:szCs w:val="20"/>
          <w:lang w:val="es-ES_tradnl"/>
        </w:rPr>
      </w:lvl>
    </w:lvlOverride>
    <w:lvlOverride w:ilvl="8">
      <w:startOverride w:val="1"/>
      <w:lvl w:ilvl="8">
        <w:start w:val="1"/>
        <w:numFmt w:val="lowerRoman"/>
        <w:lvlText w:val="%9."/>
        <w:lvlJc w:val="left"/>
        <w:pPr>
          <w:tabs>
            <w:tab w:val="num" w:pos="7151"/>
          </w:tabs>
          <w:ind w:left="7151" w:hanging="247"/>
        </w:pPr>
        <w:rPr>
          <w:rFonts w:ascii="Cambria" w:eastAsia="Cambria" w:hAnsi="Cambria" w:cs="Cambria"/>
          <w:b/>
          <w:bCs/>
          <w:position w:val="0"/>
          <w:sz w:val="20"/>
          <w:szCs w:val="20"/>
          <w:lang w:val="es-ES_tradnl"/>
        </w:rPr>
      </w:lvl>
    </w:lvlOverride>
  </w:num>
  <w:num w:numId="26">
    <w:abstractNumId w:val="21"/>
    <w:lvlOverride w:ilvl="0">
      <w:startOverride w:val="1"/>
      <w:lvl w:ilvl="0">
        <w:start w:val="1"/>
        <w:numFmt w:val="upperLetter"/>
        <w:pStyle w:val="Heading2"/>
        <w:lvlText w:val="%1."/>
        <w:lvlJc w:val="left"/>
        <w:pPr>
          <w:tabs>
            <w:tab w:val="num" w:pos="86"/>
          </w:tabs>
          <w:ind w:left="86" w:hanging="86"/>
        </w:pPr>
        <w:rPr>
          <w:rFonts w:ascii="Cambria" w:eastAsia="Times New Roman" w:hAnsi="Cambria" w:cs="Times New Roman" w:hint="default"/>
          <w:b/>
          <w:bCs/>
          <w:position w:val="0"/>
          <w:sz w:val="20"/>
          <w:szCs w:val="20"/>
          <w:lang w:val="es-ES_tradnl"/>
        </w:rPr>
      </w:lvl>
    </w:lvlOverride>
    <w:lvlOverride w:ilvl="1">
      <w:startOverride w:val="1"/>
      <w:lvl w:ilvl="1">
        <w:start w:val="1"/>
        <w:numFmt w:val="lowerLetter"/>
        <w:lvlText w:val="%2."/>
        <w:lvlJc w:val="left"/>
        <w:pPr>
          <w:tabs>
            <w:tab w:val="num" w:pos="2100"/>
          </w:tabs>
          <w:ind w:left="2100" w:hanging="300"/>
        </w:pPr>
        <w:rPr>
          <w:rFonts w:ascii="Cambria" w:eastAsia="Cambria" w:hAnsi="Cambria" w:cs="Cambria"/>
          <w:b/>
          <w:bCs/>
          <w:position w:val="0"/>
          <w:sz w:val="20"/>
          <w:szCs w:val="20"/>
          <w:lang w:val="es-ES_tradnl"/>
        </w:rPr>
      </w:lvl>
    </w:lvlOverride>
    <w:lvlOverride w:ilvl="2">
      <w:startOverride w:val="1"/>
      <w:lvl w:ilvl="2">
        <w:start w:val="1"/>
        <w:numFmt w:val="lowerRoman"/>
        <w:lvlText w:val="%3."/>
        <w:lvlJc w:val="left"/>
        <w:pPr>
          <w:tabs>
            <w:tab w:val="num" w:pos="2831"/>
          </w:tabs>
          <w:ind w:left="2831" w:hanging="247"/>
        </w:pPr>
        <w:rPr>
          <w:rFonts w:ascii="Cambria" w:eastAsia="Cambria" w:hAnsi="Cambria" w:cs="Cambria"/>
          <w:b/>
          <w:bCs/>
          <w:position w:val="0"/>
          <w:sz w:val="20"/>
          <w:szCs w:val="20"/>
          <w:lang w:val="es-ES_tradnl"/>
        </w:rPr>
      </w:lvl>
    </w:lvlOverride>
    <w:lvlOverride w:ilvl="3">
      <w:startOverride w:val="1"/>
      <w:lvl w:ilvl="3">
        <w:start w:val="1"/>
        <w:numFmt w:val="decimal"/>
        <w:lvlText w:val="%4."/>
        <w:lvlJc w:val="left"/>
        <w:pPr>
          <w:tabs>
            <w:tab w:val="num" w:pos="3540"/>
          </w:tabs>
          <w:ind w:left="3540" w:hanging="300"/>
        </w:pPr>
        <w:rPr>
          <w:rFonts w:ascii="Cambria" w:eastAsia="Cambria" w:hAnsi="Cambria" w:cs="Cambria"/>
          <w:b/>
          <w:bCs/>
          <w:position w:val="0"/>
          <w:sz w:val="20"/>
          <w:szCs w:val="20"/>
          <w:lang w:val="es-ES_tradnl"/>
        </w:rPr>
      </w:lvl>
    </w:lvlOverride>
    <w:lvlOverride w:ilvl="4">
      <w:startOverride w:val="1"/>
      <w:lvl w:ilvl="4">
        <w:start w:val="1"/>
        <w:numFmt w:val="lowerLetter"/>
        <w:lvlText w:val="%5."/>
        <w:lvlJc w:val="left"/>
        <w:pPr>
          <w:tabs>
            <w:tab w:val="num" w:pos="4260"/>
          </w:tabs>
          <w:ind w:left="4260" w:hanging="300"/>
        </w:pPr>
        <w:rPr>
          <w:rFonts w:ascii="Cambria" w:eastAsia="Cambria" w:hAnsi="Cambria" w:cs="Cambria"/>
          <w:b/>
          <w:bCs/>
          <w:position w:val="0"/>
          <w:sz w:val="20"/>
          <w:szCs w:val="20"/>
          <w:lang w:val="es-ES_tradnl"/>
        </w:rPr>
      </w:lvl>
    </w:lvlOverride>
    <w:lvlOverride w:ilvl="5">
      <w:startOverride w:val="1"/>
      <w:lvl w:ilvl="5">
        <w:start w:val="1"/>
        <w:numFmt w:val="lowerRoman"/>
        <w:lvlText w:val="%6."/>
        <w:lvlJc w:val="left"/>
        <w:pPr>
          <w:tabs>
            <w:tab w:val="num" w:pos="4991"/>
          </w:tabs>
          <w:ind w:left="4991" w:hanging="247"/>
        </w:pPr>
        <w:rPr>
          <w:rFonts w:ascii="Cambria" w:eastAsia="Cambria" w:hAnsi="Cambria" w:cs="Cambria"/>
          <w:b/>
          <w:bCs/>
          <w:position w:val="0"/>
          <w:sz w:val="20"/>
          <w:szCs w:val="20"/>
          <w:lang w:val="es-ES_tradnl"/>
        </w:rPr>
      </w:lvl>
    </w:lvlOverride>
    <w:lvlOverride w:ilvl="6">
      <w:startOverride w:val="1"/>
      <w:lvl w:ilvl="6">
        <w:start w:val="1"/>
        <w:numFmt w:val="decimal"/>
        <w:lvlText w:val="%7."/>
        <w:lvlJc w:val="left"/>
        <w:pPr>
          <w:tabs>
            <w:tab w:val="num" w:pos="5700"/>
          </w:tabs>
          <w:ind w:left="5700" w:hanging="300"/>
        </w:pPr>
        <w:rPr>
          <w:rFonts w:ascii="Cambria" w:eastAsia="Cambria" w:hAnsi="Cambria" w:cs="Cambria"/>
          <w:b/>
          <w:bCs/>
          <w:position w:val="0"/>
          <w:sz w:val="20"/>
          <w:szCs w:val="20"/>
          <w:lang w:val="es-ES_tradnl"/>
        </w:rPr>
      </w:lvl>
    </w:lvlOverride>
    <w:lvlOverride w:ilvl="7">
      <w:startOverride w:val="1"/>
      <w:lvl w:ilvl="7">
        <w:start w:val="1"/>
        <w:numFmt w:val="lowerLetter"/>
        <w:lvlText w:val="%8."/>
        <w:lvlJc w:val="left"/>
        <w:pPr>
          <w:tabs>
            <w:tab w:val="num" w:pos="6420"/>
          </w:tabs>
          <w:ind w:left="6420" w:hanging="300"/>
        </w:pPr>
        <w:rPr>
          <w:rFonts w:ascii="Cambria" w:eastAsia="Cambria" w:hAnsi="Cambria" w:cs="Cambria"/>
          <w:b/>
          <w:bCs/>
          <w:position w:val="0"/>
          <w:sz w:val="20"/>
          <w:szCs w:val="20"/>
          <w:lang w:val="es-ES_tradnl"/>
        </w:rPr>
      </w:lvl>
    </w:lvlOverride>
    <w:lvlOverride w:ilvl="8">
      <w:startOverride w:val="1"/>
      <w:lvl w:ilvl="8">
        <w:start w:val="1"/>
        <w:numFmt w:val="lowerRoman"/>
        <w:lvlText w:val="%9."/>
        <w:lvlJc w:val="left"/>
        <w:pPr>
          <w:tabs>
            <w:tab w:val="num" w:pos="7151"/>
          </w:tabs>
          <w:ind w:left="7151" w:hanging="247"/>
        </w:pPr>
        <w:rPr>
          <w:rFonts w:ascii="Cambria" w:eastAsia="Cambria" w:hAnsi="Cambria" w:cs="Cambria"/>
          <w:b/>
          <w:bCs/>
          <w:position w:val="0"/>
          <w:sz w:val="20"/>
          <w:szCs w:val="20"/>
          <w:lang w:val="es-ES_tradnl"/>
        </w:rPr>
      </w:lvl>
    </w:lvlOverride>
  </w:num>
  <w:num w:numId="27">
    <w:abstractNumId w:val="17"/>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10A"/>
    <w:rsid w:val="0000189E"/>
    <w:rsid w:val="00005788"/>
    <w:rsid w:val="000077ED"/>
    <w:rsid w:val="00007AF9"/>
    <w:rsid w:val="000104D8"/>
    <w:rsid w:val="00014A33"/>
    <w:rsid w:val="00015191"/>
    <w:rsid w:val="00016E2E"/>
    <w:rsid w:val="000206E8"/>
    <w:rsid w:val="00021667"/>
    <w:rsid w:val="00023074"/>
    <w:rsid w:val="000234D5"/>
    <w:rsid w:val="00024CBF"/>
    <w:rsid w:val="00030B7B"/>
    <w:rsid w:val="00035CCC"/>
    <w:rsid w:val="00040340"/>
    <w:rsid w:val="000412A4"/>
    <w:rsid w:val="00042AEB"/>
    <w:rsid w:val="00045256"/>
    <w:rsid w:val="00046239"/>
    <w:rsid w:val="0005133C"/>
    <w:rsid w:val="00051AC4"/>
    <w:rsid w:val="0005207D"/>
    <w:rsid w:val="00052CF7"/>
    <w:rsid w:val="00053127"/>
    <w:rsid w:val="0005623C"/>
    <w:rsid w:val="0006008A"/>
    <w:rsid w:val="00063FD4"/>
    <w:rsid w:val="00065E8C"/>
    <w:rsid w:val="00066566"/>
    <w:rsid w:val="000672D0"/>
    <w:rsid w:val="000751C0"/>
    <w:rsid w:val="00076063"/>
    <w:rsid w:val="00076AD8"/>
    <w:rsid w:val="0008353B"/>
    <w:rsid w:val="00090F7F"/>
    <w:rsid w:val="0009290E"/>
    <w:rsid w:val="00094818"/>
    <w:rsid w:val="00094BA1"/>
    <w:rsid w:val="00097B36"/>
    <w:rsid w:val="000A0D00"/>
    <w:rsid w:val="000A2165"/>
    <w:rsid w:val="000A3803"/>
    <w:rsid w:val="000A447F"/>
    <w:rsid w:val="000A522B"/>
    <w:rsid w:val="000A7A50"/>
    <w:rsid w:val="000B1222"/>
    <w:rsid w:val="000B33F7"/>
    <w:rsid w:val="000B5830"/>
    <w:rsid w:val="000B66D5"/>
    <w:rsid w:val="000B69D8"/>
    <w:rsid w:val="000C12E0"/>
    <w:rsid w:val="000C1C4A"/>
    <w:rsid w:val="000C35C0"/>
    <w:rsid w:val="000C687C"/>
    <w:rsid w:val="000D0A07"/>
    <w:rsid w:val="000D1F8E"/>
    <w:rsid w:val="000D2D54"/>
    <w:rsid w:val="000D3296"/>
    <w:rsid w:val="000D3D0D"/>
    <w:rsid w:val="000D602F"/>
    <w:rsid w:val="000E158C"/>
    <w:rsid w:val="000E20D9"/>
    <w:rsid w:val="000E2A52"/>
    <w:rsid w:val="000E2DEE"/>
    <w:rsid w:val="000E4048"/>
    <w:rsid w:val="000E55B8"/>
    <w:rsid w:val="000E5B2E"/>
    <w:rsid w:val="000F24BF"/>
    <w:rsid w:val="000F435C"/>
    <w:rsid w:val="000F582A"/>
    <w:rsid w:val="000F5CF7"/>
    <w:rsid w:val="00100CAB"/>
    <w:rsid w:val="001040F6"/>
    <w:rsid w:val="0010443A"/>
    <w:rsid w:val="00105DF5"/>
    <w:rsid w:val="0011404E"/>
    <w:rsid w:val="001161A6"/>
    <w:rsid w:val="00116A73"/>
    <w:rsid w:val="00120862"/>
    <w:rsid w:val="00121C00"/>
    <w:rsid w:val="00122384"/>
    <w:rsid w:val="00122FA8"/>
    <w:rsid w:val="00127736"/>
    <w:rsid w:val="0013180F"/>
    <w:rsid w:val="0013548F"/>
    <w:rsid w:val="00135FD9"/>
    <w:rsid w:val="00140C4C"/>
    <w:rsid w:val="0014151E"/>
    <w:rsid w:val="00144A69"/>
    <w:rsid w:val="00145222"/>
    <w:rsid w:val="00147BB0"/>
    <w:rsid w:val="001522A5"/>
    <w:rsid w:val="0015243E"/>
    <w:rsid w:val="00152921"/>
    <w:rsid w:val="001545AB"/>
    <w:rsid w:val="00156917"/>
    <w:rsid w:val="00157885"/>
    <w:rsid w:val="00157E8A"/>
    <w:rsid w:val="00161C62"/>
    <w:rsid w:val="00163DDF"/>
    <w:rsid w:val="00163E7B"/>
    <w:rsid w:val="00165CD7"/>
    <w:rsid w:val="00170815"/>
    <w:rsid w:val="00171C82"/>
    <w:rsid w:val="00172F17"/>
    <w:rsid w:val="0017714B"/>
    <w:rsid w:val="00177309"/>
    <w:rsid w:val="00184337"/>
    <w:rsid w:val="001874E6"/>
    <w:rsid w:val="00187790"/>
    <w:rsid w:val="00190FB2"/>
    <w:rsid w:val="00192AF8"/>
    <w:rsid w:val="00194326"/>
    <w:rsid w:val="00195C4B"/>
    <w:rsid w:val="001A26E4"/>
    <w:rsid w:val="001A33B4"/>
    <w:rsid w:val="001A3AB4"/>
    <w:rsid w:val="001A698B"/>
    <w:rsid w:val="001B0AC8"/>
    <w:rsid w:val="001B27ED"/>
    <w:rsid w:val="001B5BA7"/>
    <w:rsid w:val="001C28C4"/>
    <w:rsid w:val="001C294E"/>
    <w:rsid w:val="001C60C5"/>
    <w:rsid w:val="001D0AEB"/>
    <w:rsid w:val="001D1BE1"/>
    <w:rsid w:val="001D33E9"/>
    <w:rsid w:val="001D521F"/>
    <w:rsid w:val="001D5261"/>
    <w:rsid w:val="001D5F78"/>
    <w:rsid w:val="001D7BFC"/>
    <w:rsid w:val="001E0B1A"/>
    <w:rsid w:val="001E5934"/>
    <w:rsid w:val="001E6204"/>
    <w:rsid w:val="001E6918"/>
    <w:rsid w:val="001E7252"/>
    <w:rsid w:val="001E7DC2"/>
    <w:rsid w:val="001F17F0"/>
    <w:rsid w:val="001F2A19"/>
    <w:rsid w:val="001F34C0"/>
    <w:rsid w:val="001F5683"/>
    <w:rsid w:val="001F7F39"/>
    <w:rsid w:val="00200661"/>
    <w:rsid w:val="00200C36"/>
    <w:rsid w:val="00201B1C"/>
    <w:rsid w:val="00205DCB"/>
    <w:rsid w:val="0020629A"/>
    <w:rsid w:val="00207848"/>
    <w:rsid w:val="00211FF6"/>
    <w:rsid w:val="002125CB"/>
    <w:rsid w:val="00212ECE"/>
    <w:rsid w:val="002179DB"/>
    <w:rsid w:val="002203BD"/>
    <w:rsid w:val="00221E35"/>
    <w:rsid w:val="00223002"/>
    <w:rsid w:val="00225DA2"/>
    <w:rsid w:val="00226C22"/>
    <w:rsid w:val="002273ED"/>
    <w:rsid w:val="00233A9C"/>
    <w:rsid w:val="00235B94"/>
    <w:rsid w:val="00237DEA"/>
    <w:rsid w:val="00240DE0"/>
    <w:rsid w:val="0024534B"/>
    <w:rsid w:val="0024665E"/>
    <w:rsid w:val="00247123"/>
    <w:rsid w:val="002477A4"/>
    <w:rsid w:val="00250041"/>
    <w:rsid w:val="00250F94"/>
    <w:rsid w:val="002521C6"/>
    <w:rsid w:val="00252709"/>
    <w:rsid w:val="00267632"/>
    <w:rsid w:val="00271583"/>
    <w:rsid w:val="002716B3"/>
    <w:rsid w:val="00272238"/>
    <w:rsid w:val="0027405C"/>
    <w:rsid w:val="00274CEE"/>
    <w:rsid w:val="00275525"/>
    <w:rsid w:val="002770DC"/>
    <w:rsid w:val="00282371"/>
    <w:rsid w:val="002829AD"/>
    <w:rsid w:val="00283897"/>
    <w:rsid w:val="0028459A"/>
    <w:rsid w:val="0028475C"/>
    <w:rsid w:val="00286DCC"/>
    <w:rsid w:val="00292940"/>
    <w:rsid w:val="00293991"/>
    <w:rsid w:val="002978A7"/>
    <w:rsid w:val="002A2B9F"/>
    <w:rsid w:val="002A358C"/>
    <w:rsid w:val="002A6E21"/>
    <w:rsid w:val="002A7342"/>
    <w:rsid w:val="002B0EE1"/>
    <w:rsid w:val="002B4A95"/>
    <w:rsid w:val="002B5E6F"/>
    <w:rsid w:val="002B61B9"/>
    <w:rsid w:val="002B785E"/>
    <w:rsid w:val="002C0E55"/>
    <w:rsid w:val="002C25D8"/>
    <w:rsid w:val="002C4346"/>
    <w:rsid w:val="002C6851"/>
    <w:rsid w:val="002D0237"/>
    <w:rsid w:val="002D1855"/>
    <w:rsid w:val="002D2F26"/>
    <w:rsid w:val="002D384A"/>
    <w:rsid w:val="002D3A26"/>
    <w:rsid w:val="002D4533"/>
    <w:rsid w:val="002E1C06"/>
    <w:rsid w:val="002E241D"/>
    <w:rsid w:val="002E37C6"/>
    <w:rsid w:val="002E4EB5"/>
    <w:rsid w:val="002E6041"/>
    <w:rsid w:val="002E7C3C"/>
    <w:rsid w:val="002F4A49"/>
    <w:rsid w:val="002F77A4"/>
    <w:rsid w:val="00300A42"/>
    <w:rsid w:val="00300C98"/>
    <w:rsid w:val="00301FB9"/>
    <w:rsid w:val="00302818"/>
    <w:rsid w:val="00307DF5"/>
    <w:rsid w:val="00312F7B"/>
    <w:rsid w:val="0031470A"/>
    <w:rsid w:val="003159A6"/>
    <w:rsid w:val="00316371"/>
    <w:rsid w:val="00321FF8"/>
    <w:rsid w:val="00324548"/>
    <w:rsid w:val="00326811"/>
    <w:rsid w:val="00326D53"/>
    <w:rsid w:val="00330BF8"/>
    <w:rsid w:val="0033423F"/>
    <w:rsid w:val="0033450A"/>
    <w:rsid w:val="003370B5"/>
    <w:rsid w:val="00337681"/>
    <w:rsid w:val="00337980"/>
    <w:rsid w:val="00340920"/>
    <w:rsid w:val="00341C05"/>
    <w:rsid w:val="0034312F"/>
    <w:rsid w:val="00343ACC"/>
    <w:rsid w:val="0034764E"/>
    <w:rsid w:val="003523A9"/>
    <w:rsid w:val="00352511"/>
    <w:rsid w:val="0035272E"/>
    <w:rsid w:val="0035663A"/>
    <w:rsid w:val="003606C0"/>
    <w:rsid w:val="00360C35"/>
    <w:rsid w:val="00360DC3"/>
    <w:rsid w:val="00362A0A"/>
    <w:rsid w:val="00366C4C"/>
    <w:rsid w:val="00372B33"/>
    <w:rsid w:val="00372E8C"/>
    <w:rsid w:val="00380811"/>
    <w:rsid w:val="003841DD"/>
    <w:rsid w:val="003843DE"/>
    <w:rsid w:val="00384F48"/>
    <w:rsid w:val="00385485"/>
    <w:rsid w:val="00386980"/>
    <w:rsid w:val="003915B5"/>
    <w:rsid w:val="0039220E"/>
    <w:rsid w:val="003940C8"/>
    <w:rsid w:val="003A1967"/>
    <w:rsid w:val="003A3F5A"/>
    <w:rsid w:val="003B17CF"/>
    <w:rsid w:val="003B2ED3"/>
    <w:rsid w:val="003B44E3"/>
    <w:rsid w:val="003C1F60"/>
    <w:rsid w:val="003C3075"/>
    <w:rsid w:val="003C5110"/>
    <w:rsid w:val="003C51DB"/>
    <w:rsid w:val="003C786B"/>
    <w:rsid w:val="003D2DD2"/>
    <w:rsid w:val="003D3019"/>
    <w:rsid w:val="003D426C"/>
    <w:rsid w:val="003D552C"/>
    <w:rsid w:val="003E0A07"/>
    <w:rsid w:val="003E1251"/>
    <w:rsid w:val="003E4A84"/>
    <w:rsid w:val="003E6316"/>
    <w:rsid w:val="003E6971"/>
    <w:rsid w:val="003F1FE3"/>
    <w:rsid w:val="003F2ECD"/>
    <w:rsid w:val="003F4B09"/>
    <w:rsid w:val="003F6A00"/>
    <w:rsid w:val="003F7244"/>
    <w:rsid w:val="004046EF"/>
    <w:rsid w:val="00404FE9"/>
    <w:rsid w:val="004064A8"/>
    <w:rsid w:val="004078B7"/>
    <w:rsid w:val="00413961"/>
    <w:rsid w:val="0041404E"/>
    <w:rsid w:val="00414D90"/>
    <w:rsid w:val="00415C08"/>
    <w:rsid w:val="004161B6"/>
    <w:rsid w:val="004240E2"/>
    <w:rsid w:val="00424540"/>
    <w:rsid w:val="00427F72"/>
    <w:rsid w:val="0043035A"/>
    <w:rsid w:val="00432D68"/>
    <w:rsid w:val="0043661F"/>
    <w:rsid w:val="00437489"/>
    <w:rsid w:val="004411DD"/>
    <w:rsid w:val="004458F5"/>
    <w:rsid w:val="004478EF"/>
    <w:rsid w:val="00455A44"/>
    <w:rsid w:val="00455D9C"/>
    <w:rsid w:val="0045622A"/>
    <w:rsid w:val="00456B2D"/>
    <w:rsid w:val="004633E2"/>
    <w:rsid w:val="00463E93"/>
    <w:rsid w:val="00464BDA"/>
    <w:rsid w:val="00464F3C"/>
    <w:rsid w:val="00472458"/>
    <w:rsid w:val="00475532"/>
    <w:rsid w:val="00476BB1"/>
    <w:rsid w:val="004820C0"/>
    <w:rsid w:val="00483BCB"/>
    <w:rsid w:val="004855F3"/>
    <w:rsid w:val="004871A7"/>
    <w:rsid w:val="00490765"/>
    <w:rsid w:val="00490BA0"/>
    <w:rsid w:val="00494E28"/>
    <w:rsid w:val="00497FAA"/>
    <w:rsid w:val="004A20A7"/>
    <w:rsid w:val="004A4795"/>
    <w:rsid w:val="004A7505"/>
    <w:rsid w:val="004B2029"/>
    <w:rsid w:val="004B4398"/>
    <w:rsid w:val="004B4638"/>
    <w:rsid w:val="004B66AD"/>
    <w:rsid w:val="004C52A7"/>
    <w:rsid w:val="004C792F"/>
    <w:rsid w:val="004D113C"/>
    <w:rsid w:val="004D1946"/>
    <w:rsid w:val="004D2075"/>
    <w:rsid w:val="004D2579"/>
    <w:rsid w:val="004D314D"/>
    <w:rsid w:val="004D5498"/>
    <w:rsid w:val="004D5BDF"/>
    <w:rsid w:val="004D5BEB"/>
    <w:rsid w:val="004D62DC"/>
    <w:rsid w:val="004E0292"/>
    <w:rsid w:val="004E072C"/>
    <w:rsid w:val="004F0FD1"/>
    <w:rsid w:val="004F1BBC"/>
    <w:rsid w:val="004F1C51"/>
    <w:rsid w:val="004F1C90"/>
    <w:rsid w:val="004F5882"/>
    <w:rsid w:val="004F6167"/>
    <w:rsid w:val="005001E7"/>
    <w:rsid w:val="00500828"/>
    <w:rsid w:val="00501BF0"/>
    <w:rsid w:val="00502EE8"/>
    <w:rsid w:val="00503B50"/>
    <w:rsid w:val="00504C17"/>
    <w:rsid w:val="0050756C"/>
    <w:rsid w:val="00507701"/>
    <w:rsid w:val="0051495C"/>
    <w:rsid w:val="00520298"/>
    <w:rsid w:val="0052187D"/>
    <w:rsid w:val="00522A1A"/>
    <w:rsid w:val="00523183"/>
    <w:rsid w:val="00523192"/>
    <w:rsid w:val="0052379A"/>
    <w:rsid w:val="005301B4"/>
    <w:rsid w:val="00530D1F"/>
    <w:rsid w:val="0053166D"/>
    <w:rsid w:val="0053287F"/>
    <w:rsid w:val="005331D0"/>
    <w:rsid w:val="00533C97"/>
    <w:rsid w:val="00534414"/>
    <w:rsid w:val="00535855"/>
    <w:rsid w:val="00535AE5"/>
    <w:rsid w:val="00540584"/>
    <w:rsid w:val="00541D38"/>
    <w:rsid w:val="00541FBD"/>
    <w:rsid w:val="00545153"/>
    <w:rsid w:val="00547ABC"/>
    <w:rsid w:val="00547C71"/>
    <w:rsid w:val="00550F00"/>
    <w:rsid w:val="0055252E"/>
    <w:rsid w:val="00556636"/>
    <w:rsid w:val="00557993"/>
    <w:rsid w:val="00564865"/>
    <w:rsid w:val="005648CD"/>
    <w:rsid w:val="0057107C"/>
    <w:rsid w:val="005733BC"/>
    <w:rsid w:val="00575394"/>
    <w:rsid w:val="00582FFC"/>
    <w:rsid w:val="00583D41"/>
    <w:rsid w:val="005849C0"/>
    <w:rsid w:val="00585A81"/>
    <w:rsid w:val="00590983"/>
    <w:rsid w:val="0059099A"/>
    <w:rsid w:val="00591BCB"/>
    <w:rsid w:val="00593752"/>
    <w:rsid w:val="0059460E"/>
    <w:rsid w:val="00594E59"/>
    <w:rsid w:val="0059596A"/>
    <w:rsid w:val="00595A99"/>
    <w:rsid w:val="0059728F"/>
    <w:rsid w:val="005A0756"/>
    <w:rsid w:val="005A1A51"/>
    <w:rsid w:val="005A50F8"/>
    <w:rsid w:val="005B6353"/>
    <w:rsid w:val="005C2B18"/>
    <w:rsid w:val="005C3229"/>
    <w:rsid w:val="005C3F4C"/>
    <w:rsid w:val="005C3FDF"/>
    <w:rsid w:val="005C6902"/>
    <w:rsid w:val="005C7722"/>
    <w:rsid w:val="005C7BA1"/>
    <w:rsid w:val="005D0452"/>
    <w:rsid w:val="005D06E2"/>
    <w:rsid w:val="005D68EF"/>
    <w:rsid w:val="005D6CC7"/>
    <w:rsid w:val="005D6F4C"/>
    <w:rsid w:val="005E4D76"/>
    <w:rsid w:val="005E543F"/>
    <w:rsid w:val="005F0399"/>
    <w:rsid w:val="005F0E78"/>
    <w:rsid w:val="005F12E6"/>
    <w:rsid w:val="005F1A02"/>
    <w:rsid w:val="005F2BC4"/>
    <w:rsid w:val="005F36A4"/>
    <w:rsid w:val="005F3F0A"/>
    <w:rsid w:val="005F4DFA"/>
    <w:rsid w:val="005F66A2"/>
    <w:rsid w:val="005F6A1E"/>
    <w:rsid w:val="00603C8C"/>
    <w:rsid w:val="00604129"/>
    <w:rsid w:val="00610887"/>
    <w:rsid w:val="00611AE5"/>
    <w:rsid w:val="006136FC"/>
    <w:rsid w:val="00613C0C"/>
    <w:rsid w:val="00616DF6"/>
    <w:rsid w:val="0062218A"/>
    <w:rsid w:val="00622D0E"/>
    <w:rsid w:val="00623093"/>
    <w:rsid w:val="00623D27"/>
    <w:rsid w:val="00625BDC"/>
    <w:rsid w:val="00627065"/>
    <w:rsid w:val="00627E04"/>
    <w:rsid w:val="00627F1B"/>
    <w:rsid w:val="006305D8"/>
    <w:rsid w:val="00635154"/>
    <w:rsid w:val="0064354F"/>
    <w:rsid w:val="006438D8"/>
    <w:rsid w:val="00646DD0"/>
    <w:rsid w:val="006534C1"/>
    <w:rsid w:val="006539E3"/>
    <w:rsid w:val="00653CBB"/>
    <w:rsid w:val="00653E9A"/>
    <w:rsid w:val="0065417D"/>
    <w:rsid w:val="006546B3"/>
    <w:rsid w:val="00654C9A"/>
    <w:rsid w:val="0065640A"/>
    <w:rsid w:val="00660521"/>
    <w:rsid w:val="00663EC8"/>
    <w:rsid w:val="00670640"/>
    <w:rsid w:val="00670859"/>
    <w:rsid w:val="00671A97"/>
    <w:rsid w:val="00672BD2"/>
    <w:rsid w:val="00674BD0"/>
    <w:rsid w:val="00674F5E"/>
    <w:rsid w:val="00676F38"/>
    <w:rsid w:val="00680C08"/>
    <w:rsid w:val="00680E54"/>
    <w:rsid w:val="0068109E"/>
    <w:rsid w:val="0068153D"/>
    <w:rsid w:val="00683F77"/>
    <w:rsid w:val="00684AA5"/>
    <w:rsid w:val="00685D78"/>
    <w:rsid w:val="0068643F"/>
    <w:rsid w:val="00686A91"/>
    <w:rsid w:val="006870B6"/>
    <w:rsid w:val="00687936"/>
    <w:rsid w:val="00687FAC"/>
    <w:rsid w:val="00693189"/>
    <w:rsid w:val="00693AAA"/>
    <w:rsid w:val="00694E16"/>
    <w:rsid w:val="00696E43"/>
    <w:rsid w:val="006A0669"/>
    <w:rsid w:val="006A0AC5"/>
    <w:rsid w:val="006A1233"/>
    <w:rsid w:val="006A4E05"/>
    <w:rsid w:val="006A5BCE"/>
    <w:rsid w:val="006A60BF"/>
    <w:rsid w:val="006B062A"/>
    <w:rsid w:val="006B1B15"/>
    <w:rsid w:val="006B7B22"/>
    <w:rsid w:val="006C2206"/>
    <w:rsid w:val="006C24B5"/>
    <w:rsid w:val="006C2C11"/>
    <w:rsid w:val="006C4D8A"/>
    <w:rsid w:val="006C6D4B"/>
    <w:rsid w:val="006D035F"/>
    <w:rsid w:val="006D1962"/>
    <w:rsid w:val="006D39A7"/>
    <w:rsid w:val="006E0B2B"/>
    <w:rsid w:val="006E1F83"/>
    <w:rsid w:val="006E3B6E"/>
    <w:rsid w:val="006E408F"/>
    <w:rsid w:val="006E5CB6"/>
    <w:rsid w:val="006E6CC9"/>
    <w:rsid w:val="006E6D0B"/>
    <w:rsid w:val="006E763F"/>
    <w:rsid w:val="006F13C2"/>
    <w:rsid w:val="006F20F0"/>
    <w:rsid w:val="006F3973"/>
    <w:rsid w:val="006F45D4"/>
    <w:rsid w:val="006F60C7"/>
    <w:rsid w:val="006F7980"/>
    <w:rsid w:val="00703D29"/>
    <w:rsid w:val="00704A91"/>
    <w:rsid w:val="0070709B"/>
    <w:rsid w:val="00707FBF"/>
    <w:rsid w:val="00710927"/>
    <w:rsid w:val="00713291"/>
    <w:rsid w:val="00713795"/>
    <w:rsid w:val="007168E3"/>
    <w:rsid w:val="007170E1"/>
    <w:rsid w:val="00720178"/>
    <w:rsid w:val="0072060F"/>
    <w:rsid w:val="0072159E"/>
    <w:rsid w:val="00724EA0"/>
    <w:rsid w:val="00725388"/>
    <w:rsid w:val="00726E73"/>
    <w:rsid w:val="0072718D"/>
    <w:rsid w:val="0073082F"/>
    <w:rsid w:val="0073347B"/>
    <w:rsid w:val="00733B1F"/>
    <w:rsid w:val="007364D6"/>
    <w:rsid w:val="007427BC"/>
    <w:rsid w:val="00744C64"/>
    <w:rsid w:val="00750FE1"/>
    <w:rsid w:val="007523D8"/>
    <w:rsid w:val="00752950"/>
    <w:rsid w:val="00753CA8"/>
    <w:rsid w:val="00760A4A"/>
    <w:rsid w:val="00762227"/>
    <w:rsid w:val="007707ED"/>
    <w:rsid w:val="0077103E"/>
    <w:rsid w:val="00774718"/>
    <w:rsid w:val="00775035"/>
    <w:rsid w:val="0077539E"/>
    <w:rsid w:val="00780561"/>
    <w:rsid w:val="0078398C"/>
    <w:rsid w:val="0078598A"/>
    <w:rsid w:val="007861D0"/>
    <w:rsid w:val="00786864"/>
    <w:rsid w:val="00787BD6"/>
    <w:rsid w:val="00790A42"/>
    <w:rsid w:val="0079336E"/>
    <w:rsid w:val="00794427"/>
    <w:rsid w:val="00794E06"/>
    <w:rsid w:val="00796B39"/>
    <w:rsid w:val="00797232"/>
    <w:rsid w:val="007A0D9D"/>
    <w:rsid w:val="007A187F"/>
    <w:rsid w:val="007A4688"/>
    <w:rsid w:val="007A724C"/>
    <w:rsid w:val="007B0329"/>
    <w:rsid w:val="007B0E13"/>
    <w:rsid w:val="007B1440"/>
    <w:rsid w:val="007B2ABB"/>
    <w:rsid w:val="007B4E89"/>
    <w:rsid w:val="007C285F"/>
    <w:rsid w:val="007C366A"/>
    <w:rsid w:val="007C3E69"/>
    <w:rsid w:val="007C4805"/>
    <w:rsid w:val="007C5562"/>
    <w:rsid w:val="007C58FE"/>
    <w:rsid w:val="007D5E3E"/>
    <w:rsid w:val="007D62F8"/>
    <w:rsid w:val="007E0C72"/>
    <w:rsid w:val="007E126C"/>
    <w:rsid w:val="007E175C"/>
    <w:rsid w:val="007E2EE9"/>
    <w:rsid w:val="007E5425"/>
    <w:rsid w:val="007E76B7"/>
    <w:rsid w:val="007F0966"/>
    <w:rsid w:val="007F1720"/>
    <w:rsid w:val="007F1CC2"/>
    <w:rsid w:val="007F1DDE"/>
    <w:rsid w:val="007F2428"/>
    <w:rsid w:val="007F37C7"/>
    <w:rsid w:val="007F4C8E"/>
    <w:rsid w:val="007F4CE1"/>
    <w:rsid w:val="007F7396"/>
    <w:rsid w:val="007F7F38"/>
    <w:rsid w:val="0080058B"/>
    <w:rsid w:val="00800EF8"/>
    <w:rsid w:val="00800F8F"/>
    <w:rsid w:val="0080128A"/>
    <w:rsid w:val="00802CD3"/>
    <w:rsid w:val="00807973"/>
    <w:rsid w:val="00812B3E"/>
    <w:rsid w:val="00817521"/>
    <w:rsid w:val="00817A14"/>
    <w:rsid w:val="00817B1F"/>
    <w:rsid w:val="00822153"/>
    <w:rsid w:val="008226E2"/>
    <w:rsid w:val="00832573"/>
    <w:rsid w:val="00832E75"/>
    <w:rsid w:val="00832F75"/>
    <w:rsid w:val="00833CFD"/>
    <w:rsid w:val="008356FE"/>
    <w:rsid w:val="00835996"/>
    <w:rsid w:val="00836DCC"/>
    <w:rsid w:val="00840F5C"/>
    <w:rsid w:val="00843535"/>
    <w:rsid w:val="00843817"/>
    <w:rsid w:val="00846CC9"/>
    <w:rsid w:val="00847155"/>
    <w:rsid w:val="00852FB3"/>
    <w:rsid w:val="008535B1"/>
    <w:rsid w:val="0085399C"/>
    <w:rsid w:val="0085788E"/>
    <w:rsid w:val="008578F5"/>
    <w:rsid w:val="00860FDA"/>
    <w:rsid w:val="00861157"/>
    <w:rsid w:val="00861893"/>
    <w:rsid w:val="008641D9"/>
    <w:rsid w:val="00865F56"/>
    <w:rsid w:val="008665A2"/>
    <w:rsid w:val="00866A03"/>
    <w:rsid w:val="00867814"/>
    <w:rsid w:val="008700FE"/>
    <w:rsid w:val="00872DC5"/>
    <w:rsid w:val="008730D6"/>
    <w:rsid w:val="00873B0B"/>
    <w:rsid w:val="00873FC8"/>
    <w:rsid w:val="00874D49"/>
    <w:rsid w:val="00877350"/>
    <w:rsid w:val="00880356"/>
    <w:rsid w:val="00880830"/>
    <w:rsid w:val="008826B1"/>
    <w:rsid w:val="0088299B"/>
    <w:rsid w:val="0088543D"/>
    <w:rsid w:val="00887BB4"/>
    <w:rsid w:val="00891660"/>
    <w:rsid w:val="00891AFB"/>
    <w:rsid w:val="0089343E"/>
    <w:rsid w:val="00894A9D"/>
    <w:rsid w:val="0089515C"/>
    <w:rsid w:val="00896E39"/>
    <w:rsid w:val="00897E13"/>
    <w:rsid w:val="008A006D"/>
    <w:rsid w:val="008A2925"/>
    <w:rsid w:val="008A5565"/>
    <w:rsid w:val="008A63A6"/>
    <w:rsid w:val="008A71E7"/>
    <w:rsid w:val="008B4D6A"/>
    <w:rsid w:val="008B5030"/>
    <w:rsid w:val="008B5B16"/>
    <w:rsid w:val="008C16D4"/>
    <w:rsid w:val="008C214D"/>
    <w:rsid w:val="008C4B15"/>
    <w:rsid w:val="008C6073"/>
    <w:rsid w:val="008C6B39"/>
    <w:rsid w:val="008D1015"/>
    <w:rsid w:val="008D6CE6"/>
    <w:rsid w:val="008D7631"/>
    <w:rsid w:val="008E1640"/>
    <w:rsid w:val="008E18C9"/>
    <w:rsid w:val="008E2D6E"/>
    <w:rsid w:val="008E5C39"/>
    <w:rsid w:val="008F0B58"/>
    <w:rsid w:val="008F2772"/>
    <w:rsid w:val="008F2CA6"/>
    <w:rsid w:val="008F7B03"/>
    <w:rsid w:val="009013BF"/>
    <w:rsid w:val="00901ABB"/>
    <w:rsid w:val="00904029"/>
    <w:rsid w:val="00907573"/>
    <w:rsid w:val="009162F4"/>
    <w:rsid w:val="00923FE8"/>
    <w:rsid w:val="00925B44"/>
    <w:rsid w:val="009318D3"/>
    <w:rsid w:val="009337B2"/>
    <w:rsid w:val="00941008"/>
    <w:rsid w:val="00941E69"/>
    <w:rsid w:val="0094269D"/>
    <w:rsid w:val="00945E26"/>
    <w:rsid w:val="00947535"/>
    <w:rsid w:val="00950CC5"/>
    <w:rsid w:val="00951242"/>
    <w:rsid w:val="0096143F"/>
    <w:rsid w:val="009645B3"/>
    <w:rsid w:val="00965B5E"/>
    <w:rsid w:val="00966C56"/>
    <w:rsid w:val="00967945"/>
    <w:rsid w:val="00970E7F"/>
    <w:rsid w:val="009751FF"/>
    <w:rsid w:val="009760D5"/>
    <w:rsid w:val="009779A1"/>
    <w:rsid w:val="00977C3C"/>
    <w:rsid w:val="009813BC"/>
    <w:rsid w:val="00983410"/>
    <w:rsid w:val="0099287C"/>
    <w:rsid w:val="00992CEA"/>
    <w:rsid w:val="00993E69"/>
    <w:rsid w:val="00994106"/>
    <w:rsid w:val="00994881"/>
    <w:rsid w:val="00995FBF"/>
    <w:rsid w:val="009A1312"/>
    <w:rsid w:val="009A173A"/>
    <w:rsid w:val="009A27FA"/>
    <w:rsid w:val="009A2C7E"/>
    <w:rsid w:val="009A5637"/>
    <w:rsid w:val="009A7F2C"/>
    <w:rsid w:val="009B6AF2"/>
    <w:rsid w:val="009B78D2"/>
    <w:rsid w:val="009C103A"/>
    <w:rsid w:val="009C246C"/>
    <w:rsid w:val="009C3065"/>
    <w:rsid w:val="009C32A1"/>
    <w:rsid w:val="009C5D44"/>
    <w:rsid w:val="009D1A3B"/>
    <w:rsid w:val="009D208E"/>
    <w:rsid w:val="009D25C1"/>
    <w:rsid w:val="009D3CA1"/>
    <w:rsid w:val="009D4E62"/>
    <w:rsid w:val="009D5876"/>
    <w:rsid w:val="009E133A"/>
    <w:rsid w:val="009E360F"/>
    <w:rsid w:val="009E456A"/>
    <w:rsid w:val="009E5684"/>
    <w:rsid w:val="009E5F2B"/>
    <w:rsid w:val="009E64D9"/>
    <w:rsid w:val="009E7E98"/>
    <w:rsid w:val="009F1675"/>
    <w:rsid w:val="009F30CC"/>
    <w:rsid w:val="009F4495"/>
    <w:rsid w:val="009F7596"/>
    <w:rsid w:val="009F7933"/>
    <w:rsid w:val="00A00325"/>
    <w:rsid w:val="00A03763"/>
    <w:rsid w:val="00A038BD"/>
    <w:rsid w:val="00A0538A"/>
    <w:rsid w:val="00A20662"/>
    <w:rsid w:val="00A22C71"/>
    <w:rsid w:val="00A232E9"/>
    <w:rsid w:val="00A23712"/>
    <w:rsid w:val="00A23718"/>
    <w:rsid w:val="00A31E99"/>
    <w:rsid w:val="00A32545"/>
    <w:rsid w:val="00A436BC"/>
    <w:rsid w:val="00A44513"/>
    <w:rsid w:val="00A44F39"/>
    <w:rsid w:val="00A45849"/>
    <w:rsid w:val="00A52CDC"/>
    <w:rsid w:val="00A534B8"/>
    <w:rsid w:val="00A53A21"/>
    <w:rsid w:val="00A53B86"/>
    <w:rsid w:val="00A53D0D"/>
    <w:rsid w:val="00A56231"/>
    <w:rsid w:val="00A57B3A"/>
    <w:rsid w:val="00A60FCD"/>
    <w:rsid w:val="00A61FB7"/>
    <w:rsid w:val="00A667E8"/>
    <w:rsid w:val="00A66927"/>
    <w:rsid w:val="00A67A1B"/>
    <w:rsid w:val="00A703EE"/>
    <w:rsid w:val="00A72493"/>
    <w:rsid w:val="00A728DD"/>
    <w:rsid w:val="00A74214"/>
    <w:rsid w:val="00A81058"/>
    <w:rsid w:val="00A84A10"/>
    <w:rsid w:val="00A8545D"/>
    <w:rsid w:val="00A858AC"/>
    <w:rsid w:val="00A85957"/>
    <w:rsid w:val="00A86B3F"/>
    <w:rsid w:val="00A86DC6"/>
    <w:rsid w:val="00A92CEE"/>
    <w:rsid w:val="00A933E4"/>
    <w:rsid w:val="00A94F6A"/>
    <w:rsid w:val="00A97CF0"/>
    <w:rsid w:val="00AA26F3"/>
    <w:rsid w:val="00AA4ADF"/>
    <w:rsid w:val="00AA6D5B"/>
    <w:rsid w:val="00AA72E3"/>
    <w:rsid w:val="00AB2162"/>
    <w:rsid w:val="00AC0DD4"/>
    <w:rsid w:val="00AC28A7"/>
    <w:rsid w:val="00AC4724"/>
    <w:rsid w:val="00AC6DDD"/>
    <w:rsid w:val="00AC712F"/>
    <w:rsid w:val="00AC7AC3"/>
    <w:rsid w:val="00AD0949"/>
    <w:rsid w:val="00AD2C64"/>
    <w:rsid w:val="00AD774C"/>
    <w:rsid w:val="00AD7C74"/>
    <w:rsid w:val="00AD7D8D"/>
    <w:rsid w:val="00AE23EE"/>
    <w:rsid w:val="00AE7821"/>
    <w:rsid w:val="00AE7A97"/>
    <w:rsid w:val="00AE7E62"/>
    <w:rsid w:val="00AF0803"/>
    <w:rsid w:val="00AF1087"/>
    <w:rsid w:val="00AF226A"/>
    <w:rsid w:val="00AF26DD"/>
    <w:rsid w:val="00AF377F"/>
    <w:rsid w:val="00AF42EA"/>
    <w:rsid w:val="00AF5FCC"/>
    <w:rsid w:val="00B017EE"/>
    <w:rsid w:val="00B038B7"/>
    <w:rsid w:val="00B0429C"/>
    <w:rsid w:val="00B04EF1"/>
    <w:rsid w:val="00B17E2A"/>
    <w:rsid w:val="00B21C47"/>
    <w:rsid w:val="00B23615"/>
    <w:rsid w:val="00B31257"/>
    <w:rsid w:val="00B32FAA"/>
    <w:rsid w:val="00B33D9E"/>
    <w:rsid w:val="00B37F7F"/>
    <w:rsid w:val="00B42F8E"/>
    <w:rsid w:val="00B46ACE"/>
    <w:rsid w:val="00B50002"/>
    <w:rsid w:val="00B500C0"/>
    <w:rsid w:val="00B5320A"/>
    <w:rsid w:val="00B53E03"/>
    <w:rsid w:val="00B54C70"/>
    <w:rsid w:val="00B569ED"/>
    <w:rsid w:val="00B56FBE"/>
    <w:rsid w:val="00B57ED3"/>
    <w:rsid w:val="00B60134"/>
    <w:rsid w:val="00B62801"/>
    <w:rsid w:val="00B6291A"/>
    <w:rsid w:val="00B63525"/>
    <w:rsid w:val="00B6395B"/>
    <w:rsid w:val="00B63C19"/>
    <w:rsid w:val="00B65E1B"/>
    <w:rsid w:val="00B66E40"/>
    <w:rsid w:val="00B70AC8"/>
    <w:rsid w:val="00B71FCB"/>
    <w:rsid w:val="00B73482"/>
    <w:rsid w:val="00B738E7"/>
    <w:rsid w:val="00B745C4"/>
    <w:rsid w:val="00B77595"/>
    <w:rsid w:val="00B778ED"/>
    <w:rsid w:val="00B80D7C"/>
    <w:rsid w:val="00B8213E"/>
    <w:rsid w:val="00B83922"/>
    <w:rsid w:val="00B83E7C"/>
    <w:rsid w:val="00B8646D"/>
    <w:rsid w:val="00B86719"/>
    <w:rsid w:val="00B87DFE"/>
    <w:rsid w:val="00B90A65"/>
    <w:rsid w:val="00B90B5C"/>
    <w:rsid w:val="00B91CF0"/>
    <w:rsid w:val="00B92372"/>
    <w:rsid w:val="00B926E3"/>
    <w:rsid w:val="00B934ED"/>
    <w:rsid w:val="00BA07C7"/>
    <w:rsid w:val="00BA1126"/>
    <w:rsid w:val="00BA5A28"/>
    <w:rsid w:val="00BA5FD2"/>
    <w:rsid w:val="00BA6E42"/>
    <w:rsid w:val="00BB0505"/>
    <w:rsid w:val="00BB10AB"/>
    <w:rsid w:val="00BB3F8C"/>
    <w:rsid w:val="00BB60B4"/>
    <w:rsid w:val="00BC0B85"/>
    <w:rsid w:val="00BC35D5"/>
    <w:rsid w:val="00BC4CC1"/>
    <w:rsid w:val="00BC5666"/>
    <w:rsid w:val="00BC6284"/>
    <w:rsid w:val="00BC76C4"/>
    <w:rsid w:val="00BD2BCF"/>
    <w:rsid w:val="00BD670A"/>
    <w:rsid w:val="00BD797F"/>
    <w:rsid w:val="00BE2897"/>
    <w:rsid w:val="00BE44F4"/>
    <w:rsid w:val="00BE6F01"/>
    <w:rsid w:val="00BE7363"/>
    <w:rsid w:val="00BE794A"/>
    <w:rsid w:val="00BF286F"/>
    <w:rsid w:val="00BF2E72"/>
    <w:rsid w:val="00BF3827"/>
    <w:rsid w:val="00BF74A5"/>
    <w:rsid w:val="00C00019"/>
    <w:rsid w:val="00C10EE9"/>
    <w:rsid w:val="00C128D7"/>
    <w:rsid w:val="00C20459"/>
    <w:rsid w:val="00C22AF9"/>
    <w:rsid w:val="00C2480D"/>
    <w:rsid w:val="00C36467"/>
    <w:rsid w:val="00C36805"/>
    <w:rsid w:val="00C458F1"/>
    <w:rsid w:val="00C45A93"/>
    <w:rsid w:val="00C45F55"/>
    <w:rsid w:val="00C47019"/>
    <w:rsid w:val="00C5009D"/>
    <w:rsid w:val="00C50FEF"/>
    <w:rsid w:val="00C547BD"/>
    <w:rsid w:val="00C56D7F"/>
    <w:rsid w:val="00C574B3"/>
    <w:rsid w:val="00C609A1"/>
    <w:rsid w:val="00C66A3A"/>
    <w:rsid w:val="00C67726"/>
    <w:rsid w:val="00C67896"/>
    <w:rsid w:val="00C67B9B"/>
    <w:rsid w:val="00C70904"/>
    <w:rsid w:val="00C72489"/>
    <w:rsid w:val="00C75A8A"/>
    <w:rsid w:val="00C75ED6"/>
    <w:rsid w:val="00C80420"/>
    <w:rsid w:val="00C810DC"/>
    <w:rsid w:val="00C83587"/>
    <w:rsid w:val="00C87095"/>
    <w:rsid w:val="00C908F4"/>
    <w:rsid w:val="00C941E3"/>
    <w:rsid w:val="00C97460"/>
    <w:rsid w:val="00CA0B7A"/>
    <w:rsid w:val="00CA2EE8"/>
    <w:rsid w:val="00CA3330"/>
    <w:rsid w:val="00CA7328"/>
    <w:rsid w:val="00CB121D"/>
    <w:rsid w:val="00CB55DE"/>
    <w:rsid w:val="00CB5BBF"/>
    <w:rsid w:val="00CC56FC"/>
    <w:rsid w:val="00CC7516"/>
    <w:rsid w:val="00CD0305"/>
    <w:rsid w:val="00CD0383"/>
    <w:rsid w:val="00CD06E1"/>
    <w:rsid w:val="00CD2124"/>
    <w:rsid w:val="00CD4F05"/>
    <w:rsid w:val="00CD7115"/>
    <w:rsid w:val="00CE0B2C"/>
    <w:rsid w:val="00CE185D"/>
    <w:rsid w:val="00CE18CC"/>
    <w:rsid w:val="00CE205F"/>
    <w:rsid w:val="00CE2E09"/>
    <w:rsid w:val="00CE3068"/>
    <w:rsid w:val="00CE74E0"/>
    <w:rsid w:val="00CE78A5"/>
    <w:rsid w:val="00CF1ED0"/>
    <w:rsid w:val="00CF490C"/>
    <w:rsid w:val="00D0190B"/>
    <w:rsid w:val="00D037E3"/>
    <w:rsid w:val="00D06A32"/>
    <w:rsid w:val="00D07322"/>
    <w:rsid w:val="00D07AF8"/>
    <w:rsid w:val="00D10261"/>
    <w:rsid w:val="00D1078C"/>
    <w:rsid w:val="00D11146"/>
    <w:rsid w:val="00D117C7"/>
    <w:rsid w:val="00D11986"/>
    <w:rsid w:val="00D13FD8"/>
    <w:rsid w:val="00D14300"/>
    <w:rsid w:val="00D16637"/>
    <w:rsid w:val="00D16F6B"/>
    <w:rsid w:val="00D17A39"/>
    <w:rsid w:val="00D31ED0"/>
    <w:rsid w:val="00D33337"/>
    <w:rsid w:val="00D333D7"/>
    <w:rsid w:val="00D337C9"/>
    <w:rsid w:val="00D40FB7"/>
    <w:rsid w:val="00D43193"/>
    <w:rsid w:val="00D44797"/>
    <w:rsid w:val="00D463FC"/>
    <w:rsid w:val="00D510C6"/>
    <w:rsid w:val="00D52277"/>
    <w:rsid w:val="00D528EA"/>
    <w:rsid w:val="00D5321D"/>
    <w:rsid w:val="00D61802"/>
    <w:rsid w:val="00D62439"/>
    <w:rsid w:val="00D637A5"/>
    <w:rsid w:val="00D63820"/>
    <w:rsid w:val="00D65E34"/>
    <w:rsid w:val="00D72545"/>
    <w:rsid w:val="00D74250"/>
    <w:rsid w:val="00D77306"/>
    <w:rsid w:val="00D81696"/>
    <w:rsid w:val="00D82875"/>
    <w:rsid w:val="00D83264"/>
    <w:rsid w:val="00D90561"/>
    <w:rsid w:val="00D91B1E"/>
    <w:rsid w:val="00D928B5"/>
    <w:rsid w:val="00D932CA"/>
    <w:rsid w:val="00D93ED1"/>
    <w:rsid w:val="00D951C0"/>
    <w:rsid w:val="00DA1E62"/>
    <w:rsid w:val="00DA4DA9"/>
    <w:rsid w:val="00DA6E9E"/>
    <w:rsid w:val="00DB130F"/>
    <w:rsid w:val="00DB1BC8"/>
    <w:rsid w:val="00DB4BD1"/>
    <w:rsid w:val="00DB6C96"/>
    <w:rsid w:val="00DB79CD"/>
    <w:rsid w:val="00DC0F0A"/>
    <w:rsid w:val="00DC1CD3"/>
    <w:rsid w:val="00DC3DB2"/>
    <w:rsid w:val="00DC5BE6"/>
    <w:rsid w:val="00DC6148"/>
    <w:rsid w:val="00DC7A1D"/>
    <w:rsid w:val="00DD2621"/>
    <w:rsid w:val="00DD5C33"/>
    <w:rsid w:val="00DE1DEF"/>
    <w:rsid w:val="00DE20A7"/>
    <w:rsid w:val="00DE3469"/>
    <w:rsid w:val="00DE40B1"/>
    <w:rsid w:val="00DE7245"/>
    <w:rsid w:val="00DE731C"/>
    <w:rsid w:val="00DF4A22"/>
    <w:rsid w:val="00DF4A26"/>
    <w:rsid w:val="00DF6272"/>
    <w:rsid w:val="00E0099D"/>
    <w:rsid w:val="00E017E5"/>
    <w:rsid w:val="00E03433"/>
    <w:rsid w:val="00E050D0"/>
    <w:rsid w:val="00E0745F"/>
    <w:rsid w:val="00E07B9E"/>
    <w:rsid w:val="00E10776"/>
    <w:rsid w:val="00E10D3E"/>
    <w:rsid w:val="00E13243"/>
    <w:rsid w:val="00E14DCB"/>
    <w:rsid w:val="00E15337"/>
    <w:rsid w:val="00E1551F"/>
    <w:rsid w:val="00E219C5"/>
    <w:rsid w:val="00E22782"/>
    <w:rsid w:val="00E23ADC"/>
    <w:rsid w:val="00E23E89"/>
    <w:rsid w:val="00E24327"/>
    <w:rsid w:val="00E31431"/>
    <w:rsid w:val="00E32532"/>
    <w:rsid w:val="00E32B9A"/>
    <w:rsid w:val="00E47C8C"/>
    <w:rsid w:val="00E661C3"/>
    <w:rsid w:val="00E71106"/>
    <w:rsid w:val="00E71F5F"/>
    <w:rsid w:val="00E737EA"/>
    <w:rsid w:val="00E74241"/>
    <w:rsid w:val="00E74582"/>
    <w:rsid w:val="00E77F49"/>
    <w:rsid w:val="00E832CF"/>
    <w:rsid w:val="00E83EC4"/>
    <w:rsid w:val="00E8492F"/>
    <w:rsid w:val="00E85FD6"/>
    <w:rsid w:val="00E90334"/>
    <w:rsid w:val="00E91E49"/>
    <w:rsid w:val="00E92122"/>
    <w:rsid w:val="00E923BB"/>
    <w:rsid w:val="00E96F5C"/>
    <w:rsid w:val="00EA0BB3"/>
    <w:rsid w:val="00EA3E8B"/>
    <w:rsid w:val="00EB0155"/>
    <w:rsid w:val="00EB069E"/>
    <w:rsid w:val="00EB0902"/>
    <w:rsid w:val="00EB54FE"/>
    <w:rsid w:val="00EB64C2"/>
    <w:rsid w:val="00EB6FB1"/>
    <w:rsid w:val="00EC310A"/>
    <w:rsid w:val="00EC33D6"/>
    <w:rsid w:val="00ED09D6"/>
    <w:rsid w:val="00ED231D"/>
    <w:rsid w:val="00ED33EE"/>
    <w:rsid w:val="00ED4D54"/>
    <w:rsid w:val="00ED6837"/>
    <w:rsid w:val="00EE2160"/>
    <w:rsid w:val="00EE2CD6"/>
    <w:rsid w:val="00EE56D1"/>
    <w:rsid w:val="00EE68F7"/>
    <w:rsid w:val="00EE6FC7"/>
    <w:rsid w:val="00EF172F"/>
    <w:rsid w:val="00EF652D"/>
    <w:rsid w:val="00EF723F"/>
    <w:rsid w:val="00F01D13"/>
    <w:rsid w:val="00F064F7"/>
    <w:rsid w:val="00F147E4"/>
    <w:rsid w:val="00F14B6E"/>
    <w:rsid w:val="00F20752"/>
    <w:rsid w:val="00F23746"/>
    <w:rsid w:val="00F23C31"/>
    <w:rsid w:val="00F2479A"/>
    <w:rsid w:val="00F2691F"/>
    <w:rsid w:val="00F317BE"/>
    <w:rsid w:val="00F325FA"/>
    <w:rsid w:val="00F338F1"/>
    <w:rsid w:val="00F3581C"/>
    <w:rsid w:val="00F40A35"/>
    <w:rsid w:val="00F42029"/>
    <w:rsid w:val="00F47D4F"/>
    <w:rsid w:val="00F521C0"/>
    <w:rsid w:val="00F52D7A"/>
    <w:rsid w:val="00F5425C"/>
    <w:rsid w:val="00F549B6"/>
    <w:rsid w:val="00F56E9B"/>
    <w:rsid w:val="00F57270"/>
    <w:rsid w:val="00F613B9"/>
    <w:rsid w:val="00F61DC8"/>
    <w:rsid w:val="00F635E3"/>
    <w:rsid w:val="00F65F7D"/>
    <w:rsid w:val="00F700C6"/>
    <w:rsid w:val="00F70939"/>
    <w:rsid w:val="00F72271"/>
    <w:rsid w:val="00F723F7"/>
    <w:rsid w:val="00F72634"/>
    <w:rsid w:val="00F745E9"/>
    <w:rsid w:val="00F76ED6"/>
    <w:rsid w:val="00F77613"/>
    <w:rsid w:val="00F8267F"/>
    <w:rsid w:val="00F84F0B"/>
    <w:rsid w:val="00F8680F"/>
    <w:rsid w:val="00F87747"/>
    <w:rsid w:val="00F90A44"/>
    <w:rsid w:val="00F969D0"/>
    <w:rsid w:val="00F97EFC"/>
    <w:rsid w:val="00FA1B0A"/>
    <w:rsid w:val="00FA75FA"/>
    <w:rsid w:val="00FB06D2"/>
    <w:rsid w:val="00FB65FB"/>
    <w:rsid w:val="00FC052A"/>
    <w:rsid w:val="00FC0D86"/>
    <w:rsid w:val="00FC1C13"/>
    <w:rsid w:val="00FC2112"/>
    <w:rsid w:val="00FC2D9B"/>
    <w:rsid w:val="00FC333F"/>
    <w:rsid w:val="00FD035B"/>
    <w:rsid w:val="00FD1A75"/>
    <w:rsid w:val="00FD4A01"/>
    <w:rsid w:val="00FD7CF4"/>
    <w:rsid w:val="00FE243A"/>
    <w:rsid w:val="00FE4F0A"/>
    <w:rsid w:val="00FE56BC"/>
    <w:rsid w:val="00FE642E"/>
    <w:rsid w:val="00FE7C33"/>
    <w:rsid w:val="00FE7DE9"/>
    <w:rsid w:val="00FF3936"/>
    <w:rsid w:val="00FF537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DE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ListParagraph"/>
    <w:next w:val="Normal"/>
    <w:link w:val="Heading1Char"/>
    <w:uiPriority w:val="9"/>
    <w:qFormat/>
    <w:rsid w:val="00E923BB"/>
    <w:pPr>
      <w:numPr>
        <w:numId w:val="1"/>
      </w:numPr>
      <w:suppressAutoHyphens/>
      <w:ind w:firstLine="634"/>
      <w:outlineLvl w:val="0"/>
    </w:pPr>
    <w:rPr>
      <w:b/>
      <w:bCs/>
      <w:sz w:val="20"/>
      <w:szCs w:val="20"/>
      <w:lang w:val="es-ES"/>
    </w:rPr>
  </w:style>
  <w:style w:type="paragraph" w:styleId="Heading2">
    <w:name w:val="heading 2"/>
    <w:basedOn w:val="ListParagraph"/>
    <w:next w:val="Normal"/>
    <w:link w:val="Heading2Char"/>
    <w:uiPriority w:val="9"/>
    <w:unhideWhenUsed/>
    <w:qFormat/>
    <w:rsid w:val="00E923BB"/>
    <w:pPr>
      <w:numPr>
        <w:numId w:val="3"/>
      </w:numPr>
      <w:suppressAutoHyphens/>
      <w:outlineLvl w:val="1"/>
    </w:pPr>
    <w:rPr>
      <w:b/>
      <w:bCs/>
      <w:sz w:val="20"/>
      <w:szCs w:val="20"/>
      <w:lang w:val="es-ES"/>
    </w:rPr>
  </w:style>
  <w:style w:type="paragraph" w:styleId="Heading3">
    <w:name w:val="heading 3"/>
    <w:basedOn w:val="ListParagraph"/>
    <w:next w:val="Normal"/>
    <w:link w:val="Heading3Char"/>
    <w:unhideWhenUsed/>
    <w:qFormat/>
    <w:rsid w:val="00E923BB"/>
    <w:pPr>
      <w:numPr>
        <w:ilvl w:val="3"/>
        <w:numId w:val="4"/>
      </w:numPr>
      <w:ind w:left="0" w:firstLine="0"/>
      <w:outlineLvl w:val="2"/>
    </w:pPr>
    <w:rPr>
      <w:b/>
      <w:bCs/>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widowControl w:val="0"/>
      <w:tabs>
        <w:tab w:val="center" w:pos="4320"/>
        <w:tab w:val="right" w:pos="8640"/>
      </w:tabs>
      <w:ind w:firstLine="634"/>
      <w:jc w:val="both"/>
    </w:pPr>
    <w:rPr>
      <w:rFonts w:ascii="Arial" w:hAnsi="Arial Unicode MS" w:cs="Arial Unicode MS"/>
      <w:color w:val="000000"/>
      <w:u w:color="000000"/>
      <w:lang w:val="es-ES_tradnl"/>
    </w:rPr>
  </w:style>
  <w:style w:type="paragraph" w:styleId="Footer">
    <w:name w:val="footer"/>
    <w:pPr>
      <w:tabs>
        <w:tab w:val="center" w:pos="4513"/>
        <w:tab w:val="right" w:pos="9026"/>
      </w:tabs>
      <w:ind w:firstLine="634"/>
      <w:jc w:val="both"/>
    </w:pPr>
    <w:rPr>
      <w:rFonts w:ascii="Cambria" w:eastAsia="Cambria" w:hAnsi="Cambria" w:cs="Cambria"/>
      <w:color w:val="000000"/>
      <w:sz w:val="24"/>
      <w:szCs w:val="24"/>
      <w:u w:color="000000"/>
      <w:lang w:val="en-US"/>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ind w:firstLine="634"/>
      <w:jc w:val="both"/>
    </w:pPr>
    <w:rPr>
      <w:rFonts w:ascii="Cambria" w:eastAsia="Cambria" w:hAnsi="Cambria" w:cs="Cambria"/>
      <w:color w:val="000000"/>
      <w:u w:color="000000"/>
    </w:rPr>
  </w:style>
  <w:style w:type="paragraph" w:styleId="NoSpacing">
    <w:name w:val="No Spacing"/>
    <w:pPr>
      <w:ind w:firstLine="634"/>
      <w:jc w:val="both"/>
    </w:pPr>
    <w:rPr>
      <w:rFonts w:ascii="Cambria" w:eastAsia="Cambria" w:hAnsi="Cambria" w:cs="Cambria"/>
      <w:color w:val="000000"/>
      <w:u w:color="000000"/>
      <w:lang w:val="es-ES_tradnl"/>
    </w:rPr>
  </w:style>
  <w:style w:type="paragraph" w:styleId="ListParagraph">
    <w:name w:val="List Paragraph"/>
    <w:aliases w:val="Párrafo de lista1,List Paragraph1,List Paragraph11,List Paragraph2,Lista vistosa - Énfasis 11"/>
    <w:link w:val="ListParagraphChar"/>
    <w:uiPriority w:val="99"/>
    <w:qFormat/>
    <w:pPr>
      <w:ind w:left="720" w:firstLine="634"/>
      <w:jc w:val="both"/>
    </w:pPr>
    <w:rPr>
      <w:rFonts w:ascii="Cambria" w:eastAsia="Cambria" w:hAnsi="Cambria" w:cs="Cambria"/>
      <w:color w:val="000000"/>
      <w:sz w:val="24"/>
      <w:szCs w:val="24"/>
      <w:u w:color="000000"/>
      <w:lang w:val="en-US"/>
    </w:rPr>
  </w:style>
  <w:style w:type="numbering" w:customStyle="1" w:styleId="List0">
    <w:name w:val="List 0"/>
    <w:basedOn w:val="ImportedStyle2"/>
    <w:pPr>
      <w:numPr>
        <w:numId w:val="23"/>
      </w:numPr>
    </w:pPr>
  </w:style>
  <w:style w:type="numbering" w:customStyle="1" w:styleId="ImportedStyle2">
    <w:name w:val="Imported Style 2"/>
  </w:style>
  <w:style w:type="numbering" w:customStyle="1" w:styleId="List1">
    <w:name w:val="List 1"/>
    <w:basedOn w:val="ImportedStyle3"/>
    <w:pPr>
      <w:numPr>
        <w:numId w:val="17"/>
      </w:numPr>
    </w:pPr>
  </w:style>
  <w:style w:type="numbering" w:customStyle="1" w:styleId="ImportedStyle3">
    <w:name w:val="Imported Style 3"/>
  </w:style>
  <w:style w:type="numbering" w:customStyle="1" w:styleId="List21">
    <w:name w:val="List 21"/>
    <w:basedOn w:val="ImportedStyle4"/>
    <w:pPr>
      <w:numPr>
        <w:numId w:val="24"/>
      </w:numPr>
    </w:pPr>
  </w:style>
  <w:style w:type="numbering" w:customStyle="1" w:styleId="ImportedStyle4">
    <w:name w:val="Imported Style 4"/>
  </w:style>
  <w:style w:type="numbering" w:customStyle="1" w:styleId="List31">
    <w:name w:val="List 31"/>
    <w:basedOn w:val="ImportedStyle5"/>
    <w:pPr>
      <w:numPr>
        <w:numId w:val="21"/>
      </w:numPr>
    </w:pPr>
  </w:style>
  <w:style w:type="numbering" w:customStyle="1" w:styleId="ImportedStyle5">
    <w:name w:val="Imported Style 5"/>
  </w:style>
  <w:style w:type="numbering" w:customStyle="1" w:styleId="List41">
    <w:name w:val="List 41"/>
    <w:basedOn w:val="ImportedStyle6"/>
    <w:pPr>
      <w:numPr>
        <w:numId w:val="22"/>
      </w:numPr>
    </w:pPr>
  </w:style>
  <w:style w:type="numbering" w:customStyle="1" w:styleId="ImportedStyle6">
    <w:name w:val="Imported Style 6"/>
  </w:style>
  <w:style w:type="numbering" w:customStyle="1" w:styleId="List51">
    <w:name w:val="List 51"/>
    <w:basedOn w:val="ImportedStyle6"/>
    <w:pPr>
      <w:numPr>
        <w:numId w:val="10"/>
      </w:numPr>
    </w:pPr>
  </w:style>
  <w:style w:type="numbering" w:customStyle="1" w:styleId="List6">
    <w:name w:val="List 6"/>
    <w:basedOn w:val="ImportedStyle3"/>
    <w:pPr>
      <w:numPr>
        <w:numId w:val="6"/>
      </w:numPr>
    </w:pPr>
  </w:style>
  <w:style w:type="numbering" w:customStyle="1" w:styleId="List7">
    <w:name w:val="List 7"/>
    <w:basedOn w:val="ImportedStyle6"/>
    <w:pPr>
      <w:numPr>
        <w:numId w:val="9"/>
      </w:numPr>
    </w:pPr>
  </w:style>
  <w:style w:type="numbering" w:customStyle="1" w:styleId="List8">
    <w:name w:val="List 8"/>
    <w:basedOn w:val="ImportedStyle6"/>
    <w:pPr>
      <w:numPr>
        <w:numId w:val="5"/>
      </w:numPr>
    </w:pPr>
  </w:style>
  <w:style w:type="numbering" w:customStyle="1" w:styleId="List9">
    <w:name w:val="List 9"/>
    <w:basedOn w:val="ImportedStyle6"/>
    <w:pPr>
      <w:numPr>
        <w:numId w:val="7"/>
      </w:numPr>
    </w:pPr>
  </w:style>
  <w:style w:type="numbering" w:customStyle="1" w:styleId="List10">
    <w:name w:val="List 10"/>
    <w:basedOn w:val="ImportedStyle6"/>
    <w:pPr>
      <w:numPr>
        <w:numId w:val="8"/>
      </w:numPr>
    </w:pPr>
  </w:style>
  <w:style w:type="numbering" w:customStyle="1" w:styleId="List11">
    <w:name w:val="List 11"/>
    <w:basedOn w:val="ImportedStyle7"/>
    <w:pPr>
      <w:numPr>
        <w:numId w:val="11"/>
      </w:numPr>
    </w:pPr>
  </w:style>
  <w:style w:type="numbering" w:customStyle="1" w:styleId="ImportedStyle7">
    <w:name w:val="Imported Style 7"/>
  </w:style>
  <w:style w:type="paragraph" w:customStyle="1" w:styleId="Default">
    <w:name w:val="Default"/>
    <w:rPr>
      <w:rFonts w:ascii="Helvetica" w:eastAsia="Helvetica" w:hAnsi="Helvetica" w:cs="Helvetica"/>
      <w:color w:val="000000"/>
      <w:sz w:val="22"/>
      <w:szCs w:val="22"/>
    </w:rPr>
  </w:style>
  <w:style w:type="numbering" w:customStyle="1" w:styleId="List12">
    <w:name w:val="List 12"/>
    <w:basedOn w:val="ImportedStyle8"/>
    <w:pPr>
      <w:numPr>
        <w:numId w:val="12"/>
      </w:numPr>
    </w:pPr>
  </w:style>
  <w:style w:type="numbering" w:customStyle="1" w:styleId="ImportedStyle8">
    <w:name w:val="Imported Style 8"/>
  </w:style>
  <w:style w:type="numbering" w:customStyle="1" w:styleId="List13">
    <w:name w:val="List 13"/>
    <w:basedOn w:val="ImportedStyle9"/>
    <w:pPr>
      <w:numPr>
        <w:numId w:val="20"/>
      </w:numPr>
    </w:pPr>
  </w:style>
  <w:style w:type="numbering" w:customStyle="1" w:styleId="ImportedStyle9">
    <w:name w:val="Imported Style 9"/>
  </w:style>
  <w:style w:type="numbering" w:customStyle="1" w:styleId="List14">
    <w:name w:val="List 14"/>
    <w:basedOn w:val="ImportedStyle10"/>
    <w:pPr>
      <w:numPr>
        <w:numId w:val="15"/>
      </w:numPr>
    </w:pPr>
  </w:style>
  <w:style w:type="numbering" w:customStyle="1" w:styleId="ImportedStyle10">
    <w:name w:val="Imported Style 10"/>
  </w:style>
  <w:style w:type="character" w:customStyle="1" w:styleId="Link">
    <w:name w:val="Link"/>
    <w:rPr>
      <w:u w:val="single"/>
    </w:rPr>
  </w:style>
  <w:style w:type="character" w:customStyle="1" w:styleId="Hyperlink0">
    <w:name w:val="Hyperlink.0"/>
    <w:basedOn w:val="Link"/>
    <w:rPr>
      <w:sz w:val="16"/>
      <w:szCs w:val="16"/>
      <w:u w:val="none"/>
      <w:shd w:val="clear" w:color="auto" w:fill="FFFFFF"/>
      <w:lang w:val="es-ES_tradnl"/>
    </w:rPr>
  </w:style>
  <w:style w:type="numbering" w:customStyle="1" w:styleId="List15">
    <w:name w:val="List 15"/>
    <w:basedOn w:val="ImportedStyle10"/>
    <w:pPr>
      <w:numPr>
        <w:numId w:val="13"/>
      </w:numPr>
    </w:pPr>
  </w:style>
  <w:style w:type="numbering" w:customStyle="1" w:styleId="List16">
    <w:name w:val="List 16"/>
    <w:basedOn w:val="ImportedStyle11"/>
    <w:pPr>
      <w:numPr>
        <w:numId w:val="14"/>
      </w:numPr>
    </w:pPr>
  </w:style>
  <w:style w:type="numbering" w:customStyle="1" w:styleId="ImportedStyle11">
    <w:name w:val="Imported Style 11"/>
  </w:style>
  <w:style w:type="paragraph" w:customStyle="1" w:styleId="Style2">
    <w:name w:val="Style2"/>
    <w:link w:val="Style2Char"/>
    <w:qFormat/>
    <w:pPr>
      <w:tabs>
        <w:tab w:val="left" w:pos="720"/>
      </w:tabs>
      <w:ind w:firstLine="720"/>
      <w:jc w:val="both"/>
    </w:pPr>
    <w:rPr>
      <w:rFonts w:ascii="Cambria" w:eastAsia="Cambria" w:hAnsi="Cambria" w:cs="Cambria"/>
      <w:color w:val="000000"/>
      <w:u w:color="000000"/>
      <w:lang w:val="es-ES_tradnl"/>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ind w:firstLine="634"/>
      <w:jc w:val="both"/>
    </w:pPr>
    <w:rPr>
      <w:rFonts w:ascii="Cambria" w:eastAsia="Cambria" w:hAnsi="Cambria" w:cs="Cambria"/>
      <w:color w:val="000000"/>
      <w:sz w:val="16"/>
      <w:szCs w:val="16"/>
      <w:u w:color="000000"/>
      <w:lang w:val="en-US"/>
    </w:rPr>
  </w:style>
  <w:style w:type="paragraph" w:customStyle="1" w:styleId="ColorfulList-Accent11">
    <w:name w:val="Colorful List - Accent 11"/>
    <w:pPr>
      <w:ind w:left="720"/>
    </w:pPr>
    <w:rPr>
      <w:rFonts w:ascii="Cambria" w:eastAsia="Cambria" w:hAnsi="Cambria" w:cs="Cambria"/>
      <w:color w:val="000000"/>
      <w:sz w:val="24"/>
      <w:szCs w:val="24"/>
      <w:u w:color="000000"/>
      <w:lang w:val="en-US"/>
    </w:rPr>
  </w:style>
  <w:style w:type="numbering" w:customStyle="1" w:styleId="List17">
    <w:name w:val="List 17"/>
    <w:basedOn w:val="ImportedStyle13"/>
    <w:pPr>
      <w:numPr>
        <w:numId w:val="16"/>
      </w:numPr>
    </w:pPr>
  </w:style>
  <w:style w:type="numbering" w:customStyle="1" w:styleId="ImportedStyle13">
    <w:name w:val="Imported Style 13"/>
  </w:style>
  <w:style w:type="character" w:customStyle="1" w:styleId="st">
    <w:name w:val="st"/>
  </w:style>
  <w:style w:type="character" w:customStyle="1" w:styleId="Hyperlink1">
    <w:name w:val="Hyperlink.1"/>
    <w:basedOn w:val="st"/>
    <w:rPr>
      <w:sz w:val="16"/>
      <w:szCs w:val="16"/>
    </w:rPr>
  </w:style>
  <w:style w:type="numbering" w:customStyle="1" w:styleId="List18">
    <w:name w:val="List 18"/>
    <w:basedOn w:val="ImportedStyle14"/>
    <w:pPr>
      <w:numPr>
        <w:numId w:val="18"/>
      </w:numPr>
    </w:pPr>
  </w:style>
  <w:style w:type="numbering" w:customStyle="1" w:styleId="ImportedStyle14">
    <w:name w:val="Imported Style 14"/>
  </w:style>
  <w:style w:type="numbering" w:customStyle="1" w:styleId="List19">
    <w:name w:val="List 19"/>
    <w:basedOn w:val="ImportedStyle15"/>
    <w:pPr>
      <w:numPr>
        <w:numId w:val="19"/>
      </w:numPr>
    </w:pPr>
  </w:style>
  <w:style w:type="numbering" w:customStyle="1" w:styleId="ImportedStyle15">
    <w:name w:val="Imported Style 15"/>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037E3"/>
    <w:rPr>
      <w:rFonts w:ascii="Tahoma" w:hAnsi="Tahoma" w:cs="Tahoma"/>
      <w:sz w:val="16"/>
      <w:szCs w:val="16"/>
    </w:rPr>
  </w:style>
  <w:style w:type="character" w:customStyle="1" w:styleId="BalloonTextChar">
    <w:name w:val="Balloon Text Char"/>
    <w:basedOn w:val="DefaultParagraphFont"/>
    <w:link w:val="BalloonText"/>
    <w:uiPriority w:val="99"/>
    <w:semiHidden/>
    <w:rsid w:val="00D037E3"/>
    <w:rPr>
      <w:rFonts w:ascii="Tahoma" w:hAnsi="Tahoma" w:cs="Tahoma"/>
      <w:sz w:val="16"/>
      <w:szCs w:val="16"/>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rsid w:val="00C70904"/>
    <w:rPr>
      <w:rFonts w:ascii="Cambria" w:eastAsia="Cambria" w:hAnsi="Cambria" w:cs="Cambria"/>
      <w:color w:val="000000"/>
      <w:sz w:val="16"/>
      <w:szCs w:val="16"/>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unhideWhenUsed/>
    <w:qFormat/>
    <w:rsid w:val="00C70904"/>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C70904"/>
    <w:pPr>
      <w:spacing w:after="160" w:line="240" w:lineRule="exact"/>
    </w:pPr>
    <w:rPr>
      <w:sz w:val="20"/>
      <w:szCs w:val="20"/>
      <w:vertAlign w:val="superscript"/>
      <w:lang w:val="es-CL" w:eastAsia="es-CL"/>
    </w:rPr>
  </w:style>
  <w:style w:type="character" w:customStyle="1" w:styleId="ListParagraphChar">
    <w:name w:val="List Paragraph Char"/>
    <w:aliases w:val="Párrafo de lista1 Char,List Paragraph1 Char,List Paragraph11 Char,List Paragraph2 Char,Lista vistosa - Énfasis 11 Char"/>
    <w:link w:val="ListParagraph"/>
    <w:uiPriority w:val="99"/>
    <w:locked/>
    <w:rsid w:val="00C70904"/>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6C4D8A"/>
  </w:style>
  <w:style w:type="paragraph" w:styleId="BodyTextIndent">
    <w:name w:val="Body Text Indent"/>
    <w:link w:val="BodyTextIndentChar"/>
    <w:semiHidden/>
    <w:unhideWhenUsed/>
    <w:rsid w:val="00547C71"/>
    <w:pPr>
      <w:pBdr>
        <w:top w:val="none" w:sz="0" w:space="0" w:color="auto"/>
        <w:left w:val="none" w:sz="0" w:space="0" w:color="auto"/>
        <w:bottom w:val="none" w:sz="0" w:space="0" w:color="auto"/>
        <w:right w:val="none" w:sz="0" w:space="0" w:color="auto"/>
        <w:between w:val="none" w:sz="0" w:space="0" w:color="auto"/>
        <w:bar w:val="none" w:sz="0" w:color="auto"/>
      </w:pBdr>
      <w:ind w:left="2160" w:hanging="720"/>
    </w:pPr>
    <w:rPr>
      <w:rFonts w:eastAsia="Times New Roman"/>
      <w:color w:val="000000"/>
      <w:sz w:val="24"/>
      <w:szCs w:val="24"/>
      <w:u w:color="000000"/>
      <w:bdr w:val="none" w:sz="0" w:space="0" w:color="auto"/>
      <w:lang w:val="es-ES_tradnl" w:eastAsia="es-ES"/>
    </w:rPr>
  </w:style>
  <w:style w:type="character" w:customStyle="1" w:styleId="BodyTextIndentChar">
    <w:name w:val="Body Text Indent Char"/>
    <w:basedOn w:val="DefaultParagraphFont"/>
    <w:link w:val="BodyTextIndent"/>
    <w:semiHidden/>
    <w:rsid w:val="00547C71"/>
    <w:rPr>
      <w:rFonts w:eastAsia="Times New Roman"/>
      <w:color w:val="000000"/>
      <w:sz w:val="24"/>
      <w:szCs w:val="24"/>
      <w:u w:color="000000"/>
      <w:bdr w:val="none" w:sz="0" w:space="0" w:color="auto"/>
      <w:lang w:val="es-ES_tradnl" w:eastAsia="es-ES"/>
    </w:rPr>
  </w:style>
  <w:style w:type="character" w:styleId="Strong">
    <w:name w:val="Strong"/>
    <w:basedOn w:val="DefaultParagraphFont"/>
    <w:uiPriority w:val="22"/>
    <w:qFormat/>
    <w:rsid w:val="00802CD3"/>
    <w:rPr>
      <w:b/>
      <w:bCs/>
    </w:rPr>
  </w:style>
  <w:style w:type="paragraph" w:styleId="CommentSubject">
    <w:name w:val="annotation subject"/>
    <w:basedOn w:val="CommentText"/>
    <w:next w:val="CommentText"/>
    <w:link w:val="CommentSubjectChar"/>
    <w:uiPriority w:val="99"/>
    <w:semiHidden/>
    <w:unhideWhenUsed/>
    <w:rsid w:val="004411DD"/>
    <w:rPr>
      <w:b/>
      <w:bCs/>
    </w:rPr>
  </w:style>
  <w:style w:type="character" w:customStyle="1" w:styleId="CommentSubjectChar">
    <w:name w:val="Comment Subject Char"/>
    <w:basedOn w:val="CommentTextChar"/>
    <w:link w:val="CommentSubject"/>
    <w:uiPriority w:val="99"/>
    <w:semiHidden/>
    <w:rsid w:val="004411DD"/>
    <w:rPr>
      <w:b/>
      <w:bCs/>
      <w:lang w:val="en-US" w:eastAsia="en-US"/>
    </w:rPr>
  </w:style>
  <w:style w:type="paragraph" w:styleId="Revision">
    <w:name w:val="Revision"/>
    <w:hidden/>
    <w:uiPriority w:val="99"/>
    <w:semiHidden/>
    <w:rsid w:val="00464F3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Style2Char">
    <w:name w:val="Style2 Char"/>
    <w:link w:val="Style2"/>
    <w:rsid w:val="00300A42"/>
    <w:rPr>
      <w:rFonts w:ascii="Cambria" w:eastAsia="Cambria" w:hAnsi="Cambria" w:cs="Cambria"/>
      <w:color w:val="000000"/>
      <w:u w:color="000000"/>
      <w:lang w:val="es-ES_tradnl"/>
    </w:rPr>
  </w:style>
  <w:style w:type="character" w:customStyle="1" w:styleId="Heading3Char">
    <w:name w:val="Heading 3 Char"/>
    <w:basedOn w:val="DefaultParagraphFont"/>
    <w:link w:val="Heading3"/>
    <w:rsid w:val="00E923BB"/>
    <w:rPr>
      <w:rFonts w:ascii="Cambria" w:eastAsia="Cambria" w:hAnsi="Cambria" w:cs="Cambria"/>
      <w:b/>
      <w:bCs/>
      <w:color w:val="000000"/>
      <w:u w:color="000000"/>
      <w:lang w:val="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BB10AB"/>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character" w:styleId="PlaceholderText">
    <w:name w:val="Placeholder Text"/>
    <w:basedOn w:val="DefaultParagraphFont"/>
    <w:uiPriority w:val="99"/>
    <w:semiHidden/>
    <w:rsid w:val="00CA3330"/>
    <w:rPr>
      <w:color w:val="808080"/>
    </w:rPr>
  </w:style>
  <w:style w:type="paragraph" w:customStyle="1" w:styleId="Cabeceraypie">
    <w:name w:val="Cabecera y pie"/>
    <w:rsid w:val="000E20D9"/>
    <w:pPr>
      <w:tabs>
        <w:tab w:val="right" w:pos="9020"/>
      </w:tabs>
    </w:pPr>
    <w:rPr>
      <w:rFonts w:ascii="Helvetica" w:hAnsi="Arial Unicode MS" w:cs="Arial Unicode MS"/>
      <w:color w:val="000000"/>
      <w:sz w:val="24"/>
      <w:szCs w:val="24"/>
      <w:lang w:val="es-ES" w:eastAsia="es-ES"/>
    </w:rPr>
  </w:style>
  <w:style w:type="paragraph" w:customStyle="1" w:styleId="1">
    <w:name w:val="1"/>
    <w:basedOn w:val="Normal"/>
    <w:rsid w:val="000E20D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customStyle="1" w:styleId="Heading1Char">
    <w:name w:val="Heading 1 Char"/>
    <w:basedOn w:val="DefaultParagraphFont"/>
    <w:link w:val="Heading1"/>
    <w:uiPriority w:val="9"/>
    <w:rsid w:val="00E923BB"/>
    <w:rPr>
      <w:rFonts w:ascii="Cambria" w:eastAsia="Cambria" w:hAnsi="Cambria" w:cs="Cambria"/>
      <w:b/>
      <w:bCs/>
      <w:color w:val="000000"/>
      <w:u w:color="000000"/>
      <w:lang w:val="es-ES"/>
    </w:rPr>
  </w:style>
  <w:style w:type="character" w:customStyle="1" w:styleId="Heading2Char">
    <w:name w:val="Heading 2 Char"/>
    <w:basedOn w:val="DefaultParagraphFont"/>
    <w:link w:val="Heading2"/>
    <w:uiPriority w:val="9"/>
    <w:rsid w:val="00E923BB"/>
    <w:rPr>
      <w:rFonts w:ascii="Cambria" w:eastAsia="Cambria" w:hAnsi="Cambria" w:cs="Cambria"/>
      <w:b/>
      <w:bCs/>
      <w:color w:val="000000"/>
      <w:u w:color="000000"/>
      <w:lang w:val="es-ES"/>
    </w:rPr>
  </w:style>
  <w:style w:type="paragraph" w:styleId="TOCHeading">
    <w:name w:val="TOC Heading"/>
    <w:basedOn w:val="Heading1"/>
    <w:next w:val="Normal"/>
    <w:uiPriority w:val="39"/>
    <w:unhideWhenUsed/>
    <w:qFormat/>
    <w:rsid w:val="00A44513"/>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480" w:line="276" w:lineRule="auto"/>
      <w:jc w:val="left"/>
      <w:outlineLvl w:val="9"/>
    </w:pPr>
    <w:rPr>
      <w:rFonts w:asciiTheme="majorHAnsi" w:eastAsiaTheme="majorEastAsia" w:hAnsiTheme="majorHAnsi" w:cstheme="majorBidi"/>
      <w:color w:val="2F759E" w:themeColor="accent1" w:themeShade="BF"/>
      <w:sz w:val="28"/>
      <w:szCs w:val="28"/>
      <w:bdr w:val="none" w:sz="0" w:space="0" w:color="auto"/>
      <w:lang w:val="en-US" w:eastAsia="ja-JP"/>
    </w:rPr>
  </w:style>
  <w:style w:type="paragraph" w:styleId="TOC1">
    <w:name w:val="toc 1"/>
    <w:basedOn w:val="Normal"/>
    <w:next w:val="Normal"/>
    <w:autoRedefine/>
    <w:uiPriority w:val="39"/>
    <w:unhideWhenUsed/>
    <w:rsid w:val="00EA3E8B"/>
    <w:pPr>
      <w:tabs>
        <w:tab w:val="left" w:pos="480"/>
        <w:tab w:val="right" w:leader="dot" w:pos="9771"/>
      </w:tabs>
      <w:spacing w:after="100"/>
    </w:pPr>
    <w:rPr>
      <w:rFonts w:ascii="Cambria" w:eastAsia="Times New Roman" w:hAnsi="Cambria"/>
      <w:b/>
      <w:noProof/>
      <w:sz w:val="20"/>
      <w:szCs w:val="20"/>
      <w:lang w:val="es-ES_tradnl"/>
    </w:rPr>
  </w:style>
  <w:style w:type="paragraph" w:styleId="TOC2">
    <w:name w:val="toc 2"/>
    <w:basedOn w:val="Normal"/>
    <w:next w:val="Normal"/>
    <w:autoRedefine/>
    <w:uiPriority w:val="39"/>
    <w:unhideWhenUsed/>
    <w:rsid w:val="002B4A95"/>
    <w:pPr>
      <w:tabs>
        <w:tab w:val="left" w:pos="540"/>
        <w:tab w:val="right" w:leader="dot" w:pos="9771"/>
      </w:tabs>
      <w:spacing w:after="100"/>
      <w:ind w:left="540" w:hanging="540"/>
    </w:pPr>
  </w:style>
  <w:style w:type="paragraph" w:styleId="TOC3">
    <w:name w:val="toc 3"/>
    <w:basedOn w:val="Normal"/>
    <w:next w:val="Normal"/>
    <w:autoRedefine/>
    <w:uiPriority w:val="39"/>
    <w:unhideWhenUsed/>
    <w:rsid w:val="002B4A95"/>
    <w:pPr>
      <w:tabs>
        <w:tab w:val="left" w:pos="540"/>
        <w:tab w:val="right" w:leader="dot" w:pos="9771"/>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4563">
      <w:bodyDiv w:val="1"/>
      <w:marLeft w:val="0"/>
      <w:marRight w:val="0"/>
      <w:marTop w:val="0"/>
      <w:marBottom w:val="0"/>
      <w:divBdr>
        <w:top w:val="none" w:sz="0" w:space="0" w:color="auto"/>
        <w:left w:val="none" w:sz="0" w:space="0" w:color="auto"/>
        <w:bottom w:val="none" w:sz="0" w:space="0" w:color="auto"/>
        <w:right w:val="none" w:sz="0" w:space="0" w:color="auto"/>
      </w:divBdr>
      <w:divsChild>
        <w:div w:id="1537234893">
          <w:marLeft w:val="0"/>
          <w:marRight w:val="0"/>
          <w:marTop w:val="0"/>
          <w:marBottom w:val="0"/>
          <w:divBdr>
            <w:top w:val="none" w:sz="0" w:space="0" w:color="auto"/>
            <w:left w:val="none" w:sz="0" w:space="0" w:color="auto"/>
            <w:bottom w:val="none" w:sz="0" w:space="0" w:color="auto"/>
            <w:right w:val="none" w:sz="0" w:space="0" w:color="auto"/>
          </w:divBdr>
          <w:divsChild>
            <w:div w:id="1819570310">
              <w:marLeft w:val="0"/>
              <w:marRight w:val="0"/>
              <w:marTop w:val="0"/>
              <w:marBottom w:val="0"/>
              <w:divBdr>
                <w:top w:val="none" w:sz="0" w:space="0" w:color="auto"/>
                <w:left w:val="none" w:sz="0" w:space="0" w:color="auto"/>
                <w:bottom w:val="none" w:sz="0" w:space="0" w:color="auto"/>
                <w:right w:val="none" w:sz="0" w:space="0" w:color="auto"/>
              </w:divBdr>
            </w:div>
            <w:div w:id="1695618265">
              <w:marLeft w:val="0"/>
              <w:marRight w:val="0"/>
              <w:marTop w:val="0"/>
              <w:marBottom w:val="0"/>
              <w:divBdr>
                <w:top w:val="none" w:sz="0" w:space="0" w:color="auto"/>
                <w:left w:val="none" w:sz="0" w:space="0" w:color="auto"/>
                <w:bottom w:val="none" w:sz="0" w:space="0" w:color="auto"/>
                <w:right w:val="none" w:sz="0" w:space="0" w:color="auto"/>
              </w:divBdr>
            </w:div>
            <w:div w:id="1145583720">
              <w:marLeft w:val="0"/>
              <w:marRight w:val="0"/>
              <w:marTop w:val="0"/>
              <w:marBottom w:val="0"/>
              <w:divBdr>
                <w:top w:val="none" w:sz="0" w:space="0" w:color="auto"/>
                <w:left w:val="none" w:sz="0" w:space="0" w:color="auto"/>
                <w:bottom w:val="none" w:sz="0" w:space="0" w:color="auto"/>
                <w:right w:val="none" w:sz="0" w:space="0" w:color="auto"/>
              </w:divBdr>
            </w:div>
            <w:div w:id="2061584856">
              <w:marLeft w:val="0"/>
              <w:marRight w:val="0"/>
              <w:marTop w:val="0"/>
              <w:marBottom w:val="0"/>
              <w:divBdr>
                <w:top w:val="none" w:sz="0" w:space="0" w:color="auto"/>
                <w:left w:val="none" w:sz="0" w:space="0" w:color="auto"/>
                <w:bottom w:val="none" w:sz="0" w:space="0" w:color="auto"/>
                <w:right w:val="none" w:sz="0" w:space="0" w:color="auto"/>
              </w:divBdr>
            </w:div>
            <w:div w:id="24065244">
              <w:marLeft w:val="0"/>
              <w:marRight w:val="0"/>
              <w:marTop w:val="0"/>
              <w:marBottom w:val="0"/>
              <w:divBdr>
                <w:top w:val="none" w:sz="0" w:space="0" w:color="auto"/>
                <w:left w:val="none" w:sz="0" w:space="0" w:color="auto"/>
                <w:bottom w:val="none" w:sz="0" w:space="0" w:color="auto"/>
                <w:right w:val="none" w:sz="0" w:space="0" w:color="auto"/>
              </w:divBdr>
            </w:div>
            <w:div w:id="60107151">
              <w:marLeft w:val="0"/>
              <w:marRight w:val="0"/>
              <w:marTop w:val="0"/>
              <w:marBottom w:val="0"/>
              <w:divBdr>
                <w:top w:val="none" w:sz="0" w:space="0" w:color="auto"/>
                <w:left w:val="none" w:sz="0" w:space="0" w:color="auto"/>
                <w:bottom w:val="none" w:sz="0" w:space="0" w:color="auto"/>
                <w:right w:val="none" w:sz="0" w:space="0" w:color="auto"/>
              </w:divBdr>
            </w:div>
            <w:div w:id="1718813577">
              <w:marLeft w:val="0"/>
              <w:marRight w:val="0"/>
              <w:marTop w:val="0"/>
              <w:marBottom w:val="0"/>
              <w:divBdr>
                <w:top w:val="none" w:sz="0" w:space="0" w:color="auto"/>
                <w:left w:val="none" w:sz="0" w:space="0" w:color="auto"/>
                <w:bottom w:val="none" w:sz="0" w:space="0" w:color="auto"/>
                <w:right w:val="none" w:sz="0" w:space="0" w:color="auto"/>
              </w:divBdr>
            </w:div>
            <w:div w:id="740175267">
              <w:marLeft w:val="0"/>
              <w:marRight w:val="0"/>
              <w:marTop w:val="0"/>
              <w:marBottom w:val="0"/>
              <w:divBdr>
                <w:top w:val="none" w:sz="0" w:space="0" w:color="auto"/>
                <w:left w:val="none" w:sz="0" w:space="0" w:color="auto"/>
                <w:bottom w:val="none" w:sz="0" w:space="0" w:color="auto"/>
                <w:right w:val="none" w:sz="0" w:space="0" w:color="auto"/>
              </w:divBdr>
            </w:div>
            <w:div w:id="1769278959">
              <w:marLeft w:val="0"/>
              <w:marRight w:val="0"/>
              <w:marTop w:val="0"/>
              <w:marBottom w:val="0"/>
              <w:divBdr>
                <w:top w:val="none" w:sz="0" w:space="0" w:color="auto"/>
                <w:left w:val="none" w:sz="0" w:space="0" w:color="auto"/>
                <w:bottom w:val="none" w:sz="0" w:space="0" w:color="auto"/>
                <w:right w:val="none" w:sz="0" w:space="0" w:color="auto"/>
              </w:divBdr>
            </w:div>
            <w:div w:id="428352385">
              <w:marLeft w:val="0"/>
              <w:marRight w:val="0"/>
              <w:marTop w:val="0"/>
              <w:marBottom w:val="0"/>
              <w:divBdr>
                <w:top w:val="none" w:sz="0" w:space="0" w:color="auto"/>
                <w:left w:val="none" w:sz="0" w:space="0" w:color="auto"/>
                <w:bottom w:val="none" w:sz="0" w:space="0" w:color="auto"/>
                <w:right w:val="none" w:sz="0" w:space="0" w:color="auto"/>
              </w:divBdr>
            </w:div>
            <w:div w:id="309409789">
              <w:marLeft w:val="0"/>
              <w:marRight w:val="0"/>
              <w:marTop w:val="0"/>
              <w:marBottom w:val="0"/>
              <w:divBdr>
                <w:top w:val="none" w:sz="0" w:space="0" w:color="auto"/>
                <w:left w:val="none" w:sz="0" w:space="0" w:color="auto"/>
                <w:bottom w:val="none" w:sz="0" w:space="0" w:color="auto"/>
                <w:right w:val="none" w:sz="0" w:space="0" w:color="auto"/>
              </w:divBdr>
            </w:div>
            <w:div w:id="41053106">
              <w:marLeft w:val="0"/>
              <w:marRight w:val="0"/>
              <w:marTop w:val="0"/>
              <w:marBottom w:val="0"/>
              <w:divBdr>
                <w:top w:val="none" w:sz="0" w:space="0" w:color="auto"/>
                <w:left w:val="none" w:sz="0" w:space="0" w:color="auto"/>
                <w:bottom w:val="none" w:sz="0" w:space="0" w:color="auto"/>
                <w:right w:val="none" w:sz="0" w:space="0" w:color="auto"/>
              </w:divBdr>
            </w:div>
            <w:div w:id="1099638800">
              <w:marLeft w:val="0"/>
              <w:marRight w:val="0"/>
              <w:marTop w:val="0"/>
              <w:marBottom w:val="0"/>
              <w:divBdr>
                <w:top w:val="none" w:sz="0" w:space="0" w:color="auto"/>
                <w:left w:val="none" w:sz="0" w:space="0" w:color="auto"/>
                <w:bottom w:val="none" w:sz="0" w:space="0" w:color="auto"/>
                <w:right w:val="none" w:sz="0" w:space="0" w:color="auto"/>
              </w:divBdr>
            </w:div>
            <w:div w:id="119232871">
              <w:marLeft w:val="0"/>
              <w:marRight w:val="0"/>
              <w:marTop w:val="0"/>
              <w:marBottom w:val="0"/>
              <w:divBdr>
                <w:top w:val="none" w:sz="0" w:space="0" w:color="auto"/>
                <w:left w:val="none" w:sz="0" w:space="0" w:color="auto"/>
                <w:bottom w:val="none" w:sz="0" w:space="0" w:color="auto"/>
                <w:right w:val="none" w:sz="0" w:space="0" w:color="auto"/>
              </w:divBdr>
            </w:div>
            <w:div w:id="1863324561">
              <w:marLeft w:val="0"/>
              <w:marRight w:val="0"/>
              <w:marTop w:val="0"/>
              <w:marBottom w:val="0"/>
              <w:divBdr>
                <w:top w:val="none" w:sz="0" w:space="0" w:color="auto"/>
                <w:left w:val="none" w:sz="0" w:space="0" w:color="auto"/>
                <w:bottom w:val="none" w:sz="0" w:space="0" w:color="auto"/>
                <w:right w:val="none" w:sz="0" w:space="0" w:color="auto"/>
              </w:divBdr>
            </w:div>
            <w:div w:id="503017429">
              <w:marLeft w:val="0"/>
              <w:marRight w:val="0"/>
              <w:marTop w:val="0"/>
              <w:marBottom w:val="0"/>
              <w:divBdr>
                <w:top w:val="none" w:sz="0" w:space="0" w:color="auto"/>
                <w:left w:val="none" w:sz="0" w:space="0" w:color="auto"/>
                <w:bottom w:val="none" w:sz="0" w:space="0" w:color="auto"/>
                <w:right w:val="none" w:sz="0" w:space="0" w:color="auto"/>
              </w:divBdr>
            </w:div>
            <w:div w:id="1548950530">
              <w:marLeft w:val="0"/>
              <w:marRight w:val="0"/>
              <w:marTop w:val="0"/>
              <w:marBottom w:val="0"/>
              <w:divBdr>
                <w:top w:val="none" w:sz="0" w:space="0" w:color="auto"/>
                <w:left w:val="none" w:sz="0" w:space="0" w:color="auto"/>
                <w:bottom w:val="none" w:sz="0" w:space="0" w:color="auto"/>
                <w:right w:val="none" w:sz="0" w:space="0" w:color="auto"/>
              </w:divBdr>
            </w:div>
            <w:div w:id="3284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653">
      <w:bodyDiv w:val="1"/>
      <w:marLeft w:val="0"/>
      <w:marRight w:val="0"/>
      <w:marTop w:val="0"/>
      <w:marBottom w:val="0"/>
      <w:divBdr>
        <w:top w:val="none" w:sz="0" w:space="0" w:color="auto"/>
        <w:left w:val="none" w:sz="0" w:space="0" w:color="auto"/>
        <w:bottom w:val="none" w:sz="0" w:space="0" w:color="auto"/>
        <w:right w:val="none" w:sz="0" w:space="0" w:color="auto"/>
      </w:divBdr>
      <w:divsChild>
        <w:div w:id="814293824">
          <w:marLeft w:val="0"/>
          <w:marRight w:val="0"/>
          <w:marTop w:val="0"/>
          <w:marBottom w:val="0"/>
          <w:divBdr>
            <w:top w:val="none" w:sz="0" w:space="0" w:color="auto"/>
            <w:left w:val="none" w:sz="0" w:space="0" w:color="auto"/>
            <w:bottom w:val="none" w:sz="0" w:space="0" w:color="auto"/>
            <w:right w:val="none" w:sz="0" w:space="0" w:color="auto"/>
          </w:divBdr>
        </w:div>
        <w:div w:id="1740131970">
          <w:marLeft w:val="0"/>
          <w:marRight w:val="0"/>
          <w:marTop w:val="0"/>
          <w:marBottom w:val="0"/>
          <w:divBdr>
            <w:top w:val="none" w:sz="0" w:space="0" w:color="auto"/>
            <w:left w:val="none" w:sz="0" w:space="0" w:color="auto"/>
            <w:bottom w:val="none" w:sz="0" w:space="0" w:color="auto"/>
            <w:right w:val="none" w:sz="0" w:space="0" w:color="auto"/>
          </w:divBdr>
        </w:div>
        <w:div w:id="1883396880">
          <w:marLeft w:val="0"/>
          <w:marRight w:val="0"/>
          <w:marTop w:val="0"/>
          <w:marBottom w:val="0"/>
          <w:divBdr>
            <w:top w:val="none" w:sz="0" w:space="0" w:color="auto"/>
            <w:left w:val="none" w:sz="0" w:space="0" w:color="auto"/>
            <w:bottom w:val="none" w:sz="0" w:space="0" w:color="auto"/>
            <w:right w:val="none" w:sz="0" w:space="0" w:color="auto"/>
          </w:divBdr>
        </w:div>
        <w:div w:id="566956947">
          <w:marLeft w:val="0"/>
          <w:marRight w:val="0"/>
          <w:marTop w:val="0"/>
          <w:marBottom w:val="0"/>
          <w:divBdr>
            <w:top w:val="none" w:sz="0" w:space="0" w:color="auto"/>
            <w:left w:val="none" w:sz="0" w:space="0" w:color="auto"/>
            <w:bottom w:val="none" w:sz="0" w:space="0" w:color="auto"/>
            <w:right w:val="none" w:sz="0" w:space="0" w:color="auto"/>
          </w:divBdr>
        </w:div>
      </w:divsChild>
    </w:div>
    <w:div w:id="175585241">
      <w:bodyDiv w:val="1"/>
      <w:marLeft w:val="0"/>
      <w:marRight w:val="0"/>
      <w:marTop w:val="0"/>
      <w:marBottom w:val="0"/>
      <w:divBdr>
        <w:top w:val="none" w:sz="0" w:space="0" w:color="auto"/>
        <w:left w:val="none" w:sz="0" w:space="0" w:color="auto"/>
        <w:bottom w:val="none" w:sz="0" w:space="0" w:color="auto"/>
        <w:right w:val="none" w:sz="0" w:space="0" w:color="auto"/>
      </w:divBdr>
    </w:div>
    <w:div w:id="414088670">
      <w:bodyDiv w:val="1"/>
      <w:marLeft w:val="0"/>
      <w:marRight w:val="0"/>
      <w:marTop w:val="0"/>
      <w:marBottom w:val="0"/>
      <w:divBdr>
        <w:top w:val="none" w:sz="0" w:space="0" w:color="auto"/>
        <w:left w:val="none" w:sz="0" w:space="0" w:color="auto"/>
        <w:bottom w:val="none" w:sz="0" w:space="0" w:color="auto"/>
        <w:right w:val="none" w:sz="0" w:space="0" w:color="auto"/>
      </w:divBdr>
    </w:div>
    <w:div w:id="528492555">
      <w:bodyDiv w:val="1"/>
      <w:marLeft w:val="0"/>
      <w:marRight w:val="0"/>
      <w:marTop w:val="0"/>
      <w:marBottom w:val="0"/>
      <w:divBdr>
        <w:top w:val="none" w:sz="0" w:space="0" w:color="auto"/>
        <w:left w:val="none" w:sz="0" w:space="0" w:color="auto"/>
        <w:bottom w:val="none" w:sz="0" w:space="0" w:color="auto"/>
        <w:right w:val="none" w:sz="0" w:space="0" w:color="auto"/>
      </w:divBdr>
    </w:div>
    <w:div w:id="561521235">
      <w:bodyDiv w:val="1"/>
      <w:marLeft w:val="0"/>
      <w:marRight w:val="0"/>
      <w:marTop w:val="0"/>
      <w:marBottom w:val="0"/>
      <w:divBdr>
        <w:top w:val="none" w:sz="0" w:space="0" w:color="auto"/>
        <w:left w:val="none" w:sz="0" w:space="0" w:color="auto"/>
        <w:bottom w:val="none" w:sz="0" w:space="0" w:color="auto"/>
        <w:right w:val="none" w:sz="0" w:space="0" w:color="auto"/>
      </w:divBdr>
    </w:div>
    <w:div w:id="648947071">
      <w:bodyDiv w:val="1"/>
      <w:marLeft w:val="0"/>
      <w:marRight w:val="0"/>
      <w:marTop w:val="0"/>
      <w:marBottom w:val="0"/>
      <w:divBdr>
        <w:top w:val="none" w:sz="0" w:space="0" w:color="auto"/>
        <w:left w:val="none" w:sz="0" w:space="0" w:color="auto"/>
        <w:bottom w:val="none" w:sz="0" w:space="0" w:color="auto"/>
        <w:right w:val="none" w:sz="0" w:space="0" w:color="auto"/>
      </w:divBdr>
    </w:div>
    <w:div w:id="778329207">
      <w:bodyDiv w:val="1"/>
      <w:marLeft w:val="0"/>
      <w:marRight w:val="0"/>
      <w:marTop w:val="0"/>
      <w:marBottom w:val="0"/>
      <w:divBdr>
        <w:top w:val="none" w:sz="0" w:space="0" w:color="auto"/>
        <w:left w:val="none" w:sz="0" w:space="0" w:color="auto"/>
        <w:bottom w:val="none" w:sz="0" w:space="0" w:color="auto"/>
        <w:right w:val="none" w:sz="0" w:space="0" w:color="auto"/>
      </w:divBdr>
      <w:divsChild>
        <w:div w:id="1790928028">
          <w:marLeft w:val="0"/>
          <w:marRight w:val="0"/>
          <w:marTop w:val="0"/>
          <w:marBottom w:val="0"/>
          <w:divBdr>
            <w:top w:val="none" w:sz="0" w:space="0" w:color="auto"/>
            <w:left w:val="none" w:sz="0" w:space="0" w:color="auto"/>
            <w:bottom w:val="none" w:sz="0" w:space="0" w:color="auto"/>
            <w:right w:val="none" w:sz="0" w:space="0" w:color="auto"/>
          </w:divBdr>
        </w:div>
        <w:div w:id="1793283698">
          <w:marLeft w:val="0"/>
          <w:marRight w:val="0"/>
          <w:marTop w:val="0"/>
          <w:marBottom w:val="0"/>
          <w:divBdr>
            <w:top w:val="none" w:sz="0" w:space="0" w:color="auto"/>
            <w:left w:val="none" w:sz="0" w:space="0" w:color="auto"/>
            <w:bottom w:val="none" w:sz="0" w:space="0" w:color="auto"/>
            <w:right w:val="none" w:sz="0" w:space="0" w:color="auto"/>
          </w:divBdr>
        </w:div>
        <w:div w:id="1795367705">
          <w:marLeft w:val="0"/>
          <w:marRight w:val="0"/>
          <w:marTop w:val="0"/>
          <w:marBottom w:val="0"/>
          <w:divBdr>
            <w:top w:val="none" w:sz="0" w:space="0" w:color="auto"/>
            <w:left w:val="none" w:sz="0" w:space="0" w:color="auto"/>
            <w:bottom w:val="none" w:sz="0" w:space="0" w:color="auto"/>
            <w:right w:val="none" w:sz="0" w:space="0" w:color="auto"/>
          </w:divBdr>
        </w:div>
        <w:div w:id="265037047">
          <w:marLeft w:val="0"/>
          <w:marRight w:val="0"/>
          <w:marTop w:val="0"/>
          <w:marBottom w:val="0"/>
          <w:divBdr>
            <w:top w:val="none" w:sz="0" w:space="0" w:color="auto"/>
            <w:left w:val="none" w:sz="0" w:space="0" w:color="auto"/>
            <w:bottom w:val="none" w:sz="0" w:space="0" w:color="auto"/>
            <w:right w:val="none" w:sz="0" w:space="0" w:color="auto"/>
          </w:divBdr>
        </w:div>
        <w:div w:id="972298231">
          <w:marLeft w:val="0"/>
          <w:marRight w:val="0"/>
          <w:marTop w:val="0"/>
          <w:marBottom w:val="0"/>
          <w:divBdr>
            <w:top w:val="none" w:sz="0" w:space="0" w:color="auto"/>
            <w:left w:val="none" w:sz="0" w:space="0" w:color="auto"/>
            <w:bottom w:val="none" w:sz="0" w:space="0" w:color="auto"/>
            <w:right w:val="none" w:sz="0" w:space="0" w:color="auto"/>
          </w:divBdr>
        </w:div>
        <w:div w:id="1688292642">
          <w:marLeft w:val="0"/>
          <w:marRight w:val="0"/>
          <w:marTop w:val="0"/>
          <w:marBottom w:val="0"/>
          <w:divBdr>
            <w:top w:val="none" w:sz="0" w:space="0" w:color="auto"/>
            <w:left w:val="none" w:sz="0" w:space="0" w:color="auto"/>
            <w:bottom w:val="none" w:sz="0" w:space="0" w:color="auto"/>
            <w:right w:val="none" w:sz="0" w:space="0" w:color="auto"/>
          </w:divBdr>
        </w:div>
        <w:div w:id="813371194">
          <w:marLeft w:val="0"/>
          <w:marRight w:val="0"/>
          <w:marTop w:val="0"/>
          <w:marBottom w:val="0"/>
          <w:divBdr>
            <w:top w:val="none" w:sz="0" w:space="0" w:color="auto"/>
            <w:left w:val="none" w:sz="0" w:space="0" w:color="auto"/>
            <w:bottom w:val="none" w:sz="0" w:space="0" w:color="auto"/>
            <w:right w:val="none" w:sz="0" w:space="0" w:color="auto"/>
          </w:divBdr>
        </w:div>
        <w:div w:id="709451958">
          <w:marLeft w:val="0"/>
          <w:marRight w:val="0"/>
          <w:marTop w:val="0"/>
          <w:marBottom w:val="0"/>
          <w:divBdr>
            <w:top w:val="none" w:sz="0" w:space="0" w:color="auto"/>
            <w:left w:val="none" w:sz="0" w:space="0" w:color="auto"/>
            <w:bottom w:val="none" w:sz="0" w:space="0" w:color="auto"/>
            <w:right w:val="none" w:sz="0" w:space="0" w:color="auto"/>
          </w:divBdr>
        </w:div>
        <w:div w:id="1550649386">
          <w:marLeft w:val="0"/>
          <w:marRight w:val="0"/>
          <w:marTop w:val="0"/>
          <w:marBottom w:val="0"/>
          <w:divBdr>
            <w:top w:val="none" w:sz="0" w:space="0" w:color="auto"/>
            <w:left w:val="none" w:sz="0" w:space="0" w:color="auto"/>
            <w:bottom w:val="none" w:sz="0" w:space="0" w:color="auto"/>
            <w:right w:val="none" w:sz="0" w:space="0" w:color="auto"/>
          </w:divBdr>
        </w:div>
        <w:div w:id="1255670790">
          <w:marLeft w:val="0"/>
          <w:marRight w:val="0"/>
          <w:marTop w:val="0"/>
          <w:marBottom w:val="0"/>
          <w:divBdr>
            <w:top w:val="none" w:sz="0" w:space="0" w:color="auto"/>
            <w:left w:val="none" w:sz="0" w:space="0" w:color="auto"/>
            <w:bottom w:val="none" w:sz="0" w:space="0" w:color="auto"/>
            <w:right w:val="none" w:sz="0" w:space="0" w:color="auto"/>
          </w:divBdr>
        </w:div>
        <w:div w:id="1804814215">
          <w:marLeft w:val="0"/>
          <w:marRight w:val="0"/>
          <w:marTop w:val="0"/>
          <w:marBottom w:val="0"/>
          <w:divBdr>
            <w:top w:val="none" w:sz="0" w:space="0" w:color="auto"/>
            <w:left w:val="none" w:sz="0" w:space="0" w:color="auto"/>
            <w:bottom w:val="none" w:sz="0" w:space="0" w:color="auto"/>
            <w:right w:val="none" w:sz="0" w:space="0" w:color="auto"/>
          </w:divBdr>
        </w:div>
        <w:div w:id="471945046">
          <w:marLeft w:val="0"/>
          <w:marRight w:val="0"/>
          <w:marTop w:val="0"/>
          <w:marBottom w:val="0"/>
          <w:divBdr>
            <w:top w:val="none" w:sz="0" w:space="0" w:color="auto"/>
            <w:left w:val="none" w:sz="0" w:space="0" w:color="auto"/>
            <w:bottom w:val="none" w:sz="0" w:space="0" w:color="auto"/>
            <w:right w:val="none" w:sz="0" w:space="0" w:color="auto"/>
          </w:divBdr>
        </w:div>
        <w:div w:id="730274833">
          <w:marLeft w:val="0"/>
          <w:marRight w:val="0"/>
          <w:marTop w:val="0"/>
          <w:marBottom w:val="0"/>
          <w:divBdr>
            <w:top w:val="none" w:sz="0" w:space="0" w:color="auto"/>
            <w:left w:val="none" w:sz="0" w:space="0" w:color="auto"/>
            <w:bottom w:val="none" w:sz="0" w:space="0" w:color="auto"/>
            <w:right w:val="none" w:sz="0" w:space="0" w:color="auto"/>
          </w:divBdr>
        </w:div>
        <w:div w:id="1189443698">
          <w:marLeft w:val="0"/>
          <w:marRight w:val="0"/>
          <w:marTop w:val="0"/>
          <w:marBottom w:val="0"/>
          <w:divBdr>
            <w:top w:val="none" w:sz="0" w:space="0" w:color="auto"/>
            <w:left w:val="none" w:sz="0" w:space="0" w:color="auto"/>
            <w:bottom w:val="none" w:sz="0" w:space="0" w:color="auto"/>
            <w:right w:val="none" w:sz="0" w:space="0" w:color="auto"/>
          </w:divBdr>
        </w:div>
        <w:div w:id="1358046973">
          <w:marLeft w:val="0"/>
          <w:marRight w:val="0"/>
          <w:marTop w:val="0"/>
          <w:marBottom w:val="0"/>
          <w:divBdr>
            <w:top w:val="none" w:sz="0" w:space="0" w:color="auto"/>
            <w:left w:val="none" w:sz="0" w:space="0" w:color="auto"/>
            <w:bottom w:val="none" w:sz="0" w:space="0" w:color="auto"/>
            <w:right w:val="none" w:sz="0" w:space="0" w:color="auto"/>
          </w:divBdr>
        </w:div>
        <w:div w:id="1203132430">
          <w:marLeft w:val="0"/>
          <w:marRight w:val="0"/>
          <w:marTop w:val="0"/>
          <w:marBottom w:val="0"/>
          <w:divBdr>
            <w:top w:val="none" w:sz="0" w:space="0" w:color="auto"/>
            <w:left w:val="none" w:sz="0" w:space="0" w:color="auto"/>
            <w:bottom w:val="none" w:sz="0" w:space="0" w:color="auto"/>
            <w:right w:val="none" w:sz="0" w:space="0" w:color="auto"/>
          </w:divBdr>
        </w:div>
        <w:div w:id="984898597">
          <w:marLeft w:val="0"/>
          <w:marRight w:val="0"/>
          <w:marTop w:val="0"/>
          <w:marBottom w:val="0"/>
          <w:divBdr>
            <w:top w:val="none" w:sz="0" w:space="0" w:color="auto"/>
            <w:left w:val="none" w:sz="0" w:space="0" w:color="auto"/>
            <w:bottom w:val="none" w:sz="0" w:space="0" w:color="auto"/>
            <w:right w:val="none" w:sz="0" w:space="0" w:color="auto"/>
          </w:divBdr>
        </w:div>
        <w:div w:id="686827625">
          <w:marLeft w:val="0"/>
          <w:marRight w:val="0"/>
          <w:marTop w:val="0"/>
          <w:marBottom w:val="0"/>
          <w:divBdr>
            <w:top w:val="none" w:sz="0" w:space="0" w:color="auto"/>
            <w:left w:val="none" w:sz="0" w:space="0" w:color="auto"/>
            <w:bottom w:val="none" w:sz="0" w:space="0" w:color="auto"/>
            <w:right w:val="none" w:sz="0" w:space="0" w:color="auto"/>
          </w:divBdr>
        </w:div>
        <w:div w:id="1456220097">
          <w:marLeft w:val="0"/>
          <w:marRight w:val="0"/>
          <w:marTop w:val="0"/>
          <w:marBottom w:val="0"/>
          <w:divBdr>
            <w:top w:val="none" w:sz="0" w:space="0" w:color="auto"/>
            <w:left w:val="none" w:sz="0" w:space="0" w:color="auto"/>
            <w:bottom w:val="none" w:sz="0" w:space="0" w:color="auto"/>
            <w:right w:val="none" w:sz="0" w:space="0" w:color="auto"/>
          </w:divBdr>
        </w:div>
      </w:divsChild>
    </w:div>
    <w:div w:id="807280466">
      <w:bodyDiv w:val="1"/>
      <w:marLeft w:val="0"/>
      <w:marRight w:val="0"/>
      <w:marTop w:val="0"/>
      <w:marBottom w:val="0"/>
      <w:divBdr>
        <w:top w:val="none" w:sz="0" w:space="0" w:color="auto"/>
        <w:left w:val="none" w:sz="0" w:space="0" w:color="auto"/>
        <w:bottom w:val="none" w:sz="0" w:space="0" w:color="auto"/>
        <w:right w:val="none" w:sz="0" w:space="0" w:color="auto"/>
      </w:divBdr>
      <w:divsChild>
        <w:div w:id="733553584">
          <w:marLeft w:val="0"/>
          <w:marRight w:val="0"/>
          <w:marTop w:val="0"/>
          <w:marBottom w:val="0"/>
          <w:divBdr>
            <w:top w:val="none" w:sz="0" w:space="0" w:color="auto"/>
            <w:left w:val="none" w:sz="0" w:space="0" w:color="auto"/>
            <w:bottom w:val="none" w:sz="0" w:space="0" w:color="auto"/>
            <w:right w:val="none" w:sz="0" w:space="0" w:color="auto"/>
          </w:divBdr>
          <w:divsChild>
            <w:div w:id="1407459782">
              <w:marLeft w:val="0"/>
              <w:marRight w:val="0"/>
              <w:marTop w:val="0"/>
              <w:marBottom w:val="0"/>
              <w:divBdr>
                <w:top w:val="none" w:sz="0" w:space="0" w:color="auto"/>
                <w:left w:val="none" w:sz="0" w:space="0" w:color="auto"/>
                <w:bottom w:val="none" w:sz="0" w:space="0" w:color="auto"/>
                <w:right w:val="none" w:sz="0" w:space="0" w:color="auto"/>
              </w:divBdr>
            </w:div>
            <w:div w:id="808404999">
              <w:marLeft w:val="0"/>
              <w:marRight w:val="0"/>
              <w:marTop w:val="0"/>
              <w:marBottom w:val="0"/>
              <w:divBdr>
                <w:top w:val="none" w:sz="0" w:space="0" w:color="auto"/>
                <w:left w:val="none" w:sz="0" w:space="0" w:color="auto"/>
                <w:bottom w:val="none" w:sz="0" w:space="0" w:color="auto"/>
                <w:right w:val="none" w:sz="0" w:space="0" w:color="auto"/>
              </w:divBdr>
            </w:div>
            <w:div w:id="1230388969">
              <w:marLeft w:val="0"/>
              <w:marRight w:val="0"/>
              <w:marTop w:val="0"/>
              <w:marBottom w:val="0"/>
              <w:divBdr>
                <w:top w:val="none" w:sz="0" w:space="0" w:color="auto"/>
                <w:left w:val="none" w:sz="0" w:space="0" w:color="auto"/>
                <w:bottom w:val="none" w:sz="0" w:space="0" w:color="auto"/>
                <w:right w:val="none" w:sz="0" w:space="0" w:color="auto"/>
              </w:divBdr>
            </w:div>
            <w:div w:id="99765250">
              <w:marLeft w:val="0"/>
              <w:marRight w:val="0"/>
              <w:marTop w:val="0"/>
              <w:marBottom w:val="0"/>
              <w:divBdr>
                <w:top w:val="none" w:sz="0" w:space="0" w:color="auto"/>
                <w:left w:val="none" w:sz="0" w:space="0" w:color="auto"/>
                <w:bottom w:val="none" w:sz="0" w:space="0" w:color="auto"/>
                <w:right w:val="none" w:sz="0" w:space="0" w:color="auto"/>
              </w:divBdr>
            </w:div>
            <w:div w:id="1979988794">
              <w:marLeft w:val="0"/>
              <w:marRight w:val="0"/>
              <w:marTop w:val="0"/>
              <w:marBottom w:val="0"/>
              <w:divBdr>
                <w:top w:val="none" w:sz="0" w:space="0" w:color="auto"/>
                <w:left w:val="none" w:sz="0" w:space="0" w:color="auto"/>
                <w:bottom w:val="none" w:sz="0" w:space="0" w:color="auto"/>
                <w:right w:val="none" w:sz="0" w:space="0" w:color="auto"/>
              </w:divBdr>
            </w:div>
            <w:div w:id="887108270">
              <w:marLeft w:val="0"/>
              <w:marRight w:val="0"/>
              <w:marTop w:val="0"/>
              <w:marBottom w:val="0"/>
              <w:divBdr>
                <w:top w:val="none" w:sz="0" w:space="0" w:color="auto"/>
                <w:left w:val="none" w:sz="0" w:space="0" w:color="auto"/>
                <w:bottom w:val="none" w:sz="0" w:space="0" w:color="auto"/>
                <w:right w:val="none" w:sz="0" w:space="0" w:color="auto"/>
              </w:divBdr>
            </w:div>
            <w:div w:id="1441026240">
              <w:marLeft w:val="0"/>
              <w:marRight w:val="0"/>
              <w:marTop w:val="0"/>
              <w:marBottom w:val="0"/>
              <w:divBdr>
                <w:top w:val="none" w:sz="0" w:space="0" w:color="auto"/>
                <w:left w:val="none" w:sz="0" w:space="0" w:color="auto"/>
                <w:bottom w:val="none" w:sz="0" w:space="0" w:color="auto"/>
                <w:right w:val="none" w:sz="0" w:space="0" w:color="auto"/>
              </w:divBdr>
            </w:div>
            <w:div w:id="1994218311">
              <w:marLeft w:val="0"/>
              <w:marRight w:val="0"/>
              <w:marTop w:val="0"/>
              <w:marBottom w:val="0"/>
              <w:divBdr>
                <w:top w:val="none" w:sz="0" w:space="0" w:color="auto"/>
                <w:left w:val="none" w:sz="0" w:space="0" w:color="auto"/>
                <w:bottom w:val="none" w:sz="0" w:space="0" w:color="auto"/>
                <w:right w:val="none" w:sz="0" w:space="0" w:color="auto"/>
              </w:divBdr>
            </w:div>
            <w:div w:id="1506358291">
              <w:marLeft w:val="0"/>
              <w:marRight w:val="0"/>
              <w:marTop w:val="0"/>
              <w:marBottom w:val="0"/>
              <w:divBdr>
                <w:top w:val="none" w:sz="0" w:space="0" w:color="auto"/>
                <w:left w:val="none" w:sz="0" w:space="0" w:color="auto"/>
                <w:bottom w:val="none" w:sz="0" w:space="0" w:color="auto"/>
                <w:right w:val="none" w:sz="0" w:space="0" w:color="auto"/>
              </w:divBdr>
            </w:div>
            <w:div w:id="1205554931">
              <w:marLeft w:val="0"/>
              <w:marRight w:val="0"/>
              <w:marTop w:val="0"/>
              <w:marBottom w:val="0"/>
              <w:divBdr>
                <w:top w:val="none" w:sz="0" w:space="0" w:color="auto"/>
                <w:left w:val="none" w:sz="0" w:space="0" w:color="auto"/>
                <w:bottom w:val="none" w:sz="0" w:space="0" w:color="auto"/>
                <w:right w:val="none" w:sz="0" w:space="0" w:color="auto"/>
              </w:divBdr>
            </w:div>
            <w:div w:id="1621953380">
              <w:marLeft w:val="0"/>
              <w:marRight w:val="0"/>
              <w:marTop w:val="0"/>
              <w:marBottom w:val="0"/>
              <w:divBdr>
                <w:top w:val="none" w:sz="0" w:space="0" w:color="auto"/>
                <w:left w:val="none" w:sz="0" w:space="0" w:color="auto"/>
                <w:bottom w:val="none" w:sz="0" w:space="0" w:color="auto"/>
                <w:right w:val="none" w:sz="0" w:space="0" w:color="auto"/>
              </w:divBdr>
            </w:div>
            <w:div w:id="136344700">
              <w:marLeft w:val="0"/>
              <w:marRight w:val="0"/>
              <w:marTop w:val="0"/>
              <w:marBottom w:val="0"/>
              <w:divBdr>
                <w:top w:val="none" w:sz="0" w:space="0" w:color="auto"/>
                <w:left w:val="none" w:sz="0" w:space="0" w:color="auto"/>
                <w:bottom w:val="none" w:sz="0" w:space="0" w:color="auto"/>
                <w:right w:val="none" w:sz="0" w:space="0" w:color="auto"/>
              </w:divBdr>
            </w:div>
            <w:div w:id="1616014418">
              <w:marLeft w:val="0"/>
              <w:marRight w:val="0"/>
              <w:marTop w:val="0"/>
              <w:marBottom w:val="0"/>
              <w:divBdr>
                <w:top w:val="none" w:sz="0" w:space="0" w:color="auto"/>
                <w:left w:val="none" w:sz="0" w:space="0" w:color="auto"/>
                <w:bottom w:val="none" w:sz="0" w:space="0" w:color="auto"/>
                <w:right w:val="none" w:sz="0" w:space="0" w:color="auto"/>
              </w:divBdr>
            </w:div>
            <w:div w:id="678048048">
              <w:marLeft w:val="0"/>
              <w:marRight w:val="0"/>
              <w:marTop w:val="0"/>
              <w:marBottom w:val="0"/>
              <w:divBdr>
                <w:top w:val="none" w:sz="0" w:space="0" w:color="auto"/>
                <w:left w:val="none" w:sz="0" w:space="0" w:color="auto"/>
                <w:bottom w:val="none" w:sz="0" w:space="0" w:color="auto"/>
                <w:right w:val="none" w:sz="0" w:space="0" w:color="auto"/>
              </w:divBdr>
            </w:div>
            <w:div w:id="473064907">
              <w:marLeft w:val="0"/>
              <w:marRight w:val="0"/>
              <w:marTop w:val="0"/>
              <w:marBottom w:val="0"/>
              <w:divBdr>
                <w:top w:val="none" w:sz="0" w:space="0" w:color="auto"/>
                <w:left w:val="none" w:sz="0" w:space="0" w:color="auto"/>
                <w:bottom w:val="none" w:sz="0" w:space="0" w:color="auto"/>
                <w:right w:val="none" w:sz="0" w:space="0" w:color="auto"/>
              </w:divBdr>
            </w:div>
            <w:div w:id="1359088522">
              <w:marLeft w:val="0"/>
              <w:marRight w:val="0"/>
              <w:marTop w:val="0"/>
              <w:marBottom w:val="0"/>
              <w:divBdr>
                <w:top w:val="none" w:sz="0" w:space="0" w:color="auto"/>
                <w:left w:val="none" w:sz="0" w:space="0" w:color="auto"/>
                <w:bottom w:val="none" w:sz="0" w:space="0" w:color="auto"/>
                <w:right w:val="none" w:sz="0" w:space="0" w:color="auto"/>
              </w:divBdr>
            </w:div>
            <w:div w:id="1179008738">
              <w:marLeft w:val="0"/>
              <w:marRight w:val="0"/>
              <w:marTop w:val="0"/>
              <w:marBottom w:val="0"/>
              <w:divBdr>
                <w:top w:val="none" w:sz="0" w:space="0" w:color="auto"/>
                <w:left w:val="none" w:sz="0" w:space="0" w:color="auto"/>
                <w:bottom w:val="none" w:sz="0" w:space="0" w:color="auto"/>
                <w:right w:val="none" w:sz="0" w:space="0" w:color="auto"/>
              </w:divBdr>
            </w:div>
            <w:div w:id="1221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4199">
      <w:bodyDiv w:val="1"/>
      <w:marLeft w:val="0"/>
      <w:marRight w:val="0"/>
      <w:marTop w:val="0"/>
      <w:marBottom w:val="0"/>
      <w:divBdr>
        <w:top w:val="none" w:sz="0" w:space="0" w:color="auto"/>
        <w:left w:val="none" w:sz="0" w:space="0" w:color="auto"/>
        <w:bottom w:val="none" w:sz="0" w:space="0" w:color="auto"/>
        <w:right w:val="none" w:sz="0" w:space="0" w:color="auto"/>
      </w:divBdr>
      <w:divsChild>
        <w:div w:id="2104374440">
          <w:marLeft w:val="0"/>
          <w:marRight w:val="0"/>
          <w:marTop w:val="0"/>
          <w:marBottom w:val="0"/>
          <w:divBdr>
            <w:top w:val="none" w:sz="0" w:space="0" w:color="auto"/>
            <w:left w:val="none" w:sz="0" w:space="0" w:color="auto"/>
            <w:bottom w:val="none" w:sz="0" w:space="0" w:color="auto"/>
            <w:right w:val="none" w:sz="0" w:space="0" w:color="auto"/>
          </w:divBdr>
        </w:div>
        <w:div w:id="877936859">
          <w:marLeft w:val="0"/>
          <w:marRight w:val="0"/>
          <w:marTop w:val="0"/>
          <w:marBottom w:val="0"/>
          <w:divBdr>
            <w:top w:val="none" w:sz="0" w:space="0" w:color="auto"/>
            <w:left w:val="none" w:sz="0" w:space="0" w:color="auto"/>
            <w:bottom w:val="none" w:sz="0" w:space="0" w:color="auto"/>
            <w:right w:val="none" w:sz="0" w:space="0" w:color="auto"/>
          </w:divBdr>
        </w:div>
        <w:div w:id="805777091">
          <w:marLeft w:val="0"/>
          <w:marRight w:val="0"/>
          <w:marTop w:val="0"/>
          <w:marBottom w:val="0"/>
          <w:divBdr>
            <w:top w:val="none" w:sz="0" w:space="0" w:color="auto"/>
            <w:left w:val="none" w:sz="0" w:space="0" w:color="auto"/>
            <w:bottom w:val="none" w:sz="0" w:space="0" w:color="auto"/>
            <w:right w:val="none" w:sz="0" w:space="0" w:color="auto"/>
          </w:divBdr>
        </w:div>
        <w:div w:id="213934702">
          <w:marLeft w:val="0"/>
          <w:marRight w:val="0"/>
          <w:marTop w:val="0"/>
          <w:marBottom w:val="0"/>
          <w:divBdr>
            <w:top w:val="none" w:sz="0" w:space="0" w:color="auto"/>
            <w:left w:val="none" w:sz="0" w:space="0" w:color="auto"/>
            <w:bottom w:val="none" w:sz="0" w:space="0" w:color="auto"/>
            <w:right w:val="none" w:sz="0" w:space="0" w:color="auto"/>
          </w:divBdr>
        </w:div>
      </w:divsChild>
    </w:div>
    <w:div w:id="856626531">
      <w:bodyDiv w:val="1"/>
      <w:marLeft w:val="0"/>
      <w:marRight w:val="0"/>
      <w:marTop w:val="0"/>
      <w:marBottom w:val="0"/>
      <w:divBdr>
        <w:top w:val="none" w:sz="0" w:space="0" w:color="auto"/>
        <w:left w:val="none" w:sz="0" w:space="0" w:color="auto"/>
        <w:bottom w:val="none" w:sz="0" w:space="0" w:color="auto"/>
        <w:right w:val="none" w:sz="0" w:space="0" w:color="auto"/>
      </w:divBdr>
      <w:divsChild>
        <w:div w:id="1268583706">
          <w:marLeft w:val="0"/>
          <w:marRight w:val="0"/>
          <w:marTop w:val="0"/>
          <w:marBottom w:val="0"/>
          <w:divBdr>
            <w:top w:val="none" w:sz="0" w:space="0" w:color="auto"/>
            <w:left w:val="none" w:sz="0" w:space="0" w:color="auto"/>
            <w:bottom w:val="none" w:sz="0" w:space="0" w:color="auto"/>
            <w:right w:val="none" w:sz="0" w:space="0" w:color="auto"/>
          </w:divBdr>
        </w:div>
        <w:div w:id="561989774">
          <w:marLeft w:val="0"/>
          <w:marRight w:val="0"/>
          <w:marTop w:val="0"/>
          <w:marBottom w:val="0"/>
          <w:divBdr>
            <w:top w:val="none" w:sz="0" w:space="0" w:color="auto"/>
            <w:left w:val="none" w:sz="0" w:space="0" w:color="auto"/>
            <w:bottom w:val="none" w:sz="0" w:space="0" w:color="auto"/>
            <w:right w:val="none" w:sz="0" w:space="0" w:color="auto"/>
          </w:divBdr>
        </w:div>
        <w:div w:id="379205407">
          <w:marLeft w:val="0"/>
          <w:marRight w:val="0"/>
          <w:marTop w:val="0"/>
          <w:marBottom w:val="0"/>
          <w:divBdr>
            <w:top w:val="none" w:sz="0" w:space="0" w:color="auto"/>
            <w:left w:val="none" w:sz="0" w:space="0" w:color="auto"/>
            <w:bottom w:val="none" w:sz="0" w:space="0" w:color="auto"/>
            <w:right w:val="none" w:sz="0" w:space="0" w:color="auto"/>
          </w:divBdr>
        </w:div>
        <w:div w:id="1113283146">
          <w:marLeft w:val="0"/>
          <w:marRight w:val="0"/>
          <w:marTop w:val="0"/>
          <w:marBottom w:val="0"/>
          <w:divBdr>
            <w:top w:val="none" w:sz="0" w:space="0" w:color="auto"/>
            <w:left w:val="none" w:sz="0" w:space="0" w:color="auto"/>
            <w:bottom w:val="none" w:sz="0" w:space="0" w:color="auto"/>
            <w:right w:val="none" w:sz="0" w:space="0" w:color="auto"/>
          </w:divBdr>
        </w:div>
        <w:div w:id="2066249706">
          <w:marLeft w:val="0"/>
          <w:marRight w:val="0"/>
          <w:marTop w:val="0"/>
          <w:marBottom w:val="0"/>
          <w:divBdr>
            <w:top w:val="none" w:sz="0" w:space="0" w:color="auto"/>
            <w:left w:val="none" w:sz="0" w:space="0" w:color="auto"/>
            <w:bottom w:val="none" w:sz="0" w:space="0" w:color="auto"/>
            <w:right w:val="none" w:sz="0" w:space="0" w:color="auto"/>
          </w:divBdr>
        </w:div>
        <w:div w:id="26372303">
          <w:marLeft w:val="0"/>
          <w:marRight w:val="0"/>
          <w:marTop w:val="0"/>
          <w:marBottom w:val="0"/>
          <w:divBdr>
            <w:top w:val="none" w:sz="0" w:space="0" w:color="auto"/>
            <w:left w:val="none" w:sz="0" w:space="0" w:color="auto"/>
            <w:bottom w:val="none" w:sz="0" w:space="0" w:color="auto"/>
            <w:right w:val="none" w:sz="0" w:space="0" w:color="auto"/>
          </w:divBdr>
        </w:div>
        <w:div w:id="2119448916">
          <w:marLeft w:val="0"/>
          <w:marRight w:val="0"/>
          <w:marTop w:val="0"/>
          <w:marBottom w:val="0"/>
          <w:divBdr>
            <w:top w:val="none" w:sz="0" w:space="0" w:color="auto"/>
            <w:left w:val="none" w:sz="0" w:space="0" w:color="auto"/>
            <w:bottom w:val="none" w:sz="0" w:space="0" w:color="auto"/>
            <w:right w:val="none" w:sz="0" w:space="0" w:color="auto"/>
          </w:divBdr>
        </w:div>
        <w:div w:id="1397975732">
          <w:marLeft w:val="0"/>
          <w:marRight w:val="0"/>
          <w:marTop w:val="0"/>
          <w:marBottom w:val="0"/>
          <w:divBdr>
            <w:top w:val="none" w:sz="0" w:space="0" w:color="auto"/>
            <w:left w:val="none" w:sz="0" w:space="0" w:color="auto"/>
            <w:bottom w:val="none" w:sz="0" w:space="0" w:color="auto"/>
            <w:right w:val="none" w:sz="0" w:space="0" w:color="auto"/>
          </w:divBdr>
        </w:div>
        <w:div w:id="584847063">
          <w:marLeft w:val="0"/>
          <w:marRight w:val="0"/>
          <w:marTop w:val="0"/>
          <w:marBottom w:val="0"/>
          <w:divBdr>
            <w:top w:val="none" w:sz="0" w:space="0" w:color="auto"/>
            <w:left w:val="none" w:sz="0" w:space="0" w:color="auto"/>
            <w:bottom w:val="none" w:sz="0" w:space="0" w:color="auto"/>
            <w:right w:val="none" w:sz="0" w:space="0" w:color="auto"/>
          </w:divBdr>
        </w:div>
        <w:div w:id="1699820493">
          <w:marLeft w:val="0"/>
          <w:marRight w:val="0"/>
          <w:marTop w:val="0"/>
          <w:marBottom w:val="0"/>
          <w:divBdr>
            <w:top w:val="none" w:sz="0" w:space="0" w:color="auto"/>
            <w:left w:val="none" w:sz="0" w:space="0" w:color="auto"/>
            <w:bottom w:val="none" w:sz="0" w:space="0" w:color="auto"/>
            <w:right w:val="none" w:sz="0" w:space="0" w:color="auto"/>
          </w:divBdr>
        </w:div>
        <w:div w:id="1320691158">
          <w:marLeft w:val="0"/>
          <w:marRight w:val="0"/>
          <w:marTop w:val="0"/>
          <w:marBottom w:val="0"/>
          <w:divBdr>
            <w:top w:val="none" w:sz="0" w:space="0" w:color="auto"/>
            <w:left w:val="none" w:sz="0" w:space="0" w:color="auto"/>
            <w:bottom w:val="none" w:sz="0" w:space="0" w:color="auto"/>
            <w:right w:val="none" w:sz="0" w:space="0" w:color="auto"/>
          </w:divBdr>
        </w:div>
        <w:div w:id="688797728">
          <w:marLeft w:val="0"/>
          <w:marRight w:val="0"/>
          <w:marTop w:val="0"/>
          <w:marBottom w:val="0"/>
          <w:divBdr>
            <w:top w:val="none" w:sz="0" w:space="0" w:color="auto"/>
            <w:left w:val="none" w:sz="0" w:space="0" w:color="auto"/>
            <w:bottom w:val="none" w:sz="0" w:space="0" w:color="auto"/>
            <w:right w:val="none" w:sz="0" w:space="0" w:color="auto"/>
          </w:divBdr>
        </w:div>
        <w:div w:id="1163617986">
          <w:marLeft w:val="0"/>
          <w:marRight w:val="0"/>
          <w:marTop w:val="0"/>
          <w:marBottom w:val="0"/>
          <w:divBdr>
            <w:top w:val="none" w:sz="0" w:space="0" w:color="auto"/>
            <w:left w:val="none" w:sz="0" w:space="0" w:color="auto"/>
            <w:bottom w:val="none" w:sz="0" w:space="0" w:color="auto"/>
            <w:right w:val="none" w:sz="0" w:space="0" w:color="auto"/>
          </w:divBdr>
        </w:div>
        <w:div w:id="900140036">
          <w:marLeft w:val="0"/>
          <w:marRight w:val="0"/>
          <w:marTop w:val="0"/>
          <w:marBottom w:val="0"/>
          <w:divBdr>
            <w:top w:val="none" w:sz="0" w:space="0" w:color="auto"/>
            <w:left w:val="none" w:sz="0" w:space="0" w:color="auto"/>
            <w:bottom w:val="none" w:sz="0" w:space="0" w:color="auto"/>
            <w:right w:val="none" w:sz="0" w:space="0" w:color="auto"/>
          </w:divBdr>
        </w:div>
        <w:div w:id="1878539700">
          <w:marLeft w:val="0"/>
          <w:marRight w:val="0"/>
          <w:marTop w:val="0"/>
          <w:marBottom w:val="0"/>
          <w:divBdr>
            <w:top w:val="none" w:sz="0" w:space="0" w:color="auto"/>
            <w:left w:val="none" w:sz="0" w:space="0" w:color="auto"/>
            <w:bottom w:val="none" w:sz="0" w:space="0" w:color="auto"/>
            <w:right w:val="none" w:sz="0" w:space="0" w:color="auto"/>
          </w:divBdr>
        </w:div>
        <w:div w:id="1023094025">
          <w:marLeft w:val="0"/>
          <w:marRight w:val="0"/>
          <w:marTop w:val="0"/>
          <w:marBottom w:val="0"/>
          <w:divBdr>
            <w:top w:val="none" w:sz="0" w:space="0" w:color="auto"/>
            <w:left w:val="none" w:sz="0" w:space="0" w:color="auto"/>
            <w:bottom w:val="none" w:sz="0" w:space="0" w:color="auto"/>
            <w:right w:val="none" w:sz="0" w:space="0" w:color="auto"/>
          </w:divBdr>
        </w:div>
        <w:div w:id="939800982">
          <w:marLeft w:val="0"/>
          <w:marRight w:val="0"/>
          <w:marTop w:val="0"/>
          <w:marBottom w:val="0"/>
          <w:divBdr>
            <w:top w:val="none" w:sz="0" w:space="0" w:color="auto"/>
            <w:left w:val="none" w:sz="0" w:space="0" w:color="auto"/>
            <w:bottom w:val="none" w:sz="0" w:space="0" w:color="auto"/>
            <w:right w:val="none" w:sz="0" w:space="0" w:color="auto"/>
          </w:divBdr>
        </w:div>
        <w:div w:id="1194616741">
          <w:marLeft w:val="0"/>
          <w:marRight w:val="0"/>
          <w:marTop w:val="0"/>
          <w:marBottom w:val="0"/>
          <w:divBdr>
            <w:top w:val="none" w:sz="0" w:space="0" w:color="auto"/>
            <w:left w:val="none" w:sz="0" w:space="0" w:color="auto"/>
            <w:bottom w:val="none" w:sz="0" w:space="0" w:color="auto"/>
            <w:right w:val="none" w:sz="0" w:space="0" w:color="auto"/>
          </w:divBdr>
        </w:div>
        <w:div w:id="1316645179">
          <w:marLeft w:val="0"/>
          <w:marRight w:val="0"/>
          <w:marTop w:val="0"/>
          <w:marBottom w:val="0"/>
          <w:divBdr>
            <w:top w:val="none" w:sz="0" w:space="0" w:color="auto"/>
            <w:left w:val="none" w:sz="0" w:space="0" w:color="auto"/>
            <w:bottom w:val="none" w:sz="0" w:space="0" w:color="auto"/>
            <w:right w:val="none" w:sz="0" w:space="0" w:color="auto"/>
          </w:divBdr>
        </w:div>
      </w:divsChild>
    </w:div>
    <w:div w:id="1111125293">
      <w:bodyDiv w:val="1"/>
      <w:marLeft w:val="0"/>
      <w:marRight w:val="0"/>
      <w:marTop w:val="0"/>
      <w:marBottom w:val="0"/>
      <w:divBdr>
        <w:top w:val="none" w:sz="0" w:space="0" w:color="auto"/>
        <w:left w:val="none" w:sz="0" w:space="0" w:color="auto"/>
        <w:bottom w:val="none" w:sz="0" w:space="0" w:color="auto"/>
        <w:right w:val="none" w:sz="0" w:space="0" w:color="auto"/>
      </w:divBdr>
    </w:div>
    <w:div w:id="1130785646">
      <w:bodyDiv w:val="1"/>
      <w:marLeft w:val="0"/>
      <w:marRight w:val="0"/>
      <w:marTop w:val="0"/>
      <w:marBottom w:val="0"/>
      <w:divBdr>
        <w:top w:val="none" w:sz="0" w:space="0" w:color="auto"/>
        <w:left w:val="none" w:sz="0" w:space="0" w:color="auto"/>
        <w:bottom w:val="none" w:sz="0" w:space="0" w:color="auto"/>
        <w:right w:val="none" w:sz="0" w:space="0" w:color="auto"/>
      </w:divBdr>
    </w:div>
    <w:div w:id="1300453287">
      <w:bodyDiv w:val="1"/>
      <w:marLeft w:val="0"/>
      <w:marRight w:val="0"/>
      <w:marTop w:val="0"/>
      <w:marBottom w:val="0"/>
      <w:divBdr>
        <w:top w:val="none" w:sz="0" w:space="0" w:color="auto"/>
        <w:left w:val="none" w:sz="0" w:space="0" w:color="auto"/>
        <w:bottom w:val="none" w:sz="0" w:space="0" w:color="auto"/>
        <w:right w:val="none" w:sz="0" w:space="0" w:color="auto"/>
      </w:divBdr>
    </w:div>
    <w:div w:id="1319071927">
      <w:bodyDiv w:val="1"/>
      <w:marLeft w:val="0"/>
      <w:marRight w:val="0"/>
      <w:marTop w:val="0"/>
      <w:marBottom w:val="0"/>
      <w:divBdr>
        <w:top w:val="none" w:sz="0" w:space="0" w:color="auto"/>
        <w:left w:val="none" w:sz="0" w:space="0" w:color="auto"/>
        <w:bottom w:val="none" w:sz="0" w:space="0" w:color="auto"/>
        <w:right w:val="none" w:sz="0" w:space="0" w:color="auto"/>
      </w:divBdr>
    </w:div>
    <w:div w:id="1447043935">
      <w:bodyDiv w:val="1"/>
      <w:marLeft w:val="0"/>
      <w:marRight w:val="0"/>
      <w:marTop w:val="0"/>
      <w:marBottom w:val="0"/>
      <w:divBdr>
        <w:top w:val="none" w:sz="0" w:space="0" w:color="auto"/>
        <w:left w:val="none" w:sz="0" w:space="0" w:color="auto"/>
        <w:bottom w:val="none" w:sz="0" w:space="0" w:color="auto"/>
        <w:right w:val="none" w:sz="0" w:space="0" w:color="auto"/>
      </w:divBdr>
    </w:div>
    <w:div w:id="1479954584">
      <w:bodyDiv w:val="1"/>
      <w:marLeft w:val="0"/>
      <w:marRight w:val="0"/>
      <w:marTop w:val="0"/>
      <w:marBottom w:val="0"/>
      <w:divBdr>
        <w:top w:val="none" w:sz="0" w:space="0" w:color="auto"/>
        <w:left w:val="none" w:sz="0" w:space="0" w:color="auto"/>
        <w:bottom w:val="none" w:sz="0" w:space="0" w:color="auto"/>
        <w:right w:val="none" w:sz="0" w:space="0" w:color="auto"/>
      </w:divBdr>
    </w:div>
    <w:div w:id="1481264717">
      <w:bodyDiv w:val="1"/>
      <w:marLeft w:val="0"/>
      <w:marRight w:val="0"/>
      <w:marTop w:val="0"/>
      <w:marBottom w:val="0"/>
      <w:divBdr>
        <w:top w:val="none" w:sz="0" w:space="0" w:color="auto"/>
        <w:left w:val="none" w:sz="0" w:space="0" w:color="auto"/>
        <w:bottom w:val="none" w:sz="0" w:space="0" w:color="auto"/>
        <w:right w:val="none" w:sz="0" w:space="0" w:color="auto"/>
      </w:divBdr>
    </w:div>
    <w:div w:id="1501041712">
      <w:bodyDiv w:val="1"/>
      <w:marLeft w:val="0"/>
      <w:marRight w:val="0"/>
      <w:marTop w:val="0"/>
      <w:marBottom w:val="0"/>
      <w:divBdr>
        <w:top w:val="none" w:sz="0" w:space="0" w:color="auto"/>
        <w:left w:val="none" w:sz="0" w:space="0" w:color="auto"/>
        <w:bottom w:val="none" w:sz="0" w:space="0" w:color="auto"/>
        <w:right w:val="none" w:sz="0" w:space="0" w:color="auto"/>
      </w:divBdr>
      <w:divsChild>
        <w:div w:id="801774953">
          <w:marLeft w:val="0"/>
          <w:marRight w:val="0"/>
          <w:marTop w:val="0"/>
          <w:marBottom w:val="0"/>
          <w:divBdr>
            <w:top w:val="none" w:sz="0" w:space="0" w:color="auto"/>
            <w:left w:val="none" w:sz="0" w:space="0" w:color="auto"/>
            <w:bottom w:val="none" w:sz="0" w:space="0" w:color="auto"/>
            <w:right w:val="none" w:sz="0" w:space="0" w:color="auto"/>
          </w:divBdr>
        </w:div>
        <w:div w:id="1372732746">
          <w:marLeft w:val="0"/>
          <w:marRight w:val="0"/>
          <w:marTop w:val="0"/>
          <w:marBottom w:val="0"/>
          <w:divBdr>
            <w:top w:val="none" w:sz="0" w:space="0" w:color="auto"/>
            <w:left w:val="none" w:sz="0" w:space="0" w:color="auto"/>
            <w:bottom w:val="none" w:sz="0" w:space="0" w:color="auto"/>
            <w:right w:val="none" w:sz="0" w:space="0" w:color="auto"/>
          </w:divBdr>
        </w:div>
        <w:div w:id="1225338023">
          <w:marLeft w:val="0"/>
          <w:marRight w:val="0"/>
          <w:marTop w:val="0"/>
          <w:marBottom w:val="0"/>
          <w:divBdr>
            <w:top w:val="none" w:sz="0" w:space="0" w:color="auto"/>
            <w:left w:val="none" w:sz="0" w:space="0" w:color="auto"/>
            <w:bottom w:val="none" w:sz="0" w:space="0" w:color="auto"/>
            <w:right w:val="none" w:sz="0" w:space="0" w:color="auto"/>
          </w:divBdr>
        </w:div>
        <w:div w:id="217978892">
          <w:marLeft w:val="0"/>
          <w:marRight w:val="0"/>
          <w:marTop w:val="0"/>
          <w:marBottom w:val="0"/>
          <w:divBdr>
            <w:top w:val="none" w:sz="0" w:space="0" w:color="auto"/>
            <w:left w:val="none" w:sz="0" w:space="0" w:color="auto"/>
            <w:bottom w:val="none" w:sz="0" w:space="0" w:color="auto"/>
            <w:right w:val="none" w:sz="0" w:space="0" w:color="auto"/>
          </w:divBdr>
        </w:div>
        <w:div w:id="573587082">
          <w:marLeft w:val="0"/>
          <w:marRight w:val="0"/>
          <w:marTop w:val="0"/>
          <w:marBottom w:val="0"/>
          <w:divBdr>
            <w:top w:val="none" w:sz="0" w:space="0" w:color="auto"/>
            <w:left w:val="none" w:sz="0" w:space="0" w:color="auto"/>
            <w:bottom w:val="none" w:sz="0" w:space="0" w:color="auto"/>
            <w:right w:val="none" w:sz="0" w:space="0" w:color="auto"/>
          </w:divBdr>
        </w:div>
        <w:div w:id="1069812831">
          <w:marLeft w:val="0"/>
          <w:marRight w:val="0"/>
          <w:marTop w:val="0"/>
          <w:marBottom w:val="0"/>
          <w:divBdr>
            <w:top w:val="none" w:sz="0" w:space="0" w:color="auto"/>
            <w:left w:val="none" w:sz="0" w:space="0" w:color="auto"/>
            <w:bottom w:val="none" w:sz="0" w:space="0" w:color="auto"/>
            <w:right w:val="none" w:sz="0" w:space="0" w:color="auto"/>
          </w:divBdr>
        </w:div>
        <w:div w:id="862791955">
          <w:marLeft w:val="0"/>
          <w:marRight w:val="0"/>
          <w:marTop w:val="0"/>
          <w:marBottom w:val="0"/>
          <w:divBdr>
            <w:top w:val="none" w:sz="0" w:space="0" w:color="auto"/>
            <w:left w:val="none" w:sz="0" w:space="0" w:color="auto"/>
            <w:bottom w:val="none" w:sz="0" w:space="0" w:color="auto"/>
            <w:right w:val="none" w:sz="0" w:space="0" w:color="auto"/>
          </w:divBdr>
        </w:div>
        <w:div w:id="1202129253">
          <w:marLeft w:val="0"/>
          <w:marRight w:val="0"/>
          <w:marTop w:val="0"/>
          <w:marBottom w:val="0"/>
          <w:divBdr>
            <w:top w:val="none" w:sz="0" w:space="0" w:color="auto"/>
            <w:left w:val="none" w:sz="0" w:space="0" w:color="auto"/>
            <w:bottom w:val="none" w:sz="0" w:space="0" w:color="auto"/>
            <w:right w:val="none" w:sz="0" w:space="0" w:color="auto"/>
          </w:divBdr>
        </w:div>
        <w:div w:id="1714620096">
          <w:marLeft w:val="0"/>
          <w:marRight w:val="0"/>
          <w:marTop w:val="0"/>
          <w:marBottom w:val="0"/>
          <w:divBdr>
            <w:top w:val="none" w:sz="0" w:space="0" w:color="auto"/>
            <w:left w:val="none" w:sz="0" w:space="0" w:color="auto"/>
            <w:bottom w:val="none" w:sz="0" w:space="0" w:color="auto"/>
            <w:right w:val="none" w:sz="0" w:space="0" w:color="auto"/>
          </w:divBdr>
        </w:div>
        <w:div w:id="1841310707">
          <w:marLeft w:val="0"/>
          <w:marRight w:val="0"/>
          <w:marTop w:val="0"/>
          <w:marBottom w:val="0"/>
          <w:divBdr>
            <w:top w:val="none" w:sz="0" w:space="0" w:color="auto"/>
            <w:left w:val="none" w:sz="0" w:space="0" w:color="auto"/>
            <w:bottom w:val="none" w:sz="0" w:space="0" w:color="auto"/>
            <w:right w:val="none" w:sz="0" w:space="0" w:color="auto"/>
          </w:divBdr>
        </w:div>
        <w:div w:id="611401941">
          <w:marLeft w:val="0"/>
          <w:marRight w:val="0"/>
          <w:marTop w:val="0"/>
          <w:marBottom w:val="0"/>
          <w:divBdr>
            <w:top w:val="none" w:sz="0" w:space="0" w:color="auto"/>
            <w:left w:val="none" w:sz="0" w:space="0" w:color="auto"/>
            <w:bottom w:val="none" w:sz="0" w:space="0" w:color="auto"/>
            <w:right w:val="none" w:sz="0" w:space="0" w:color="auto"/>
          </w:divBdr>
        </w:div>
      </w:divsChild>
    </w:div>
    <w:div w:id="1516115163">
      <w:bodyDiv w:val="1"/>
      <w:marLeft w:val="0"/>
      <w:marRight w:val="0"/>
      <w:marTop w:val="0"/>
      <w:marBottom w:val="0"/>
      <w:divBdr>
        <w:top w:val="none" w:sz="0" w:space="0" w:color="auto"/>
        <w:left w:val="none" w:sz="0" w:space="0" w:color="auto"/>
        <w:bottom w:val="none" w:sz="0" w:space="0" w:color="auto"/>
        <w:right w:val="none" w:sz="0" w:space="0" w:color="auto"/>
      </w:divBdr>
    </w:div>
    <w:div w:id="1594313762">
      <w:bodyDiv w:val="1"/>
      <w:marLeft w:val="0"/>
      <w:marRight w:val="0"/>
      <w:marTop w:val="0"/>
      <w:marBottom w:val="0"/>
      <w:divBdr>
        <w:top w:val="none" w:sz="0" w:space="0" w:color="auto"/>
        <w:left w:val="none" w:sz="0" w:space="0" w:color="auto"/>
        <w:bottom w:val="none" w:sz="0" w:space="0" w:color="auto"/>
        <w:right w:val="none" w:sz="0" w:space="0" w:color="auto"/>
      </w:divBdr>
    </w:div>
    <w:div w:id="1688286851">
      <w:bodyDiv w:val="1"/>
      <w:marLeft w:val="0"/>
      <w:marRight w:val="0"/>
      <w:marTop w:val="0"/>
      <w:marBottom w:val="0"/>
      <w:divBdr>
        <w:top w:val="none" w:sz="0" w:space="0" w:color="auto"/>
        <w:left w:val="none" w:sz="0" w:space="0" w:color="auto"/>
        <w:bottom w:val="none" w:sz="0" w:space="0" w:color="auto"/>
        <w:right w:val="none" w:sz="0" w:space="0" w:color="auto"/>
      </w:divBdr>
      <w:divsChild>
        <w:div w:id="136456851">
          <w:marLeft w:val="0"/>
          <w:marRight w:val="0"/>
          <w:marTop w:val="0"/>
          <w:marBottom w:val="0"/>
          <w:divBdr>
            <w:top w:val="none" w:sz="0" w:space="0" w:color="auto"/>
            <w:left w:val="none" w:sz="0" w:space="0" w:color="auto"/>
            <w:bottom w:val="none" w:sz="0" w:space="0" w:color="auto"/>
            <w:right w:val="none" w:sz="0" w:space="0" w:color="auto"/>
          </w:divBdr>
        </w:div>
        <w:div w:id="1731223973">
          <w:marLeft w:val="0"/>
          <w:marRight w:val="0"/>
          <w:marTop w:val="0"/>
          <w:marBottom w:val="0"/>
          <w:divBdr>
            <w:top w:val="none" w:sz="0" w:space="0" w:color="auto"/>
            <w:left w:val="none" w:sz="0" w:space="0" w:color="auto"/>
            <w:bottom w:val="none" w:sz="0" w:space="0" w:color="auto"/>
            <w:right w:val="none" w:sz="0" w:space="0" w:color="auto"/>
          </w:divBdr>
        </w:div>
        <w:div w:id="314381561">
          <w:marLeft w:val="0"/>
          <w:marRight w:val="0"/>
          <w:marTop w:val="0"/>
          <w:marBottom w:val="0"/>
          <w:divBdr>
            <w:top w:val="none" w:sz="0" w:space="0" w:color="auto"/>
            <w:left w:val="none" w:sz="0" w:space="0" w:color="auto"/>
            <w:bottom w:val="none" w:sz="0" w:space="0" w:color="auto"/>
            <w:right w:val="none" w:sz="0" w:space="0" w:color="auto"/>
          </w:divBdr>
        </w:div>
        <w:div w:id="720598972">
          <w:marLeft w:val="0"/>
          <w:marRight w:val="0"/>
          <w:marTop w:val="0"/>
          <w:marBottom w:val="0"/>
          <w:divBdr>
            <w:top w:val="none" w:sz="0" w:space="0" w:color="auto"/>
            <w:left w:val="none" w:sz="0" w:space="0" w:color="auto"/>
            <w:bottom w:val="none" w:sz="0" w:space="0" w:color="auto"/>
            <w:right w:val="none" w:sz="0" w:space="0" w:color="auto"/>
          </w:divBdr>
        </w:div>
        <w:div w:id="471558084">
          <w:marLeft w:val="0"/>
          <w:marRight w:val="0"/>
          <w:marTop w:val="0"/>
          <w:marBottom w:val="0"/>
          <w:divBdr>
            <w:top w:val="none" w:sz="0" w:space="0" w:color="auto"/>
            <w:left w:val="none" w:sz="0" w:space="0" w:color="auto"/>
            <w:bottom w:val="none" w:sz="0" w:space="0" w:color="auto"/>
            <w:right w:val="none" w:sz="0" w:space="0" w:color="auto"/>
          </w:divBdr>
        </w:div>
        <w:div w:id="1833519604">
          <w:marLeft w:val="0"/>
          <w:marRight w:val="0"/>
          <w:marTop w:val="0"/>
          <w:marBottom w:val="0"/>
          <w:divBdr>
            <w:top w:val="none" w:sz="0" w:space="0" w:color="auto"/>
            <w:left w:val="none" w:sz="0" w:space="0" w:color="auto"/>
            <w:bottom w:val="none" w:sz="0" w:space="0" w:color="auto"/>
            <w:right w:val="none" w:sz="0" w:space="0" w:color="auto"/>
          </w:divBdr>
        </w:div>
        <w:div w:id="919632433">
          <w:marLeft w:val="0"/>
          <w:marRight w:val="0"/>
          <w:marTop w:val="0"/>
          <w:marBottom w:val="0"/>
          <w:divBdr>
            <w:top w:val="none" w:sz="0" w:space="0" w:color="auto"/>
            <w:left w:val="none" w:sz="0" w:space="0" w:color="auto"/>
            <w:bottom w:val="none" w:sz="0" w:space="0" w:color="auto"/>
            <w:right w:val="none" w:sz="0" w:space="0" w:color="auto"/>
          </w:divBdr>
        </w:div>
        <w:div w:id="1481581035">
          <w:marLeft w:val="0"/>
          <w:marRight w:val="0"/>
          <w:marTop w:val="0"/>
          <w:marBottom w:val="0"/>
          <w:divBdr>
            <w:top w:val="none" w:sz="0" w:space="0" w:color="auto"/>
            <w:left w:val="none" w:sz="0" w:space="0" w:color="auto"/>
            <w:bottom w:val="none" w:sz="0" w:space="0" w:color="auto"/>
            <w:right w:val="none" w:sz="0" w:space="0" w:color="auto"/>
          </w:divBdr>
        </w:div>
        <w:div w:id="1431196464">
          <w:marLeft w:val="0"/>
          <w:marRight w:val="0"/>
          <w:marTop w:val="0"/>
          <w:marBottom w:val="0"/>
          <w:divBdr>
            <w:top w:val="none" w:sz="0" w:space="0" w:color="auto"/>
            <w:left w:val="none" w:sz="0" w:space="0" w:color="auto"/>
            <w:bottom w:val="none" w:sz="0" w:space="0" w:color="auto"/>
            <w:right w:val="none" w:sz="0" w:space="0" w:color="auto"/>
          </w:divBdr>
        </w:div>
        <w:div w:id="1868828721">
          <w:marLeft w:val="0"/>
          <w:marRight w:val="0"/>
          <w:marTop w:val="0"/>
          <w:marBottom w:val="0"/>
          <w:divBdr>
            <w:top w:val="none" w:sz="0" w:space="0" w:color="auto"/>
            <w:left w:val="none" w:sz="0" w:space="0" w:color="auto"/>
            <w:bottom w:val="none" w:sz="0" w:space="0" w:color="auto"/>
            <w:right w:val="none" w:sz="0" w:space="0" w:color="auto"/>
          </w:divBdr>
        </w:div>
        <w:div w:id="867837053">
          <w:marLeft w:val="0"/>
          <w:marRight w:val="0"/>
          <w:marTop w:val="0"/>
          <w:marBottom w:val="0"/>
          <w:divBdr>
            <w:top w:val="none" w:sz="0" w:space="0" w:color="auto"/>
            <w:left w:val="none" w:sz="0" w:space="0" w:color="auto"/>
            <w:bottom w:val="none" w:sz="0" w:space="0" w:color="auto"/>
            <w:right w:val="none" w:sz="0" w:space="0" w:color="auto"/>
          </w:divBdr>
        </w:div>
      </w:divsChild>
    </w:div>
    <w:div w:id="1772504926">
      <w:bodyDiv w:val="1"/>
      <w:marLeft w:val="0"/>
      <w:marRight w:val="0"/>
      <w:marTop w:val="0"/>
      <w:marBottom w:val="0"/>
      <w:divBdr>
        <w:top w:val="none" w:sz="0" w:space="0" w:color="auto"/>
        <w:left w:val="none" w:sz="0" w:space="0" w:color="auto"/>
        <w:bottom w:val="none" w:sz="0" w:space="0" w:color="auto"/>
        <w:right w:val="none" w:sz="0" w:space="0" w:color="auto"/>
      </w:divBdr>
    </w:div>
    <w:div w:id="2118941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192-corte-idh-caso-velasquez-rodriguez-vs-honduras-fondo-sentencia-de-29-de-julio-de-1988-serie-c-no-4" TargetMode="External"/><Relationship Id="rId13" Type="http://schemas.openxmlformats.org/officeDocument/2006/relationships/hyperlink" Target="http://joomla.corteidh.or.cr:8080/joomla/es/jurisprudencia-oc-2/38-jurisprudencia/728-corte-idh-caso-baldeon-garcia-vs-peru-fondo-reparaciones-y-costas-sentencia-de-6-de-abril-de-2006-serie-c-no-147" TargetMode="External"/><Relationship Id="rId3" Type="http://schemas.openxmlformats.org/officeDocument/2006/relationships/hyperlink" Target="http://www.centrodememoriahistorica.gov.co/micrositios/desaparicionForzada/libros-tomo2.html." TargetMode="External"/><Relationship Id="rId7" Type="http://schemas.openxmlformats.org/officeDocument/2006/relationships/hyperlink" Target="http://www.cidh.org/countryrep/Colombia93sp/indice.htm" TargetMode="External"/><Relationship Id="rId12" Type="http://schemas.openxmlformats.org/officeDocument/2006/relationships/hyperlink" Target="http://joomla.corteidh.or.cr:8080/joomla/es/jurisprudencia-oc-2/38-jurisprudencia/731-corte-idh-caso-de-las-masacres-de-ituango-vs-colombia-sentencia-de-1-de-julio-de-2006-serie-c-no-148" TargetMode="External"/><Relationship Id="rId2" Type="http://schemas.openxmlformats.org/officeDocument/2006/relationships/hyperlink" Target="http://www.centrodememoriahistorica.gov.co/micrositios/desaparicionForzada/libros-tomo2.html." TargetMode="External"/><Relationship Id="rId1" Type="http://schemas.openxmlformats.org/officeDocument/2006/relationships/hyperlink" Target="http://www.centrodememoriahistorica.gov.co/micrositios/desaparicionForzada/libros-tomo2.html." TargetMode="External"/><Relationship Id="rId6" Type="http://schemas.openxmlformats.org/officeDocument/2006/relationships/hyperlink" Target="file:///C:\Users\SSerrano\AppData\Local\Microsoft\Windows\Temporary%20Internet%20Files\Content.Outlook\PIH4FZLO\Disponible%20en:%20http:\www.cidh.org\countryrep\Colombia93sp\indice.htm" TargetMode="External"/><Relationship Id="rId11" Type="http://schemas.openxmlformats.org/officeDocument/2006/relationships/hyperlink" Target="http://joomla.corteidh.or.cr:8080/joomla/es/jurisprudencia-oc-2/38-jurisprudencia/741-corte-idh-caso-vargas-areco-vs-paraguay-sentencia-de-26-de-septiembre-de-2006-serie-c-no-155" TargetMode="External"/><Relationship Id="rId5" Type="http://schemas.openxmlformats.org/officeDocument/2006/relationships/hyperlink" Target="http://www.cidh.org/countryrep/Colombia93sp/cap.8.htm." TargetMode="External"/><Relationship Id="rId10"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4" Type="http://schemas.openxmlformats.org/officeDocument/2006/relationships/hyperlink" Target="http://www.centrodememoriahistorica.gov.co/micrositios/desaparicionForzada/libros-tomo2.html." TargetMode="External"/><Relationship Id="rId9"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14" Type="http://schemas.openxmlformats.org/officeDocument/2006/relationships/hyperlink" Target="http://joomla.corteidh.or.cr:8080/joomla/es/casos-contenciosos/38-jurisprudencia/772-corte-idh-caso-heliodoro-portugal-vs-panama-excepciones-preliminares-fondo-reparaciones-y-costas-sentencia-de-12-de-agosto-de-2008-serie-c-no-1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402590" algn="just"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6BA38-7398-40FE-B403-076A3B750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11052</Words>
  <Characters>63002</Characters>
  <Application>Microsoft Office Word</Application>
  <DocSecurity>0</DocSecurity>
  <Lines>525</Lines>
  <Paragraphs>147</Paragraphs>
  <ScaleCrop>false</ScaleCrop>
  <Company/>
  <LinksUpToDate>false</LinksUpToDate>
  <CharactersWithSpaces>73907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2020-11-03T16:15:00Z</dcterms:created>
  <dcterms:modified xsi:type="dcterms:W3CDTF">2020-11-03T16:15:00Z</dcterms:modified>
</cp:coreProperties>
</file>