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B07B1" w14:textId="77777777" w:rsidR="00610A15" w:rsidRPr="00540E96" w:rsidRDefault="00610A15" w:rsidP="006D014B">
      <w:pPr>
        <w:jc w:val="both"/>
        <w:rPr>
          <w:rFonts w:ascii="Cambria" w:hAnsi="Cambria" w:cs="Univers"/>
          <w:b/>
          <w:bCs/>
          <w:sz w:val="20"/>
          <w:szCs w:val="20"/>
          <w:lang w:val="es-ES_tradnl"/>
        </w:rPr>
      </w:pPr>
      <w:r w:rsidRPr="00540E96">
        <w:rPr>
          <w:rFonts w:ascii="Cambria" w:hAnsi="Cambria"/>
          <w:noProof/>
          <w:sz w:val="20"/>
          <w:szCs w:val="20"/>
        </w:rPr>
        <mc:AlternateContent>
          <mc:Choice Requires="wps">
            <w:drawing>
              <wp:anchor distT="0" distB="0" distL="114300" distR="114300" simplePos="0" relativeHeight="251659264" behindDoc="0" locked="0" layoutInCell="1" allowOverlap="1" wp14:anchorId="1E6F3281" wp14:editId="2AF1442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8B4FC"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540E96">
        <w:rPr>
          <w:rFonts w:ascii="Cambria" w:hAnsi="Cambria"/>
          <w:noProof/>
          <w:sz w:val="20"/>
          <w:szCs w:val="20"/>
        </w:rPr>
        <mc:AlternateContent>
          <mc:Choice Requires="wps">
            <w:drawing>
              <wp:anchor distT="0" distB="0" distL="114300" distR="114300" simplePos="0" relativeHeight="251663360" behindDoc="0" locked="0" layoutInCell="1" allowOverlap="1" wp14:anchorId="04D12680" wp14:editId="66BEC02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6D8A1" w14:textId="77777777" w:rsidR="008D4A0F" w:rsidRDefault="008D4A0F" w:rsidP="00610A15">
                            <w:r>
                              <w:rPr>
                                <w:noProof/>
                              </w:rPr>
                              <w:drawing>
                                <wp:inline distT="0" distB="0" distL="0" distR="0" wp14:anchorId="5326C3EC" wp14:editId="11371D9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1268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006D8A1" w14:textId="77777777" w:rsidR="008D4A0F" w:rsidRDefault="008D4A0F" w:rsidP="00610A15">
                      <w:r>
                        <w:rPr>
                          <w:noProof/>
                        </w:rPr>
                        <w:drawing>
                          <wp:inline distT="0" distB="0" distL="0" distR="0" wp14:anchorId="5326C3EC" wp14:editId="11371D9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p>
                  </w:txbxContent>
                </v:textbox>
              </v:shape>
            </w:pict>
          </mc:Fallback>
        </mc:AlternateContent>
      </w:r>
    </w:p>
    <w:p w14:paraId="72C2F58D" w14:textId="77777777" w:rsidR="00610A15" w:rsidRPr="00540E96" w:rsidRDefault="00610A15" w:rsidP="006D014B">
      <w:pPr>
        <w:tabs>
          <w:tab w:val="center" w:pos="5400"/>
        </w:tabs>
        <w:suppressAutoHyphens/>
        <w:jc w:val="both"/>
        <w:rPr>
          <w:rFonts w:ascii="Cambria" w:hAnsi="Cambria"/>
          <w:sz w:val="20"/>
          <w:szCs w:val="20"/>
          <w:lang w:val="es-ES"/>
        </w:rPr>
      </w:pPr>
    </w:p>
    <w:p w14:paraId="3C5323C6" w14:textId="77777777" w:rsidR="00610A15" w:rsidRPr="00540E96" w:rsidRDefault="00610A15" w:rsidP="006D014B">
      <w:pPr>
        <w:tabs>
          <w:tab w:val="center" w:pos="5400"/>
        </w:tabs>
        <w:suppressAutoHyphens/>
        <w:jc w:val="both"/>
        <w:rPr>
          <w:rFonts w:ascii="Cambria" w:hAnsi="Cambria"/>
          <w:sz w:val="20"/>
          <w:szCs w:val="20"/>
          <w:lang w:val="es-ES"/>
        </w:rPr>
      </w:pPr>
    </w:p>
    <w:p w14:paraId="5C903F04" w14:textId="77777777" w:rsidR="00610A15" w:rsidRPr="00540E96" w:rsidRDefault="00610A15" w:rsidP="006D014B">
      <w:pPr>
        <w:tabs>
          <w:tab w:val="center" w:pos="5400"/>
        </w:tabs>
        <w:suppressAutoHyphens/>
        <w:jc w:val="both"/>
        <w:rPr>
          <w:rFonts w:ascii="Cambria" w:hAnsi="Cambria"/>
          <w:sz w:val="20"/>
          <w:szCs w:val="20"/>
          <w:lang w:val="es-ES_tradnl"/>
        </w:rPr>
      </w:pPr>
    </w:p>
    <w:p w14:paraId="24CE5F5C" w14:textId="77777777" w:rsidR="00610A15" w:rsidRPr="00540E96" w:rsidRDefault="00610A15" w:rsidP="006D014B">
      <w:pPr>
        <w:tabs>
          <w:tab w:val="center" w:pos="5400"/>
        </w:tabs>
        <w:suppressAutoHyphens/>
        <w:jc w:val="both"/>
        <w:rPr>
          <w:rFonts w:ascii="Cambria" w:hAnsi="Cambria"/>
          <w:sz w:val="20"/>
          <w:szCs w:val="20"/>
          <w:lang w:val="es-ES_tradnl"/>
        </w:rPr>
      </w:pPr>
    </w:p>
    <w:p w14:paraId="1C2D1D46" w14:textId="77777777" w:rsidR="00610A15" w:rsidRPr="00540E96" w:rsidRDefault="00610A15" w:rsidP="006D014B">
      <w:pPr>
        <w:tabs>
          <w:tab w:val="center" w:pos="5400"/>
        </w:tabs>
        <w:suppressAutoHyphens/>
        <w:jc w:val="both"/>
        <w:rPr>
          <w:rFonts w:ascii="Cambria" w:hAnsi="Cambria"/>
          <w:sz w:val="20"/>
          <w:szCs w:val="20"/>
          <w:lang w:val="es-ES_tradnl"/>
        </w:rPr>
      </w:pPr>
    </w:p>
    <w:p w14:paraId="09C8B989" w14:textId="77777777" w:rsidR="00610A15" w:rsidRPr="00540E96" w:rsidRDefault="00610A15" w:rsidP="006D014B">
      <w:pPr>
        <w:tabs>
          <w:tab w:val="center" w:pos="5400"/>
        </w:tabs>
        <w:suppressAutoHyphens/>
        <w:jc w:val="both"/>
        <w:rPr>
          <w:rFonts w:ascii="Cambria" w:hAnsi="Cambria"/>
          <w:sz w:val="20"/>
          <w:szCs w:val="20"/>
          <w:lang w:val="es-ES_tradnl"/>
        </w:rPr>
      </w:pPr>
    </w:p>
    <w:p w14:paraId="74826B99" w14:textId="77777777" w:rsidR="00610A15" w:rsidRPr="00540E96" w:rsidRDefault="00610A15" w:rsidP="006D014B">
      <w:pPr>
        <w:tabs>
          <w:tab w:val="center" w:pos="5400"/>
        </w:tabs>
        <w:suppressAutoHyphens/>
        <w:jc w:val="both"/>
        <w:rPr>
          <w:rFonts w:ascii="Cambria" w:hAnsi="Cambria"/>
          <w:sz w:val="20"/>
          <w:szCs w:val="20"/>
          <w:lang w:val="es-ES_tradnl"/>
        </w:rPr>
      </w:pPr>
    </w:p>
    <w:p w14:paraId="4A66BA94" w14:textId="77777777" w:rsidR="00610A15" w:rsidRPr="00540E96" w:rsidRDefault="00610A15" w:rsidP="006D014B">
      <w:pPr>
        <w:tabs>
          <w:tab w:val="center" w:pos="5400"/>
        </w:tabs>
        <w:suppressAutoHyphens/>
        <w:jc w:val="both"/>
        <w:rPr>
          <w:rFonts w:ascii="Cambria" w:hAnsi="Cambria"/>
          <w:sz w:val="20"/>
          <w:szCs w:val="20"/>
          <w:lang w:val="es-ES_tradnl"/>
        </w:rPr>
      </w:pPr>
    </w:p>
    <w:p w14:paraId="62108C1E" w14:textId="77777777" w:rsidR="00610A15" w:rsidRPr="00540E96" w:rsidRDefault="00610A15" w:rsidP="006D014B">
      <w:pPr>
        <w:tabs>
          <w:tab w:val="center" w:pos="5400"/>
        </w:tabs>
        <w:suppressAutoHyphens/>
        <w:jc w:val="both"/>
        <w:rPr>
          <w:rFonts w:ascii="Cambria" w:hAnsi="Cambria"/>
          <w:sz w:val="20"/>
          <w:szCs w:val="20"/>
          <w:lang w:val="es-ES_tradnl"/>
        </w:rPr>
      </w:pPr>
    </w:p>
    <w:p w14:paraId="2FDC3843" w14:textId="77777777" w:rsidR="00610A15" w:rsidRPr="00540E96" w:rsidRDefault="00610A15" w:rsidP="006D014B">
      <w:pPr>
        <w:tabs>
          <w:tab w:val="center" w:pos="5400"/>
        </w:tabs>
        <w:suppressAutoHyphens/>
        <w:jc w:val="both"/>
        <w:rPr>
          <w:rFonts w:ascii="Cambria" w:hAnsi="Cambria"/>
          <w:sz w:val="20"/>
          <w:szCs w:val="20"/>
          <w:lang w:val="es-ES_tradnl"/>
        </w:rPr>
      </w:pPr>
    </w:p>
    <w:p w14:paraId="2E672241" w14:textId="77777777" w:rsidR="00610A15" w:rsidRPr="00540E96" w:rsidRDefault="00610A15" w:rsidP="006D014B">
      <w:pPr>
        <w:tabs>
          <w:tab w:val="center" w:pos="5400"/>
        </w:tabs>
        <w:suppressAutoHyphens/>
        <w:jc w:val="both"/>
        <w:rPr>
          <w:rFonts w:ascii="Cambria" w:hAnsi="Cambria"/>
          <w:sz w:val="20"/>
          <w:szCs w:val="20"/>
          <w:lang w:val="es-ES_tradnl"/>
        </w:rPr>
      </w:pPr>
    </w:p>
    <w:p w14:paraId="4599EF21" w14:textId="77777777" w:rsidR="00610A15" w:rsidRPr="00540E96" w:rsidRDefault="00610A15" w:rsidP="006D014B">
      <w:pPr>
        <w:tabs>
          <w:tab w:val="center" w:pos="5400"/>
        </w:tabs>
        <w:suppressAutoHyphens/>
        <w:jc w:val="both"/>
        <w:rPr>
          <w:rFonts w:ascii="Cambria" w:hAnsi="Cambria"/>
          <w:sz w:val="20"/>
          <w:szCs w:val="20"/>
          <w:lang w:val="es-ES_tradnl"/>
        </w:rPr>
      </w:pPr>
    </w:p>
    <w:p w14:paraId="3D77A4D2" w14:textId="77777777" w:rsidR="00610A15" w:rsidRPr="00540E96" w:rsidRDefault="00610A15" w:rsidP="006D014B">
      <w:pPr>
        <w:tabs>
          <w:tab w:val="center" w:pos="5400"/>
        </w:tabs>
        <w:suppressAutoHyphens/>
        <w:jc w:val="both"/>
        <w:rPr>
          <w:rFonts w:ascii="Cambria" w:hAnsi="Cambria"/>
          <w:sz w:val="20"/>
          <w:szCs w:val="20"/>
          <w:lang w:val="es-ES_tradnl"/>
        </w:rPr>
      </w:pPr>
      <w:r w:rsidRPr="00540E96">
        <w:rPr>
          <w:rFonts w:ascii="Cambria" w:hAnsi="Cambria"/>
          <w:noProof/>
          <w:sz w:val="20"/>
          <w:szCs w:val="20"/>
        </w:rPr>
        <mc:AlternateContent>
          <mc:Choice Requires="wps">
            <w:drawing>
              <wp:anchor distT="0" distB="0" distL="114300" distR="114300" simplePos="0" relativeHeight="251660288" behindDoc="0" locked="0" layoutInCell="1" allowOverlap="1" wp14:anchorId="3EDEBF8F" wp14:editId="0267A28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8B827" w14:textId="77777777" w:rsidR="008D4A0F" w:rsidRPr="00430348" w:rsidRDefault="008D4A0F" w:rsidP="00610A15">
                            <w:pPr>
                              <w:spacing w:line="276" w:lineRule="auto"/>
                              <w:rPr>
                                <w:rFonts w:ascii="Cambria" w:hAnsi="Cambria" w:cs="Arial"/>
                                <w:b/>
                                <w:color w:val="0D0D0D" w:themeColor="text1" w:themeTint="F2"/>
                                <w:sz w:val="36"/>
                                <w:szCs w:val="22"/>
                                <w:lang w:val="es-VE"/>
                              </w:rPr>
                            </w:pPr>
                            <w:r w:rsidRPr="00430348">
                              <w:rPr>
                                <w:rFonts w:ascii="Cambria" w:hAnsi="Cambria" w:cs="Arial"/>
                                <w:b/>
                                <w:bCs/>
                                <w:color w:val="0D0D0D" w:themeColor="text1" w:themeTint="F2"/>
                                <w:sz w:val="36"/>
                                <w:szCs w:val="22"/>
                                <w:lang w:val="es-VE"/>
                              </w:rPr>
                              <w:t xml:space="preserve">INFORME </w:t>
                            </w:r>
                            <w:r w:rsidRPr="00430348">
                              <w:rPr>
                                <w:rFonts w:ascii="Cambria" w:hAnsi="Cambria" w:cs="Arial"/>
                                <w:b/>
                                <w:bCs/>
                                <w:color w:val="0D0D0D" w:themeColor="text1" w:themeTint="F2"/>
                                <w:sz w:val="36"/>
                                <w:szCs w:val="40"/>
                                <w:lang w:val="es-VE"/>
                              </w:rPr>
                              <w:t>No.</w:t>
                            </w:r>
                            <w:r>
                              <w:rPr>
                                <w:rFonts w:ascii="Cambria" w:hAnsi="Cambria" w:cs="Arial"/>
                                <w:b/>
                                <w:bCs/>
                                <w:color w:val="0D0D0D" w:themeColor="text1" w:themeTint="F2"/>
                                <w:sz w:val="36"/>
                                <w:szCs w:val="22"/>
                                <w:lang w:val="es-VE"/>
                              </w:rPr>
                              <w:t xml:space="preserve"> 148/19</w:t>
                            </w:r>
                          </w:p>
                          <w:p w14:paraId="016D8E0F" w14:textId="77777777" w:rsidR="008D4A0F" w:rsidRPr="005B2F65" w:rsidRDefault="008D4A0F" w:rsidP="00610A15">
                            <w:pPr>
                              <w:spacing w:line="276" w:lineRule="auto"/>
                              <w:rPr>
                                <w:rFonts w:ascii="Cambria" w:hAnsi="Cambria" w:cs="Arial"/>
                                <w:b/>
                                <w:color w:val="0D0D0D" w:themeColor="text1" w:themeTint="F2"/>
                                <w:sz w:val="36"/>
                                <w:szCs w:val="22"/>
                                <w:lang w:val="es-VE"/>
                              </w:rPr>
                            </w:pPr>
                            <w:r w:rsidRPr="005B2F65">
                              <w:rPr>
                                <w:rFonts w:ascii="Cambria" w:hAnsi="Cambria" w:cs="Arial"/>
                                <w:b/>
                                <w:color w:val="0D0D0D" w:themeColor="text1" w:themeTint="F2"/>
                                <w:sz w:val="36"/>
                                <w:szCs w:val="22"/>
                                <w:lang w:val="es-VE"/>
                              </w:rPr>
                              <w:t>CASO 12.971</w:t>
                            </w:r>
                          </w:p>
                          <w:p w14:paraId="62EF796A" w14:textId="77777777" w:rsidR="008D4A0F" w:rsidRPr="005B2F65" w:rsidRDefault="008D4A0F" w:rsidP="00610A15">
                            <w:pPr>
                              <w:spacing w:line="276" w:lineRule="auto"/>
                              <w:rPr>
                                <w:rFonts w:ascii="Cambria" w:hAnsi="Cambria" w:cs="Arial"/>
                                <w:color w:val="0D0D0D" w:themeColor="text1" w:themeTint="F2"/>
                                <w:szCs w:val="22"/>
                                <w:lang w:val="es-ES_tradnl"/>
                              </w:rPr>
                            </w:pPr>
                            <w:r w:rsidRPr="005B2F65">
                              <w:rPr>
                                <w:rFonts w:ascii="Cambria" w:hAnsi="Cambria" w:cs="Arial"/>
                                <w:color w:val="0D0D0D" w:themeColor="text1" w:themeTint="F2"/>
                                <w:szCs w:val="22"/>
                                <w:lang w:val="es-ES_tradnl"/>
                              </w:rPr>
                              <w:t>INFORME DE FONDO</w:t>
                            </w:r>
                          </w:p>
                          <w:p w14:paraId="1811B88B" w14:textId="77777777" w:rsidR="008D4A0F" w:rsidRPr="005B2F65" w:rsidRDefault="008D4A0F" w:rsidP="00610A15">
                            <w:pPr>
                              <w:spacing w:line="276" w:lineRule="auto"/>
                              <w:rPr>
                                <w:rFonts w:ascii="Cambria" w:hAnsi="Cambria" w:cs="Arial"/>
                                <w:color w:val="0D0D0D" w:themeColor="text1" w:themeTint="F2"/>
                                <w:szCs w:val="22"/>
                                <w:lang w:val="es-ES_tradnl"/>
                              </w:rPr>
                            </w:pPr>
                            <w:bookmarkStart w:id="0" w:name="_ftnref1"/>
                            <w:r>
                              <w:rPr>
                                <w:rFonts w:ascii="Cambria" w:hAnsi="Cambria" w:cs="Arial"/>
                                <w:color w:val="0D0D0D" w:themeColor="text1" w:themeTint="F2"/>
                                <w:szCs w:val="22"/>
                                <w:lang w:val="es-ES_tradnl"/>
                              </w:rPr>
                              <w:t>RONALD MOYA CHACÓN Y FREDDY PARRALES CHAVES</w:t>
                            </w:r>
                          </w:p>
                          <w:p w14:paraId="7AE1740D" w14:textId="77777777" w:rsidR="008D4A0F" w:rsidRPr="005B2F65" w:rsidRDefault="008D4A0F" w:rsidP="00610A15">
                            <w:pPr>
                              <w:spacing w:line="276" w:lineRule="auto"/>
                              <w:rPr>
                                <w:rFonts w:ascii="Cambria" w:hAnsi="Cambria" w:cs="Arial"/>
                                <w:color w:val="0D0D0D" w:themeColor="text1" w:themeTint="F2"/>
                                <w:szCs w:val="22"/>
                                <w:lang w:val="es-ES_tradnl"/>
                              </w:rPr>
                            </w:pPr>
                          </w:p>
                          <w:bookmarkEnd w:id="0"/>
                          <w:p w14:paraId="362E0278" w14:textId="77777777" w:rsidR="008D4A0F" w:rsidRPr="00430348" w:rsidRDefault="008D4A0F" w:rsidP="00610A15">
                            <w:pPr>
                              <w:spacing w:line="276" w:lineRule="auto"/>
                              <w:rPr>
                                <w:rFonts w:ascii="Cambria" w:hAnsi="Cambria" w:cs="Arial"/>
                                <w:color w:val="0D0D0D" w:themeColor="text1" w:themeTint="F2"/>
                                <w:szCs w:val="22"/>
                                <w:lang w:val="es-ES"/>
                              </w:rPr>
                            </w:pPr>
                            <w:r w:rsidRPr="005B2F65">
                              <w:rPr>
                                <w:rFonts w:ascii="Cambria" w:hAnsi="Cambria" w:cs="Arial"/>
                                <w:color w:val="0D0D0D" w:themeColor="text1" w:themeTint="F2"/>
                                <w:szCs w:val="22"/>
                                <w:lang w:val="es-ES_tradnl"/>
                              </w:rPr>
                              <w:t>COSTA RICA</w:t>
                            </w:r>
                          </w:p>
                          <w:p w14:paraId="1E21973A" w14:textId="77777777" w:rsidR="008D4A0F" w:rsidRPr="00AE5488" w:rsidRDefault="008D4A0F" w:rsidP="00610A15">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EBF8F"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968B827" w14:textId="77777777" w:rsidR="008D4A0F" w:rsidRPr="00430348" w:rsidRDefault="008D4A0F" w:rsidP="00610A15">
                      <w:pPr>
                        <w:spacing w:line="276" w:lineRule="auto"/>
                        <w:rPr>
                          <w:rFonts w:ascii="Cambria" w:hAnsi="Cambria" w:cs="Arial"/>
                          <w:b/>
                          <w:color w:val="0D0D0D" w:themeColor="text1" w:themeTint="F2"/>
                          <w:sz w:val="36"/>
                          <w:szCs w:val="22"/>
                          <w:lang w:val="es-VE"/>
                        </w:rPr>
                      </w:pPr>
                      <w:r w:rsidRPr="00430348">
                        <w:rPr>
                          <w:rFonts w:ascii="Cambria" w:hAnsi="Cambria" w:cs="Arial"/>
                          <w:b/>
                          <w:bCs/>
                          <w:color w:val="0D0D0D" w:themeColor="text1" w:themeTint="F2"/>
                          <w:sz w:val="36"/>
                          <w:szCs w:val="22"/>
                          <w:lang w:val="es-VE"/>
                        </w:rPr>
                        <w:t xml:space="preserve">INFORME </w:t>
                      </w:r>
                      <w:r w:rsidRPr="00430348">
                        <w:rPr>
                          <w:rFonts w:ascii="Cambria" w:hAnsi="Cambria" w:cs="Arial"/>
                          <w:b/>
                          <w:bCs/>
                          <w:color w:val="0D0D0D" w:themeColor="text1" w:themeTint="F2"/>
                          <w:sz w:val="36"/>
                          <w:szCs w:val="40"/>
                          <w:lang w:val="es-VE"/>
                        </w:rPr>
                        <w:t>No.</w:t>
                      </w:r>
                      <w:r>
                        <w:rPr>
                          <w:rFonts w:ascii="Cambria" w:hAnsi="Cambria" w:cs="Arial"/>
                          <w:b/>
                          <w:bCs/>
                          <w:color w:val="0D0D0D" w:themeColor="text1" w:themeTint="F2"/>
                          <w:sz w:val="36"/>
                          <w:szCs w:val="22"/>
                          <w:lang w:val="es-VE"/>
                        </w:rPr>
                        <w:t xml:space="preserve"> 148/19</w:t>
                      </w:r>
                    </w:p>
                    <w:p w14:paraId="016D8E0F" w14:textId="77777777" w:rsidR="008D4A0F" w:rsidRPr="005B2F65" w:rsidRDefault="008D4A0F" w:rsidP="00610A15">
                      <w:pPr>
                        <w:spacing w:line="276" w:lineRule="auto"/>
                        <w:rPr>
                          <w:rFonts w:ascii="Cambria" w:hAnsi="Cambria" w:cs="Arial"/>
                          <w:b/>
                          <w:color w:val="0D0D0D" w:themeColor="text1" w:themeTint="F2"/>
                          <w:sz w:val="36"/>
                          <w:szCs w:val="22"/>
                          <w:lang w:val="es-VE"/>
                        </w:rPr>
                      </w:pPr>
                      <w:r w:rsidRPr="005B2F65">
                        <w:rPr>
                          <w:rFonts w:ascii="Cambria" w:hAnsi="Cambria" w:cs="Arial"/>
                          <w:b/>
                          <w:color w:val="0D0D0D" w:themeColor="text1" w:themeTint="F2"/>
                          <w:sz w:val="36"/>
                          <w:szCs w:val="22"/>
                          <w:lang w:val="es-VE"/>
                        </w:rPr>
                        <w:t>CASO 12.971</w:t>
                      </w:r>
                    </w:p>
                    <w:p w14:paraId="62EF796A" w14:textId="77777777" w:rsidR="008D4A0F" w:rsidRPr="005B2F65" w:rsidRDefault="008D4A0F" w:rsidP="00610A15">
                      <w:pPr>
                        <w:spacing w:line="276" w:lineRule="auto"/>
                        <w:rPr>
                          <w:rFonts w:ascii="Cambria" w:hAnsi="Cambria" w:cs="Arial"/>
                          <w:color w:val="0D0D0D" w:themeColor="text1" w:themeTint="F2"/>
                          <w:szCs w:val="22"/>
                          <w:lang w:val="es-ES_tradnl"/>
                        </w:rPr>
                      </w:pPr>
                      <w:r w:rsidRPr="005B2F65">
                        <w:rPr>
                          <w:rFonts w:ascii="Cambria" w:hAnsi="Cambria" w:cs="Arial"/>
                          <w:color w:val="0D0D0D" w:themeColor="text1" w:themeTint="F2"/>
                          <w:szCs w:val="22"/>
                          <w:lang w:val="es-ES_tradnl"/>
                        </w:rPr>
                        <w:t>INFORME DE FONDO</w:t>
                      </w:r>
                    </w:p>
                    <w:p w14:paraId="1811B88B" w14:textId="77777777" w:rsidR="008D4A0F" w:rsidRPr="005B2F65" w:rsidRDefault="008D4A0F" w:rsidP="00610A15">
                      <w:pPr>
                        <w:spacing w:line="276" w:lineRule="auto"/>
                        <w:rPr>
                          <w:rFonts w:ascii="Cambria" w:hAnsi="Cambria" w:cs="Arial"/>
                          <w:color w:val="0D0D0D" w:themeColor="text1" w:themeTint="F2"/>
                          <w:szCs w:val="22"/>
                          <w:lang w:val="es-ES_tradnl"/>
                        </w:rPr>
                      </w:pPr>
                      <w:bookmarkStart w:id="1" w:name="_ftnref1"/>
                      <w:r>
                        <w:rPr>
                          <w:rFonts w:ascii="Cambria" w:hAnsi="Cambria" w:cs="Arial"/>
                          <w:color w:val="0D0D0D" w:themeColor="text1" w:themeTint="F2"/>
                          <w:szCs w:val="22"/>
                          <w:lang w:val="es-ES_tradnl"/>
                        </w:rPr>
                        <w:t>RONALD MOYA CHACÓN Y FREDDY PARRALES CHAVES</w:t>
                      </w:r>
                    </w:p>
                    <w:p w14:paraId="7AE1740D" w14:textId="77777777" w:rsidR="008D4A0F" w:rsidRPr="005B2F65" w:rsidRDefault="008D4A0F" w:rsidP="00610A15">
                      <w:pPr>
                        <w:spacing w:line="276" w:lineRule="auto"/>
                        <w:rPr>
                          <w:rFonts w:ascii="Cambria" w:hAnsi="Cambria" w:cs="Arial"/>
                          <w:color w:val="0D0D0D" w:themeColor="text1" w:themeTint="F2"/>
                          <w:szCs w:val="22"/>
                          <w:lang w:val="es-ES_tradnl"/>
                        </w:rPr>
                      </w:pPr>
                    </w:p>
                    <w:bookmarkEnd w:id="1"/>
                    <w:p w14:paraId="362E0278" w14:textId="77777777" w:rsidR="008D4A0F" w:rsidRPr="00430348" w:rsidRDefault="008D4A0F" w:rsidP="00610A15">
                      <w:pPr>
                        <w:spacing w:line="276" w:lineRule="auto"/>
                        <w:rPr>
                          <w:rFonts w:ascii="Cambria" w:hAnsi="Cambria" w:cs="Arial"/>
                          <w:color w:val="0D0D0D" w:themeColor="text1" w:themeTint="F2"/>
                          <w:szCs w:val="22"/>
                          <w:lang w:val="es-ES"/>
                        </w:rPr>
                      </w:pPr>
                      <w:r w:rsidRPr="005B2F65">
                        <w:rPr>
                          <w:rFonts w:ascii="Cambria" w:hAnsi="Cambria" w:cs="Arial"/>
                          <w:color w:val="0D0D0D" w:themeColor="text1" w:themeTint="F2"/>
                          <w:szCs w:val="22"/>
                          <w:lang w:val="es-ES_tradnl"/>
                        </w:rPr>
                        <w:t>COSTA RICA</w:t>
                      </w:r>
                    </w:p>
                    <w:p w14:paraId="1E21973A" w14:textId="77777777" w:rsidR="008D4A0F" w:rsidRPr="00AE5488" w:rsidRDefault="008D4A0F" w:rsidP="00610A15">
                      <w:pPr>
                        <w:rPr>
                          <w:color w:val="0D0D0D" w:themeColor="text1" w:themeTint="F2"/>
                          <w:lang w:val="es-ES_tradnl"/>
                        </w:rPr>
                      </w:pPr>
                    </w:p>
                  </w:txbxContent>
                </v:textbox>
              </v:shape>
            </w:pict>
          </mc:Fallback>
        </mc:AlternateContent>
      </w:r>
      <w:r w:rsidRPr="00540E96">
        <w:rPr>
          <w:rFonts w:ascii="Cambria" w:hAnsi="Cambria"/>
          <w:noProof/>
          <w:sz w:val="20"/>
          <w:szCs w:val="20"/>
        </w:rPr>
        <mc:AlternateContent>
          <mc:Choice Requires="wps">
            <w:drawing>
              <wp:anchor distT="0" distB="0" distL="114300" distR="114300" simplePos="0" relativeHeight="251662336" behindDoc="0" locked="0" layoutInCell="1" allowOverlap="1" wp14:anchorId="5CD3A747" wp14:editId="3EC5478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F22A8" w14:textId="77777777" w:rsidR="008D4A0F" w:rsidRPr="009E54A9" w:rsidRDefault="008D4A0F" w:rsidP="009D70A3">
                            <w:pPr>
                              <w:spacing w:line="276" w:lineRule="auto"/>
                              <w:jc w:val="right"/>
                              <w:rPr>
                                <w:rFonts w:asciiTheme="minorHAnsi" w:hAnsiTheme="minorHAnsi"/>
                                <w:color w:val="FFFFFF" w:themeColor="background1"/>
                                <w:sz w:val="22"/>
                                <w:lang w:val="pt-BR"/>
                              </w:rPr>
                            </w:pPr>
                            <w:r w:rsidRPr="009E54A9">
                              <w:rPr>
                                <w:rFonts w:asciiTheme="minorHAnsi" w:hAnsiTheme="minorHAnsi"/>
                                <w:color w:val="FFFFFF" w:themeColor="background1"/>
                                <w:sz w:val="22"/>
                                <w:lang w:val="pt-BR"/>
                              </w:rPr>
                              <w:t>OEA/Ser.L/V/II.173</w:t>
                            </w:r>
                          </w:p>
                          <w:p w14:paraId="686155DB" w14:textId="77777777" w:rsidR="008D4A0F" w:rsidRPr="00B17B12" w:rsidRDefault="008D4A0F" w:rsidP="009D70A3">
                            <w:pPr>
                              <w:spacing w:line="276" w:lineRule="auto"/>
                              <w:jc w:val="right"/>
                              <w:rPr>
                                <w:rFonts w:asciiTheme="minorHAnsi" w:hAnsiTheme="minorHAnsi"/>
                                <w:color w:val="FFFFFF" w:themeColor="background1"/>
                                <w:sz w:val="22"/>
                                <w:lang w:val="pt-BR"/>
                              </w:rPr>
                            </w:pPr>
                            <w:r w:rsidRPr="00174CA8">
                              <w:rPr>
                                <w:rFonts w:asciiTheme="minorHAnsi" w:hAnsiTheme="minorHAnsi"/>
                                <w:color w:val="FFFFFF" w:themeColor="background1"/>
                                <w:sz w:val="22"/>
                                <w:lang w:val="pt-BR"/>
                              </w:rPr>
                              <w:t xml:space="preserve">Doc. </w:t>
                            </w:r>
                            <w:r w:rsidRPr="00DD5036">
                              <w:rPr>
                                <w:rFonts w:asciiTheme="minorHAnsi" w:hAnsiTheme="minorHAnsi"/>
                                <w:color w:val="FFFFFF" w:themeColor="background1"/>
                                <w:sz w:val="22"/>
                                <w:lang w:val="pt-BR"/>
                              </w:rPr>
                              <w:t>163</w:t>
                            </w:r>
                          </w:p>
                          <w:p w14:paraId="79278FB1" w14:textId="77777777" w:rsidR="008D4A0F" w:rsidRPr="009D70A3" w:rsidRDefault="008D4A0F" w:rsidP="009D70A3">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28 septiembre 2019</w:t>
                            </w:r>
                          </w:p>
                          <w:p w14:paraId="7DC07108" w14:textId="77777777" w:rsidR="008D4A0F" w:rsidRPr="00E33B22" w:rsidRDefault="008D4A0F" w:rsidP="009D70A3">
                            <w:pPr>
                              <w:spacing w:line="276" w:lineRule="auto"/>
                              <w:jc w:val="right"/>
                              <w:rPr>
                                <w:rFonts w:asciiTheme="minorHAnsi" w:hAnsiTheme="minorHAnsi"/>
                                <w:color w:val="FFFFFF" w:themeColor="background1"/>
                                <w:sz w:val="22"/>
                                <w:lang w:val="es-VE"/>
                              </w:rPr>
                            </w:pPr>
                            <w:r w:rsidRPr="00E33B22">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3A747"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07F22A8" w14:textId="77777777" w:rsidR="008D4A0F" w:rsidRPr="009E54A9" w:rsidRDefault="008D4A0F" w:rsidP="009D70A3">
                      <w:pPr>
                        <w:spacing w:line="276" w:lineRule="auto"/>
                        <w:jc w:val="right"/>
                        <w:rPr>
                          <w:rFonts w:asciiTheme="minorHAnsi" w:hAnsiTheme="minorHAnsi"/>
                          <w:color w:val="FFFFFF" w:themeColor="background1"/>
                          <w:sz w:val="22"/>
                          <w:lang w:val="pt-BR"/>
                        </w:rPr>
                      </w:pPr>
                      <w:r w:rsidRPr="009E54A9">
                        <w:rPr>
                          <w:rFonts w:asciiTheme="minorHAnsi" w:hAnsiTheme="minorHAnsi"/>
                          <w:color w:val="FFFFFF" w:themeColor="background1"/>
                          <w:sz w:val="22"/>
                          <w:lang w:val="pt-BR"/>
                        </w:rPr>
                        <w:t>OEA/Ser.L/V/II.173</w:t>
                      </w:r>
                    </w:p>
                    <w:p w14:paraId="686155DB" w14:textId="77777777" w:rsidR="008D4A0F" w:rsidRPr="00B17B12" w:rsidRDefault="008D4A0F" w:rsidP="009D70A3">
                      <w:pPr>
                        <w:spacing w:line="276" w:lineRule="auto"/>
                        <w:jc w:val="right"/>
                        <w:rPr>
                          <w:rFonts w:asciiTheme="minorHAnsi" w:hAnsiTheme="minorHAnsi"/>
                          <w:color w:val="FFFFFF" w:themeColor="background1"/>
                          <w:sz w:val="22"/>
                          <w:lang w:val="pt-BR"/>
                        </w:rPr>
                      </w:pPr>
                      <w:r w:rsidRPr="00174CA8">
                        <w:rPr>
                          <w:rFonts w:asciiTheme="minorHAnsi" w:hAnsiTheme="minorHAnsi"/>
                          <w:color w:val="FFFFFF" w:themeColor="background1"/>
                          <w:sz w:val="22"/>
                          <w:lang w:val="pt-BR"/>
                        </w:rPr>
                        <w:t xml:space="preserve">Doc. </w:t>
                      </w:r>
                      <w:r w:rsidRPr="00DD5036">
                        <w:rPr>
                          <w:rFonts w:asciiTheme="minorHAnsi" w:hAnsiTheme="minorHAnsi"/>
                          <w:color w:val="FFFFFF" w:themeColor="background1"/>
                          <w:sz w:val="22"/>
                          <w:lang w:val="pt-BR"/>
                        </w:rPr>
                        <w:t>163</w:t>
                      </w:r>
                    </w:p>
                    <w:p w14:paraId="79278FB1" w14:textId="77777777" w:rsidR="008D4A0F" w:rsidRPr="009D70A3" w:rsidRDefault="008D4A0F" w:rsidP="009D70A3">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28 septiembre 2019</w:t>
                      </w:r>
                    </w:p>
                    <w:p w14:paraId="7DC07108" w14:textId="77777777" w:rsidR="008D4A0F" w:rsidRPr="00E33B22" w:rsidRDefault="008D4A0F" w:rsidP="009D70A3">
                      <w:pPr>
                        <w:spacing w:line="276" w:lineRule="auto"/>
                        <w:jc w:val="right"/>
                        <w:rPr>
                          <w:rFonts w:asciiTheme="minorHAnsi" w:hAnsiTheme="minorHAnsi"/>
                          <w:color w:val="FFFFFF" w:themeColor="background1"/>
                          <w:sz w:val="22"/>
                          <w:lang w:val="es-VE"/>
                        </w:rPr>
                      </w:pPr>
                      <w:r w:rsidRPr="00E33B22">
                        <w:rPr>
                          <w:rFonts w:asciiTheme="minorHAnsi" w:hAnsiTheme="minorHAnsi"/>
                          <w:color w:val="FFFFFF" w:themeColor="background1"/>
                          <w:sz w:val="22"/>
                          <w:lang w:val="es-VE"/>
                        </w:rPr>
                        <w:t>Original: español</w:t>
                      </w:r>
                    </w:p>
                  </w:txbxContent>
                </v:textbox>
              </v:shape>
            </w:pict>
          </mc:Fallback>
        </mc:AlternateContent>
      </w:r>
    </w:p>
    <w:p w14:paraId="31FAF258" w14:textId="77777777" w:rsidR="00610A15" w:rsidRPr="00540E96" w:rsidRDefault="00610A15" w:rsidP="006D014B">
      <w:pPr>
        <w:tabs>
          <w:tab w:val="center" w:pos="5400"/>
        </w:tabs>
        <w:suppressAutoHyphens/>
        <w:jc w:val="both"/>
        <w:rPr>
          <w:rFonts w:ascii="Cambria" w:hAnsi="Cambria"/>
          <w:sz w:val="20"/>
          <w:szCs w:val="20"/>
          <w:lang w:val="es-ES_tradnl"/>
        </w:rPr>
      </w:pPr>
    </w:p>
    <w:p w14:paraId="032FDC96" w14:textId="77777777" w:rsidR="00610A15" w:rsidRPr="00540E96" w:rsidRDefault="00610A15" w:rsidP="006D014B">
      <w:pPr>
        <w:tabs>
          <w:tab w:val="center" w:pos="5400"/>
        </w:tabs>
        <w:suppressAutoHyphens/>
        <w:jc w:val="both"/>
        <w:rPr>
          <w:rFonts w:ascii="Cambria" w:hAnsi="Cambria"/>
          <w:sz w:val="20"/>
          <w:szCs w:val="20"/>
          <w:lang w:val="es-ES_tradnl"/>
        </w:rPr>
      </w:pPr>
    </w:p>
    <w:p w14:paraId="5E2E05F6" w14:textId="77777777" w:rsidR="00610A15" w:rsidRPr="00540E96" w:rsidRDefault="00610A15" w:rsidP="006D014B">
      <w:pPr>
        <w:tabs>
          <w:tab w:val="center" w:pos="5400"/>
        </w:tabs>
        <w:suppressAutoHyphens/>
        <w:jc w:val="both"/>
        <w:rPr>
          <w:rFonts w:ascii="Cambria" w:hAnsi="Cambria" w:cs="Arial"/>
          <w:sz w:val="20"/>
          <w:szCs w:val="20"/>
          <w:lang w:val="es-ES_tradnl"/>
        </w:rPr>
      </w:pPr>
    </w:p>
    <w:p w14:paraId="26A7934D" w14:textId="77777777" w:rsidR="00610A15" w:rsidRPr="00540E96" w:rsidRDefault="00610A15" w:rsidP="006D014B">
      <w:pPr>
        <w:tabs>
          <w:tab w:val="center" w:pos="5400"/>
        </w:tabs>
        <w:suppressAutoHyphens/>
        <w:jc w:val="both"/>
        <w:rPr>
          <w:rFonts w:ascii="Cambria" w:hAnsi="Cambria"/>
          <w:sz w:val="20"/>
          <w:szCs w:val="20"/>
          <w:lang w:val="es-ES_tradnl"/>
        </w:rPr>
      </w:pPr>
    </w:p>
    <w:p w14:paraId="05CAAECB" w14:textId="77777777" w:rsidR="00610A15" w:rsidRPr="00540E96" w:rsidRDefault="00610A15" w:rsidP="006D014B">
      <w:pPr>
        <w:tabs>
          <w:tab w:val="center" w:pos="5400"/>
        </w:tabs>
        <w:suppressAutoHyphens/>
        <w:jc w:val="both"/>
        <w:rPr>
          <w:rFonts w:ascii="Cambria" w:hAnsi="Cambria"/>
          <w:sz w:val="20"/>
          <w:szCs w:val="20"/>
          <w:lang w:val="es-ES_tradnl"/>
        </w:rPr>
      </w:pPr>
    </w:p>
    <w:p w14:paraId="4BA04F9A" w14:textId="77777777" w:rsidR="00610A15" w:rsidRPr="00540E96" w:rsidRDefault="00610A15" w:rsidP="006D014B">
      <w:pPr>
        <w:tabs>
          <w:tab w:val="center" w:pos="5400"/>
        </w:tabs>
        <w:suppressAutoHyphens/>
        <w:jc w:val="both"/>
        <w:rPr>
          <w:rFonts w:ascii="Cambria" w:hAnsi="Cambria"/>
          <w:sz w:val="20"/>
          <w:szCs w:val="20"/>
          <w:lang w:val="es-ES_tradnl"/>
        </w:rPr>
      </w:pPr>
    </w:p>
    <w:p w14:paraId="601AA714" w14:textId="77777777" w:rsidR="00610A15" w:rsidRPr="00540E96" w:rsidRDefault="00610A15" w:rsidP="006D014B">
      <w:pPr>
        <w:tabs>
          <w:tab w:val="center" w:pos="5400"/>
        </w:tabs>
        <w:suppressAutoHyphens/>
        <w:jc w:val="both"/>
        <w:rPr>
          <w:rFonts w:ascii="Cambria" w:hAnsi="Cambria"/>
          <w:sz w:val="20"/>
          <w:szCs w:val="20"/>
          <w:lang w:val="es-ES_tradnl"/>
        </w:rPr>
      </w:pPr>
    </w:p>
    <w:p w14:paraId="798885D3" w14:textId="77777777" w:rsidR="00610A15" w:rsidRPr="00540E96" w:rsidRDefault="00610A15" w:rsidP="006D014B">
      <w:pPr>
        <w:tabs>
          <w:tab w:val="center" w:pos="5400"/>
        </w:tabs>
        <w:suppressAutoHyphens/>
        <w:jc w:val="both"/>
        <w:rPr>
          <w:rFonts w:ascii="Cambria" w:hAnsi="Cambria"/>
          <w:sz w:val="20"/>
          <w:szCs w:val="20"/>
          <w:lang w:val="es-ES_tradnl"/>
        </w:rPr>
      </w:pPr>
    </w:p>
    <w:p w14:paraId="0582EE83" w14:textId="77777777" w:rsidR="00610A15" w:rsidRPr="00540E96" w:rsidRDefault="00610A15" w:rsidP="006D014B">
      <w:pPr>
        <w:tabs>
          <w:tab w:val="center" w:pos="5400"/>
        </w:tabs>
        <w:suppressAutoHyphens/>
        <w:jc w:val="both"/>
        <w:rPr>
          <w:rFonts w:ascii="Cambria" w:hAnsi="Cambria"/>
          <w:sz w:val="20"/>
          <w:szCs w:val="20"/>
          <w:lang w:val="es-ES_tradnl"/>
        </w:rPr>
      </w:pPr>
    </w:p>
    <w:p w14:paraId="0B04B8A3" w14:textId="77777777" w:rsidR="00610A15" w:rsidRPr="00540E96" w:rsidRDefault="00610A15" w:rsidP="006D014B">
      <w:pPr>
        <w:tabs>
          <w:tab w:val="center" w:pos="5400"/>
        </w:tabs>
        <w:suppressAutoHyphens/>
        <w:jc w:val="both"/>
        <w:rPr>
          <w:rFonts w:ascii="Cambria" w:hAnsi="Cambria"/>
          <w:sz w:val="20"/>
          <w:szCs w:val="20"/>
          <w:lang w:val="es-ES_tradnl"/>
        </w:rPr>
      </w:pPr>
    </w:p>
    <w:p w14:paraId="4F2BFCA9" w14:textId="77777777" w:rsidR="00610A15" w:rsidRPr="00540E96" w:rsidRDefault="00610A15" w:rsidP="006D014B">
      <w:pPr>
        <w:tabs>
          <w:tab w:val="center" w:pos="5400"/>
        </w:tabs>
        <w:suppressAutoHyphens/>
        <w:jc w:val="both"/>
        <w:rPr>
          <w:rFonts w:ascii="Cambria" w:hAnsi="Cambria"/>
          <w:sz w:val="20"/>
          <w:szCs w:val="20"/>
          <w:lang w:val="es-ES_tradnl"/>
        </w:rPr>
      </w:pPr>
    </w:p>
    <w:p w14:paraId="6588C91E" w14:textId="77777777" w:rsidR="00610A15" w:rsidRPr="00540E96" w:rsidRDefault="00610A15" w:rsidP="006D014B">
      <w:pPr>
        <w:tabs>
          <w:tab w:val="center" w:pos="5400"/>
        </w:tabs>
        <w:suppressAutoHyphens/>
        <w:jc w:val="both"/>
        <w:rPr>
          <w:rFonts w:ascii="Cambria" w:hAnsi="Cambria"/>
          <w:sz w:val="20"/>
          <w:szCs w:val="20"/>
          <w:lang w:val="es-ES_tradnl"/>
        </w:rPr>
      </w:pPr>
    </w:p>
    <w:p w14:paraId="4B98690D" w14:textId="77777777" w:rsidR="00610A15" w:rsidRPr="00540E96" w:rsidRDefault="00610A15" w:rsidP="006D014B">
      <w:pPr>
        <w:tabs>
          <w:tab w:val="center" w:pos="5400"/>
        </w:tabs>
        <w:suppressAutoHyphens/>
        <w:jc w:val="both"/>
        <w:rPr>
          <w:rFonts w:ascii="Cambria" w:hAnsi="Cambria"/>
          <w:sz w:val="20"/>
          <w:szCs w:val="20"/>
          <w:lang w:val="es-ES_tradnl"/>
        </w:rPr>
      </w:pPr>
    </w:p>
    <w:p w14:paraId="3102F9CE" w14:textId="77777777" w:rsidR="00610A15" w:rsidRPr="00540E96" w:rsidRDefault="00610A15" w:rsidP="006D014B">
      <w:pPr>
        <w:tabs>
          <w:tab w:val="center" w:pos="5400"/>
        </w:tabs>
        <w:suppressAutoHyphens/>
        <w:jc w:val="both"/>
        <w:rPr>
          <w:rFonts w:ascii="Cambria" w:hAnsi="Cambria"/>
          <w:sz w:val="20"/>
          <w:szCs w:val="20"/>
          <w:lang w:val="es-ES_tradnl"/>
        </w:rPr>
      </w:pPr>
    </w:p>
    <w:p w14:paraId="5A3624C2" w14:textId="77777777" w:rsidR="00610A15" w:rsidRPr="00540E96" w:rsidRDefault="00610A15" w:rsidP="006D014B">
      <w:pPr>
        <w:tabs>
          <w:tab w:val="center" w:pos="5400"/>
        </w:tabs>
        <w:suppressAutoHyphens/>
        <w:jc w:val="both"/>
        <w:rPr>
          <w:rFonts w:ascii="Cambria" w:hAnsi="Cambria"/>
          <w:sz w:val="20"/>
          <w:szCs w:val="20"/>
          <w:lang w:val="es-ES_tradnl"/>
        </w:rPr>
      </w:pPr>
    </w:p>
    <w:p w14:paraId="6A2D06E8" w14:textId="77777777" w:rsidR="00610A15" w:rsidRPr="00540E96" w:rsidRDefault="00610A15" w:rsidP="006D014B">
      <w:pPr>
        <w:tabs>
          <w:tab w:val="center" w:pos="5400"/>
        </w:tabs>
        <w:suppressAutoHyphens/>
        <w:jc w:val="both"/>
        <w:rPr>
          <w:rFonts w:ascii="Cambria" w:hAnsi="Cambria"/>
          <w:sz w:val="20"/>
          <w:szCs w:val="20"/>
          <w:lang w:val="es-ES_tradnl"/>
        </w:rPr>
      </w:pPr>
    </w:p>
    <w:p w14:paraId="5C6EE9B7" w14:textId="77777777" w:rsidR="00610A15" w:rsidRPr="00540E96" w:rsidRDefault="00610A15" w:rsidP="006D014B">
      <w:pPr>
        <w:tabs>
          <w:tab w:val="center" w:pos="5400"/>
        </w:tabs>
        <w:suppressAutoHyphens/>
        <w:jc w:val="both"/>
        <w:rPr>
          <w:rFonts w:ascii="Cambria" w:hAnsi="Cambria"/>
          <w:sz w:val="20"/>
          <w:szCs w:val="20"/>
          <w:lang w:val="es-ES_tradnl"/>
        </w:rPr>
      </w:pPr>
    </w:p>
    <w:p w14:paraId="2608FFDA" w14:textId="77777777" w:rsidR="00610A15" w:rsidRPr="00540E96" w:rsidRDefault="00610A15" w:rsidP="006D014B">
      <w:pPr>
        <w:tabs>
          <w:tab w:val="center" w:pos="5400"/>
        </w:tabs>
        <w:suppressAutoHyphens/>
        <w:jc w:val="both"/>
        <w:rPr>
          <w:rFonts w:ascii="Cambria" w:hAnsi="Cambria"/>
          <w:sz w:val="20"/>
          <w:szCs w:val="20"/>
          <w:lang w:val="es-ES_tradnl"/>
        </w:rPr>
      </w:pPr>
    </w:p>
    <w:p w14:paraId="424C1707" w14:textId="77777777" w:rsidR="00610A15" w:rsidRPr="00540E96" w:rsidRDefault="00610A15" w:rsidP="006D014B">
      <w:pPr>
        <w:tabs>
          <w:tab w:val="center" w:pos="5400"/>
        </w:tabs>
        <w:suppressAutoHyphens/>
        <w:jc w:val="both"/>
        <w:rPr>
          <w:rFonts w:ascii="Cambria" w:hAnsi="Cambria"/>
          <w:sz w:val="20"/>
          <w:szCs w:val="20"/>
          <w:lang w:val="es-ES_tradnl"/>
        </w:rPr>
      </w:pPr>
    </w:p>
    <w:p w14:paraId="7C1C304C" w14:textId="77777777" w:rsidR="00610A15" w:rsidRPr="00540E96" w:rsidRDefault="00610A15" w:rsidP="006D014B">
      <w:pPr>
        <w:tabs>
          <w:tab w:val="center" w:pos="5400"/>
        </w:tabs>
        <w:suppressAutoHyphens/>
        <w:jc w:val="both"/>
        <w:rPr>
          <w:rFonts w:ascii="Cambria" w:hAnsi="Cambria"/>
          <w:sz w:val="20"/>
          <w:szCs w:val="20"/>
          <w:lang w:val="es-ES_tradnl"/>
        </w:rPr>
      </w:pPr>
    </w:p>
    <w:p w14:paraId="6075BBC2" w14:textId="77777777" w:rsidR="00610A15" w:rsidRPr="00540E96" w:rsidRDefault="00610A15" w:rsidP="006D014B">
      <w:pPr>
        <w:tabs>
          <w:tab w:val="center" w:pos="5400"/>
        </w:tabs>
        <w:suppressAutoHyphens/>
        <w:jc w:val="both"/>
        <w:rPr>
          <w:rFonts w:ascii="Cambria" w:hAnsi="Cambria"/>
          <w:sz w:val="20"/>
          <w:szCs w:val="20"/>
          <w:lang w:val="es-CO"/>
        </w:rPr>
      </w:pPr>
    </w:p>
    <w:p w14:paraId="1FB0EDE6" w14:textId="77777777" w:rsidR="00610A15" w:rsidRPr="00540E96" w:rsidRDefault="00610A15" w:rsidP="006D014B">
      <w:pPr>
        <w:tabs>
          <w:tab w:val="center" w:pos="5400"/>
        </w:tabs>
        <w:suppressAutoHyphens/>
        <w:jc w:val="both"/>
        <w:rPr>
          <w:rFonts w:ascii="Cambria" w:hAnsi="Cambria"/>
          <w:sz w:val="20"/>
          <w:szCs w:val="20"/>
          <w:lang w:val="es-ES_tradnl"/>
        </w:rPr>
      </w:pPr>
    </w:p>
    <w:p w14:paraId="61A36406" w14:textId="77777777" w:rsidR="00610A15" w:rsidRPr="00540E96" w:rsidRDefault="00610A15" w:rsidP="006D014B">
      <w:pPr>
        <w:tabs>
          <w:tab w:val="center" w:pos="5400"/>
        </w:tabs>
        <w:suppressAutoHyphens/>
        <w:jc w:val="both"/>
        <w:rPr>
          <w:rFonts w:ascii="Cambria" w:hAnsi="Cambria"/>
          <w:sz w:val="20"/>
          <w:szCs w:val="20"/>
          <w:lang w:val="es-ES_tradnl"/>
        </w:rPr>
      </w:pPr>
    </w:p>
    <w:p w14:paraId="5441215B" w14:textId="77777777" w:rsidR="00610A15" w:rsidRPr="00540E96" w:rsidRDefault="00610A15" w:rsidP="006D014B">
      <w:pPr>
        <w:tabs>
          <w:tab w:val="center" w:pos="5400"/>
        </w:tabs>
        <w:suppressAutoHyphens/>
        <w:jc w:val="both"/>
        <w:rPr>
          <w:rFonts w:ascii="Cambria" w:hAnsi="Cambria"/>
          <w:sz w:val="20"/>
          <w:szCs w:val="20"/>
          <w:lang w:val="es-ES_tradnl"/>
        </w:rPr>
      </w:pPr>
    </w:p>
    <w:p w14:paraId="61A97E77" w14:textId="77777777" w:rsidR="00610A15" w:rsidRPr="00540E96" w:rsidRDefault="00610A15" w:rsidP="006D014B">
      <w:pPr>
        <w:tabs>
          <w:tab w:val="center" w:pos="5400"/>
        </w:tabs>
        <w:suppressAutoHyphens/>
        <w:jc w:val="both"/>
        <w:rPr>
          <w:rFonts w:ascii="Cambria" w:hAnsi="Cambria"/>
          <w:sz w:val="20"/>
          <w:szCs w:val="20"/>
          <w:lang w:val="es-ES_tradnl"/>
        </w:rPr>
      </w:pPr>
    </w:p>
    <w:p w14:paraId="3E659657" w14:textId="77777777" w:rsidR="00610A15" w:rsidRPr="00540E96" w:rsidRDefault="00610A15" w:rsidP="006D014B">
      <w:pPr>
        <w:tabs>
          <w:tab w:val="center" w:pos="5400"/>
        </w:tabs>
        <w:suppressAutoHyphens/>
        <w:jc w:val="both"/>
        <w:rPr>
          <w:rFonts w:ascii="Cambria" w:hAnsi="Cambria"/>
          <w:sz w:val="20"/>
          <w:szCs w:val="20"/>
          <w:lang w:val="es-ES_tradnl"/>
        </w:rPr>
      </w:pPr>
    </w:p>
    <w:p w14:paraId="5A454BCA" w14:textId="77777777" w:rsidR="00610A15" w:rsidRPr="00540E96" w:rsidRDefault="00610A15" w:rsidP="006D014B">
      <w:pPr>
        <w:tabs>
          <w:tab w:val="center" w:pos="5400"/>
        </w:tabs>
        <w:suppressAutoHyphens/>
        <w:jc w:val="both"/>
        <w:rPr>
          <w:rFonts w:ascii="Cambria" w:hAnsi="Cambria"/>
          <w:sz w:val="20"/>
          <w:szCs w:val="20"/>
          <w:lang w:val="es-ES_tradnl"/>
        </w:rPr>
      </w:pPr>
    </w:p>
    <w:p w14:paraId="2F796976" w14:textId="77777777" w:rsidR="00610A15" w:rsidRPr="00540E96" w:rsidRDefault="00610A15" w:rsidP="006D014B">
      <w:pPr>
        <w:tabs>
          <w:tab w:val="center" w:pos="5400"/>
        </w:tabs>
        <w:suppressAutoHyphens/>
        <w:jc w:val="both"/>
        <w:rPr>
          <w:rFonts w:ascii="Cambria" w:hAnsi="Cambria"/>
          <w:sz w:val="20"/>
          <w:szCs w:val="20"/>
          <w:lang w:val="es-ES_tradnl"/>
        </w:rPr>
      </w:pPr>
    </w:p>
    <w:p w14:paraId="5FCFAEFA" w14:textId="77777777" w:rsidR="00610A15" w:rsidRPr="00540E96" w:rsidRDefault="00610A15" w:rsidP="006D014B">
      <w:pPr>
        <w:tabs>
          <w:tab w:val="center" w:pos="5400"/>
        </w:tabs>
        <w:suppressAutoHyphens/>
        <w:jc w:val="both"/>
        <w:rPr>
          <w:rFonts w:ascii="Cambria" w:hAnsi="Cambria"/>
          <w:sz w:val="20"/>
          <w:szCs w:val="20"/>
          <w:lang w:val="es-ES_tradnl"/>
        </w:rPr>
      </w:pPr>
      <w:r w:rsidRPr="00540E96">
        <w:rPr>
          <w:rFonts w:ascii="Cambria" w:hAnsi="Cambria"/>
          <w:noProof/>
          <w:sz w:val="20"/>
          <w:szCs w:val="20"/>
        </w:rPr>
        <mc:AlternateContent>
          <mc:Choice Requires="wps">
            <w:drawing>
              <wp:anchor distT="0" distB="0" distL="114300" distR="114300" simplePos="0" relativeHeight="251661312" behindDoc="0" locked="0" layoutInCell="1" allowOverlap="1" wp14:anchorId="3155023F" wp14:editId="2543F15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83255" w14:textId="77777777" w:rsidR="008D4A0F" w:rsidRPr="00445986" w:rsidRDefault="008D4A0F" w:rsidP="00610A15">
                            <w:pPr>
                              <w:tabs>
                                <w:tab w:val="center" w:pos="5400"/>
                              </w:tabs>
                              <w:suppressAutoHyphens/>
                              <w:spacing w:before="60"/>
                              <w:rPr>
                                <w:rFonts w:ascii="Cambria" w:hAnsi="Cambria" w:cs="Univers"/>
                                <w:color w:val="0D0D0D" w:themeColor="text1" w:themeTint="F2"/>
                                <w:sz w:val="18"/>
                                <w:szCs w:val="20"/>
                                <w:lang w:val="es-ES_tradnl"/>
                              </w:rPr>
                            </w:pPr>
                            <w:r>
                              <w:rPr>
                                <w:rFonts w:ascii="Cambria" w:hAnsi="Cambria"/>
                                <w:color w:val="0D0D0D" w:themeColor="text1" w:themeTint="F2"/>
                                <w:sz w:val="18"/>
                                <w:szCs w:val="20"/>
                                <w:lang w:val="es-ES"/>
                              </w:rPr>
                              <w:t>Aprobado po</w:t>
                            </w:r>
                            <w:r w:rsidRPr="00445986">
                              <w:rPr>
                                <w:rFonts w:ascii="Cambria" w:hAnsi="Cambria"/>
                                <w:color w:val="0D0D0D" w:themeColor="text1" w:themeTint="F2"/>
                                <w:sz w:val="18"/>
                                <w:szCs w:val="20"/>
                                <w:lang w:val="es-ES"/>
                              </w:rPr>
                              <w:t>r</w:t>
                            </w:r>
                            <w:r>
                              <w:rPr>
                                <w:rFonts w:ascii="Cambria" w:hAnsi="Cambria"/>
                                <w:color w:val="0D0D0D" w:themeColor="text1" w:themeTint="F2"/>
                                <w:sz w:val="18"/>
                                <w:szCs w:val="20"/>
                                <w:lang w:val="es-ES"/>
                              </w:rPr>
                              <w:t xml:space="preserve"> la Comisión en su sesión No. 2154</w:t>
                            </w:r>
                            <w:r w:rsidRPr="00445986">
                              <w:rPr>
                                <w:rFonts w:ascii="Cambria" w:hAnsi="Cambria"/>
                                <w:color w:val="0D0D0D" w:themeColor="text1" w:themeTint="F2"/>
                                <w:sz w:val="18"/>
                                <w:szCs w:val="20"/>
                                <w:lang w:val="es-ES"/>
                              </w:rPr>
                              <w:t xml:space="preserve"> celebrada el </w:t>
                            </w:r>
                            <w:r>
                              <w:rPr>
                                <w:rFonts w:ascii="Cambria" w:hAnsi="Cambria"/>
                                <w:color w:val="0D0D0D" w:themeColor="text1" w:themeTint="F2"/>
                                <w:sz w:val="18"/>
                                <w:szCs w:val="20"/>
                                <w:lang w:val="es-ES"/>
                              </w:rPr>
                              <w:t xml:space="preserve">28 </w:t>
                            </w:r>
                            <w:r w:rsidRPr="00445986">
                              <w:rPr>
                                <w:rFonts w:ascii="Cambria" w:hAnsi="Cambria"/>
                                <w:color w:val="0D0D0D" w:themeColor="text1" w:themeTint="F2"/>
                                <w:sz w:val="18"/>
                                <w:szCs w:val="20"/>
                                <w:lang w:val="es-ES"/>
                              </w:rPr>
                              <w:t xml:space="preserve">de </w:t>
                            </w:r>
                            <w:r>
                              <w:rPr>
                                <w:rFonts w:ascii="Cambria" w:hAnsi="Cambria"/>
                                <w:color w:val="0D0D0D" w:themeColor="text1" w:themeTint="F2"/>
                                <w:sz w:val="18"/>
                                <w:szCs w:val="20"/>
                                <w:lang w:val="es-ES"/>
                              </w:rPr>
                              <w:t>septiembre de 2019</w:t>
                            </w:r>
                            <w:r w:rsidRPr="00445986">
                              <w:rPr>
                                <w:rFonts w:ascii="Cambria" w:hAnsi="Cambria"/>
                                <w:color w:val="0D0D0D" w:themeColor="text1" w:themeTint="F2"/>
                                <w:sz w:val="18"/>
                                <w:szCs w:val="20"/>
                                <w:lang w:val="es-ES"/>
                              </w:rPr>
                              <w:br/>
                            </w:r>
                            <w:r>
                              <w:rPr>
                                <w:rFonts w:ascii="Cambria" w:hAnsi="Cambria" w:cs="Univers"/>
                                <w:color w:val="0D0D0D" w:themeColor="text1" w:themeTint="F2"/>
                                <w:sz w:val="18"/>
                                <w:szCs w:val="20"/>
                                <w:lang w:val="es-ES_tradnl"/>
                              </w:rPr>
                              <w:t>173 P</w:t>
                            </w:r>
                            <w:r w:rsidRPr="00445986">
                              <w:rPr>
                                <w:rFonts w:ascii="Cambria" w:hAnsi="Cambria" w:cs="Univers"/>
                                <w:color w:val="0D0D0D" w:themeColor="text1" w:themeTint="F2"/>
                                <w:sz w:val="18"/>
                                <w:szCs w:val="20"/>
                                <w:lang w:val="es-ES_tradnl"/>
                              </w:rPr>
                              <w:t xml:space="preserve">eríodo </w:t>
                            </w:r>
                            <w:r>
                              <w:rPr>
                                <w:rFonts w:ascii="Cambria" w:hAnsi="Cambria" w:cs="Univers"/>
                                <w:color w:val="0D0D0D" w:themeColor="text1" w:themeTint="F2"/>
                                <w:sz w:val="18"/>
                                <w:szCs w:val="20"/>
                                <w:lang w:val="es-ES_tradnl"/>
                              </w:rPr>
                              <w:t>O</w:t>
                            </w:r>
                            <w:r w:rsidRPr="00020445">
                              <w:rPr>
                                <w:rFonts w:ascii="Cambria" w:hAnsi="Cambria" w:cs="Univers"/>
                                <w:color w:val="0D0D0D" w:themeColor="text1" w:themeTint="F2"/>
                                <w:sz w:val="18"/>
                                <w:szCs w:val="20"/>
                                <w:lang w:val="es-ES_tradnl"/>
                              </w:rPr>
                              <w:t>rdinario</w:t>
                            </w:r>
                            <w:r>
                              <w:rPr>
                                <w:rFonts w:ascii="Cambria" w:hAnsi="Cambria" w:cs="Univers"/>
                                <w:color w:val="0D0D0D" w:themeColor="text1" w:themeTint="F2"/>
                                <w:sz w:val="18"/>
                                <w:szCs w:val="20"/>
                                <w:lang w:val="es-ES_tradnl"/>
                              </w:rPr>
                              <w:t xml:space="preserve"> de S</w:t>
                            </w:r>
                            <w:r w:rsidRPr="00445986">
                              <w:rPr>
                                <w:rFonts w:ascii="Cambria" w:hAnsi="Cambria" w:cs="Univers"/>
                                <w:color w:val="0D0D0D" w:themeColor="text1" w:themeTint="F2"/>
                                <w:sz w:val="18"/>
                                <w:szCs w:val="20"/>
                                <w:lang w:val="es-ES_tradnl"/>
                              </w:rPr>
                              <w:t>esiones</w:t>
                            </w:r>
                            <w:r>
                              <w:rPr>
                                <w:rFonts w:ascii="Cambria" w:hAnsi="Cambria" w:cs="Univers"/>
                                <w:color w:val="0D0D0D" w:themeColor="text1" w:themeTint="F2"/>
                                <w:sz w:val="18"/>
                                <w:szCs w:val="20"/>
                                <w:lang w:val="es-ES_tradnl"/>
                              </w:rPr>
                              <w:t>.</w:t>
                            </w:r>
                          </w:p>
                          <w:p w14:paraId="430FAFDC" w14:textId="77777777" w:rsidR="008D4A0F" w:rsidRPr="00167A34" w:rsidRDefault="008D4A0F" w:rsidP="00610A15">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5023F"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AD83255" w14:textId="77777777" w:rsidR="008D4A0F" w:rsidRPr="00445986" w:rsidRDefault="008D4A0F" w:rsidP="00610A15">
                      <w:pPr>
                        <w:tabs>
                          <w:tab w:val="center" w:pos="5400"/>
                        </w:tabs>
                        <w:suppressAutoHyphens/>
                        <w:spacing w:before="60"/>
                        <w:rPr>
                          <w:rFonts w:ascii="Cambria" w:hAnsi="Cambria" w:cs="Univers"/>
                          <w:color w:val="0D0D0D" w:themeColor="text1" w:themeTint="F2"/>
                          <w:sz w:val="18"/>
                          <w:szCs w:val="20"/>
                          <w:lang w:val="es-ES_tradnl"/>
                        </w:rPr>
                      </w:pPr>
                      <w:r>
                        <w:rPr>
                          <w:rFonts w:ascii="Cambria" w:hAnsi="Cambria"/>
                          <w:color w:val="0D0D0D" w:themeColor="text1" w:themeTint="F2"/>
                          <w:sz w:val="18"/>
                          <w:szCs w:val="20"/>
                          <w:lang w:val="es-ES"/>
                        </w:rPr>
                        <w:t>Aprobado po</w:t>
                      </w:r>
                      <w:r w:rsidRPr="00445986">
                        <w:rPr>
                          <w:rFonts w:ascii="Cambria" w:hAnsi="Cambria"/>
                          <w:color w:val="0D0D0D" w:themeColor="text1" w:themeTint="F2"/>
                          <w:sz w:val="18"/>
                          <w:szCs w:val="20"/>
                          <w:lang w:val="es-ES"/>
                        </w:rPr>
                        <w:t>r</w:t>
                      </w:r>
                      <w:r>
                        <w:rPr>
                          <w:rFonts w:ascii="Cambria" w:hAnsi="Cambria"/>
                          <w:color w:val="0D0D0D" w:themeColor="text1" w:themeTint="F2"/>
                          <w:sz w:val="18"/>
                          <w:szCs w:val="20"/>
                          <w:lang w:val="es-ES"/>
                        </w:rPr>
                        <w:t xml:space="preserve"> la Comisión en su sesión No. 2154</w:t>
                      </w:r>
                      <w:r w:rsidRPr="00445986">
                        <w:rPr>
                          <w:rFonts w:ascii="Cambria" w:hAnsi="Cambria"/>
                          <w:color w:val="0D0D0D" w:themeColor="text1" w:themeTint="F2"/>
                          <w:sz w:val="18"/>
                          <w:szCs w:val="20"/>
                          <w:lang w:val="es-ES"/>
                        </w:rPr>
                        <w:t xml:space="preserve"> celebrada el </w:t>
                      </w:r>
                      <w:r>
                        <w:rPr>
                          <w:rFonts w:ascii="Cambria" w:hAnsi="Cambria"/>
                          <w:color w:val="0D0D0D" w:themeColor="text1" w:themeTint="F2"/>
                          <w:sz w:val="18"/>
                          <w:szCs w:val="20"/>
                          <w:lang w:val="es-ES"/>
                        </w:rPr>
                        <w:t xml:space="preserve">28 </w:t>
                      </w:r>
                      <w:r w:rsidRPr="00445986">
                        <w:rPr>
                          <w:rFonts w:ascii="Cambria" w:hAnsi="Cambria"/>
                          <w:color w:val="0D0D0D" w:themeColor="text1" w:themeTint="F2"/>
                          <w:sz w:val="18"/>
                          <w:szCs w:val="20"/>
                          <w:lang w:val="es-ES"/>
                        </w:rPr>
                        <w:t xml:space="preserve">de </w:t>
                      </w:r>
                      <w:r>
                        <w:rPr>
                          <w:rFonts w:ascii="Cambria" w:hAnsi="Cambria"/>
                          <w:color w:val="0D0D0D" w:themeColor="text1" w:themeTint="F2"/>
                          <w:sz w:val="18"/>
                          <w:szCs w:val="20"/>
                          <w:lang w:val="es-ES"/>
                        </w:rPr>
                        <w:t>septiembre de 2019</w:t>
                      </w:r>
                      <w:r w:rsidRPr="00445986">
                        <w:rPr>
                          <w:rFonts w:ascii="Cambria" w:hAnsi="Cambria"/>
                          <w:color w:val="0D0D0D" w:themeColor="text1" w:themeTint="F2"/>
                          <w:sz w:val="18"/>
                          <w:szCs w:val="20"/>
                          <w:lang w:val="es-ES"/>
                        </w:rPr>
                        <w:br/>
                      </w:r>
                      <w:r>
                        <w:rPr>
                          <w:rFonts w:ascii="Cambria" w:hAnsi="Cambria" w:cs="Univers"/>
                          <w:color w:val="0D0D0D" w:themeColor="text1" w:themeTint="F2"/>
                          <w:sz w:val="18"/>
                          <w:szCs w:val="20"/>
                          <w:lang w:val="es-ES_tradnl"/>
                        </w:rPr>
                        <w:t>173 P</w:t>
                      </w:r>
                      <w:r w:rsidRPr="00445986">
                        <w:rPr>
                          <w:rFonts w:ascii="Cambria" w:hAnsi="Cambria" w:cs="Univers"/>
                          <w:color w:val="0D0D0D" w:themeColor="text1" w:themeTint="F2"/>
                          <w:sz w:val="18"/>
                          <w:szCs w:val="20"/>
                          <w:lang w:val="es-ES_tradnl"/>
                        </w:rPr>
                        <w:t xml:space="preserve">eríodo </w:t>
                      </w:r>
                      <w:r>
                        <w:rPr>
                          <w:rFonts w:ascii="Cambria" w:hAnsi="Cambria" w:cs="Univers"/>
                          <w:color w:val="0D0D0D" w:themeColor="text1" w:themeTint="F2"/>
                          <w:sz w:val="18"/>
                          <w:szCs w:val="20"/>
                          <w:lang w:val="es-ES_tradnl"/>
                        </w:rPr>
                        <w:t>O</w:t>
                      </w:r>
                      <w:r w:rsidRPr="00020445">
                        <w:rPr>
                          <w:rFonts w:ascii="Cambria" w:hAnsi="Cambria" w:cs="Univers"/>
                          <w:color w:val="0D0D0D" w:themeColor="text1" w:themeTint="F2"/>
                          <w:sz w:val="18"/>
                          <w:szCs w:val="20"/>
                          <w:lang w:val="es-ES_tradnl"/>
                        </w:rPr>
                        <w:t>rdinario</w:t>
                      </w:r>
                      <w:r>
                        <w:rPr>
                          <w:rFonts w:ascii="Cambria" w:hAnsi="Cambria" w:cs="Univers"/>
                          <w:color w:val="0D0D0D" w:themeColor="text1" w:themeTint="F2"/>
                          <w:sz w:val="18"/>
                          <w:szCs w:val="20"/>
                          <w:lang w:val="es-ES_tradnl"/>
                        </w:rPr>
                        <w:t xml:space="preserve"> de S</w:t>
                      </w:r>
                      <w:r w:rsidRPr="00445986">
                        <w:rPr>
                          <w:rFonts w:ascii="Cambria" w:hAnsi="Cambria" w:cs="Univers"/>
                          <w:color w:val="0D0D0D" w:themeColor="text1" w:themeTint="F2"/>
                          <w:sz w:val="18"/>
                          <w:szCs w:val="20"/>
                          <w:lang w:val="es-ES_tradnl"/>
                        </w:rPr>
                        <w:t>esiones</w:t>
                      </w:r>
                      <w:r>
                        <w:rPr>
                          <w:rFonts w:ascii="Cambria" w:hAnsi="Cambria" w:cs="Univers"/>
                          <w:color w:val="0D0D0D" w:themeColor="text1" w:themeTint="F2"/>
                          <w:sz w:val="18"/>
                          <w:szCs w:val="20"/>
                          <w:lang w:val="es-ES_tradnl"/>
                        </w:rPr>
                        <w:t>.</w:t>
                      </w:r>
                    </w:p>
                    <w:p w14:paraId="430FAFDC" w14:textId="77777777" w:rsidR="008D4A0F" w:rsidRPr="00167A34" w:rsidRDefault="008D4A0F" w:rsidP="00610A15">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D78A83A" w14:textId="77777777" w:rsidR="00610A15" w:rsidRPr="00540E96" w:rsidRDefault="00610A15" w:rsidP="006D014B">
      <w:pPr>
        <w:tabs>
          <w:tab w:val="center" w:pos="5400"/>
        </w:tabs>
        <w:suppressAutoHyphens/>
        <w:jc w:val="both"/>
        <w:rPr>
          <w:rFonts w:ascii="Cambria" w:hAnsi="Cambria"/>
          <w:sz w:val="20"/>
          <w:szCs w:val="20"/>
          <w:lang w:val="es-ES_tradnl"/>
        </w:rPr>
      </w:pPr>
    </w:p>
    <w:p w14:paraId="58DA9921" w14:textId="77777777" w:rsidR="00610A15" w:rsidRPr="00540E96" w:rsidRDefault="00610A15" w:rsidP="006D014B">
      <w:pPr>
        <w:tabs>
          <w:tab w:val="center" w:pos="5400"/>
        </w:tabs>
        <w:suppressAutoHyphens/>
        <w:jc w:val="both"/>
        <w:rPr>
          <w:rFonts w:ascii="Cambria" w:hAnsi="Cambria"/>
          <w:sz w:val="20"/>
          <w:szCs w:val="20"/>
          <w:lang w:val="es-ES_tradnl"/>
        </w:rPr>
      </w:pPr>
    </w:p>
    <w:p w14:paraId="55315B95" w14:textId="77777777" w:rsidR="00610A15" w:rsidRPr="00540E96" w:rsidRDefault="00610A15" w:rsidP="006D014B">
      <w:pPr>
        <w:tabs>
          <w:tab w:val="center" w:pos="5400"/>
        </w:tabs>
        <w:suppressAutoHyphens/>
        <w:jc w:val="both"/>
        <w:rPr>
          <w:rFonts w:ascii="Cambria" w:hAnsi="Cambria"/>
          <w:sz w:val="20"/>
          <w:szCs w:val="20"/>
          <w:lang w:val="es-ES_tradnl"/>
        </w:rPr>
      </w:pPr>
    </w:p>
    <w:p w14:paraId="61933FBD" w14:textId="77777777" w:rsidR="00610A15" w:rsidRPr="00540E96" w:rsidRDefault="00610A15" w:rsidP="006D014B">
      <w:pPr>
        <w:tabs>
          <w:tab w:val="center" w:pos="5400"/>
        </w:tabs>
        <w:suppressAutoHyphens/>
        <w:jc w:val="both"/>
        <w:rPr>
          <w:rFonts w:ascii="Cambria" w:hAnsi="Cambria"/>
          <w:sz w:val="20"/>
          <w:szCs w:val="20"/>
          <w:lang w:val="es-ES_tradnl"/>
        </w:rPr>
      </w:pPr>
    </w:p>
    <w:p w14:paraId="690122FA" w14:textId="77777777" w:rsidR="00610A15" w:rsidRPr="00540E96" w:rsidRDefault="00610A15" w:rsidP="006D014B">
      <w:pPr>
        <w:tabs>
          <w:tab w:val="center" w:pos="5400"/>
        </w:tabs>
        <w:suppressAutoHyphens/>
        <w:jc w:val="both"/>
        <w:rPr>
          <w:rFonts w:ascii="Cambria" w:hAnsi="Cambria"/>
          <w:sz w:val="20"/>
          <w:szCs w:val="20"/>
          <w:lang w:val="es-ES_tradnl"/>
        </w:rPr>
      </w:pPr>
      <w:r w:rsidRPr="00540E96">
        <w:rPr>
          <w:rFonts w:ascii="Cambria" w:hAnsi="Cambria"/>
          <w:noProof/>
          <w:sz w:val="20"/>
          <w:szCs w:val="20"/>
        </w:rPr>
        <mc:AlternateContent>
          <mc:Choice Requires="wps">
            <w:drawing>
              <wp:anchor distT="0" distB="0" distL="114300" distR="114300" simplePos="0" relativeHeight="251664384" behindDoc="0" locked="0" layoutInCell="1" allowOverlap="1" wp14:anchorId="3A8DA6BD" wp14:editId="6742733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FA3F2" w14:textId="77777777" w:rsidR="008D4A0F" w:rsidRPr="009D70A3" w:rsidRDefault="008D4A0F" w:rsidP="002B6246">
                            <w:pPr>
                              <w:spacing w:line="276" w:lineRule="auto"/>
                              <w:rPr>
                                <w:rFonts w:ascii="Cambria" w:hAnsi="Cambria"/>
                                <w:color w:val="595959" w:themeColor="text1" w:themeTint="A6"/>
                                <w:sz w:val="18"/>
                                <w:szCs w:val="18"/>
                                <w:lang w:val="es-VE"/>
                              </w:rPr>
                            </w:pPr>
                            <w:r w:rsidRPr="00445986">
                              <w:rPr>
                                <w:rFonts w:ascii="Cambria" w:hAnsi="Cambria"/>
                                <w:b/>
                                <w:color w:val="595959" w:themeColor="text1" w:themeTint="A6"/>
                                <w:sz w:val="18"/>
                                <w:szCs w:val="18"/>
                                <w:lang w:val="pt-BR"/>
                              </w:rPr>
                              <w:t>Citar como:</w:t>
                            </w:r>
                            <w:r w:rsidRPr="00445986">
                              <w:rPr>
                                <w:rFonts w:ascii="Cambria" w:hAnsi="Cambria"/>
                                <w:color w:val="595959" w:themeColor="text1" w:themeTint="A6"/>
                                <w:sz w:val="18"/>
                                <w:szCs w:val="18"/>
                                <w:lang w:val="pt-BR"/>
                              </w:rPr>
                              <w:t xml:space="preserve"> CIDH, Informe No. </w:t>
                            </w:r>
                            <w:r w:rsidRPr="00CD5726">
                              <w:rPr>
                                <w:rFonts w:ascii="Cambria" w:hAnsi="Cambria"/>
                                <w:color w:val="595959" w:themeColor="text1" w:themeTint="A6"/>
                                <w:sz w:val="18"/>
                                <w:szCs w:val="18"/>
                                <w:lang w:val="pt-BR"/>
                              </w:rPr>
                              <w:t xml:space="preserve">148/19, Caso 12.971. </w:t>
                            </w:r>
                            <w:r w:rsidRPr="00445986">
                              <w:rPr>
                                <w:rFonts w:ascii="Cambria" w:hAnsi="Cambria"/>
                                <w:color w:val="595959" w:themeColor="text1" w:themeTint="A6"/>
                                <w:sz w:val="18"/>
                                <w:szCs w:val="18"/>
                                <w:lang w:val="es-ES_tradnl"/>
                              </w:rPr>
                              <w:t>Fondo.</w:t>
                            </w:r>
                            <w:r>
                              <w:rPr>
                                <w:rFonts w:ascii="Cambria" w:hAnsi="Cambria"/>
                                <w:color w:val="595959" w:themeColor="text1" w:themeTint="A6"/>
                                <w:sz w:val="18"/>
                                <w:szCs w:val="18"/>
                                <w:lang w:val="es-ES_tradnl"/>
                              </w:rPr>
                              <w:t xml:space="preserve"> Ronald Moya Chacón y Freddy Parrales Chaves. Costa Rica</w:t>
                            </w:r>
                            <w:r w:rsidRPr="00445986">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VE"/>
                              </w:rPr>
                              <w:t>28</w:t>
                            </w:r>
                            <w:r w:rsidRPr="009D70A3">
                              <w:rPr>
                                <w:rFonts w:ascii="Cambria" w:hAnsi="Cambria"/>
                                <w:color w:val="595959" w:themeColor="text1" w:themeTint="A6"/>
                                <w:sz w:val="18"/>
                                <w:szCs w:val="18"/>
                                <w:lang w:val="es-VE"/>
                              </w:rPr>
                              <w:t xml:space="preserve"> de </w:t>
                            </w:r>
                            <w:r>
                              <w:rPr>
                                <w:rFonts w:ascii="Cambria" w:hAnsi="Cambria"/>
                                <w:color w:val="595959" w:themeColor="text1" w:themeTint="A6"/>
                                <w:sz w:val="18"/>
                                <w:szCs w:val="18"/>
                                <w:lang w:val="es-VE"/>
                              </w:rPr>
                              <w:t>septiembre de 2019</w:t>
                            </w:r>
                            <w:r w:rsidRPr="009D70A3">
                              <w:rPr>
                                <w:rFonts w:ascii="Cambria" w:hAnsi="Cambria"/>
                                <w:color w:val="595959" w:themeColor="text1" w:themeTint="A6"/>
                                <w:sz w:val="18"/>
                                <w:szCs w:val="18"/>
                                <w:lang w:val="es-VE"/>
                              </w:rPr>
                              <w:t>.</w:t>
                            </w:r>
                          </w:p>
                          <w:p w14:paraId="05A14193" w14:textId="77777777" w:rsidR="008D4A0F" w:rsidRPr="009D70A3" w:rsidRDefault="008D4A0F" w:rsidP="00610A15">
                            <w:pPr>
                              <w:spacing w:line="276" w:lineRule="auto"/>
                              <w:rPr>
                                <w:rFonts w:ascii="Cambria" w:hAnsi="Cambria"/>
                                <w:color w:val="595959" w:themeColor="text1" w:themeTint="A6"/>
                                <w:sz w:val="18"/>
                                <w:szCs w:val="18"/>
                                <w:lang w:val="es-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DA6BD"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3DFA3F2" w14:textId="77777777" w:rsidR="008D4A0F" w:rsidRPr="009D70A3" w:rsidRDefault="008D4A0F" w:rsidP="002B6246">
                      <w:pPr>
                        <w:spacing w:line="276" w:lineRule="auto"/>
                        <w:rPr>
                          <w:rFonts w:ascii="Cambria" w:hAnsi="Cambria"/>
                          <w:color w:val="595959" w:themeColor="text1" w:themeTint="A6"/>
                          <w:sz w:val="18"/>
                          <w:szCs w:val="18"/>
                          <w:lang w:val="es-VE"/>
                        </w:rPr>
                      </w:pPr>
                      <w:r w:rsidRPr="00445986">
                        <w:rPr>
                          <w:rFonts w:ascii="Cambria" w:hAnsi="Cambria"/>
                          <w:b/>
                          <w:color w:val="595959" w:themeColor="text1" w:themeTint="A6"/>
                          <w:sz w:val="18"/>
                          <w:szCs w:val="18"/>
                          <w:lang w:val="pt-BR"/>
                        </w:rPr>
                        <w:t>Citar como:</w:t>
                      </w:r>
                      <w:r w:rsidRPr="00445986">
                        <w:rPr>
                          <w:rFonts w:ascii="Cambria" w:hAnsi="Cambria"/>
                          <w:color w:val="595959" w:themeColor="text1" w:themeTint="A6"/>
                          <w:sz w:val="18"/>
                          <w:szCs w:val="18"/>
                          <w:lang w:val="pt-BR"/>
                        </w:rPr>
                        <w:t xml:space="preserve"> CIDH, Informe No. </w:t>
                      </w:r>
                      <w:r w:rsidRPr="00CD5726">
                        <w:rPr>
                          <w:rFonts w:ascii="Cambria" w:hAnsi="Cambria"/>
                          <w:color w:val="595959" w:themeColor="text1" w:themeTint="A6"/>
                          <w:sz w:val="18"/>
                          <w:szCs w:val="18"/>
                          <w:lang w:val="pt-BR"/>
                        </w:rPr>
                        <w:t xml:space="preserve">148/19, Caso 12.971. </w:t>
                      </w:r>
                      <w:r w:rsidRPr="00445986">
                        <w:rPr>
                          <w:rFonts w:ascii="Cambria" w:hAnsi="Cambria"/>
                          <w:color w:val="595959" w:themeColor="text1" w:themeTint="A6"/>
                          <w:sz w:val="18"/>
                          <w:szCs w:val="18"/>
                          <w:lang w:val="es-ES_tradnl"/>
                        </w:rPr>
                        <w:t>Fondo.</w:t>
                      </w:r>
                      <w:r>
                        <w:rPr>
                          <w:rFonts w:ascii="Cambria" w:hAnsi="Cambria"/>
                          <w:color w:val="595959" w:themeColor="text1" w:themeTint="A6"/>
                          <w:sz w:val="18"/>
                          <w:szCs w:val="18"/>
                          <w:lang w:val="es-ES_tradnl"/>
                        </w:rPr>
                        <w:t xml:space="preserve"> Ronald Moya Chacón y Freddy Parrales Chaves. Costa Rica</w:t>
                      </w:r>
                      <w:r w:rsidRPr="00445986">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VE"/>
                        </w:rPr>
                        <w:t>28</w:t>
                      </w:r>
                      <w:r w:rsidRPr="009D70A3">
                        <w:rPr>
                          <w:rFonts w:ascii="Cambria" w:hAnsi="Cambria"/>
                          <w:color w:val="595959" w:themeColor="text1" w:themeTint="A6"/>
                          <w:sz w:val="18"/>
                          <w:szCs w:val="18"/>
                          <w:lang w:val="es-VE"/>
                        </w:rPr>
                        <w:t xml:space="preserve"> de </w:t>
                      </w:r>
                      <w:r>
                        <w:rPr>
                          <w:rFonts w:ascii="Cambria" w:hAnsi="Cambria"/>
                          <w:color w:val="595959" w:themeColor="text1" w:themeTint="A6"/>
                          <w:sz w:val="18"/>
                          <w:szCs w:val="18"/>
                          <w:lang w:val="es-VE"/>
                        </w:rPr>
                        <w:t>septiembre de 2019</w:t>
                      </w:r>
                      <w:r w:rsidRPr="009D70A3">
                        <w:rPr>
                          <w:rFonts w:ascii="Cambria" w:hAnsi="Cambria"/>
                          <w:color w:val="595959" w:themeColor="text1" w:themeTint="A6"/>
                          <w:sz w:val="18"/>
                          <w:szCs w:val="18"/>
                          <w:lang w:val="es-VE"/>
                        </w:rPr>
                        <w:t>.</w:t>
                      </w:r>
                    </w:p>
                    <w:p w14:paraId="05A14193" w14:textId="77777777" w:rsidR="008D4A0F" w:rsidRPr="009D70A3" w:rsidRDefault="008D4A0F" w:rsidP="00610A15">
                      <w:pPr>
                        <w:spacing w:line="276" w:lineRule="auto"/>
                        <w:rPr>
                          <w:rFonts w:ascii="Cambria" w:hAnsi="Cambria"/>
                          <w:color w:val="595959" w:themeColor="text1" w:themeTint="A6"/>
                          <w:sz w:val="18"/>
                          <w:szCs w:val="18"/>
                          <w:lang w:val="es-VE"/>
                        </w:rPr>
                      </w:pPr>
                    </w:p>
                  </w:txbxContent>
                </v:textbox>
              </v:shape>
            </w:pict>
          </mc:Fallback>
        </mc:AlternateContent>
      </w:r>
    </w:p>
    <w:p w14:paraId="6BA7D18B" w14:textId="77777777" w:rsidR="00610A15" w:rsidRPr="00540E96" w:rsidRDefault="00610A15" w:rsidP="006D014B">
      <w:pPr>
        <w:tabs>
          <w:tab w:val="center" w:pos="5400"/>
        </w:tabs>
        <w:suppressAutoHyphens/>
        <w:jc w:val="both"/>
        <w:rPr>
          <w:rFonts w:ascii="Cambria" w:hAnsi="Cambria"/>
          <w:b/>
          <w:sz w:val="20"/>
          <w:szCs w:val="20"/>
          <w:lang w:val="es-ES_tradnl"/>
        </w:rPr>
        <w:sectPr w:rsidR="00610A15" w:rsidRPr="00540E96" w:rsidSect="00610A15">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sidRPr="00540E96">
        <w:rPr>
          <w:rFonts w:ascii="Cambria" w:hAnsi="Cambria"/>
          <w:noProof/>
          <w:sz w:val="20"/>
          <w:szCs w:val="20"/>
        </w:rPr>
        <mc:AlternateContent>
          <mc:Choice Requires="wps">
            <w:drawing>
              <wp:anchor distT="0" distB="0" distL="114300" distR="114300" simplePos="0" relativeHeight="251665408" behindDoc="0" locked="0" layoutInCell="1" allowOverlap="1" wp14:anchorId="7B4B7EB7" wp14:editId="1A491BF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7B167" w14:textId="77777777" w:rsidR="008D4A0F" w:rsidRPr="00D72DC6" w:rsidRDefault="008D4A0F" w:rsidP="00610A15">
                            <w:pPr>
                              <w:rPr>
                                <w:color w:val="FFFFFF" w:themeColor="background1"/>
                                <w14:textFill>
                                  <w14:noFill/>
                                </w14:textFill>
                              </w:rPr>
                            </w:pPr>
                            <w:r w:rsidRPr="00D72DC6">
                              <w:rPr>
                                <w:noProof/>
                                <w:color w:val="FFFFFF" w:themeColor="background1"/>
                                <w14:textFill>
                                  <w14:noFill/>
                                </w14:textFill>
                              </w:rPr>
                              <w:drawing>
                                <wp:inline distT="0" distB="0" distL="0" distR="0" wp14:anchorId="0A75D536" wp14:editId="65813F6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B7EB7"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7A7B167" w14:textId="77777777" w:rsidR="008D4A0F" w:rsidRPr="00D72DC6" w:rsidRDefault="008D4A0F" w:rsidP="00610A15">
                      <w:pPr>
                        <w:rPr>
                          <w:color w:val="FFFFFF" w:themeColor="background1"/>
                          <w14:textFill>
                            <w14:noFill/>
                          </w14:textFill>
                        </w:rPr>
                      </w:pPr>
                      <w:r w:rsidRPr="00D72DC6">
                        <w:rPr>
                          <w:noProof/>
                          <w:color w:val="FFFFFF" w:themeColor="background1"/>
                          <w14:textFill>
                            <w14:noFill/>
                          </w14:textFill>
                        </w:rPr>
                        <w:drawing>
                          <wp:inline distT="0" distB="0" distL="0" distR="0" wp14:anchorId="0A75D536" wp14:editId="65813F6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540E96">
        <w:rPr>
          <w:rFonts w:ascii="Cambria" w:hAnsi="Cambria"/>
          <w:noProof/>
          <w:sz w:val="20"/>
          <w:szCs w:val="20"/>
        </w:rPr>
        <mc:AlternateContent>
          <mc:Choice Requires="wps">
            <w:drawing>
              <wp:anchor distT="0" distB="0" distL="114300" distR="114300" simplePos="0" relativeHeight="251666432" behindDoc="0" locked="0" layoutInCell="1" allowOverlap="1" wp14:anchorId="01C33C70" wp14:editId="39F2366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CC8CE" w14:textId="77777777" w:rsidR="008D4A0F" w:rsidRPr="004B7EB6" w:rsidRDefault="008D4A0F" w:rsidP="00610A1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33C70"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1ECC8CE" w14:textId="77777777" w:rsidR="008D4A0F" w:rsidRPr="004B7EB6" w:rsidRDefault="008D4A0F" w:rsidP="00610A1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01EC3F3" w14:textId="77777777" w:rsidR="00610A15" w:rsidRPr="00540E96" w:rsidRDefault="00602108" w:rsidP="002212E2">
      <w:pPr>
        <w:tabs>
          <w:tab w:val="center" w:pos="5400"/>
        </w:tabs>
        <w:suppressAutoHyphens/>
        <w:jc w:val="center"/>
        <w:rPr>
          <w:rFonts w:ascii="Cambria" w:hAnsi="Cambria"/>
          <w:b/>
          <w:sz w:val="20"/>
          <w:szCs w:val="20"/>
          <w:lang w:val="es-VE"/>
        </w:rPr>
      </w:pPr>
      <w:r w:rsidRPr="00540E96">
        <w:rPr>
          <w:rFonts w:ascii="Cambria" w:hAnsi="Cambria"/>
          <w:b/>
          <w:sz w:val="20"/>
          <w:szCs w:val="20"/>
          <w:lang w:val="es-VE"/>
        </w:rPr>
        <w:lastRenderedPageBreak/>
        <w:t xml:space="preserve">INFORME No. </w:t>
      </w:r>
      <w:r w:rsidR="00560D78">
        <w:rPr>
          <w:rFonts w:ascii="Cambria" w:hAnsi="Cambria"/>
          <w:b/>
          <w:sz w:val="20"/>
          <w:szCs w:val="20"/>
          <w:lang w:val="es-VE"/>
        </w:rPr>
        <w:t>148</w:t>
      </w:r>
      <w:r w:rsidRPr="00540E96">
        <w:rPr>
          <w:rFonts w:ascii="Cambria" w:hAnsi="Cambria"/>
          <w:b/>
          <w:sz w:val="20"/>
          <w:szCs w:val="20"/>
          <w:lang w:val="es-VE"/>
        </w:rPr>
        <w:t>/19</w:t>
      </w:r>
    </w:p>
    <w:p w14:paraId="574FFDE5" w14:textId="77777777" w:rsidR="0066546F" w:rsidRPr="00540E96" w:rsidRDefault="0066546F" w:rsidP="002212E2">
      <w:pPr>
        <w:tabs>
          <w:tab w:val="center" w:pos="5400"/>
        </w:tabs>
        <w:suppressAutoHyphens/>
        <w:jc w:val="center"/>
        <w:rPr>
          <w:rFonts w:ascii="Cambria" w:hAnsi="Cambria"/>
          <w:b/>
          <w:sz w:val="20"/>
          <w:szCs w:val="20"/>
          <w:lang w:val="es-VE"/>
        </w:rPr>
      </w:pPr>
      <w:r w:rsidRPr="00540E96">
        <w:rPr>
          <w:rFonts w:ascii="Cambria" w:hAnsi="Cambria"/>
          <w:b/>
          <w:sz w:val="20"/>
          <w:szCs w:val="20"/>
          <w:lang w:val="es-VE"/>
        </w:rPr>
        <w:t>CASO 12.971</w:t>
      </w:r>
    </w:p>
    <w:p w14:paraId="32CC1202" w14:textId="77777777" w:rsidR="0066546F" w:rsidRPr="00540E96" w:rsidRDefault="0066546F" w:rsidP="002212E2">
      <w:pPr>
        <w:tabs>
          <w:tab w:val="center" w:pos="5400"/>
        </w:tabs>
        <w:suppressAutoHyphens/>
        <w:jc w:val="center"/>
        <w:rPr>
          <w:rFonts w:ascii="Cambria" w:hAnsi="Cambria"/>
          <w:sz w:val="20"/>
          <w:szCs w:val="20"/>
          <w:lang w:val="es-VE"/>
        </w:rPr>
      </w:pPr>
      <w:r w:rsidRPr="00540E96">
        <w:rPr>
          <w:rFonts w:ascii="Cambria" w:hAnsi="Cambria"/>
          <w:sz w:val="20"/>
          <w:szCs w:val="20"/>
          <w:lang w:val="es-VE"/>
        </w:rPr>
        <w:t>INFORME DE FONDO</w:t>
      </w:r>
    </w:p>
    <w:p w14:paraId="59DBAC12" w14:textId="77777777" w:rsidR="0066546F" w:rsidRPr="00540E96" w:rsidRDefault="00186061" w:rsidP="002212E2">
      <w:pPr>
        <w:tabs>
          <w:tab w:val="center" w:pos="5400"/>
        </w:tabs>
        <w:suppressAutoHyphens/>
        <w:jc w:val="center"/>
        <w:rPr>
          <w:rFonts w:ascii="Cambria" w:hAnsi="Cambria"/>
          <w:sz w:val="20"/>
          <w:szCs w:val="20"/>
          <w:lang w:val="es-VE"/>
        </w:rPr>
      </w:pPr>
      <w:r w:rsidRPr="00540E96">
        <w:rPr>
          <w:rFonts w:ascii="Cambria" w:hAnsi="Cambria"/>
          <w:sz w:val="20"/>
          <w:szCs w:val="20"/>
          <w:lang w:val="es-VE"/>
        </w:rPr>
        <w:t>RONALD MOYA CHACÓN Y FREDDY PARRALES CHAVES</w:t>
      </w:r>
    </w:p>
    <w:p w14:paraId="5B65041B" w14:textId="77777777" w:rsidR="0066546F" w:rsidRPr="00540E96" w:rsidRDefault="0066546F" w:rsidP="002212E2">
      <w:pPr>
        <w:tabs>
          <w:tab w:val="center" w:pos="5400"/>
        </w:tabs>
        <w:suppressAutoHyphens/>
        <w:jc w:val="center"/>
        <w:rPr>
          <w:rFonts w:ascii="Cambria" w:hAnsi="Cambria"/>
          <w:sz w:val="20"/>
          <w:szCs w:val="20"/>
          <w:lang w:val="es-ES_tradnl"/>
        </w:rPr>
      </w:pPr>
      <w:r w:rsidRPr="00540E96">
        <w:rPr>
          <w:rFonts w:ascii="Cambria" w:hAnsi="Cambria"/>
          <w:sz w:val="20"/>
          <w:szCs w:val="20"/>
          <w:lang w:val="es-ES_tradnl"/>
        </w:rPr>
        <w:t>COSTA RICA</w:t>
      </w:r>
    </w:p>
    <w:p w14:paraId="4D5B6A48" w14:textId="77777777" w:rsidR="0066546F" w:rsidRPr="00540E96" w:rsidRDefault="00560D78" w:rsidP="002212E2">
      <w:pPr>
        <w:tabs>
          <w:tab w:val="center" w:pos="5400"/>
        </w:tabs>
        <w:suppressAutoHyphens/>
        <w:jc w:val="center"/>
        <w:rPr>
          <w:rFonts w:ascii="Cambria" w:hAnsi="Cambria"/>
          <w:sz w:val="20"/>
          <w:szCs w:val="20"/>
          <w:lang w:val="es-ES_tradnl"/>
        </w:rPr>
      </w:pPr>
      <w:r>
        <w:rPr>
          <w:rFonts w:ascii="Cambria" w:hAnsi="Cambria"/>
          <w:sz w:val="20"/>
          <w:szCs w:val="20"/>
          <w:lang w:val="es-ES_tradnl"/>
        </w:rPr>
        <w:t>28</w:t>
      </w:r>
      <w:r w:rsidR="0066546F" w:rsidRPr="00540E96">
        <w:rPr>
          <w:rFonts w:ascii="Cambria" w:hAnsi="Cambria"/>
          <w:sz w:val="20"/>
          <w:szCs w:val="20"/>
          <w:lang w:val="es-ES_tradnl"/>
        </w:rPr>
        <w:t xml:space="preserve"> DE </w:t>
      </w:r>
      <w:r>
        <w:rPr>
          <w:rFonts w:ascii="Cambria" w:hAnsi="Cambria"/>
          <w:sz w:val="20"/>
          <w:szCs w:val="20"/>
          <w:lang w:val="es-ES_tradnl"/>
        </w:rPr>
        <w:t>SEPTIEMBRE</w:t>
      </w:r>
      <w:r w:rsidR="0066546F" w:rsidRPr="00540E96">
        <w:rPr>
          <w:rFonts w:ascii="Cambria" w:hAnsi="Cambria"/>
          <w:sz w:val="20"/>
          <w:szCs w:val="20"/>
          <w:lang w:val="es-ES_tradnl"/>
        </w:rPr>
        <w:t xml:space="preserve"> DE 2019</w:t>
      </w:r>
    </w:p>
    <w:p w14:paraId="47092A44" w14:textId="77777777" w:rsidR="00C5061E" w:rsidRPr="00540E96" w:rsidRDefault="00C5061E" w:rsidP="002212E2">
      <w:pPr>
        <w:tabs>
          <w:tab w:val="center" w:pos="5400"/>
        </w:tabs>
        <w:suppressAutoHyphens/>
        <w:jc w:val="center"/>
        <w:rPr>
          <w:rFonts w:ascii="Cambria" w:hAnsi="Cambria"/>
          <w:sz w:val="20"/>
          <w:szCs w:val="20"/>
          <w:lang w:val="es-ES_tradnl"/>
        </w:rPr>
      </w:pPr>
    </w:p>
    <w:p w14:paraId="45A751F0" w14:textId="77777777" w:rsidR="00C5061E" w:rsidRPr="00540E96" w:rsidRDefault="00C5061E" w:rsidP="00C5061E">
      <w:pPr>
        <w:tabs>
          <w:tab w:val="center" w:pos="5400"/>
        </w:tabs>
        <w:suppressAutoHyphens/>
        <w:jc w:val="both"/>
        <w:rPr>
          <w:rFonts w:ascii="Cambria" w:hAnsi="Cambria"/>
          <w:sz w:val="20"/>
          <w:szCs w:val="20"/>
          <w:lang w:val="es-ES_tradnl"/>
        </w:rPr>
      </w:pPr>
    </w:p>
    <w:sdt>
      <w:sdtPr>
        <w:rPr>
          <w:rFonts w:ascii="Times New Roman" w:eastAsia="Arial Unicode MS" w:hAnsi="Times New Roman" w:cs="Times New Roman"/>
          <w:b w:val="0"/>
          <w:bCs w:val="0"/>
          <w:sz w:val="24"/>
          <w:szCs w:val="24"/>
          <w:bdr w:val="nil"/>
          <w:lang w:eastAsia="en-US"/>
        </w:rPr>
        <w:id w:val="1937091545"/>
        <w:docPartObj>
          <w:docPartGallery w:val="Table of Contents"/>
          <w:docPartUnique/>
        </w:docPartObj>
      </w:sdtPr>
      <w:sdtEndPr>
        <w:rPr>
          <w:noProof/>
        </w:rPr>
      </w:sdtEndPr>
      <w:sdtContent>
        <w:p w14:paraId="3EFF38DB" w14:textId="77777777" w:rsidR="0027039F" w:rsidRPr="00DD5036" w:rsidRDefault="0027039F">
          <w:pPr>
            <w:pStyle w:val="TOCHeading"/>
          </w:pPr>
          <w:r w:rsidRPr="00DD5036">
            <w:t>Contents</w:t>
          </w:r>
        </w:p>
        <w:p w14:paraId="60350D23" w14:textId="0F9C37E2" w:rsidR="00DD5036" w:rsidRPr="00CD5726" w:rsidRDefault="0027039F">
          <w:pPr>
            <w:pStyle w:val="TOC1"/>
            <w:rPr>
              <w:rFonts w:eastAsiaTheme="minorEastAsia" w:cstheme="minorBidi"/>
              <w:b w:val="0"/>
              <w:bCs w:val="0"/>
              <w:bdr w:val="none" w:sz="0" w:space="0" w:color="auto"/>
              <w:lang w:val="en-US"/>
            </w:rPr>
          </w:pPr>
          <w:r w:rsidRPr="00CD5726">
            <w:fldChar w:fldCharType="begin"/>
          </w:r>
          <w:r w:rsidRPr="00CD5726">
            <w:instrText xml:space="preserve"> TOC \o "1-3" \h \z \u </w:instrText>
          </w:r>
          <w:r w:rsidRPr="00CD5726">
            <w:fldChar w:fldCharType="separate"/>
          </w:r>
          <w:hyperlink w:anchor="_Toc24542757" w:history="1">
            <w:r w:rsidR="00DD5036" w:rsidRPr="00CD5726">
              <w:rPr>
                <w:rStyle w:val="Hyperlink"/>
              </w:rPr>
              <w:t>I.</w:t>
            </w:r>
            <w:r w:rsidR="00DD5036" w:rsidRPr="00CD5726">
              <w:rPr>
                <w:rFonts w:eastAsiaTheme="minorEastAsia" w:cstheme="minorBidi"/>
                <w:b w:val="0"/>
                <w:bCs w:val="0"/>
                <w:bdr w:val="none" w:sz="0" w:space="0" w:color="auto"/>
                <w:lang w:val="en-US"/>
              </w:rPr>
              <w:tab/>
            </w:r>
            <w:r w:rsidR="00DD5036" w:rsidRPr="00CD5726">
              <w:rPr>
                <w:rStyle w:val="Hyperlink"/>
              </w:rPr>
              <w:t>INTRODUCCIÓN</w:t>
            </w:r>
            <w:r w:rsidR="00DD5036" w:rsidRPr="00CD5726">
              <w:rPr>
                <w:webHidden/>
              </w:rPr>
              <w:tab/>
            </w:r>
            <w:r w:rsidR="00DD5036" w:rsidRPr="00CD5726">
              <w:rPr>
                <w:webHidden/>
              </w:rPr>
              <w:fldChar w:fldCharType="begin"/>
            </w:r>
            <w:r w:rsidR="00DD5036" w:rsidRPr="00CD5726">
              <w:rPr>
                <w:webHidden/>
              </w:rPr>
              <w:instrText xml:space="preserve"> PAGEREF _Toc24542757 \h </w:instrText>
            </w:r>
            <w:r w:rsidR="00DD5036" w:rsidRPr="00CD5726">
              <w:rPr>
                <w:webHidden/>
              </w:rPr>
            </w:r>
            <w:r w:rsidR="00DD5036" w:rsidRPr="00CD5726">
              <w:rPr>
                <w:webHidden/>
              </w:rPr>
              <w:fldChar w:fldCharType="separate"/>
            </w:r>
            <w:r w:rsidR="00D20AA1">
              <w:rPr>
                <w:webHidden/>
              </w:rPr>
              <w:t>2</w:t>
            </w:r>
            <w:r w:rsidR="00DD5036" w:rsidRPr="00CD5726">
              <w:rPr>
                <w:webHidden/>
              </w:rPr>
              <w:fldChar w:fldCharType="end"/>
            </w:r>
          </w:hyperlink>
        </w:p>
        <w:p w14:paraId="6E45E0E9" w14:textId="1BD9BB93" w:rsidR="00DD5036" w:rsidRPr="00CD5726" w:rsidRDefault="00D20AA1">
          <w:pPr>
            <w:pStyle w:val="TOC1"/>
            <w:rPr>
              <w:rFonts w:eastAsiaTheme="minorEastAsia" w:cstheme="minorBidi"/>
              <w:b w:val="0"/>
              <w:bCs w:val="0"/>
              <w:bdr w:val="none" w:sz="0" w:space="0" w:color="auto"/>
              <w:lang w:val="en-US"/>
            </w:rPr>
          </w:pPr>
          <w:hyperlink w:anchor="_Toc24542758" w:history="1">
            <w:r w:rsidR="00DD5036" w:rsidRPr="00CD5726">
              <w:rPr>
                <w:rStyle w:val="Hyperlink"/>
                <w:u w:color="000000"/>
                <w:lang w:eastAsia="es-ES"/>
              </w:rPr>
              <w:t>II.</w:t>
            </w:r>
            <w:r w:rsidR="00DD5036" w:rsidRPr="00CD5726">
              <w:rPr>
                <w:rFonts w:eastAsiaTheme="minorEastAsia" w:cstheme="minorBidi"/>
                <w:b w:val="0"/>
                <w:bCs w:val="0"/>
                <w:bdr w:val="none" w:sz="0" w:space="0" w:color="auto"/>
                <w:lang w:val="en-US"/>
              </w:rPr>
              <w:tab/>
            </w:r>
            <w:r w:rsidR="00DD5036" w:rsidRPr="00CD5726">
              <w:rPr>
                <w:rStyle w:val="Hyperlink"/>
                <w:u w:color="000000"/>
                <w:lang w:val="es-ES_tradnl" w:eastAsia="es-ES"/>
              </w:rPr>
              <w:t>ALEGATOS DE LAS PARTES</w:t>
            </w:r>
            <w:r w:rsidR="00DD5036" w:rsidRPr="00CD5726">
              <w:rPr>
                <w:webHidden/>
              </w:rPr>
              <w:tab/>
            </w:r>
            <w:r w:rsidR="00DD5036" w:rsidRPr="00CD5726">
              <w:rPr>
                <w:webHidden/>
              </w:rPr>
              <w:fldChar w:fldCharType="begin"/>
            </w:r>
            <w:r w:rsidR="00DD5036" w:rsidRPr="00CD5726">
              <w:rPr>
                <w:webHidden/>
              </w:rPr>
              <w:instrText xml:space="preserve"> PAGEREF _Toc24542758 \h </w:instrText>
            </w:r>
            <w:r w:rsidR="00DD5036" w:rsidRPr="00CD5726">
              <w:rPr>
                <w:webHidden/>
              </w:rPr>
            </w:r>
            <w:r w:rsidR="00DD5036" w:rsidRPr="00CD5726">
              <w:rPr>
                <w:webHidden/>
              </w:rPr>
              <w:fldChar w:fldCharType="separate"/>
            </w:r>
            <w:r>
              <w:rPr>
                <w:webHidden/>
              </w:rPr>
              <w:t>2</w:t>
            </w:r>
            <w:r w:rsidR="00DD5036" w:rsidRPr="00CD5726">
              <w:rPr>
                <w:webHidden/>
              </w:rPr>
              <w:fldChar w:fldCharType="end"/>
            </w:r>
          </w:hyperlink>
        </w:p>
        <w:p w14:paraId="09D24BC0" w14:textId="443C4270" w:rsidR="00DD5036" w:rsidRPr="00CD5726" w:rsidRDefault="00D20AA1">
          <w:pPr>
            <w:pStyle w:val="TOC2"/>
            <w:rPr>
              <w:rFonts w:eastAsiaTheme="minorEastAsia" w:cstheme="minorBidi"/>
              <w:bdr w:val="none" w:sz="0" w:space="0" w:color="auto"/>
              <w:lang w:val="en-US" w:eastAsia="en-US"/>
            </w:rPr>
          </w:pPr>
          <w:hyperlink w:anchor="_Toc24542759" w:history="1">
            <w:r w:rsidR="00DD5036" w:rsidRPr="00CD5726">
              <w:rPr>
                <w:rStyle w:val="Hyperlink"/>
              </w:rPr>
              <w:t>A.</w:t>
            </w:r>
            <w:r w:rsidR="00DD5036" w:rsidRPr="00CD5726">
              <w:rPr>
                <w:rFonts w:eastAsiaTheme="minorEastAsia" w:cstheme="minorBidi"/>
                <w:bdr w:val="none" w:sz="0" w:space="0" w:color="auto"/>
                <w:lang w:val="en-US" w:eastAsia="en-US"/>
              </w:rPr>
              <w:tab/>
            </w:r>
            <w:r w:rsidR="00DD5036" w:rsidRPr="00CD5726">
              <w:rPr>
                <w:rStyle w:val="Hyperlink"/>
              </w:rPr>
              <w:t>Parte peticionaria</w:t>
            </w:r>
            <w:r w:rsidR="00DD5036" w:rsidRPr="00CD5726">
              <w:rPr>
                <w:webHidden/>
              </w:rPr>
              <w:tab/>
            </w:r>
            <w:r w:rsidR="00DD5036" w:rsidRPr="00CD5726">
              <w:rPr>
                <w:webHidden/>
              </w:rPr>
              <w:fldChar w:fldCharType="begin"/>
            </w:r>
            <w:r w:rsidR="00DD5036" w:rsidRPr="00CD5726">
              <w:rPr>
                <w:webHidden/>
              </w:rPr>
              <w:instrText xml:space="preserve"> PAGEREF _Toc24542759 \h </w:instrText>
            </w:r>
            <w:r w:rsidR="00DD5036" w:rsidRPr="00CD5726">
              <w:rPr>
                <w:webHidden/>
              </w:rPr>
            </w:r>
            <w:r w:rsidR="00DD5036" w:rsidRPr="00CD5726">
              <w:rPr>
                <w:webHidden/>
              </w:rPr>
              <w:fldChar w:fldCharType="separate"/>
            </w:r>
            <w:r>
              <w:rPr>
                <w:webHidden/>
              </w:rPr>
              <w:t>2</w:t>
            </w:r>
            <w:r w:rsidR="00DD5036" w:rsidRPr="00CD5726">
              <w:rPr>
                <w:webHidden/>
              </w:rPr>
              <w:fldChar w:fldCharType="end"/>
            </w:r>
          </w:hyperlink>
        </w:p>
        <w:p w14:paraId="63B0B706" w14:textId="2BA6D9F0" w:rsidR="00DD5036" w:rsidRPr="00CD5726" w:rsidRDefault="00D20AA1">
          <w:pPr>
            <w:pStyle w:val="TOC2"/>
            <w:rPr>
              <w:rFonts w:eastAsiaTheme="minorEastAsia" w:cstheme="minorBidi"/>
              <w:bdr w:val="none" w:sz="0" w:space="0" w:color="auto"/>
              <w:lang w:val="en-US" w:eastAsia="en-US"/>
            </w:rPr>
          </w:pPr>
          <w:hyperlink w:anchor="_Toc24542760" w:history="1">
            <w:r w:rsidR="00DD5036" w:rsidRPr="00CD5726">
              <w:rPr>
                <w:rStyle w:val="Hyperlink"/>
              </w:rPr>
              <w:t>B.</w:t>
            </w:r>
            <w:r w:rsidR="00DD5036" w:rsidRPr="00CD5726">
              <w:rPr>
                <w:rFonts w:eastAsiaTheme="minorEastAsia" w:cstheme="minorBidi"/>
                <w:bdr w:val="none" w:sz="0" w:space="0" w:color="auto"/>
                <w:lang w:val="en-US" w:eastAsia="en-US"/>
              </w:rPr>
              <w:tab/>
            </w:r>
            <w:r w:rsidR="00DD5036" w:rsidRPr="00CD5726">
              <w:rPr>
                <w:rStyle w:val="Hyperlink"/>
              </w:rPr>
              <w:t>Estado</w:t>
            </w:r>
            <w:r w:rsidR="00DD5036" w:rsidRPr="00CD5726">
              <w:rPr>
                <w:webHidden/>
              </w:rPr>
              <w:tab/>
            </w:r>
            <w:r w:rsidR="00DD5036" w:rsidRPr="00CD5726">
              <w:rPr>
                <w:webHidden/>
              </w:rPr>
              <w:fldChar w:fldCharType="begin"/>
            </w:r>
            <w:r w:rsidR="00DD5036" w:rsidRPr="00CD5726">
              <w:rPr>
                <w:webHidden/>
              </w:rPr>
              <w:instrText xml:space="preserve"> PAGEREF _Toc24542760 \h </w:instrText>
            </w:r>
            <w:r w:rsidR="00DD5036" w:rsidRPr="00CD5726">
              <w:rPr>
                <w:webHidden/>
              </w:rPr>
            </w:r>
            <w:r w:rsidR="00DD5036" w:rsidRPr="00CD5726">
              <w:rPr>
                <w:webHidden/>
              </w:rPr>
              <w:fldChar w:fldCharType="separate"/>
            </w:r>
            <w:r>
              <w:rPr>
                <w:webHidden/>
              </w:rPr>
              <w:t>4</w:t>
            </w:r>
            <w:r w:rsidR="00DD5036" w:rsidRPr="00CD5726">
              <w:rPr>
                <w:webHidden/>
              </w:rPr>
              <w:fldChar w:fldCharType="end"/>
            </w:r>
          </w:hyperlink>
        </w:p>
        <w:p w14:paraId="0D6A5CD1" w14:textId="12B25280" w:rsidR="00DD5036" w:rsidRPr="00CD5726" w:rsidRDefault="00D20AA1">
          <w:pPr>
            <w:pStyle w:val="TOC1"/>
            <w:rPr>
              <w:rFonts w:eastAsiaTheme="minorEastAsia" w:cstheme="minorBidi"/>
              <w:b w:val="0"/>
              <w:bCs w:val="0"/>
              <w:bdr w:val="none" w:sz="0" w:space="0" w:color="auto"/>
              <w:lang w:val="en-US"/>
            </w:rPr>
          </w:pPr>
          <w:hyperlink w:anchor="_Toc24542761" w:history="1">
            <w:r w:rsidR="00DD5036" w:rsidRPr="00CD5726">
              <w:rPr>
                <w:rStyle w:val="Hyperlink"/>
              </w:rPr>
              <w:t>III.</w:t>
            </w:r>
            <w:r w:rsidR="00DD5036" w:rsidRPr="00CD5726">
              <w:rPr>
                <w:rFonts w:eastAsiaTheme="minorEastAsia" w:cstheme="minorBidi"/>
                <w:b w:val="0"/>
                <w:bCs w:val="0"/>
                <w:bdr w:val="none" w:sz="0" w:space="0" w:color="auto"/>
                <w:lang w:val="en-US"/>
              </w:rPr>
              <w:tab/>
            </w:r>
            <w:r w:rsidR="00DD5036" w:rsidRPr="00CD5726">
              <w:rPr>
                <w:rStyle w:val="Hyperlink"/>
              </w:rPr>
              <w:t>DETERMINACIONES DE HECHO</w:t>
            </w:r>
            <w:r w:rsidR="00DD5036" w:rsidRPr="00CD5726">
              <w:rPr>
                <w:webHidden/>
              </w:rPr>
              <w:tab/>
            </w:r>
            <w:r w:rsidR="00DD5036" w:rsidRPr="00CD5726">
              <w:rPr>
                <w:webHidden/>
              </w:rPr>
              <w:fldChar w:fldCharType="begin"/>
            </w:r>
            <w:r w:rsidR="00DD5036" w:rsidRPr="00CD5726">
              <w:rPr>
                <w:webHidden/>
              </w:rPr>
              <w:instrText xml:space="preserve"> PAGEREF _Toc24542761 \h </w:instrText>
            </w:r>
            <w:r w:rsidR="00DD5036" w:rsidRPr="00CD5726">
              <w:rPr>
                <w:webHidden/>
              </w:rPr>
            </w:r>
            <w:r w:rsidR="00DD5036" w:rsidRPr="00CD5726">
              <w:rPr>
                <w:webHidden/>
              </w:rPr>
              <w:fldChar w:fldCharType="separate"/>
            </w:r>
            <w:r>
              <w:rPr>
                <w:webHidden/>
              </w:rPr>
              <w:t>5</w:t>
            </w:r>
            <w:r w:rsidR="00DD5036" w:rsidRPr="00CD5726">
              <w:rPr>
                <w:webHidden/>
              </w:rPr>
              <w:fldChar w:fldCharType="end"/>
            </w:r>
          </w:hyperlink>
        </w:p>
        <w:p w14:paraId="4477662A" w14:textId="327D35B8" w:rsidR="00DD5036" w:rsidRPr="00CD5726" w:rsidRDefault="00D20AA1">
          <w:pPr>
            <w:pStyle w:val="TOC2"/>
            <w:rPr>
              <w:rFonts w:eastAsiaTheme="minorEastAsia" w:cstheme="minorBidi"/>
              <w:bdr w:val="none" w:sz="0" w:space="0" w:color="auto"/>
              <w:lang w:val="en-US" w:eastAsia="en-US"/>
            </w:rPr>
          </w:pPr>
          <w:hyperlink w:anchor="_Toc24542762" w:history="1">
            <w:r w:rsidR="00DD5036" w:rsidRPr="00CD5726">
              <w:rPr>
                <w:rStyle w:val="Hyperlink"/>
              </w:rPr>
              <w:t>A.</w:t>
            </w:r>
            <w:r w:rsidR="00DD5036" w:rsidRPr="00CD5726">
              <w:rPr>
                <w:rFonts w:eastAsiaTheme="minorEastAsia" w:cstheme="minorBidi"/>
                <w:bdr w:val="none" w:sz="0" w:space="0" w:color="auto"/>
                <w:lang w:val="en-US" w:eastAsia="en-US"/>
              </w:rPr>
              <w:tab/>
            </w:r>
            <w:r w:rsidR="00DD5036" w:rsidRPr="00CD5726">
              <w:rPr>
                <w:rStyle w:val="Hyperlink"/>
              </w:rPr>
              <w:t>Publicación de la nota de prensa en el diario “La Nación”</w:t>
            </w:r>
            <w:r w:rsidR="00DD5036" w:rsidRPr="00CD5726">
              <w:rPr>
                <w:webHidden/>
              </w:rPr>
              <w:tab/>
            </w:r>
            <w:r w:rsidR="00DD5036" w:rsidRPr="00CD5726">
              <w:rPr>
                <w:webHidden/>
              </w:rPr>
              <w:fldChar w:fldCharType="begin"/>
            </w:r>
            <w:r w:rsidR="00DD5036" w:rsidRPr="00CD5726">
              <w:rPr>
                <w:webHidden/>
              </w:rPr>
              <w:instrText xml:space="preserve"> PAGEREF _Toc24542762 \h </w:instrText>
            </w:r>
            <w:r w:rsidR="00DD5036" w:rsidRPr="00CD5726">
              <w:rPr>
                <w:webHidden/>
              </w:rPr>
            </w:r>
            <w:r w:rsidR="00DD5036" w:rsidRPr="00CD5726">
              <w:rPr>
                <w:webHidden/>
              </w:rPr>
              <w:fldChar w:fldCharType="separate"/>
            </w:r>
            <w:r>
              <w:rPr>
                <w:webHidden/>
              </w:rPr>
              <w:t>5</w:t>
            </w:r>
            <w:r w:rsidR="00DD5036" w:rsidRPr="00CD5726">
              <w:rPr>
                <w:webHidden/>
              </w:rPr>
              <w:fldChar w:fldCharType="end"/>
            </w:r>
          </w:hyperlink>
        </w:p>
        <w:p w14:paraId="3397217D" w14:textId="172E712E" w:rsidR="00DD5036" w:rsidRPr="00CD5726" w:rsidRDefault="00D20AA1">
          <w:pPr>
            <w:pStyle w:val="TOC2"/>
            <w:rPr>
              <w:rFonts w:eastAsiaTheme="minorEastAsia" w:cstheme="minorBidi"/>
              <w:bdr w:val="none" w:sz="0" w:space="0" w:color="auto"/>
              <w:lang w:val="en-US" w:eastAsia="en-US"/>
            </w:rPr>
          </w:pPr>
          <w:hyperlink w:anchor="_Toc24542763" w:history="1">
            <w:r w:rsidR="00DD5036" w:rsidRPr="00CD5726">
              <w:rPr>
                <w:rStyle w:val="Hyperlink"/>
                <w:lang w:val="es-VE"/>
              </w:rPr>
              <w:t>B.</w:t>
            </w:r>
            <w:r w:rsidR="00DD5036" w:rsidRPr="00CD5726">
              <w:rPr>
                <w:rFonts w:eastAsiaTheme="minorEastAsia" w:cstheme="minorBidi"/>
                <w:bdr w:val="none" w:sz="0" w:space="0" w:color="auto"/>
                <w:lang w:val="en-US" w:eastAsia="en-US"/>
              </w:rPr>
              <w:tab/>
            </w:r>
            <w:r w:rsidR="00DD5036" w:rsidRPr="00CD5726">
              <w:rPr>
                <w:rStyle w:val="Hyperlink"/>
              </w:rPr>
              <w:t>Proceso penal por calumnias y difamac</w:t>
            </w:r>
            <w:r w:rsidR="00DD5036" w:rsidRPr="00CD5726">
              <w:rPr>
                <w:rStyle w:val="Hyperlink"/>
                <w:lang w:val="es-PE"/>
              </w:rPr>
              <w:t>ión por la prensa</w:t>
            </w:r>
            <w:r w:rsidR="00DD5036" w:rsidRPr="00CD5726">
              <w:rPr>
                <w:rStyle w:val="Hyperlink"/>
              </w:rPr>
              <w:t xml:space="preserve"> en contra de los periodistas Ronald Moya Chacón y Freddy Parrales</w:t>
            </w:r>
            <w:r w:rsidR="00DD5036" w:rsidRPr="00CD5726">
              <w:rPr>
                <w:webHidden/>
              </w:rPr>
              <w:tab/>
            </w:r>
            <w:r w:rsidR="00DD5036" w:rsidRPr="00CD5726">
              <w:rPr>
                <w:webHidden/>
              </w:rPr>
              <w:fldChar w:fldCharType="begin"/>
            </w:r>
            <w:r w:rsidR="00DD5036" w:rsidRPr="00CD5726">
              <w:rPr>
                <w:webHidden/>
              </w:rPr>
              <w:instrText xml:space="preserve"> PAGEREF _Toc24542763 \h </w:instrText>
            </w:r>
            <w:r w:rsidR="00DD5036" w:rsidRPr="00CD5726">
              <w:rPr>
                <w:webHidden/>
              </w:rPr>
            </w:r>
            <w:r w:rsidR="00DD5036" w:rsidRPr="00CD5726">
              <w:rPr>
                <w:webHidden/>
              </w:rPr>
              <w:fldChar w:fldCharType="separate"/>
            </w:r>
            <w:r>
              <w:rPr>
                <w:webHidden/>
              </w:rPr>
              <w:t>7</w:t>
            </w:r>
            <w:r w:rsidR="00DD5036" w:rsidRPr="00CD5726">
              <w:rPr>
                <w:webHidden/>
              </w:rPr>
              <w:fldChar w:fldCharType="end"/>
            </w:r>
          </w:hyperlink>
        </w:p>
        <w:p w14:paraId="47EC9625" w14:textId="29D903BE" w:rsidR="00DD5036" w:rsidRPr="00CD5726" w:rsidRDefault="00D20AA1">
          <w:pPr>
            <w:pStyle w:val="TOC3"/>
            <w:tabs>
              <w:tab w:val="left" w:pos="2160"/>
            </w:tabs>
            <w:rPr>
              <w:rFonts w:ascii="Cambria" w:eastAsiaTheme="minorEastAsia" w:hAnsi="Cambria" w:cstheme="minorBidi"/>
              <w:noProof/>
              <w:sz w:val="20"/>
              <w:szCs w:val="20"/>
              <w:bdr w:val="none" w:sz="0" w:space="0" w:color="auto"/>
            </w:rPr>
          </w:pPr>
          <w:hyperlink w:anchor="_Toc24542764" w:history="1">
            <w:r w:rsidR="00DD5036" w:rsidRPr="00CD5726">
              <w:rPr>
                <w:rStyle w:val="Hyperlink"/>
                <w:rFonts w:ascii="Cambria" w:hAnsi="Cambria"/>
                <w:noProof/>
                <w:sz w:val="20"/>
                <w:szCs w:val="20"/>
              </w:rPr>
              <w:t>1.</w:t>
            </w:r>
            <w:r w:rsidR="00DD5036" w:rsidRPr="00CD5726">
              <w:rPr>
                <w:rFonts w:ascii="Cambria" w:eastAsiaTheme="minorEastAsia" w:hAnsi="Cambria" w:cstheme="minorBidi"/>
                <w:noProof/>
                <w:sz w:val="20"/>
                <w:szCs w:val="20"/>
                <w:bdr w:val="none" w:sz="0" w:space="0" w:color="auto"/>
              </w:rPr>
              <w:tab/>
            </w:r>
            <w:r w:rsidR="00DD5036" w:rsidRPr="00CD5726">
              <w:rPr>
                <w:rStyle w:val="Hyperlink"/>
                <w:rFonts w:ascii="Cambria" w:hAnsi="Cambria"/>
                <w:noProof/>
                <w:sz w:val="20"/>
                <w:szCs w:val="20"/>
              </w:rPr>
              <w:t>Sentencia de primera instancia del Tribunal de Juicio del Segundo Circuito Judicial de San José</w:t>
            </w:r>
            <w:r w:rsidR="00DD5036" w:rsidRPr="00CD5726">
              <w:rPr>
                <w:rFonts w:ascii="Cambria" w:hAnsi="Cambria"/>
                <w:noProof/>
                <w:webHidden/>
                <w:sz w:val="20"/>
                <w:szCs w:val="20"/>
              </w:rPr>
              <w:tab/>
            </w:r>
            <w:r w:rsidR="00DD5036" w:rsidRPr="00CD5726">
              <w:rPr>
                <w:rFonts w:ascii="Cambria" w:hAnsi="Cambria"/>
                <w:noProof/>
                <w:webHidden/>
                <w:sz w:val="20"/>
                <w:szCs w:val="20"/>
              </w:rPr>
              <w:fldChar w:fldCharType="begin"/>
            </w:r>
            <w:r w:rsidR="00DD5036" w:rsidRPr="00CD5726">
              <w:rPr>
                <w:rFonts w:ascii="Cambria" w:hAnsi="Cambria"/>
                <w:noProof/>
                <w:webHidden/>
                <w:sz w:val="20"/>
                <w:szCs w:val="20"/>
              </w:rPr>
              <w:instrText xml:space="preserve"> PAGEREF _Toc24542764 \h </w:instrText>
            </w:r>
            <w:r w:rsidR="00DD5036" w:rsidRPr="00CD5726">
              <w:rPr>
                <w:rFonts w:ascii="Cambria" w:hAnsi="Cambria"/>
                <w:noProof/>
                <w:webHidden/>
                <w:sz w:val="20"/>
                <w:szCs w:val="20"/>
              </w:rPr>
            </w:r>
            <w:r w:rsidR="00DD5036" w:rsidRPr="00CD5726">
              <w:rPr>
                <w:rFonts w:ascii="Cambria" w:hAnsi="Cambria"/>
                <w:noProof/>
                <w:webHidden/>
                <w:sz w:val="20"/>
                <w:szCs w:val="20"/>
              </w:rPr>
              <w:fldChar w:fldCharType="separate"/>
            </w:r>
            <w:r>
              <w:rPr>
                <w:rFonts w:ascii="Cambria" w:hAnsi="Cambria"/>
                <w:noProof/>
                <w:webHidden/>
                <w:sz w:val="20"/>
                <w:szCs w:val="20"/>
              </w:rPr>
              <w:t>7</w:t>
            </w:r>
            <w:r w:rsidR="00DD5036" w:rsidRPr="00CD5726">
              <w:rPr>
                <w:rFonts w:ascii="Cambria" w:hAnsi="Cambria"/>
                <w:noProof/>
                <w:webHidden/>
                <w:sz w:val="20"/>
                <w:szCs w:val="20"/>
              </w:rPr>
              <w:fldChar w:fldCharType="end"/>
            </w:r>
          </w:hyperlink>
        </w:p>
        <w:p w14:paraId="5A48EC32" w14:textId="69E3215F" w:rsidR="00DD5036" w:rsidRPr="00CD5726" w:rsidRDefault="00D20AA1">
          <w:pPr>
            <w:pStyle w:val="TOC3"/>
            <w:tabs>
              <w:tab w:val="left" w:pos="2160"/>
            </w:tabs>
            <w:rPr>
              <w:rFonts w:ascii="Cambria" w:eastAsiaTheme="minorEastAsia" w:hAnsi="Cambria" w:cstheme="minorBidi"/>
              <w:noProof/>
              <w:sz w:val="20"/>
              <w:szCs w:val="20"/>
              <w:bdr w:val="none" w:sz="0" w:space="0" w:color="auto"/>
            </w:rPr>
          </w:pPr>
          <w:hyperlink w:anchor="_Toc24542765" w:history="1">
            <w:r w:rsidR="00DD5036" w:rsidRPr="00CD5726">
              <w:rPr>
                <w:rStyle w:val="Hyperlink"/>
                <w:rFonts w:ascii="Cambria" w:hAnsi="Cambria"/>
                <w:noProof/>
                <w:sz w:val="20"/>
                <w:szCs w:val="20"/>
              </w:rPr>
              <w:t>2.</w:t>
            </w:r>
            <w:r w:rsidR="00DD5036" w:rsidRPr="00CD5726">
              <w:rPr>
                <w:rFonts w:ascii="Cambria" w:eastAsiaTheme="minorEastAsia" w:hAnsi="Cambria" w:cstheme="minorBidi"/>
                <w:noProof/>
                <w:sz w:val="20"/>
                <w:szCs w:val="20"/>
                <w:bdr w:val="none" w:sz="0" w:space="0" w:color="auto"/>
              </w:rPr>
              <w:tab/>
            </w:r>
            <w:r w:rsidR="00DD5036" w:rsidRPr="00CD5726">
              <w:rPr>
                <w:rStyle w:val="Hyperlink"/>
                <w:rFonts w:ascii="Cambria" w:hAnsi="Cambria"/>
                <w:noProof/>
                <w:sz w:val="20"/>
                <w:szCs w:val="20"/>
              </w:rPr>
              <w:t>Recurso de casación ante la Sala Tercera de la Corte Suprema de Justicia</w:t>
            </w:r>
            <w:r w:rsidR="00DD5036" w:rsidRPr="00CD5726">
              <w:rPr>
                <w:rFonts w:ascii="Cambria" w:hAnsi="Cambria"/>
                <w:noProof/>
                <w:webHidden/>
                <w:sz w:val="20"/>
                <w:szCs w:val="20"/>
              </w:rPr>
              <w:tab/>
            </w:r>
            <w:r w:rsidR="00DD5036" w:rsidRPr="00CD5726">
              <w:rPr>
                <w:rFonts w:ascii="Cambria" w:hAnsi="Cambria"/>
                <w:noProof/>
                <w:webHidden/>
                <w:sz w:val="20"/>
                <w:szCs w:val="20"/>
              </w:rPr>
              <w:fldChar w:fldCharType="begin"/>
            </w:r>
            <w:r w:rsidR="00DD5036" w:rsidRPr="00CD5726">
              <w:rPr>
                <w:rFonts w:ascii="Cambria" w:hAnsi="Cambria"/>
                <w:noProof/>
                <w:webHidden/>
                <w:sz w:val="20"/>
                <w:szCs w:val="20"/>
              </w:rPr>
              <w:instrText xml:space="preserve"> PAGEREF _Toc24542765 \h </w:instrText>
            </w:r>
            <w:r w:rsidR="00DD5036" w:rsidRPr="00CD5726">
              <w:rPr>
                <w:rFonts w:ascii="Cambria" w:hAnsi="Cambria"/>
                <w:noProof/>
                <w:webHidden/>
                <w:sz w:val="20"/>
                <w:szCs w:val="20"/>
              </w:rPr>
            </w:r>
            <w:r w:rsidR="00DD5036" w:rsidRPr="00CD5726">
              <w:rPr>
                <w:rFonts w:ascii="Cambria" w:hAnsi="Cambria"/>
                <w:noProof/>
                <w:webHidden/>
                <w:sz w:val="20"/>
                <w:szCs w:val="20"/>
              </w:rPr>
              <w:fldChar w:fldCharType="separate"/>
            </w:r>
            <w:r>
              <w:rPr>
                <w:rFonts w:ascii="Cambria" w:hAnsi="Cambria"/>
                <w:noProof/>
                <w:webHidden/>
                <w:sz w:val="20"/>
                <w:szCs w:val="20"/>
              </w:rPr>
              <w:t>9</w:t>
            </w:r>
            <w:r w:rsidR="00DD5036" w:rsidRPr="00CD5726">
              <w:rPr>
                <w:rFonts w:ascii="Cambria" w:hAnsi="Cambria"/>
                <w:noProof/>
                <w:webHidden/>
                <w:sz w:val="20"/>
                <w:szCs w:val="20"/>
              </w:rPr>
              <w:fldChar w:fldCharType="end"/>
            </w:r>
          </w:hyperlink>
        </w:p>
        <w:p w14:paraId="3A9A2370" w14:textId="6CA1E173" w:rsidR="00DD5036" w:rsidRPr="00CD5726" w:rsidRDefault="00D20AA1">
          <w:pPr>
            <w:pStyle w:val="TOC1"/>
            <w:rPr>
              <w:rFonts w:eastAsiaTheme="minorEastAsia" w:cstheme="minorBidi"/>
              <w:b w:val="0"/>
              <w:bCs w:val="0"/>
              <w:bdr w:val="none" w:sz="0" w:space="0" w:color="auto"/>
              <w:lang w:val="en-US"/>
            </w:rPr>
          </w:pPr>
          <w:hyperlink w:anchor="_Toc24542766" w:history="1">
            <w:r w:rsidR="00DD5036" w:rsidRPr="00CD5726">
              <w:rPr>
                <w:rStyle w:val="Hyperlink"/>
              </w:rPr>
              <w:t>IV.</w:t>
            </w:r>
            <w:r w:rsidR="00DD5036" w:rsidRPr="00CD5726">
              <w:rPr>
                <w:rFonts w:eastAsiaTheme="minorEastAsia" w:cstheme="minorBidi"/>
                <w:b w:val="0"/>
                <w:bCs w:val="0"/>
                <w:bdr w:val="none" w:sz="0" w:space="0" w:color="auto"/>
                <w:lang w:val="en-US"/>
              </w:rPr>
              <w:tab/>
            </w:r>
            <w:r w:rsidR="00DD5036" w:rsidRPr="00CD5726">
              <w:rPr>
                <w:rStyle w:val="Hyperlink"/>
              </w:rPr>
              <w:t>ANÁLISIS DE DERECHO</w:t>
            </w:r>
            <w:r w:rsidR="00DD5036" w:rsidRPr="00CD5726">
              <w:rPr>
                <w:webHidden/>
              </w:rPr>
              <w:tab/>
            </w:r>
            <w:r w:rsidR="00DD5036" w:rsidRPr="00CD5726">
              <w:rPr>
                <w:webHidden/>
              </w:rPr>
              <w:fldChar w:fldCharType="begin"/>
            </w:r>
            <w:r w:rsidR="00DD5036" w:rsidRPr="00CD5726">
              <w:rPr>
                <w:webHidden/>
              </w:rPr>
              <w:instrText xml:space="preserve"> PAGEREF _Toc24542766 \h </w:instrText>
            </w:r>
            <w:r w:rsidR="00DD5036" w:rsidRPr="00CD5726">
              <w:rPr>
                <w:webHidden/>
              </w:rPr>
            </w:r>
            <w:r w:rsidR="00DD5036" w:rsidRPr="00CD5726">
              <w:rPr>
                <w:webHidden/>
              </w:rPr>
              <w:fldChar w:fldCharType="separate"/>
            </w:r>
            <w:r>
              <w:rPr>
                <w:webHidden/>
              </w:rPr>
              <w:t>10</w:t>
            </w:r>
            <w:r w:rsidR="00DD5036" w:rsidRPr="00CD5726">
              <w:rPr>
                <w:webHidden/>
              </w:rPr>
              <w:fldChar w:fldCharType="end"/>
            </w:r>
          </w:hyperlink>
        </w:p>
        <w:p w14:paraId="464E6165" w14:textId="1BF62BA9" w:rsidR="00DD5036" w:rsidRPr="00CD5726" w:rsidRDefault="00D20AA1">
          <w:pPr>
            <w:pStyle w:val="TOC2"/>
            <w:rPr>
              <w:rFonts w:eastAsiaTheme="minorEastAsia" w:cstheme="minorBidi"/>
              <w:bdr w:val="none" w:sz="0" w:space="0" w:color="auto"/>
              <w:lang w:val="en-US" w:eastAsia="en-US"/>
            </w:rPr>
          </w:pPr>
          <w:hyperlink w:anchor="_Toc24542767" w:history="1">
            <w:r w:rsidR="00DD5036" w:rsidRPr="00CD5726">
              <w:rPr>
                <w:rStyle w:val="Hyperlink"/>
              </w:rPr>
              <w:t>A.</w:t>
            </w:r>
            <w:r w:rsidR="00DD5036" w:rsidRPr="00CD5726">
              <w:rPr>
                <w:rFonts w:eastAsiaTheme="minorEastAsia" w:cstheme="minorBidi"/>
                <w:bdr w:val="none" w:sz="0" w:space="0" w:color="auto"/>
                <w:lang w:val="en-US" w:eastAsia="en-US"/>
              </w:rPr>
              <w:tab/>
            </w:r>
            <w:r w:rsidR="00DD5036" w:rsidRPr="00CD5726">
              <w:rPr>
                <w:rStyle w:val="Hyperlink"/>
              </w:rPr>
              <w:t>Derecho a la libertad de pensamiento y de expresión (artículo 13) en relación con los artículos 1.1 y 2 de la Convención Americana</w:t>
            </w:r>
            <w:r w:rsidR="00DD5036" w:rsidRPr="00CD5726">
              <w:rPr>
                <w:webHidden/>
              </w:rPr>
              <w:tab/>
            </w:r>
            <w:r w:rsidR="00DD5036" w:rsidRPr="00CD5726">
              <w:rPr>
                <w:webHidden/>
              </w:rPr>
              <w:fldChar w:fldCharType="begin"/>
            </w:r>
            <w:r w:rsidR="00DD5036" w:rsidRPr="00CD5726">
              <w:rPr>
                <w:webHidden/>
              </w:rPr>
              <w:instrText xml:space="preserve"> PAGEREF _Toc24542767 \h </w:instrText>
            </w:r>
            <w:r w:rsidR="00DD5036" w:rsidRPr="00CD5726">
              <w:rPr>
                <w:webHidden/>
              </w:rPr>
            </w:r>
            <w:r w:rsidR="00DD5036" w:rsidRPr="00CD5726">
              <w:rPr>
                <w:webHidden/>
              </w:rPr>
              <w:fldChar w:fldCharType="separate"/>
            </w:r>
            <w:r>
              <w:rPr>
                <w:webHidden/>
              </w:rPr>
              <w:t>11</w:t>
            </w:r>
            <w:r w:rsidR="00DD5036" w:rsidRPr="00CD5726">
              <w:rPr>
                <w:webHidden/>
              </w:rPr>
              <w:fldChar w:fldCharType="end"/>
            </w:r>
          </w:hyperlink>
        </w:p>
        <w:p w14:paraId="47FB3423" w14:textId="67CEA0CE" w:rsidR="00DD5036" w:rsidRPr="00CD5726" w:rsidRDefault="00D20AA1">
          <w:pPr>
            <w:pStyle w:val="TOC3"/>
            <w:tabs>
              <w:tab w:val="left" w:pos="2160"/>
            </w:tabs>
            <w:rPr>
              <w:rFonts w:ascii="Cambria" w:eastAsiaTheme="minorEastAsia" w:hAnsi="Cambria" w:cstheme="minorBidi"/>
              <w:noProof/>
              <w:sz w:val="20"/>
              <w:szCs w:val="20"/>
              <w:bdr w:val="none" w:sz="0" w:space="0" w:color="auto"/>
            </w:rPr>
          </w:pPr>
          <w:hyperlink w:anchor="_Toc24542768" w:history="1">
            <w:r w:rsidR="00DD5036" w:rsidRPr="00CD5726">
              <w:rPr>
                <w:rStyle w:val="Hyperlink"/>
                <w:rFonts w:ascii="Cambria" w:hAnsi="Cambria"/>
                <w:noProof/>
                <w:sz w:val="20"/>
                <w:szCs w:val="20"/>
              </w:rPr>
              <w:t>1.</w:t>
            </w:r>
            <w:r w:rsidR="00DD5036" w:rsidRPr="00CD5726">
              <w:rPr>
                <w:rFonts w:ascii="Cambria" w:eastAsiaTheme="minorEastAsia" w:hAnsi="Cambria" w:cstheme="minorBidi"/>
                <w:noProof/>
                <w:sz w:val="20"/>
                <w:szCs w:val="20"/>
                <w:bdr w:val="none" w:sz="0" w:space="0" w:color="auto"/>
              </w:rPr>
              <w:tab/>
            </w:r>
            <w:r w:rsidR="00DD5036" w:rsidRPr="00CD5726">
              <w:rPr>
                <w:rStyle w:val="Hyperlink"/>
                <w:rFonts w:ascii="Cambria" w:hAnsi="Cambria"/>
                <w:noProof/>
                <w:sz w:val="20"/>
                <w:szCs w:val="20"/>
              </w:rPr>
              <w:t>Consideraciones generales sobre la libertad de expresión y pensamiento</w:t>
            </w:r>
            <w:r w:rsidR="00DD5036" w:rsidRPr="00CD5726">
              <w:rPr>
                <w:rFonts w:ascii="Cambria" w:hAnsi="Cambria"/>
                <w:noProof/>
                <w:webHidden/>
                <w:sz w:val="20"/>
                <w:szCs w:val="20"/>
              </w:rPr>
              <w:tab/>
            </w:r>
            <w:r w:rsidR="00DD5036" w:rsidRPr="00CD5726">
              <w:rPr>
                <w:rFonts w:ascii="Cambria" w:hAnsi="Cambria"/>
                <w:noProof/>
                <w:webHidden/>
                <w:sz w:val="20"/>
                <w:szCs w:val="20"/>
              </w:rPr>
              <w:fldChar w:fldCharType="begin"/>
            </w:r>
            <w:r w:rsidR="00DD5036" w:rsidRPr="00CD5726">
              <w:rPr>
                <w:rFonts w:ascii="Cambria" w:hAnsi="Cambria"/>
                <w:noProof/>
                <w:webHidden/>
                <w:sz w:val="20"/>
                <w:szCs w:val="20"/>
              </w:rPr>
              <w:instrText xml:space="preserve"> PAGEREF _Toc24542768 \h </w:instrText>
            </w:r>
            <w:r w:rsidR="00DD5036" w:rsidRPr="00CD5726">
              <w:rPr>
                <w:rFonts w:ascii="Cambria" w:hAnsi="Cambria"/>
                <w:noProof/>
                <w:webHidden/>
                <w:sz w:val="20"/>
                <w:szCs w:val="20"/>
              </w:rPr>
            </w:r>
            <w:r w:rsidR="00DD5036" w:rsidRPr="00CD5726">
              <w:rPr>
                <w:rFonts w:ascii="Cambria" w:hAnsi="Cambria"/>
                <w:noProof/>
                <w:webHidden/>
                <w:sz w:val="20"/>
                <w:szCs w:val="20"/>
              </w:rPr>
              <w:fldChar w:fldCharType="separate"/>
            </w:r>
            <w:r>
              <w:rPr>
                <w:rFonts w:ascii="Cambria" w:hAnsi="Cambria"/>
                <w:noProof/>
                <w:webHidden/>
                <w:sz w:val="20"/>
                <w:szCs w:val="20"/>
              </w:rPr>
              <w:t>11</w:t>
            </w:r>
            <w:r w:rsidR="00DD5036" w:rsidRPr="00CD5726">
              <w:rPr>
                <w:rFonts w:ascii="Cambria" w:hAnsi="Cambria"/>
                <w:noProof/>
                <w:webHidden/>
                <w:sz w:val="20"/>
                <w:szCs w:val="20"/>
              </w:rPr>
              <w:fldChar w:fldCharType="end"/>
            </w:r>
          </w:hyperlink>
        </w:p>
        <w:p w14:paraId="0B0BF165" w14:textId="68CD6750" w:rsidR="00DD5036" w:rsidRPr="00CD5726" w:rsidRDefault="00D20AA1">
          <w:pPr>
            <w:pStyle w:val="TOC3"/>
            <w:tabs>
              <w:tab w:val="left" w:pos="2160"/>
            </w:tabs>
            <w:rPr>
              <w:rFonts w:ascii="Cambria" w:eastAsiaTheme="minorEastAsia" w:hAnsi="Cambria" w:cstheme="minorBidi"/>
              <w:noProof/>
              <w:sz w:val="20"/>
              <w:szCs w:val="20"/>
              <w:bdr w:val="none" w:sz="0" w:space="0" w:color="auto"/>
            </w:rPr>
          </w:pPr>
          <w:hyperlink w:anchor="_Toc24542769" w:history="1">
            <w:r w:rsidR="00DD5036" w:rsidRPr="00CD5726">
              <w:rPr>
                <w:rStyle w:val="Hyperlink"/>
                <w:rFonts w:ascii="Cambria" w:hAnsi="Cambria"/>
                <w:noProof/>
                <w:sz w:val="20"/>
                <w:szCs w:val="20"/>
              </w:rPr>
              <w:t>2.</w:t>
            </w:r>
            <w:r w:rsidR="00DD5036" w:rsidRPr="00CD5726">
              <w:rPr>
                <w:rFonts w:ascii="Cambria" w:eastAsiaTheme="minorEastAsia" w:hAnsi="Cambria" w:cstheme="minorBidi"/>
                <w:noProof/>
                <w:sz w:val="20"/>
                <w:szCs w:val="20"/>
                <w:bdr w:val="none" w:sz="0" w:space="0" w:color="auto"/>
              </w:rPr>
              <w:tab/>
            </w:r>
            <w:r w:rsidR="00DD5036" w:rsidRPr="00CD5726">
              <w:rPr>
                <w:rStyle w:val="Hyperlink"/>
                <w:rFonts w:ascii="Cambria" w:hAnsi="Cambria"/>
                <w:noProof/>
                <w:sz w:val="20"/>
                <w:szCs w:val="20"/>
              </w:rPr>
              <w:t>Consideraciones sobre la utilización del derecho penal y de sanciones civiles como mecanismos para establecer responsabilidades ulteriores en casos de interés público, sobre funcionarios y/o figuras públicas</w:t>
            </w:r>
            <w:r w:rsidR="00DD5036" w:rsidRPr="00CD5726">
              <w:rPr>
                <w:rFonts w:ascii="Cambria" w:hAnsi="Cambria"/>
                <w:noProof/>
                <w:webHidden/>
                <w:sz w:val="20"/>
                <w:szCs w:val="20"/>
              </w:rPr>
              <w:tab/>
            </w:r>
            <w:r w:rsidR="00DD5036" w:rsidRPr="00CD5726">
              <w:rPr>
                <w:rFonts w:ascii="Cambria" w:hAnsi="Cambria"/>
                <w:noProof/>
                <w:webHidden/>
                <w:sz w:val="20"/>
                <w:szCs w:val="20"/>
              </w:rPr>
              <w:fldChar w:fldCharType="begin"/>
            </w:r>
            <w:r w:rsidR="00DD5036" w:rsidRPr="00CD5726">
              <w:rPr>
                <w:rFonts w:ascii="Cambria" w:hAnsi="Cambria"/>
                <w:noProof/>
                <w:webHidden/>
                <w:sz w:val="20"/>
                <w:szCs w:val="20"/>
              </w:rPr>
              <w:instrText xml:space="preserve"> PAGEREF _Toc24542769 \h </w:instrText>
            </w:r>
            <w:r w:rsidR="00DD5036" w:rsidRPr="00CD5726">
              <w:rPr>
                <w:rFonts w:ascii="Cambria" w:hAnsi="Cambria"/>
                <w:noProof/>
                <w:webHidden/>
                <w:sz w:val="20"/>
                <w:szCs w:val="20"/>
              </w:rPr>
            </w:r>
            <w:r w:rsidR="00DD5036" w:rsidRPr="00CD5726">
              <w:rPr>
                <w:rFonts w:ascii="Cambria" w:hAnsi="Cambria"/>
                <w:noProof/>
                <w:webHidden/>
                <w:sz w:val="20"/>
                <w:szCs w:val="20"/>
              </w:rPr>
              <w:fldChar w:fldCharType="separate"/>
            </w:r>
            <w:r>
              <w:rPr>
                <w:rFonts w:ascii="Cambria" w:hAnsi="Cambria"/>
                <w:noProof/>
                <w:webHidden/>
                <w:sz w:val="20"/>
                <w:szCs w:val="20"/>
              </w:rPr>
              <w:t>13</w:t>
            </w:r>
            <w:r w:rsidR="00DD5036" w:rsidRPr="00CD5726">
              <w:rPr>
                <w:rFonts w:ascii="Cambria" w:hAnsi="Cambria"/>
                <w:noProof/>
                <w:webHidden/>
                <w:sz w:val="20"/>
                <w:szCs w:val="20"/>
              </w:rPr>
              <w:fldChar w:fldCharType="end"/>
            </w:r>
          </w:hyperlink>
        </w:p>
        <w:p w14:paraId="64385887" w14:textId="6EC7D8DB" w:rsidR="00DD5036" w:rsidRPr="00CD5726" w:rsidRDefault="00D20AA1">
          <w:pPr>
            <w:pStyle w:val="TOC3"/>
            <w:tabs>
              <w:tab w:val="left" w:pos="2160"/>
            </w:tabs>
            <w:rPr>
              <w:rFonts w:ascii="Cambria" w:eastAsiaTheme="minorEastAsia" w:hAnsi="Cambria" w:cstheme="minorBidi"/>
              <w:noProof/>
              <w:sz w:val="20"/>
              <w:szCs w:val="20"/>
              <w:bdr w:val="none" w:sz="0" w:space="0" w:color="auto"/>
            </w:rPr>
          </w:pPr>
          <w:hyperlink w:anchor="_Toc24542770" w:history="1">
            <w:r w:rsidR="00DD5036" w:rsidRPr="00CD5726">
              <w:rPr>
                <w:rStyle w:val="Hyperlink"/>
                <w:rFonts w:ascii="Cambria" w:hAnsi="Cambria"/>
                <w:noProof/>
                <w:sz w:val="20"/>
                <w:szCs w:val="20"/>
              </w:rPr>
              <w:t>3.</w:t>
            </w:r>
            <w:r w:rsidR="00DD5036" w:rsidRPr="00CD5726">
              <w:rPr>
                <w:rFonts w:ascii="Cambria" w:eastAsiaTheme="minorEastAsia" w:hAnsi="Cambria" w:cstheme="minorBidi"/>
                <w:noProof/>
                <w:sz w:val="20"/>
                <w:szCs w:val="20"/>
                <w:bdr w:val="none" w:sz="0" w:space="0" w:color="auto"/>
              </w:rPr>
              <w:tab/>
            </w:r>
            <w:r w:rsidR="00DD5036" w:rsidRPr="00CD5726">
              <w:rPr>
                <w:rStyle w:val="Hyperlink"/>
                <w:rFonts w:ascii="Cambria" w:hAnsi="Cambria"/>
                <w:noProof/>
                <w:sz w:val="20"/>
                <w:szCs w:val="20"/>
              </w:rPr>
              <w:t>Veracidad de la información y doctrina de la real malicia</w:t>
            </w:r>
            <w:r w:rsidR="00DD5036" w:rsidRPr="00CD5726">
              <w:rPr>
                <w:rFonts w:ascii="Cambria" w:hAnsi="Cambria"/>
                <w:noProof/>
                <w:webHidden/>
                <w:sz w:val="20"/>
                <w:szCs w:val="20"/>
              </w:rPr>
              <w:tab/>
            </w:r>
            <w:r w:rsidR="00DD5036" w:rsidRPr="00CD5726">
              <w:rPr>
                <w:rFonts w:ascii="Cambria" w:hAnsi="Cambria"/>
                <w:noProof/>
                <w:webHidden/>
                <w:sz w:val="20"/>
                <w:szCs w:val="20"/>
              </w:rPr>
              <w:fldChar w:fldCharType="begin"/>
            </w:r>
            <w:r w:rsidR="00DD5036" w:rsidRPr="00CD5726">
              <w:rPr>
                <w:rFonts w:ascii="Cambria" w:hAnsi="Cambria"/>
                <w:noProof/>
                <w:webHidden/>
                <w:sz w:val="20"/>
                <w:szCs w:val="20"/>
              </w:rPr>
              <w:instrText xml:space="preserve"> PAGEREF _Toc24542770 \h </w:instrText>
            </w:r>
            <w:r w:rsidR="00DD5036" w:rsidRPr="00CD5726">
              <w:rPr>
                <w:rFonts w:ascii="Cambria" w:hAnsi="Cambria"/>
                <w:noProof/>
                <w:webHidden/>
                <w:sz w:val="20"/>
                <w:szCs w:val="20"/>
              </w:rPr>
            </w:r>
            <w:r w:rsidR="00DD5036" w:rsidRPr="00CD5726">
              <w:rPr>
                <w:rFonts w:ascii="Cambria" w:hAnsi="Cambria"/>
                <w:noProof/>
                <w:webHidden/>
                <w:sz w:val="20"/>
                <w:szCs w:val="20"/>
              </w:rPr>
              <w:fldChar w:fldCharType="separate"/>
            </w:r>
            <w:r>
              <w:rPr>
                <w:rFonts w:ascii="Cambria" w:hAnsi="Cambria"/>
                <w:noProof/>
                <w:webHidden/>
                <w:sz w:val="20"/>
                <w:szCs w:val="20"/>
              </w:rPr>
              <w:t>15</w:t>
            </w:r>
            <w:r w:rsidR="00DD5036" w:rsidRPr="00CD5726">
              <w:rPr>
                <w:rFonts w:ascii="Cambria" w:hAnsi="Cambria"/>
                <w:noProof/>
                <w:webHidden/>
                <w:sz w:val="20"/>
                <w:szCs w:val="20"/>
              </w:rPr>
              <w:fldChar w:fldCharType="end"/>
            </w:r>
          </w:hyperlink>
        </w:p>
        <w:p w14:paraId="60A90CA8" w14:textId="75524E4A" w:rsidR="00DD5036" w:rsidRPr="00CD5726" w:rsidRDefault="00D20AA1">
          <w:pPr>
            <w:pStyle w:val="TOC3"/>
            <w:tabs>
              <w:tab w:val="left" w:pos="2160"/>
            </w:tabs>
            <w:rPr>
              <w:rFonts w:ascii="Cambria" w:eastAsiaTheme="minorEastAsia" w:hAnsi="Cambria" w:cstheme="minorBidi"/>
              <w:noProof/>
              <w:sz w:val="20"/>
              <w:szCs w:val="20"/>
              <w:bdr w:val="none" w:sz="0" w:space="0" w:color="auto"/>
            </w:rPr>
          </w:pPr>
          <w:hyperlink w:anchor="_Toc24542771" w:history="1">
            <w:r w:rsidR="00DD5036" w:rsidRPr="00CD5726">
              <w:rPr>
                <w:rStyle w:val="Hyperlink"/>
                <w:rFonts w:ascii="Cambria" w:hAnsi="Cambria"/>
                <w:noProof/>
                <w:sz w:val="20"/>
                <w:szCs w:val="20"/>
              </w:rPr>
              <w:t>4.</w:t>
            </w:r>
            <w:r w:rsidR="00DD5036" w:rsidRPr="00CD5726">
              <w:rPr>
                <w:rFonts w:ascii="Cambria" w:eastAsiaTheme="minorEastAsia" w:hAnsi="Cambria" w:cstheme="minorBidi"/>
                <w:noProof/>
                <w:sz w:val="20"/>
                <w:szCs w:val="20"/>
                <w:bdr w:val="none" w:sz="0" w:space="0" w:color="auto"/>
              </w:rPr>
              <w:tab/>
            </w:r>
            <w:r w:rsidR="00DD5036" w:rsidRPr="00CD5726">
              <w:rPr>
                <w:rStyle w:val="Hyperlink"/>
                <w:rFonts w:ascii="Cambria" w:hAnsi="Cambria"/>
                <w:noProof/>
                <w:sz w:val="20"/>
                <w:szCs w:val="20"/>
              </w:rPr>
              <w:t>Análisis del caso</w:t>
            </w:r>
            <w:r w:rsidR="00DD5036" w:rsidRPr="00CD5726">
              <w:rPr>
                <w:rFonts w:ascii="Cambria" w:hAnsi="Cambria"/>
                <w:noProof/>
                <w:webHidden/>
                <w:sz w:val="20"/>
                <w:szCs w:val="20"/>
              </w:rPr>
              <w:tab/>
            </w:r>
            <w:r w:rsidR="00DD5036" w:rsidRPr="00CD5726">
              <w:rPr>
                <w:rFonts w:ascii="Cambria" w:hAnsi="Cambria"/>
                <w:noProof/>
                <w:webHidden/>
                <w:sz w:val="20"/>
                <w:szCs w:val="20"/>
              </w:rPr>
              <w:fldChar w:fldCharType="begin"/>
            </w:r>
            <w:r w:rsidR="00DD5036" w:rsidRPr="00CD5726">
              <w:rPr>
                <w:rFonts w:ascii="Cambria" w:hAnsi="Cambria"/>
                <w:noProof/>
                <w:webHidden/>
                <w:sz w:val="20"/>
                <w:szCs w:val="20"/>
              </w:rPr>
              <w:instrText xml:space="preserve"> PAGEREF _Toc24542771 \h </w:instrText>
            </w:r>
            <w:r w:rsidR="00DD5036" w:rsidRPr="00CD5726">
              <w:rPr>
                <w:rFonts w:ascii="Cambria" w:hAnsi="Cambria"/>
                <w:noProof/>
                <w:webHidden/>
                <w:sz w:val="20"/>
                <w:szCs w:val="20"/>
              </w:rPr>
            </w:r>
            <w:r w:rsidR="00DD5036" w:rsidRPr="00CD5726">
              <w:rPr>
                <w:rFonts w:ascii="Cambria" w:hAnsi="Cambria"/>
                <w:noProof/>
                <w:webHidden/>
                <w:sz w:val="20"/>
                <w:szCs w:val="20"/>
              </w:rPr>
              <w:fldChar w:fldCharType="separate"/>
            </w:r>
            <w:r>
              <w:rPr>
                <w:rFonts w:ascii="Cambria" w:hAnsi="Cambria"/>
                <w:noProof/>
                <w:webHidden/>
                <w:sz w:val="20"/>
                <w:szCs w:val="20"/>
              </w:rPr>
              <w:t>19</w:t>
            </w:r>
            <w:r w:rsidR="00DD5036" w:rsidRPr="00CD5726">
              <w:rPr>
                <w:rFonts w:ascii="Cambria" w:hAnsi="Cambria"/>
                <w:noProof/>
                <w:webHidden/>
                <w:sz w:val="20"/>
                <w:szCs w:val="20"/>
              </w:rPr>
              <w:fldChar w:fldCharType="end"/>
            </w:r>
          </w:hyperlink>
        </w:p>
        <w:p w14:paraId="50576C29" w14:textId="19FC9054" w:rsidR="00DD5036" w:rsidRPr="00CD5726" w:rsidRDefault="00D20AA1">
          <w:pPr>
            <w:pStyle w:val="TOC2"/>
            <w:rPr>
              <w:rFonts w:eastAsiaTheme="minorEastAsia" w:cstheme="minorBidi"/>
              <w:bdr w:val="none" w:sz="0" w:space="0" w:color="auto"/>
              <w:lang w:val="en-US" w:eastAsia="en-US"/>
            </w:rPr>
          </w:pPr>
          <w:hyperlink w:anchor="_Toc24542772" w:history="1">
            <w:r w:rsidR="00DD5036" w:rsidRPr="00CD5726">
              <w:rPr>
                <w:rStyle w:val="Hyperlink"/>
              </w:rPr>
              <w:t>B.</w:t>
            </w:r>
            <w:r w:rsidR="00DD5036" w:rsidRPr="00CD5726">
              <w:rPr>
                <w:rFonts w:eastAsiaTheme="minorEastAsia" w:cstheme="minorBidi"/>
                <w:bdr w:val="none" w:sz="0" w:space="0" w:color="auto"/>
                <w:lang w:val="en-US" w:eastAsia="en-US"/>
              </w:rPr>
              <w:tab/>
            </w:r>
            <w:r w:rsidR="00DD5036" w:rsidRPr="00CD5726">
              <w:rPr>
                <w:rStyle w:val="Hyperlink"/>
              </w:rPr>
              <w:t xml:space="preserve">Derecho a las garantías Judiciales (artículo 8) y a la protección judicial </w:t>
            </w:r>
            <w:r w:rsidR="00DD5036" w:rsidRPr="00CD5726">
              <w:rPr>
                <w:rStyle w:val="Hyperlink"/>
                <w:lang w:val="es-PE"/>
              </w:rPr>
              <w:t>(artículo 25)</w:t>
            </w:r>
            <w:r w:rsidR="00DD5036" w:rsidRPr="00CD5726">
              <w:rPr>
                <w:webHidden/>
              </w:rPr>
              <w:tab/>
            </w:r>
            <w:r w:rsidR="00DD5036" w:rsidRPr="00CD5726">
              <w:rPr>
                <w:webHidden/>
              </w:rPr>
              <w:fldChar w:fldCharType="begin"/>
            </w:r>
            <w:r w:rsidR="00DD5036" w:rsidRPr="00CD5726">
              <w:rPr>
                <w:webHidden/>
              </w:rPr>
              <w:instrText xml:space="preserve"> PAGEREF _Toc24542772 \h </w:instrText>
            </w:r>
            <w:r w:rsidR="00DD5036" w:rsidRPr="00CD5726">
              <w:rPr>
                <w:webHidden/>
              </w:rPr>
            </w:r>
            <w:r w:rsidR="00DD5036" w:rsidRPr="00CD5726">
              <w:rPr>
                <w:webHidden/>
              </w:rPr>
              <w:fldChar w:fldCharType="separate"/>
            </w:r>
            <w:r>
              <w:rPr>
                <w:webHidden/>
              </w:rPr>
              <w:t>26</w:t>
            </w:r>
            <w:r w:rsidR="00DD5036" w:rsidRPr="00CD5726">
              <w:rPr>
                <w:webHidden/>
              </w:rPr>
              <w:fldChar w:fldCharType="end"/>
            </w:r>
          </w:hyperlink>
        </w:p>
        <w:p w14:paraId="44DD46A6" w14:textId="0602C6D7" w:rsidR="00DD5036" w:rsidRPr="00CD5726" w:rsidRDefault="00D20AA1">
          <w:pPr>
            <w:pStyle w:val="TOC1"/>
            <w:rPr>
              <w:rFonts w:eastAsiaTheme="minorEastAsia" w:cstheme="minorBidi"/>
              <w:b w:val="0"/>
              <w:bCs w:val="0"/>
              <w:bdr w:val="none" w:sz="0" w:space="0" w:color="auto"/>
              <w:lang w:val="en-US"/>
            </w:rPr>
          </w:pPr>
          <w:hyperlink w:anchor="_Toc24542773" w:history="1">
            <w:r w:rsidR="00DD5036" w:rsidRPr="00CD5726">
              <w:rPr>
                <w:rStyle w:val="Hyperlink"/>
              </w:rPr>
              <w:t>V.</w:t>
            </w:r>
            <w:r w:rsidR="00DD5036" w:rsidRPr="00CD5726">
              <w:rPr>
                <w:rFonts w:eastAsiaTheme="minorEastAsia" w:cstheme="minorBidi"/>
                <w:b w:val="0"/>
                <w:bCs w:val="0"/>
                <w:bdr w:val="none" w:sz="0" w:space="0" w:color="auto"/>
                <w:lang w:val="en-US"/>
              </w:rPr>
              <w:tab/>
            </w:r>
            <w:r w:rsidR="00DD5036" w:rsidRPr="00CD5726">
              <w:rPr>
                <w:rStyle w:val="Hyperlink"/>
                <w:lang w:val="es-CO"/>
              </w:rPr>
              <w:t>CONCLUSIONES</w:t>
            </w:r>
            <w:r w:rsidR="00DD5036" w:rsidRPr="00CD5726">
              <w:rPr>
                <w:webHidden/>
              </w:rPr>
              <w:tab/>
            </w:r>
            <w:r w:rsidR="00DD5036" w:rsidRPr="00CD5726">
              <w:rPr>
                <w:webHidden/>
              </w:rPr>
              <w:fldChar w:fldCharType="begin"/>
            </w:r>
            <w:r w:rsidR="00DD5036" w:rsidRPr="00CD5726">
              <w:rPr>
                <w:webHidden/>
              </w:rPr>
              <w:instrText xml:space="preserve"> PAGEREF _Toc24542773 \h </w:instrText>
            </w:r>
            <w:r w:rsidR="00DD5036" w:rsidRPr="00CD5726">
              <w:rPr>
                <w:webHidden/>
              </w:rPr>
            </w:r>
            <w:r w:rsidR="00DD5036" w:rsidRPr="00CD5726">
              <w:rPr>
                <w:webHidden/>
              </w:rPr>
              <w:fldChar w:fldCharType="separate"/>
            </w:r>
            <w:r>
              <w:rPr>
                <w:webHidden/>
              </w:rPr>
              <w:t>27</w:t>
            </w:r>
            <w:r w:rsidR="00DD5036" w:rsidRPr="00CD5726">
              <w:rPr>
                <w:webHidden/>
              </w:rPr>
              <w:fldChar w:fldCharType="end"/>
            </w:r>
          </w:hyperlink>
        </w:p>
        <w:p w14:paraId="77EC1B67" w14:textId="23DA38FE" w:rsidR="00DD5036" w:rsidRPr="00CD5726" w:rsidRDefault="00D20AA1">
          <w:pPr>
            <w:pStyle w:val="TOC1"/>
            <w:rPr>
              <w:rFonts w:eastAsiaTheme="minorEastAsia" w:cstheme="minorBidi"/>
              <w:b w:val="0"/>
              <w:bCs w:val="0"/>
              <w:bdr w:val="none" w:sz="0" w:space="0" w:color="auto"/>
              <w:lang w:val="en-US"/>
            </w:rPr>
          </w:pPr>
          <w:hyperlink w:anchor="_Toc24542774" w:history="1">
            <w:r w:rsidR="00DD5036" w:rsidRPr="00CD5726">
              <w:rPr>
                <w:rStyle w:val="Hyperlink"/>
              </w:rPr>
              <w:t>VI.</w:t>
            </w:r>
            <w:r w:rsidR="00DD5036" w:rsidRPr="00CD5726">
              <w:rPr>
                <w:rFonts w:eastAsiaTheme="minorEastAsia" w:cstheme="minorBidi"/>
                <w:b w:val="0"/>
                <w:bCs w:val="0"/>
                <w:bdr w:val="none" w:sz="0" w:space="0" w:color="auto"/>
                <w:lang w:val="en-US"/>
              </w:rPr>
              <w:tab/>
            </w:r>
            <w:r w:rsidR="00DD5036" w:rsidRPr="00CD5726">
              <w:rPr>
                <w:rStyle w:val="Hyperlink"/>
                <w:lang w:val="es-CO"/>
              </w:rPr>
              <w:t>RECOMENDACIONES</w:t>
            </w:r>
            <w:r w:rsidR="00DD5036" w:rsidRPr="00CD5726">
              <w:rPr>
                <w:webHidden/>
              </w:rPr>
              <w:tab/>
            </w:r>
            <w:r w:rsidR="00DD5036" w:rsidRPr="00CD5726">
              <w:rPr>
                <w:webHidden/>
              </w:rPr>
              <w:fldChar w:fldCharType="begin"/>
            </w:r>
            <w:r w:rsidR="00DD5036" w:rsidRPr="00CD5726">
              <w:rPr>
                <w:webHidden/>
              </w:rPr>
              <w:instrText xml:space="preserve"> PAGEREF _Toc24542774 \h </w:instrText>
            </w:r>
            <w:r w:rsidR="00DD5036" w:rsidRPr="00CD5726">
              <w:rPr>
                <w:webHidden/>
              </w:rPr>
            </w:r>
            <w:r w:rsidR="00DD5036" w:rsidRPr="00CD5726">
              <w:rPr>
                <w:webHidden/>
              </w:rPr>
              <w:fldChar w:fldCharType="separate"/>
            </w:r>
            <w:r>
              <w:rPr>
                <w:webHidden/>
              </w:rPr>
              <w:t>27</w:t>
            </w:r>
            <w:r w:rsidR="00DD5036" w:rsidRPr="00CD5726">
              <w:rPr>
                <w:webHidden/>
              </w:rPr>
              <w:fldChar w:fldCharType="end"/>
            </w:r>
          </w:hyperlink>
        </w:p>
        <w:p w14:paraId="37E43B19" w14:textId="77777777" w:rsidR="0027039F" w:rsidRPr="00DD5036" w:rsidRDefault="0027039F">
          <w:pPr>
            <w:rPr>
              <w:rFonts w:ascii="Cambria" w:hAnsi="Cambria"/>
              <w:sz w:val="20"/>
              <w:szCs w:val="20"/>
            </w:rPr>
          </w:pPr>
          <w:r w:rsidRPr="00CD5726">
            <w:rPr>
              <w:rFonts w:ascii="Cambria" w:hAnsi="Cambria"/>
              <w:b/>
              <w:bCs/>
              <w:noProof/>
              <w:sz w:val="20"/>
              <w:szCs w:val="20"/>
            </w:rPr>
            <w:fldChar w:fldCharType="end"/>
          </w:r>
        </w:p>
      </w:sdtContent>
    </w:sdt>
    <w:p w14:paraId="49BC1183" w14:textId="77777777" w:rsidR="00E1480C" w:rsidRPr="00540E96" w:rsidRDefault="004D50EC" w:rsidP="006D014B">
      <w:pPr>
        <w:tabs>
          <w:tab w:val="center" w:pos="5400"/>
        </w:tabs>
        <w:suppressAutoHyphens/>
        <w:jc w:val="both"/>
        <w:rPr>
          <w:rFonts w:ascii="Cambria" w:hAnsi="Cambria"/>
          <w:sz w:val="20"/>
          <w:szCs w:val="20"/>
          <w:lang w:val="es-ES_tradnl"/>
        </w:rPr>
      </w:pPr>
      <w:r w:rsidRPr="00540E96">
        <w:rPr>
          <w:rFonts w:ascii="Cambria" w:hAnsi="Cambria"/>
          <w:sz w:val="20"/>
          <w:szCs w:val="20"/>
          <w:lang w:val="es-ES_tradnl"/>
        </w:rPr>
        <w:br w:type="page"/>
      </w:r>
    </w:p>
    <w:p w14:paraId="4EF8A9DA" w14:textId="77777777" w:rsidR="00C5061E" w:rsidRPr="00540E96" w:rsidRDefault="00C5061E" w:rsidP="006D014B">
      <w:pPr>
        <w:tabs>
          <w:tab w:val="center" w:pos="5400"/>
        </w:tabs>
        <w:suppressAutoHyphens/>
        <w:jc w:val="both"/>
        <w:rPr>
          <w:rFonts w:ascii="Cambria" w:hAnsi="Cambria"/>
          <w:sz w:val="20"/>
          <w:szCs w:val="20"/>
          <w:lang w:val="es-ES_tradnl"/>
        </w:rPr>
      </w:pPr>
    </w:p>
    <w:p w14:paraId="3498F32D" w14:textId="77777777" w:rsidR="005A756E" w:rsidRPr="00540E96" w:rsidRDefault="005A756E" w:rsidP="005A756E">
      <w:pPr>
        <w:tabs>
          <w:tab w:val="center" w:pos="5400"/>
        </w:tabs>
        <w:suppressAutoHyphens/>
        <w:jc w:val="center"/>
        <w:rPr>
          <w:rFonts w:ascii="Cambria" w:hAnsi="Cambria"/>
          <w:b/>
          <w:sz w:val="20"/>
          <w:szCs w:val="20"/>
          <w:lang w:val="es-VE"/>
        </w:rPr>
      </w:pPr>
      <w:r w:rsidRPr="00540E96">
        <w:rPr>
          <w:rFonts w:ascii="Cambria" w:hAnsi="Cambria"/>
          <w:b/>
          <w:sz w:val="20"/>
          <w:szCs w:val="20"/>
          <w:lang w:val="es-VE"/>
        </w:rPr>
        <w:t xml:space="preserve">INFORME No. </w:t>
      </w:r>
      <w:r w:rsidR="00560D78">
        <w:rPr>
          <w:rFonts w:ascii="Cambria" w:hAnsi="Cambria"/>
          <w:b/>
          <w:sz w:val="20"/>
          <w:szCs w:val="20"/>
          <w:lang w:val="es-VE"/>
        </w:rPr>
        <w:t>148</w:t>
      </w:r>
      <w:r w:rsidRPr="00540E96">
        <w:rPr>
          <w:rFonts w:ascii="Cambria" w:hAnsi="Cambria"/>
          <w:b/>
          <w:sz w:val="20"/>
          <w:szCs w:val="20"/>
          <w:lang w:val="es-VE"/>
        </w:rPr>
        <w:t>/19</w:t>
      </w:r>
    </w:p>
    <w:p w14:paraId="6AB5DD29" w14:textId="77777777" w:rsidR="005A756E" w:rsidRPr="00540E96" w:rsidRDefault="005A756E" w:rsidP="005A756E">
      <w:pPr>
        <w:tabs>
          <w:tab w:val="center" w:pos="5400"/>
        </w:tabs>
        <w:suppressAutoHyphens/>
        <w:jc w:val="center"/>
        <w:rPr>
          <w:rFonts w:ascii="Cambria" w:hAnsi="Cambria"/>
          <w:b/>
          <w:sz w:val="20"/>
          <w:szCs w:val="20"/>
          <w:lang w:val="es-VE"/>
        </w:rPr>
      </w:pPr>
      <w:r w:rsidRPr="00540E96">
        <w:rPr>
          <w:rFonts w:ascii="Cambria" w:hAnsi="Cambria"/>
          <w:b/>
          <w:sz w:val="20"/>
          <w:szCs w:val="20"/>
          <w:lang w:val="es-VE"/>
        </w:rPr>
        <w:t>CASO 12.971</w:t>
      </w:r>
    </w:p>
    <w:p w14:paraId="5DF2699A" w14:textId="77777777" w:rsidR="005A756E" w:rsidRPr="00540E96" w:rsidRDefault="005A756E" w:rsidP="005A756E">
      <w:pPr>
        <w:tabs>
          <w:tab w:val="center" w:pos="5400"/>
        </w:tabs>
        <w:suppressAutoHyphens/>
        <w:jc w:val="center"/>
        <w:rPr>
          <w:rFonts w:ascii="Cambria" w:hAnsi="Cambria"/>
          <w:sz w:val="20"/>
          <w:szCs w:val="20"/>
          <w:lang w:val="es-VE"/>
        </w:rPr>
      </w:pPr>
      <w:r w:rsidRPr="00540E96">
        <w:rPr>
          <w:rFonts w:ascii="Cambria" w:hAnsi="Cambria"/>
          <w:sz w:val="20"/>
          <w:szCs w:val="20"/>
          <w:lang w:val="es-VE"/>
        </w:rPr>
        <w:t>INFORME DE FONDO</w:t>
      </w:r>
    </w:p>
    <w:p w14:paraId="37CA0E84" w14:textId="77777777" w:rsidR="00186061" w:rsidRPr="00540E96" w:rsidRDefault="00186061" w:rsidP="00186061">
      <w:pPr>
        <w:tabs>
          <w:tab w:val="center" w:pos="5400"/>
        </w:tabs>
        <w:suppressAutoHyphens/>
        <w:jc w:val="center"/>
        <w:rPr>
          <w:rFonts w:ascii="Cambria" w:hAnsi="Cambria"/>
          <w:sz w:val="20"/>
          <w:szCs w:val="20"/>
          <w:lang w:val="es-VE"/>
        </w:rPr>
      </w:pPr>
      <w:r w:rsidRPr="00540E96">
        <w:rPr>
          <w:rFonts w:ascii="Cambria" w:hAnsi="Cambria"/>
          <w:sz w:val="20"/>
          <w:szCs w:val="20"/>
          <w:lang w:val="es-VE"/>
        </w:rPr>
        <w:t>RONALD MOYA CHACÓN Y FREDDY PARRALES CHAVES</w:t>
      </w:r>
    </w:p>
    <w:p w14:paraId="5D9BA210" w14:textId="77777777" w:rsidR="005A756E" w:rsidRPr="00540E96" w:rsidRDefault="005A756E" w:rsidP="005A756E">
      <w:pPr>
        <w:tabs>
          <w:tab w:val="center" w:pos="5400"/>
        </w:tabs>
        <w:suppressAutoHyphens/>
        <w:jc w:val="center"/>
        <w:rPr>
          <w:rFonts w:ascii="Cambria" w:hAnsi="Cambria"/>
          <w:sz w:val="20"/>
          <w:szCs w:val="20"/>
          <w:lang w:val="es-ES_tradnl"/>
        </w:rPr>
      </w:pPr>
      <w:r w:rsidRPr="00540E96">
        <w:rPr>
          <w:rFonts w:ascii="Cambria" w:hAnsi="Cambria"/>
          <w:sz w:val="20"/>
          <w:szCs w:val="20"/>
          <w:lang w:val="es-ES_tradnl"/>
        </w:rPr>
        <w:t>COSTA RICA</w:t>
      </w:r>
    </w:p>
    <w:p w14:paraId="36A51DEC" w14:textId="77777777" w:rsidR="005A756E" w:rsidRPr="00540E96" w:rsidRDefault="00560D78" w:rsidP="005A756E">
      <w:pPr>
        <w:tabs>
          <w:tab w:val="center" w:pos="5400"/>
        </w:tabs>
        <w:suppressAutoHyphens/>
        <w:jc w:val="center"/>
        <w:rPr>
          <w:rFonts w:ascii="Cambria" w:hAnsi="Cambria"/>
          <w:sz w:val="20"/>
          <w:szCs w:val="20"/>
          <w:lang w:val="es-ES_tradnl"/>
        </w:rPr>
      </w:pPr>
      <w:r>
        <w:rPr>
          <w:rFonts w:ascii="Cambria" w:hAnsi="Cambria"/>
          <w:sz w:val="20"/>
          <w:szCs w:val="20"/>
          <w:lang w:val="es-ES_tradnl"/>
        </w:rPr>
        <w:t>28</w:t>
      </w:r>
      <w:r w:rsidR="005A756E" w:rsidRPr="00540E96">
        <w:rPr>
          <w:rFonts w:ascii="Cambria" w:hAnsi="Cambria"/>
          <w:sz w:val="20"/>
          <w:szCs w:val="20"/>
          <w:lang w:val="es-ES_tradnl"/>
        </w:rPr>
        <w:t xml:space="preserve"> DE</w:t>
      </w:r>
      <w:r>
        <w:rPr>
          <w:rFonts w:ascii="Cambria" w:hAnsi="Cambria"/>
          <w:sz w:val="20"/>
          <w:szCs w:val="20"/>
          <w:lang w:val="es-ES_tradnl"/>
        </w:rPr>
        <w:t xml:space="preserve"> SEPTIEMBRE</w:t>
      </w:r>
      <w:r w:rsidR="005A756E" w:rsidRPr="00540E96">
        <w:rPr>
          <w:rFonts w:ascii="Cambria" w:hAnsi="Cambria"/>
          <w:sz w:val="20"/>
          <w:szCs w:val="20"/>
          <w:lang w:val="es-ES_tradnl"/>
        </w:rPr>
        <w:t xml:space="preserve"> DE 2019</w:t>
      </w:r>
    </w:p>
    <w:p w14:paraId="7779C5F7" w14:textId="77777777" w:rsidR="00E1480C" w:rsidRPr="00540E96" w:rsidRDefault="00E1480C" w:rsidP="006D014B">
      <w:pPr>
        <w:pStyle w:val="ListParagraph"/>
        <w:suppressAutoHyphens/>
        <w:spacing w:before="0" w:after="0"/>
        <w:rPr>
          <w:b/>
          <w:color w:val="auto"/>
          <w:sz w:val="20"/>
          <w:szCs w:val="20"/>
          <w:lang w:val="es-ES_tradnl"/>
        </w:rPr>
      </w:pPr>
    </w:p>
    <w:p w14:paraId="15AC8FC4" w14:textId="77777777" w:rsidR="00E1480C" w:rsidRPr="00540E96" w:rsidRDefault="00E1480C" w:rsidP="006D014B">
      <w:pPr>
        <w:pStyle w:val="Heading1"/>
      </w:pPr>
      <w:bookmarkStart w:id="2" w:name="_Toc6937369"/>
      <w:bookmarkStart w:id="3" w:name="_Toc11073097"/>
      <w:bookmarkStart w:id="4" w:name="_Toc24542757"/>
      <w:r w:rsidRPr="00540E96">
        <w:t>INTRODUCCIÓN</w:t>
      </w:r>
      <w:bookmarkEnd w:id="2"/>
      <w:bookmarkEnd w:id="3"/>
      <w:bookmarkEnd w:id="4"/>
    </w:p>
    <w:p w14:paraId="18140F92" w14:textId="77777777" w:rsidR="00E1480C" w:rsidRPr="00540E96" w:rsidRDefault="00E1480C" w:rsidP="006D014B">
      <w:pPr>
        <w:suppressAutoHyphens/>
        <w:jc w:val="both"/>
        <w:rPr>
          <w:rFonts w:ascii="Cambria" w:eastAsia="Cambria" w:hAnsi="Cambria" w:cs="Cambria"/>
          <w:b/>
          <w:sz w:val="20"/>
          <w:szCs w:val="20"/>
          <w:u w:color="000000"/>
          <w:lang w:val="es-ES_tradnl" w:eastAsia="es-ES"/>
        </w:rPr>
      </w:pPr>
    </w:p>
    <w:p w14:paraId="54A624D0" w14:textId="77777777" w:rsidR="00EB4621" w:rsidRPr="00540E96" w:rsidRDefault="00E1480C"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 xml:space="preserve">El </w:t>
      </w:r>
      <w:r w:rsidR="00EB4621" w:rsidRPr="00540E96">
        <w:rPr>
          <w:rFonts w:ascii="Cambria" w:hAnsi="Cambria"/>
          <w:sz w:val="20"/>
          <w:szCs w:val="20"/>
          <w:lang w:val="es-MX"/>
        </w:rPr>
        <w:t>29 de agosto de 2008 la Comisión Interamericana de Derechos Humanos (en adelante la “Comisión”, la “Comisión Interamericana” o la “CIDH”) recibió una petición presentada por Pedro Nikken y Carlos Ayala Corao (en adelante los “peticionarios”</w:t>
      </w:r>
      <w:r w:rsidR="00C40E93" w:rsidRPr="00540E96">
        <w:rPr>
          <w:rFonts w:ascii="Cambria" w:hAnsi="Cambria"/>
          <w:sz w:val="20"/>
          <w:szCs w:val="20"/>
          <w:lang w:val="es-MX"/>
        </w:rPr>
        <w:t xml:space="preserve"> o </w:t>
      </w:r>
      <w:r w:rsidR="00C40E93" w:rsidRPr="00540E96">
        <w:rPr>
          <w:rFonts w:ascii="Cambria" w:hAnsi="Cambria"/>
          <w:sz w:val="20"/>
          <w:szCs w:val="20"/>
          <w:lang w:val="es-PE"/>
        </w:rPr>
        <w:t>“la parte peticionaria”</w:t>
      </w:r>
      <w:r w:rsidR="00EB4621" w:rsidRPr="00540E96">
        <w:rPr>
          <w:rFonts w:ascii="Cambria" w:hAnsi="Cambria"/>
          <w:sz w:val="20"/>
          <w:szCs w:val="20"/>
          <w:lang w:val="es-MX"/>
        </w:rPr>
        <w:t xml:space="preserve">) </w:t>
      </w:r>
      <w:r w:rsidR="003E3637" w:rsidRPr="00540E96">
        <w:rPr>
          <w:rFonts w:ascii="Cambria" w:hAnsi="Cambria"/>
          <w:color w:val="000000" w:themeColor="text1"/>
          <w:sz w:val="20"/>
          <w:szCs w:val="20"/>
          <w:lang w:val="es-VE"/>
        </w:rPr>
        <w:t>en la cual se alega la responsabilidad internacional de</w:t>
      </w:r>
      <w:r w:rsidR="00EB4621" w:rsidRPr="00540E96">
        <w:rPr>
          <w:rFonts w:ascii="Cambria" w:hAnsi="Cambria"/>
          <w:sz w:val="20"/>
          <w:szCs w:val="20"/>
          <w:lang w:val="es-MX"/>
        </w:rPr>
        <w:t xml:space="preserve"> la República de Costa Rica (en adelante </w:t>
      </w:r>
      <w:r w:rsidR="003E3637" w:rsidRPr="00540E96">
        <w:rPr>
          <w:rFonts w:ascii="Cambria" w:hAnsi="Cambria"/>
          <w:sz w:val="20"/>
          <w:szCs w:val="20"/>
          <w:lang w:val="es-MX"/>
        </w:rPr>
        <w:t>“</w:t>
      </w:r>
      <w:r w:rsidR="00EB4621" w:rsidRPr="00540E96">
        <w:rPr>
          <w:rFonts w:ascii="Cambria" w:hAnsi="Cambria"/>
          <w:sz w:val="20"/>
          <w:szCs w:val="20"/>
          <w:lang w:val="es-MX"/>
        </w:rPr>
        <w:t>el Estado” o “Costa Rica”)</w:t>
      </w:r>
      <w:r w:rsidR="003E3637" w:rsidRPr="00540E96">
        <w:rPr>
          <w:rFonts w:ascii="Cambria" w:hAnsi="Cambria"/>
          <w:sz w:val="20"/>
          <w:szCs w:val="20"/>
          <w:lang w:val="es-MX"/>
        </w:rPr>
        <w:t>, en perjuicio de los periodistas Ronald Moya Chacón y Freddy Parrales Chaves del diario “La Nación”, p</w:t>
      </w:r>
      <w:r w:rsidR="00BA44BB" w:rsidRPr="00540E96">
        <w:rPr>
          <w:rFonts w:ascii="Cambria" w:hAnsi="Cambria"/>
          <w:sz w:val="20"/>
          <w:szCs w:val="20"/>
          <w:lang w:val="es-MX"/>
        </w:rPr>
        <w:t xml:space="preserve">or la alegada </w:t>
      </w:r>
      <w:r w:rsidR="00BA44BB" w:rsidRPr="00540E96">
        <w:rPr>
          <w:rFonts w:ascii="Cambria" w:hAnsi="Cambria"/>
          <w:sz w:val="20"/>
          <w:szCs w:val="20"/>
          <w:lang w:val="es-VE"/>
        </w:rPr>
        <w:t xml:space="preserve">violación de sus derechos, entre ellos el derecho a la libertad de expresión, como consecuencia del proceso penal </w:t>
      </w:r>
      <w:r w:rsidR="00E43F32" w:rsidRPr="00540E96">
        <w:rPr>
          <w:rFonts w:ascii="Cambria" w:hAnsi="Cambria"/>
          <w:sz w:val="20"/>
          <w:szCs w:val="20"/>
          <w:lang w:val="es-VE"/>
        </w:rPr>
        <w:t xml:space="preserve">por </w:t>
      </w:r>
      <w:r w:rsidR="001736C0" w:rsidRPr="00540E96">
        <w:rPr>
          <w:rFonts w:ascii="Cambria" w:hAnsi="Cambria"/>
          <w:sz w:val="20"/>
          <w:szCs w:val="20"/>
          <w:lang w:val="es-VE"/>
        </w:rPr>
        <w:t xml:space="preserve">calumnias y </w:t>
      </w:r>
      <w:r w:rsidR="00E43F32" w:rsidRPr="00540E96">
        <w:rPr>
          <w:rFonts w:ascii="Cambria" w:hAnsi="Cambria"/>
          <w:sz w:val="20"/>
          <w:szCs w:val="20"/>
          <w:lang w:val="es-VE"/>
        </w:rPr>
        <w:t>difamación</w:t>
      </w:r>
      <w:r w:rsidR="001736C0" w:rsidRPr="00540E96">
        <w:rPr>
          <w:rFonts w:ascii="Cambria" w:hAnsi="Cambria"/>
          <w:sz w:val="20"/>
          <w:szCs w:val="20"/>
          <w:lang w:val="es-VE"/>
        </w:rPr>
        <w:t xml:space="preserve"> por la prensa</w:t>
      </w:r>
      <w:r w:rsidR="00BA44BB" w:rsidRPr="00540E96">
        <w:rPr>
          <w:rFonts w:ascii="Cambria" w:hAnsi="Cambria"/>
          <w:sz w:val="20"/>
          <w:szCs w:val="20"/>
          <w:lang w:val="es-VE"/>
        </w:rPr>
        <w:t xml:space="preserve"> promo</w:t>
      </w:r>
      <w:r w:rsidR="00E43F32" w:rsidRPr="00540E96">
        <w:rPr>
          <w:rFonts w:ascii="Cambria" w:hAnsi="Cambria"/>
          <w:sz w:val="20"/>
          <w:szCs w:val="20"/>
          <w:lang w:val="es-VE"/>
        </w:rPr>
        <w:t>vido en su contra por un funcionario policial</w:t>
      </w:r>
      <w:r w:rsidR="00BA44BB" w:rsidRPr="00540E96">
        <w:rPr>
          <w:rFonts w:ascii="Cambria" w:hAnsi="Cambria"/>
          <w:sz w:val="20"/>
          <w:szCs w:val="20"/>
          <w:lang w:val="es-VE"/>
        </w:rPr>
        <w:t>, por el cual</w:t>
      </w:r>
      <w:r w:rsidR="00E43F32" w:rsidRPr="00540E96">
        <w:rPr>
          <w:rFonts w:ascii="Cambria" w:hAnsi="Cambria"/>
          <w:sz w:val="20"/>
          <w:szCs w:val="20"/>
          <w:lang w:val="es-VE"/>
        </w:rPr>
        <w:t>,</w:t>
      </w:r>
      <w:r w:rsidR="00BA44BB" w:rsidRPr="00540E96">
        <w:rPr>
          <w:rFonts w:ascii="Cambria" w:hAnsi="Cambria"/>
          <w:sz w:val="20"/>
          <w:szCs w:val="20"/>
          <w:lang w:val="es-VE"/>
        </w:rPr>
        <w:t xml:space="preserve"> </w:t>
      </w:r>
      <w:r w:rsidR="00E43F32" w:rsidRPr="00540E96">
        <w:rPr>
          <w:rFonts w:ascii="Cambria" w:hAnsi="Cambria"/>
          <w:sz w:val="20"/>
          <w:szCs w:val="20"/>
          <w:lang w:val="es-VE"/>
        </w:rPr>
        <w:t>si bien no fueron sentenciados a una condena penal, se estableció una sanción civil en el marco de</w:t>
      </w:r>
      <w:r w:rsidR="002B6246">
        <w:rPr>
          <w:rFonts w:ascii="Cambria" w:hAnsi="Cambria"/>
          <w:sz w:val="20"/>
          <w:szCs w:val="20"/>
          <w:lang w:val="es-VE"/>
        </w:rPr>
        <w:t xml:space="preserve"> dicho</w:t>
      </w:r>
      <w:r w:rsidR="00E43F32" w:rsidRPr="00540E96">
        <w:rPr>
          <w:rFonts w:ascii="Cambria" w:hAnsi="Cambria"/>
          <w:sz w:val="20"/>
          <w:szCs w:val="20"/>
          <w:lang w:val="es-VE"/>
        </w:rPr>
        <w:t xml:space="preserve"> proceso. </w:t>
      </w:r>
    </w:p>
    <w:p w14:paraId="04DF1210" w14:textId="77777777" w:rsidR="007E2BA7" w:rsidRPr="00540E96" w:rsidRDefault="007E2BA7"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7CC4A2C3" w14:textId="77777777" w:rsidR="00EB4621" w:rsidRPr="00540E96" w:rsidRDefault="00EB4621"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MX"/>
        </w:rPr>
        <w:t>La Comisión aprobó el informe de admisibilidad No. 75/14 el 15 de agosto de 2014</w:t>
      </w:r>
      <w:r w:rsidR="00AA1432" w:rsidRPr="00540E96">
        <w:rPr>
          <w:rStyle w:val="FootnoteReference"/>
          <w:rFonts w:ascii="Cambria" w:hAnsi="Cambria"/>
          <w:sz w:val="20"/>
          <w:szCs w:val="20"/>
          <w:lang w:val="es-MX"/>
        </w:rPr>
        <w:footnoteReference w:id="1"/>
      </w:r>
      <w:r w:rsidR="00D86B15" w:rsidRPr="00540E96">
        <w:rPr>
          <w:rFonts w:ascii="Cambria" w:hAnsi="Cambria"/>
          <w:sz w:val="20"/>
          <w:szCs w:val="20"/>
          <w:lang w:val="es-MX"/>
        </w:rPr>
        <w:t xml:space="preserve">. El 2 de octubre de 2014 la Comisión notificó dicho informe a las partes y se puso a su </w:t>
      </w:r>
      <w:r w:rsidRPr="00540E96">
        <w:rPr>
          <w:rFonts w:ascii="Cambria" w:hAnsi="Cambria"/>
          <w:sz w:val="20"/>
          <w:szCs w:val="20"/>
          <w:lang w:val="es-MX"/>
        </w:rPr>
        <w:t>disposición a fin de llegar a una solución amistosa. Las partes contaron con los plazos reglamentarios para presentar sus observaciones adicionales sobre el fondo. Toda la información recibida fue debidamente trasladada entre las partes.</w:t>
      </w:r>
    </w:p>
    <w:p w14:paraId="1EA50076" w14:textId="77777777" w:rsidR="00E1480C" w:rsidRPr="00540E96" w:rsidRDefault="00E1480C" w:rsidP="006D014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MX"/>
        </w:rPr>
      </w:pPr>
    </w:p>
    <w:p w14:paraId="3B0F7ED1" w14:textId="77777777" w:rsidR="00E1480C" w:rsidRPr="00540E96" w:rsidRDefault="00E1480C" w:rsidP="006D014B">
      <w:pPr>
        <w:pStyle w:val="Heading1"/>
        <w:rPr>
          <w:u w:color="000000"/>
          <w:lang w:val="es-ES_tradnl" w:eastAsia="es-ES"/>
        </w:rPr>
      </w:pPr>
      <w:bookmarkStart w:id="5" w:name="_Toc6937370"/>
      <w:bookmarkStart w:id="6" w:name="_Toc11073098"/>
      <w:bookmarkStart w:id="7" w:name="_Toc24542758"/>
      <w:r w:rsidRPr="00540E96">
        <w:rPr>
          <w:u w:color="000000"/>
          <w:lang w:val="es-ES_tradnl" w:eastAsia="es-ES"/>
        </w:rPr>
        <w:t>ALEGATOS DE LAS PARTES</w:t>
      </w:r>
      <w:bookmarkEnd w:id="5"/>
      <w:bookmarkEnd w:id="6"/>
      <w:bookmarkEnd w:id="7"/>
    </w:p>
    <w:p w14:paraId="5C80EA7F" w14:textId="77777777" w:rsidR="00EB4621" w:rsidRPr="00540E96" w:rsidRDefault="00EB4621" w:rsidP="006D014B">
      <w:pPr>
        <w:jc w:val="both"/>
        <w:rPr>
          <w:rFonts w:ascii="Cambria" w:hAnsi="Cambria"/>
          <w:sz w:val="20"/>
          <w:szCs w:val="20"/>
          <w:lang w:val="es-ES_tradnl" w:eastAsia="es-ES"/>
        </w:rPr>
      </w:pPr>
    </w:p>
    <w:p w14:paraId="58B0EA6B" w14:textId="77777777" w:rsidR="00E1480C" w:rsidRPr="00540E96" w:rsidRDefault="00E1480C" w:rsidP="006D014B">
      <w:pPr>
        <w:pStyle w:val="Heading2"/>
        <w:spacing w:before="0" w:after="0"/>
        <w:ind w:left="0" w:firstLine="0"/>
        <w:jc w:val="both"/>
      </w:pPr>
      <w:bookmarkStart w:id="8" w:name="_Toc6937371"/>
      <w:bookmarkStart w:id="9" w:name="_Toc11073099"/>
      <w:bookmarkStart w:id="10" w:name="_Toc24542759"/>
      <w:r w:rsidRPr="00540E96">
        <w:t>Parte peticionaria</w:t>
      </w:r>
      <w:bookmarkEnd w:id="8"/>
      <w:bookmarkEnd w:id="9"/>
      <w:bookmarkEnd w:id="10"/>
      <w:r w:rsidRPr="00540E96">
        <w:t xml:space="preserve"> </w:t>
      </w:r>
    </w:p>
    <w:p w14:paraId="161DF45F" w14:textId="77777777" w:rsidR="00E1480C" w:rsidRPr="00540E96" w:rsidRDefault="00E1480C" w:rsidP="006D014B">
      <w:pPr>
        <w:jc w:val="both"/>
        <w:rPr>
          <w:rFonts w:ascii="Cambria" w:hAnsi="Cambria"/>
          <w:sz w:val="20"/>
          <w:szCs w:val="20"/>
        </w:rPr>
      </w:pPr>
    </w:p>
    <w:p w14:paraId="1634B0C3" w14:textId="77777777" w:rsidR="00D65B30" w:rsidRPr="00540E96" w:rsidRDefault="00F75CAC"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bookmarkStart w:id="11" w:name="_Toc515543697"/>
      <w:bookmarkStart w:id="12" w:name="_Toc535329121"/>
      <w:r w:rsidRPr="00540E96">
        <w:rPr>
          <w:rFonts w:ascii="Cambria" w:hAnsi="Cambria"/>
          <w:sz w:val="20"/>
          <w:szCs w:val="20"/>
          <w:lang w:val="es-VE"/>
        </w:rPr>
        <w:t>Los peticionarios señala</w:t>
      </w:r>
      <w:r w:rsidR="00672450" w:rsidRPr="00540E96">
        <w:rPr>
          <w:rFonts w:ascii="Cambria" w:hAnsi="Cambria"/>
          <w:sz w:val="20"/>
          <w:szCs w:val="20"/>
          <w:lang w:val="es-VE"/>
        </w:rPr>
        <w:t>n</w:t>
      </w:r>
      <w:r w:rsidRPr="00540E96">
        <w:rPr>
          <w:rFonts w:ascii="Cambria" w:hAnsi="Cambria"/>
          <w:sz w:val="20"/>
          <w:szCs w:val="20"/>
          <w:lang w:val="es-VE"/>
        </w:rPr>
        <w:t xml:space="preserve"> que </w:t>
      </w:r>
      <w:r w:rsidR="00672450" w:rsidRPr="00540E96">
        <w:rPr>
          <w:rFonts w:ascii="Cambria" w:hAnsi="Cambria"/>
          <w:sz w:val="20"/>
          <w:szCs w:val="20"/>
          <w:lang w:val="es-VE"/>
        </w:rPr>
        <w:t xml:space="preserve">en diciembre de 2005 el periodista del diario “La Nación”, Freddy Parrales, recibió información de una fuente “fidedigna” </w:t>
      </w:r>
      <w:r w:rsidR="002B6246">
        <w:rPr>
          <w:rFonts w:ascii="Cambria" w:hAnsi="Cambria"/>
          <w:sz w:val="20"/>
          <w:szCs w:val="20"/>
          <w:lang w:val="es-VE"/>
        </w:rPr>
        <w:t xml:space="preserve">respecto a </w:t>
      </w:r>
      <w:r w:rsidR="00672450" w:rsidRPr="00540E96">
        <w:rPr>
          <w:rFonts w:ascii="Cambria" w:hAnsi="Cambria"/>
          <w:sz w:val="20"/>
          <w:szCs w:val="20"/>
          <w:lang w:val="es-VE"/>
        </w:rPr>
        <w:t xml:space="preserve">que varios jefes y oficiales de la Fuerza Pública estarían siendo investigados por presuntos delitos de “trasiego de licores” en la zona de frontera con Panamá. Esta información fue puesta </w:t>
      </w:r>
      <w:r w:rsidR="00BD1E5F" w:rsidRPr="00540E96">
        <w:rPr>
          <w:rFonts w:ascii="Cambria" w:hAnsi="Cambria"/>
          <w:sz w:val="20"/>
          <w:szCs w:val="20"/>
          <w:lang w:val="es-VE"/>
        </w:rPr>
        <w:t xml:space="preserve">en conocimiento de Ronald Moya Chacón, periodista y su superior en la Redacción del diario. </w:t>
      </w:r>
      <w:r w:rsidR="00B26A93" w:rsidRPr="00540E96">
        <w:rPr>
          <w:rFonts w:ascii="Cambria" w:hAnsi="Cambria"/>
          <w:sz w:val="20"/>
          <w:szCs w:val="20"/>
          <w:lang w:val="es-VE"/>
        </w:rPr>
        <w:t>Los peticionarios alegan</w:t>
      </w:r>
      <w:r w:rsidR="00BD1E5F" w:rsidRPr="00540E96">
        <w:rPr>
          <w:rFonts w:ascii="Cambria" w:hAnsi="Cambria"/>
          <w:sz w:val="20"/>
          <w:szCs w:val="20"/>
          <w:lang w:val="es-VE"/>
        </w:rPr>
        <w:t xml:space="preserve"> que Ronald Moya se comunicó con el entonces Ministro de Seguridad para confirmar la informaci</w:t>
      </w:r>
      <w:r w:rsidR="00B26A93" w:rsidRPr="00540E96">
        <w:rPr>
          <w:rFonts w:ascii="Cambria" w:hAnsi="Cambria"/>
          <w:sz w:val="20"/>
          <w:szCs w:val="20"/>
          <w:lang w:val="es-VE"/>
        </w:rPr>
        <w:t>ón recibida</w:t>
      </w:r>
      <w:r w:rsidR="00BD1E5F" w:rsidRPr="00540E96">
        <w:rPr>
          <w:rFonts w:ascii="Cambria" w:hAnsi="Cambria"/>
          <w:sz w:val="20"/>
          <w:szCs w:val="20"/>
          <w:lang w:val="es-VE"/>
        </w:rPr>
        <w:t xml:space="preserve">. </w:t>
      </w:r>
      <w:r w:rsidR="00B26A93" w:rsidRPr="00540E96">
        <w:rPr>
          <w:rFonts w:ascii="Cambria" w:hAnsi="Cambria"/>
          <w:sz w:val="20"/>
          <w:szCs w:val="20"/>
          <w:lang w:val="es-VE"/>
        </w:rPr>
        <w:t>Lueg</w:t>
      </w:r>
      <w:r w:rsidR="007F2326">
        <w:rPr>
          <w:rFonts w:ascii="Cambria" w:hAnsi="Cambria"/>
          <w:sz w:val="20"/>
          <w:szCs w:val="20"/>
          <w:lang w:val="es-VE"/>
        </w:rPr>
        <w:t>o de dicha confirmación por el m</w:t>
      </w:r>
      <w:r w:rsidR="00B26A93" w:rsidRPr="00540E96">
        <w:rPr>
          <w:rFonts w:ascii="Cambria" w:hAnsi="Cambria"/>
          <w:sz w:val="20"/>
          <w:szCs w:val="20"/>
          <w:lang w:val="es-VE"/>
        </w:rPr>
        <w:t xml:space="preserve">inistro, el 17 de diciembre de 2005 </w:t>
      </w:r>
      <w:r w:rsidR="00BD1E5F" w:rsidRPr="00540E96">
        <w:rPr>
          <w:rFonts w:ascii="Cambria" w:hAnsi="Cambria"/>
          <w:sz w:val="20"/>
          <w:szCs w:val="20"/>
          <w:lang w:val="es-VE"/>
        </w:rPr>
        <w:t xml:space="preserve">los periodistas publicaron una nota en el diario La Nación respecto a las </w:t>
      </w:r>
      <w:bookmarkStart w:id="13" w:name="_Toc4417449"/>
      <w:r w:rsidR="00D65B30" w:rsidRPr="00540E96">
        <w:rPr>
          <w:rFonts w:ascii="Cambria" w:hAnsi="Cambria"/>
          <w:sz w:val="20"/>
          <w:szCs w:val="20"/>
          <w:lang w:val="es-VE"/>
        </w:rPr>
        <w:t xml:space="preserve">denuncias e investigaciones </w:t>
      </w:r>
      <w:r w:rsidR="00BD1E5F" w:rsidRPr="00540E96">
        <w:rPr>
          <w:rFonts w:ascii="Cambria" w:hAnsi="Cambria"/>
          <w:sz w:val="20"/>
          <w:szCs w:val="20"/>
          <w:lang w:val="es-VE"/>
        </w:rPr>
        <w:t>de</w:t>
      </w:r>
      <w:r w:rsidR="003D33EC" w:rsidRPr="00540E96">
        <w:rPr>
          <w:rFonts w:ascii="Cambria" w:hAnsi="Cambria"/>
          <w:sz w:val="20"/>
          <w:szCs w:val="20"/>
          <w:lang w:val="es-VE"/>
        </w:rPr>
        <w:t xml:space="preserve"> altos funcionarios de las fuerzas de seguridad del Estado</w:t>
      </w:r>
      <w:r w:rsidR="002D322C" w:rsidRPr="00540E96">
        <w:rPr>
          <w:rFonts w:ascii="Cambria" w:hAnsi="Cambria"/>
          <w:sz w:val="20"/>
          <w:szCs w:val="20"/>
          <w:lang w:val="es-VE"/>
        </w:rPr>
        <w:t xml:space="preserve"> con respecto al contrabando de licores.</w:t>
      </w:r>
    </w:p>
    <w:p w14:paraId="7E6DF0EB" w14:textId="77777777" w:rsidR="00EB4621" w:rsidRPr="00540E96" w:rsidRDefault="00EB4621"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5AC05D88" w14:textId="77777777" w:rsidR="00D65B30" w:rsidRPr="00616B34" w:rsidRDefault="002D322C" w:rsidP="002B624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Los peticionarios s</w:t>
      </w:r>
      <w:r w:rsidR="00BF361A" w:rsidRPr="00540E96">
        <w:rPr>
          <w:rFonts w:ascii="Cambria" w:hAnsi="Cambria"/>
          <w:sz w:val="20"/>
          <w:szCs w:val="20"/>
          <w:lang w:val="es-VE"/>
        </w:rPr>
        <w:t>eñalan que las presuntas víctimas fueron demanda</w:t>
      </w:r>
      <w:r w:rsidR="00D901DA" w:rsidRPr="00540E96">
        <w:rPr>
          <w:rFonts w:ascii="Cambria" w:hAnsi="Cambria"/>
          <w:sz w:val="20"/>
          <w:szCs w:val="20"/>
          <w:lang w:val="es-VE"/>
        </w:rPr>
        <w:t>da</w:t>
      </w:r>
      <w:r w:rsidR="00BF361A" w:rsidRPr="00540E96">
        <w:rPr>
          <w:rFonts w:ascii="Cambria" w:hAnsi="Cambria"/>
          <w:sz w:val="20"/>
          <w:szCs w:val="20"/>
          <w:lang w:val="es-VE"/>
        </w:rPr>
        <w:t xml:space="preserve">s penalmente por “calumnia y difamación” por </w:t>
      </w:r>
      <w:r w:rsidR="002B6246" w:rsidRPr="00540E96">
        <w:rPr>
          <w:rFonts w:ascii="Cambria" w:hAnsi="Cambria"/>
          <w:sz w:val="20"/>
          <w:szCs w:val="20"/>
          <w:lang w:val="es-VE"/>
        </w:rPr>
        <w:t>José Cruz</w:t>
      </w:r>
      <w:r w:rsidR="002B6246">
        <w:rPr>
          <w:rFonts w:ascii="Cambria" w:hAnsi="Cambria"/>
          <w:sz w:val="20"/>
          <w:szCs w:val="20"/>
          <w:lang w:val="es-VE"/>
        </w:rPr>
        <w:t xml:space="preserve"> Trejos Rodríguez</w:t>
      </w:r>
      <w:r w:rsidR="002B6246" w:rsidRPr="00540E96">
        <w:rPr>
          <w:rFonts w:ascii="Cambria" w:hAnsi="Cambria"/>
          <w:sz w:val="20"/>
          <w:szCs w:val="20"/>
          <w:lang w:val="es-VE"/>
        </w:rPr>
        <w:t xml:space="preserve">, quien </w:t>
      </w:r>
      <w:r w:rsidR="002B6246">
        <w:rPr>
          <w:rFonts w:ascii="Cambria" w:hAnsi="Cambria"/>
          <w:sz w:val="20"/>
          <w:szCs w:val="20"/>
          <w:lang w:val="es-VE"/>
        </w:rPr>
        <w:t xml:space="preserve">según la noticia, </w:t>
      </w:r>
      <w:r w:rsidR="00835F94">
        <w:rPr>
          <w:rFonts w:ascii="Cambria" w:hAnsi="Cambria"/>
          <w:sz w:val="20"/>
          <w:szCs w:val="20"/>
          <w:lang w:val="es-VE"/>
        </w:rPr>
        <w:t xml:space="preserve">publicada luego de la </w:t>
      </w:r>
      <w:r w:rsidR="00835F94" w:rsidRPr="00540E96">
        <w:rPr>
          <w:rFonts w:ascii="Cambria" w:hAnsi="Cambria"/>
          <w:sz w:val="20"/>
          <w:szCs w:val="20"/>
          <w:lang w:val="es-VE"/>
        </w:rPr>
        <w:t>verificación previamente requerida</w:t>
      </w:r>
      <w:r w:rsidR="00835F94">
        <w:rPr>
          <w:rFonts w:ascii="Cambria" w:hAnsi="Cambria"/>
          <w:sz w:val="20"/>
          <w:szCs w:val="20"/>
          <w:lang w:val="es-VE"/>
        </w:rPr>
        <w:t xml:space="preserve"> al </w:t>
      </w:r>
      <w:r w:rsidR="00835F94" w:rsidRPr="00540E96">
        <w:rPr>
          <w:rFonts w:ascii="Cambria" w:hAnsi="Cambria"/>
          <w:sz w:val="20"/>
          <w:szCs w:val="20"/>
          <w:lang w:val="es-VE"/>
        </w:rPr>
        <w:t>Ministro de Seguridad por los periodistas</w:t>
      </w:r>
      <w:r w:rsidR="00835F94">
        <w:rPr>
          <w:rFonts w:ascii="Cambria" w:hAnsi="Cambria"/>
          <w:sz w:val="20"/>
          <w:szCs w:val="20"/>
          <w:lang w:val="es-VE"/>
        </w:rPr>
        <w:t>,</w:t>
      </w:r>
      <w:r w:rsidR="00835F94" w:rsidRPr="00540E96">
        <w:rPr>
          <w:rFonts w:ascii="Cambria" w:hAnsi="Cambria"/>
          <w:sz w:val="20"/>
          <w:szCs w:val="20"/>
          <w:lang w:val="es-VE"/>
        </w:rPr>
        <w:t xml:space="preserve"> </w:t>
      </w:r>
      <w:r w:rsidR="002B6246" w:rsidRPr="00540E96">
        <w:rPr>
          <w:rFonts w:ascii="Cambria" w:hAnsi="Cambria"/>
          <w:sz w:val="20"/>
          <w:szCs w:val="20"/>
          <w:lang w:val="es-VE"/>
        </w:rPr>
        <w:t>estaba siendo investigado por una supuesta extorsión en el trasiego de licores. Asimismo, en el marco del proceso penal, alegan que si bien quedó demostrado que Cruz</w:t>
      </w:r>
      <w:r w:rsidR="002B6246">
        <w:rPr>
          <w:rFonts w:ascii="Cambria" w:hAnsi="Cambria"/>
          <w:sz w:val="20"/>
          <w:szCs w:val="20"/>
          <w:lang w:val="es-VE"/>
        </w:rPr>
        <w:t xml:space="preserve"> Trejos Rodríguez</w:t>
      </w:r>
      <w:r w:rsidR="002B6246" w:rsidRPr="00540E96">
        <w:rPr>
          <w:rFonts w:ascii="Cambria" w:hAnsi="Cambria"/>
          <w:sz w:val="20"/>
          <w:szCs w:val="20"/>
          <w:lang w:val="es-VE"/>
        </w:rPr>
        <w:t xml:space="preserve"> no había sido investigado por extorsión en “trasiego de licores”, fue investigado por </w:t>
      </w:r>
      <w:r w:rsidR="002B6246">
        <w:rPr>
          <w:rFonts w:ascii="Cambria" w:hAnsi="Cambria"/>
          <w:sz w:val="20"/>
          <w:szCs w:val="20"/>
          <w:lang w:val="es-VE"/>
        </w:rPr>
        <w:t xml:space="preserve">el delito de “extorsión” </w:t>
      </w:r>
      <w:r w:rsidR="002B6246" w:rsidRPr="00540E96">
        <w:rPr>
          <w:rFonts w:ascii="Cambria" w:hAnsi="Cambria"/>
          <w:sz w:val="20"/>
          <w:szCs w:val="20"/>
          <w:lang w:val="es-VE"/>
        </w:rPr>
        <w:t>en otra causa</w:t>
      </w:r>
      <w:r w:rsidR="002B6246">
        <w:rPr>
          <w:rFonts w:ascii="Cambria" w:hAnsi="Cambria"/>
          <w:sz w:val="20"/>
          <w:szCs w:val="20"/>
          <w:lang w:val="es-VE"/>
        </w:rPr>
        <w:t xml:space="preserve">, luego recalificado al delito de </w:t>
      </w:r>
      <w:r w:rsidR="002B6246" w:rsidRPr="00540E96">
        <w:rPr>
          <w:rFonts w:ascii="Cambria" w:hAnsi="Cambria"/>
          <w:sz w:val="20"/>
          <w:szCs w:val="20"/>
          <w:lang w:val="es-VE"/>
        </w:rPr>
        <w:t xml:space="preserve">“cohecho”, de tal forma que el </w:t>
      </w:r>
      <w:r w:rsidR="00835F94">
        <w:rPr>
          <w:rFonts w:ascii="Cambria" w:hAnsi="Cambria"/>
          <w:sz w:val="20"/>
          <w:szCs w:val="20"/>
          <w:lang w:val="es-VE"/>
        </w:rPr>
        <w:t>ministro</w:t>
      </w:r>
      <w:r w:rsidR="00835F94" w:rsidRPr="00540E96">
        <w:rPr>
          <w:rFonts w:ascii="Cambria" w:hAnsi="Cambria"/>
          <w:sz w:val="20"/>
          <w:szCs w:val="20"/>
          <w:lang w:val="es-VE"/>
        </w:rPr>
        <w:t xml:space="preserve"> </w:t>
      </w:r>
      <w:r w:rsidR="002B6246" w:rsidRPr="00540E96">
        <w:rPr>
          <w:rFonts w:ascii="Cambria" w:hAnsi="Cambria"/>
          <w:sz w:val="20"/>
          <w:szCs w:val="20"/>
          <w:lang w:val="es-VE"/>
        </w:rPr>
        <w:t>confirmó de manera errónea la notici</w:t>
      </w:r>
      <w:r w:rsidR="00835F94">
        <w:rPr>
          <w:rFonts w:ascii="Cambria" w:hAnsi="Cambria"/>
          <w:sz w:val="20"/>
          <w:szCs w:val="20"/>
          <w:lang w:val="es-VE"/>
        </w:rPr>
        <w:t>a.</w:t>
      </w:r>
    </w:p>
    <w:p w14:paraId="20D1157B" w14:textId="77777777" w:rsidR="00EB4621" w:rsidRPr="00540E96" w:rsidRDefault="00EB4621" w:rsidP="006D014B">
      <w:pPr>
        <w:pStyle w:val="ListParagraph"/>
        <w:spacing w:before="0" w:after="0"/>
        <w:rPr>
          <w:sz w:val="20"/>
          <w:szCs w:val="20"/>
          <w:lang w:val="es-VE"/>
        </w:rPr>
      </w:pPr>
    </w:p>
    <w:p w14:paraId="1031D8D1" w14:textId="77777777" w:rsidR="002B6246" w:rsidRPr="00540E96" w:rsidRDefault="00BA49C1" w:rsidP="002B624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2B6246">
        <w:rPr>
          <w:rFonts w:ascii="Cambria" w:hAnsi="Cambria"/>
          <w:sz w:val="20"/>
          <w:szCs w:val="20"/>
          <w:lang w:val="es-VE"/>
        </w:rPr>
        <w:t>Los peticionarios a</w:t>
      </w:r>
      <w:r w:rsidR="009E530B" w:rsidRPr="002B6246">
        <w:rPr>
          <w:rFonts w:ascii="Cambria" w:hAnsi="Cambria"/>
          <w:sz w:val="20"/>
          <w:szCs w:val="20"/>
          <w:lang w:val="es-VE"/>
        </w:rPr>
        <w:t>rgumentan que el Tribunal de Juicio de</w:t>
      </w:r>
      <w:r w:rsidR="007A43DA" w:rsidRPr="002B6246">
        <w:rPr>
          <w:rFonts w:ascii="Cambria" w:hAnsi="Cambria"/>
          <w:sz w:val="20"/>
          <w:szCs w:val="20"/>
          <w:lang w:val="es-VE"/>
        </w:rPr>
        <w:t>l Segundo Circuito de</w:t>
      </w:r>
      <w:r w:rsidR="009E530B" w:rsidRPr="002B6246">
        <w:rPr>
          <w:rFonts w:ascii="Cambria" w:hAnsi="Cambria"/>
          <w:sz w:val="20"/>
          <w:szCs w:val="20"/>
          <w:lang w:val="es-VE"/>
        </w:rPr>
        <w:t xml:space="preserve"> San José resolvió absolver a los demandados por los delitos que habían sido querellados ya que no se demostró dolo</w:t>
      </w:r>
      <w:r w:rsidR="0067494D" w:rsidRPr="002B6246">
        <w:rPr>
          <w:rFonts w:ascii="Cambria" w:hAnsi="Cambria"/>
          <w:sz w:val="20"/>
          <w:szCs w:val="20"/>
          <w:lang w:val="es-VE"/>
        </w:rPr>
        <w:t xml:space="preserve"> </w:t>
      </w:r>
      <w:r w:rsidR="009E530B" w:rsidRPr="002B6246">
        <w:rPr>
          <w:rFonts w:ascii="Cambria" w:hAnsi="Cambria"/>
          <w:sz w:val="20"/>
          <w:szCs w:val="20"/>
          <w:lang w:val="es-VE"/>
        </w:rPr>
        <w:t>y la intención</w:t>
      </w:r>
      <w:r w:rsidR="00D901DA" w:rsidRPr="002B6246">
        <w:rPr>
          <w:rFonts w:ascii="Cambria" w:hAnsi="Cambria"/>
          <w:sz w:val="20"/>
          <w:szCs w:val="20"/>
          <w:lang w:val="es-VE"/>
        </w:rPr>
        <w:t xml:space="preserve"> de los periodistas con la publicación del reportaje</w:t>
      </w:r>
      <w:r w:rsidR="009E530B" w:rsidRPr="002B6246">
        <w:rPr>
          <w:rFonts w:ascii="Cambria" w:hAnsi="Cambria"/>
          <w:sz w:val="20"/>
          <w:szCs w:val="20"/>
          <w:lang w:val="es-VE"/>
        </w:rPr>
        <w:t xml:space="preserve"> fue el </w:t>
      </w:r>
      <w:r w:rsidR="002B6246" w:rsidRPr="002B6246">
        <w:rPr>
          <w:rFonts w:ascii="Cambria" w:hAnsi="Cambria"/>
          <w:sz w:val="20"/>
          <w:szCs w:val="20"/>
          <w:lang w:val="es-VE"/>
        </w:rPr>
        <w:t>ejercicio de la labor informativa</w:t>
      </w:r>
      <w:r w:rsidR="009E530B" w:rsidRPr="002B6246">
        <w:rPr>
          <w:rFonts w:ascii="Cambria" w:hAnsi="Cambria"/>
          <w:sz w:val="20"/>
          <w:szCs w:val="20"/>
          <w:lang w:val="es-VE"/>
        </w:rPr>
        <w:t xml:space="preserve">. Sin embargo, </w:t>
      </w:r>
      <w:r w:rsidR="00D901DA" w:rsidRPr="002B6246">
        <w:rPr>
          <w:rFonts w:ascii="Cambria" w:hAnsi="Cambria"/>
          <w:sz w:val="20"/>
          <w:szCs w:val="20"/>
          <w:lang w:val="es-VE"/>
        </w:rPr>
        <w:t xml:space="preserve">exponen </w:t>
      </w:r>
      <w:r w:rsidR="009F3ED1" w:rsidRPr="002B6246">
        <w:rPr>
          <w:rFonts w:ascii="Cambria" w:hAnsi="Cambria"/>
          <w:sz w:val="20"/>
          <w:szCs w:val="20"/>
          <w:lang w:val="es-VE"/>
        </w:rPr>
        <w:t xml:space="preserve">que </w:t>
      </w:r>
      <w:r w:rsidR="009E530B" w:rsidRPr="002B6246">
        <w:rPr>
          <w:rFonts w:ascii="Cambria" w:hAnsi="Cambria"/>
          <w:sz w:val="20"/>
          <w:szCs w:val="20"/>
          <w:lang w:val="es-VE"/>
        </w:rPr>
        <w:t xml:space="preserve">el Tribunal resolvió imponer una sanción civil </w:t>
      </w:r>
      <w:r w:rsidR="00835F94">
        <w:rPr>
          <w:rFonts w:ascii="Cambria" w:hAnsi="Cambria"/>
          <w:sz w:val="20"/>
          <w:szCs w:val="20"/>
          <w:lang w:val="es-VE"/>
        </w:rPr>
        <w:t xml:space="preserve">debido a </w:t>
      </w:r>
      <w:r w:rsidR="009E530B" w:rsidRPr="002B6246">
        <w:rPr>
          <w:rFonts w:ascii="Cambria" w:hAnsi="Cambria"/>
          <w:sz w:val="20"/>
          <w:szCs w:val="20"/>
          <w:lang w:val="es-VE"/>
        </w:rPr>
        <w:t>que la información contenía “inexactitudes”</w:t>
      </w:r>
      <w:r w:rsidR="00835F94">
        <w:rPr>
          <w:rFonts w:ascii="Cambria" w:hAnsi="Cambria"/>
          <w:sz w:val="20"/>
          <w:szCs w:val="20"/>
          <w:lang w:val="es-VE"/>
        </w:rPr>
        <w:t xml:space="preserve">, </w:t>
      </w:r>
      <w:r w:rsidR="009F3ED1" w:rsidRPr="002B6246">
        <w:rPr>
          <w:rFonts w:ascii="Cambria" w:hAnsi="Cambria"/>
          <w:sz w:val="20"/>
          <w:szCs w:val="20"/>
          <w:lang w:val="es-VE"/>
        </w:rPr>
        <w:t>los periodistas faltaron a los deberes de diligencia</w:t>
      </w:r>
      <w:r w:rsidR="0067494D" w:rsidRPr="002B6246">
        <w:rPr>
          <w:rFonts w:ascii="Cambria" w:hAnsi="Cambria"/>
          <w:sz w:val="20"/>
          <w:szCs w:val="20"/>
          <w:lang w:val="es-VE"/>
        </w:rPr>
        <w:t xml:space="preserve"> y </w:t>
      </w:r>
      <w:r w:rsidR="00835F94">
        <w:rPr>
          <w:rFonts w:ascii="Cambria" w:hAnsi="Cambria"/>
          <w:sz w:val="20"/>
          <w:szCs w:val="20"/>
          <w:lang w:val="es-VE"/>
        </w:rPr>
        <w:t xml:space="preserve">además </w:t>
      </w:r>
      <w:r w:rsidR="0067494D" w:rsidRPr="002B6246">
        <w:rPr>
          <w:rFonts w:ascii="Cambria" w:hAnsi="Cambria"/>
          <w:sz w:val="20"/>
          <w:szCs w:val="20"/>
          <w:lang w:val="es-VE"/>
        </w:rPr>
        <w:t>actuaron “sin guardar el cuidado que requiere su profesión”</w:t>
      </w:r>
      <w:r w:rsidR="009F3ED1" w:rsidRPr="002B6246">
        <w:rPr>
          <w:rFonts w:ascii="Cambria" w:hAnsi="Cambria"/>
          <w:sz w:val="20"/>
          <w:szCs w:val="20"/>
          <w:lang w:val="es-VE"/>
        </w:rPr>
        <w:t>.</w:t>
      </w:r>
      <w:r w:rsidR="0067494D" w:rsidRPr="002B6246">
        <w:rPr>
          <w:rFonts w:ascii="Cambria" w:hAnsi="Cambria"/>
          <w:sz w:val="20"/>
          <w:szCs w:val="20"/>
          <w:lang w:val="es-VE"/>
        </w:rPr>
        <w:t xml:space="preserve"> </w:t>
      </w:r>
      <w:r w:rsidR="002B6246" w:rsidRPr="00540E96">
        <w:rPr>
          <w:rFonts w:ascii="Cambria" w:hAnsi="Cambria"/>
          <w:sz w:val="20"/>
          <w:szCs w:val="20"/>
          <w:lang w:val="es-VE"/>
        </w:rPr>
        <w:t>Los peticionarios destacan que la condena civil se ordenó ya que</w:t>
      </w:r>
      <w:r w:rsidR="00835F94">
        <w:rPr>
          <w:rFonts w:ascii="Cambria" w:hAnsi="Cambria"/>
          <w:sz w:val="20"/>
          <w:szCs w:val="20"/>
          <w:lang w:val="es-VE"/>
        </w:rPr>
        <w:t>, según el Tribunal,</w:t>
      </w:r>
      <w:r w:rsidR="002B6246" w:rsidRPr="00540E96">
        <w:rPr>
          <w:rFonts w:ascii="Cambria" w:hAnsi="Cambria"/>
          <w:sz w:val="20"/>
          <w:szCs w:val="20"/>
          <w:lang w:val="es-VE"/>
        </w:rPr>
        <w:t xml:space="preserve"> los periodistas, al momento de consultar al </w:t>
      </w:r>
      <w:r w:rsidR="002B6246">
        <w:rPr>
          <w:rFonts w:ascii="Cambria" w:hAnsi="Cambria"/>
          <w:sz w:val="20"/>
          <w:szCs w:val="20"/>
          <w:lang w:val="es-VE"/>
        </w:rPr>
        <w:t>m</w:t>
      </w:r>
      <w:r w:rsidR="002B6246" w:rsidRPr="00540E96">
        <w:rPr>
          <w:rFonts w:ascii="Cambria" w:hAnsi="Cambria"/>
          <w:sz w:val="20"/>
          <w:szCs w:val="20"/>
          <w:lang w:val="es-VE"/>
        </w:rPr>
        <w:t xml:space="preserve">inistro, no verificaron las fuentes ni la noticia, </w:t>
      </w:r>
      <w:r w:rsidR="002B6246">
        <w:rPr>
          <w:rFonts w:ascii="Cambria" w:hAnsi="Cambria"/>
          <w:sz w:val="20"/>
          <w:szCs w:val="20"/>
          <w:lang w:val="es-VE"/>
        </w:rPr>
        <w:t xml:space="preserve">lo cual los condujo </w:t>
      </w:r>
      <w:r w:rsidR="002B6246">
        <w:rPr>
          <w:rFonts w:ascii="Cambria" w:hAnsi="Cambria"/>
          <w:sz w:val="20"/>
          <w:szCs w:val="20"/>
          <w:lang w:val="es-VE"/>
        </w:rPr>
        <w:lastRenderedPageBreak/>
        <w:t xml:space="preserve">a afirmar </w:t>
      </w:r>
      <w:r w:rsidR="002B6246" w:rsidRPr="00540E96">
        <w:rPr>
          <w:rFonts w:ascii="Cambria" w:hAnsi="Cambria"/>
          <w:sz w:val="20"/>
          <w:szCs w:val="20"/>
          <w:lang w:val="es-VE"/>
        </w:rPr>
        <w:t>la existencia de una investigación por extorsión sobre trasiego de licores</w:t>
      </w:r>
      <w:r w:rsidR="002B6246">
        <w:rPr>
          <w:rFonts w:ascii="Cambria" w:hAnsi="Cambria"/>
          <w:sz w:val="20"/>
          <w:szCs w:val="20"/>
          <w:lang w:val="es-VE"/>
        </w:rPr>
        <w:t xml:space="preserve"> que</w:t>
      </w:r>
      <w:r w:rsidR="002B6246" w:rsidRPr="00540E96">
        <w:rPr>
          <w:rFonts w:ascii="Cambria" w:hAnsi="Cambria"/>
          <w:sz w:val="20"/>
          <w:szCs w:val="20"/>
          <w:lang w:val="es-VE"/>
        </w:rPr>
        <w:t xml:space="preserve"> era falsa, </w:t>
      </w:r>
      <w:r w:rsidR="002B6246">
        <w:rPr>
          <w:rFonts w:ascii="Cambria" w:hAnsi="Cambria"/>
          <w:sz w:val="20"/>
          <w:szCs w:val="20"/>
          <w:lang w:val="es-VE"/>
        </w:rPr>
        <w:t xml:space="preserve">ocasionando con ello un efecto </w:t>
      </w:r>
      <w:r w:rsidR="002B6246" w:rsidRPr="00540E96">
        <w:rPr>
          <w:rFonts w:ascii="Cambria" w:hAnsi="Cambria"/>
          <w:sz w:val="20"/>
          <w:szCs w:val="20"/>
          <w:lang w:val="es-VE"/>
        </w:rPr>
        <w:t xml:space="preserve">injuriante y ofensivo para </w:t>
      </w:r>
      <w:r w:rsidR="002B6246">
        <w:rPr>
          <w:rFonts w:ascii="Cambria" w:hAnsi="Cambria"/>
          <w:sz w:val="20"/>
          <w:szCs w:val="20"/>
          <w:lang w:val="es-VE"/>
        </w:rPr>
        <w:t xml:space="preserve">el </w:t>
      </w:r>
      <w:r w:rsidR="002B6246" w:rsidRPr="00540E96">
        <w:rPr>
          <w:rFonts w:ascii="Cambria" w:hAnsi="Cambria"/>
          <w:sz w:val="20"/>
          <w:szCs w:val="20"/>
          <w:lang w:val="es-VE"/>
        </w:rPr>
        <w:t xml:space="preserve">querellante. </w:t>
      </w:r>
      <w:r w:rsidR="00835F94">
        <w:rPr>
          <w:rFonts w:ascii="Cambria" w:hAnsi="Cambria"/>
          <w:sz w:val="20"/>
          <w:szCs w:val="20"/>
          <w:lang w:val="es-VE"/>
        </w:rPr>
        <w:t>Además</w:t>
      </w:r>
      <w:r w:rsidR="002B6246" w:rsidRPr="00540E96">
        <w:rPr>
          <w:rFonts w:ascii="Cambria" w:hAnsi="Cambria"/>
          <w:sz w:val="20"/>
          <w:szCs w:val="20"/>
          <w:lang w:val="es-VE"/>
        </w:rPr>
        <w:t>, los peticionarios cuestionan que el Tribunal resolvió imponer una sanción civil “de manera autónoma” aun cuando se determinó que no hubo un ilícito penal.</w:t>
      </w:r>
    </w:p>
    <w:p w14:paraId="63578830" w14:textId="77777777" w:rsidR="00D75ABC" w:rsidRPr="002B6246" w:rsidRDefault="00D75ABC" w:rsidP="00616B3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30109778" w14:textId="77777777" w:rsidR="00BA3929" w:rsidRPr="00540E96" w:rsidRDefault="005C40A0"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Asimismo, i</w:t>
      </w:r>
      <w:r w:rsidR="009E530B" w:rsidRPr="00540E96">
        <w:rPr>
          <w:rFonts w:ascii="Cambria" w:hAnsi="Cambria"/>
          <w:sz w:val="20"/>
          <w:szCs w:val="20"/>
          <w:lang w:val="es-VE"/>
        </w:rPr>
        <w:t xml:space="preserve">ndican que la sentencia fue recurrida en casación ante la Sala Tercera de la Corte Suprema de Justicia, </w:t>
      </w:r>
      <w:r w:rsidRPr="00540E96">
        <w:rPr>
          <w:rFonts w:ascii="Cambria" w:hAnsi="Cambria"/>
          <w:sz w:val="20"/>
          <w:szCs w:val="20"/>
          <w:lang w:val="es-VE"/>
        </w:rPr>
        <w:t xml:space="preserve">la única instancia disponible en Costa Rica en dicha época, </w:t>
      </w:r>
      <w:r w:rsidR="009E530B" w:rsidRPr="00540E96">
        <w:rPr>
          <w:rFonts w:ascii="Cambria" w:hAnsi="Cambria"/>
          <w:sz w:val="20"/>
          <w:szCs w:val="20"/>
          <w:lang w:val="es-VE"/>
        </w:rPr>
        <w:t xml:space="preserve">la que confirmó </w:t>
      </w:r>
      <w:r w:rsidR="000E6ADD" w:rsidRPr="00540E96">
        <w:rPr>
          <w:rFonts w:ascii="Cambria" w:hAnsi="Cambria"/>
          <w:sz w:val="20"/>
          <w:szCs w:val="20"/>
          <w:lang w:val="es-VE"/>
        </w:rPr>
        <w:t xml:space="preserve">la condena civil ordenada en </w:t>
      </w:r>
      <w:r w:rsidR="009E530B" w:rsidRPr="00540E96">
        <w:rPr>
          <w:rFonts w:ascii="Cambria" w:hAnsi="Cambria"/>
          <w:sz w:val="20"/>
          <w:szCs w:val="20"/>
          <w:lang w:val="es-VE"/>
        </w:rPr>
        <w:t>el fallo de primera instancia</w:t>
      </w:r>
      <w:r w:rsidRPr="00540E96">
        <w:rPr>
          <w:rFonts w:ascii="Cambria" w:hAnsi="Cambria"/>
          <w:sz w:val="20"/>
          <w:szCs w:val="20"/>
          <w:lang w:val="es-VE"/>
        </w:rPr>
        <w:t xml:space="preserve">. Los peticionarios </w:t>
      </w:r>
      <w:r w:rsidR="009E530B" w:rsidRPr="00540E96">
        <w:rPr>
          <w:rFonts w:ascii="Cambria" w:hAnsi="Cambria"/>
          <w:sz w:val="20"/>
          <w:szCs w:val="20"/>
          <w:lang w:val="es-VE"/>
        </w:rPr>
        <w:t xml:space="preserve">sostienen que el fallo de la </w:t>
      </w:r>
      <w:r w:rsidRPr="00540E96">
        <w:rPr>
          <w:rFonts w:ascii="Cambria" w:hAnsi="Cambria"/>
          <w:sz w:val="20"/>
          <w:szCs w:val="20"/>
          <w:lang w:val="es-VE"/>
        </w:rPr>
        <w:t>Sala Tercera</w:t>
      </w:r>
      <w:r w:rsidR="00F0748A" w:rsidRPr="00540E96">
        <w:rPr>
          <w:rFonts w:ascii="Cambria" w:hAnsi="Cambria"/>
          <w:sz w:val="20"/>
          <w:szCs w:val="20"/>
          <w:lang w:val="es-VE"/>
        </w:rPr>
        <w:t xml:space="preserve"> consideró que lo informado por los periodistas “no fue un hecho cierto” y que el derecho a la información encontraba “sus límites en la veracidad”</w:t>
      </w:r>
      <w:r w:rsidR="00BA3929" w:rsidRPr="00540E96">
        <w:rPr>
          <w:rFonts w:ascii="Cambria" w:hAnsi="Cambria"/>
          <w:sz w:val="20"/>
          <w:szCs w:val="20"/>
          <w:lang w:val="es-VE"/>
        </w:rPr>
        <w:t>.</w:t>
      </w:r>
    </w:p>
    <w:p w14:paraId="078F9E01" w14:textId="77777777" w:rsidR="003F5B5C" w:rsidRPr="00540E96" w:rsidRDefault="003F5B5C"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2BAD43D0" w14:textId="77777777" w:rsidR="004F3E3E" w:rsidRPr="00540E96" w:rsidRDefault="00BA3929"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Los peticionarios alegan que los fallos judiciales internos, en particular la sentencia de la Sala Tercera, de forma contraria a la propia jurisprudencia interna costarricense, condicio</w:t>
      </w:r>
      <w:r w:rsidR="00835F94">
        <w:rPr>
          <w:rFonts w:ascii="Cambria" w:hAnsi="Cambria"/>
          <w:sz w:val="20"/>
          <w:szCs w:val="20"/>
          <w:lang w:val="es-VE"/>
        </w:rPr>
        <w:t>nó</w:t>
      </w:r>
      <w:r w:rsidRPr="00540E96">
        <w:rPr>
          <w:rFonts w:ascii="Cambria" w:hAnsi="Cambria"/>
          <w:sz w:val="20"/>
          <w:szCs w:val="20"/>
          <w:lang w:val="es-VE"/>
        </w:rPr>
        <w:t xml:space="preserve"> el derecho a la libertad de expresión y acceso a la informaci</w:t>
      </w:r>
      <w:r w:rsidR="00A1280E" w:rsidRPr="00540E96">
        <w:rPr>
          <w:rFonts w:ascii="Cambria" w:hAnsi="Cambria"/>
          <w:sz w:val="20"/>
          <w:szCs w:val="20"/>
          <w:lang w:val="es-VE"/>
        </w:rPr>
        <w:t xml:space="preserve">ón a la comprobada certeza y veracidad de la información que se difunde, </w:t>
      </w:r>
      <w:r w:rsidR="00835F94">
        <w:rPr>
          <w:rFonts w:ascii="Cambria" w:hAnsi="Cambria"/>
          <w:sz w:val="20"/>
          <w:szCs w:val="20"/>
          <w:lang w:val="es-VE"/>
        </w:rPr>
        <w:t xml:space="preserve">ya que consideró </w:t>
      </w:r>
      <w:r w:rsidRPr="00540E96">
        <w:rPr>
          <w:rFonts w:ascii="Cambria" w:hAnsi="Cambria"/>
          <w:sz w:val="20"/>
          <w:szCs w:val="20"/>
          <w:lang w:val="es-VE"/>
        </w:rPr>
        <w:t>que solo e</w:t>
      </w:r>
      <w:r w:rsidR="00835F94">
        <w:rPr>
          <w:rFonts w:ascii="Cambria" w:hAnsi="Cambria"/>
          <w:sz w:val="20"/>
          <w:szCs w:val="20"/>
          <w:lang w:val="es-VE"/>
        </w:rPr>
        <w:t>ra</w:t>
      </w:r>
      <w:r w:rsidRPr="00540E96">
        <w:rPr>
          <w:rFonts w:ascii="Cambria" w:hAnsi="Cambria"/>
          <w:sz w:val="20"/>
          <w:szCs w:val="20"/>
          <w:lang w:val="es-VE"/>
        </w:rPr>
        <w:t xml:space="preserve"> legítimo difundir información rigurosamente verídica, lo cual vulnera el artículo 13 de la Convención. Señalan que lo que se debe exigir a los periodistas es </w:t>
      </w:r>
      <w:r w:rsidR="001F753B" w:rsidRPr="00540E96">
        <w:rPr>
          <w:rFonts w:ascii="Cambria" w:hAnsi="Cambria"/>
          <w:sz w:val="20"/>
          <w:szCs w:val="20"/>
          <w:lang w:val="es-VE"/>
        </w:rPr>
        <w:t xml:space="preserve">actuar con </w:t>
      </w:r>
      <w:r w:rsidRPr="00540E96">
        <w:rPr>
          <w:rFonts w:ascii="Cambria" w:hAnsi="Cambria"/>
          <w:sz w:val="20"/>
          <w:szCs w:val="20"/>
          <w:lang w:val="es-VE"/>
        </w:rPr>
        <w:t>diligencia razonable, es decir que la difusión de información debe hacerse cuand</w:t>
      </w:r>
      <w:r w:rsidR="00A1280E" w:rsidRPr="00540E96">
        <w:rPr>
          <w:rFonts w:ascii="Cambria" w:hAnsi="Cambria"/>
          <w:sz w:val="20"/>
          <w:szCs w:val="20"/>
          <w:lang w:val="es-VE"/>
        </w:rPr>
        <w:t>o exista el</w:t>
      </w:r>
      <w:r w:rsidRPr="00540E96">
        <w:rPr>
          <w:rFonts w:ascii="Cambria" w:hAnsi="Cambria"/>
          <w:sz w:val="20"/>
          <w:szCs w:val="20"/>
          <w:lang w:val="es-VE"/>
        </w:rPr>
        <w:t xml:space="preserve"> grado de confirmaci</w:t>
      </w:r>
      <w:r w:rsidR="001F753B" w:rsidRPr="00540E96">
        <w:rPr>
          <w:rFonts w:ascii="Cambria" w:hAnsi="Cambria"/>
          <w:sz w:val="20"/>
          <w:szCs w:val="20"/>
          <w:lang w:val="es-VE"/>
        </w:rPr>
        <w:t>ón que el caso requiera y</w:t>
      </w:r>
      <w:r w:rsidR="00A1280E" w:rsidRPr="00540E96">
        <w:rPr>
          <w:rFonts w:ascii="Cambria" w:hAnsi="Cambria"/>
          <w:sz w:val="20"/>
          <w:szCs w:val="20"/>
          <w:lang w:val="es-VE"/>
        </w:rPr>
        <w:t xml:space="preserve"> la información no sea notoriamente inverosímil. </w:t>
      </w:r>
      <w:r w:rsidR="00E05792" w:rsidRPr="00540E96">
        <w:rPr>
          <w:rFonts w:ascii="Cambria" w:hAnsi="Cambria"/>
          <w:sz w:val="20"/>
          <w:szCs w:val="20"/>
          <w:lang w:val="es-VE"/>
        </w:rPr>
        <w:t xml:space="preserve">Señalan que la inexactitud o falta de adecuación objetiva a la verdad de una información, no es, por sí misma, ilegítima ni escapa a la protección otorgada bajo la libertad de expresión, por lo que no basta con demostrar que una información no es veraz para comprometer la responsabilidad ulterior. </w:t>
      </w:r>
      <w:r w:rsidR="00A1280E" w:rsidRPr="00540E96">
        <w:rPr>
          <w:rFonts w:ascii="Cambria" w:hAnsi="Cambria"/>
          <w:sz w:val="20"/>
          <w:szCs w:val="20"/>
          <w:lang w:val="es-VE"/>
        </w:rPr>
        <w:t xml:space="preserve">Por ello, concluyen que la difusión de información inexacta sobre asuntos de interés público no genera responsabilidad ulterior de quien la difunda, a menos que haya actuado con conocimiento de su falsedad o haya incurrido en un error inexcusable </w:t>
      </w:r>
      <w:r w:rsidR="00C04F8F" w:rsidRPr="00540E96">
        <w:rPr>
          <w:rFonts w:ascii="Cambria" w:hAnsi="Cambria"/>
          <w:sz w:val="20"/>
          <w:szCs w:val="20"/>
          <w:lang w:val="es-VE"/>
        </w:rPr>
        <w:t>al difun</w:t>
      </w:r>
      <w:r w:rsidR="002F2481" w:rsidRPr="00540E96">
        <w:rPr>
          <w:rFonts w:ascii="Cambria" w:hAnsi="Cambria"/>
          <w:sz w:val="20"/>
          <w:szCs w:val="20"/>
          <w:lang w:val="es-VE"/>
        </w:rPr>
        <w:t>dirla</w:t>
      </w:r>
      <w:r w:rsidR="006E3AE2" w:rsidRPr="00540E96">
        <w:rPr>
          <w:rFonts w:ascii="Cambria" w:hAnsi="Cambria"/>
          <w:sz w:val="20"/>
          <w:szCs w:val="20"/>
          <w:lang w:val="es-VE"/>
        </w:rPr>
        <w:t>.</w:t>
      </w:r>
    </w:p>
    <w:p w14:paraId="310F45ED" w14:textId="77777777" w:rsidR="00EB4621" w:rsidRPr="00540E96" w:rsidRDefault="00EB4621" w:rsidP="006D014B">
      <w:pPr>
        <w:pStyle w:val="ListParagraph"/>
        <w:spacing w:before="0" w:after="0"/>
        <w:rPr>
          <w:sz w:val="20"/>
          <w:szCs w:val="20"/>
          <w:lang w:val="es-VE"/>
        </w:rPr>
      </w:pPr>
    </w:p>
    <w:p w14:paraId="31FA53E4" w14:textId="77777777" w:rsidR="00BE32D8" w:rsidRPr="00540E96" w:rsidRDefault="00BE32D8"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 xml:space="preserve">Igualmente, los peticionarios </w:t>
      </w:r>
      <w:r w:rsidR="005D626F" w:rsidRPr="00540E96">
        <w:rPr>
          <w:rFonts w:ascii="Cambria" w:hAnsi="Cambria"/>
          <w:sz w:val="20"/>
          <w:szCs w:val="20"/>
          <w:lang w:val="es-VE"/>
        </w:rPr>
        <w:t xml:space="preserve">sostienen </w:t>
      </w:r>
      <w:r w:rsidRPr="00540E96">
        <w:rPr>
          <w:rFonts w:ascii="Cambria" w:hAnsi="Cambria"/>
          <w:sz w:val="20"/>
          <w:szCs w:val="20"/>
          <w:lang w:val="es-VE"/>
        </w:rPr>
        <w:t>que</w:t>
      </w:r>
      <w:r w:rsidR="005D626F" w:rsidRPr="00540E96">
        <w:rPr>
          <w:rFonts w:ascii="Cambria" w:hAnsi="Cambria"/>
          <w:sz w:val="20"/>
          <w:szCs w:val="20"/>
          <w:lang w:val="es-VE"/>
        </w:rPr>
        <w:t xml:space="preserve"> la</w:t>
      </w:r>
      <w:r w:rsidR="005106F3" w:rsidRPr="00540E96">
        <w:rPr>
          <w:rFonts w:ascii="Cambria" w:hAnsi="Cambria"/>
          <w:sz w:val="20"/>
          <w:szCs w:val="20"/>
          <w:lang w:val="es-VE"/>
        </w:rPr>
        <w:t>s decisiones internas que impusieron una</w:t>
      </w:r>
      <w:r w:rsidR="005D626F" w:rsidRPr="00540E96">
        <w:rPr>
          <w:rFonts w:ascii="Cambria" w:hAnsi="Cambria"/>
          <w:sz w:val="20"/>
          <w:szCs w:val="20"/>
          <w:lang w:val="es-VE"/>
        </w:rPr>
        <w:t xml:space="preserve"> sanción civil se bas</w:t>
      </w:r>
      <w:r w:rsidR="005106F3" w:rsidRPr="00540E96">
        <w:rPr>
          <w:rFonts w:ascii="Cambria" w:hAnsi="Cambria"/>
          <w:sz w:val="20"/>
          <w:szCs w:val="20"/>
          <w:lang w:val="es-VE"/>
        </w:rPr>
        <w:t>aron</w:t>
      </w:r>
      <w:r w:rsidR="005D626F" w:rsidRPr="00540E96">
        <w:rPr>
          <w:rFonts w:ascii="Cambria" w:hAnsi="Cambria"/>
          <w:sz w:val="20"/>
          <w:szCs w:val="20"/>
          <w:lang w:val="es-VE"/>
        </w:rPr>
        <w:t xml:space="preserve"> en la </w:t>
      </w:r>
      <w:r w:rsidR="004C461A">
        <w:rPr>
          <w:rFonts w:ascii="Cambria" w:hAnsi="Cambria"/>
          <w:sz w:val="20"/>
          <w:szCs w:val="20"/>
          <w:lang w:val="es-VE"/>
        </w:rPr>
        <w:t xml:space="preserve">supuesta </w:t>
      </w:r>
      <w:r w:rsidR="005D626F" w:rsidRPr="00540E96">
        <w:rPr>
          <w:rFonts w:ascii="Cambria" w:hAnsi="Cambria"/>
          <w:sz w:val="20"/>
          <w:szCs w:val="20"/>
          <w:lang w:val="es-VE"/>
        </w:rPr>
        <w:t>falta de diligencia de los periodistas en la confirmación de la noticia, ya que se conformaron con l</w:t>
      </w:r>
      <w:r w:rsidR="004C461A">
        <w:rPr>
          <w:rFonts w:ascii="Cambria" w:hAnsi="Cambria"/>
          <w:sz w:val="20"/>
          <w:szCs w:val="20"/>
          <w:lang w:val="es-VE"/>
        </w:rPr>
        <w:t>a información ratificada</w:t>
      </w:r>
      <w:r w:rsidR="005D626F" w:rsidRPr="00540E96">
        <w:rPr>
          <w:rFonts w:ascii="Cambria" w:hAnsi="Cambria"/>
          <w:sz w:val="20"/>
          <w:szCs w:val="20"/>
          <w:lang w:val="es-VE"/>
        </w:rPr>
        <w:t xml:space="preserve"> por el Ministro de Seguridad Pública, no siendo éste la fuente atinente, sino más bien, la oficina de prensa del Poder Judicial, por ejemplo. Ante ello, </w:t>
      </w:r>
      <w:r w:rsidRPr="00540E96">
        <w:rPr>
          <w:rFonts w:ascii="Cambria" w:hAnsi="Cambria"/>
          <w:sz w:val="20"/>
          <w:szCs w:val="20"/>
          <w:lang w:val="es-VE"/>
        </w:rPr>
        <w:t xml:space="preserve">los periodistas </w:t>
      </w:r>
      <w:r w:rsidR="005D626F" w:rsidRPr="00540E96">
        <w:rPr>
          <w:rFonts w:ascii="Cambria" w:hAnsi="Cambria"/>
          <w:sz w:val="20"/>
          <w:szCs w:val="20"/>
          <w:lang w:val="es-VE"/>
        </w:rPr>
        <w:t xml:space="preserve">alegan que </w:t>
      </w:r>
      <w:r w:rsidR="007F2326">
        <w:rPr>
          <w:rFonts w:ascii="Cambria" w:hAnsi="Cambria"/>
          <w:sz w:val="20"/>
          <w:szCs w:val="20"/>
          <w:lang w:val="es-VE"/>
        </w:rPr>
        <w:t>el m</w:t>
      </w:r>
      <w:r w:rsidR="005106F3" w:rsidRPr="00540E96">
        <w:rPr>
          <w:rFonts w:ascii="Cambria" w:hAnsi="Cambria"/>
          <w:sz w:val="20"/>
          <w:szCs w:val="20"/>
          <w:lang w:val="es-VE"/>
        </w:rPr>
        <w:t xml:space="preserve">inisterio tenía un departamento de asuntos internos que se encargaba de las investigaciones abiertas al personal policial y que más bien, la oficina de prensa del </w:t>
      </w:r>
      <w:r w:rsidR="004C461A">
        <w:rPr>
          <w:rFonts w:ascii="Cambria" w:hAnsi="Cambria"/>
          <w:sz w:val="20"/>
          <w:szCs w:val="20"/>
          <w:lang w:val="es-VE"/>
        </w:rPr>
        <w:t>P</w:t>
      </w:r>
      <w:r w:rsidR="005106F3" w:rsidRPr="00540E96">
        <w:rPr>
          <w:rFonts w:ascii="Cambria" w:hAnsi="Cambria"/>
          <w:sz w:val="20"/>
          <w:szCs w:val="20"/>
          <w:lang w:val="es-VE"/>
        </w:rPr>
        <w:t xml:space="preserve">oder </w:t>
      </w:r>
      <w:r w:rsidR="004C461A">
        <w:rPr>
          <w:rFonts w:ascii="Cambria" w:hAnsi="Cambria"/>
          <w:sz w:val="20"/>
          <w:szCs w:val="20"/>
          <w:lang w:val="es-VE"/>
        </w:rPr>
        <w:t>J</w:t>
      </w:r>
      <w:r w:rsidR="005106F3" w:rsidRPr="00540E96">
        <w:rPr>
          <w:rFonts w:ascii="Cambria" w:hAnsi="Cambria"/>
          <w:sz w:val="20"/>
          <w:szCs w:val="20"/>
          <w:lang w:val="es-VE"/>
        </w:rPr>
        <w:t>udicial solo podía brindar información sobre asuntos que ya se encontraban en los juzgados, lo cual no ocurr</w:t>
      </w:r>
      <w:r w:rsidR="007A5CF1" w:rsidRPr="00540E96">
        <w:rPr>
          <w:rFonts w:ascii="Cambria" w:hAnsi="Cambria"/>
          <w:sz w:val="20"/>
          <w:szCs w:val="20"/>
          <w:lang w:val="es-VE"/>
        </w:rPr>
        <w:t xml:space="preserve">ía en el presente caso. Indican </w:t>
      </w:r>
      <w:r w:rsidR="005106F3" w:rsidRPr="00540E96">
        <w:rPr>
          <w:rFonts w:ascii="Cambria" w:hAnsi="Cambria"/>
          <w:sz w:val="20"/>
          <w:szCs w:val="20"/>
          <w:lang w:val="es-VE"/>
        </w:rPr>
        <w:t>que la investigaci</w:t>
      </w:r>
      <w:r w:rsidR="00435EA0" w:rsidRPr="00540E96">
        <w:rPr>
          <w:rFonts w:ascii="Cambria" w:hAnsi="Cambria"/>
          <w:sz w:val="20"/>
          <w:szCs w:val="20"/>
          <w:lang w:val="es-VE"/>
        </w:rPr>
        <w:t>ón iniciada contra el señor Trejos Rodríguez</w:t>
      </w:r>
      <w:r w:rsidR="005106F3" w:rsidRPr="00540E96">
        <w:rPr>
          <w:rFonts w:ascii="Cambria" w:hAnsi="Cambria"/>
          <w:sz w:val="20"/>
          <w:szCs w:val="20"/>
          <w:lang w:val="es-VE"/>
        </w:rPr>
        <w:t xml:space="preserve"> se encontraba en la Fiscalía y en las oficinas administrativas </w:t>
      </w:r>
      <w:r w:rsidR="007F2326">
        <w:rPr>
          <w:rFonts w:ascii="Cambria" w:hAnsi="Cambria"/>
          <w:sz w:val="20"/>
          <w:szCs w:val="20"/>
          <w:lang w:val="es-VE"/>
        </w:rPr>
        <w:t>y disciplinarias del m</w:t>
      </w:r>
      <w:r w:rsidR="007A5CF1" w:rsidRPr="00540E96">
        <w:rPr>
          <w:rFonts w:ascii="Cambria" w:hAnsi="Cambria"/>
          <w:sz w:val="20"/>
          <w:szCs w:val="20"/>
          <w:lang w:val="es-VE"/>
        </w:rPr>
        <w:t xml:space="preserve">inisterio, por lo </w:t>
      </w:r>
      <w:r w:rsidR="005106F3" w:rsidRPr="00540E96">
        <w:rPr>
          <w:rFonts w:ascii="Cambria" w:hAnsi="Cambria"/>
          <w:sz w:val="20"/>
          <w:szCs w:val="20"/>
          <w:lang w:val="es-VE"/>
        </w:rPr>
        <w:t xml:space="preserve">que era razonable que los </w:t>
      </w:r>
      <w:r w:rsidR="007A5CF1" w:rsidRPr="00540E96">
        <w:rPr>
          <w:rFonts w:ascii="Cambria" w:hAnsi="Cambria"/>
          <w:sz w:val="20"/>
          <w:szCs w:val="20"/>
          <w:lang w:val="es-VE"/>
        </w:rPr>
        <w:t>periodistas</w:t>
      </w:r>
      <w:r w:rsidR="005106F3" w:rsidRPr="00540E96">
        <w:rPr>
          <w:rFonts w:ascii="Cambria" w:hAnsi="Cambria"/>
          <w:sz w:val="20"/>
          <w:szCs w:val="20"/>
          <w:lang w:val="es-VE"/>
        </w:rPr>
        <w:t xml:space="preserve"> confir</w:t>
      </w:r>
      <w:r w:rsidR="007F2326">
        <w:rPr>
          <w:rFonts w:ascii="Cambria" w:hAnsi="Cambria"/>
          <w:sz w:val="20"/>
          <w:szCs w:val="20"/>
          <w:lang w:val="es-VE"/>
        </w:rPr>
        <w:t>maran la noticia con el propio m</w:t>
      </w:r>
      <w:r w:rsidR="005106F3" w:rsidRPr="00540E96">
        <w:rPr>
          <w:rFonts w:ascii="Cambria" w:hAnsi="Cambria"/>
          <w:sz w:val="20"/>
          <w:szCs w:val="20"/>
          <w:lang w:val="es-VE"/>
        </w:rPr>
        <w:t xml:space="preserve">inisterio. Asimismo, alegan que </w:t>
      </w:r>
      <w:r w:rsidRPr="00540E96">
        <w:rPr>
          <w:rFonts w:ascii="Cambria" w:hAnsi="Cambria"/>
          <w:sz w:val="20"/>
          <w:szCs w:val="20"/>
          <w:lang w:val="es-VE"/>
        </w:rPr>
        <w:t>no tenían razón alguna para poner en duda la confirmación suministrada por el Ministro de Seguridad Pública</w:t>
      </w:r>
      <w:r w:rsidR="00A67B42" w:rsidRPr="00540E96">
        <w:rPr>
          <w:rFonts w:ascii="Cambria" w:hAnsi="Cambria"/>
          <w:sz w:val="20"/>
          <w:szCs w:val="20"/>
          <w:lang w:val="es-VE"/>
        </w:rPr>
        <w:t>, un funcionario del propio Estado,</w:t>
      </w:r>
      <w:r w:rsidRPr="00540E96">
        <w:rPr>
          <w:rFonts w:ascii="Cambria" w:hAnsi="Cambria"/>
          <w:sz w:val="20"/>
          <w:szCs w:val="20"/>
          <w:lang w:val="es-VE"/>
        </w:rPr>
        <w:t xml:space="preserve"> y que actuaron con la “confianza” de que la declaración del entonces </w:t>
      </w:r>
      <w:r w:rsidR="001B100F" w:rsidRPr="00540E96">
        <w:rPr>
          <w:rFonts w:ascii="Cambria" w:hAnsi="Cambria"/>
          <w:sz w:val="20"/>
          <w:szCs w:val="20"/>
          <w:lang w:val="es-VE"/>
        </w:rPr>
        <w:t>funcionario</w:t>
      </w:r>
      <w:r w:rsidRPr="00540E96">
        <w:rPr>
          <w:rFonts w:ascii="Cambria" w:hAnsi="Cambria"/>
          <w:sz w:val="20"/>
          <w:szCs w:val="20"/>
          <w:lang w:val="es-VE"/>
        </w:rPr>
        <w:t xml:space="preserve"> “no sólo era cierta sino que dotaba de certeza a la noticia confirmada” por lo que no podía concluirse</w:t>
      </w:r>
      <w:r w:rsidR="002B6246">
        <w:rPr>
          <w:rFonts w:ascii="Cambria" w:hAnsi="Cambria"/>
          <w:sz w:val="20"/>
          <w:szCs w:val="20"/>
          <w:lang w:val="es-VE"/>
        </w:rPr>
        <w:t xml:space="preserve"> </w:t>
      </w:r>
      <w:r w:rsidRPr="00540E96">
        <w:rPr>
          <w:rFonts w:ascii="Cambria" w:hAnsi="Cambria"/>
          <w:sz w:val="20"/>
          <w:szCs w:val="20"/>
          <w:lang w:val="es-VE"/>
        </w:rPr>
        <w:t>que actuaron faltando a la diligencia debida. Asimismo, cuestionan que el Estado pretenda imponer obligatoriamente la consulta de “fuentes oficiales predeterminadas para la búsqueda o confirmación de información”.</w:t>
      </w:r>
    </w:p>
    <w:p w14:paraId="6B710D8B" w14:textId="77777777" w:rsidR="00EB4621" w:rsidRPr="00540E96" w:rsidRDefault="00EB4621" w:rsidP="006D014B">
      <w:pPr>
        <w:pStyle w:val="ListParagraph"/>
        <w:spacing w:before="0" w:after="0"/>
        <w:rPr>
          <w:sz w:val="20"/>
          <w:szCs w:val="20"/>
          <w:lang w:val="es-VE"/>
        </w:rPr>
      </w:pPr>
    </w:p>
    <w:p w14:paraId="6B2184C8" w14:textId="77777777" w:rsidR="001C0705" w:rsidRPr="00540E96" w:rsidRDefault="005D1694"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 xml:space="preserve">Los </w:t>
      </w:r>
      <w:r w:rsidR="001C0705" w:rsidRPr="00540E96">
        <w:rPr>
          <w:rFonts w:ascii="Cambria" w:hAnsi="Cambria"/>
          <w:sz w:val="20"/>
          <w:szCs w:val="20"/>
          <w:lang w:val="es-VE"/>
        </w:rPr>
        <w:t>peticionarios exponen con respecto a las violaciones a las garantías judiciales</w:t>
      </w:r>
      <w:r w:rsidRPr="00540E96">
        <w:rPr>
          <w:rFonts w:ascii="Cambria" w:hAnsi="Cambria"/>
          <w:sz w:val="20"/>
          <w:szCs w:val="20"/>
          <w:lang w:val="es-VE"/>
        </w:rPr>
        <w:t xml:space="preserve"> y protección judicial</w:t>
      </w:r>
      <w:r w:rsidR="001C0705" w:rsidRPr="00540E96">
        <w:rPr>
          <w:rFonts w:ascii="Cambria" w:hAnsi="Cambria"/>
          <w:sz w:val="20"/>
          <w:szCs w:val="20"/>
          <w:lang w:val="es-VE"/>
        </w:rPr>
        <w:t xml:space="preserve"> que </w:t>
      </w:r>
      <w:r w:rsidR="001B100F" w:rsidRPr="00540E96">
        <w:rPr>
          <w:rFonts w:ascii="Cambria" w:hAnsi="Cambria"/>
          <w:sz w:val="20"/>
          <w:szCs w:val="20"/>
          <w:lang w:val="es-VE"/>
        </w:rPr>
        <w:t xml:space="preserve">las presuntas víctimas </w:t>
      </w:r>
      <w:r w:rsidR="001C0705" w:rsidRPr="00540E96">
        <w:rPr>
          <w:rFonts w:ascii="Cambria" w:hAnsi="Cambria"/>
          <w:sz w:val="20"/>
          <w:szCs w:val="20"/>
          <w:lang w:val="es-VE"/>
        </w:rPr>
        <w:t>“no pudieron hacer uso en 2007 del recurso de apelación que Costa estaba obligada a establecer por una sentencia de la Corte Interamericana de 2004, porque el Estado sólo dio cumplimiento a dicha sentencia en 2010”</w:t>
      </w:r>
      <w:r w:rsidR="005F5C22" w:rsidRPr="00540E96">
        <w:rPr>
          <w:rFonts w:ascii="Cambria" w:hAnsi="Cambria"/>
          <w:sz w:val="20"/>
          <w:szCs w:val="20"/>
          <w:lang w:val="es-VE"/>
        </w:rPr>
        <w:t xml:space="preserve">. Asimismo, los peticionarios alegan </w:t>
      </w:r>
      <w:r w:rsidR="001B100F" w:rsidRPr="00540E96">
        <w:rPr>
          <w:rFonts w:ascii="Cambria" w:hAnsi="Cambria"/>
          <w:sz w:val="20"/>
          <w:szCs w:val="20"/>
          <w:lang w:val="es-VE"/>
        </w:rPr>
        <w:t>que</w:t>
      </w:r>
      <w:r w:rsidR="001C0705" w:rsidRPr="00540E96">
        <w:rPr>
          <w:rFonts w:ascii="Cambria" w:hAnsi="Cambria"/>
          <w:sz w:val="20"/>
          <w:szCs w:val="20"/>
          <w:lang w:val="es-VE"/>
        </w:rPr>
        <w:t xml:space="preserve"> la CIDH debe analizar si la Sala Tercera de la Corte Suprema de Justicia es un tribunal competente para oír y decidir un recurso de casación contra una sentencia que no contiene condena penal alguna, </w:t>
      </w:r>
      <w:r w:rsidR="002C1E4B" w:rsidRPr="00540E96">
        <w:rPr>
          <w:rFonts w:ascii="Cambria" w:hAnsi="Cambria"/>
          <w:sz w:val="20"/>
          <w:szCs w:val="20"/>
          <w:lang w:val="es-VE"/>
        </w:rPr>
        <w:t xml:space="preserve">sino solo de responsabilidad civil, </w:t>
      </w:r>
      <w:r w:rsidR="001C0705" w:rsidRPr="00540E96">
        <w:rPr>
          <w:rFonts w:ascii="Cambria" w:hAnsi="Cambria"/>
          <w:sz w:val="20"/>
          <w:szCs w:val="20"/>
          <w:lang w:val="es-VE"/>
        </w:rPr>
        <w:t>así haya emanado de un tribunal penal</w:t>
      </w:r>
      <w:r w:rsidR="002C1E4B" w:rsidRPr="00540E96">
        <w:rPr>
          <w:rFonts w:ascii="Cambria" w:hAnsi="Cambria"/>
          <w:sz w:val="20"/>
          <w:szCs w:val="20"/>
          <w:lang w:val="es-VE"/>
        </w:rPr>
        <w:t>. Ello, debido a que</w:t>
      </w:r>
      <w:r w:rsidR="002B6246">
        <w:rPr>
          <w:rFonts w:ascii="Cambria" w:hAnsi="Cambria"/>
          <w:sz w:val="20"/>
          <w:szCs w:val="20"/>
          <w:lang w:val="es-VE"/>
        </w:rPr>
        <w:t xml:space="preserve"> según</w:t>
      </w:r>
      <w:r w:rsidR="002C1E4B" w:rsidRPr="00540E96">
        <w:rPr>
          <w:rFonts w:ascii="Cambria" w:hAnsi="Cambria"/>
          <w:sz w:val="20"/>
          <w:szCs w:val="20"/>
          <w:lang w:val="es-VE"/>
        </w:rPr>
        <w:t xml:space="preserve"> la ley interna, los recursos de casación en materia civil eran competencia de la Sala Primera de la Corte Suprema.</w:t>
      </w:r>
    </w:p>
    <w:p w14:paraId="7FEFCD16" w14:textId="77777777" w:rsidR="002212E2" w:rsidRPr="00540E96" w:rsidRDefault="002212E2" w:rsidP="002212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2D9BBC81" w14:textId="77777777" w:rsidR="001C0705" w:rsidRDefault="00C857A0"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Con base en lo expuesto, l</w:t>
      </w:r>
      <w:r w:rsidR="001C0705" w:rsidRPr="00540E96">
        <w:rPr>
          <w:rFonts w:ascii="Cambria" w:hAnsi="Cambria"/>
          <w:sz w:val="20"/>
          <w:szCs w:val="20"/>
          <w:lang w:val="es-VE"/>
        </w:rPr>
        <w:t>os peticionarios solicitan a la CIDH declarar la responsabilidad internac</w:t>
      </w:r>
      <w:r w:rsidRPr="00540E96">
        <w:rPr>
          <w:rFonts w:ascii="Cambria" w:hAnsi="Cambria"/>
          <w:sz w:val="20"/>
          <w:szCs w:val="20"/>
          <w:lang w:val="es-VE"/>
        </w:rPr>
        <w:t xml:space="preserve">ional del Estado de Costa Rica por la violación de los artículos 13, 8 y 25, en relación con </w:t>
      </w:r>
      <w:r w:rsidR="00B16402" w:rsidRPr="00540E96">
        <w:rPr>
          <w:rFonts w:ascii="Cambria" w:hAnsi="Cambria"/>
          <w:sz w:val="20"/>
          <w:szCs w:val="20"/>
          <w:lang w:val="es-VE"/>
        </w:rPr>
        <w:t>artí</w:t>
      </w:r>
      <w:r w:rsidRPr="00540E96">
        <w:rPr>
          <w:rFonts w:ascii="Cambria" w:hAnsi="Cambria"/>
          <w:sz w:val="20"/>
          <w:szCs w:val="20"/>
          <w:lang w:val="es-VE"/>
        </w:rPr>
        <w:t>culos 1.1 y 2 de la Convención, en perjuicio de ambos periodistas.</w:t>
      </w:r>
    </w:p>
    <w:p w14:paraId="4A9B6FEA" w14:textId="77777777" w:rsidR="004C461A" w:rsidRPr="00540E96" w:rsidRDefault="004C461A" w:rsidP="00CD572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48212FAF" w14:textId="77777777" w:rsidR="004721E1" w:rsidRDefault="004721E1"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3C2F37F2" w14:textId="77777777" w:rsidR="008D4A0F" w:rsidRDefault="008D4A0F"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7A8223EA" w14:textId="77777777" w:rsidR="008D4A0F" w:rsidRPr="00540E96" w:rsidRDefault="008D4A0F"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6DA8C283" w14:textId="77777777" w:rsidR="0098300E" w:rsidRPr="00540E96" w:rsidRDefault="00C024AD" w:rsidP="006D014B">
      <w:pPr>
        <w:pStyle w:val="Heading2"/>
        <w:spacing w:before="0" w:after="0"/>
        <w:ind w:left="0" w:firstLine="0"/>
        <w:jc w:val="both"/>
      </w:pPr>
      <w:bookmarkStart w:id="14" w:name="_Toc24542760"/>
      <w:r w:rsidRPr="00540E96">
        <w:lastRenderedPageBreak/>
        <w:t>Estado</w:t>
      </w:r>
      <w:bookmarkEnd w:id="11"/>
      <w:bookmarkEnd w:id="12"/>
      <w:bookmarkEnd w:id="13"/>
      <w:bookmarkEnd w:id="14"/>
    </w:p>
    <w:p w14:paraId="7E3B1B30" w14:textId="77777777" w:rsidR="00EB4621" w:rsidRPr="00540E96" w:rsidRDefault="00EB4621" w:rsidP="006D014B">
      <w:pPr>
        <w:jc w:val="both"/>
        <w:rPr>
          <w:rFonts w:ascii="Cambria" w:hAnsi="Cambria"/>
          <w:sz w:val="20"/>
          <w:szCs w:val="20"/>
          <w:lang w:val="es-ES_tradnl"/>
        </w:rPr>
      </w:pPr>
    </w:p>
    <w:p w14:paraId="3C8F0D87" w14:textId="77777777" w:rsidR="00FF54AB" w:rsidRPr="00540E96" w:rsidRDefault="0001672D"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El Estado sostiene</w:t>
      </w:r>
      <w:r w:rsidR="00183032" w:rsidRPr="00540E96">
        <w:rPr>
          <w:rFonts w:ascii="Cambria" w:hAnsi="Cambria"/>
          <w:sz w:val="20"/>
          <w:szCs w:val="20"/>
          <w:lang w:val="es-VE"/>
        </w:rPr>
        <w:t xml:space="preserve"> que los hechos controvertidos por</w:t>
      </w:r>
      <w:r w:rsidR="003C6D24" w:rsidRPr="00540E96">
        <w:rPr>
          <w:rFonts w:ascii="Cambria" w:hAnsi="Cambria"/>
          <w:sz w:val="20"/>
          <w:szCs w:val="20"/>
          <w:lang w:val="es-VE"/>
        </w:rPr>
        <w:t xml:space="preserve"> los peticionarios parten de su</w:t>
      </w:r>
      <w:r w:rsidR="008E5C3D" w:rsidRPr="00540E96">
        <w:rPr>
          <w:rFonts w:ascii="Cambria" w:hAnsi="Cambria"/>
          <w:sz w:val="20"/>
          <w:szCs w:val="20"/>
          <w:lang w:val="es-VE"/>
        </w:rPr>
        <w:t xml:space="preserve"> </w:t>
      </w:r>
      <w:r w:rsidR="00183032" w:rsidRPr="00540E96">
        <w:rPr>
          <w:rFonts w:ascii="Cambria" w:hAnsi="Cambria"/>
          <w:sz w:val="20"/>
          <w:szCs w:val="20"/>
          <w:lang w:val="es-VE"/>
        </w:rPr>
        <w:t xml:space="preserve">inconformidad </w:t>
      </w:r>
      <w:r w:rsidR="00F450EA" w:rsidRPr="00540E96">
        <w:rPr>
          <w:rFonts w:ascii="Cambria" w:hAnsi="Cambria"/>
          <w:sz w:val="20"/>
          <w:szCs w:val="20"/>
          <w:lang w:val="es-VE"/>
        </w:rPr>
        <w:t>por</w:t>
      </w:r>
      <w:r w:rsidR="00183032" w:rsidRPr="00540E96">
        <w:rPr>
          <w:rFonts w:ascii="Cambria" w:hAnsi="Cambria"/>
          <w:sz w:val="20"/>
          <w:szCs w:val="20"/>
          <w:lang w:val="es-VE"/>
        </w:rPr>
        <w:t xml:space="preserve"> la existencia de la condena civil que fue impuesta de manera solidaria a los periodistas Ronald Moya Chacón y Freddy Parrales Chaves, así como a otros involucrados, “por información falsa publicada en dicho diario </w:t>
      </w:r>
      <w:r w:rsidR="00AC42E5" w:rsidRPr="00540E96">
        <w:rPr>
          <w:rFonts w:ascii="Cambria" w:hAnsi="Cambria"/>
          <w:sz w:val="20"/>
          <w:szCs w:val="20"/>
          <w:lang w:val="es-VE"/>
        </w:rPr>
        <w:t xml:space="preserve">(La Nación) </w:t>
      </w:r>
      <w:r w:rsidR="00183032" w:rsidRPr="00540E96">
        <w:rPr>
          <w:rFonts w:ascii="Cambria" w:hAnsi="Cambria"/>
          <w:sz w:val="20"/>
          <w:szCs w:val="20"/>
          <w:lang w:val="es-VE"/>
        </w:rPr>
        <w:t>de alta circulación nacional</w:t>
      </w:r>
      <w:r w:rsidR="00BA7668" w:rsidRPr="00540E96">
        <w:rPr>
          <w:rFonts w:ascii="Cambria" w:hAnsi="Cambria"/>
          <w:sz w:val="20"/>
          <w:szCs w:val="20"/>
          <w:lang w:val="es-VE"/>
        </w:rPr>
        <w:t>”</w:t>
      </w:r>
      <w:r w:rsidR="00881CF2" w:rsidRPr="00540E96">
        <w:rPr>
          <w:rFonts w:ascii="Cambria" w:hAnsi="Cambria"/>
          <w:sz w:val="20"/>
          <w:szCs w:val="20"/>
          <w:lang w:val="es-VE"/>
        </w:rPr>
        <w:t xml:space="preserve">, </w:t>
      </w:r>
      <w:r w:rsidR="002B6246">
        <w:rPr>
          <w:rFonts w:ascii="Cambria" w:hAnsi="Cambria"/>
          <w:sz w:val="20"/>
          <w:szCs w:val="20"/>
          <w:lang w:val="es-VE"/>
        </w:rPr>
        <w:t xml:space="preserve">por lo que </w:t>
      </w:r>
      <w:r w:rsidR="002B6246" w:rsidRPr="00540E96">
        <w:rPr>
          <w:rFonts w:ascii="Cambria" w:hAnsi="Cambria"/>
          <w:sz w:val="20"/>
          <w:szCs w:val="20"/>
          <w:lang w:val="es-VE"/>
        </w:rPr>
        <w:t>acud</w:t>
      </w:r>
      <w:r w:rsidR="002B6246">
        <w:rPr>
          <w:rFonts w:ascii="Cambria" w:hAnsi="Cambria"/>
          <w:sz w:val="20"/>
          <w:szCs w:val="20"/>
          <w:lang w:val="es-VE"/>
        </w:rPr>
        <w:t xml:space="preserve">en a </w:t>
      </w:r>
      <w:r w:rsidR="00881CF2" w:rsidRPr="00540E96">
        <w:rPr>
          <w:rFonts w:ascii="Cambria" w:hAnsi="Cambria"/>
          <w:sz w:val="20"/>
          <w:szCs w:val="20"/>
          <w:lang w:val="es-VE"/>
        </w:rPr>
        <w:t xml:space="preserve">la CIDH como una cuarta instancia. </w:t>
      </w:r>
      <w:r w:rsidR="00BA7668" w:rsidRPr="00540E96">
        <w:rPr>
          <w:rFonts w:ascii="Cambria" w:hAnsi="Cambria"/>
          <w:sz w:val="20"/>
          <w:szCs w:val="20"/>
          <w:lang w:val="es-VE"/>
        </w:rPr>
        <w:t xml:space="preserve">Asimismo, el Estado señala </w:t>
      </w:r>
      <w:r w:rsidR="00DF0186" w:rsidRPr="00540E96">
        <w:rPr>
          <w:rFonts w:ascii="Cambria" w:hAnsi="Cambria"/>
          <w:sz w:val="20"/>
          <w:szCs w:val="20"/>
          <w:lang w:val="es-VE"/>
        </w:rPr>
        <w:t xml:space="preserve">que los </w:t>
      </w:r>
      <w:r w:rsidR="00881CF2" w:rsidRPr="00540E96">
        <w:rPr>
          <w:rFonts w:ascii="Cambria" w:hAnsi="Cambria"/>
          <w:sz w:val="20"/>
          <w:szCs w:val="20"/>
          <w:lang w:val="es-VE"/>
        </w:rPr>
        <w:t xml:space="preserve">periodistas fueron exonerados de toda responsabilidad penal, no fueron inhabilitados, la condena civil no fue desproporcionada en atención al daño sufrido por la víctima de la información falsa, ni tuvo un efecto inhibidor. Destaca que el pago por concepto de indemnización no se basó en la publicación de </w:t>
      </w:r>
      <w:r w:rsidR="00FF54AB" w:rsidRPr="00540E96">
        <w:rPr>
          <w:rFonts w:ascii="Cambria" w:hAnsi="Cambria"/>
          <w:sz w:val="20"/>
          <w:szCs w:val="20"/>
          <w:lang w:val="es-VE"/>
        </w:rPr>
        <w:t>información</w:t>
      </w:r>
      <w:r w:rsidR="00881CF2" w:rsidRPr="00540E96">
        <w:rPr>
          <w:rFonts w:ascii="Cambria" w:hAnsi="Cambria"/>
          <w:sz w:val="20"/>
          <w:szCs w:val="20"/>
          <w:lang w:val="es-VE"/>
        </w:rPr>
        <w:t xml:space="preserve"> inexacta, sino </w:t>
      </w:r>
      <w:r w:rsidR="004C461A">
        <w:rPr>
          <w:rFonts w:ascii="Cambria" w:hAnsi="Cambria"/>
          <w:sz w:val="20"/>
          <w:szCs w:val="20"/>
          <w:lang w:val="es-VE"/>
        </w:rPr>
        <w:t>en</w:t>
      </w:r>
      <w:r w:rsidR="00881CF2" w:rsidRPr="00540E96">
        <w:rPr>
          <w:rFonts w:ascii="Cambria" w:hAnsi="Cambria"/>
          <w:sz w:val="20"/>
          <w:szCs w:val="20"/>
          <w:lang w:val="es-VE"/>
        </w:rPr>
        <w:t xml:space="preserve"> la circulación de información falsa con la manifiesta despreocupación por confirmar en forma diligente su veracidad con la oficina competente</w:t>
      </w:r>
      <w:r w:rsidR="008D4A0F">
        <w:rPr>
          <w:rFonts w:ascii="Cambria" w:hAnsi="Cambria"/>
          <w:sz w:val="20"/>
          <w:szCs w:val="20"/>
          <w:lang w:val="es-VE"/>
        </w:rPr>
        <w:t>, lo cual</w:t>
      </w:r>
      <w:r w:rsidR="00881CF2" w:rsidRPr="00540E96">
        <w:rPr>
          <w:rFonts w:ascii="Cambria" w:hAnsi="Cambria"/>
          <w:sz w:val="20"/>
          <w:szCs w:val="20"/>
          <w:lang w:val="es-VE"/>
        </w:rPr>
        <w:t xml:space="preserve"> </w:t>
      </w:r>
      <w:r w:rsidR="00B404C5" w:rsidRPr="00540E96">
        <w:rPr>
          <w:rFonts w:ascii="Cambria" w:hAnsi="Cambria"/>
          <w:sz w:val="20"/>
          <w:szCs w:val="20"/>
          <w:lang w:val="es-VE"/>
        </w:rPr>
        <w:t>gener</w:t>
      </w:r>
      <w:r w:rsidR="004055FD" w:rsidRPr="00540E96">
        <w:rPr>
          <w:rFonts w:ascii="Cambria" w:hAnsi="Cambria"/>
          <w:sz w:val="20"/>
          <w:szCs w:val="20"/>
          <w:lang w:val="es-VE"/>
        </w:rPr>
        <w:t>ó un grave daño al honor del señor Trejos Rodríguez ante su comunidad</w:t>
      </w:r>
      <w:r w:rsidR="002B6246">
        <w:rPr>
          <w:rFonts w:ascii="Cambria" w:hAnsi="Cambria"/>
          <w:sz w:val="20"/>
          <w:szCs w:val="20"/>
          <w:lang w:val="es-VE"/>
        </w:rPr>
        <w:t xml:space="preserve"> y </w:t>
      </w:r>
      <w:r w:rsidR="004055FD" w:rsidRPr="00540E96">
        <w:rPr>
          <w:rFonts w:ascii="Cambria" w:hAnsi="Cambria"/>
          <w:sz w:val="20"/>
          <w:szCs w:val="20"/>
          <w:lang w:val="es-VE"/>
        </w:rPr>
        <w:t>entre sus compañeros de trabajo</w:t>
      </w:r>
      <w:r w:rsidR="004C461A">
        <w:rPr>
          <w:rFonts w:ascii="Cambria" w:hAnsi="Cambria"/>
          <w:sz w:val="20"/>
          <w:szCs w:val="20"/>
          <w:lang w:val="es-VE"/>
        </w:rPr>
        <w:t>,</w:t>
      </w:r>
      <w:r w:rsidR="004055FD" w:rsidRPr="00540E96">
        <w:rPr>
          <w:rFonts w:ascii="Cambria" w:hAnsi="Cambria"/>
          <w:sz w:val="20"/>
          <w:szCs w:val="20"/>
          <w:lang w:val="es-VE"/>
        </w:rPr>
        <w:t xml:space="preserve"> e incluso tuvo repercusiones laborales.</w:t>
      </w:r>
    </w:p>
    <w:p w14:paraId="5706CF14" w14:textId="77777777" w:rsidR="00527CAB" w:rsidRPr="00540E96" w:rsidRDefault="00527CAB"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3B4326B4" w14:textId="77777777" w:rsidR="00527CAB" w:rsidRPr="00540E96" w:rsidRDefault="00B86AAB"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 xml:space="preserve">Sobre el proceso iniciado </w:t>
      </w:r>
      <w:r w:rsidR="00FF54AB" w:rsidRPr="00540E96">
        <w:rPr>
          <w:rFonts w:ascii="Cambria" w:hAnsi="Cambria"/>
          <w:sz w:val="20"/>
          <w:szCs w:val="20"/>
          <w:lang w:val="es-VE"/>
        </w:rPr>
        <w:t>en contra de</w:t>
      </w:r>
      <w:r w:rsidRPr="00540E96">
        <w:rPr>
          <w:rFonts w:ascii="Cambria" w:hAnsi="Cambria"/>
          <w:sz w:val="20"/>
          <w:szCs w:val="20"/>
          <w:lang w:val="es-VE"/>
        </w:rPr>
        <w:t xml:space="preserve"> las presuntas víctimas, el Estado sostiene que las resoluciones emanadas de los tribunales de justicia del Estado de Costa Rica “no se contraponen a la Convención al absolver a los imputados de toda responsabilidad penal”</w:t>
      </w:r>
      <w:r w:rsidR="00FF54AB" w:rsidRPr="00540E96">
        <w:rPr>
          <w:rFonts w:ascii="Cambria" w:hAnsi="Cambria"/>
          <w:sz w:val="20"/>
          <w:szCs w:val="20"/>
          <w:lang w:val="es-VE"/>
        </w:rPr>
        <w:t>, debido a que no se comprobó que actuaran con la intenci</w:t>
      </w:r>
      <w:r w:rsidR="00435EA0" w:rsidRPr="00540E96">
        <w:rPr>
          <w:rFonts w:ascii="Cambria" w:hAnsi="Cambria"/>
          <w:sz w:val="20"/>
          <w:szCs w:val="20"/>
          <w:lang w:val="es-VE"/>
        </w:rPr>
        <w:t>ón de causar daño al señor Trejos Rodríguez</w:t>
      </w:r>
      <w:r w:rsidR="00FF54AB" w:rsidRPr="00540E96">
        <w:rPr>
          <w:rFonts w:ascii="Cambria" w:hAnsi="Cambria"/>
          <w:sz w:val="20"/>
          <w:szCs w:val="20"/>
          <w:lang w:val="es-VE"/>
        </w:rPr>
        <w:t xml:space="preserve">, es decir no actuaron con dolo. </w:t>
      </w:r>
      <w:r w:rsidRPr="00540E96">
        <w:rPr>
          <w:rFonts w:ascii="Cambria" w:hAnsi="Cambria"/>
          <w:sz w:val="20"/>
          <w:szCs w:val="20"/>
          <w:lang w:val="es-VE"/>
        </w:rPr>
        <w:t xml:space="preserve">Asimismo, sobre la responsabilidad ulterior de tipo civil, alega que la sanción no se contrapone a la Convención al establecer una “sanción pecuniaria razonable y posterior a la publicación, como una reparación a una lesión a la reputación de un tercero”, </w:t>
      </w:r>
      <w:r w:rsidR="00FF54AB" w:rsidRPr="00540E96">
        <w:rPr>
          <w:rFonts w:ascii="Cambria" w:hAnsi="Cambria"/>
          <w:sz w:val="20"/>
          <w:szCs w:val="20"/>
          <w:lang w:val="es-VE"/>
        </w:rPr>
        <w:t xml:space="preserve">debido a la manifiesta negligencia en la confirmación de las fuentes, </w:t>
      </w:r>
      <w:r w:rsidRPr="00540E96">
        <w:rPr>
          <w:rFonts w:ascii="Cambria" w:hAnsi="Cambria"/>
          <w:sz w:val="20"/>
          <w:szCs w:val="20"/>
          <w:lang w:val="es-VE"/>
        </w:rPr>
        <w:t xml:space="preserve">lo que no representa una violación a la libertad de expresión sino un supuesto de responsabilidad ulterior reconocido en el artículo 13 de la Convención. En este sentido, </w:t>
      </w:r>
      <w:r w:rsidR="002B6246" w:rsidRPr="00540E96">
        <w:rPr>
          <w:rFonts w:ascii="Cambria" w:hAnsi="Cambria"/>
          <w:sz w:val="20"/>
          <w:szCs w:val="20"/>
          <w:lang w:val="es-VE"/>
        </w:rPr>
        <w:t xml:space="preserve">el Estado </w:t>
      </w:r>
      <w:r w:rsidRPr="00540E96">
        <w:rPr>
          <w:rFonts w:ascii="Cambria" w:hAnsi="Cambria"/>
          <w:sz w:val="20"/>
          <w:szCs w:val="20"/>
          <w:lang w:val="es-VE"/>
        </w:rPr>
        <w:t>argumenta que dio cumplimiento al “test tripartito” de acuerdo con los estándares interamericanos</w:t>
      </w:r>
      <w:r w:rsidR="000C1778" w:rsidRPr="00540E96">
        <w:rPr>
          <w:rFonts w:ascii="Cambria" w:hAnsi="Cambria"/>
          <w:sz w:val="20"/>
          <w:szCs w:val="20"/>
          <w:lang w:val="es-VE"/>
        </w:rPr>
        <w:t xml:space="preserve"> y </w:t>
      </w:r>
      <w:r w:rsidR="00E1449A" w:rsidRPr="00540E96">
        <w:rPr>
          <w:rFonts w:ascii="Cambria" w:hAnsi="Cambria"/>
          <w:sz w:val="20"/>
          <w:szCs w:val="20"/>
          <w:lang w:val="es-VE"/>
        </w:rPr>
        <w:t xml:space="preserve">que </w:t>
      </w:r>
      <w:r w:rsidRPr="00540E96">
        <w:rPr>
          <w:rFonts w:ascii="Cambria" w:hAnsi="Cambria"/>
          <w:sz w:val="20"/>
          <w:szCs w:val="20"/>
          <w:lang w:val="es-VE"/>
        </w:rPr>
        <w:t>la me</w:t>
      </w:r>
      <w:r w:rsidR="000C1778" w:rsidRPr="00540E96">
        <w:rPr>
          <w:rFonts w:ascii="Cambria" w:hAnsi="Cambria"/>
          <w:sz w:val="20"/>
          <w:szCs w:val="20"/>
          <w:lang w:val="es-VE"/>
        </w:rPr>
        <w:t>dida era idónea y proporcional.</w:t>
      </w:r>
      <w:r w:rsidR="00063642" w:rsidRPr="00540E96">
        <w:rPr>
          <w:rFonts w:ascii="Cambria" w:hAnsi="Cambria"/>
          <w:sz w:val="20"/>
          <w:szCs w:val="20"/>
          <w:lang w:val="es-VE"/>
        </w:rPr>
        <w:t xml:space="preserve"> Además, e</w:t>
      </w:r>
      <w:r w:rsidR="00BE4127" w:rsidRPr="00540E96">
        <w:rPr>
          <w:rFonts w:ascii="Cambria" w:hAnsi="Cambria"/>
          <w:sz w:val="20"/>
          <w:szCs w:val="20"/>
          <w:lang w:val="es-VE"/>
        </w:rPr>
        <w:t xml:space="preserve">l Estado alega que el funcionario policial afectado por la información falsa contaba con escaso poder de convocatoria pública para controvertir la información en su contra, ya que era un policía de una zona rural, por lo que dicho estándar no le era aplicable. </w:t>
      </w:r>
    </w:p>
    <w:p w14:paraId="1A30AB93" w14:textId="77777777" w:rsidR="00527CAB" w:rsidRPr="00540E96" w:rsidRDefault="00527CAB"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5832D442" w14:textId="77777777" w:rsidR="00E1449A" w:rsidRPr="00616B34" w:rsidRDefault="00E1449A" w:rsidP="002B624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 xml:space="preserve">Por otro lado, </w:t>
      </w:r>
      <w:r w:rsidR="002B6246" w:rsidRPr="00540E96">
        <w:rPr>
          <w:rFonts w:ascii="Cambria" w:hAnsi="Cambria"/>
          <w:sz w:val="20"/>
          <w:szCs w:val="20"/>
          <w:lang w:val="es-VE"/>
        </w:rPr>
        <w:t xml:space="preserve">el Estado indica que </w:t>
      </w:r>
      <w:r w:rsidR="002B6246">
        <w:rPr>
          <w:rFonts w:ascii="Cambria" w:hAnsi="Cambria"/>
          <w:sz w:val="20"/>
          <w:szCs w:val="20"/>
          <w:lang w:val="es-VE"/>
        </w:rPr>
        <w:t>la exigencia de</w:t>
      </w:r>
      <w:r w:rsidR="002B6246" w:rsidRPr="00540E96">
        <w:rPr>
          <w:rFonts w:ascii="Cambria" w:hAnsi="Cambria"/>
          <w:sz w:val="20"/>
          <w:szCs w:val="20"/>
          <w:lang w:val="es-VE"/>
        </w:rPr>
        <w:t xml:space="preserve"> la “veracidad de la información” no atenta contra la Convención ya que la condena civil tuvo su fundamento en la existencia de una falta de diligencia</w:t>
      </w:r>
      <w:r w:rsidR="002B6246">
        <w:rPr>
          <w:rFonts w:ascii="Cambria" w:hAnsi="Cambria"/>
          <w:sz w:val="20"/>
          <w:szCs w:val="20"/>
          <w:lang w:val="es-VE"/>
        </w:rPr>
        <w:t xml:space="preserve"> al no</w:t>
      </w:r>
      <w:r w:rsidR="002B6246" w:rsidRPr="00540E96">
        <w:rPr>
          <w:rFonts w:ascii="Cambria" w:hAnsi="Cambria"/>
          <w:sz w:val="20"/>
          <w:szCs w:val="20"/>
          <w:lang w:val="es-VE"/>
        </w:rPr>
        <w:t xml:space="preserve"> confirmar mediante los mecanismos apropiados</w:t>
      </w:r>
      <w:r w:rsidR="002B6246">
        <w:rPr>
          <w:rFonts w:ascii="Cambria" w:hAnsi="Cambria"/>
          <w:sz w:val="20"/>
          <w:szCs w:val="20"/>
          <w:lang w:val="es-VE"/>
        </w:rPr>
        <w:t xml:space="preserve"> </w:t>
      </w:r>
      <w:r w:rsidR="002B6246" w:rsidRPr="00540E96">
        <w:rPr>
          <w:rFonts w:ascii="Cambria" w:hAnsi="Cambria"/>
          <w:sz w:val="20"/>
          <w:szCs w:val="20"/>
          <w:lang w:val="es-VE"/>
        </w:rPr>
        <w:t>información de carácter altamente sensible para la reputación</w:t>
      </w:r>
      <w:r w:rsidR="002B6246">
        <w:rPr>
          <w:rFonts w:ascii="Cambria" w:hAnsi="Cambria"/>
          <w:sz w:val="20"/>
          <w:szCs w:val="20"/>
          <w:lang w:val="es-VE"/>
        </w:rPr>
        <w:t xml:space="preserve">. </w:t>
      </w:r>
      <w:r w:rsidR="002B6246" w:rsidRPr="00540E96">
        <w:rPr>
          <w:rFonts w:ascii="Cambria" w:hAnsi="Cambria"/>
          <w:sz w:val="20"/>
          <w:szCs w:val="20"/>
          <w:lang w:val="es-VE"/>
        </w:rPr>
        <w:t xml:space="preserve">El Estado destaca que el Ministro de Seguridad que confirmó la información no era la fuente adecuada para corroborar la existencia y pormenores de una investigación conducida por una Fiscalía, adscrita al Poder Judicial de la República, por lo que este último contaba con la información para la confirmación correspondiente. Alega que no es suficiente que la información sea confirmada por una “fuente oficial” sino por un mecanismo apropiado y competente para ello. </w:t>
      </w:r>
      <w:r w:rsidR="002B6246">
        <w:rPr>
          <w:rFonts w:ascii="Cambria" w:hAnsi="Cambria"/>
          <w:sz w:val="20"/>
          <w:szCs w:val="20"/>
          <w:lang w:val="es-VE"/>
        </w:rPr>
        <w:t>Asimismo, señala</w:t>
      </w:r>
      <w:r w:rsidR="002B6246" w:rsidRPr="00540E96">
        <w:rPr>
          <w:rFonts w:ascii="Cambria" w:hAnsi="Cambria"/>
          <w:sz w:val="20"/>
          <w:szCs w:val="20"/>
          <w:lang w:val="es-VE"/>
        </w:rPr>
        <w:t xml:space="preserve"> que la afirmación de los peticionarios respecto de que la oficina de prensa del Poder Judicial solo informaba sobre </w:t>
      </w:r>
      <w:r w:rsidR="00351505" w:rsidRPr="00540E96">
        <w:rPr>
          <w:rFonts w:ascii="Cambria" w:hAnsi="Cambria"/>
          <w:sz w:val="20"/>
          <w:szCs w:val="20"/>
          <w:lang w:val="es-VE"/>
        </w:rPr>
        <w:t>asuntos en</w:t>
      </w:r>
      <w:r w:rsidR="002B6246" w:rsidRPr="00540E96">
        <w:rPr>
          <w:rFonts w:ascii="Cambria" w:hAnsi="Cambria"/>
          <w:sz w:val="20"/>
          <w:szCs w:val="20"/>
          <w:lang w:val="es-VE"/>
        </w:rPr>
        <w:t xml:space="preserve"> trámite judicial pero no sobre causas en trámite ante Fiscalías, era falsa. Esto, debido a </w:t>
      </w:r>
      <w:r w:rsidR="00351505" w:rsidRPr="00540E96">
        <w:rPr>
          <w:rFonts w:ascii="Cambria" w:hAnsi="Cambria"/>
          <w:sz w:val="20"/>
          <w:szCs w:val="20"/>
          <w:lang w:val="es-VE"/>
        </w:rPr>
        <w:t>que,</w:t>
      </w:r>
      <w:r w:rsidR="002B6246" w:rsidRPr="00540E96">
        <w:rPr>
          <w:rFonts w:ascii="Cambria" w:hAnsi="Cambria"/>
          <w:sz w:val="20"/>
          <w:szCs w:val="20"/>
          <w:lang w:val="es-VE"/>
        </w:rPr>
        <w:t xml:space="preserve"> </w:t>
      </w:r>
      <w:r w:rsidR="002B6246">
        <w:rPr>
          <w:rFonts w:ascii="Cambria" w:hAnsi="Cambria"/>
          <w:sz w:val="20"/>
          <w:szCs w:val="20"/>
          <w:lang w:val="es-VE"/>
        </w:rPr>
        <w:t xml:space="preserve">con </w:t>
      </w:r>
      <w:r w:rsidR="002B6246" w:rsidRPr="00540E96">
        <w:rPr>
          <w:rFonts w:ascii="Cambria" w:hAnsi="Cambria"/>
          <w:sz w:val="20"/>
          <w:szCs w:val="20"/>
          <w:lang w:val="es-VE"/>
        </w:rPr>
        <w:t>ante</w:t>
      </w:r>
      <w:r w:rsidR="002B6246">
        <w:rPr>
          <w:rFonts w:ascii="Cambria" w:hAnsi="Cambria"/>
          <w:sz w:val="20"/>
          <w:szCs w:val="20"/>
          <w:lang w:val="es-VE"/>
        </w:rPr>
        <w:t>rioridad</w:t>
      </w:r>
      <w:r w:rsidR="002B6246" w:rsidRPr="00540E96">
        <w:rPr>
          <w:rFonts w:ascii="Cambria" w:hAnsi="Cambria"/>
          <w:sz w:val="20"/>
          <w:szCs w:val="20"/>
          <w:lang w:val="es-VE"/>
        </w:rPr>
        <w:t xml:space="preserve"> </w:t>
      </w:r>
      <w:r w:rsidR="002B6246">
        <w:rPr>
          <w:rFonts w:ascii="Cambria" w:hAnsi="Cambria"/>
          <w:sz w:val="20"/>
          <w:szCs w:val="20"/>
          <w:lang w:val="es-VE"/>
        </w:rPr>
        <w:t>a</w:t>
      </w:r>
      <w:r w:rsidR="002B6246" w:rsidRPr="00540E96">
        <w:rPr>
          <w:rFonts w:ascii="Cambria" w:hAnsi="Cambria"/>
          <w:sz w:val="20"/>
          <w:szCs w:val="20"/>
          <w:lang w:val="es-VE"/>
        </w:rPr>
        <w:t xml:space="preserve"> la creación del área de prensa del Ministerio Público en el 2008, la oficina de prensa del Poder Judicial también atendía consultas de casos en investigación fiscal de todo el territorio nacional. Igualmente, alega que “la falsedad de la información fue conocid</w:t>
      </w:r>
      <w:r w:rsidR="002B6246">
        <w:rPr>
          <w:rFonts w:ascii="Cambria" w:hAnsi="Cambria"/>
          <w:sz w:val="20"/>
          <w:szCs w:val="20"/>
          <w:lang w:val="es-VE"/>
        </w:rPr>
        <w:t>a</w:t>
      </w:r>
      <w:r w:rsidR="002B6246" w:rsidRPr="00540E96">
        <w:rPr>
          <w:rFonts w:ascii="Cambria" w:hAnsi="Cambria"/>
          <w:sz w:val="20"/>
          <w:szCs w:val="20"/>
          <w:lang w:val="es-VE"/>
        </w:rPr>
        <w:t xml:space="preserve"> por ambos Tribunales, y desarrollad</w:t>
      </w:r>
      <w:r w:rsidR="002B6246">
        <w:rPr>
          <w:rFonts w:ascii="Cambria" w:hAnsi="Cambria"/>
          <w:sz w:val="20"/>
          <w:szCs w:val="20"/>
          <w:lang w:val="es-VE"/>
        </w:rPr>
        <w:t>a</w:t>
      </w:r>
      <w:r w:rsidR="002B6246" w:rsidRPr="00540E96">
        <w:rPr>
          <w:rFonts w:ascii="Cambria" w:hAnsi="Cambria"/>
          <w:sz w:val="20"/>
          <w:szCs w:val="20"/>
          <w:lang w:val="es-VE"/>
        </w:rPr>
        <w:t xml:space="preserve"> en las sentencias, por ser el argumento base de la defensa de los peticionarios, quienes interpusieron una excepción de verdad intentando probar que las manifestaciones publicadas eran una verdad objetiva”; y también señala que “los quejosos enarbolaron la verdad de lo informado como su defensa, </w:t>
      </w:r>
      <w:r w:rsidR="00351505" w:rsidRPr="00540E96">
        <w:rPr>
          <w:rFonts w:ascii="Cambria" w:hAnsi="Cambria"/>
          <w:sz w:val="20"/>
          <w:szCs w:val="20"/>
          <w:lang w:val="es-VE"/>
        </w:rPr>
        <w:t>quedando demostrado</w:t>
      </w:r>
      <w:r w:rsidR="002B6246" w:rsidRPr="00540E96">
        <w:rPr>
          <w:rFonts w:ascii="Cambria" w:hAnsi="Cambria"/>
          <w:sz w:val="20"/>
          <w:szCs w:val="20"/>
          <w:lang w:val="es-VE"/>
        </w:rPr>
        <w:t xml:space="preserve"> en el transcurso del proceso que lo informad</w:t>
      </w:r>
      <w:r w:rsidR="004D0BB9">
        <w:rPr>
          <w:rFonts w:ascii="Cambria" w:hAnsi="Cambria"/>
          <w:sz w:val="20"/>
          <w:szCs w:val="20"/>
          <w:lang w:val="es-VE"/>
        </w:rPr>
        <w:t>o</w:t>
      </w:r>
      <w:r w:rsidR="002B6246" w:rsidRPr="00540E96">
        <w:rPr>
          <w:rFonts w:ascii="Cambria" w:hAnsi="Cambria"/>
          <w:sz w:val="20"/>
          <w:szCs w:val="20"/>
          <w:lang w:val="es-VE"/>
        </w:rPr>
        <w:t xml:space="preserve"> era falso”. </w:t>
      </w:r>
    </w:p>
    <w:p w14:paraId="3105C81C" w14:textId="77777777" w:rsidR="00527CAB" w:rsidRPr="00540E96" w:rsidRDefault="00527CAB"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45DAB5BC" w14:textId="77777777" w:rsidR="00183032" w:rsidRPr="00540E96" w:rsidRDefault="00DB0602"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Sobre la admisión de los artículos 8 y 25 en el informe de admisibilidad de la CIDH, e</w:t>
      </w:r>
      <w:r w:rsidR="00183032" w:rsidRPr="00540E96">
        <w:rPr>
          <w:rFonts w:ascii="Cambria" w:hAnsi="Cambria"/>
          <w:sz w:val="20"/>
          <w:szCs w:val="20"/>
          <w:lang w:val="es-VE"/>
        </w:rPr>
        <w:t xml:space="preserve">l Estado </w:t>
      </w:r>
      <w:r w:rsidR="0073710D" w:rsidRPr="00540E96">
        <w:rPr>
          <w:rFonts w:ascii="Cambria" w:hAnsi="Cambria"/>
          <w:sz w:val="20"/>
          <w:szCs w:val="20"/>
          <w:lang w:val="es-VE"/>
        </w:rPr>
        <w:t xml:space="preserve">alega </w:t>
      </w:r>
      <w:r w:rsidRPr="00540E96">
        <w:rPr>
          <w:rFonts w:ascii="Cambria" w:hAnsi="Cambria"/>
          <w:sz w:val="20"/>
          <w:szCs w:val="20"/>
          <w:lang w:val="es-VE"/>
        </w:rPr>
        <w:t xml:space="preserve">que la Comisión </w:t>
      </w:r>
      <w:r w:rsidR="0073710D" w:rsidRPr="00540E96">
        <w:rPr>
          <w:rFonts w:ascii="Cambria" w:hAnsi="Cambria"/>
          <w:sz w:val="20"/>
          <w:szCs w:val="20"/>
          <w:lang w:val="es-VE"/>
        </w:rPr>
        <w:t xml:space="preserve">no </w:t>
      </w:r>
      <w:r w:rsidRPr="00540E96">
        <w:rPr>
          <w:rFonts w:ascii="Cambria" w:hAnsi="Cambria"/>
          <w:sz w:val="20"/>
          <w:szCs w:val="20"/>
          <w:lang w:val="es-VE"/>
        </w:rPr>
        <w:t>señal</w:t>
      </w:r>
      <w:r w:rsidR="0073710D" w:rsidRPr="00540E96">
        <w:rPr>
          <w:rFonts w:ascii="Cambria" w:hAnsi="Cambria"/>
          <w:sz w:val="20"/>
          <w:szCs w:val="20"/>
          <w:lang w:val="es-VE"/>
        </w:rPr>
        <w:t>ó</w:t>
      </w:r>
      <w:r w:rsidRPr="00540E96">
        <w:rPr>
          <w:rFonts w:ascii="Cambria" w:hAnsi="Cambria"/>
          <w:sz w:val="20"/>
          <w:szCs w:val="20"/>
          <w:lang w:val="es-VE"/>
        </w:rPr>
        <w:t xml:space="preserve"> las razones para esta inclusión</w:t>
      </w:r>
      <w:r w:rsidR="0073710D" w:rsidRPr="00540E96">
        <w:rPr>
          <w:rFonts w:ascii="Cambria" w:hAnsi="Cambria"/>
          <w:sz w:val="20"/>
          <w:szCs w:val="20"/>
          <w:lang w:val="es-VE"/>
        </w:rPr>
        <w:t>, máxime cuando la violación de dichos artículos no fue alegada en la petici</w:t>
      </w:r>
      <w:r w:rsidR="005C7879" w:rsidRPr="00540E96">
        <w:rPr>
          <w:rFonts w:ascii="Cambria" w:hAnsi="Cambria"/>
          <w:sz w:val="20"/>
          <w:szCs w:val="20"/>
          <w:lang w:val="es-VE"/>
        </w:rPr>
        <w:t>ón inicial. E</w:t>
      </w:r>
      <w:r w:rsidR="0073710D" w:rsidRPr="00540E96">
        <w:rPr>
          <w:rFonts w:ascii="Cambria" w:hAnsi="Cambria"/>
          <w:sz w:val="20"/>
          <w:szCs w:val="20"/>
          <w:lang w:val="es-VE"/>
        </w:rPr>
        <w:t xml:space="preserve">l Estado </w:t>
      </w:r>
      <w:r w:rsidR="005C7879" w:rsidRPr="00540E96">
        <w:rPr>
          <w:rFonts w:ascii="Cambria" w:hAnsi="Cambria"/>
          <w:sz w:val="20"/>
          <w:szCs w:val="20"/>
          <w:lang w:val="es-VE"/>
        </w:rPr>
        <w:t xml:space="preserve">destaca que </w:t>
      </w:r>
      <w:r w:rsidR="0073710D" w:rsidRPr="00540E96">
        <w:rPr>
          <w:rFonts w:ascii="Cambria" w:hAnsi="Cambria"/>
          <w:sz w:val="20"/>
          <w:szCs w:val="20"/>
          <w:lang w:val="es-VE"/>
        </w:rPr>
        <w:t>no tuvo la oportunidad</w:t>
      </w:r>
      <w:r w:rsidR="005C7879" w:rsidRPr="00540E96">
        <w:rPr>
          <w:rFonts w:ascii="Cambria" w:hAnsi="Cambria"/>
          <w:sz w:val="20"/>
          <w:szCs w:val="20"/>
          <w:lang w:val="es-VE"/>
        </w:rPr>
        <w:t>,</w:t>
      </w:r>
      <w:r w:rsidR="0073710D" w:rsidRPr="00540E96">
        <w:rPr>
          <w:rFonts w:ascii="Cambria" w:hAnsi="Cambria"/>
          <w:sz w:val="20"/>
          <w:szCs w:val="20"/>
          <w:lang w:val="es-VE"/>
        </w:rPr>
        <w:t xml:space="preserve"> en ningún momento previo a la adopción del informe de admisibilidad</w:t>
      </w:r>
      <w:r w:rsidR="005C7879" w:rsidRPr="00540E96">
        <w:rPr>
          <w:rFonts w:ascii="Cambria" w:hAnsi="Cambria"/>
          <w:sz w:val="20"/>
          <w:szCs w:val="20"/>
          <w:lang w:val="es-VE"/>
        </w:rPr>
        <w:t>,</w:t>
      </w:r>
      <w:r w:rsidR="0073710D" w:rsidRPr="00540E96">
        <w:rPr>
          <w:rFonts w:ascii="Cambria" w:hAnsi="Cambria"/>
          <w:sz w:val="20"/>
          <w:szCs w:val="20"/>
          <w:lang w:val="es-VE"/>
        </w:rPr>
        <w:t xml:space="preserve"> </w:t>
      </w:r>
      <w:r w:rsidR="005C7879" w:rsidRPr="00540E96">
        <w:rPr>
          <w:rFonts w:ascii="Cambria" w:hAnsi="Cambria"/>
          <w:sz w:val="20"/>
          <w:szCs w:val="20"/>
          <w:lang w:val="es-VE"/>
        </w:rPr>
        <w:t>de</w:t>
      </w:r>
      <w:r w:rsidR="0073710D" w:rsidRPr="00540E96">
        <w:rPr>
          <w:rFonts w:ascii="Cambria" w:hAnsi="Cambria"/>
          <w:sz w:val="20"/>
          <w:szCs w:val="20"/>
          <w:lang w:val="es-VE"/>
        </w:rPr>
        <w:t xml:space="preserve"> presentar alegatos respecto a dichos derechos, en particular en relación con el requisito de agotamiento de los recursos internos.</w:t>
      </w:r>
      <w:r w:rsidR="008C710E" w:rsidRPr="00540E96">
        <w:rPr>
          <w:rFonts w:ascii="Cambria" w:hAnsi="Cambria"/>
          <w:sz w:val="20"/>
          <w:szCs w:val="20"/>
          <w:lang w:val="es-VE"/>
        </w:rPr>
        <w:t xml:space="preserve"> El Estado indica que los peticionarios nunca alegaron ante la Comisión la violación al derecho a recurrir el fallo y que, incluso después</w:t>
      </w:r>
      <w:r w:rsidR="00BC7E4F" w:rsidRPr="00540E96">
        <w:rPr>
          <w:rFonts w:ascii="Cambria" w:hAnsi="Cambria"/>
          <w:sz w:val="20"/>
          <w:szCs w:val="20"/>
          <w:lang w:val="es-VE"/>
        </w:rPr>
        <w:t xml:space="preserve"> del</w:t>
      </w:r>
      <w:r w:rsidR="008C710E" w:rsidRPr="00540E96">
        <w:rPr>
          <w:rFonts w:ascii="Cambria" w:hAnsi="Cambria"/>
          <w:sz w:val="20"/>
          <w:szCs w:val="20"/>
          <w:lang w:val="es-VE"/>
        </w:rPr>
        <w:t xml:space="preserve"> fallo en el caso Herrera Ulloa, en ejercicio pleno de sus derechos presentaron los reclamos que consideraron </w:t>
      </w:r>
      <w:r w:rsidR="00BC7E4F" w:rsidRPr="00540E96">
        <w:rPr>
          <w:rFonts w:ascii="Cambria" w:hAnsi="Cambria"/>
          <w:sz w:val="20"/>
          <w:szCs w:val="20"/>
          <w:lang w:val="es-VE"/>
        </w:rPr>
        <w:t>pertinentes</w:t>
      </w:r>
      <w:r w:rsidR="008C710E" w:rsidRPr="00540E96">
        <w:rPr>
          <w:rFonts w:ascii="Cambria" w:hAnsi="Cambria"/>
          <w:sz w:val="20"/>
          <w:szCs w:val="20"/>
          <w:lang w:val="es-VE"/>
        </w:rPr>
        <w:t xml:space="preserve"> en virtud de la Ley de Apertura de Casación Penal (Ley No. 8503 de 2006). El Estado manifiesta que incluso despu</w:t>
      </w:r>
      <w:r w:rsidR="00BC7E4F" w:rsidRPr="00540E96">
        <w:rPr>
          <w:rFonts w:ascii="Cambria" w:hAnsi="Cambria"/>
          <w:sz w:val="20"/>
          <w:szCs w:val="20"/>
          <w:lang w:val="es-VE"/>
        </w:rPr>
        <w:t>és de l</w:t>
      </w:r>
      <w:r w:rsidR="008C710E" w:rsidRPr="00540E96">
        <w:rPr>
          <w:rFonts w:ascii="Cambria" w:hAnsi="Cambria"/>
          <w:sz w:val="20"/>
          <w:szCs w:val="20"/>
          <w:lang w:val="es-VE"/>
        </w:rPr>
        <w:t xml:space="preserve">a aprobación de la Ley No. 8837 de 2010 que creó el recurso de apelación, </w:t>
      </w:r>
      <w:r w:rsidR="004D0BB9" w:rsidRPr="00540E96">
        <w:rPr>
          <w:rFonts w:ascii="Cambria" w:hAnsi="Cambria"/>
          <w:sz w:val="20"/>
          <w:szCs w:val="20"/>
          <w:lang w:val="es-VE"/>
        </w:rPr>
        <w:t>la</w:t>
      </w:r>
      <w:r w:rsidR="004D0BB9">
        <w:rPr>
          <w:rFonts w:ascii="Cambria" w:hAnsi="Cambria"/>
          <w:sz w:val="20"/>
          <w:szCs w:val="20"/>
          <w:lang w:val="es-VE"/>
        </w:rPr>
        <w:t>s</w:t>
      </w:r>
      <w:r w:rsidR="004D0BB9" w:rsidRPr="00540E96">
        <w:rPr>
          <w:rFonts w:ascii="Cambria" w:hAnsi="Cambria"/>
          <w:sz w:val="20"/>
          <w:szCs w:val="20"/>
          <w:lang w:val="es-VE"/>
        </w:rPr>
        <w:t xml:space="preserve"> presunta</w:t>
      </w:r>
      <w:r w:rsidR="004D0BB9">
        <w:rPr>
          <w:rFonts w:ascii="Cambria" w:hAnsi="Cambria"/>
          <w:sz w:val="20"/>
          <w:szCs w:val="20"/>
          <w:lang w:val="es-VE"/>
        </w:rPr>
        <w:t>s</w:t>
      </w:r>
      <w:r w:rsidR="004D0BB9" w:rsidRPr="00540E96">
        <w:rPr>
          <w:rFonts w:ascii="Cambria" w:hAnsi="Cambria"/>
          <w:sz w:val="20"/>
          <w:szCs w:val="20"/>
          <w:lang w:val="es-VE"/>
        </w:rPr>
        <w:t xml:space="preserve"> víctima</w:t>
      </w:r>
      <w:r w:rsidR="004D0BB9">
        <w:rPr>
          <w:rFonts w:ascii="Cambria" w:hAnsi="Cambria"/>
          <w:sz w:val="20"/>
          <w:szCs w:val="20"/>
          <w:lang w:val="es-VE"/>
        </w:rPr>
        <w:t>s</w:t>
      </w:r>
      <w:r w:rsidR="004D0BB9" w:rsidRPr="00540E96">
        <w:rPr>
          <w:rFonts w:ascii="Cambria" w:hAnsi="Cambria"/>
          <w:sz w:val="20"/>
          <w:szCs w:val="20"/>
          <w:lang w:val="es-VE"/>
        </w:rPr>
        <w:t xml:space="preserve"> </w:t>
      </w:r>
      <w:r w:rsidR="008C710E" w:rsidRPr="00540E96">
        <w:rPr>
          <w:rFonts w:ascii="Cambria" w:hAnsi="Cambria"/>
          <w:sz w:val="20"/>
          <w:szCs w:val="20"/>
          <w:lang w:val="es-VE"/>
        </w:rPr>
        <w:t>tampoco interpus</w:t>
      </w:r>
      <w:r w:rsidR="004D0BB9">
        <w:rPr>
          <w:rFonts w:ascii="Cambria" w:hAnsi="Cambria"/>
          <w:sz w:val="20"/>
          <w:szCs w:val="20"/>
          <w:lang w:val="es-VE"/>
        </w:rPr>
        <w:t>ieron</w:t>
      </w:r>
      <w:r w:rsidR="008C710E" w:rsidRPr="00540E96">
        <w:rPr>
          <w:rFonts w:ascii="Cambria" w:hAnsi="Cambria"/>
          <w:sz w:val="20"/>
          <w:szCs w:val="20"/>
          <w:lang w:val="es-VE"/>
        </w:rPr>
        <w:t xml:space="preserve"> </w:t>
      </w:r>
      <w:r w:rsidR="004D0BB9">
        <w:rPr>
          <w:rFonts w:ascii="Cambria" w:hAnsi="Cambria"/>
          <w:sz w:val="20"/>
          <w:szCs w:val="20"/>
          <w:lang w:val="es-VE"/>
        </w:rPr>
        <w:t xml:space="preserve">un </w:t>
      </w:r>
      <w:r w:rsidR="008C710E" w:rsidRPr="00540E96">
        <w:rPr>
          <w:rFonts w:ascii="Cambria" w:hAnsi="Cambria"/>
          <w:sz w:val="20"/>
          <w:szCs w:val="20"/>
          <w:lang w:val="es-VE"/>
        </w:rPr>
        <w:t xml:space="preserve">reclamo relacionado con la revisión integral del fallo con base en la Revisión Especial </w:t>
      </w:r>
      <w:r w:rsidR="00BC7E4F" w:rsidRPr="00540E96">
        <w:rPr>
          <w:rFonts w:ascii="Cambria" w:hAnsi="Cambria"/>
          <w:sz w:val="20"/>
          <w:szCs w:val="20"/>
          <w:lang w:val="es-VE"/>
        </w:rPr>
        <w:lastRenderedPageBreak/>
        <w:t>prevista</w:t>
      </w:r>
      <w:r w:rsidR="008C710E" w:rsidRPr="00540E96">
        <w:rPr>
          <w:rFonts w:ascii="Cambria" w:hAnsi="Cambria"/>
          <w:sz w:val="20"/>
          <w:szCs w:val="20"/>
          <w:lang w:val="es-VE"/>
        </w:rPr>
        <w:t xml:space="preserve"> en su Transitorio III. En este sentido, el Estado argumenta que esta falta de </w:t>
      </w:r>
      <w:r w:rsidR="00BC7E4F" w:rsidRPr="00540E96">
        <w:rPr>
          <w:rFonts w:ascii="Cambria" w:hAnsi="Cambria"/>
          <w:sz w:val="20"/>
          <w:szCs w:val="20"/>
          <w:lang w:val="es-VE"/>
        </w:rPr>
        <w:t>agotamiento</w:t>
      </w:r>
      <w:r w:rsidR="008C710E" w:rsidRPr="00540E96">
        <w:rPr>
          <w:rFonts w:ascii="Cambria" w:hAnsi="Cambria"/>
          <w:sz w:val="20"/>
          <w:szCs w:val="20"/>
          <w:lang w:val="es-VE"/>
        </w:rPr>
        <w:t xml:space="preserve"> interno no pudo ser alegada en la etapa de admisibilidad </w:t>
      </w:r>
      <w:r w:rsidR="00BC7E4F" w:rsidRPr="00540E96">
        <w:rPr>
          <w:rFonts w:ascii="Cambria" w:hAnsi="Cambria"/>
          <w:sz w:val="20"/>
          <w:szCs w:val="20"/>
          <w:lang w:val="es-VE"/>
        </w:rPr>
        <w:t>debido a que</w:t>
      </w:r>
      <w:r w:rsidR="008C710E" w:rsidRPr="00540E96">
        <w:rPr>
          <w:rFonts w:ascii="Cambria" w:hAnsi="Cambria"/>
          <w:sz w:val="20"/>
          <w:szCs w:val="20"/>
          <w:lang w:val="es-VE"/>
        </w:rPr>
        <w:t xml:space="preserve"> fue hasta el informe de admisibilidad que la Comisión incluyó la violación de los artículos 8 y 25 de la Convención,</w:t>
      </w:r>
      <w:r w:rsidRPr="00540E96">
        <w:rPr>
          <w:rFonts w:ascii="Cambria" w:hAnsi="Cambria"/>
          <w:sz w:val="20"/>
          <w:szCs w:val="20"/>
          <w:lang w:val="es-VE"/>
        </w:rPr>
        <w:t xml:space="preserve"> lo que a su criterio atenta contra la seguridad jurídica del </w:t>
      </w:r>
      <w:r w:rsidR="008C710E" w:rsidRPr="00540E96">
        <w:rPr>
          <w:rFonts w:ascii="Cambria" w:hAnsi="Cambria"/>
          <w:sz w:val="20"/>
          <w:szCs w:val="20"/>
          <w:lang w:val="es-VE"/>
        </w:rPr>
        <w:t>sistema interamericano</w:t>
      </w:r>
      <w:r w:rsidRPr="00540E96">
        <w:rPr>
          <w:rFonts w:ascii="Cambria" w:hAnsi="Cambria"/>
          <w:sz w:val="20"/>
          <w:szCs w:val="20"/>
          <w:lang w:val="es-VE"/>
        </w:rPr>
        <w:t xml:space="preserve"> y </w:t>
      </w:r>
      <w:r w:rsidR="008C710E" w:rsidRPr="00540E96">
        <w:rPr>
          <w:rFonts w:ascii="Cambria" w:hAnsi="Cambria"/>
          <w:sz w:val="20"/>
          <w:szCs w:val="20"/>
          <w:lang w:val="es-VE"/>
        </w:rPr>
        <w:t xml:space="preserve">genera una situación de </w:t>
      </w:r>
      <w:r w:rsidRPr="00540E96">
        <w:rPr>
          <w:rFonts w:ascii="Cambria" w:hAnsi="Cambria"/>
          <w:sz w:val="20"/>
          <w:szCs w:val="20"/>
          <w:lang w:val="es-VE"/>
        </w:rPr>
        <w:t xml:space="preserve">indefensión </w:t>
      </w:r>
      <w:r w:rsidR="00BC7E4F" w:rsidRPr="00540E96">
        <w:rPr>
          <w:rFonts w:ascii="Cambria" w:hAnsi="Cambria"/>
          <w:sz w:val="20"/>
          <w:szCs w:val="20"/>
          <w:lang w:val="es-VE"/>
        </w:rPr>
        <w:t xml:space="preserve">para </w:t>
      </w:r>
      <w:r w:rsidRPr="00540E96">
        <w:rPr>
          <w:rFonts w:ascii="Cambria" w:hAnsi="Cambria"/>
          <w:sz w:val="20"/>
          <w:szCs w:val="20"/>
          <w:lang w:val="es-VE"/>
        </w:rPr>
        <w:t xml:space="preserve">el Estado. </w:t>
      </w:r>
    </w:p>
    <w:p w14:paraId="727AC5C9" w14:textId="77777777" w:rsidR="00527CAB" w:rsidRPr="00540E96" w:rsidRDefault="00527CAB"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6B029DB6" w14:textId="77777777" w:rsidR="00183032" w:rsidRPr="00540E96" w:rsidRDefault="00DB0602"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0" w:firstLine="0"/>
        <w:jc w:val="both"/>
        <w:rPr>
          <w:rFonts w:ascii="Cambria" w:hAnsi="Cambria"/>
          <w:sz w:val="20"/>
          <w:szCs w:val="20"/>
          <w:lang w:val="es-VE"/>
        </w:rPr>
      </w:pPr>
      <w:r w:rsidRPr="00540E96">
        <w:rPr>
          <w:rFonts w:ascii="Cambria" w:hAnsi="Cambria"/>
          <w:sz w:val="20"/>
          <w:szCs w:val="20"/>
          <w:lang w:val="es-VE"/>
        </w:rPr>
        <w:t xml:space="preserve">Respecto a la competencia de la </w:t>
      </w:r>
      <w:r w:rsidR="00E1449A" w:rsidRPr="00540E96">
        <w:rPr>
          <w:rFonts w:ascii="Cambria" w:hAnsi="Cambria"/>
          <w:sz w:val="20"/>
          <w:szCs w:val="20"/>
          <w:lang w:val="es-VE"/>
        </w:rPr>
        <w:t xml:space="preserve">Corte Suprema para analizar el monto de la </w:t>
      </w:r>
      <w:r w:rsidR="0017199C" w:rsidRPr="00540E96">
        <w:rPr>
          <w:rFonts w:ascii="Cambria" w:hAnsi="Cambria"/>
          <w:sz w:val="20"/>
          <w:szCs w:val="20"/>
          <w:lang w:val="es-VE"/>
        </w:rPr>
        <w:t>reparación</w:t>
      </w:r>
      <w:r w:rsidR="00E1449A" w:rsidRPr="00540E96">
        <w:rPr>
          <w:rFonts w:ascii="Cambria" w:hAnsi="Cambria"/>
          <w:sz w:val="20"/>
          <w:szCs w:val="20"/>
          <w:lang w:val="es-VE"/>
        </w:rPr>
        <w:t xml:space="preserve"> civil a través de una </w:t>
      </w:r>
      <w:r w:rsidR="00866331">
        <w:rPr>
          <w:rFonts w:ascii="Cambria" w:hAnsi="Cambria"/>
          <w:sz w:val="20"/>
          <w:szCs w:val="20"/>
          <w:lang w:val="es-VE"/>
        </w:rPr>
        <w:t>c</w:t>
      </w:r>
      <w:r w:rsidR="00E1449A" w:rsidRPr="00540E96">
        <w:rPr>
          <w:rFonts w:ascii="Cambria" w:hAnsi="Cambria"/>
          <w:sz w:val="20"/>
          <w:szCs w:val="20"/>
          <w:lang w:val="es-VE"/>
        </w:rPr>
        <w:t>asación</w:t>
      </w:r>
      <w:r w:rsidR="0017199C" w:rsidRPr="00540E96">
        <w:rPr>
          <w:rFonts w:ascii="Cambria" w:hAnsi="Cambria"/>
          <w:sz w:val="20"/>
          <w:szCs w:val="20"/>
          <w:lang w:val="es-VE"/>
        </w:rPr>
        <w:t xml:space="preserve"> </w:t>
      </w:r>
      <w:r w:rsidR="00866331">
        <w:rPr>
          <w:rFonts w:ascii="Cambria" w:hAnsi="Cambria"/>
          <w:sz w:val="20"/>
          <w:szCs w:val="20"/>
          <w:lang w:val="es-VE"/>
        </w:rPr>
        <w:t>p</w:t>
      </w:r>
      <w:r w:rsidR="0017199C" w:rsidRPr="00540E96">
        <w:rPr>
          <w:rFonts w:ascii="Cambria" w:hAnsi="Cambria"/>
          <w:sz w:val="20"/>
          <w:szCs w:val="20"/>
          <w:lang w:val="es-VE"/>
        </w:rPr>
        <w:t>enal</w:t>
      </w:r>
      <w:r w:rsidR="00E1449A" w:rsidRPr="00540E96">
        <w:rPr>
          <w:rFonts w:ascii="Cambria" w:hAnsi="Cambria"/>
          <w:sz w:val="20"/>
          <w:szCs w:val="20"/>
          <w:lang w:val="es-VE"/>
        </w:rPr>
        <w:t xml:space="preserve">, el Estado </w:t>
      </w:r>
      <w:r w:rsidR="00183032" w:rsidRPr="00540E96">
        <w:rPr>
          <w:rFonts w:ascii="Cambria" w:hAnsi="Cambria"/>
          <w:sz w:val="20"/>
          <w:szCs w:val="20"/>
          <w:lang w:val="es-VE"/>
        </w:rPr>
        <w:t>expone</w:t>
      </w:r>
      <w:r w:rsidR="00E1449A" w:rsidRPr="00540E96">
        <w:rPr>
          <w:rFonts w:ascii="Cambria" w:hAnsi="Cambria"/>
          <w:sz w:val="20"/>
          <w:szCs w:val="20"/>
          <w:lang w:val="es-VE"/>
        </w:rPr>
        <w:t xml:space="preserve"> que</w:t>
      </w:r>
      <w:r w:rsidRPr="00540E96">
        <w:rPr>
          <w:rFonts w:ascii="Cambria" w:hAnsi="Cambria"/>
          <w:sz w:val="20"/>
          <w:szCs w:val="20"/>
          <w:lang w:val="es-VE"/>
        </w:rPr>
        <w:t xml:space="preserve"> “la Convención Americana sobre Derechos Humanos no dispone la forma en que los Estados miembros deben definir las competencias de los Tribunales internos”</w:t>
      </w:r>
      <w:r w:rsidR="003738C3" w:rsidRPr="00540E96">
        <w:rPr>
          <w:rFonts w:ascii="Cambria" w:hAnsi="Cambria"/>
          <w:sz w:val="20"/>
          <w:szCs w:val="20"/>
          <w:lang w:val="es-VE"/>
        </w:rPr>
        <w:t xml:space="preserve">. Destacó </w:t>
      </w:r>
      <w:r w:rsidRPr="00540E96">
        <w:rPr>
          <w:rFonts w:ascii="Cambria" w:hAnsi="Cambria"/>
          <w:sz w:val="20"/>
          <w:szCs w:val="20"/>
          <w:lang w:val="es-VE"/>
        </w:rPr>
        <w:t>que</w:t>
      </w:r>
      <w:r w:rsidR="00772723" w:rsidRPr="00540E96">
        <w:rPr>
          <w:rFonts w:ascii="Cambria" w:hAnsi="Cambria"/>
          <w:sz w:val="20"/>
          <w:szCs w:val="20"/>
          <w:lang w:val="es-VE"/>
        </w:rPr>
        <w:t xml:space="preserve"> la normativa interna procesal penal de Costa Rica establece la posibilidad de que la acción civil pueda ejercerse dentro del proceso penal, por lo que </w:t>
      </w:r>
      <w:r w:rsidR="00E76FC1" w:rsidRPr="00540E96">
        <w:rPr>
          <w:rFonts w:ascii="Cambria" w:hAnsi="Cambria"/>
          <w:sz w:val="20"/>
          <w:szCs w:val="20"/>
          <w:lang w:val="es-VE"/>
        </w:rPr>
        <w:t>si una sentencia es</w:t>
      </w:r>
      <w:r w:rsidR="00772723" w:rsidRPr="00540E96">
        <w:rPr>
          <w:rFonts w:ascii="Cambria" w:hAnsi="Cambria"/>
          <w:sz w:val="20"/>
          <w:szCs w:val="20"/>
          <w:lang w:val="es-VE"/>
        </w:rPr>
        <w:t xml:space="preserve"> recurrida</w:t>
      </w:r>
      <w:r w:rsidR="00E76FC1" w:rsidRPr="00540E96">
        <w:rPr>
          <w:rFonts w:ascii="Cambria" w:hAnsi="Cambria"/>
          <w:sz w:val="20"/>
          <w:szCs w:val="20"/>
          <w:lang w:val="es-VE"/>
        </w:rPr>
        <w:t>, la Sala de Casación Penal es la instancia competente. El Estado alegó que, en todo caso, de haber considerado la existencia de un problema de competencia,</w:t>
      </w:r>
      <w:r w:rsidR="00772723" w:rsidRPr="00540E96">
        <w:rPr>
          <w:rFonts w:ascii="Cambria" w:hAnsi="Cambria"/>
          <w:sz w:val="20"/>
          <w:szCs w:val="20"/>
          <w:lang w:val="es-VE"/>
        </w:rPr>
        <w:t xml:space="preserve"> </w:t>
      </w:r>
      <w:r w:rsidRPr="00540E96">
        <w:rPr>
          <w:rFonts w:ascii="Cambria" w:hAnsi="Cambria"/>
          <w:sz w:val="20"/>
          <w:szCs w:val="20"/>
          <w:lang w:val="es-VE"/>
        </w:rPr>
        <w:t xml:space="preserve">los peticionarios tenían </w:t>
      </w:r>
      <w:r w:rsidR="00E76FC1" w:rsidRPr="00540E96">
        <w:rPr>
          <w:rFonts w:ascii="Cambria" w:hAnsi="Cambria"/>
          <w:sz w:val="20"/>
          <w:szCs w:val="20"/>
          <w:lang w:val="es-VE"/>
        </w:rPr>
        <w:t xml:space="preserve">expedita </w:t>
      </w:r>
      <w:r w:rsidRPr="00540E96">
        <w:rPr>
          <w:rFonts w:ascii="Cambria" w:hAnsi="Cambria"/>
          <w:sz w:val="20"/>
          <w:szCs w:val="20"/>
          <w:lang w:val="es-VE"/>
        </w:rPr>
        <w:t xml:space="preserve">la vía de la acción de </w:t>
      </w:r>
      <w:r w:rsidR="004D567F" w:rsidRPr="00540E96">
        <w:rPr>
          <w:rFonts w:ascii="Cambria" w:hAnsi="Cambria"/>
          <w:sz w:val="20"/>
          <w:szCs w:val="20"/>
          <w:lang w:val="es-VE"/>
        </w:rPr>
        <w:t>inconstitucionalidad,</w:t>
      </w:r>
      <w:r w:rsidR="00E76FC1" w:rsidRPr="00540E96">
        <w:rPr>
          <w:rFonts w:ascii="Cambria" w:hAnsi="Cambria"/>
          <w:sz w:val="20"/>
          <w:szCs w:val="20"/>
          <w:lang w:val="es-VE"/>
        </w:rPr>
        <w:t xml:space="preserve"> </w:t>
      </w:r>
      <w:r w:rsidR="004D567F" w:rsidRPr="00540E96">
        <w:rPr>
          <w:rFonts w:ascii="Cambria" w:hAnsi="Cambria"/>
          <w:sz w:val="20"/>
          <w:szCs w:val="20"/>
          <w:lang w:val="es-VE"/>
        </w:rPr>
        <w:t xml:space="preserve">situación </w:t>
      </w:r>
      <w:r w:rsidR="00E76FC1" w:rsidRPr="00540E96">
        <w:rPr>
          <w:rFonts w:ascii="Cambria" w:hAnsi="Cambria"/>
          <w:sz w:val="20"/>
          <w:szCs w:val="20"/>
          <w:lang w:val="es-VE"/>
        </w:rPr>
        <w:t xml:space="preserve">sobre la cual </w:t>
      </w:r>
      <w:r w:rsidR="004D567F" w:rsidRPr="00540E96">
        <w:rPr>
          <w:rFonts w:ascii="Cambria" w:hAnsi="Cambria"/>
          <w:sz w:val="20"/>
          <w:szCs w:val="20"/>
          <w:lang w:val="es-VE"/>
        </w:rPr>
        <w:t>los tribunales ordinarios no tuvieron oportunidad de expedirse</w:t>
      </w:r>
      <w:r w:rsidR="00E76FC1" w:rsidRPr="00540E96">
        <w:rPr>
          <w:rFonts w:ascii="Cambria" w:hAnsi="Cambria"/>
          <w:sz w:val="20"/>
          <w:szCs w:val="20"/>
          <w:lang w:val="es-VE"/>
        </w:rPr>
        <w:t>,</w:t>
      </w:r>
      <w:r w:rsidR="004D567F" w:rsidRPr="00540E96">
        <w:rPr>
          <w:rFonts w:ascii="Cambria" w:hAnsi="Cambria"/>
          <w:sz w:val="20"/>
          <w:szCs w:val="20"/>
          <w:lang w:val="es-VE"/>
        </w:rPr>
        <w:t xml:space="preserve"> porque no fue planteada</w:t>
      </w:r>
      <w:r w:rsidRPr="00540E96">
        <w:rPr>
          <w:rFonts w:ascii="Cambria" w:hAnsi="Cambria"/>
          <w:sz w:val="20"/>
          <w:szCs w:val="20"/>
          <w:lang w:val="es-VE"/>
        </w:rPr>
        <w:t>.</w:t>
      </w:r>
      <w:r w:rsidR="00E76FC1" w:rsidRPr="00540E96">
        <w:rPr>
          <w:rFonts w:ascii="Cambria" w:hAnsi="Cambria"/>
          <w:sz w:val="20"/>
          <w:szCs w:val="20"/>
          <w:lang w:val="es-VE"/>
        </w:rPr>
        <w:t xml:space="preserve"> El Estado resalta que este argumento de falta de agotamiento de los recursos internos tampoco pudo ser alegad</w:t>
      </w:r>
      <w:r w:rsidR="00866331">
        <w:rPr>
          <w:rFonts w:ascii="Cambria" w:hAnsi="Cambria"/>
          <w:sz w:val="20"/>
          <w:szCs w:val="20"/>
          <w:lang w:val="es-VE"/>
        </w:rPr>
        <w:t>o</w:t>
      </w:r>
      <w:r w:rsidR="00E76FC1" w:rsidRPr="00540E96">
        <w:rPr>
          <w:rFonts w:ascii="Cambria" w:hAnsi="Cambria"/>
          <w:sz w:val="20"/>
          <w:szCs w:val="20"/>
          <w:lang w:val="es-VE"/>
        </w:rPr>
        <w:t xml:space="preserve"> en la etapa de admisibilidad ya que </w:t>
      </w:r>
      <w:r w:rsidR="00866331" w:rsidRPr="00540E96">
        <w:rPr>
          <w:rFonts w:ascii="Cambria" w:hAnsi="Cambria"/>
          <w:sz w:val="20"/>
          <w:szCs w:val="20"/>
          <w:lang w:val="es-VE"/>
        </w:rPr>
        <w:t>la potencial violación de los artículos 8 y 25 de la Convención no estuvo en discusión, ni se derivó de ningún argumento en el caso</w:t>
      </w:r>
      <w:r w:rsidR="00866331">
        <w:rPr>
          <w:rFonts w:ascii="Cambria" w:hAnsi="Cambria"/>
          <w:sz w:val="20"/>
          <w:szCs w:val="20"/>
          <w:lang w:val="es-VE"/>
        </w:rPr>
        <w:t>.</w:t>
      </w:r>
    </w:p>
    <w:p w14:paraId="5E694C52" w14:textId="77777777" w:rsidR="00527CAB" w:rsidRPr="00540E96" w:rsidRDefault="00527CAB"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08A1D3B6" w14:textId="77777777" w:rsidR="00C04673" w:rsidRPr="00540E96" w:rsidRDefault="00C04673" w:rsidP="006D014B">
      <w:pPr>
        <w:pStyle w:val="Heading1"/>
      </w:pPr>
      <w:bookmarkStart w:id="15" w:name="_Toc515543698"/>
      <w:bookmarkStart w:id="16" w:name="_Toc535329122"/>
      <w:bookmarkStart w:id="17" w:name="_Toc4417450"/>
      <w:bookmarkStart w:id="18" w:name="_Toc24542761"/>
      <w:r w:rsidRPr="00540E96">
        <w:t>DETERMINACIONES DE HECHO</w:t>
      </w:r>
      <w:bookmarkEnd w:id="15"/>
      <w:bookmarkEnd w:id="16"/>
      <w:bookmarkEnd w:id="17"/>
      <w:bookmarkEnd w:id="18"/>
    </w:p>
    <w:p w14:paraId="4343B280" w14:textId="77777777" w:rsidR="00984558" w:rsidRPr="00540E96" w:rsidRDefault="00984558" w:rsidP="006D014B">
      <w:pPr>
        <w:jc w:val="both"/>
        <w:rPr>
          <w:rFonts w:ascii="Cambria" w:hAnsi="Cambria"/>
          <w:sz w:val="20"/>
          <w:szCs w:val="20"/>
        </w:rPr>
      </w:pPr>
    </w:p>
    <w:p w14:paraId="1723B9FC" w14:textId="77777777" w:rsidR="00C340E8" w:rsidRPr="00540E96" w:rsidRDefault="00DD0F24" w:rsidP="00405056">
      <w:pPr>
        <w:pStyle w:val="Heading2"/>
        <w:numPr>
          <w:ilvl w:val="0"/>
          <w:numId w:val="56"/>
        </w:numPr>
        <w:spacing w:before="0" w:after="0"/>
        <w:ind w:left="0" w:firstLine="0"/>
        <w:jc w:val="both"/>
      </w:pPr>
      <w:bookmarkStart w:id="19" w:name="_Toc24542762"/>
      <w:r w:rsidRPr="00540E96">
        <w:t xml:space="preserve">Publicación de </w:t>
      </w:r>
      <w:r w:rsidR="000E3433" w:rsidRPr="00540E96">
        <w:t xml:space="preserve">la nota de prensa en el </w:t>
      </w:r>
      <w:r w:rsidR="001D710F" w:rsidRPr="00540E96">
        <w:t>d</w:t>
      </w:r>
      <w:r w:rsidR="000E3433" w:rsidRPr="00540E96">
        <w:t>iario “La Nación”</w:t>
      </w:r>
      <w:bookmarkEnd w:id="19"/>
    </w:p>
    <w:p w14:paraId="50A2B816" w14:textId="77777777" w:rsidR="00984558" w:rsidRPr="00540E96" w:rsidRDefault="00984558" w:rsidP="006D014B">
      <w:pPr>
        <w:jc w:val="both"/>
        <w:rPr>
          <w:rFonts w:ascii="Cambria" w:hAnsi="Cambria"/>
          <w:sz w:val="20"/>
          <w:szCs w:val="20"/>
          <w:lang w:val="es-ES_tradnl"/>
        </w:rPr>
      </w:pPr>
    </w:p>
    <w:p w14:paraId="0D7CFF09" w14:textId="77777777" w:rsidR="00240F3F" w:rsidRPr="00540E96" w:rsidRDefault="003C0AF6"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 xml:space="preserve">En diciembre de 2005, el periodista Freddy Parrales, quien se desempeñaba como corresponsal del diario “La Nación” de Costa Rica, recibió información según la cual varios jefes y oficiales de las fuerzas de seguridad del Estado </w:t>
      </w:r>
      <w:r w:rsidR="00444029" w:rsidRPr="00540E96">
        <w:rPr>
          <w:rFonts w:ascii="Cambria" w:hAnsi="Cambria"/>
          <w:sz w:val="20"/>
          <w:szCs w:val="20"/>
          <w:lang w:val="es-VE"/>
        </w:rPr>
        <w:t>habrían estado</w:t>
      </w:r>
      <w:r w:rsidRPr="00540E96">
        <w:rPr>
          <w:rFonts w:ascii="Cambria" w:hAnsi="Cambria"/>
          <w:sz w:val="20"/>
          <w:szCs w:val="20"/>
          <w:lang w:val="es-VE"/>
        </w:rPr>
        <w:t xml:space="preserve"> siendo investigados por asuntos vinculados con contrabando de licores en</w:t>
      </w:r>
      <w:r w:rsidR="00444029" w:rsidRPr="00540E96">
        <w:rPr>
          <w:rFonts w:ascii="Cambria" w:hAnsi="Cambria"/>
          <w:sz w:val="20"/>
          <w:szCs w:val="20"/>
          <w:lang w:val="es-VE"/>
        </w:rPr>
        <w:t xml:space="preserve"> una</w:t>
      </w:r>
      <w:r w:rsidRPr="00540E96">
        <w:rPr>
          <w:rFonts w:ascii="Cambria" w:hAnsi="Cambria"/>
          <w:sz w:val="20"/>
          <w:szCs w:val="20"/>
          <w:lang w:val="es-VE"/>
        </w:rPr>
        <w:t xml:space="preserve"> zona fronteriza con Panamá</w:t>
      </w:r>
      <w:r w:rsidR="00240F3F" w:rsidRPr="00540E96">
        <w:rPr>
          <w:rStyle w:val="FootnoteReference"/>
          <w:rFonts w:ascii="Cambria" w:hAnsi="Cambria"/>
          <w:sz w:val="20"/>
          <w:szCs w:val="20"/>
          <w:lang w:val="es-VE"/>
        </w:rPr>
        <w:footnoteReference w:id="2"/>
      </w:r>
      <w:r w:rsidR="00240F3F" w:rsidRPr="00540E96">
        <w:rPr>
          <w:rFonts w:ascii="Cambria" w:hAnsi="Cambria"/>
          <w:sz w:val="20"/>
          <w:szCs w:val="20"/>
          <w:lang w:val="es-VE"/>
        </w:rPr>
        <w:t>.</w:t>
      </w:r>
    </w:p>
    <w:p w14:paraId="0F50A3FC" w14:textId="77777777" w:rsidR="00984558" w:rsidRPr="00540E96" w:rsidRDefault="00984558"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23AFB85D" w14:textId="77777777" w:rsidR="00240F3F" w:rsidRPr="00540E96" w:rsidRDefault="00240F3F"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 xml:space="preserve">Con base en la información recibida, </w:t>
      </w:r>
      <w:r w:rsidR="004F424A" w:rsidRPr="00540E96">
        <w:rPr>
          <w:rFonts w:ascii="Cambria" w:hAnsi="Cambria"/>
          <w:sz w:val="20"/>
          <w:szCs w:val="20"/>
          <w:lang w:val="es-VE"/>
        </w:rPr>
        <w:t xml:space="preserve">Freddy </w:t>
      </w:r>
      <w:r w:rsidRPr="00540E96">
        <w:rPr>
          <w:rFonts w:ascii="Cambria" w:hAnsi="Cambria"/>
          <w:sz w:val="20"/>
          <w:szCs w:val="20"/>
          <w:lang w:val="es-VE"/>
        </w:rPr>
        <w:t>Parrales comunicó sobre dicha situación a Ronald Moya, quien se desempeñaba como su jefe en la redacción del diario “La Nación”</w:t>
      </w:r>
      <w:r w:rsidRPr="00540E96">
        <w:rPr>
          <w:rStyle w:val="FootnoteReference"/>
          <w:rFonts w:ascii="Cambria" w:hAnsi="Cambria"/>
          <w:sz w:val="20"/>
          <w:szCs w:val="20"/>
          <w:lang w:val="es-VE"/>
        </w:rPr>
        <w:footnoteReference w:id="3"/>
      </w:r>
      <w:r w:rsidRPr="00540E96">
        <w:rPr>
          <w:rFonts w:ascii="Cambria" w:hAnsi="Cambria"/>
          <w:sz w:val="20"/>
          <w:szCs w:val="20"/>
          <w:lang w:val="es-VE"/>
        </w:rPr>
        <w:t>. Posteriormente, Moya, a su vez, se comunicó y solicitó información a quien entonces se desempeñaba como Ministro de Seguridad Pública de Costa Rica</w:t>
      </w:r>
      <w:r w:rsidRPr="00540E96">
        <w:rPr>
          <w:rStyle w:val="FootnoteReference"/>
          <w:rFonts w:ascii="Cambria" w:hAnsi="Cambria"/>
          <w:sz w:val="20"/>
          <w:szCs w:val="20"/>
          <w:lang w:val="es-VE"/>
        </w:rPr>
        <w:footnoteReference w:id="4"/>
      </w:r>
      <w:r w:rsidR="00F93268" w:rsidRPr="00540E96">
        <w:rPr>
          <w:rFonts w:ascii="Cambria" w:hAnsi="Cambria"/>
          <w:sz w:val="20"/>
          <w:szCs w:val="20"/>
          <w:lang w:val="es-VE"/>
        </w:rPr>
        <w:t xml:space="preserve">. </w:t>
      </w:r>
      <w:r w:rsidR="00CB32ED" w:rsidRPr="00540E96">
        <w:rPr>
          <w:rFonts w:ascii="Cambria" w:hAnsi="Cambria"/>
          <w:sz w:val="20"/>
          <w:szCs w:val="20"/>
          <w:lang w:val="es-VE"/>
        </w:rPr>
        <w:t xml:space="preserve">El </w:t>
      </w:r>
      <w:r w:rsidR="00085FAD" w:rsidRPr="00540E96">
        <w:rPr>
          <w:rFonts w:ascii="Cambria" w:hAnsi="Cambria"/>
          <w:sz w:val="20"/>
          <w:szCs w:val="20"/>
          <w:lang w:val="es-VE"/>
        </w:rPr>
        <w:t>propio</w:t>
      </w:r>
      <w:r w:rsidR="00434DDF" w:rsidRPr="00540E96">
        <w:rPr>
          <w:rFonts w:ascii="Cambria" w:hAnsi="Cambria"/>
          <w:sz w:val="20"/>
          <w:szCs w:val="20"/>
          <w:lang w:val="es-VE"/>
        </w:rPr>
        <w:t xml:space="preserve"> </w:t>
      </w:r>
      <w:r w:rsidR="00EB4A80" w:rsidRPr="00540E96">
        <w:rPr>
          <w:rFonts w:ascii="Cambria" w:hAnsi="Cambria"/>
          <w:sz w:val="20"/>
          <w:szCs w:val="20"/>
          <w:lang w:val="es-VE"/>
        </w:rPr>
        <w:t>ministro</w:t>
      </w:r>
      <w:r w:rsidR="00AC0CAA" w:rsidRPr="00540E96">
        <w:rPr>
          <w:rFonts w:ascii="Cambria" w:hAnsi="Cambria"/>
          <w:sz w:val="20"/>
          <w:szCs w:val="20"/>
          <w:lang w:val="es-VE"/>
        </w:rPr>
        <w:t>, señor Rogelio Ramos Martínez</w:t>
      </w:r>
      <w:r w:rsidR="00A61215">
        <w:rPr>
          <w:rFonts w:ascii="Cambria" w:hAnsi="Cambria"/>
          <w:sz w:val="20"/>
          <w:szCs w:val="20"/>
          <w:lang w:val="es-VE"/>
        </w:rPr>
        <w:t>,</w:t>
      </w:r>
      <w:r w:rsidR="000346EB" w:rsidRPr="00540E96">
        <w:rPr>
          <w:rFonts w:ascii="Cambria" w:hAnsi="Cambria"/>
          <w:sz w:val="20"/>
          <w:szCs w:val="20"/>
          <w:lang w:val="es-VE"/>
        </w:rPr>
        <w:t xml:space="preserve"> </w:t>
      </w:r>
      <w:r w:rsidR="00D14D3B" w:rsidRPr="00540E96">
        <w:rPr>
          <w:rFonts w:ascii="Cambria" w:hAnsi="Cambria"/>
          <w:sz w:val="20"/>
          <w:szCs w:val="20"/>
          <w:lang w:val="es-VE"/>
        </w:rPr>
        <w:t>señal</w:t>
      </w:r>
      <w:r w:rsidRPr="00540E96">
        <w:rPr>
          <w:rFonts w:ascii="Cambria" w:hAnsi="Cambria"/>
          <w:sz w:val="20"/>
          <w:szCs w:val="20"/>
          <w:lang w:val="es-VE"/>
        </w:rPr>
        <w:t>ó</w:t>
      </w:r>
      <w:r w:rsidR="00CB32ED" w:rsidRPr="00540E96">
        <w:rPr>
          <w:rFonts w:ascii="Cambria" w:hAnsi="Cambria"/>
          <w:sz w:val="20"/>
          <w:szCs w:val="20"/>
          <w:lang w:val="es-VE"/>
        </w:rPr>
        <w:t xml:space="preserve"> e</w:t>
      </w:r>
      <w:r w:rsidR="00D14D3B" w:rsidRPr="00540E96">
        <w:rPr>
          <w:rFonts w:ascii="Cambria" w:hAnsi="Cambria"/>
          <w:sz w:val="20"/>
          <w:szCs w:val="20"/>
          <w:lang w:val="es-VE"/>
        </w:rPr>
        <w:t>n</w:t>
      </w:r>
      <w:r w:rsidR="00CB32ED" w:rsidRPr="00540E96">
        <w:rPr>
          <w:rFonts w:ascii="Cambria" w:hAnsi="Cambria"/>
          <w:sz w:val="20"/>
          <w:szCs w:val="20"/>
          <w:lang w:val="es-VE"/>
        </w:rPr>
        <w:t xml:space="preserve"> su declaración indagatoria </w:t>
      </w:r>
      <w:r w:rsidR="008459EB" w:rsidRPr="00540E96">
        <w:rPr>
          <w:rFonts w:ascii="Cambria" w:hAnsi="Cambria"/>
          <w:sz w:val="20"/>
          <w:szCs w:val="20"/>
          <w:lang w:val="es-VE"/>
        </w:rPr>
        <w:t>que</w:t>
      </w:r>
      <w:r w:rsidR="00235F84" w:rsidRPr="00540E96">
        <w:rPr>
          <w:rFonts w:ascii="Cambria" w:hAnsi="Cambria"/>
          <w:sz w:val="20"/>
          <w:szCs w:val="20"/>
          <w:lang w:val="es-VE"/>
        </w:rPr>
        <w:t>,</w:t>
      </w:r>
      <w:r w:rsidR="008459EB" w:rsidRPr="00540E96">
        <w:rPr>
          <w:rFonts w:ascii="Cambria" w:hAnsi="Cambria"/>
          <w:sz w:val="20"/>
          <w:szCs w:val="20"/>
          <w:lang w:val="es-VE"/>
        </w:rPr>
        <w:t xml:space="preserve"> </w:t>
      </w:r>
      <w:r w:rsidR="00C54444" w:rsidRPr="00540E96">
        <w:rPr>
          <w:rFonts w:ascii="Cambria" w:hAnsi="Cambria"/>
          <w:sz w:val="20"/>
          <w:szCs w:val="20"/>
          <w:lang w:val="es-VE"/>
        </w:rPr>
        <w:t xml:space="preserve">luego de solicitarle a la directora de Apoyo Legal Judicial </w:t>
      </w:r>
      <w:r w:rsidR="00235F84" w:rsidRPr="00540E96">
        <w:rPr>
          <w:rFonts w:ascii="Cambria" w:hAnsi="Cambria"/>
          <w:sz w:val="20"/>
          <w:szCs w:val="20"/>
          <w:lang w:val="es-VE"/>
        </w:rPr>
        <w:t xml:space="preserve">la </w:t>
      </w:r>
      <w:r w:rsidR="00C54444" w:rsidRPr="00540E96">
        <w:rPr>
          <w:rFonts w:ascii="Cambria" w:hAnsi="Cambria"/>
          <w:sz w:val="20"/>
          <w:szCs w:val="20"/>
          <w:lang w:val="es-VE"/>
        </w:rPr>
        <w:t>verifi</w:t>
      </w:r>
      <w:r w:rsidR="00235F84" w:rsidRPr="00540E96">
        <w:rPr>
          <w:rFonts w:ascii="Cambria" w:hAnsi="Cambria"/>
          <w:sz w:val="20"/>
          <w:szCs w:val="20"/>
          <w:lang w:val="es-VE"/>
        </w:rPr>
        <w:t>cación correspondiente,</w:t>
      </w:r>
      <w:r w:rsidR="00C54444" w:rsidRPr="00540E96">
        <w:rPr>
          <w:rFonts w:ascii="Cambria" w:hAnsi="Cambria"/>
          <w:sz w:val="20"/>
          <w:szCs w:val="20"/>
          <w:lang w:val="es-VE"/>
        </w:rPr>
        <w:t xml:space="preserve"> </w:t>
      </w:r>
      <w:r w:rsidR="00235F84" w:rsidRPr="00540E96">
        <w:rPr>
          <w:rFonts w:ascii="Cambria" w:hAnsi="Cambria"/>
          <w:sz w:val="20"/>
          <w:szCs w:val="20"/>
          <w:lang w:val="es-VE"/>
        </w:rPr>
        <w:t>confirmó al periodista Ronald Moya que</w:t>
      </w:r>
      <w:r w:rsidR="00C54444" w:rsidRPr="00540E96">
        <w:rPr>
          <w:rFonts w:ascii="Cambria" w:hAnsi="Cambria"/>
          <w:sz w:val="20"/>
          <w:szCs w:val="20"/>
          <w:lang w:val="es-VE"/>
        </w:rPr>
        <w:t xml:space="preserve"> </w:t>
      </w:r>
      <w:r w:rsidR="00E3089A" w:rsidRPr="00540E96">
        <w:rPr>
          <w:rFonts w:ascii="Cambria" w:hAnsi="Cambria"/>
          <w:sz w:val="20"/>
          <w:szCs w:val="20"/>
          <w:lang w:val="es-VE"/>
        </w:rPr>
        <w:t xml:space="preserve">existía </w:t>
      </w:r>
      <w:r w:rsidRPr="00540E96">
        <w:rPr>
          <w:rFonts w:ascii="Cambria" w:hAnsi="Cambria"/>
          <w:sz w:val="20"/>
          <w:szCs w:val="20"/>
          <w:lang w:val="es-VE"/>
        </w:rPr>
        <w:t xml:space="preserve">una investigación por extorsión </w:t>
      </w:r>
      <w:r w:rsidR="00A61215">
        <w:rPr>
          <w:rFonts w:ascii="Cambria" w:hAnsi="Cambria"/>
          <w:sz w:val="20"/>
          <w:szCs w:val="20"/>
          <w:lang w:val="es-VE"/>
        </w:rPr>
        <w:t>respecto de</w:t>
      </w:r>
      <w:r w:rsidRPr="00540E96">
        <w:rPr>
          <w:rFonts w:ascii="Cambria" w:hAnsi="Cambria"/>
          <w:sz w:val="20"/>
          <w:szCs w:val="20"/>
          <w:lang w:val="es-VE"/>
        </w:rPr>
        <w:t xml:space="preserve"> José Cruz Trejos Rodríguez quien se desempeñaba como jefe policial </w:t>
      </w:r>
      <w:r w:rsidR="00F93268" w:rsidRPr="00540E96">
        <w:rPr>
          <w:rFonts w:ascii="Cambria" w:hAnsi="Cambria"/>
          <w:sz w:val="20"/>
          <w:szCs w:val="20"/>
          <w:lang w:val="es-VE"/>
        </w:rPr>
        <w:t>en</w:t>
      </w:r>
      <w:r w:rsidRPr="00540E96">
        <w:rPr>
          <w:rFonts w:ascii="Cambria" w:hAnsi="Cambria"/>
          <w:sz w:val="20"/>
          <w:szCs w:val="20"/>
          <w:lang w:val="es-VE"/>
        </w:rPr>
        <w:t xml:space="preserve"> San Vito de Coto Brus</w:t>
      </w:r>
      <w:r w:rsidRPr="00540E96">
        <w:rPr>
          <w:rStyle w:val="FootnoteReference"/>
          <w:rFonts w:ascii="Cambria" w:hAnsi="Cambria"/>
          <w:sz w:val="20"/>
          <w:szCs w:val="20"/>
          <w:lang w:val="es-VE"/>
        </w:rPr>
        <w:footnoteReference w:id="5"/>
      </w:r>
      <w:r w:rsidRPr="00540E96">
        <w:rPr>
          <w:rFonts w:ascii="Cambria" w:hAnsi="Cambria"/>
          <w:sz w:val="20"/>
          <w:szCs w:val="20"/>
          <w:lang w:val="es-VE"/>
        </w:rPr>
        <w:t>.</w:t>
      </w:r>
    </w:p>
    <w:p w14:paraId="27409C02" w14:textId="77777777" w:rsidR="00984558" w:rsidRPr="00540E96" w:rsidRDefault="00984558"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74ADB27E" w14:textId="77777777" w:rsidR="003F421D" w:rsidRPr="00540E96" w:rsidRDefault="00240F3F"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El 17 de diciembre de 2005, en la sección de Sucesos, página 16A del diario “La Nación” de Costa Rica, se publicó un reportaje bajo el título “OIJ denunció a jefe policial por no detener camión con licores”</w:t>
      </w:r>
      <w:r w:rsidR="00E156CC" w:rsidRPr="00540E96">
        <w:rPr>
          <w:rFonts w:ascii="Cambria" w:hAnsi="Cambria"/>
          <w:sz w:val="20"/>
          <w:szCs w:val="20"/>
          <w:lang w:val="es-VE"/>
        </w:rPr>
        <w:t xml:space="preserve"> </w:t>
      </w:r>
      <w:r w:rsidRPr="00540E96">
        <w:rPr>
          <w:rFonts w:ascii="Cambria" w:hAnsi="Cambria"/>
          <w:sz w:val="20"/>
          <w:szCs w:val="20"/>
          <w:lang w:val="es-VE"/>
        </w:rPr>
        <w:t>firmada por los periodistas Ronald Moya y Freddy Parrales</w:t>
      </w:r>
      <w:r w:rsidRPr="00540E96">
        <w:rPr>
          <w:rStyle w:val="FootnoteReference"/>
          <w:rFonts w:ascii="Cambria" w:hAnsi="Cambria"/>
          <w:sz w:val="20"/>
          <w:szCs w:val="20"/>
          <w:lang w:val="es-VE"/>
        </w:rPr>
        <w:footnoteReference w:id="6"/>
      </w:r>
      <w:r w:rsidRPr="00540E96">
        <w:rPr>
          <w:rFonts w:ascii="Cambria" w:hAnsi="Cambria"/>
          <w:sz w:val="20"/>
          <w:szCs w:val="20"/>
          <w:lang w:val="es-VE"/>
        </w:rPr>
        <w:t xml:space="preserve">. </w:t>
      </w:r>
      <w:r w:rsidR="005947B9" w:rsidRPr="00540E96">
        <w:rPr>
          <w:rFonts w:ascii="Cambria" w:hAnsi="Cambria"/>
          <w:sz w:val="20"/>
          <w:szCs w:val="20"/>
          <w:lang w:val="es-VE"/>
        </w:rPr>
        <w:t xml:space="preserve">La nota de prensa reportó que un jefe regional de la Policía </w:t>
      </w:r>
      <w:r w:rsidR="005947B9" w:rsidRPr="00540E96">
        <w:rPr>
          <w:rFonts w:ascii="Cambria" w:hAnsi="Cambria"/>
          <w:sz w:val="20"/>
          <w:szCs w:val="20"/>
          <w:lang w:val="es-VE"/>
        </w:rPr>
        <w:lastRenderedPageBreak/>
        <w:t xml:space="preserve">en la zona sur del país </w:t>
      </w:r>
      <w:r w:rsidR="003F421D" w:rsidRPr="00540E96">
        <w:rPr>
          <w:rFonts w:ascii="Cambria" w:hAnsi="Cambria"/>
          <w:sz w:val="20"/>
          <w:szCs w:val="20"/>
          <w:lang w:val="es-VE"/>
        </w:rPr>
        <w:t>estaba siendo investigado por presunto contrabando de licores e informó sobre la existencia de más casos investigados como el del señor José Cruz Trejos Rodríguez, los cuales fueron confirmados por el Ministro de Seguridad,</w:t>
      </w:r>
      <w:r w:rsidR="00BA0F91" w:rsidRPr="00540E96">
        <w:rPr>
          <w:rFonts w:ascii="Cambria" w:hAnsi="Cambria"/>
          <w:sz w:val="20"/>
          <w:szCs w:val="20"/>
          <w:lang w:val="es-VE"/>
        </w:rPr>
        <w:t xml:space="preserve"> Rogelio Ramos Martínez</w:t>
      </w:r>
      <w:r w:rsidR="003F421D" w:rsidRPr="00540E96">
        <w:rPr>
          <w:rStyle w:val="FootnoteReference"/>
          <w:rFonts w:ascii="Cambria" w:hAnsi="Cambria"/>
          <w:sz w:val="20"/>
          <w:szCs w:val="20"/>
          <w:lang w:val="es-VE"/>
        </w:rPr>
        <w:footnoteReference w:id="7"/>
      </w:r>
      <w:r w:rsidR="003F421D" w:rsidRPr="00540E96">
        <w:rPr>
          <w:rFonts w:ascii="Cambria" w:hAnsi="Cambria"/>
          <w:sz w:val="20"/>
          <w:szCs w:val="20"/>
          <w:lang w:val="es-VE"/>
        </w:rPr>
        <w:t>. Sobre el señor Trejos Rodríguez</w:t>
      </w:r>
      <w:r w:rsidR="000B726B" w:rsidRPr="00540E96">
        <w:rPr>
          <w:rFonts w:ascii="Cambria" w:hAnsi="Cambria"/>
          <w:sz w:val="20"/>
          <w:szCs w:val="20"/>
          <w:lang w:val="es-VE"/>
        </w:rPr>
        <w:t xml:space="preserve"> en particular</w:t>
      </w:r>
      <w:r w:rsidR="003F421D" w:rsidRPr="00540E96">
        <w:rPr>
          <w:rFonts w:ascii="Cambria" w:hAnsi="Cambria"/>
          <w:sz w:val="20"/>
          <w:szCs w:val="20"/>
          <w:lang w:val="es-VE"/>
        </w:rPr>
        <w:t>, la nota periodística señaló que “Ramos también confirmó que el jefe policial de San Vito de Coto Brus, de apellido Cruz, y el de Ciudad Neily, de apellido Méndez, son objeto de una investigación y que posiblemente serán removidos.</w:t>
      </w:r>
      <w:r w:rsidR="00A302D0" w:rsidRPr="00540E96">
        <w:rPr>
          <w:rFonts w:ascii="Cambria" w:hAnsi="Cambria"/>
          <w:sz w:val="20"/>
          <w:szCs w:val="20"/>
          <w:lang w:val="es-VE"/>
        </w:rPr>
        <w:t xml:space="preserve"> ‘</w:t>
      </w:r>
      <w:r w:rsidR="003F421D" w:rsidRPr="00540E96">
        <w:rPr>
          <w:rFonts w:ascii="Cambria" w:hAnsi="Cambria"/>
          <w:sz w:val="20"/>
          <w:szCs w:val="20"/>
          <w:lang w:val="es-VE"/>
        </w:rPr>
        <w:t>Por ahora ambo</w:t>
      </w:r>
      <w:r w:rsidR="00A302D0" w:rsidRPr="00540E96">
        <w:rPr>
          <w:rFonts w:ascii="Cambria" w:hAnsi="Cambria"/>
          <w:sz w:val="20"/>
          <w:szCs w:val="20"/>
          <w:lang w:val="es-VE"/>
        </w:rPr>
        <w:t>s disfrutarán de sus vacaciones’</w:t>
      </w:r>
      <w:r w:rsidR="003F421D" w:rsidRPr="00540E96">
        <w:rPr>
          <w:rFonts w:ascii="Cambria" w:hAnsi="Cambria"/>
          <w:sz w:val="20"/>
          <w:szCs w:val="20"/>
          <w:lang w:val="es-VE"/>
        </w:rPr>
        <w:t>, dijo</w:t>
      </w:r>
      <w:r w:rsidR="00A302D0" w:rsidRPr="00540E96">
        <w:rPr>
          <w:rFonts w:ascii="Cambria" w:hAnsi="Cambria"/>
          <w:sz w:val="20"/>
          <w:szCs w:val="20"/>
          <w:lang w:val="es-VE"/>
        </w:rPr>
        <w:t xml:space="preserve">. </w:t>
      </w:r>
      <w:r w:rsidR="003F421D" w:rsidRPr="00540E96">
        <w:rPr>
          <w:rFonts w:ascii="Cambria" w:hAnsi="Cambria"/>
          <w:sz w:val="20"/>
          <w:szCs w:val="20"/>
          <w:lang w:val="es-VE"/>
        </w:rPr>
        <w:t>A Cruz, con más de 16 años de laborar para la Fuerza Pública, se le sigue una causa en la Fiscalía de Corredores por una supuesta extorsión con trasiego de licores.</w:t>
      </w:r>
      <w:r w:rsidR="00A302D0" w:rsidRPr="00540E96">
        <w:rPr>
          <w:rFonts w:ascii="Cambria" w:hAnsi="Cambria"/>
          <w:sz w:val="20"/>
          <w:szCs w:val="20"/>
          <w:lang w:val="es-VE"/>
        </w:rPr>
        <w:t xml:space="preserve"> </w:t>
      </w:r>
      <w:r w:rsidR="003F421D" w:rsidRPr="00540E96">
        <w:rPr>
          <w:rFonts w:ascii="Cambria" w:hAnsi="Cambria"/>
          <w:sz w:val="20"/>
          <w:szCs w:val="20"/>
          <w:lang w:val="es-VE"/>
        </w:rPr>
        <w:t>Una demanda similar enfrenta desde hace varias semanas el oficial Méndez, quien lleva varios años de laborar en la zona.</w:t>
      </w:r>
      <w:r w:rsidR="00A302D0" w:rsidRPr="00540E96">
        <w:rPr>
          <w:rFonts w:ascii="Cambria" w:hAnsi="Cambria"/>
          <w:sz w:val="20"/>
          <w:szCs w:val="20"/>
          <w:lang w:val="es-VE"/>
        </w:rPr>
        <w:t xml:space="preserve"> </w:t>
      </w:r>
      <w:r w:rsidR="003F421D" w:rsidRPr="00540E96">
        <w:rPr>
          <w:rFonts w:ascii="Cambria" w:hAnsi="Cambria"/>
          <w:sz w:val="20"/>
          <w:szCs w:val="20"/>
          <w:lang w:val="es-MX"/>
        </w:rPr>
        <w:t>Ayer no fue posible hablar con ambos jefes policiales pues se hallaban en reuniones</w:t>
      </w:r>
      <w:r w:rsidR="00A302D0" w:rsidRPr="00540E96">
        <w:rPr>
          <w:rFonts w:ascii="Cambria" w:hAnsi="Cambria"/>
          <w:sz w:val="20"/>
          <w:szCs w:val="20"/>
          <w:lang w:val="es-MX"/>
        </w:rPr>
        <w:t>”</w:t>
      </w:r>
      <w:r w:rsidR="00A302D0" w:rsidRPr="00540E96">
        <w:rPr>
          <w:rStyle w:val="FootnoteReference"/>
          <w:rFonts w:ascii="Cambria" w:hAnsi="Cambria"/>
          <w:sz w:val="20"/>
          <w:szCs w:val="20"/>
          <w:lang w:val="es-MX"/>
        </w:rPr>
        <w:footnoteReference w:id="8"/>
      </w:r>
      <w:r w:rsidR="003F421D" w:rsidRPr="00540E96">
        <w:rPr>
          <w:rFonts w:ascii="Cambria" w:hAnsi="Cambria"/>
          <w:sz w:val="20"/>
          <w:szCs w:val="20"/>
          <w:lang w:val="es-MX"/>
        </w:rPr>
        <w:t>.</w:t>
      </w:r>
    </w:p>
    <w:p w14:paraId="46A58DB3" w14:textId="77777777" w:rsidR="0011203E" w:rsidRPr="00540E96" w:rsidRDefault="0011203E" w:rsidP="006D014B">
      <w:pPr>
        <w:pStyle w:val="ListParagraph"/>
        <w:spacing w:before="0" w:after="0"/>
        <w:rPr>
          <w:sz w:val="20"/>
          <w:szCs w:val="20"/>
          <w:lang w:val="es-VE"/>
        </w:rPr>
      </w:pPr>
    </w:p>
    <w:p w14:paraId="5839E4AB" w14:textId="77777777" w:rsidR="00240F3F" w:rsidRPr="00540E96" w:rsidRDefault="00240F3F"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 xml:space="preserve">Como consecuencia </w:t>
      </w:r>
      <w:r w:rsidR="008B201D" w:rsidRPr="00540E96">
        <w:rPr>
          <w:rFonts w:ascii="Cambria" w:hAnsi="Cambria"/>
          <w:sz w:val="20"/>
          <w:szCs w:val="20"/>
          <w:lang w:val="es-VE"/>
        </w:rPr>
        <w:t>de</w:t>
      </w:r>
      <w:r w:rsidR="000B726B" w:rsidRPr="00540E96">
        <w:rPr>
          <w:rFonts w:ascii="Cambria" w:hAnsi="Cambria"/>
          <w:sz w:val="20"/>
          <w:szCs w:val="20"/>
          <w:lang w:val="es-VE"/>
        </w:rPr>
        <w:t xml:space="preserve"> </w:t>
      </w:r>
      <w:r w:rsidR="008B201D" w:rsidRPr="00540E96">
        <w:rPr>
          <w:rFonts w:ascii="Cambria" w:hAnsi="Cambria"/>
          <w:sz w:val="20"/>
          <w:szCs w:val="20"/>
          <w:lang w:val="es-VE"/>
        </w:rPr>
        <w:t>l</w:t>
      </w:r>
      <w:r w:rsidR="000B726B" w:rsidRPr="00540E96">
        <w:rPr>
          <w:rFonts w:ascii="Cambria" w:hAnsi="Cambria"/>
          <w:sz w:val="20"/>
          <w:szCs w:val="20"/>
          <w:lang w:val="es-VE"/>
        </w:rPr>
        <w:t xml:space="preserve">a nota de prensa publicada, </w:t>
      </w:r>
      <w:r w:rsidRPr="00540E96">
        <w:rPr>
          <w:rFonts w:ascii="Cambria" w:hAnsi="Cambria"/>
          <w:sz w:val="20"/>
          <w:szCs w:val="20"/>
          <w:lang w:val="es-VE"/>
        </w:rPr>
        <w:t>José Cruz Trejos Rodríguez</w:t>
      </w:r>
      <w:r w:rsidR="00585B20" w:rsidRPr="00540E96">
        <w:rPr>
          <w:rFonts w:ascii="Cambria" w:hAnsi="Cambria"/>
          <w:sz w:val="20"/>
          <w:szCs w:val="20"/>
          <w:lang w:val="es-VE"/>
        </w:rPr>
        <w:t xml:space="preserve">, quien </w:t>
      </w:r>
      <w:r w:rsidR="002278F5" w:rsidRPr="00540E96">
        <w:rPr>
          <w:rFonts w:ascii="Cambria" w:hAnsi="Cambria"/>
          <w:sz w:val="20"/>
          <w:szCs w:val="20"/>
          <w:lang w:val="es-VE"/>
        </w:rPr>
        <w:t>en ese momento estaba a cargo de la sub-jefatura en la zona de San Vito de Coto Brus,</w:t>
      </w:r>
      <w:r w:rsidR="000B726B" w:rsidRPr="00540E96">
        <w:rPr>
          <w:rFonts w:ascii="Cambria" w:hAnsi="Cambria"/>
          <w:sz w:val="20"/>
          <w:szCs w:val="20"/>
          <w:lang w:val="es-VE"/>
        </w:rPr>
        <w:t xml:space="preserve"> </w:t>
      </w:r>
      <w:r w:rsidR="00917775" w:rsidRPr="00540E96">
        <w:rPr>
          <w:rFonts w:ascii="Cambria" w:hAnsi="Cambria"/>
          <w:sz w:val="20"/>
          <w:szCs w:val="20"/>
          <w:lang w:val="es-VE"/>
        </w:rPr>
        <w:t>remitió</w:t>
      </w:r>
      <w:r w:rsidRPr="00540E96">
        <w:rPr>
          <w:rFonts w:ascii="Cambria" w:hAnsi="Cambria"/>
          <w:sz w:val="20"/>
          <w:szCs w:val="20"/>
          <w:lang w:val="es-VE"/>
        </w:rPr>
        <w:t xml:space="preserve"> una</w:t>
      </w:r>
      <w:r w:rsidR="000B726B" w:rsidRPr="00540E96">
        <w:rPr>
          <w:rFonts w:ascii="Cambria" w:hAnsi="Cambria"/>
          <w:sz w:val="20"/>
          <w:szCs w:val="20"/>
          <w:lang w:val="es-VE"/>
        </w:rPr>
        <w:t xml:space="preserve"> </w:t>
      </w:r>
      <w:r w:rsidR="00917775" w:rsidRPr="00540E96">
        <w:rPr>
          <w:rFonts w:ascii="Cambria" w:hAnsi="Cambria"/>
          <w:sz w:val="20"/>
          <w:szCs w:val="20"/>
          <w:lang w:val="es-VE"/>
        </w:rPr>
        <w:t>carta notarial</w:t>
      </w:r>
      <w:r w:rsidRPr="00540E96">
        <w:rPr>
          <w:rFonts w:ascii="Cambria" w:hAnsi="Cambria"/>
          <w:sz w:val="20"/>
          <w:szCs w:val="20"/>
          <w:lang w:val="es-VE"/>
        </w:rPr>
        <w:t xml:space="preserve">, con fecha de 19 de diciembre de 2005, </w:t>
      </w:r>
      <w:r w:rsidR="00917775" w:rsidRPr="00540E96">
        <w:rPr>
          <w:rFonts w:ascii="Cambria" w:hAnsi="Cambria"/>
          <w:sz w:val="20"/>
          <w:szCs w:val="20"/>
          <w:lang w:val="es-VE"/>
        </w:rPr>
        <w:t xml:space="preserve">dirigida al </w:t>
      </w:r>
      <w:r w:rsidR="005E34AF" w:rsidRPr="00540E96">
        <w:rPr>
          <w:rFonts w:ascii="Cambria" w:hAnsi="Cambria"/>
          <w:sz w:val="20"/>
          <w:szCs w:val="20"/>
          <w:lang w:val="es-VE"/>
        </w:rPr>
        <w:t>director</w:t>
      </w:r>
      <w:r w:rsidRPr="00540E96">
        <w:rPr>
          <w:rFonts w:ascii="Cambria" w:hAnsi="Cambria"/>
          <w:sz w:val="20"/>
          <w:szCs w:val="20"/>
          <w:lang w:val="es-VE"/>
        </w:rPr>
        <w:t xml:space="preserve"> del departamento de redacción de </w:t>
      </w:r>
      <w:r w:rsidR="008B201D" w:rsidRPr="00540E96">
        <w:rPr>
          <w:rFonts w:ascii="Cambria" w:hAnsi="Cambria"/>
          <w:sz w:val="20"/>
          <w:szCs w:val="20"/>
          <w:lang w:val="es-VE"/>
        </w:rPr>
        <w:t>“</w:t>
      </w:r>
      <w:r w:rsidRPr="00540E96">
        <w:rPr>
          <w:rFonts w:ascii="Cambria" w:hAnsi="Cambria"/>
          <w:sz w:val="20"/>
          <w:szCs w:val="20"/>
          <w:lang w:val="es-VE"/>
        </w:rPr>
        <w:t>La Nación</w:t>
      </w:r>
      <w:r w:rsidR="008B201D" w:rsidRPr="00540E96">
        <w:rPr>
          <w:rFonts w:ascii="Cambria" w:hAnsi="Cambria"/>
          <w:sz w:val="20"/>
          <w:szCs w:val="20"/>
          <w:lang w:val="es-VE"/>
        </w:rPr>
        <w:t>”</w:t>
      </w:r>
      <w:r w:rsidR="00917775" w:rsidRPr="00540E96">
        <w:rPr>
          <w:rFonts w:ascii="Cambria" w:hAnsi="Cambria"/>
          <w:sz w:val="20"/>
          <w:szCs w:val="20"/>
          <w:lang w:val="es-VE"/>
        </w:rPr>
        <w:t>. Mediante dicha carta</w:t>
      </w:r>
      <w:r w:rsidRPr="00540E96">
        <w:rPr>
          <w:rFonts w:ascii="Cambria" w:hAnsi="Cambria"/>
          <w:sz w:val="20"/>
          <w:szCs w:val="20"/>
          <w:lang w:val="es-VE"/>
        </w:rPr>
        <w:t xml:space="preserve"> </w:t>
      </w:r>
      <w:r w:rsidR="00917775" w:rsidRPr="00540E96">
        <w:rPr>
          <w:rFonts w:ascii="Cambria" w:hAnsi="Cambria"/>
          <w:sz w:val="20"/>
          <w:szCs w:val="20"/>
          <w:lang w:val="es-VE"/>
        </w:rPr>
        <w:t xml:space="preserve">José Cruz Trejos Rodríguez </w:t>
      </w:r>
      <w:r w:rsidRPr="00540E96">
        <w:rPr>
          <w:rFonts w:ascii="Cambria" w:hAnsi="Cambria"/>
          <w:sz w:val="20"/>
          <w:szCs w:val="20"/>
          <w:lang w:val="es-VE"/>
        </w:rPr>
        <w:t xml:space="preserve">requirió </w:t>
      </w:r>
      <w:r w:rsidR="00917775" w:rsidRPr="00540E96">
        <w:rPr>
          <w:rFonts w:ascii="Cambria" w:hAnsi="Cambria"/>
          <w:sz w:val="20"/>
          <w:szCs w:val="20"/>
          <w:lang w:val="es-VE"/>
        </w:rPr>
        <w:t xml:space="preserve">que </w:t>
      </w:r>
      <w:r w:rsidRPr="00540E96">
        <w:rPr>
          <w:rFonts w:ascii="Cambria" w:hAnsi="Cambria"/>
          <w:sz w:val="20"/>
          <w:szCs w:val="20"/>
          <w:lang w:val="es-VE"/>
        </w:rPr>
        <w:t>“</w:t>
      </w:r>
      <w:r w:rsidR="00917775" w:rsidRPr="00540E96">
        <w:rPr>
          <w:rFonts w:ascii="Cambria" w:hAnsi="Cambria"/>
          <w:sz w:val="20"/>
          <w:szCs w:val="20"/>
          <w:lang w:val="es-VE"/>
        </w:rPr>
        <w:t xml:space="preserve">en un plazo de dos días se [le diera] a </w:t>
      </w:r>
      <w:r w:rsidRPr="00540E96">
        <w:rPr>
          <w:rFonts w:ascii="Cambria" w:hAnsi="Cambria"/>
          <w:sz w:val="20"/>
          <w:szCs w:val="20"/>
          <w:lang w:val="es-VE"/>
        </w:rPr>
        <w:t>conocer el origen de la información suministrada y las pruebas que han tenido a la vista para realizar las afirmaciones tan serias que se han realizado”</w:t>
      </w:r>
      <w:r w:rsidR="00917775" w:rsidRPr="00540E96">
        <w:rPr>
          <w:rFonts w:ascii="Cambria" w:hAnsi="Cambria"/>
          <w:sz w:val="20"/>
          <w:szCs w:val="20"/>
          <w:lang w:val="es-VE"/>
        </w:rPr>
        <w:t xml:space="preserve">. Asimismo, </w:t>
      </w:r>
      <w:r w:rsidRPr="00540E96">
        <w:rPr>
          <w:rFonts w:ascii="Cambria" w:hAnsi="Cambria"/>
          <w:sz w:val="20"/>
          <w:szCs w:val="20"/>
          <w:lang w:val="es-VE"/>
        </w:rPr>
        <w:t>manifestó que las afirmaciones eran “falsas” y que eso sería demostrado oportunamente</w:t>
      </w:r>
      <w:r w:rsidR="00917775" w:rsidRPr="00540E96">
        <w:rPr>
          <w:rFonts w:ascii="Cambria" w:hAnsi="Cambria"/>
          <w:sz w:val="20"/>
          <w:szCs w:val="20"/>
          <w:lang w:val="es-VE"/>
        </w:rPr>
        <w:t>, y que la información solicitada era de su interés</w:t>
      </w:r>
      <w:r w:rsidRPr="00540E96">
        <w:rPr>
          <w:rFonts w:ascii="Cambria" w:hAnsi="Cambria"/>
          <w:sz w:val="20"/>
          <w:szCs w:val="20"/>
          <w:lang w:val="es-VE"/>
        </w:rPr>
        <w:t xml:space="preserve"> </w:t>
      </w:r>
      <w:r w:rsidR="00917775" w:rsidRPr="00540E96">
        <w:rPr>
          <w:rFonts w:ascii="Cambria" w:hAnsi="Cambria"/>
          <w:sz w:val="20"/>
          <w:szCs w:val="20"/>
          <w:lang w:val="es-VE"/>
        </w:rPr>
        <w:t xml:space="preserve">para </w:t>
      </w:r>
      <w:r w:rsidRPr="00540E96">
        <w:rPr>
          <w:rFonts w:ascii="Cambria" w:hAnsi="Cambria"/>
          <w:sz w:val="20"/>
          <w:szCs w:val="20"/>
          <w:lang w:val="es-VE"/>
        </w:rPr>
        <w:t>“determinar quién o quienes se dieron a la tarea de suministrar una información errada a los medios de comunicación”</w:t>
      </w:r>
      <w:r w:rsidRPr="00540E96">
        <w:rPr>
          <w:rStyle w:val="FootnoteReference"/>
          <w:rFonts w:ascii="Cambria" w:hAnsi="Cambria"/>
          <w:sz w:val="20"/>
          <w:szCs w:val="20"/>
          <w:lang w:val="es-VE"/>
        </w:rPr>
        <w:footnoteReference w:id="9"/>
      </w:r>
      <w:r w:rsidRPr="00540E96">
        <w:rPr>
          <w:rFonts w:ascii="Cambria" w:hAnsi="Cambria"/>
          <w:sz w:val="20"/>
          <w:szCs w:val="20"/>
          <w:lang w:val="es-VE"/>
        </w:rPr>
        <w:t>.</w:t>
      </w:r>
    </w:p>
    <w:p w14:paraId="40064964" w14:textId="77777777" w:rsidR="0011203E" w:rsidRPr="00540E96" w:rsidRDefault="0011203E"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4C3A4FED" w14:textId="77777777" w:rsidR="00240F3F" w:rsidRPr="00540E96" w:rsidRDefault="00240F3F"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 xml:space="preserve">Mediante nota con fecha 21 de diciembre de 2005, la </w:t>
      </w:r>
      <w:r w:rsidR="00A61215">
        <w:rPr>
          <w:rFonts w:ascii="Cambria" w:hAnsi="Cambria"/>
          <w:sz w:val="20"/>
          <w:szCs w:val="20"/>
          <w:lang w:val="es-VE"/>
        </w:rPr>
        <w:t>S</w:t>
      </w:r>
      <w:r w:rsidR="00B76F2B" w:rsidRPr="00540E96">
        <w:rPr>
          <w:rFonts w:ascii="Cambria" w:hAnsi="Cambria"/>
          <w:sz w:val="20"/>
          <w:szCs w:val="20"/>
          <w:lang w:val="es-VE"/>
        </w:rPr>
        <w:t>ecretaria</w:t>
      </w:r>
      <w:r w:rsidRPr="00540E96">
        <w:rPr>
          <w:rFonts w:ascii="Cambria" w:hAnsi="Cambria"/>
          <w:sz w:val="20"/>
          <w:szCs w:val="20"/>
          <w:lang w:val="es-VE"/>
        </w:rPr>
        <w:t xml:space="preserve"> de la Dirección de </w:t>
      </w:r>
      <w:r w:rsidR="008B201D" w:rsidRPr="00540E96">
        <w:rPr>
          <w:rFonts w:ascii="Cambria" w:hAnsi="Cambria"/>
          <w:sz w:val="20"/>
          <w:szCs w:val="20"/>
          <w:lang w:val="es-VE"/>
        </w:rPr>
        <w:t>“</w:t>
      </w:r>
      <w:r w:rsidRPr="00540E96">
        <w:rPr>
          <w:rFonts w:ascii="Cambria" w:hAnsi="Cambria"/>
          <w:sz w:val="20"/>
          <w:szCs w:val="20"/>
          <w:lang w:val="es-VE"/>
        </w:rPr>
        <w:t>La Nación</w:t>
      </w:r>
      <w:r w:rsidR="008B201D" w:rsidRPr="00540E96">
        <w:rPr>
          <w:rFonts w:ascii="Cambria" w:hAnsi="Cambria"/>
          <w:sz w:val="20"/>
          <w:szCs w:val="20"/>
          <w:lang w:val="es-VE"/>
        </w:rPr>
        <w:t>”</w:t>
      </w:r>
      <w:r w:rsidRPr="00540E96">
        <w:rPr>
          <w:rFonts w:ascii="Cambria" w:hAnsi="Cambria"/>
          <w:sz w:val="20"/>
          <w:szCs w:val="20"/>
          <w:lang w:val="es-VE"/>
        </w:rPr>
        <w:t xml:space="preserve">, indicó </w:t>
      </w:r>
      <w:r w:rsidR="00EA02A0" w:rsidRPr="00540E96">
        <w:rPr>
          <w:rFonts w:ascii="Cambria" w:hAnsi="Cambria"/>
          <w:sz w:val="20"/>
          <w:szCs w:val="20"/>
          <w:lang w:val="es-VE"/>
        </w:rPr>
        <w:t>que “</w:t>
      </w:r>
      <w:r w:rsidRPr="00540E96">
        <w:rPr>
          <w:rFonts w:ascii="Cambria" w:hAnsi="Cambria"/>
          <w:sz w:val="20"/>
          <w:szCs w:val="20"/>
          <w:lang w:val="es-VE"/>
        </w:rPr>
        <w:t>las fuentes y documentos en poder de La Nación son confidenciales, y no se entregan a particulares”</w:t>
      </w:r>
      <w:r w:rsidRPr="00540E96">
        <w:rPr>
          <w:rStyle w:val="FootnoteReference"/>
          <w:rFonts w:ascii="Cambria" w:hAnsi="Cambria"/>
          <w:sz w:val="20"/>
          <w:szCs w:val="20"/>
          <w:lang w:val="es-VE"/>
        </w:rPr>
        <w:footnoteReference w:id="10"/>
      </w:r>
      <w:r w:rsidRPr="00540E96">
        <w:rPr>
          <w:rFonts w:ascii="Cambria" w:hAnsi="Cambria"/>
          <w:sz w:val="20"/>
          <w:szCs w:val="20"/>
          <w:lang w:val="es-VE"/>
        </w:rPr>
        <w:t>.</w:t>
      </w:r>
    </w:p>
    <w:p w14:paraId="741925B0" w14:textId="77777777" w:rsidR="00EA02A0" w:rsidRPr="00540E96" w:rsidRDefault="00EA02A0"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03C7D50A" w14:textId="77777777" w:rsidR="00240F3F" w:rsidRPr="00540E96" w:rsidRDefault="00240F3F"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El 9 de febrero de 2006, e</w:t>
      </w:r>
      <w:r w:rsidR="00357A02" w:rsidRPr="00540E96">
        <w:rPr>
          <w:rFonts w:ascii="Cambria" w:hAnsi="Cambria"/>
          <w:sz w:val="20"/>
          <w:szCs w:val="20"/>
          <w:lang w:val="es-VE"/>
        </w:rPr>
        <w:t>l diario</w:t>
      </w:r>
      <w:r w:rsidRPr="00540E96">
        <w:rPr>
          <w:rFonts w:ascii="Cambria" w:hAnsi="Cambria"/>
          <w:sz w:val="20"/>
          <w:szCs w:val="20"/>
          <w:lang w:val="es-VE"/>
        </w:rPr>
        <w:t xml:space="preserve"> </w:t>
      </w:r>
      <w:r w:rsidR="008B201D" w:rsidRPr="00540E96">
        <w:rPr>
          <w:rFonts w:ascii="Cambria" w:hAnsi="Cambria"/>
          <w:sz w:val="20"/>
          <w:szCs w:val="20"/>
          <w:lang w:val="es-VE"/>
        </w:rPr>
        <w:t xml:space="preserve">“La Nación” </w:t>
      </w:r>
      <w:r w:rsidRPr="00540E96">
        <w:rPr>
          <w:rFonts w:ascii="Cambria" w:hAnsi="Cambria"/>
          <w:sz w:val="20"/>
          <w:szCs w:val="20"/>
          <w:lang w:val="es-VE"/>
        </w:rPr>
        <w:t>publicó un</w:t>
      </w:r>
      <w:r w:rsidR="00357A02" w:rsidRPr="00540E96">
        <w:rPr>
          <w:rFonts w:ascii="Cambria" w:hAnsi="Cambria"/>
          <w:sz w:val="20"/>
          <w:szCs w:val="20"/>
          <w:lang w:val="es-VE"/>
        </w:rPr>
        <w:t>a</w:t>
      </w:r>
      <w:r w:rsidRPr="00540E96">
        <w:rPr>
          <w:rFonts w:ascii="Cambria" w:hAnsi="Cambria"/>
          <w:sz w:val="20"/>
          <w:szCs w:val="20"/>
          <w:lang w:val="es-VE"/>
        </w:rPr>
        <w:t xml:space="preserve"> “fe de erratas” cuyo texto reza “Sobre la nota </w:t>
      </w:r>
      <w:r w:rsidR="00066C93" w:rsidRPr="00540E96">
        <w:rPr>
          <w:rFonts w:ascii="Cambria" w:hAnsi="Cambria"/>
          <w:sz w:val="20"/>
          <w:szCs w:val="20"/>
          <w:lang w:val="es-PE"/>
        </w:rPr>
        <w:t>‘</w:t>
      </w:r>
      <w:r w:rsidRPr="00540E96">
        <w:rPr>
          <w:rFonts w:ascii="Cambria" w:hAnsi="Cambria"/>
          <w:sz w:val="20"/>
          <w:szCs w:val="20"/>
          <w:lang w:val="es-VE"/>
        </w:rPr>
        <w:t>OIJ denunció al jefe policial por no detener camión con licores</w:t>
      </w:r>
      <w:r w:rsidR="00066C93" w:rsidRPr="00540E96">
        <w:rPr>
          <w:rFonts w:ascii="Cambria" w:hAnsi="Cambria"/>
          <w:sz w:val="20"/>
          <w:szCs w:val="20"/>
          <w:lang w:val="es-VE"/>
        </w:rPr>
        <w:t>’</w:t>
      </w:r>
      <w:r w:rsidRPr="00540E96">
        <w:rPr>
          <w:rFonts w:ascii="Cambria" w:hAnsi="Cambria"/>
          <w:sz w:val="20"/>
          <w:szCs w:val="20"/>
          <w:lang w:val="es-VE"/>
        </w:rPr>
        <w:t>, publicada el 17 de diciembre de 2005, la Oficina de Prensa del Ministerio de Seguridad aclaró que la causa contra el jefe policial José Cruz Trejos, por el delito de extorsión, se investiga en la Fiscalía Auxiliar de Coto Brus y no en la Fiscalía de Corredores, como por error se publicó”</w:t>
      </w:r>
      <w:r w:rsidRPr="00540E96">
        <w:rPr>
          <w:rStyle w:val="FootnoteReference"/>
          <w:rFonts w:ascii="Cambria" w:hAnsi="Cambria"/>
          <w:sz w:val="20"/>
          <w:szCs w:val="20"/>
          <w:lang w:val="es-VE"/>
        </w:rPr>
        <w:footnoteReference w:id="11"/>
      </w:r>
      <w:r w:rsidRPr="00540E96">
        <w:rPr>
          <w:rFonts w:ascii="Cambria" w:hAnsi="Cambria"/>
          <w:sz w:val="20"/>
          <w:szCs w:val="20"/>
          <w:lang w:val="es-VE"/>
        </w:rPr>
        <w:t>.</w:t>
      </w:r>
      <w:r w:rsidR="006424E4" w:rsidRPr="00540E96">
        <w:rPr>
          <w:rFonts w:ascii="Cambria" w:hAnsi="Cambria"/>
          <w:sz w:val="20"/>
          <w:szCs w:val="20"/>
          <w:lang w:val="es-VE"/>
        </w:rPr>
        <w:t xml:space="preserve"> La fe de erratas solo </w:t>
      </w:r>
      <w:r w:rsidR="00760D3D" w:rsidRPr="00540E96">
        <w:rPr>
          <w:rFonts w:ascii="Cambria" w:hAnsi="Cambria"/>
          <w:sz w:val="20"/>
          <w:szCs w:val="20"/>
          <w:lang w:val="es-VE"/>
        </w:rPr>
        <w:t>rectificó la información sobre</w:t>
      </w:r>
      <w:r w:rsidR="003D7811" w:rsidRPr="00540E96">
        <w:rPr>
          <w:rFonts w:ascii="Cambria" w:hAnsi="Cambria"/>
          <w:sz w:val="20"/>
          <w:szCs w:val="20"/>
          <w:lang w:val="es-VE"/>
        </w:rPr>
        <w:t xml:space="preserve"> la Fiscalía que estaba investigando </w:t>
      </w:r>
      <w:r w:rsidR="00970C27" w:rsidRPr="00540E96">
        <w:rPr>
          <w:rFonts w:ascii="Cambria" w:hAnsi="Cambria"/>
          <w:sz w:val="20"/>
          <w:szCs w:val="20"/>
          <w:lang w:val="es-VE"/>
        </w:rPr>
        <w:t xml:space="preserve">al señor Trejos Rodríguez, luego de que </w:t>
      </w:r>
      <w:r w:rsidR="004618A0" w:rsidRPr="00540E96">
        <w:rPr>
          <w:rFonts w:ascii="Cambria" w:hAnsi="Cambria"/>
          <w:sz w:val="20"/>
          <w:szCs w:val="20"/>
          <w:lang w:val="es-VE"/>
        </w:rPr>
        <w:t xml:space="preserve">la oficina de prensa del Ministerio de Seguridad hiciera la aclaración </w:t>
      </w:r>
      <w:r w:rsidR="00592C5B" w:rsidRPr="00540E96">
        <w:rPr>
          <w:rFonts w:ascii="Cambria" w:hAnsi="Cambria"/>
          <w:sz w:val="20"/>
          <w:szCs w:val="20"/>
          <w:lang w:val="es-VE"/>
        </w:rPr>
        <w:t>pertinente al diario</w:t>
      </w:r>
      <w:r w:rsidR="00592C5B" w:rsidRPr="00540E96">
        <w:rPr>
          <w:rStyle w:val="FootnoteReference"/>
          <w:rFonts w:ascii="Cambria" w:hAnsi="Cambria"/>
          <w:sz w:val="20"/>
          <w:szCs w:val="20"/>
          <w:lang w:val="es-VE"/>
        </w:rPr>
        <w:footnoteReference w:id="12"/>
      </w:r>
      <w:r w:rsidR="001B167F" w:rsidRPr="00540E96">
        <w:rPr>
          <w:rFonts w:ascii="Cambria" w:hAnsi="Cambria"/>
          <w:sz w:val="20"/>
          <w:szCs w:val="20"/>
          <w:lang w:val="es-VE"/>
        </w:rPr>
        <w:t>.</w:t>
      </w:r>
    </w:p>
    <w:p w14:paraId="24449D1A" w14:textId="77777777" w:rsidR="00984558" w:rsidRDefault="00984558" w:rsidP="006D014B">
      <w:pPr>
        <w:pStyle w:val="NoSpacing"/>
        <w:spacing w:before="0" w:after="0"/>
        <w:ind w:firstLine="0"/>
        <w:rPr>
          <w:szCs w:val="20"/>
          <w:lang w:val="es-VE"/>
        </w:rPr>
      </w:pPr>
    </w:p>
    <w:p w14:paraId="774BB852" w14:textId="77777777" w:rsidR="008D4A0F" w:rsidRDefault="008D4A0F" w:rsidP="006D014B">
      <w:pPr>
        <w:pStyle w:val="NoSpacing"/>
        <w:spacing w:before="0" w:after="0"/>
        <w:ind w:firstLine="0"/>
        <w:rPr>
          <w:szCs w:val="20"/>
          <w:lang w:val="es-VE"/>
        </w:rPr>
      </w:pPr>
    </w:p>
    <w:p w14:paraId="2EEB25BD" w14:textId="77777777" w:rsidR="008D4A0F" w:rsidRDefault="008D4A0F" w:rsidP="006D014B">
      <w:pPr>
        <w:pStyle w:val="NoSpacing"/>
        <w:spacing w:before="0" w:after="0"/>
        <w:ind w:firstLine="0"/>
        <w:rPr>
          <w:szCs w:val="20"/>
          <w:lang w:val="es-VE"/>
        </w:rPr>
      </w:pPr>
    </w:p>
    <w:p w14:paraId="0E13988F" w14:textId="77777777" w:rsidR="008D4A0F" w:rsidRDefault="008D4A0F" w:rsidP="006D014B">
      <w:pPr>
        <w:pStyle w:val="NoSpacing"/>
        <w:spacing w:before="0" w:after="0"/>
        <w:ind w:firstLine="0"/>
        <w:rPr>
          <w:szCs w:val="20"/>
          <w:lang w:val="es-VE"/>
        </w:rPr>
      </w:pPr>
    </w:p>
    <w:p w14:paraId="20D051B6" w14:textId="77777777" w:rsidR="008D4A0F" w:rsidRPr="00540E96" w:rsidRDefault="008D4A0F" w:rsidP="006D014B">
      <w:pPr>
        <w:pStyle w:val="NoSpacing"/>
        <w:spacing w:before="0" w:after="0"/>
        <w:ind w:firstLine="0"/>
        <w:rPr>
          <w:szCs w:val="20"/>
          <w:lang w:val="es-VE"/>
        </w:rPr>
      </w:pPr>
    </w:p>
    <w:p w14:paraId="72DB6996" w14:textId="77777777" w:rsidR="00D02335" w:rsidRPr="00540E96" w:rsidRDefault="009C5FD9" w:rsidP="006D014B">
      <w:pPr>
        <w:pStyle w:val="Heading2"/>
        <w:spacing w:before="0" w:after="0"/>
        <w:ind w:left="0" w:firstLine="0"/>
        <w:jc w:val="both"/>
        <w:rPr>
          <w:lang w:val="es-VE"/>
        </w:rPr>
      </w:pPr>
      <w:bookmarkStart w:id="20" w:name="_Toc24542763"/>
      <w:r w:rsidRPr="00540E96">
        <w:t xml:space="preserve">Proceso penal </w:t>
      </w:r>
      <w:bookmarkStart w:id="21" w:name="_Toc6937376"/>
      <w:bookmarkStart w:id="22" w:name="_Toc11073104"/>
      <w:r w:rsidR="00D02335" w:rsidRPr="00540E96">
        <w:t>por calumnia</w:t>
      </w:r>
      <w:r w:rsidR="00DA3E78" w:rsidRPr="00540E96">
        <w:t>s y difamac</w:t>
      </w:r>
      <w:r w:rsidR="00DA3E78" w:rsidRPr="00540E96">
        <w:rPr>
          <w:lang w:val="es-PE"/>
        </w:rPr>
        <w:t>ión por la prensa</w:t>
      </w:r>
      <w:r w:rsidR="00D02335" w:rsidRPr="00540E96">
        <w:t xml:space="preserve"> en contra de </w:t>
      </w:r>
      <w:bookmarkEnd w:id="21"/>
      <w:bookmarkEnd w:id="22"/>
      <w:r w:rsidR="000113AE" w:rsidRPr="00540E96">
        <w:t>los periodistas Ronald Moya Chacón y Freddy Parrales</w:t>
      </w:r>
      <w:bookmarkEnd w:id="20"/>
    </w:p>
    <w:p w14:paraId="666EA1B7" w14:textId="77777777" w:rsidR="00D02335" w:rsidRPr="00540E96" w:rsidRDefault="00D02335" w:rsidP="006D014B">
      <w:pPr>
        <w:jc w:val="both"/>
        <w:rPr>
          <w:rFonts w:ascii="Cambria" w:hAnsi="Cambria"/>
          <w:sz w:val="20"/>
          <w:szCs w:val="20"/>
          <w:lang w:val="es-ES_tradnl"/>
        </w:rPr>
      </w:pPr>
    </w:p>
    <w:p w14:paraId="3D3EDDFF" w14:textId="77777777" w:rsidR="00D02335" w:rsidRPr="00540E96" w:rsidRDefault="00D02335" w:rsidP="006635F2">
      <w:pPr>
        <w:pStyle w:val="Heading3"/>
      </w:pPr>
      <w:bookmarkStart w:id="23" w:name="_Toc6937377"/>
      <w:bookmarkStart w:id="24" w:name="_Toc11073105"/>
      <w:bookmarkStart w:id="25" w:name="_Toc24542764"/>
      <w:r w:rsidRPr="00540E96">
        <w:t xml:space="preserve">Sentencia de primera instancia del </w:t>
      </w:r>
      <w:bookmarkEnd w:id="23"/>
      <w:bookmarkEnd w:id="24"/>
      <w:r w:rsidR="005E09CF" w:rsidRPr="00540E96">
        <w:t xml:space="preserve">Tribunal de Juicio del Segundo Circuito </w:t>
      </w:r>
      <w:r w:rsidR="00CE184C" w:rsidRPr="00540E96">
        <w:t>Judicial de San José</w:t>
      </w:r>
      <w:bookmarkEnd w:id="25"/>
    </w:p>
    <w:p w14:paraId="2FD7446C" w14:textId="77777777" w:rsidR="00D02335" w:rsidRPr="00540E96" w:rsidRDefault="00D02335"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7068B355" w14:textId="77777777" w:rsidR="008A574E" w:rsidRPr="00540E96" w:rsidRDefault="00240F3F"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 xml:space="preserve">José Cruz Trejos Rodríguez </w:t>
      </w:r>
      <w:r w:rsidR="008B201D" w:rsidRPr="00540E96">
        <w:rPr>
          <w:rFonts w:ascii="Cambria" w:hAnsi="Cambria"/>
          <w:sz w:val="20"/>
          <w:szCs w:val="20"/>
          <w:lang w:val="es-VE"/>
        </w:rPr>
        <w:t>in</w:t>
      </w:r>
      <w:r w:rsidR="0014450F" w:rsidRPr="00540E96">
        <w:rPr>
          <w:rFonts w:ascii="Cambria" w:hAnsi="Cambria"/>
          <w:sz w:val="20"/>
          <w:szCs w:val="20"/>
          <w:lang w:val="es-VE"/>
        </w:rPr>
        <w:t>terpuso una querella</w:t>
      </w:r>
      <w:r w:rsidR="008B201D" w:rsidRPr="00540E96">
        <w:rPr>
          <w:rFonts w:ascii="Cambria" w:hAnsi="Cambria"/>
          <w:sz w:val="20"/>
          <w:szCs w:val="20"/>
          <w:lang w:val="es-VE"/>
        </w:rPr>
        <w:t xml:space="preserve"> penal</w:t>
      </w:r>
      <w:r w:rsidR="0032608A" w:rsidRPr="00540E96">
        <w:rPr>
          <w:rFonts w:ascii="Cambria" w:hAnsi="Cambria"/>
          <w:sz w:val="20"/>
          <w:szCs w:val="20"/>
          <w:lang w:val="es-VE"/>
        </w:rPr>
        <w:t xml:space="preserve"> </w:t>
      </w:r>
      <w:r w:rsidR="00307571" w:rsidRPr="00540E96">
        <w:rPr>
          <w:rFonts w:ascii="Cambria" w:hAnsi="Cambria"/>
          <w:sz w:val="20"/>
          <w:szCs w:val="20"/>
          <w:lang w:val="es-VE"/>
        </w:rPr>
        <w:t xml:space="preserve">en contra </w:t>
      </w:r>
      <w:r w:rsidR="007E5AF0" w:rsidRPr="00540E96">
        <w:rPr>
          <w:rFonts w:ascii="Cambria" w:hAnsi="Cambria"/>
          <w:sz w:val="20"/>
          <w:szCs w:val="20"/>
          <w:lang w:val="es-VE"/>
        </w:rPr>
        <w:t xml:space="preserve">de los periodistas </w:t>
      </w:r>
      <w:r w:rsidR="007E5AF0" w:rsidRPr="00540E96">
        <w:rPr>
          <w:rFonts w:ascii="Cambria" w:hAnsi="Cambria"/>
          <w:sz w:val="20"/>
          <w:szCs w:val="20"/>
          <w:lang w:val="es-PE"/>
        </w:rPr>
        <w:t>Ronald Moya Chacón y Freddy Parrales,</w:t>
      </w:r>
      <w:r w:rsidR="007E5AF0" w:rsidRPr="00540E96">
        <w:rPr>
          <w:rFonts w:ascii="Cambria" w:hAnsi="Cambria"/>
          <w:sz w:val="20"/>
          <w:szCs w:val="20"/>
          <w:lang w:val="es-VE"/>
        </w:rPr>
        <w:t xml:space="preserve"> así como</w:t>
      </w:r>
      <w:r w:rsidR="00385F48" w:rsidRPr="00540E96">
        <w:rPr>
          <w:rFonts w:ascii="Cambria" w:hAnsi="Cambria"/>
          <w:sz w:val="20"/>
          <w:szCs w:val="20"/>
          <w:lang w:val="es-VE"/>
        </w:rPr>
        <w:t xml:space="preserve"> </w:t>
      </w:r>
      <w:r w:rsidR="008C14DE" w:rsidRPr="00540E96">
        <w:rPr>
          <w:rFonts w:ascii="Cambria" w:hAnsi="Cambria"/>
          <w:sz w:val="20"/>
          <w:szCs w:val="20"/>
          <w:lang w:val="es-VE"/>
        </w:rPr>
        <w:t>d</w:t>
      </w:r>
      <w:r w:rsidR="007E5AF0" w:rsidRPr="00540E96">
        <w:rPr>
          <w:rFonts w:ascii="Cambria" w:hAnsi="Cambria"/>
          <w:sz w:val="20"/>
          <w:szCs w:val="20"/>
          <w:lang w:val="es-VE"/>
        </w:rPr>
        <w:t>el entonces Ministro de Seguridad Pública, Rogelio</w:t>
      </w:r>
      <w:r w:rsidR="00A61215">
        <w:rPr>
          <w:rFonts w:ascii="Cambria" w:hAnsi="Cambria"/>
          <w:sz w:val="20"/>
          <w:szCs w:val="20"/>
          <w:lang w:val="es-VE"/>
        </w:rPr>
        <w:t xml:space="preserve"> </w:t>
      </w:r>
      <w:r w:rsidR="008C14DE" w:rsidRPr="00540E96">
        <w:rPr>
          <w:rFonts w:ascii="Cambria" w:hAnsi="Cambria"/>
          <w:sz w:val="20"/>
          <w:szCs w:val="20"/>
          <w:lang w:val="es-VE"/>
        </w:rPr>
        <w:t>R</w:t>
      </w:r>
      <w:r w:rsidR="007E5AF0" w:rsidRPr="00540E96">
        <w:rPr>
          <w:rFonts w:ascii="Cambria" w:hAnsi="Cambria"/>
          <w:sz w:val="20"/>
          <w:szCs w:val="20"/>
          <w:lang w:val="es-VE"/>
        </w:rPr>
        <w:t>amos</w:t>
      </w:r>
      <w:r w:rsidR="008C14DE" w:rsidRPr="00540E96">
        <w:rPr>
          <w:rFonts w:ascii="Cambria" w:hAnsi="Cambria"/>
          <w:sz w:val="20"/>
          <w:szCs w:val="20"/>
          <w:lang w:val="es-VE"/>
        </w:rPr>
        <w:t xml:space="preserve">, por </w:t>
      </w:r>
      <w:r w:rsidR="00025BC8" w:rsidRPr="00540E96">
        <w:rPr>
          <w:rFonts w:ascii="Cambria" w:hAnsi="Cambria"/>
          <w:sz w:val="20"/>
          <w:szCs w:val="20"/>
          <w:lang w:val="es-VE"/>
        </w:rPr>
        <w:t xml:space="preserve">la comisión de </w:t>
      </w:r>
      <w:r w:rsidR="008C14DE" w:rsidRPr="00540E96">
        <w:rPr>
          <w:rFonts w:ascii="Cambria" w:hAnsi="Cambria"/>
          <w:sz w:val="20"/>
          <w:szCs w:val="20"/>
          <w:lang w:val="es-VE"/>
        </w:rPr>
        <w:t xml:space="preserve">los delitos de </w:t>
      </w:r>
      <w:r w:rsidR="00307571" w:rsidRPr="00540E96">
        <w:rPr>
          <w:rFonts w:ascii="Cambria" w:hAnsi="Cambria"/>
          <w:sz w:val="20"/>
          <w:szCs w:val="20"/>
          <w:lang w:val="es-VE"/>
        </w:rPr>
        <w:t>calumnia y difamación</w:t>
      </w:r>
      <w:r w:rsidR="008C14DE" w:rsidRPr="00540E96">
        <w:rPr>
          <w:rFonts w:ascii="Cambria" w:hAnsi="Cambria"/>
          <w:sz w:val="20"/>
          <w:szCs w:val="20"/>
          <w:lang w:val="es-VE"/>
        </w:rPr>
        <w:t xml:space="preserve"> por la prensa</w:t>
      </w:r>
      <w:r w:rsidR="00307571" w:rsidRPr="00540E96">
        <w:rPr>
          <w:rFonts w:ascii="Cambria" w:hAnsi="Cambria"/>
          <w:sz w:val="20"/>
          <w:szCs w:val="20"/>
          <w:lang w:val="es-VE"/>
        </w:rPr>
        <w:t xml:space="preserve">, </w:t>
      </w:r>
      <w:r w:rsidR="007C7978" w:rsidRPr="00540E96">
        <w:rPr>
          <w:rFonts w:ascii="Cambria" w:hAnsi="Cambria"/>
          <w:sz w:val="20"/>
          <w:szCs w:val="20"/>
          <w:lang w:val="es-VE"/>
        </w:rPr>
        <w:t xml:space="preserve">con motivo de la publicación de la nota de 17 de diciembre de 2005. Asimismo, </w:t>
      </w:r>
      <w:r w:rsidR="0052151F" w:rsidRPr="00540E96">
        <w:rPr>
          <w:rFonts w:ascii="Cambria" w:hAnsi="Cambria"/>
          <w:sz w:val="20"/>
          <w:szCs w:val="20"/>
          <w:lang w:val="es-VE"/>
        </w:rPr>
        <w:t>José Cruz Trejos Rodríguez</w:t>
      </w:r>
      <w:r w:rsidR="00A523CF" w:rsidRPr="00540E96">
        <w:rPr>
          <w:rFonts w:ascii="Cambria" w:hAnsi="Cambria"/>
          <w:sz w:val="20"/>
          <w:szCs w:val="20"/>
          <w:lang w:val="es-VE"/>
        </w:rPr>
        <w:t xml:space="preserve"> interpuso </w:t>
      </w:r>
      <w:r w:rsidR="005F3BAF" w:rsidRPr="00540E96">
        <w:rPr>
          <w:rFonts w:ascii="Cambria" w:hAnsi="Cambria"/>
          <w:sz w:val="20"/>
          <w:szCs w:val="20"/>
          <w:lang w:val="es-VE"/>
        </w:rPr>
        <w:t>una acción</w:t>
      </w:r>
      <w:r w:rsidR="0032608A" w:rsidRPr="00540E96">
        <w:rPr>
          <w:rFonts w:ascii="Cambria" w:hAnsi="Cambria"/>
          <w:sz w:val="20"/>
          <w:szCs w:val="20"/>
          <w:lang w:val="es-VE"/>
        </w:rPr>
        <w:t xml:space="preserve"> civil</w:t>
      </w:r>
      <w:r w:rsidR="00307571" w:rsidRPr="00540E96">
        <w:rPr>
          <w:rFonts w:ascii="Cambria" w:hAnsi="Cambria"/>
          <w:sz w:val="20"/>
          <w:szCs w:val="20"/>
          <w:lang w:val="es-VE"/>
        </w:rPr>
        <w:t xml:space="preserve"> </w:t>
      </w:r>
      <w:r w:rsidR="005F3BAF" w:rsidRPr="00540E96">
        <w:rPr>
          <w:rFonts w:ascii="Cambria" w:hAnsi="Cambria"/>
          <w:sz w:val="20"/>
          <w:szCs w:val="20"/>
          <w:lang w:val="es-VE"/>
        </w:rPr>
        <w:t>resarcitoria</w:t>
      </w:r>
      <w:r w:rsidRPr="00540E96">
        <w:rPr>
          <w:rFonts w:ascii="Cambria" w:hAnsi="Cambria"/>
          <w:sz w:val="20"/>
          <w:szCs w:val="20"/>
          <w:lang w:val="es-VE"/>
        </w:rPr>
        <w:t xml:space="preserve"> </w:t>
      </w:r>
      <w:r w:rsidR="00A523CF" w:rsidRPr="00540E96">
        <w:rPr>
          <w:rFonts w:ascii="Cambria" w:hAnsi="Cambria"/>
          <w:sz w:val="20"/>
          <w:szCs w:val="20"/>
          <w:lang w:val="es-VE"/>
        </w:rPr>
        <w:t xml:space="preserve">en la misma causa penal en </w:t>
      </w:r>
      <w:r w:rsidRPr="00540E96">
        <w:rPr>
          <w:rFonts w:ascii="Cambria" w:hAnsi="Cambria"/>
          <w:sz w:val="20"/>
          <w:szCs w:val="20"/>
          <w:lang w:val="es-VE"/>
        </w:rPr>
        <w:t xml:space="preserve">contra </w:t>
      </w:r>
      <w:r w:rsidR="00A523CF" w:rsidRPr="00540E96">
        <w:rPr>
          <w:rFonts w:ascii="Cambria" w:hAnsi="Cambria"/>
          <w:sz w:val="20"/>
          <w:szCs w:val="20"/>
          <w:lang w:val="es-VE"/>
        </w:rPr>
        <w:t>de ambos</w:t>
      </w:r>
      <w:r w:rsidRPr="00540E96">
        <w:rPr>
          <w:rFonts w:ascii="Cambria" w:hAnsi="Cambria"/>
          <w:sz w:val="20"/>
          <w:szCs w:val="20"/>
          <w:lang w:val="es-VE"/>
        </w:rPr>
        <w:t xml:space="preserve"> periodistas</w:t>
      </w:r>
      <w:r w:rsidR="00A523CF" w:rsidRPr="00540E96">
        <w:rPr>
          <w:rFonts w:ascii="Cambria" w:hAnsi="Cambria"/>
          <w:sz w:val="20"/>
          <w:szCs w:val="20"/>
          <w:lang w:val="es-VE"/>
        </w:rPr>
        <w:t xml:space="preserve">, del </w:t>
      </w:r>
      <w:r w:rsidRPr="00540E96">
        <w:rPr>
          <w:rFonts w:ascii="Cambria" w:hAnsi="Cambria"/>
          <w:sz w:val="20"/>
          <w:szCs w:val="20"/>
          <w:lang w:val="es-VE"/>
        </w:rPr>
        <w:t xml:space="preserve">Ministro de Seguridad Pública, </w:t>
      </w:r>
      <w:r w:rsidR="00A523CF" w:rsidRPr="00540E96">
        <w:rPr>
          <w:rFonts w:ascii="Cambria" w:hAnsi="Cambria"/>
          <w:sz w:val="20"/>
          <w:szCs w:val="20"/>
          <w:lang w:val="es-VE"/>
        </w:rPr>
        <w:t>de</w:t>
      </w:r>
      <w:r w:rsidR="000E209F" w:rsidRPr="00540E96">
        <w:rPr>
          <w:rFonts w:ascii="Cambria" w:hAnsi="Cambria"/>
          <w:sz w:val="20"/>
          <w:szCs w:val="20"/>
          <w:lang w:val="es-VE"/>
        </w:rPr>
        <w:t xml:space="preserve"> La Nación S.A.,</w:t>
      </w:r>
      <w:r w:rsidR="004435B3" w:rsidRPr="00540E96">
        <w:rPr>
          <w:rFonts w:ascii="Cambria" w:hAnsi="Cambria"/>
          <w:sz w:val="20"/>
          <w:szCs w:val="20"/>
          <w:lang w:val="es-VE"/>
        </w:rPr>
        <w:t xml:space="preserve"> </w:t>
      </w:r>
      <w:r w:rsidR="00A61215">
        <w:rPr>
          <w:rFonts w:ascii="Cambria" w:hAnsi="Cambria"/>
          <w:sz w:val="20"/>
          <w:szCs w:val="20"/>
          <w:lang w:val="es-VE"/>
        </w:rPr>
        <w:t xml:space="preserve">y </w:t>
      </w:r>
      <w:r w:rsidR="008A574E" w:rsidRPr="00540E96">
        <w:rPr>
          <w:rFonts w:ascii="Cambria" w:hAnsi="Cambria"/>
          <w:sz w:val="20"/>
          <w:szCs w:val="20"/>
          <w:lang w:val="es-VE"/>
        </w:rPr>
        <w:t>d</w:t>
      </w:r>
      <w:r w:rsidR="0032608A" w:rsidRPr="00540E96">
        <w:rPr>
          <w:rFonts w:ascii="Cambria" w:hAnsi="Cambria"/>
          <w:sz w:val="20"/>
          <w:szCs w:val="20"/>
          <w:lang w:val="es-VE"/>
        </w:rPr>
        <w:t>el Estado de Costa Rica</w:t>
      </w:r>
      <w:r w:rsidR="000C3879" w:rsidRPr="00540E96">
        <w:rPr>
          <w:rStyle w:val="FootnoteReference"/>
          <w:rFonts w:ascii="Cambria" w:hAnsi="Cambria"/>
          <w:sz w:val="20"/>
          <w:szCs w:val="20"/>
          <w:lang w:val="es-VE"/>
        </w:rPr>
        <w:footnoteReference w:id="13"/>
      </w:r>
      <w:r w:rsidRPr="00540E96">
        <w:rPr>
          <w:rFonts w:ascii="Cambria" w:hAnsi="Cambria"/>
          <w:sz w:val="20"/>
          <w:szCs w:val="20"/>
          <w:lang w:val="es-VE"/>
        </w:rPr>
        <w:t xml:space="preserve">. </w:t>
      </w:r>
    </w:p>
    <w:p w14:paraId="7BB4A462" w14:textId="77777777" w:rsidR="00CB02A8" w:rsidRPr="00540E96" w:rsidRDefault="00CB02A8"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5C134201" w14:textId="77777777" w:rsidR="000E209F" w:rsidRPr="00540E96" w:rsidRDefault="00240F3F"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En</w:t>
      </w:r>
      <w:r w:rsidR="00CB02A8" w:rsidRPr="00540E96">
        <w:rPr>
          <w:rFonts w:ascii="Cambria" w:hAnsi="Cambria"/>
          <w:sz w:val="20"/>
          <w:szCs w:val="20"/>
          <w:lang w:val="es-VE"/>
        </w:rPr>
        <w:t xml:space="preserve"> la </w:t>
      </w:r>
      <w:r w:rsidRPr="00540E96">
        <w:rPr>
          <w:rFonts w:ascii="Cambria" w:hAnsi="Cambria"/>
          <w:sz w:val="20"/>
          <w:szCs w:val="20"/>
          <w:lang w:val="es-VE"/>
        </w:rPr>
        <w:t>querella</w:t>
      </w:r>
      <w:r w:rsidR="00CB02A8" w:rsidRPr="00540E96">
        <w:rPr>
          <w:rFonts w:ascii="Cambria" w:hAnsi="Cambria"/>
          <w:sz w:val="20"/>
          <w:szCs w:val="20"/>
          <w:lang w:val="es-VE"/>
        </w:rPr>
        <w:t xml:space="preserve"> privada</w:t>
      </w:r>
      <w:r w:rsidR="00446A07" w:rsidRPr="00540E96">
        <w:rPr>
          <w:rFonts w:ascii="Cambria" w:hAnsi="Cambria"/>
          <w:sz w:val="20"/>
          <w:szCs w:val="20"/>
          <w:lang w:val="es-VE"/>
        </w:rPr>
        <w:t>,</w:t>
      </w:r>
      <w:r w:rsidR="00CB02A8" w:rsidRPr="00540E96">
        <w:rPr>
          <w:rFonts w:ascii="Cambria" w:hAnsi="Cambria"/>
          <w:sz w:val="20"/>
          <w:szCs w:val="20"/>
          <w:lang w:val="es-VE"/>
        </w:rPr>
        <w:t xml:space="preserve"> </w:t>
      </w:r>
      <w:r w:rsidR="00B11C27" w:rsidRPr="00540E96">
        <w:rPr>
          <w:rFonts w:ascii="Cambria" w:hAnsi="Cambria"/>
          <w:sz w:val="20"/>
          <w:szCs w:val="20"/>
          <w:lang w:val="es-VE"/>
        </w:rPr>
        <w:t xml:space="preserve">José Cruz Trejos Rodríguez </w:t>
      </w:r>
      <w:r w:rsidRPr="00540E96">
        <w:rPr>
          <w:rFonts w:ascii="Cambria" w:hAnsi="Cambria"/>
          <w:sz w:val="20"/>
          <w:szCs w:val="20"/>
          <w:lang w:val="es-VE"/>
        </w:rPr>
        <w:t xml:space="preserve">expresó </w:t>
      </w:r>
      <w:r w:rsidR="00E670BC" w:rsidRPr="00540E96">
        <w:rPr>
          <w:rFonts w:ascii="Cambria" w:hAnsi="Cambria"/>
          <w:sz w:val="20"/>
          <w:szCs w:val="20"/>
          <w:lang w:val="es-VE"/>
        </w:rPr>
        <w:t xml:space="preserve">que </w:t>
      </w:r>
      <w:r w:rsidR="000E209F" w:rsidRPr="00540E96">
        <w:rPr>
          <w:rFonts w:ascii="Cambria" w:hAnsi="Cambria"/>
          <w:sz w:val="20"/>
          <w:szCs w:val="20"/>
          <w:lang w:val="es-VE"/>
        </w:rPr>
        <w:t>“</w:t>
      </w:r>
      <w:r w:rsidR="00EE0D8A" w:rsidRPr="00540E96">
        <w:rPr>
          <w:rFonts w:ascii="Cambria" w:hAnsi="Cambria"/>
          <w:sz w:val="20"/>
          <w:szCs w:val="20"/>
          <w:lang w:val="es-VE"/>
        </w:rPr>
        <w:t>[</w:t>
      </w:r>
      <w:r w:rsidR="00E670BC" w:rsidRPr="00540E96">
        <w:rPr>
          <w:rFonts w:ascii="Cambria" w:hAnsi="Cambria"/>
          <w:sz w:val="20"/>
          <w:szCs w:val="20"/>
          <w:lang w:val="es-VE"/>
        </w:rPr>
        <w:t>…</w:t>
      </w:r>
      <w:r w:rsidR="00EE0D8A" w:rsidRPr="00540E96">
        <w:rPr>
          <w:rFonts w:ascii="Cambria" w:hAnsi="Cambria"/>
          <w:sz w:val="20"/>
          <w:szCs w:val="20"/>
          <w:lang w:val="es-VE"/>
        </w:rPr>
        <w:t>]</w:t>
      </w:r>
      <w:r w:rsidR="000F6D35" w:rsidRPr="00540E96">
        <w:rPr>
          <w:rFonts w:ascii="Cambria" w:hAnsi="Cambria"/>
          <w:sz w:val="20"/>
          <w:szCs w:val="20"/>
          <w:lang w:val="es-VE"/>
        </w:rPr>
        <w:t xml:space="preserve"> </w:t>
      </w:r>
      <w:r w:rsidR="000E209F" w:rsidRPr="00540E96">
        <w:rPr>
          <w:rFonts w:ascii="Cambria" w:hAnsi="Cambria"/>
          <w:sz w:val="20"/>
          <w:szCs w:val="20"/>
          <w:lang w:val="es-VE"/>
        </w:rPr>
        <w:t>es totalmente falso que (…) se ventile una investigación y mucho menos una causa penal por la supuesta extorsión con trasiego de licores”</w:t>
      </w:r>
      <w:r w:rsidRPr="00540E96">
        <w:rPr>
          <w:rStyle w:val="FootnoteReference"/>
          <w:rFonts w:ascii="Cambria" w:hAnsi="Cambria"/>
          <w:sz w:val="20"/>
          <w:szCs w:val="20"/>
          <w:lang w:val="es-VE"/>
        </w:rPr>
        <w:footnoteReference w:id="14"/>
      </w:r>
      <w:r w:rsidR="000E209F" w:rsidRPr="00540E96">
        <w:rPr>
          <w:rFonts w:ascii="Cambria" w:hAnsi="Cambria"/>
          <w:sz w:val="20"/>
          <w:szCs w:val="20"/>
          <w:lang w:val="es-VE"/>
        </w:rPr>
        <w:t>.</w:t>
      </w:r>
      <w:r w:rsidR="00A91F8F" w:rsidRPr="00540E96">
        <w:rPr>
          <w:rFonts w:ascii="Cambria" w:hAnsi="Cambria"/>
          <w:sz w:val="20"/>
          <w:szCs w:val="20"/>
          <w:lang w:val="es-VE"/>
        </w:rPr>
        <w:t xml:space="preserve"> </w:t>
      </w:r>
      <w:r w:rsidR="0053065B" w:rsidRPr="00540E96">
        <w:rPr>
          <w:rFonts w:ascii="Cambria" w:hAnsi="Cambria"/>
          <w:sz w:val="20"/>
          <w:szCs w:val="20"/>
          <w:lang w:val="es-VE"/>
        </w:rPr>
        <w:t xml:space="preserve">Igualmente, manifestó que “las dos únicas causas que se han venido ventilando” en la Fiscalía de Corredores “datan de los años </w:t>
      </w:r>
      <w:r w:rsidR="001A3646" w:rsidRPr="00540E96">
        <w:rPr>
          <w:rFonts w:ascii="Cambria" w:hAnsi="Cambria"/>
          <w:sz w:val="20"/>
          <w:szCs w:val="20"/>
          <w:lang w:val="es-VE"/>
        </w:rPr>
        <w:t xml:space="preserve">dos mil dos y dos mil tres, se encuentran debidamente sobreseídas y archivadas” y por tanto no existía “ningún proceso investigativo o judicial” “por la presunta delincuencia de </w:t>
      </w:r>
      <w:r w:rsidR="000C3879" w:rsidRPr="00540E96">
        <w:rPr>
          <w:rFonts w:ascii="Cambria" w:hAnsi="Cambria"/>
          <w:sz w:val="20"/>
          <w:szCs w:val="20"/>
          <w:lang w:val="es-VE"/>
        </w:rPr>
        <w:t>e</w:t>
      </w:r>
      <w:r w:rsidR="001A3646" w:rsidRPr="00540E96">
        <w:rPr>
          <w:rFonts w:ascii="Cambria" w:hAnsi="Cambria"/>
          <w:sz w:val="20"/>
          <w:szCs w:val="20"/>
          <w:lang w:val="es-VE"/>
        </w:rPr>
        <w:t>xtorsión por el trasiego de licores”</w:t>
      </w:r>
      <w:r w:rsidR="001A3646" w:rsidRPr="00540E96">
        <w:rPr>
          <w:rStyle w:val="FootnoteReference"/>
          <w:rFonts w:ascii="Cambria" w:hAnsi="Cambria"/>
          <w:sz w:val="20"/>
          <w:szCs w:val="20"/>
          <w:lang w:val="es-VE"/>
        </w:rPr>
        <w:footnoteReference w:id="15"/>
      </w:r>
      <w:r w:rsidR="001A3646" w:rsidRPr="00540E96">
        <w:rPr>
          <w:rFonts w:ascii="Cambria" w:hAnsi="Cambria"/>
          <w:sz w:val="20"/>
          <w:szCs w:val="20"/>
          <w:lang w:val="es-VE"/>
        </w:rPr>
        <w:t>.</w:t>
      </w:r>
      <w:r w:rsidR="006D7782" w:rsidRPr="00540E96">
        <w:rPr>
          <w:rFonts w:ascii="Cambria" w:hAnsi="Cambria"/>
          <w:sz w:val="20"/>
          <w:szCs w:val="20"/>
          <w:lang w:val="es-VE"/>
        </w:rPr>
        <w:t xml:space="preserve"> </w:t>
      </w:r>
      <w:r w:rsidR="00843A79" w:rsidRPr="00540E96">
        <w:rPr>
          <w:rFonts w:ascii="Cambria" w:hAnsi="Cambria"/>
          <w:sz w:val="20"/>
          <w:szCs w:val="20"/>
          <w:lang w:val="es-VE"/>
        </w:rPr>
        <w:t xml:space="preserve">El señor Trejos Rodríguez </w:t>
      </w:r>
      <w:r w:rsidR="00C87B0D" w:rsidRPr="00540E96">
        <w:rPr>
          <w:rFonts w:ascii="Cambria" w:hAnsi="Cambria"/>
          <w:sz w:val="20"/>
          <w:szCs w:val="20"/>
          <w:lang w:val="es-VE"/>
        </w:rPr>
        <w:t xml:space="preserve">declaró </w:t>
      </w:r>
      <w:r w:rsidR="00162322" w:rsidRPr="00540E96">
        <w:rPr>
          <w:rFonts w:ascii="Cambria" w:hAnsi="Cambria"/>
          <w:sz w:val="20"/>
          <w:szCs w:val="20"/>
          <w:lang w:val="es-VE"/>
        </w:rPr>
        <w:t xml:space="preserve">que </w:t>
      </w:r>
      <w:r w:rsidR="00276921" w:rsidRPr="00540E96">
        <w:rPr>
          <w:rFonts w:ascii="Cambria" w:hAnsi="Cambria"/>
          <w:sz w:val="20"/>
          <w:szCs w:val="20"/>
          <w:lang w:val="es-VE"/>
        </w:rPr>
        <w:t xml:space="preserve">la nota de prensa fue calumniante y difamante </w:t>
      </w:r>
      <w:r w:rsidR="00187B32" w:rsidRPr="00540E96">
        <w:rPr>
          <w:rFonts w:ascii="Cambria" w:hAnsi="Cambria"/>
          <w:sz w:val="20"/>
          <w:szCs w:val="20"/>
          <w:lang w:val="es-VE"/>
        </w:rPr>
        <w:t>y generó un grave impacto negativo</w:t>
      </w:r>
      <w:r w:rsidR="006F1B0A" w:rsidRPr="00540E96">
        <w:rPr>
          <w:rFonts w:ascii="Cambria" w:hAnsi="Cambria"/>
          <w:sz w:val="20"/>
          <w:szCs w:val="20"/>
          <w:lang w:val="es-VE"/>
        </w:rPr>
        <w:t xml:space="preserve"> en </w:t>
      </w:r>
      <w:r w:rsidR="006D0C46" w:rsidRPr="00540E96">
        <w:rPr>
          <w:rFonts w:ascii="Cambria" w:hAnsi="Cambria"/>
          <w:sz w:val="20"/>
          <w:szCs w:val="20"/>
          <w:lang w:val="es-VE"/>
        </w:rPr>
        <w:t xml:space="preserve">su solvencia moral como servidor público, tanto </w:t>
      </w:r>
      <w:r w:rsidR="006F1B0A" w:rsidRPr="00540E96">
        <w:rPr>
          <w:rFonts w:ascii="Cambria" w:hAnsi="Cambria"/>
          <w:sz w:val="20"/>
          <w:szCs w:val="20"/>
          <w:lang w:val="es-VE"/>
        </w:rPr>
        <w:t>ante</w:t>
      </w:r>
      <w:r w:rsidR="006D0C46" w:rsidRPr="00540E96">
        <w:rPr>
          <w:rFonts w:ascii="Cambria" w:hAnsi="Cambria"/>
          <w:sz w:val="20"/>
          <w:szCs w:val="20"/>
          <w:lang w:val="es-VE"/>
        </w:rPr>
        <w:t xml:space="preserve"> la comunidad de la zona sur, como </w:t>
      </w:r>
      <w:r w:rsidR="00A61215">
        <w:rPr>
          <w:rFonts w:ascii="Cambria" w:hAnsi="Cambria"/>
          <w:sz w:val="20"/>
          <w:szCs w:val="20"/>
          <w:lang w:val="es-VE"/>
        </w:rPr>
        <w:t>ante</w:t>
      </w:r>
      <w:r w:rsidR="006D0C46" w:rsidRPr="00540E96">
        <w:rPr>
          <w:rFonts w:ascii="Cambria" w:hAnsi="Cambria"/>
          <w:sz w:val="20"/>
          <w:szCs w:val="20"/>
          <w:lang w:val="es-VE"/>
        </w:rPr>
        <w:t xml:space="preserve"> todo el país</w:t>
      </w:r>
      <w:r w:rsidR="00850B9A" w:rsidRPr="00540E96">
        <w:rPr>
          <w:rFonts w:ascii="Cambria" w:hAnsi="Cambria"/>
          <w:sz w:val="20"/>
          <w:szCs w:val="20"/>
          <w:lang w:val="es-VE"/>
        </w:rPr>
        <w:t xml:space="preserve">. Asimismo, declaró que la nota de prensa generó un perjuicio </w:t>
      </w:r>
      <w:r w:rsidR="00567149" w:rsidRPr="00540E96">
        <w:rPr>
          <w:rFonts w:ascii="Cambria" w:hAnsi="Cambria"/>
          <w:sz w:val="20"/>
          <w:szCs w:val="20"/>
          <w:lang w:val="es-VE"/>
        </w:rPr>
        <w:t xml:space="preserve">no solo en su honor y reputación, sino en su </w:t>
      </w:r>
      <w:r w:rsidR="00C57E9D" w:rsidRPr="00540E96">
        <w:rPr>
          <w:rFonts w:ascii="Cambria" w:hAnsi="Cambria"/>
          <w:sz w:val="20"/>
          <w:szCs w:val="20"/>
          <w:lang w:val="es-VE"/>
        </w:rPr>
        <w:t xml:space="preserve">situación laboral, </w:t>
      </w:r>
      <w:r w:rsidR="00D37BDD" w:rsidRPr="00540E96">
        <w:rPr>
          <w:rFonts w:ascii="Cambria" w:hAnsi="Cambria"/>
          <w:sz w:val="20"/>
          <w:szCs w:val="20"/>
          <w:lang w:val="es-VE"/>
        </w:rPr>
        <w:t>ya que,</w:t>
      </w:r>
      <w:r w:rsidR="00C57E9D" w:rsidRPr="00540E96">
        <w:rPr>
          <w:rFonts w:ascii="Cambria" w:hAnsi="Cambria"/>
          <w:sz w:val="20"/>
          <w:szCs w:val="20"/>
          <w:lang w:val="es-VE"/>
        </w:rPr>
        <w:t xml:space="preserve"> con posterioridad a la publicación de la noticia, fue </w:t>
      </w:r>
      <w:r w:rsidR="00513282" w:rsidRPr="00540E96">
        <w:rPr>
          <w:rFonts w:ascii="Cambria" w:hAnsi="Cambria"/>
          <w:sz w:val="20"/>
          <w:szCs w:val="20"/>
          <w:lang w:val="es-VE"/>
        </w:rPr>
        <w:t xml:space="preserve">enviado a distintas zonas del país, </w:t>
      </w:r>
      <w:r w:rsidR="00A61215">
        <w:rPr>
          <w:rFonts w:ascii="Cambria" w:hAnsi="Cambria"/>
          <w:sz w:val="20"/>
          <w:szCs w:val="20"/>
          <w:lang w:val="es-VE"/>
        </w:rPr>
        <w:t xml:space="preserve"> y fue </w:t>
      </w:r>
      <w:r w:rsidR="00513282" w:rsidRPr="00540E96">
        <w:rPr>
          <w:rFonts w:ascii="Cambria" w:hAnsi="Cambria"/>
          <w:sz w:val="20"/>
          <w:szCs w:val="20"/>
          <w:lang w:val="es-VE"/>
        </w:rPr>
        <w:t>design</w:t>
      </w:r>
      <w:r w:rsidR="00A61215">
        <w:rPr>
          <w:rFonts w:ascii="Cambria" w:hAnsi="Cambria"/>
          <w:sz w:val="20"/>
          <w:szCs w:val="20"/>
          <w:lang w:val="es-VE"/>
        </w:rPr>
        <w:t xml:space="preserve">ado </w:t>
      </w:r>
      <w:r w:rsidR="001549CF" w:rsidRPr="00540E96">
        <w:rPr>
          <w:rFonts w:ascii="Cambria" w:hAnsi="Cambria"/>
          <w:sz w:val="20"/>
          <w:szCs w:val="20"/>
          <w:lang w:val="es-VE"/>
        </w:rPr>
        <w:t xml:space="preserve">en </w:t>
      </w:r>
      <w:r w:rsidR="00513282" w:rsidRPr="00540E96">
        <w:rPr>
          <w:rFonts w:ascii="Cambria" w:hAnsi="Cambria"/>
          <w:sz w:val="20"/>
          <w:szCs w:val="20"/>
          <w:lang w:val="es-VE"/>
        </w:rPr>
        <w:t>puestos de menor rango</w:t>
      </w:r>
      <w:r w:rsidR="00FF0F42" w:rsidRPr="00540E96">
        <w:rPr>
          <w:rStyle w:val="FootnoteReference"/>
          <w:rFonts w:ascii="Cambria" w:hAnsi="Cambria"/>
          <w:sz w:val="20"/>
          <w:szCs w:val="20"/>
          <w:lang w:val="es-VE"/>
        </w:rPr>
        <w:footnoteReference w:id="16"/>
      </w:r>
      <w:r w:rsidR="00FF0F42" w:rsidRPr="00540E96">
        <w:rPr>
          <w:rFonts w:ascii="Cambria" w:hAnsi="Cambria"/>
          <w:sz w:val="20"/>
          <w:szCs w:val="20"/>
          <w:lang w:val="es-VE"/>
        </w:rPr>
        <w:t>.</w:t>
      </w:r>
    </w:p>
    <w:p w14:paraId="69D80AAF" w14:textId="77777777" w:rsidR="00984558" w:rsidRPr="00540E96" w:rsidRDefault="00984558"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201ED21D" w14:textId="77777777" w:rsidR="00240F3F" w:rsidRPr="00540E96" w:rsidRDefault="00240F3F"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El 10 de enero de 2007</w:t>
      </w:r>
      <w:r w:rsidR="004642E9" w:rsidRPr="00540E96">
        <w:rPr>
          <w:rFonts w:ascii="Cambria" w:hAnsi="Cambria"/>
          <w:sz w:val="20"/>
          <w:szCs w:val="20"/>
          <w:lang w:val="es-VE"/>
        </w:rPr>
        <w:t xml:space="preserve"> el Tribunal de Juicio de Segundo Circuito de San José, Goicochea (en adelante, “el Tribunal</w:t>
      </w:r>
      <w:r w:rsidR="007F63C6" w:rsidRPr="00540E96">
        <w:rPr>
          <w:rFonts w:ascii="Cambria" w:hAnsi="Cambria"/>
          <w:sz w:val="20"/>
          <w:szCs w:val="20"/>
          <w:lang w:val="es-VE"/>
        </w:rPr>
        <w:t xml:space="preserve"> de Juicio</w:t>
      </w:r>
      <w:r w:rsidR="004642E9" w:rsidRPr="00540E96">
        <w:rPr>
          <w:rFonts w:ascii="Cambria" w:hAnsi="Cambria"/>
          <w:sz w:val="20"/>
          <w:szCs w:val="20"/>
          <w:lang w:val="es-VE"/>
        </w:rPr>
        <w:t>”)</w:t>
      </w:r>
      <w:r w:rsidR="007F63C6" w:rsidRPr="00540E96">
        <w:rPr>
          <w:rFonts w:ascii="Cambria" w:hAnsi="Cambria"/>
          <w:sz w:val="20"/>
          <w:szCs w:val="20"/>
          <w:lang w:val="es-VE"/>
        </w:rPr>
        <w:t xml:space="preserve"> </w:t>
      </w:r>
      <w:r w:rsidRPr="00540E96">
        <w:rPr>
          <w:rFonts w:ascii="Cambria" w:hAnsi="Cambria"/>
          <w:sz w:val="20"/>
          <w:szCs w:val="20"/>
          <w:lang w:val="es-VE"/>
        </w:rPr>
        <w:t>dictó sentencia en la cual resolvió absolver “de toda responsabilidad penal por los delitos de difamación e injuria por la prensa” a Freddy Parrales Chave</w:t>
      </w:r>
      <w:r w:rsidR="00E670BC" w:rsidRPr="00540E96">
        <w:rPr>
          <w:rFonts w:ascii="Cambria" w:hAnsi="Cambria"/>
          <w:sz w:val="20"/>
          <w:szCs w:val="20"/>
          <w:lang w:val="es-VE"/>
        </w:rPr>
        <w:t>s</w:t>
      </w:r>
      <w:r w:rsidRPr="00540E96">
        <w:rPr>
          <w:rFonts w:ascii="Cambria" w:hAnsi="Cambria"/>
          <w:sz w:val="20"/>
          <w:szCs w:val="20"/>
          <w:lang w:val="es-VE"/>
        </w:rPr>
        <w:t xml:space="preserve">, Ronald Moya </w:t>
      </w:r>
      <w:r w:rsidR="007F63C6" w:rsidRPr="00540E96">
        <w:rPr>
          <w:rFonts w:ascii="Cambria" w:hAnsi="Cambria"/>
          <w:sz w:val="20"/>
          <w:szCs w:val="20"/>
          <w:lang w:val="es-VE"/>
        </w:rPr>
        <w:t>Chacón</w:t>
      </w:r>
      <w:r w:rsidRPr="00540E96">
        <w:rPr>
          <w:rFonts w:ascii="Cambria" w:hAnsi="Cambria"/>
          <w:sz w:val="20"/>
          <w:szCs w:val="20"/>
          <w:lang w:val="es-VE"/>
        </w:rPr>
        <w:t xml:space="preserve">, </w:t>
      </w:r>
      <w:r w:rsidR="007F63C6" w:rsidRPr="00540E96">
        <w:rPr>
          <w:rFonts w:ascii="Cambria" w:hAnsi="Cambria"/>
          <w:sz w:val="20"/>
          <w:szCs w:val="20"/>
          <w:lang w:val="es-VE"/>
        </w:rPr>
        <w:t xml:space="preserve">y </w:t>
      </w:r>
      <w:r w:rsidRPr="00540E96">
        <w:rPr>
          <w:rFonts w:ascii="Cambria" w:hAnsi="Cambria"/>
          <w:sz w:val="20"/>
          <w:szCs w:val="20"/>
          <w:lang w:val="es-VE"/>
        </w:rPr>
        <w:t>Rogelio Ramos</w:t>
      </w:r>
      <w:r w:rsidR="00EB5AE7" w:rsidRPr="00540E96">
        <w:rPr>
          <w:rFonts w:ascii="Cambria" w:hAnsi="Cambria"/>
          <w:sz w:val="20"/>
          <w:szCs w:val="20"/>
          <w:lang w:val="es-VE"/>
        </w:rPr>
        <w:t xml:space="preserve">, ya que </w:t>
      </w:r>
      <w:r w:rsidR="00C77967" w:rsidRPr="00540E96">
        <w:rPr>
          <w:rFonts w:ascii="Cambria" w:hAnsi="Cambria"/>
          <w:sz w:val="20"/>
          <w:szCs w:val="20"/>
          <w:lang w:val="es-VE"/>
        </w:rPr>
        <w:t xml:space="preserve">no se demostró que los querellados publicaran la noticia </w:t>
      </w:r>
      <w:r w:rsidR="00875BDC" w:rsidRPr="00540E96">
        <w:rPr>
          <w:rFonts w:ascii="Cambria" w:hAnsi="Cambria"/>
          <w:sz w:val="20"/>
          <w:szCs w:val="20"/>
          <w:lang w:val="es-VE"/>
        </w:rPr>
        <w:t>con dolo, sino con ánimo de informar al público.</w:t>
      </w:r>
      <w:r w:rsidRPr="00540E96">
        <w:rPr>
          <w:rFonts w:ascii="Cambria" w:hAnsi="Cambria"/>
          <w:sz w:val="20"/>
          <w:szCs w:val="20"/>
          <w:lang w:val="es-VE"/>
        </w:rPr>
        <w:t xml:space="preserve"> No obstante, resolvió declarar “con lugar la acción civil resarcitoria” y, en consecuencia, condenó </w:t>
      </w:r>
      <w:r w:rsidR="00607249" w:rsidRPr="00540E96">
        <w:rPr>
          <w:rFonts w:ascii="Cambria" w:hAnsi="Cambria"/>
          <w:sz w:val="20"/>
          <w:szCs w:val="20"/>
          <w:lang w:val="es-VE"/>
        </w:rPr>
        <w:t>de manera solidaria</w:t>
      </w:r>
      <w:r w:rsidRPr="00540E96">
        <w:rPr>
          <w:rFonts w:ascii="Cambria" w:hAnsi="Cambria"/>
          <w:sz w:val="20"/>
          <w:szCs w:val="20"/>
          <w:lang w:val="es-VE"/>
        </w:rPr>
        <w:t xml:space="preserve"> a Freddy Parrales Chave</w:t>
      </w:r>
      <w:r w:rsidR="00E670BC" w:rsidRPr="00540E96">
        <w:rPr>
          <w:rFonts w:ascii="Cambria" w:hAnsi="Cambria"/>
          <w:sz w:val="20"/>
          <w:szCs w:val="20"/>
          <w:lang w:val="es-VE"/>
        </w:rPr>
        <w:t>s</w:t>
      </w:r>
      <w:r w:rsidRPr="00540E96">
        <w:rPr>
          <w:rFonts w:ascii="Cambria" w:hAnsi="Cambria"/>
          <w:sz w:val="20"/>
          <w:szCs w:val="20"/>
          <w:lang w:val="es-VE"/>
        </w:rPr>
        <w:t>, Ronald Moya Chac</w:t>
      </w:r>
      <w:r w:rsidR="006107E3" w:rsidRPr="00540E96">
        <w:rPr>
          <w:rFonts w:ascii="Cambria" w:hAnsi="Cambria"/>
          <w:sz w:val="20"/>
          <w:szCs w:val="20"/>
          <w:lang w:val="es-VE"/>
        </w:rPr>
        <w:t>ó</w:t>
      </w:r>
      <w:r w:rsidRPr="00540E96">
        <w:rPr>
          <w:rFonts w:ascii="Cambria" w:hAnsi="Cambria"/>
          <w:sz w:val="20"/>
          <w:szCs w:val="20"/>
          <w:lang w:val="es-VE"/>
        </w:rPr>
        <w:t xml:space="preserve">n, Rogelio Ramos, La Nación S.A., y al Estado de Costa Rica al pago </w:t>
      </w:r>
      <w:r w:rsidR="00B07244" w:rsidRPr="00540E96">
        <w:rPr>
          <w:rFonts w:ascii="Cambria" w:hAnsi="Cambria"/>
          <w:sz w:val="20"/>
          <w:szCs w:val="20"/>
          <w:lang w:val="es-VE"/>
        </w:rPr>
        <w:t xml:space="preserve">solidario </w:t>
      </w:r>
      <w:r w:rsidRPr="00540E96">
        <w:rPr>
          <w:rFonts w:ascii="Cambria" w:hAnsi="Cambria"/>
          <w:sz w:val="20"/>
          <w:szCs w:val="20"/>
          <w:lang w:val="es-VE"/>
        </w:rPr>
        <w:t>de cinco millones de colon</w:t>
      </w:r>
      <w:r w:rsidR="0070612F" w:rsidRPr="00540E96">
        <w:rPr>
          <w:rFonts w:ascii="Cambria" w:hAnsi="Cambria"/>
          <w:sz w:val="20"/>
          <w:szCs w:val="20"/>
          <w:lang w:val="es-VE"/>
        </w:rPr>
        <w:t>e</w:t>
      </w:r>
      <w:r w:rsidRPr="00540E96">
        <w:rPr>
          <w:rFonts w:ascii="Cambria" w:hAnsi="Cambria"/>
          <w:sz w:val="20"/>
          <w:szCs w:val="20"/>
          <w:lang w:val="es-VE"/>
        </w:rPr>
        <w:t xml:space="preserve">s </w:t>
      </w:r>
      <w:r w:rsidR="00B07244" w:rsidRPr="00540E96">
        <w:rPr>
          <w:rFonts w:ascii="Cambria" w:hAnsi="Cambria"/>
          <w:sz w:val="20"/>
          <w:szCs w:val="20"/>
          <w:lang w:val="es-VE"/>
        </w:rPr>
        <w:t>por</w:t>
      </w:r>
      <w:r w:rsidRPr="00540E96">
        <w:rPr>
          <w:rFonts w:ascii="Cambria" w:hAnsi="Cambria"/>
          <w:sz w:val="20"/>
          <w:szCs w:val="20"/>
          <w:lang w:val="es-VE"/>
        </w:rPr>
        <w:t xml:space="preserve"> concepto de daño moral</w:t>
      </w:r>
      <w:r w:rsidR="00B07244" w:rsidRPr="00540E96">
        <w:rPr>
          <w:rFonts w:ascii="Cambria" w:hAnsi="Cambria"/>
          <w:sz w:val="20"/>
          <w:szCs w:val="20"/>
          <w:lang w:val="es-VE"/>
        </w:rPr>
        <w:t xml:space="preserve"> </w:t>
      </w:r>
      <w:r w:rsidR="0070612F" w:rsidRPr="00540E96">
        <w:rPr>
          <w:rFonts w:ascii="Cambria" w:hAnsi="Cambria"/>
          <w:sz w:val="20"/>
          <w:szCs w:val="20"/>
          <w:lang w:val="es-VE"/>
        </w:rPr>
        <w:t xml:space="preserve">y de un millón de colones por concepto de </w:t>
      </w:r>
      <w:r w:rsidR="00811F42" w:rsidRPr="00540E96">
        <w:rPr>
          <w:rFonts w:ascii="Cambria" w:hAnsi="Cambria"/>
          <w:sz w:val="20"/>
          <w:szCs w:val="20"/>
          <w:lang w:val="es-VE"/>
        </w:rPr>
        <w:t>costas personales</w:t>
      </w:r>
      <w:r w:rsidR="007545F2" w:rsidRPr="00540E96">
        <w:rPr>
          <w:rStyle w:val="FootnoteReference"/>
          <w:rFonts w:ascii="Cambria" w:hAnsi="Cambria"/>
          <w:sz w:val="20"/>
          <w:szCs w:val="20"/>
          <w:lang w:val="es-VE"/>
        </w:rPr>
        <w:footnoteReference w:id="17"/>
      </w:r>
      <w:r w:rsidR="007545F2" w:rsidRPr="00540E96">
        <w:rPr>
          <w:rFonts w:ascii="Cambria" w:hAnsi="Cambria"/>
          <w:sz w:val="20"/>
          <w:szCs w:val="20"/>
          <w:lang w:val="es-VE"/>
        </w:rPr>
        <w:t>.</w:t>
      </w:r>
    </w:p>
    <w:p w14:paraId="596F63A6" w14:textId="77777777" w:rsidR="00984558" w:rsidRPr="00540E96" w:rsidRDefault="00984558" w:rsidP="006D014B">
      <w:pPr>
        <w:pStyle w:val="ListParagraph"/>
        <w:spacing w:before="0" w:after="0"/>
        <w:rPr>
          <w:sz w:val="20"/>
          <w:szCs w:val="20"/>
          <w:lang w:val="es-VE"/>
        </w:rPr>
      </w:pPr>
    </w:p>
    <w:p w14:paraId="214EAB3A" w14:textId="77777777" w:rsidR="001D3ECE" w:rsidRPr="00540E96" w:rsidRDefault="00E7152A"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 xml:space="preserve">El Tribunal de Juicio </w:t>
      </w:r>
      <w:r w:rsidR="00CB67BC" w:rsidRPr="00540E96">
        <w:rPr>
          <w:rFonts w:ascii="Cambria" w:hAnsi="Cambria"/>
          <w:sz w:val="20"/>
          <w:szCs w:val="20"/>
          <w:lang w:val="es-VE"/>
        </w:rPr>
        <w:t xml:space="preserve">confirmó </w:t>
      </w:r>
      <w:r w:rsidR="009063F2" w:rsidRPr="00540E96">
        <w:rPr>
          <w:rFonts w:ascii="Cambria" w:hAnsi="Cambria"/>
          <w:sz w:val="20"/>
          <w:szCs w:val="20"/>
          <w:lang w:val="es-VE"/>
        </w:rPr>
        <w:t xml:space="preserve">que </w:t>
      </w:r>
      <w:r w:rsidR="00ED44B7" w:rsidRPr="00540E96">
        <w:rPr>
          <w:rFonts w:ascii="Cambria" w:hAnsi="Cambria"/>
          <w:sz w:val="20"/>
          <w:szCs w:val="20"/>
          <w:lang w:val="es-VE"/>
        </w:rPr>
        <w:t>Trejos</w:t>
      </w:r>
      <w:r w:rsidR="001D3ECE" w:rsidRPr="00540E96">
        <w:rPr>
          <w:rFonts w:ascii="Cambria" w:hAnsi="Cambria"/>
          <w:sz w:val="20"/>
          <w:szCs w:val="20"/>
          <w:lang w:val="es-VE"/>
        </w:rPr>
        <w:t xml:space="preserve"> Rodríguez</w:t>
      </w:r>
      <w:r w:rsidR="00ED44B7" w:rsidRPr="00540E96">
        <w:rPr>
          <w:rFonts w:ascii="Cambria" w:hAnsi="Cambria"/>
          <w:sz w:val="20"/>
          <w:szCs w:val="20"/>
          <w:lang w:val="es-VE"/>
        </w:rPr>
        <w:t xml:space="preserve"> </w:t>
      </w:r>
      <w:r w:rsidR="006C53FC" w:rsidRPr="00540E96">
        <w:rPr>
          <w:rFonts w:ascii="Cambria" w:hAnsi="Cambria"/>
          <w:sz w:val="20"/>
          <w:szCs w:val="20"/>
          <w:lang w:val="es-VE"/>
        </w:rPr>
        <w:t>tenía una causa e</w:t>
      </w:r>
      <w:r w:rsidR="003C6CDA" w:rsidRPr="00540E96">
        <w:rPr>
          <w:rFonts w:ascii="Cambria" w:hAnsi="Cambria"/>
          <w:sz w:val="20"/>
          <w:szCs w:val="20"/>
          <w:lang w:val="es-VE"/>
        </w:rPr>
        <w:t xml:space="preserve">n la Fiscalía de Coto Brus por </w:t>
      </w:r>
      <w:r w:rsidR="008E0B70" w:rsidRPr="00540E96">
        <w:rPr>
          <w:rFonts w:ascii="Cambria" w:hAnsi="Cambria"/>
          <w:sz w:val="20"/>
          <w:szCs w:val="20"/>
          <w:lang w:val="es-VE"/>
        </w:rPr>
        <w:t xml:space="preserve">el delito de </w:t>
      </w:r>
      <w:r w:rsidR="003C6CDA" w:rsidRPr="00540E96">
        <w:rPr>
          <w:rFonts w:ascii="Cambria" w:hAnsi="Cambria"/>
          <w:sz w:val="20"/>
          <w:szCs w:val="20"/>
          <w:lang w:val="es-VE"/>
        </w:rPr>
        <w:t>e</w:t>
      </w:r>
      <w:r w:rsidR="006C53FC" w:rsidRPr="00540E96">
        <w:rPr>
          <w:rFonts w:ascii="Cambria" w:hAnsi="Cambria"/>
          <w:sz w:val="20"/>
          <w:szCs w:val="20"/>
          <w:lang w:val="es-VE"/>
        </w:rPr>
        <w:t>xtorsión, iniciad</w:t>
      </w:r>
      <w:r w:rsidR="008E0B70" w:rsidRPr="00540E96">
        <w:rPr>
          <w:rFonts w:ascii="Cambria" w:hAnsi="Cambria"/>
          <w:sz w:val="20"/>
          <w:szCs w:val="20"/>
          <w:lang w:val="es-VE"/>
        </w:rPr>
        <w:t>a</w:t>
      </w:r>
      <w:r w:rsidR="006C53FC" w:rsidRPr="00540E96">
        <w:rPr>
          <w:rFonts w:ascii="Cambria" w:hAnsi="Cambria"/>
          <w:sz w:val="20"/>
          <w:szCs w:val="20"/>
          <w:lang w:val="es-VE"/>
        </w:rPr>
        <w:t xml:space="preserve"> en</w:t>
      </w:r>
      <w:r w:rsidR="008E0B70" w:rsidRPr="00540E96">
        <w:rPr>
          <w:rFonts w:ascii="Cambria" w:hAnsi="Cambria"/>
          <w:sz w:val="20"/>
          <w:szCs w:val="20"/>
          <w:lang w:val="es-VE"/>
        </w:rPr>
        <w:t xml:space="preserve"> agosto de</w:t>
      </w:r>
      <w:r w:rsidR="006C53FC" w:rsidRPr="00540E96">
        <w:rPr>
          <w:rFonts w:ascii="Cambria" w:hAnsi="Cambria"/>
          <w:sz w:val="20"/>
          <w:szCs w:val="20"/>
          <w:lang w:val="es-VE"/>
        </w:rPr>
        <w:t xml:space="preserve"> 2005, </w:t>
      </w:r>
      <w:r w:rsidR="002D5A43" w:rsidRPr="00540E96">
        <w:rPr>
          <w:rFonts w:ascii="Cambria" w:hAnsi="Cambria"/>
          <w:sz w:val="20"/>
          <w:szCs w:val="20"/>
          <w:lang w:val="es-VE"/>
        </w:rPr>
        <w:t>es decir, unos cuatro meses antes de la noticia</w:t>
      </w:r>
      <w:r w:rsidR="004F09E0" w:rsidRPr="00540E96">
        <w:rPr>
          <w:rFonts w:ascii="Cambria" w:hAnsi="Cambria"/>
          <w:sz w:val="20"/>
          <w:szCs w:val="20"/>
          <w:lang w:val="es-VE"/>
        </w:rPr>
        <w:t xml:space="preserve">. Dicho delito fue </w:t>
      </w:r>
      <w:r w:rsidR="006C53FC" w:rsidRPr="00540E96">
        <w:rPr>
          <w:rFonts w:ascii="Cambria" w:hAnsi="Cambria"/>
          <w:sz w:val="20"/>
          <w:szCs w:val="20"/>
          <w:lang w:val="es-VE"/>
        </w:rPr>
        <w:t>poster</w:t>
      </w:r>
      <w:r w:rsidR="003C6CDA" w:rsidRPr="00540E96">
        <w:rPr>
          <w:rFonts w:ascii="Cambria" w:hAnsi="Cambria"/>
          <w:sz w:val="20"/>
          <w:szCs w:val="20"/>
          <w:lang w:val="es-VE"/>
        </w:rPr>
        <w:t>iormente recalificado como “c</w:t>
      </w:r>
      <w:r w:rsidR="006C53FC" w:rsidRPr="00540E96">
        <w:rPr>
          <w:rFonts w:ascii="Cambria" w:hAnsi="Cambria"/>
          <w:sz w:val="20"/>
          <w:szCs w:val="20"/>
          <w:lang w:val="es-VE"/>
        </w:rPr>
        <w:t>ohecho</w:t>
      </w:r>
      <w:r w:rsidR="003C6CDA" w:rsidRPr="00540E96">
        <w:rPr>
          <w:rFonts w:ascii="Cambria" w:hAnsi="Cambria"/>
          <w:sz w:val="20"/>
          <w:szCs w:val="20"/>
          <w:lang w:val="es-VE"/>
        </w:rPr>
        <w:t>”</w:t>
      </w:r>
      <w:r w:rsidR="006C53FC" w:rsidRPr="00540E96">
        <w:rPr>
          <w:rFonts w:ascii="Cambria" w:hAnsi="Cambria"/>
          <w:sz w:val="20"/>
          <w:szCs w:val="20"/>
          <w:lang w:val="es-VE"/>
        </w:rPr>
        <w:t xml:space="preserve">. No obstante, el Tribunal </w:t>
      </w:r>
      <w:r w:rsidR="00604843" w:rsidRPr="00540E96">
        <w:rPr>
          <w:rFonts w:ascii="Cambria" w:hAnsi="Cambria"/>
          <w:sz w:val="20"/>
          <w:szCs w:val="20"/>
          <w:lang w:val="es-VE"/>
        </w:rPr>
        <w:t>de Juicio comprobó</w:t>
      </w:r>
      <w:r w:rsidR="006C53FC" w:rsidRPr="00540E96">
        <w:rPr>
          <w:rFonts w:ascii="Cambria" w:hAnsi="Cambria"/>
          <w:sz w:val="20"/>
          <w:szCs w:val="20"/>
          <w:lang w:val="es-VE"/>
        </w:rPr>
        <w:t xml:space="preserve"> que</w:t>
      </w:r>
      <w:r w:rsidR="00240F3F" w:rsidRPr="00540E96">
        <w:rPr>
          <w:rFonts w:ascii="Cambria" w:hAnsi="Cambria"/>
          <w:sz w:val="20"/>
          <w:szCs w:val="20"/>
          <w:lang w:val="es-VE"/>
        </w:rPr>
        <w:t xml:space="preserve"> “no tenía en trámite para ese momento </w:t>
      </w:r>
      <w:r w:rsidR="005E6EDB" w:rsidRPr="00540E96">
        <w:rPr>
          <w:rFonts w:ascii="Cambria" w:hAnsi="Cambria"/>
          <w:sz w:val="20"/>
          <w:szCs w:val="20"/>
          <w:lang w:val="es-VE"/>
        </w:rPr>
        <w:t xml:space="preserve">[para el momento de la publicación de la noticia en </w:t>
      </w:r>
      <w:r w:rsidR="00240F3F" w:rsidRPr="00540E96">
        <w:rPr>
          <w:rFonts w:ascii="Cambria" w:hAnsi="Cambria"/>
          <w:sz w:val="20"/>
          <w:szCs w:val="20"/>
          <w:lang w:val="es-VE"/>
        </w:rPr>
        <w:t>diciembre de 2005</w:t>
      </w:r>
      <w:r w:rsidR="005E6EDB" w:rsidRPr="00540E96">
        <w:rPr>
          <w:rFonts w:ascii="Cambria" w:hAnsi="Cambria"/>
          <w:sz w:val="20"/>
          <w:szCs w:val="20"/>
          <w:lang w:val="es-VE"/>
        </w:rPr>
        <w:t>]</w:t>
      </w:r>
      <w:r w:rsidR="00240F3F" w:rsidRPr="00540E96">
        <w:rPr>
          <w:rFonts w:ascii="Cambria" w:hAnsi="Cambria"/>
          <w:sz w:val="20"/>
          <w:szCs w:val="20"/>
          <w:lang w:val="es-VE"/>
        </w:rPr>
        <w:t xml:space="preserve"> ninguna causa penal ni administrativa por un delito de </w:t>
      </w:r>
      <w:r w:rsidRPr="00540E96">
        <w:rPr>
          <w:rFonts w:ascii="Cambria" w:hAnsi="Cambria"/>
          <w:sz w:val="20"/>
          <w:szCs w:val="20"/>
          <w:lang w:val="es-PE"/>
        </w:rPr>
        <w:t>‘</w:t>
      </w:r>
      <w:r w:rsidR="00240F3F" w:rsidRPr="00540E96">
        <w:rPr>
          <w:rFonts w:ascii="Cambria" w:hAnsi="Cambria"/>
          <w:sz w:val="20"/>
          <w:szCs w:val="20"/>
          <w:lang w:val="es-VE"/>
        </w:rPr>
        <w:t>Extorsión</w:t>
      </w:r>
      <w:r w:rsidRPr="00540E96">
        <w:rPr>
          <w:rFonts w:ascii="Cambria" w:hAnsi="Cambria"/>
          <w:sz w:val="20"/>
          <w:szCs w:val="20"/>
          <w:lang w:val="es-VE"/>
        </w:rPr>
        <w:t>’</w:t>
      </w:r>
      <w:r w:rsidR="00240F3F" w:rsidRPr="00540E96">
        <w:rPr>
          <w:rFonts w:ascii="Cambria" w:hAnsi="Cambria"/>
          <w:sz w:val="20"/>
          <w:szCs w:val="20"/>
          <w:lang w:val="es-VE"/>
        </w:rPr>
        <w:t xml:space="preserve"> relacionado con el trasiego de licores (…), sino llanamente sobre un vehículo y una persona que debieron ser remitidos a aduanas y migración y en apariencia se dio un pago y cobro indebido”</w:t>
      </w:r>
      <w:r w:rsidR="00240F3F" w:rsidRPr="00540E96">
        <w:rPr>
          <w:rStyle w:val="FootnoteReference"/>
          <w:rFonts w:ascii="Cambria" w:hAnsi="Cambria"/>
          <w:sz w:val="20"/>
          <w:szCs w:val="20"/>
          <w:lang w:val="es-VE"/>
        </w:rPr>
        <w:footnoteReference w:id="18"/>
      </w:r>
      <w:r w:rsidR="00240F3F" w:rsidRPr="00540E96">
        <w:rPr>
          <w:rFonts w:ascii="Cambria" w:hAnsi="Cambria"/>
          <w:sz w:val="20"/>
          <w:szCs w:val="20"/>
          <w:lang w:val="es-VE"/>
        </w:rPr>
        <w:t>.</w:t>
      </w:r>
    </w:p>
    <w:p w14:paraId="620B9454" w14:textId="77777777" w:rsidR="007E2BA7" w:rsidRPr="00540E96" w:rsidRDefault="007E2BA7"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7146468F" w14:textId="77777777" w:rsidR="000D659E" w:rsidRPr="00540E96" w:rsidRDefault="00A10555"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E</w:t>
      </w:r>
      <w:r w:rsidR="000D659E" w:rsidRPr="00540E96">
        <w:rPr>
          <w:rFonts w:ascii="Cambria" w:hAnsi="Cambria"/>
          <w:sz w:val="20"/>
          <w:szCs w:val="20"/>
          <w:lang w:val="es-VE"/>
        </w:rPr>
        <w:t>l Tribunal</w:t>
      </w:r>
      <w:r w:rsidRPr="00540E96">
        <w:rPr>
          <w:rFonts w:ascii="Cambria" w:hAnsi="Cambria"/>
          <w:sz w:val="20"/>
          <w:szCs w:val="20"/>
          <w:lang w:val="es-VE"/>
        </w:rPr>
        <w:t xml:space="preserve"> de Juicio consideró que </w:t>
      </w:r>
      <w:r w:rsidR="000D659E" w:rsidRPr="00540E96">
        <w:rPr>
          <w:rFonts w:ascii="Cambria" w:hAnsi="Cambria"/>
          <w:sz w:val="20"/>
          <w:szCs w:val="20"/>
          <w:lang w:val="es-VE"/>
        </w:rPr>
        <w:t>“</w:t>
      </w:r>
      <w:r w:rsidR="00B21E43" w:rsidRPr="00540E96">
        <w:rPr>
          <w:rFonts w:ascii="Cambria" w:hAnsi="Cambria"/>
          <w:sz w:val="20"/>
          <w:szCs w:val="20"/>
          <w:lang w:val="es-VE"/>
        </w:rPr>
        <w:t>[l]</w:t>
      </w:r>
      <w:r w:rsidR="000D659E" w:rsidRPr="00540E96">
        <w:rPr>
          <w:rFonts w:ascii="Cambria" w:hAnsi="Cambria"/>
          <w:sz w:val="20"/>
          <w:szCs w:val="20"/>
          <w:lang w:val="es-VE"/>
        </w:rPr>
        <w:t xml:space="preserve">a tesis de los representantes de los tres querellados para minimizar el error es que la noticia era verdadera porque hacía alusión a la sumaria N°05-000367-636-pe de la Fiscalía de Coto Brus </w:t>
      </w:r>
      <w:r w:rsidR="00D62041" w:rsidRPr="00540E96">
        <w:rPr>
          <w:rFonts w:ascii="Cambria" w:hAnsi="Cambria"/>
          <w:sz w:val="20"/>
          <w:szCs w:val="20"/>
          <w:lang w:val="es-VE"/>
        </w:rPr>
        <w:t>[…]</w:t>
      </w:r>
      <w:r w:rsidR="000D659E" w:rsidRPr="00540E96">
        <w:rPr>
          <w:rFonts w:ascii="Cambria" w:hAnsi="Cambria"/>
          <w:sz w:val="20"/>
          <w:szCs w:val="20"/>
          <w:lang w:val="es-VE"/>
        </w:rPr>
        <w:t xml:space="preserve"> indicando los querellados que lo único que existió fue un error respecto a la sede en que se tramitaba la causa penal a la que se hace alusión en el artículo. El Tribunal se aparta de este criterio </w:t>
      </w:r>
      <w:r w:rsidR="000D659E" w:rsidRPr="00540E96">
        <w:rPr>
          <w:rFonts w:ascii="Cambria" w:hAnsi="Cambria"/>
          <w:sz w:val="20"/>
          <w:szCs w:val="20"/>
          <w:lang w:val="es-VE"/>
        </w:rPr>
        <w:lastRenderedPageBreak/>
        <w:t xml:space="preserve">porque no sólo no coincidía el dato de la </w:t>
      </w:r>
      <w:r w:rsidR="00D62041" w:rsidRPr="00540E96">
        <w:rPr>
          <w:rFonts w:ascii="Cambria" w:hAnsi="Cambria"/>
          <w:sz w:val="20"/>
          <w:szCs w:val="20"/>
          <w:lang w:val="es-VE"/>
        </w:rPr>
        <w:t>sede,</w:t>
      </w:r>
      <w:r w:rsidR="000D659E" w:rsidRPr="00540E96">
        <w:rPr>
          <w:rFonts w:ascii="Cambria" w:hAnsi="Cambria"/>
          <w:sz w:val="20"/>
          <w:szCs w:val="20"/>
          <w:lang w:val="es-VE"/>
        </w:rPr>
        <w:t xml:space="preserve"> sino que tampoco los hechos que presuntamente se le atribuían, a </w:t>
      </w:r>
      <w:r w:rsidR="0030158B" w:rsidRPr="00540E96">
        <w:rPr>
          <w:rFonts w:ascii="Cambria" w:hAnsi="Cambria"/>
          <w:sz w:val="20"/>
          <w:szCs w:val="20"/>
          <w:lang w:val="es-VE"/>
        </w:rPr>
        <w:t>saber,</w:t>
      </w:r>
      <w:r w:rsidR="000D659E" w:rsidRPr="00540E96">
        <w:rPr>
          <w:rFonts w:ascii="Cambria" w:hAnsi="Cambria"/>
          <w:sz w:val="20"/>
          <w:szCs w:val="20"/>
          <w:lang w:val="es-VE"/>
        </w:rPr>
        <w:t xml:space="preserve"> una </w:t>
      </w:r>
      <w:r w:rsidR="00180ECF" w:rsidRPr="00540E96">
        <w:rPr>
          <w:rFonts w:ascii="Cambria" w:hAnsi="Cambria"/>
          <w:sz w:val="20"/>
          <w:szCs w:val="20"/>
          <w:lang w:val="es-PE"/>
        </w:rPr>
        <w:t>‘</w:t>
      </w:r>
      <w:r w:rsidR="000D659E" w:rsidRPr="00540E96">
        <w:rPr>
          <w:rFonts w:ascii="Cambria" w:hAnsi="Cambria"/>
          <w:sz w:val="20"/>
          <w:szCs w:val="20"/>
          <w:lang w:val="es-VE"/>
        </w:rPr>
        <w:t>extorsión referida a trasiego de licores</w:t>
      </w:r>
      <w:r w:rsidR="00180ECF" w:rsidRPr="00540E96">
        <w:rPr>
          <w:rFonts w:ascii="Cambria" w:hAnsi="Cambria"/>
          <w:sz w:val="20"/>
          <w:szCs w:val="20"/>
          <w:lang w:val="es-VE"/>
        </w:rPr>
        <w:t>’</w:t>
      </w:r>
      <w:r w:rsidR="000D659E" w:rsidRPr="00540E96">
        <w:rPr>
          <w:rFonts w:ascii="Cambria" w:hAnsi="Cambria"/>
          <w:sz w:val="20"/>
          <w:szCs w:val="20"/>
          <w:lang w:val="es-VE"/>
        </w:rPr>
        <w:t>”</w:t>
      </w:r>
      <w:r w:rsidR="007A38D5" w:rsidRPr="00540E96">
        <w:rPr>
          <w:rFonts w:ascii="Cambria" w:hAnsi="Cambria"/>
          <w:sz w:val="20"/>
          <w:szCs w:val="20"/>
          <w:lang w:val="es-VE"/>
        </w:rPr>
        <w:t>.</w:t>
      </w:r>
      <w:r w:rsidR="00D62041" w:rsidRPr="00540E96">
        <w:rPr>
          <w:rFonts w:ascii="Cambria" w:hAnsi="Cambria"/>
          <w:sz w:val="20"/>
          <w:szCs w:val="20"/>
          <w:lang w:val="es-VE"/>
        </w:rPr>
        <w:t xml:space="preserve"> El Tribunal de Juicio estableció que la recalificación </w:t>
      </w:r>
      <w:r w:rsidR="0030158B" w:rsidRPr="00540E96">
        <w:rPr>
          <w:rFonts w:ascii="Cambria" w:hAnsi="Cambria"/>
          <w:sz w:val="20"/>
          <w:szCs w:val="20"/>
          <w:lang w:val="es-VE"/>
        </w:rPr>
        <w:t>de extorsión a cohecho era</w:t>
      </w:r>
      <w:r w:rsidR="00D62041" w:rsidRPr="00540E96">
        <w:rPr>
          <w:rFonts w:ascii="Cambria" w:hAnsi="Cambria"/>
          <w:sz w:val="20"/>
          <w:szCs w:val="20"/>
          <w:lang w:val="es-VE"/>
        </w:rPr>
        <w:t xml:space="preserve"> irrelevante, porque lo cierto es que esa causa no t</w:t>
      </w:r>
      <w:r w:rsidR="0030158B" w:rsidRPr="00540E96">
        <w:rPr>
          <w:rFonts w:ascii="Cambria" w:hAnsi="Cambria"/>
          <w:sz w:val="20"/>
          <w:szCs w:val="20"/>
          <w:lang w:val="es-VE"/>
        </w:rPr>
        <w:t>enía</w:t>
      </w:r>
      <w:r w:rsidR="00D62041" w:rsidRPr="00540E96">
        <w:rPr>
          <w:rFonts w:ascii="Cambria" w:hAnsi="Cambria"/>
          <w:sz w:val="20"/>
          <w:szCs w:val="20"/>
          <w:lang w:val="es-VE"/>
        </w:rPr>
        <w:t xml:space="preserve"> relación </w:t>
      </w:r>
      <w:r w:rsidR="007A38D5" w:rsidRPr="00540E96">
        <w:rPr>
          <w:rFonts w:ascii="Cambria" w:hAnsi="Cambria"/>
          <w:sz w:val="20"/>
          <w:szCs w:val="20"/>
          <w:lang w:val="es-VE"/>
        </w:rPr>
        <w:t xml:space="preserve">alguna </w:t>
      </w:r>
      <w:r w:rsidR="00D62041" w:rsidRPr="00540E96">
        <w:rPr>
          <w:rFonts w:ascii="Cambria" w:hAnsi="Cambria"/>
          <w:sz w:val="20"/>
          <w:szCs w:val="20"/>
          <w:lang w:val="es-VE"/>
        </w:rPr>
        <w:t xml:space="preserve">con </w:t>
      </w:r>
      <w:r w:rsidR="007A38D5" w:rsidRPr="00540E96">
        <w:rPr>
          <w:rFonts w:ascii="Cambria" w:hAnsi="Cambria"/>
          <w:sz w:val="20"/>
          <w:szCs w:val="20"/>
          <w:lang w:val="es-VE"/>
        </w:rPr>
        <w:t xml:space="preserve">el </w:t>
      </w:r>
      <w:r w:rsidR="00D62041" w:rsidRPr="00540E96">
        <w:rPr>
          <w:rFonts w:ascii="Cambria" w:hAnsi="Cambria"/>
          <w:sz w:val="20"/>
          <w:szCs w:val="20"/>
          <w:lang w:val="es-VE"/>
        </w:rPr>
        <w:t>trasiego de licores</w:t>
      </w:r>
      <w:r w:rsidR="007A38D5" w:rsidRPr="00540E96">
        <w:rPr>
          <w:rStyle w:val="FootnoteReference"/>
          <w:rFonts w:ascii="Cambria" w:hAnsi="Cambria"/>
          <w:sz w:val="20"/>
          <w:szCs w:val="20"/>
          <w:lang w:val="es-VE"/>
        </w:rPr>
        <w:footnoteReference w:id="19"/>
      </w:r>
      <w:r w:rsidR="007A38D5" w:rsidRPr="00540E96">
        <w:rPr>
          <w:rFonts w:ascii="Cambria" w:hAnsi="Cambria"/>
          <w:sz w:val="20"/>
          <w:szCs w:val="20"/>
          <w:lang w:val="es-VE"/>
        </w:rPr>
        <w:t>.</w:t>
      </w:r>
    </w:p>
    <w:p w14:paraId="300DD94E" w14:textId="77777777" w:rsidR="000D659E" w:rsidRPr="00540E96" w:rsidRDefault="000D659E" w:rsidP="006D014B">
      <w:pPr>
        <w:pStyle w:val="ListParagraph"/>
        <w:spacing w:before="0" w:after="0"/>
        <w:rPr>
          <w:sz w:val="20"/>
          <w:szCs w:val="20"/>
          <w:lang w:val="es-VE"/>
        </w:rPr>
      </w:pPr>
    </w:p>
    <w:p w14:paraId="1E565AD5" w14:textId="77777777" w:rsidR="000D659E" w:rsidRPr="00540E96" w:rsidRDefault="00497EDD"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 xml:space="preserve">La sentencia concluyó que </w:t>
      </w:r>
      <w:r w:rsidR="003612C9" w:rsidRPr="00540E96">
        <w:rPr>
          <w:rFonts w:ascii="Cambria" w:hAnsi="Cambria"/>
          <w:sz w:val="20"/>
          <w:szCs w:val="20"/>
          <w:lang w:val="es-VE"/>
        </w:rPr>
        <w:t xml:space="preserve">la información publicada en la nota de prensa era falsa y </w:t>
      </w:r>
      <w:r w:rsidR="00A83DDB" w:rsidRPr="00540E96">
        <w:rPr>
          <w:rFonts w:ascii="Cambria" w:hAnsi="Cambria"/>
          <w:sz w:val="20"/>
          <w:szCs w:val="20"/>
          <w:lang w:val="es-VE"/>
        </w:rPr>
        <w:t>que no solo el Ministro de Seguridad no</w:t>
      </w:r>
      <w:r w:rsidR="00265628">
        <w:rPr>
          <w:rFonts w:ascii="Cambria" w:hAnsi="Cambria"/>
          <w:sz w:val="20"/>
          <w:szCs w:val="20"/>
          <w:lang w:val="es-VE"/>
        </w:rPr>
        <w:t xml:space="preserve"> la</w:t>
      </w:r>
      <w:r w:rsidR="00A83DDB" w:rsidRPr="00540E96">
        <w:rPr>
          <w:rFonts w:ascii="Cambria" w:hAnsi="Cambria"/>
          <w:sz w:val="20"/>
          <w:szCs w:val="20"/>
          <w:lang w:val="es-VE"/>
        </w:rPr>
        <w:t xml:space="preserve"> </w:t>
      </w:r>
      <w:r w:rsidR="00265628">
        <w:rPr>
          <w:rFonts w:ascii="Cambria" w:hAnsi="Cambria"/>
          <w:sz w:val="20"/>
          <w:szCs w:val="20"/>
          <w:lang w:val="es-VE"/>
        </w:rPr>
        <w:t xml:space="preserve">verificó </w:t>
      </w:r>
      <w:r w:rsidR="00A83DDB" w:rsidRPr="00540E96">
        <w:rPr>
          <w:rFonts w:ascii="Cambria" w:hAnsi="Cambria"/>
          <w:sz w:val="20"/>
          <w:szCs w:val="20"/>
          <w:lang w:val="es-VE"/>
        </w:rPr>
        <w:t xml:space="preserve">suficientemente </w:t>
      </w:r>
      <w:r w:rsidR="008B29C5" w:rsidRPr="00540E96">
        <w:rPr>
          <w:rFonts w:ascii="Cambria" w:hAnsi="Cambria"/>
          <w:sz w:val="20"/>
          <w:szCs w:val="20"/>
          <w:lang w:val="es-VE"/>
        </w:rPr>
        <w:t xml:space="preserve">cuando brindó o confirmó la información a los periodistas, sino que la directora del </w:t>
      </w:r>
      <w:r w:rsidR="004A116B" w:rsidRPr="00540E96">
        <w:rPr>
          <w:rFonts w:ascii="Cambria" w:hAnsi="Cambria"/>
          <w:sz w:val="20"/>
          <w:szCs w:val="20"/>
          <w:lang w:val="es-VE"/>
        </w:rPr>
        <w:t>Á</w:t>
      </w:r>
      <w:r w:rsidR="008B29C5" w:rsidRPr="00540E96">
        <w:rPr>
          <w:rFonts w:ascii="Cambria" w:hAnsi="Cambria"/>
          <w:sz w:val="20"/>
          <w:szCs w:val="20"/>
          <w:lang w:val="es-VE"/>
        </w:rPr>
        <w:t>rea Lega</w:t>
      </w:r>
      <w:r w:rsidR="007F2326">
        <w:rPr>
          <w:rFonts w:ascii="Cambria" w:hAnsi="Cambria"/>
          <w:sz w:val="20"/>
          <w:szCs w:val="20"/>
          <w:lang w:val="es-VE"/>
        </w:rPr>
        <w:t>l del m</w:t>
      </w:r>
      <w:r w:rsidR="004A116B" w:rsidRPr="00540E96">
        <w:rPr>
          <w:rFonts w:ascii="Cambria" w:hAnsi="Cambria"/>
          <w:sz w:val="20"/>
          <w:szCs w:val="20"/>
          <w:lang w:val="es-VE"/>
        </w:rPr>
        <w:t>inisterio</w:t>
      </w:r>
      <w:r w:rsidR="0097507E" w:rsidRPr="00540E96">
        <w:rPr>
          <w:rFonts w:ascii="Cambria" w:hAnsi="Cambria"/>
          <w:sz w:val="20"/>
          <w:szCs w:val="20"/>
          <w:lang w:val="es-VE"/>
        </w:rPr>
        <w:t xml:space="preserve"> </w:t>
      </w:r>
      <w:r w:rsidR="00560AB4" w:rsidRPr="00540E96">
        <w:rPr>
          <w:rFonts w:ascii="Cambria" w:hAnsi="Cambria"/>
          <w:sz w:val="20"/>
          <w:szCs w:val="20"/>
          <w:lang w:val="es-VE"/>
        </w:rPr>
        <w:t>realizó todas las corroboraciones del caso</w:t>
      </w:r>
      <w:r w:rsidR="00381E37" w:rsidRPr="00540E96">
        <w:rPr>
          <w:rFonts w:ascii="Cambria" w:hAnsi="Cambria"/>
          <w:sz w:val="20"/>
          <w:szCs w:val="20"/>
          <w:lang w:val="es-VE"/>
        </w:rPr>
        <w:t>, incluso a través de una certificación de la Fiscalía, con posterioridad a la publicación de la noticia</w:t>
      </w:r>
      <w:r w:rsidR="00161EE8" w:rsidRPr="00540E96">
        <w:rPr>
          <w:rFonts w:ascii="Cambria" w:hAnsi="Cambria"/>
          <w:sz w:val="20"/>
          <w:szCs w:val="20"/>
          <w:lang w:val="es-VE"/>
        </w:rPr>
        <w:t xml:space="preserve">. Estas corroboraciones posteriores </w:t>
      </w:r>
      <w:r w:rsidR="00222775" w:rsidRPr="00540E96">
        <w:rPr>
          <w:rFonts w:ascii="Cambria" w:hAnsi="Cambria"/>
          <w:sz w:val="20"/>
          <w:szCs w:val="20"/>
          <w:lang w:val="es-VE"/>
        </w:rPr>
        <w:t>advirtieron</w:t>
      </w:r>
      <w:r w:rsidR="00161EE8" w:rsidRPr="00540E96">
        <w:rPr>
          <w:rFonts w:ascii="Cambria" w:hAnsi="Cambria"/>
          <w:sz w:val="20"/>
          <w:szCs w:val="20"/>
          <w:lang w:val="es-VE"/>
        </w:rPr>
        <w:t xml:space="preserve"> sobre la existencia de una investigación por extorsión en Coto Brus, pero no </w:t>
      </w:r>
      <w:r w:rsidR="00F96AAB" w:rsidRPr="00540E96">
        <w:rPr>
          <w:rFonts w:ascii="Cambria" w:hAnsi="Cambria"/>
          <w:sz w:val="20"/>
          <w:szCs w:val="20"/>
          <w:lang w:val="es-VE"/>
        </w:rPr>
        <w:t xml:space="preserve">aclararon la falsedad de mayor </w:t>
      </w:r>
      <w:r w:rsidR="00222775" w:rsidRPr="00540E96">
        <w:rPr>
          <w:rFonts w:ascii="Cambria" w:hAnsi="Cambria"/>
          <w:sz w:val="20"/>
          <w:szCs w:val="20"/>
          <w:lang w:val="es-VE"/>
        </w:rPr>
        <w:t>relevancia: que la investigación no t</w:t>
      </w:r>
      <w:r w:rsidR="004E34B2" w:rsidRPr="00540E96">
        <w:rPr>
          <w:rFonts w:ascii="Cambria" w:hAnsi="Cambria"/>
          <w:sz w:val="20"/>
          <w:szCs w:val="20"/>
          <w:lang w:val="es-VE"/>
        </w:rPr>
        <w:t>enía</w:t>
      </w:r>
      <w:r w:rsidR="00222775" w:rsidRPr="00540E96">
        <w:rPr>
          <w:rFonts w:ascii="Cambria" w:hAnsi="Cambria"/>
          <w:sz w:val="20"/>
          <w:szCs w:val="20"/>
          <w:lang w:val="es-VE"/>
        </w:rPr>
        <w:t xml:space="preserve"> relación con trasiego de licores</w:t>
      </w:r>
      <w:r w:rsidR="00CD7143" w:rsidRPr="00540E96">
        <w:rPr>
          <w:rStyle w:val="FootnoteReference"/>
          <w:rFonts w:ascii="Cambria" w:hAnsi="Cambria"/>
          <w:sz w:val="20"/>
          <w:szCs w:val="20"/>
          <w:lang w:val="es-VE"/>
        </w:rPr>
        <w:footnoteReference w:id="20"/>
      </w:r>
      <w:r w:rsidR="00222775" w:rsidRPr="00540E96">
        <w:rPr>
          <w:rFonts w:ascii="Cambria" w:hAnsi="Cambria"/>
          <w:sz w:val="20"/>
          <w:szCs w:val="20"/>
          <w:lang w:val="es-VE"/>
        </w:rPr>
        <w:t xml:space="preserve">. </w:t>
      </w:r>
    </w:p>
    <w:p w14:paraId="71E75A85" w14:textId="77777777" w:rsidR="00984558" w:rsidRPr="00540E96" w:rsidRDefault="00984558" w:rsidP="006D014B">
      <w:pPr>
        <w:pStyle w:val="ListParagraph"/>
        <w:spacing w:before="0" w:after="0"/>
        <w:rPr>
          <w:sz w:val="20"/>
          <w:szCs w:val="20"/>
          <w:lang w:val="es-VE"/>
        </w:rPr>
      </w:pPr>
    </w:p>
    <w:p w14:paraId="5388828C" w14:textId="77777777" w:rsidR="00AE38CA" w:rsidRPr="00540E96" w:rsidRDefault="00240F3F"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Style w:val="CharacterStyle1"/>
          <w:rFonts w:ascii="Cambria" w:hAnsi="Cambria" w:cs="Times New Roman"/>
          <w:sz w:val="20"/>
          <w:szCs w:val="20"/>
          <w:lang w:val="es-VE"/>
        </w:rPr>
      </w:pPr>
      <w:r w:rsidRPr="00540E96">
        <w:rPr>
          <w:rFonts w:ascii="Cambria" w:hAnsi="Cambria"/>
          <w:sz w:val="20"/>
          <w:szCs w:val="20"/>
          <w:lang w:val="es-VE"/>
        </w:rPr>
        <w:t xml:space="preserve">En la sentencia, el Tribunal arribó a la conclusión de que la </w:t>
      </w:r>
      <w:r w:rsidR="00843FCD" w:rsidRPr="00540E96">
        <w:rPr>
          <w:rFonts w:ascii="Cambria" w:hAnsi="Cambria"/>
          <w:sz w:val="20"/>
          <w:szCs w:val="20"/>
          <w:lang w:val="es-VE"/>
        </w:rPr>
        <w:t>información publicada en la nota de prensa</w:t>
      </w:r>
      <w:r w:rsidR="004678FC" w:rsidRPr="00540E96">
        <w:rPr>
          <w:rFonts w:ascii="Cambria" w:hAnsi="Cambria"/>
          <w:sz w:val="20"/>
          <w:szCs w:val="20"/>
          <w:lang w:val="es-VE"/>
        </w:rPr>
        <w:t xml:space="preserve"> no</w:t>
      </w:r>
      <w:r w:rsidRPr="00540E96">
        <w:rPr>
          <w:rFonts w:ascii="Cambria" w:hAnsi="Cambria"/>
          <w:sz w:val="20"/>
          <w:szCs w:val="20"/>
          <w:lang w:val="es-VE"/>
        </w:rPr>
        <w:t xml:space="preserve"> fue debidamente corroborada por ninguno de los querellados</w:t>
      </w:r>
      <w:r w:rsidR="000D30B1">
        <w:rPr>
          <w:rFonts w:ascii="Cambria" w:hAnsi="Cambria"/>
          <w:sz w:val="20"/>
          <w:szCs w:val="20"/>
          <w:lang w:val="es-VE"/>
        </w:rPr>
        <w:t xml:space="preserve"> con otras fuentes</w:t>
      </w:r>
      <w:r w:rsidR="00C514E0" w:rsidRPr="00540E96">
        <w:rPr>
          <w:rFonts w:ascii="Cambria" w:hAnsi="Cambria"/>
          <w:sz w:val="20"/>
          <w:szCs w:val="20"/>
          <w:lang w:val="es-VE"/>
        </w:rPr>
        <w:t>, y</w:t>
      </w:r>
      <w:r w:rsidR="000D30B1">
        <w:rPr>
          <w:rFonts w:ascii="Cambria" w:hAnsi="Cambria"/>
          <w:sz w:val="20"/>
          <w:szCs w:val="20"/>
          <w:lang w:val="es-VE"/>
        </w:rPr>
        <w:t xml:space="preserve"> que tampoco </w:t>
      </w:r>
      <w:r w:rsidR="000D30B1" w:rsidRPr="00540E96">
        <w:rPr>
          <w:rFonts w:ascii="Cambria" w:hAnsi="Cambria"/>
          <w:sz w:val="20"/>
          <w:szCs w:val="20"/>
          <w:lang w:val="es-VE"/>
        </w:rPr>
        <w:t>verificaron con debida diligencia la información brindada por el ministro</w:t>
      </w:r>
      <w:r w:rsidR="000D30B1">
        <w:rPr>
          <w:rFonts w:ascii="Cambria" w:hAnsi="Cambria"/>
          <w:sz w:val="20"/>
          <w:szCs w:val="20"/>
          <w:lang w:val="es-VE"/>
        </w:rPr>
        <w:t xml:space="preserve">. Asimismo, la sentencia consideró </w:t>
      </w:r>
      <w:r w:rsidR="00C514E0" w:rsidRPr="00540E96">
        <w:rPr>
          <w:rFonts w:ascii="Cambria" w:hAnsi="Cambria"/>
          <w:sz w:val="20"/>
          <w:szCs w:val="20"/>
          <w:lang w:val="es-VE"/>
        </w:rPr>
        <w:t xml:space="preserve">que </w:t>
      </w:r>
      <w:r w:rsidR="00D93D55" w:rsidRPr="00540E96">
        <w:rPr>
          <w:rFonts w:ascii="Cambria" w:hAnsi="Cambria"/>
          <w:sz w:val="20"/>
          <w:szCs w:val="20"/>
          <w:lang w:val="es-VE"/>
        </w:rPr>
        <w:t xml:space="preserve">Rogelio Ramos Martínez, como Ministro de Seguridad se refirió a José Cruz Trejos sin </w:t>
      </w:r>
      <w:r w:rsidR="00265628">
        <w:rPr>
          <w:rFonts w:ascii="Cambria" w:hAnsi="Cambria"/>
          <w:sz w:val="20"/>
          <w:szCs w:val="20"/>
          <w:lang w:val="es-VE"/>
        </w:rPr>
        <w:t>verificar</w:t>
      </w:r>
      <w:r w:rsidR="00265628" w:rsidRPr="00540E96">
        <w:rPr>
          <w:rFonts w:ascii="Cambria" w:hAnsi="Cambria"/>
          <w:sz w:val="20"/>
          <w:szCs w:val="20"/>
          <w:lang w:val="es-VE"/>
        </w:rPr>
        <w:t xml:space="preserve"> </w:t>
      </w:r>
      <w:r w:rsidR="00D93D55" w:rsidRPr="00540E96">
        <w:rPr>
          <w:rFonts w:ascii="Cambria" w:hAnsi="Cambria"/>
          <w:sz w:val="20"/>
          <w:szCs w:val="20"/>
          <w:lang w:val="es-VE"/>
        </w:rPr>
        <w:t xml:space="preserve">previamente los datos de la causa penal que presuntamente se tramitaba contra </w:t>
      </w:r>
      <w:r w:rsidR="006271A7" w:rsidRPr="00540E96">
        <w:rPr>
          <w:rFonts w:ascii="Cambria" w:hAnsi="Cambria"/>
          <w:sz w:val="20"/>
          <w:szCs w:val="20"/>
          <w:lang w:val="es-VE"/>
        </w:rPr>
        <w:t>él</w:t>
      </w:r>
      <w:r w:rsidR="000D30B1">
        <w:rPr>
          <w:rFonts w:ascii="Cambria" w:hAnsi="Cambria"/>
          <w:sz w:val="20"/>
          <w:szCs w:val="20"/>
          <w:lang w:val="es-VE"/>
        </w:rPr>
        <w:t xml:space="preserve">. </w:t>
      </w:r>
      <w:r w:rsidR="00F80D6B" w:rsidRPr="00540E96">
        <w:rPr>
          <w:rFonts w:ascii="Cambria" w:hAnsi="Cambria"/>
          <w:sz w:val="20"/>
          <w:szCs w:val="20"/>
          <w:lang w:val="es-VE"/>
        </w:rPr>
        <w:t xml:space="preserve">En particular, la sentencia destacó que los periodistas </w:t>
      </w:r>
      <w:r w:rsidRPr="00540E96">
        <w:rPr>
          <w:rFonts w:ascii="Cambria" w:hAnsi="Cambria"/>
          <w:sz w:val="20"/>
          <w:szCs w:val="20"/>
          <w:lang w:val="es-VE"/>
        </w:rPr>
        <w:t xml:space="preserve">debieron </w:t>
      </w:r>
      <w:r w:rsidR="00366616" w:rsidRPr="00540E96">
        <w:rPr>
          <w:rFonts w:ascii="Cambria" w:hAnsi="Cambria"/>
          <w:sz w:val="20"/>
          <w:szCs w:val="20"/>
          <w:lang w:val="es-VE"/>
        </w:rPr>
        <w:t>“en aras de una san</w:t>
      </w:r>
      <w:r w:rsidR="00015603" w:rsidRPr="00540E96">
        <w:rPr>
          <w:rFonts w:ascii="Cambria" w:hAnsi="Cambria"/>
          <w:sz w:val="20"/>
          <w:szCs w:val="20"/>
          <w:lang w:val="es-VE"/>
        </w:rPr>
        <w:t>a</w:t>
      </w:r>
      <w:r w:rsidR="00366616" w:rsidRPr="00540E96">
        <w:rPr>
          <w:rFonts w:ascii="Cambria" w:hAnsi="Cambria"/>
          <w:sz w:val="20"/>
          <w:szCs w:val="20"/>
          <w:lang w:val="es-VE"/>
        </w:rPr>
        <w:t xml:space="preserve"> información, verificar las fuentes y la noticia, por ejemplo</w:t>
      </w:r>
      <w:r w:rsidR="00AE2893" w:rsidRPr="00540E96">
        <w:rPr>
          <w:rFonts w:ascii="Cambria" w:hAnsi="Cambria"/>
          <w:sz w:val="20"/>
          <w:szCs w:val="20"/>
          <w:lang w:val="es-VE"/>
        </w:rPr>
        <w:t>,</w:t>
      </w:r>
      <w:r w:rsidR="00366616" w:rsidRPr="00540E96">
        <w:rPr>
          <w:rFonts w:ascii="Cambria" w:hAnsi="Cambria"/>
          <w:sz w:val="20"/>
          <w:szCs w:val="20"/>
          <w:lang w:val="es-VE"/>
        </w:rPr>
        <w:t xml:space="preserve"> </w:t>
      </w:r>
      <w:r w:rsidRPr="00540E96">
        <w:rPr>
          <w:rFonts w:ascii="Cambria" w:hAnsi="Cambria"/>
          <w:sz w:val="20"/>
          <w:szCs w:val="20"/>
          <w:lang w:val="es-VE"/>
        </w:rPr>
        <w:t>acudi</w:t>
      </w:r>
      <w:r w:rsidR="00366616" w:rsidRPr="00540E96">
        <w:rPr>
          <w:rFonts w:ascii="Cambria" w:hAnsi="Cambria"/>
          <w:sz w:val="20"/>
          <w:szCs w:val="20"/>
          <w:lang w:val="es-VE"/>
        </w:rPr>
        <w:t>endo</w:t>
      </w:r>
      <w:r w:rsidRPr="00540E96">
        <w:rPr>
          <w:rFonts w:ascii="Cambria" w:hAnsi="Cambria"/>
          <w:sz w:val="20"/>
          <w:szCs w:val="20"/>
          <w:lang w:val="es-VE"/>
        </w:rPr>
        <w:t xml:space="preserve"> a la oficina de</w:t>
      </w:r>
      <w:r w:rsidR="00CD698C" w:rsidRPr="00540E96">
        <w:rPr>
          <w:rFonts w:ascii="Cambria" w:hAnsi="Cambria"/>
          <w:sz w:val="20"/>
          <w:szCs w:val="20"/>
          <w:lang w:val="es-VE"/>
        </w:rPr>
        <w:t xml:space="preserve"> prensa</w:t>
      </w:r>
      <w:r w:rsidRPr="00540E96">
        <w:rPr>
          <w:rFonts w:ascii="Cambria" w:hAnsi="Cambria"/>
          <w:sz w:val="20"/>
          <w:szCs w:val="20"/>
          <w:lang w:val="es-VE"/>
        </w:rPr>
        <w:t xml:space="preserve"> del Poder Judicial </w:t>
      </w:r>
      <w:r w:rsidR="00CD698C" w:rsidRPr="00540E96">
        <w:rPr>
          <w:rFonts w:ascii="Cambria" w:hAnsi="Cambria"/>
          <w:sz w:val="20"/>
          <w:szCs w:val="20"/>
          <w:lang w:val="es-VE"/>
        </w:rPr>
        <w:t>y así comprobar los pormenores de la causa penal</w:t>
      </w:r>
      <w:r w:rsidR="00AF50EE" w:rsidRPr="00540E96">
        <w:rPr>
          <w:rFonts w:ascii="Cambria" w:hAnsi="Cambria"/>
          <w:sz w:val="20"/>
          <w:szCs w:val="20"/>
          <w:lang w:val="es-VE"/>
        </w:rPr>
        <w:t>”</w:t>
      </w:r>
      <w:r w:rsidR="00AC4F3E" w:rsidRPr="00540E96">
        <w:rPr>
          <w:rFonts w:ascii="Cambria" w:hAnsi="Cambria"/>
          <w:sz w:val="20"/>
          <w:szCs w:val="20"/>
          <w:lang w:val="es-VE"/>
        </w:rPr>
        <w:t xml:space="preserve">. Al no hacerlo, actuaron </w:t>
      </w:r>
      <w:r w:rsidR="00441A39" w:rsidRPr="00540E96">
        <w:rPr>
          <w:rFonts w:ascii="Cambria" w:hAnsi="Cambria"/>
          <w:sz w:val="20"/>
          <w:szCs w:val="20"/>
          <w:lang w:val="es-VE"/>
        </w:rPr>
        <w:t>“sin guardar el cuidado que requiere su profesión”</w:t>
      </w:r>
      <w:r w:rsidR="00441A39" w:rsidRPr="00540E96">
        <w:rPr>
          <w:rStyle w:val="FootnoteReference"/>
          <w:rFonts w:ascii="Cambria" w:hAnsi="Cambria"/>
          <w:sz w:val="20"/>
          <w:szCs w:val="20"/>
          <w:lang w:val="es-VE"/>
        </w:rPr>
        <w:footnoteReference w:id="21"/>
      </w:r>
      <w:r w:rsidR="00441A39" w:rsidRPr="00540E96">
        <w:rPr>
          <w:rFonts w:ascii="Cambria" w:hAnsi="Cambria"/>
          <w:sz w:val="20"/>
          <w:szCs w:val="20"/>
          <w:lang w:val="es-VE"/>
        </w:rPr>
        <w:t xml:space="preserve">. </w:t>
      </w:r>
      <w:r w:rsidR="00AF50EE" w:rsidRPr="00540E96">
        <w:rPr>
          <w:rFonts w:ascii="Cambria" w:hAnsi="Cambria"/>
          <w:sz w:val="20"/>
          <w:szCs w:val="20"/>
          <w:lang w:val="es-VE"/>
        </w:rPr>
        <w:t>La sentencia consideró que</w:t>
      </w:r>
      <w:r w:rsidR="00AE2893" w:rsidRPr="00540E96">
        <w:rPr>
          <w:rFonts w:ascii="Cambria" w:hAnsi="Cambria"/>
          <w:sz w:val="20"/>
          <w:szCs w:val="20"/>
          <w:lang w:val="es-VE"/>
        </w:rPr>
        <w:t>,</w:t>
      </w:r>
      <w:r w:rsidR="00AF50EE" w:rsidRPr="00540E96">
        <w:rPr>
          <w:rFonts w:ascii="Cambria" w:hAnsi="Cambria"/>
          <w:sz w:val="20"/>
          <w:szCs w:val="20"/>
          <w:lang w:val="es-VE"/>
        </w:rPr>
        <w:t xml:space="preserve"> si bien los querellados no actuaron con dolo</w:t>
      </w:r>
      <w:r w:rsidR="00015603" w:rsidRPr="00540E96">
        <w:rPr>
          <w:rFonts w:ascii="Cambria" w:hAnsi="Cambria"/>
          <w:sz w:val="20"/>
          <w:szCs w:val="20"/>
          <w:lang w:val="es-VE"/>
        </w:rPr>
        <w:t xml:space="preserve">, medió en su actuar </w:t>
      </w:r>
      <w:r w:rsidR="00AE2893" w:rsidRPr="00540E96">
        <w:rPr>
          <w:rFonts w:ascii="Cambria" w:hAnsi="Cambria"/>
          <w:sz w:val="20"/>
          <w:szCs w:val="20"/>
          <w:lang w:val="es-VE"/>
        </w:rPr>
        <w:t>“</w:t>
      </w:r>
      <w:r w:rsidR="00015603" w:rsidRPr="00540E96">
        <w:rPr>
          <w:rFonts w:ascii="Cambria" w:hAnsi="Cambria"/>
          <w:sz w:val="20"/>
          <w:szCs w:val="20"/>
          <w:lang w:val="es-VE"/>
        </w:rPr>
        <w:t>un grave descuido y falta de deber de cuidado</w:t>
      </w:r>
      <w:r w:rsidR="00AE2893" w:rsidRPr="00540E96">
        <w:rPr>
          <w:rFonts w:ascii="Cambria" w:hAnsi="Cambria"/>
          <w:sz w:val="20"/>
          <w:szCs w:val="20"/>
          <w:lang w:val="es-VE"/>
        </w:rPr>
        <w:t>”</w:t>
      </w:r>
      <w:r w:rsidR="009151A3" w:rsidRPr="00540E96">
        <w:rPr>
          <w:rStyle w:val="FootnoteReference"/>
          <w:rFonts w:ascii="Cambria" w:hAnsi="Cambria"/>
          <w:sz w:val="20"/>
          <w:szCs w:val="20"/>
          <w:lang w:val="es-VE"/>
        </w:rPr>
        <w:footnoteReference w:id="22"/>
      </w:r>
      <w:r w:rsidR="00456D94" w:rsidRPr="00540E96">
        <w:rPr>
          <w:rFonts w:ascii="Cambria" w:hAnsi="Cambria"/>
          <w:sz w:val="20"/>
          <w:szCs w:val="20"/>
          <w:lang w:val="es-VE"/>
        </w:rPr>
        <w:t>, y es ese descuido en publicar una noticia falsa la que produ</w:t>
      </w:r>
      <w:r w:rsidR="002D78C1" w:rsidRPr="00540E96">
        <w:rPr>
          <w:rFonts w:ascii="Cambria" w:hAnsi="Cambria"/>
          <w:sz w:val="20"/>
          <w:szCs w:val="20"/>
          <w:lang w:val="es-VE"/>
        </w:rPr>
        <w:t>jo</w:t>
      </w:r>
      <w:r w:rsidR="00456D94" w:rsidRPr="00540E96">
        <w:rPr>
          <w:rFonts w:ascii="Cambria" w:hAnsi="Cambria"/>
          <w:sz w:val="20"/>
          <w:szCs w:val="20"/>
          <w:lang w:val="es-VE"/>
        </w:rPr>
        <w:t xml:space="preserve"> el </w:t>
      </w:r>
      <w:r w:rsidR="004869ED" w:rsidRPr="00540E96">
        <w:rPr>
          <w:rStyle w:val="CharacterStyle1"/>
          <w:rFonts w:ascii="Cambria" w:hAnsi="Cambria" w:cs="Times New Roman"/>
          <w:sz w:val="20"/>
          <w:szCs w:val="20"/>
          <w:lang w:val="es-MX"/>
        </w:rPr>
        <w:t>menoscabo al honor del querella</w:t>
      </w:r>
      <w:r w:rsidR="0076644C" w:rsidRPr="00540E96">
        <w:rPr>
          <w:rStyle w:val="CharacterStyle1"/>
          <w:rFonts w:ascii="Cambria" w:hAnsi="Cambria" w:cs="Times New Roman"/>
          <w:sz w:val="20"/>
          <w:szCs w:val="20"/>
          <w:lang w:val="es-MX"/>
        </w:rPr>
        <w:t>nte,</w:t>
      </w:r>
      <w:r w:rsidR="004869ED" w:rsidRPr="00540E96">
        <w:rPr>
          <w:rStyle w:val="CharacterStyle1"/>
          <w:rFonts w:ascii="Cambria" w:hAnsi="Cambria" w:cs="Times New Roman"/>
          <w:sz w:val="20"/>
          <w:szCs w:val="20"/>
          <w:lang w:val="es-MX"/>
        </w:rPr>
        <w:t xml:space="preserve"> al desprestigia</w:t>
      </w:r>
      <w:r w:rsidR="002D78C1" w:rsidRPr="00540E96">
        <w:rPr>
          <w:rStyle w:val="CharacterStyle1"/>
          <w:rFonts w:ascii="Cambria" w:hAnsi="Cambria" w:cs="Times New Roman"/>
          <w:sz w:val="20"/>
          <w:szCs w:val="20"/>
          <w:lang w:val="es-MX"/>
        </w:rPr>
        <w:t>rl</w:t>
      </w:r>
      <w:r w:rsidR="004869ED" w:rsidRPr="00540E96">
        <w:rPr>
          <w:rStyle w:val="CharacterStyle1"/>
          <w:rFonts w:ascii="Cambria" w:hAnsi="Cambria" w:cs="Times New Roman"/>
          <w:sz w:val="20"/>
          <w:szCs w:val="20"/>
          <w:lang w:val="es-MX"/>
        </w:rPr>
        <w:t xml:space="preserve">o ante </w:t>
      </w:r>
      <w:r w:rsidR="0076644C" w:rsidRPr="00540E96">
        <w:rPr>
          <w:rStyle w:val="CharacterStyle1"/>
          <w:rFonts w:ascii="Cambria" w:hAnsi="Cambria" w:cs="Times New Roman"/>
          <w:sz w:val="20"/>
          <w:szCs w:val="20"/>
          <w:lang w:val="es-MX"/>
        </w:rPr>
        <w:t>su</w:t>
      </w:r>
      <w:r w:rsidR="004869ED" w:rsidRPr="00540E96">
        <w:rPr>
          <w:rStyle w:val="CharacterStyle1"/>
          <w:rFonts w:ascii="Cambria" w:hAnsi="Cambria" w:cs="Times New Roman"/>
          <w:sz w:val="20"/>
          <w:szCs w:val="20"/>
          <w:lang w:val="es-MX"/>
        </w:rPr>
        <w:t>s subalternos, familia y comunidad</w:t>
      </w:r>
      <w:r w:rsidR="00BF3223" w:rsidRPr="00540E96">
        <w:rPr>
          <w:rStyle w:val="CharacterStyle1"/>
          <w:rFonts w:ascii="Cambria" w:hAnsi="Cambria" w:cs="Times New Roman"/>
          <w:sz w:val="20"/>
          <w:szCs w:val="20"/>
          <w:lang w:val="es-MX"/>
        </w:rPr>
        <w:t xml:space="preserve">. Los jueces </w:t>
      </w:r>
      <w:r w:rsidR="007F6982" w:rsidRPr="00540E96">
        <w:rPr>
          <w:rStyle w:val="CharacterStyle1"/>
          <w:rFonts w:ascii="Cambria" w:hAnsi="Cambria" w:cs="Times New Roman"/>
          <w:sz w:val="20"/>
          <w:szCs w:val="20"/>
          <w:lang w:val="es-MX"/>
        </w:rPr>
        <w:t>resaltaron que e</w:t>
      </w:r>
      <w:r w:rsidR="007C0CEB" w:rsidRPr="00540E96">
        <w:rPr>
          <w:rStyle w:val="CharacterStyle1"/>
          <w:rFonts w:ascii="Cambria" w:hAnsi="Cambria" w:cs="Times New Roman"/>
          <w:sz w:val="20"/>
          <w:szCs w:val="20"/>
          <w:lang w:val="es-MX"/>
        </w:rPr>
        <w:t xml:space="preserve">l atribuirle falsamente la </w:t>
      </w:r>
      <w:r w:rsidR="002278F5" w:rsidRPr="00540E96">
        <w:rPr>
          <w:rStyle w:val="CharacterStyle1"/>
          <w:rFonts w:ascii="Cambria" w:hAnsi="Cambria" w:cs="Times New Roman"/>
          <w:sz w:val="20"/>
          <w:szCs w:val="20"/>
          <w:lang w:val="es-MX"/>
        </w:rPr>
        <w:t>tramitación</w:t>
      </w:r>
      <w:r w:rsidR="007C0CEB" w:rsidRPr="00540E96">
        <w:rPr>
          <w:rStyle w:val="CharacterStyle1"/>
          <w:rFonts w:ascii="Cambria" w:hAnsi="Cambria" w:cs="Times New Roman"/>
          <w:sz w:val="20"/>
          <w:szCs w:val="20"/>
          <w:lang w:val="es-MX"/>
        </w:rPr>
        <w:t xml:space="preserve"> de una causa penal por </w:t>
      </w:r>
      <w:r w:rsidR="002278F5" w:rsidRPr="00540E96">
        <w:rPr>
          <w:rStyle w:val="CharacterStyle1"/>
          <w:rFonts w:ascii="Cambria" w:hAnsi="Cambria" w:cs="Times New Roman"/>
          <w:sz w:val="20"/>
          <w:szCs w:val="20"/>
          <w:lang w:val="es-MX"/>
        </w:rPr>
        <w:t>extorsión</w:t>
      </w:r>
      <w:r w:rsidR="007C0CEB" w:rsidRPr="00540E96">
        <w:rPr>
          <w:rStyle w:val="CharacterStyle1"/>
          <w:rFonts w:ascii="Cambria" w:hAnsi="Cambria" w:cs="Times New Roman"/>
          <w:sz w:val="20"/>
          <w:szCs w:val="20"/>
          <w:lang w:val="es-MX"/>
        </w:rPr>
        <w:t xml:space="preserve"> </w:t>
      </w:r>
      <w:r w:rsidR="0079792F" w:rsidRPr="00540E96">
        <w:rPr>
          <w:rStyle w:val="CharacterStyle1"/>
          <w:rFonts w:ascii="Cambria" w:hAnsi="Cambria" w:cs="Times New Roman"/>
          <w:sz w:val="20"/>
          <w:szCs w:val="20"/>
          <w:lang w:val="es-MX"/>
        </w:rPr>
        <w:t>por trasiego de licores a un oficial de la fuerza p</w:t>
      </w:r>
      <w:r w:rsidR="002278F5" w:rsidRPr="00540E96">
        <w:rPr>
          <w:rStyle w:val="CharacterStyle1"/>
          <w:rFonts w:ascii="Cambria" w:hAnsi="Cambria" w:cs="Times New Roman"/>
          <w:sz w:val="20"/>
          <w:szCs w:val="20"/>
          <w:lang w:val="es-MX"/>
        </w:rPr>
        <w:t>ública</w:t>
      </w:r>
      <w:r w:rsidR="007F6982" w:rsidRPr="00540E96">
        <w:rPr>
          <w:rStyle w:val="CharacterStyle1"/>
          <w:rFonts w:ascii="Cambria" w:hAnsi="Cambria" w:cs="Times New Roman"/>
          <w:sz w:val="20"/>
          <w:szCs w:val="20"/>
          <w:lang w:val="es-MX"/>
        </w:rPr>
        <w:t xml:space="preserve"> con cargo de sub-jefatura</w:t>
      </w:r>
      <w:r w:rsidR="00040277" w:rsidRPr="00540E96">
        <w:rPr>
          <w:rStyle w:val="CharacterStyle1"/>
          <w:rFonts w:ascii="Cambria" w:hAnsi="Cambria" w:cs="Times New Roman"/>
          <w:sz w:val="20"/>
          <w:szCs w:val="20"/>
          <w:lang w:val="es-MX"/>
        </w:rPr>
        <w:t>,</w:t>
      </w:r>
      <w:r w:rsidR="007F6982" w:rsidRPr="00540E96">
        <w:rPr>
          <w:rStyle w:val="CharacterStyle1"/>
          <w:rFonts w:ascii="Cambria" w:hAnsi="Cambria" w:cs="Times New Roman"/>
          <w:sz w:val="20"/>
          <w:szCs w:val="20"/>
          <w:lang w:val="es-MX"/>
        </w:rPr>
        <w:t xml:space="preserve"> en una zona </w:t>
      </w:r>
      <w:r w:rsidR="00AA271B">
        <w:rPr>
          <w:rStyle w:val="CharacterStyle1"/>
          <w:rFonts w:ascii="Cambria" w:hAnsi="Cambria" w:cs="Times New Roman"/>
          <w:sz w:val="20"/>
          <w:szCs w:val="20"/>
          <w:lang w:val="es-MX"/>
        </w:rPr>
        <w:t xml:space="preserve">en donde, </w:t>
      </w:r>
      <w:r w:rsidR="007F6982" w:rsidRPr="00540E96">
        <w:rPr>
          <w:rStyle w:val="CharacterStyle1"/>
          <w:rFonts w:ascii="Cambria" w:hAnsi="Cambria" w:cs="Times New Roman"/>
          <w:sz w:val="20"/>
          <w:szCs w:val="20"/>
          <w:lang w:val="es-MX"/>
        </w:rPr>
        <w:t>por su posición fronteriza</w:t>
      </w:r>
      <w:r w:rsidR="00AA271B">
        <w:rPr>
          <w:rStyle w:val="CharacterStyle1"/>
          <w:rFonts w:ascii="Cambria" w:hAnsi="Cambria" w:cs="Times New Roman"/>
          <w:sz w:val="20"/>
          <w:szCs w:val="20"/>
          <w:lang w:val="es-MX"/>
        </w:rPr>
        <w:t>,</w:t>
      </w:r>
      <w:r w:rsidR="007F6982" w:rsidRPr="00540E96">
        <w:rPr>
          <w:rStyle w:val="CharacterStyle1"/>
          <w:rFonts w:ascii="Cambria" w:hAnsi="Cambria" w:cs="Times New Roman"/>
          <w:sz w:val="20"/>
          <w:szCs w:val="20"/>
          <w:lang w:val="es-MX"/>
        </w:rPr>
        <w:t xml:space="preserve"> </w:t>
      </w:r>
      <w:r w:rsidR="00AA271B" w:rsidRPr="00540E96">
        <w:rPr>
          <w:rStyle w:val="CharacterStyle1"/>
          <w:rFonts w:ascii="Cambria" w:hAnsi="Cambria" w:cs="Times New Roman"/>
          <w:sz w:val="20"/>
          <w:szCs w:val="20"/>
          <w:lang w:val="es-MX"/>
        </w:rPr>
        <w:t>los temas de trasi</w:t>
      </w:r>
      <w:r w:rsidR="00AA271B">
        <w:rPr>
          <w:rStyle w:val="CharacterStyle1"/>
          <w:rFonts w:ascii="Cambria" w:hAnsi="Cambria" w:cs="Times New Roman"/>
          <w:sz w:val="20"/>
          <w:szCs w:val="20"/>
          <w:lang w:val="es-MX"/>
        </w:rPr>
        <w:t>ego ilegales de drogas, licores y</w:t>
      </w:r>
      <w:r w:rsidR="00AA271B" w:rsidRPr="00540E96">
        <w:rPr>
          <w:rStyle w:val="CharacterStyle1"/>
          <w:rFonts w:ascii="Cambria" w:hAnsi="Cambria" w:cs="Times New Roman"/>
          <w:sz w:val="20"/>
          <w:szCs w:val="20"/>
          <w:lang w:val="es-MX"/>
        </w:rPr>
        <w:t xml:space="preserve"> mercaderías </w:t>
      </w:r>
      <w:r w:rsidR="00F06779" w:rsidRPr="00540E96">
        <w:rPr>
          <w:rStyle w:val="CharacterStyle1"/>
          <w:rFonts w:ascii="Cambria" w:hAnsi="Cambria" w:cs="Times New Roman"/>
          <w:sz w:val="20"/>
          <w:szCs w:val="20"/>
          <w:lang w:val="es-MX"/>
        </w:rPr>
        <w:t>tiene</w:t>
      </w:r>
      <w:r w:rsidR="00AB4536" w:rsidRPr="00540E96">
        <w:rPr>
          <w:rStyle w:val="CharacterStyle1"/>
          <w:rFonts w:ascii="Cambria" w:hAnsi="Cambria" w:cs="Times New Roman"/>
          <w:sz w:val="20"/>
          <w:szCs w:val="20"/>
          <w:lang w:val="es-MX"/>
        </w:rPr>
        <w:t>n</w:t>
      </w:r>
      <w:r w:rsidR="00F06779" w:rsidRPr="00540E96">
        <w:rPr>
          <w:rStyle w:val="CharacterStyle1"/>
          <w:rFonts w:ascii="Cambria" w:hAnsi="Cambria" w:cs="Times New Roman"/>
          <w:sz w:val="20"/>
          <w:szCs w:val="20"/>
          <w:lang w:val="es-MX"/>
        </w:rPr>
        <w:t xml:space="preserve"> gran relevancia</w:t>
      </w:r>
      <w:r w:rsidR="00AA271B">
        <w:rPr>
          <w:rStyle w:val="CharacterStyle1"/>
          <w:rFonts w:ascii="Cambria" w:hAnsi="Cambria" w:cs="Times New Roman"/>
          <w:sz w:val="20"/>
          <w:szCs w:val="20"/>
          <w:lang w:val="es-MX"/>
        </w:rPr>
        <w:t>,</w:t>
      </w:r>
      <w:r w:rsidR="00F06779" w:rsidRPr="00540E96">
        <w:rPr>
          <w:rStyle w:val="CharacterStyle1"/>
          <w:rFonts w:ascii="Cambria" w:hAnsi="Cambria" w:cs="Times New Roman"/>
          <w:sz w:val="20"/>
          <w:szCs w:val="20"/>
          <w:lang w:val="es-MX"/>
        </w:rPr>
        <w:t xml:space="preserve"> resultó muy alarmante </w:t>
      </w:r>
      <w:r w:rsidR="001245C9" w:rsidRPr="00540E96">
        <w:rPr>
          <w:rStyle w:val="CharacterStyle1"/>
          <w:rFonts w:ascii="Cambria" w:hAnsi="Cambria" w:cs="Times New Roman"/>
          <w:sz w:val="20"/>
          <w:szCs w:val="20"/>
          <w:lang w:val="es-MX"/>
        </w:rPr>
        <w:t xml:space="preserve">para la comunidad y sus subalternos, causando esto un perjuicio grave para </w:t>
      </w:r>
      <w:r w:rsidR="00AB4536" w:rsidRPr="00540E96">
        <w:rPr>
          <w:rStyle w:val="CharacterStyle1"/>
          <w:rFonts w:ascii="Cambria" w:hAnsi="Cambria" w:cs="Times New Roman"/>
          <w:sz w:val="20"/>
          <w:szCs w:val="20"/>
          <w:lang w:val="es-MX"/>
        </w:rPr>
        <w:t>la</w:t>
      </w:r>
      <w:r w:rsidR="001245C9" w:rsidRPr="00540E96">
        <w:rPr>
          <w:rStyle w:val="CharacterStyle1"/>
          <w:rFonts w:ascii="Cambria" w:hAnsi="Cambria" w:cs="Times New Roman"/>
          <w:sz w:val="20"/>
          <w:szCs w:val="20"/>
          <w:lang w:val="es-MX"/>
        </w:rPr>
        <w:t xml:space="preserve"> imagen pública</w:t>
      </w:r>
      <w:r w:rsidR="00AB4536" w:rsidRPr="00540E96">
        <w:rPr>
          <w:rStyle w:val="CharacterStyle1"/>
          <w:rFonts w:ascii="Cambria" w:hAnsi="Cambria" w:cs="Times New Roman"/>
          <w:sz w:val="20"/>
          <w:szCs w:val="20"/>
          <w:lang w:val="es-MX"/>
        </w:rPr>
        <w:t xml:space="preserve"> del señor Trejos Rodríguez</w:t>
      </w:r>
      <w:r w:rsidR="004E40CD" w:rsidRPr="00540E96">
        <w:rPr>
          <w:rStyle w:val="FootnoteReference"/>
          <w:rFonts w:ascii="Cambria" w:hAnsi="Cambria"/>
          <w:sz w:val="20"/>
          <w:szCs w:val="20"/>
          <w:lang w:val="es-MX"/>
        </w:rPr>
        <w:footnoteReference w:id="23"/>
      </w:r>
      <w:r w:rsidR="001245C9" w:rsidRPr="00540E96">
        <w:rPr>
          <w:rStyle w:val="CharacterStyle1"/>
          <w:rFonts w:ascii="Cambria" w:hAnsi="Cambria" w:cs="Times New Roman"/>
          <w:sz w:val="20"/>
          <w:szCs w:val="20"/>
          <w:lang w:val="es-MX"/>
        </w:rPr>
        <w:t>.</w:t>
      </w:r>
      <w:r w:rsidR="00040277" w:rsidRPr="00540E96">
        <w:rPr>
          <w:rStyle w:val="CharacterStyle1"/>
          <w:rFonts w:ascii="Cambria" w:hAnsi="Cambria" w:cs="Times New Roman"/>
          <w:sz w:val="20"/>
          <w:szCs w:val="20"/>
          <w:lang w:val="es-MX"/>
        </w:rPr>
        <w:t xml:space="preserve"> </w:t>
      </w:r>
    </w:p>
    <w:p w14:paraId="370513CB" w14:textId="77777777" w:rsidR="009B3A03" w:rsidRPr="00540E96" w:rsidRDefault="009B3A03" w:rsidP="009B3A03">
      <w:pPr>
        <w:pBdr>
          <w:top w:val="none" w:sz="0" w:space="0" w:color="auto"/>
          <w:left w:val="none" w:sz="0" w:space="0" w:color="auto"/>
          <w:bottom w:val="none" w:sz="0" w:space="0" w:color="auto"/>
          <w:right w:val="none" w:sz="0" w:space="0" w:color="auto"/>
          <w:between w:val="none" w:sz="0" w:space="0" w:color="auto"/>
          <w:bar w:val="none" w:sz="0" w:color="auto"/>
        </w:pBdr>
        <w:jc w:val="both"/>
        <w:rPr>
          <w:rStyle w:val="CharacterStyle1"/>
          <w:rFonts w:ascii="Cambria" w:hAnsi="Cambria" w:cs="Times New Roman"/>
          <w:sz w:val="20"/>
          <w:szCs w:val="20"/>
          <w:lang w:val="es-VE"/>
        </w:rPr>
      </w:pPr>
    </w:p>
    <w:p w14:paraId="58D531E7" w14:textId="77777777" w:rsidR="009B3A03" w:rsidRPr="00540E96" w:rsidRDefault="009B3A03"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El Tribunal de Juicio declaró “sin lugar</w:t>
      </w:r>
      <w:r w:rsidR="00A07543">
        <w:rPr>
          <w:rFonts w:ascii="Cambria" w:hAnsi="Cambria"/>
          <w:sz w:val="20"/>
          <w:szCs w:val="20"/>
          <w:lang w:val="es-VE"/>
        </w:rPr>
        <w:t xml:space="preserve"> </w:t>
      </w:r>
      <w:r w:rsidRPr="00540E96">
        <w:rPr>
          <w:rFonts w:ascii="Cambria" w:hAnsi="Cambria"/>
          <w:sz w:val="20"/>
          <w:szCs w:val="20"/>
          <w:lang w:val="es-VE"/>
        </w:rPr>
        <w:t xml:space="preserve">la excepción de </w:t>
      </w:r>
      <w:r w:rsidR="003A18D6">
        <w:rPr>
          <w:rFonts w:ascii="Cambria" w:hAnsi="Cambria"/>
          <w:sz w:val="20"/>
          <w:szCs w:val="20"/>
          <w:lang w:val="es-VE"/>
        </w:rPr>
        <w:t xml:space="preserve">[la] </w:t>
      </w:r>
      <w:r w:rsidRPr="00540E96">
        <w:rPr>
          <w:rFonts w:ascii="Cambria" w:hAnsi="Cambria"/>
          <w:sz w:val="20"/>
          <w:szCs w:val="20"/>
          <w:lang w:val="es-VE"/>
        </w:rPr>
        <w:t>verdad alegada por todos los representantes de los querellados” en el entendido de que “</w:t>
      </w:r>
      <w:r w:rsidRPr="00540E96">
        <w:rPr>
          <w:rStyle w:val="CharacterStyle1"/>
          <w:rFonts w:ascii="Cambria" w:hAnsi="Cambria" w:cs="Times New Roman"/>
          <w:sz w:val="20"/>
          <w:szCs w:val="20"/>
          <w:lang w:val="es-MX"/>
        </w:rPr>
        <w:t>el contenido del reportaje es injurioso, difamante y ofensivo al achacarle falsamente un posible trasiego de licore</w:t>
      </w:r>
      <w:r w:rsidR="003A18D6">
        <w:rPr>
          <w:rStyle w:val="CharacterStyle1"/>
          <w:rFonts w:ascii="Cambria" w:hAnsi="Cambria" w:cs="Times New Roman"/>
          <w:sz w:val="20"/>
          <w:szCs w:val="20"/>
          <w:lang w:val="es-MX"/>
        </w:rPr>
        <w:t>s”</w:t>
      </w:r>
      <w:r w:rsidRPr="00540E96">
        <w:rPr>
          <w:rStyle w:val="CharacterStyle1"/>
          <w:rFonts w:ascii="Cambria" w:hAnsi="Cambria" w:cs="Times New Roman"/>
          <w:sz w:val="20"/>
          <w:szCs w:val="20"/>
          <w:lang w:val="es-MX"/>
        </w:rPr>
        <w:t xml:space="preserve"> </w:t>
      </w:r>
      <w:r w:rsidR="003A18D6">
        <w:rPr>
          <w:rStyle w:val="CharacterStyle1"/>
          <w:rFonts w:ascii="Cambria" w:hAnsi="Cambria" w:cs="Times New Roman"/>
          <w:sz w:val="20"/>
          <w:szCs w:val="20"/>
          <w:lang w:val="es-MX"/>
        </w:rPr>
        <w:t>y porque “</w:t>
      </w:r>
      <w:r w:rsidRPr="00540E96">
        <w:rPr>
          <w:rStyle w:val="CharacterStyle1"/>
          <w:rFonts w:ascii="Cambria" w:hAnsi="Cambria" w:cs="Times New Roman"/>
          <w:sz w:val="20"/>
          <w:szCs w:val="20"/>
          <w:lang w:val="es-MX"/>
        </w:rPr>
        <w:t>e</w:t>
      </w:r>
      <w:r w:rsidR="003A18D6">
        <w:rPr>
          <w:rStyle w:val="CharacterStyle1"/>
          <w:rFonts w:ascii="Cambria" w:hAnsi="Cambria" w:cs="Times New Roman"/>
          <w:sz w:val="20"/>
          <w:szCs w:val="20"/>
          <w:lang w:val="es-MX"/>
        </w:rPr>
        <w:t>l</w:t>
      </w:r>
      <w:r w:rsidRPr="00540E96">
        <w:rPr>
          <w:rStyle w:val="CharacterStyle1"/>
          <w:rFonts w:ascii="Cambria" w:hAnsi="Cambria" w:cs="Times New Roman"/>
          <w:sz w:val="20"/>
          <w:szCs w:val="20"/>
          <w:lang w:val="es-MX"/>
        </w:rPr>
        <w:t xml:space="preserve"> núcleo central de la noticia (…) resulta falso”</w:t>
      </w:r>
      <w:r w:rsidRPr="00540E96">
        <w:rPr>
          <w:rStyle w:val="FootnoteReference"/>
          <w:rFonts w:ascii="Cambria" w:hAnsi="Cambria"/>
          <w:sz w:val="20"/>
          <w:szCs w:val="20"/>
          <w:lang w:val="es-VE"/>
        </w:rPr>
        <w:footnoteReference w:id="24"/>
      </w:r>
      <w:r w:rsidRPr="00540E96">
        <w:rPr>
          <w:rStyle w:val="CharacterStyle1"/>
          <w:rFonts w:ascii="Cambria" w:hAnsi="Cambria" w:cs="Times New Roman"/>
          <w:sz w:val="20"/>
          <w:szCs w:val="20"/>
          <w:lang w:val="es-MX"/>
        </w:rPr>
        <w:t>.</w:t>
      </w:r>
    </w:p>
    <w:p w14:paraId="05E85EFC" w14:textId="77777777" w:rsidR="00511652" w:rsidRPr="00540E96" w:rsidRDefault="00511652"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Style w:val="CharacterStyle1"/>
          <w:rFonts w:ascii="Cambria" w:hAnsi="Cambria" w:cs="Times New Roman"/>
          <w:sz w:val="20"/>
          <w:szCs w:val="20"/>
          <w:lang w:val="es-VE"/>
        </w:rPr>
      </w:pPr>
    </w:p>
    <w:p w14:paraId="3E90AAE2" w14:textId="77777777" w:rsidR="00984558" w:rsidRPr="00540E96" w:rsidRDefault="00240F3F"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El Tribunal consideró que en el caso “es necesario tener presente que en esta delicada materia debe buscarse un equilibrio entre dos derechos fundamentales, a saber, por un lado</w:t>
      </w:r>
      <w:r w:rsidR="00890836" w:rsidRPr="00540E96">
        <w:rPr>
          <w:rFonts w:ascii="Cambria" w:hAnsi="Cambria"/>
          <w:sz w:val="20"/>
          <w:szCs w:val="20"/>
          <w:lang w:val="es-VE"/>
        </w:rPr>
        <w:t xml:space="preserve">, </w:t>
      </w:r>
      <w:r w:rsidRPr="00540E96">
        <w:rPr>
          <w:rFonts w:ascii="Cambria" w:hAnsi="Cambria"/>
          <w:sz w:val="20"/>
          <w:szCs w:val="20"/>
          <w:lang w:val="es-VE"/>
        </w:rPr>
        <w:t xml:space="preserve">el honor de las personas, y por otro la libertad de prensa”. En este sentido, el Tribunal razonó que el </w:t>
      </w:r>
      <w:r w:rsidR="000F7D42" w:rsidRPr="00540E96">
        <w:rPr>
          <w:rFonts w:ascii="Cambria" w:hAnsi="Cambria"/>
          <w:sz w:val="20"/>
          <w:szCs w:val="20"/>
          <w:lang w:val="es-VE"/>
        </w:rPr>
        <w:t xml:space="preserve">conflicto entre derechos fundamentales </w:t>
      </w:r>
      <w:r w:rsidR="000148B8" w:rsidRPr="00540E96">
        <w:rPr>
          <w:rFonts w:ascii="Cambria" w:hAnsi="Cambria"/>
          <w:sz w:val="20"/>
          <w:szCs w:val="20"/>
          <w:lang w:val="es-VE"/>
        </w:rPr>
        <w:t>solo p</w:t>
      </w:r>
      <w:r w:rsidR="006232F4">
        <w:rPr>
          <w:rFonts w:ascii="Cambria" w:hAnsi="Cambria"/>
          <w:sz w:val="20"/>
          <w:szCs w:val="20"/>
          <w:lang w:val="es-VE"/>
        </w:rPr>
        <w:t>odía</w:t>
      </w:r>
      <w:r w:rsidR="000148B8" w:rsidRPr="00540E96">
        <w:rPr>
          <w:rFonts w:ascii="Cambria" w:hAnsi="Cambria"/>
          <w:sz w:val="20"/>
          <w:szCs w:val="20"/>
          <w:lang w:val="es-VE"/>
        </w:rPr>
        <w:t xml:space="preserve"> resolverse a favor del </w:t>
      </w:r>
      <w:r w:rsidRPr="00540E96">
        <w:rPr>
          <w:rFonts w:ascii="Cambria" w:hAnsi="Cambria"/>
          <w:sz w:val="20"/>
          <w:szCs w:val="20"/>
          <w:lang w:val="es-VE"/>
        </w:rPr>
        <w:t xml:space="preserve">derecho al honor </w:t>
      </w:r>
      <w:r w:rsidR="000148B8" w:rsidRPr="00540E96">
        <w:rPr>
          <w:rFonts w:ascii="Cambria" w:hAnsi="Cambria"/>
          <w:sz w:val="20"/>
          <w:szCs w:val="20"/>
          <w:lang w:val="es-VE"/>
        </w:rPr>
        <w:t>cuando se constata</w:t>
      </w:r>
      <w:r w:rsidR="006232F4">
        <w:rPr>
          <w:rFonts w:ascii="Cambria" w:hAnsi="Cambria"/>
          <w:sz w:val="20"/>
          <w:szCs w:val="20"/>
          <w:lang w:val="es-VE"/>
        </w:rPr>
        <w:t>ba</w:t>
      </w:r>
      <w:r w:rsidR="00E6786C" w:rsidRPr="00540E96">
        <w:rPr>
          <w:rFonts w:ascii="Cambria" w:hAnsi="Cambria"/>
          <w:sz w:val="20"/>
          <w:szCs w:val="20"/>
          <w:lang w:val="es-VE"/>
        </w:rPr>
        <w:t xml:space="preserve"> un ejercicio abusivo de las libertades de información y prensa</w:t>
      </w:r>
      <w:r w:rsidR="006232F4">
        <w:rPr>
          <w:rFonts w:ascii="Cambria" w:hAnsi="Cambria"/>
          <w:sz w:val="20"/>
          <w:szCs w:val="20"/>
          <w:lang w:val="es-VE"/>
        </w:rPr>
        <w:t>. S</w:t>
      </w:r>
      <w:r w:rsidR="00E6786C" w:rsidRPr="00540E96">
        <w:rPr>
          <w:rFonts w:ascii="Cambria" w:hAnsi="Cambria"/>
          <w:sz w:val="20"/>
          <w:szCs w:val="20"/>
          <w:lang w:val="es-VE"/>
        </w:rPr>
        <w:t>egún el Tribunal de Juicio</w:t>
      </w:r>
      <w:r w:rsidR="006232F4">
        <w:rPr>
          <w:rFonts w:ascii="Cambria" w:hAnsi="Cambria"/>
          <w:sz w:val="20"/>
          <w:szCs w:val="20"/>
          <w:lang w:val="es-VE"/>
        </w:rPr>
        <w:t>,</w:t>
      </w:r>
      <w:r w:rsidR="00E44225" w:rsidRPr="00540E96">
        <w:rPr>
          <w:rFonts w:ascii="Cambria" w:hAnsi="Cambria"/>
          <w:sz w:val="20"/>
          <w:szCs w:val="20"/>
          <w:lang w:val="es-VE"/>
        </w:rPr>
        <w:t xml:space="preserve"> </w:t>
      </w:r>
      <w:r w:rsidR="006232F4">
        <w:rPr>
          <w:rFonts w:ascii="Cambria" w:hAnsi="Cambria"/>
          <w:sz w:val="20"/>
          <w:szCs w:val="20"/>
          <w:lang w:val="es-VE"/>
        </w:rPr>
        <w:t xml:space="preserve">este ejercicio abusivo </w:t>
      </w:r>
      <w:r w:rsidR="006232F4" w:rsidRPr="00540E96">
        <w:rPr>
          <w:rFonts w:ascii="Cambria" w:hAnsi="Cambria"/>
          <w:sz w:val="20"/>
          <w:szCs w:val="20"/>
          <w:lang w:val="es-VE"/>
        </w:rPr>
        <w:t xml:space="preserve">en el presente caso </w:t>
      </w:r>
      <w:r w:rsidR="00E44225" w:rsidRPr="00540E96">
        <w:rPr>
          <w:rFonts w:ascii="Cambria" w:hAnsi="Cambria"/>
          <w:sz w:val="20"/>
          <w:szCs w:val="20"/>
          <w:lang w:val="es-VE"/>
        </w:rPr>
        <w:t>result</w:t>
      </w:r>
      <w:r w:rsidR="006232F4">
        <w:rPr>
          <w:rFonts w:ascii="Cambria" w:hAnsi="Cambria"/>
          <w:sz w:val="20"/>
          <w:szCs w:val="20"/>
          <w:lang w:val="es-VE"/>
        </w:rPr>
        <w:t>ó</w:t>
      </w:r>
      <w:r w:rsidR="00E44225" w:rsidRPr="00540E96">
        <w:rPr>
          <w:rFonts w:ascii="Cambria" w:hAnsi="Cambria"/>
          <w:sz w:val="20"/>
          <w:szCs w:val="20"/>
          <w:lang w:val="es-VE"/>
        </w:rPr>
        <w:t xml:space="preserve"> del hecho de que </w:t>
      </w:r>
      <w:r w:rsidR="00E6786C" w:rsidRPr="00540E96">
        <w:rPr>
          <w:rFonts w:ascii="Cambria" w:hAnsi="Cambria"/>
          <w:sz w:val="20"/>
          <w:szCs w:val="20"/>
          <w:lang w:val="es-VE"/>
        </w:rPr>
        <w:t xml:space="preserve"> </w:t>
      </w:r>
      <w:r w:rsidRPr="00540E96">
        <w:rPr>
          <w:rFonts w:ascii="Cambria" w:hAnsi="Cambria"/>
          <w:sz w:val="20"/>
          <w:szCs w:val="20"/>
          <w:lang w:val="es-VE"/>
        </w:rPr>
        <w:t>“el núcleo relevante de la noticia es falso porque aunque se trata de un solo aspecto dentro del contenido es el de mayor trascendencia, se le ubica además bajo un título grande y en negrita relacionado con ilicitudes referente a licores, apoyando y favoreciendo con ella la falsedad del núcleo de la noticia relacionada con el querellante”</w:t>
      </w:r>
      <w:r w:rsidRPr="00540E96">
        <w:rPr>
          <w:rStyle w:val="FootnoteReference"/>
          <w:rFonts w:ascii="Cambria" w:hAnsi="Cambria"/>
          <w:sz w:val="20"/>
          <w:szCs w:val="20"/>
          <w:lang w:val="es-VE"/>
        </w:rPr>
        <w:footnoteReference w:id="25"/>
      </w:r>
      <w:r w:rsidR="008020D2" w:rsidRPr="00540E96">
        <w:rPr>
          <w:rFonts w:ascii="Cambria" w:hAnsi="Cambria"/>
          <w:sz w:val="20"/>
          <w:szCs w:val="20"/>
          <w:lang w:val="es-VE"/>
        </w:rPr>
        <w:t>.</w:t>
      </w:r>
    </w:p>
    <w:p w14:paraId="4EF888ED" w14:textId="77777777" w:rsidR="00984558" w:rsidRPr="00540E96" w:rsidRDefault="00984558" w:rsidP="006D014B">
      <w:pPr>
        <w:pStyle w:val="ListParagraph"/>
        <w:spacing w:before="0" w:after="0"/>
        <w:rPr>
          <w:sz w:val="20"/>
          <w:szCs w:val="20"/>
          <w:lang w:val="es-VE"/>
        </w:rPr>
      </w:pPr>
    </w:p>
    <w:p w14:paraId="2FA9CA5C" w14:textId="77777777" w:rsidR="00240F3F" w:rsidRPr="00540E96" w:rsidRDefault="00240F3F"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lastRenderedPageBreak/>
        <w:t>Finalmente, el Tribunal consideró que “no se ha ejercitado de manera legítima el derecho a informar, pues existiendo un interés público en la noticia, se constata que la misma no se apegó a la realidad advirtiéndose así un ejercicio abusivo de las libertades de información y de prensa”</w:t>
      </w:r>
      <w:r w:rsidRPr="00540E96">
        <w:rPr>
          <w:rStyle w:val="FootnoteReference"/>
          <w:rFonts w:ascii="Cambria" w:hAnsi="Cambria"/>
          <w:sz w:val="20"/>
          <w:szCs w:val="20"/>
          <w:lang w:val="es-VE"/>
        </w:rPr>
        <w:footnoteReference w:id="26"/>
      </w:r>
      <w:r w:rsidR="008020D2" w:rsidRPr="00540E96">
        <w:rPr>
          <w:rFonts w:ascii="Cambria" w:hAnsi="Cambria"/>
          <w:sz w:val="20"/>
          <w:szCs w:val="20"/>
          <w:lang w:val="es-VE"/>
        </w:rPr>
        <w:t>.</w:t>
      </w:r>
    </w:p>
    <w:p w14:paraId="1FC4F23B" w14:textId="77777777" w:rsidR="00984558" w:rsidRPr="00540E96" w:rsidRDefault="00984558" w:rsidP="006D014B">
      <w:pPr>
        <w:pStyle w:val="ListParagraph"/>
        <w:spacing w:before="0" w:after="0"/>
        <w:rPr>
          <w:sz w:val="20"/>
          <w:szCs w:val="20"/>
          <w:lang w:val="es-VE"/>
        </w:rPr>
      </w:pPr>
    </w:p>
    <w:p w14:paraId="618D8DDC" w14:textId="77777777" w:rsidR="00240F3F" w:rsidRPr="00540E96" w:rsidRDefault="00240F3F"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El Tribunal</w:t>
      </w:r>
      <w:r w:rsidR="009663DF" w:rsidRPr="00540E96">
        <w:rPr>
          <w:rFonts w:ascii="Cambria" w:hAnsi="Cambria"/>
          <w:sz w:val="20"/>
          <w:szCs w:val="20"/>
          <w:lang w:val="es-VE"/>
        </w:rPr>
        <w:t xml:space="preserve"> de Juicio</w:t>
      </w:r>
      <w:r w:rsidRPr="00540E96">
        <w:rPr>
          <w:rFonts w:ascii="Cambria" w:hAnsi="Cambria"/>
          <w:sz w:val="20"/>
          <w:szCs w:val="20"/>
          <w:lang w:val="es-VE"/>
        </w:rPr>
        <w:t xml:space="preserve"> </w:t>
      </w:r>
      <w:r w:rsidR="009663DF" w:rsidRPr="00540E96">
        <w:rPr>
          <w:rFonts w:ascii="Cambria" w:hAnsi="Cambria"/>
          <w:sz w:val="20"/>
          <w:szCs w:val="20"/>
          <w:lang w:val="es-VE"/>
        </w:rPr>
        <w:t>con</w:t>
      </w:r>
      <w:r w:rsidR="002212E2" w:rsidRPr="00540E96">
        <w:rPr>
          <w:rFonts w:ascii="Cambria" w:hAnsi="Cambria"/>
          <w:sz w:val="20"/>
          <w:szCs w:val="20"/>
          <w:lang w:val="es-VE"/>
        </w:rPr>
        <w:t xml:space="preserve">cluyó </w:t>
      </w:r>
      <w:r w:rsidR="009663DF" w:rsidRPr="00540E96">
        <w:rPr>
          <w:rFonts w:ascii="Cambria" w:hAnsi="Cambria"/>
          <w:sz w:val="20"/>
          <w:szCs w:val="20"/>
          <w:lang w:val="es-VE"/>
        </w:rPr>
        <w:t xml:space="preserve">que </w:t>
      </w:r>
      <w:r w:rsidR="00D014CB" w:rsidRPr="00540E96">
        <w:rPr>
          <w:rFonts w:ascii="Cambria" w:hAnsi="Cambria"/>
          <w:sz w:val="20"/>
          <w:szCs w:val="20"/>
          <w:lang w:val="es-VE"/>
        </w:rPr>
        <w:t xml:space="preserve">la noticia </w:t>
      </w:r>
      <w:r w:rsidR="00AA0184" w:rsidRPr="00540E96">
        <w:rPr>
          <w:rFonts w:ascii="Cambria" w:hAnsi="Cambria"/>
          <w:sz w:val="20"/>
          <w:szCs w:val="20"/>
          <w:lang w:val="es-VE"/>
        </w:rPr>
        <w:t xml:space="preserve">falsa </w:t>
      </w:r>
      <w:r w:rsidR="00D014CB" w:rsidRPr="00540E96">
        <w:rPr>
          <w:rFonts w:ascii="Cambria" w:hAnsi="Cambria"/>
          <w:sz w:val="20"/>
          <w:szCs w:val="20"/>
          <w:lang w:val="es-VE"/>
        </w:rPr>
        <w:t xml:space="preserve">publicada no constituía calumnias </w:t>
      </w:r>
      <w:r w:rsidR="00EE56CD" w:rsidRPr="00540E96">
        <w:rPr>
          <w:rFonts w:ascii="Cambria" w:hAnsi="Cambria"/>
          <w:sz w:val="20"/>
          <w:szCs w:val="20"/>
          <w:lang w:val="es-VE"/>
        </w:rPr>
        <w:t xml:space="preserve">sino injurias por la prensa (artículo 7 de la Ley de Imprenta </w:t>
      </w:r>
      <w:r w:rsidR="001A09B6" w:rsidRPr="00540E96">
        <w:rPr>
          <w:rFonts w:ascii="Cambria" w:hAnsi="Cambria"/>
          <w:sz w:val="20"/>
          <w:szCs w:val="20"/>
          <w:lang w:val="es-VE"/>
        </w:rPr>
        <w:t>en relación con el artículo 145 del Código Penal)</w:t>
      </w:r>
      <w:r w:rsidR="00EE56CD" w:rsidRPr="00540E96">
        <w:rPr>
          <w:rFonts w:ascii="Cambria" w:hAnsi="Cambria"/>
          <w:sz w:val="20"/>
          <w:szCs w:val="20"/>
          <w:lang w:val="es-VE"/>
        </w:rPr>
        <w:t>, pero que</w:t>
      </w:r>
      <w:r w:rsidR="00C30FBA" w:rsidRPr="00540E96">
        <w:rPr>
          <w:rFonts w:ascii="Cambria" w:hAnsi="Cambria"/>
          <w:sz w:val="20"/>
          <w:szCs w:val="20"/>
          <w:lang w:val="es-VE"/>
        </w:rPr>
        <w:t>,</w:t>
      </w:r>
      <w:r w:rsidR="00EE56CD" w:rsidRPr="00540E96">
        <w:rPr>
          <w:rFonts w:ascii="Cambria" w:hAnsi="Cambria"/>
          <w:sz w:val="20"/>
          <w:szCs w:val="20"/>
          <w:lang w:val="es-VE"/>
        </w:rPr>
        <w:t xml:space="preserve"> si bien </w:t>
      </w:r>
      <w:r w:rsidR="00032F3F" w:rsidRPr="00540E96">
        <w:rPr>
          <w:rFonts w:ascii="Cambria" w:hAnsi="Cambria"/>
          <w:sz w:val="20"/>
          <w:szCs w:val="20"/>
          <w:lang w:val="es-VE"/>
        </w:rPr>
        <w:t>se configuraba la tipicidad objetiva, no se</w:t>
      </w:r>
      <w:r w:rsidR="00EF73C6" w:rsidRPr="00540E96">
        <w:rPr>
          <w:rFonts w:ascii="Cambria" w:hAnsi="Cambria"/>
          <w:sz w:val="20"/>
          <w:szCs w:val="20"/>
          <w:lang w:val="es-VE"/>
        </w:rPr>
        <w:t xml:space="preserve"> cumplía con el aspecto subjetivo, por lo que absolvió </w:t>
      </w:r>
      <w:r w:rsidRPr="00540E96">
        <w:rPr>
          <w:rFonts w:ascii="Cambria" w:hAnsi="Cambria"/>
          <w:sz w:val="20"/>
          <w:szCs w:val="20"/>
          <w:lang w:val="es-VE"/>
        </w:rPr>
        <w:t>de “toda pena y responsabilidad a los querellados” por los delitos de calumnia</w:t>
      </w:r>
      <w:r w:rsidR="00EF73C6" w:rsidRPr="00540E96">
        <w:rPr>
          <w:rFonts w:ascii="Cambria" w:hAnsi="Cambria"/>
          <w:sz w:val="20"/>
          <w:szCs w:val="20"/>
          <w:lang w:val="es-VE"/>
        </w:rPr>
        <w:t xml:space="preserve">, </w:t>
      </w:r>
      <w:r w:rsidRPr="00540E96">
        <w:rPr>
          <w:rFonts w:ascii="Cambria" w:hAnsi="Cambria"/>
          <w:sz w:val="20"/>
          <w:szCs w:val="20"/>
          <w:lang w:val="es-VE"/>
        </w:rPr>
        <w:t>difamación</w:t>
      </w:r>
      <w:r w:rsidR="00F6198B" w:rsidRPr="00540E96">
        <w:rPr>
          <w:rFonts w:ascii="Cambria" w:hAnsi="Cambria"/>
          <w:sz w:val="20"/>
          <w:szCs w:val="20"/>
          <w:lang w:val="es-VE"/>
        </w:rPr>
        <w:t xml:space="preserve"> e injuria por la prensa</w:t>
      </w:r>
      <w:r w:rsidRPr="00540E96">
        <w:rPr>
          <w:rFonts w:ascii="Cambria" w:hAnsi="Cambria"/>
          <w:sz w:val="20"/>
          <w:szCs w:val="20"/>
          <w:lang w:val="es-VE"/>
        </w:rPr>
        <w:t>, al no existir “dolo”. S</w:t>
      </w:r>
      <w:r w:rsidR="00F6198B" w:rsidRPr="00540E96">
        <w:rPr>
          <w:rFonts w:ascii="Cambria" w:hAnsi="Cambria"/>
          <w:sz w:val="20"/>
          <w:szCs w:val="20"/>
          <w:lang w:val="es-VE"/>
        </w:rPr>
        <w:t xml:space="preserve">in perjuicio de lo anterior, la sentencia </w:t>
      </w:r>
      <w:r w:rsidR="005C3E72" w:rsidRPr="00540E96">
        <w:rPr>
          <w:rFonts w:ascii="Cambria" w:hAnsi="Cambria"/>
          <w:sz w:val="20"/>
          <w:szCs w:val="20"/>
          <w:lang w:val="es-VE"/>
        </w:rPr>
        <w:t>declaró con lugar</w:t>
      </w:r>
      <w:r w:rsidRPr="00540E96">
        <w:rPr>
          <w:rFonts w:ascii="Cambria" w:hAnsi="Cambria"/>
          <w:sz w:val="20"/>
          <w:szCs w:val="20"/>
          <w:lang w:val="es-VE"/>
        </w:rPr>
        <w:t xml:space="preserve"> la acción civil resarcitoria</w:t>
      </w:r>
      <w:r w:rsidR="00AD5FC1" w:rsidRPr="00540E96">
        <w:rPr>
          <w:rFonts w:ascii="Cambria" w:hAnsi="Cambria"/>
          <w:sz w:val="20"/>
          <w:szCs w:val="20"/>
          <w:lang w:val="es-VE"/>
        </w:rPr>
        <w:t xml:space="preserve"> de conformidad con el artículo 1045 del Código Civil</w:t>
      </w:r>
      <w:r w:rsidR="006F39EA" w:rsidRPr="00540E96">
        <w:rPr>
          <w:rFonts w:ascii="Cambria" w:hAnsi="Cambria"/>
          <w:sz w:val="20"/>
          <w:szCs w:val="20"/>
          <w:lang w:val="es-VE"/>
        </w:rPr>
        <w:t xml:space="preserve"> que regula</w:t>
      </w:r>
      <w:r w:rsidR="00B62242" w:rsidRPr="00540E96">
        <w:rPr>
          <w:rFonts w:ascii="Cambria" w:hAnsi="Cambria"/>
          <w:sz w:val="20"/>
          <w:szCs w:val="20"/>
          <w:lang w:val="es-VE"/>
        </w:rPr>
        <w:t xml:space="preserve"> </w:t>
      </w:r>
      <w:r w:rsidR="006F39EA" w:rsidRPr="00540E96">
        <w:rPr>
          <w:rFonts w:ascii="Cambria" w:hAnsi="Cambria"/>
          <w:sz w:val="20"/>
          <w:szCs w:val="20"/>
          <w:lang w:val="es-VE"/>
        </w:rPr>
        <w:t xml:space="preserve">la responsabilidad civil subjetiva y </w:t>
      </w:r>
      <w:r w:rsidR="00B62242" w:rsidRPr="00540E96">
        <w:rPr>
          <w:rFonts w:ascii="Cambria" w:hAnsi="Cambria"/>
          <w:sz w:val="20"/>
          <w:szCs w:val="20"/>
          <w:lang w:val="es-VE"/>
        </w:rPr>
        <w:t xml:space="preserve">establece </w:t>
      </w:r>
      <w:r w:rsidR="00414CF1" w:rsidRPr="00540E96">
        <w:rPr>
          <w:rFonts w:ascii="Cambria" w:hAnsi="Cambria"/>
          <w:sz w:val="20"/>
          <w:szCs w:val="20"/>
          <w:lang w:val="es-VE"/>
        </w:rPr>
        <w:t xml:space="preserve">que todo aquel que </w:t>
      </w:r>
      <w:r w:rsidR="00D92E06" w:rsidRPr="00540E96">
        <w:rPr>
          <w:rFonts w:ascii="Cambria" w:hAnsi="Cambria"/>
          <w:sz w:val="20"/>
          <w:szCs w:val="20"/>
          <w:lang w:val="es-VE"/>
        </w:rPr>
        <w:t>por falta civil cause un daño a otro</w:t>
      </w:r>
      <w:r w:rsidR="00ED207D" w:rsidRPr="00540E96">
        <w:rPr>
          <w:rFonts w:ascii="Cambria" w:hAnsi="Cambria"/>
          <w:sz w:val="20"/>
          <w:szCs w:val="20"/>
          <w:lang w:val="es-VE"/>
        </w:rPr>
        <w:t xml:space="preserve"> está obligado a repararlo junto a sus perjuicios. </w:t>
      </w:r>
      <w:r w:rsidRPr="00540E96">
        <w:rPr>
          <w:rFonts w:ascii="Cambria" w:hAnsi="Cambria"/>
          <w:sz w:val="20"/>
          <w:szCs w:val="20"/>
          <w:lang w:val="es-VE"/>
        </w:rPr>
        <w:t xml:space="preserve"> </w:t>
      </w:r>
      <w:r w:rsidR="00545B9D" w:rsidRPr="00540E96">
        <w:rPr>
          <w:rFonts w:ascii="Cambria" w:hAnsi="Cambria"/>
          <w:sz w:val="20"/>
          <w:szCs w:val="20"/>
          <w:lang w:val="es-VE"/>
        </w:rPr>
        <w:t>La sentencia estimó que</w:t>
      </w:r>
      <w:r w:rsidR="001A4F7A" w:rsidRPr="00540E96">
        <w:rPr>
          <w:rFonts w:ascii="Cambria" w:hAnsi="Cambria"/>
          <w:sz w:val="20"/>
          <w:szCs w:val="20"/>
          <w:lang w:val="es-VE"/>
        </w:rPr>
        <w:t xml:space="preserve"> </w:t>
      </w:r>
      <w:r w:rsidRPr="00540E96">
        <w:rPr>
          <w:rFonts w:ascii="Cambria" w:hAnsi="Cambria"/>
          <w:sz w:val="20"/>
          <w:szCs w:val="20"/>
          <w:lang w:val="es-VE"/>
        </w:rPr>
        <w:t xml:space="preserve">el daño moral </w:t>
      </w:r>
      <w:r w:rsidR="001A4F7A" w:rsidRPr="00540E96">
        <w:rPr>
          <w:rFonts w:ascii="Cambria" w:hAnsi="Cambria"/>
          <w:sz w:val="20"/>
          <w:szCs w:val="20"/>
          <w:lang w:val="es-VE"/>
        </w:rPr>
        <w:t xml:space="preserve">del señor Trejos Rodríguez </w:t>
      </w:r>
      <w:r w:rsidRPr="00540E96">
        <w:rPr>
          <w:rFonts w:ascii="Cambria" w:hAnsi="Cambria"/>
          <w:sz w:val="20"/>
          <w:szCs w:val="20"/>
          <w:lang w:val="es-VE"/>
        </w:rPr>
        <w:t>fue “ampliamente demostrado” y</w:t>
      </w:r>
      <w:r w:rsidR="00707594" w:rsidRPr="00540E96">
        <w:rPr>
          <w:rFonts w:ascii="Cambria" w:hAnsi="Cambria"/>
          <w:sz w:val="20"/>
          <w:szCs w:val="20"/>
          <w:lang w:val="es-VE"/>
        </w:rPr>
        <w:t xml:space="preserve"> que se configuró una acción dañosa que</w:t>
      </w:r>
      <w:r w:rsidR="00A21ED9" w:rsidRPr="00540E96">
        <w:rPr>
          <w:rFonts w:ascii="Cambria" w:hAnsi="Cambria"/>
          <w:sz w:val="20"/>
          <w:szCs w:val="20"/>
          <w:lang w:val="es-VE"/>
        </w:rPr>
        <w:t>,</w:t>
      </w:r>
      <w:r w:rsidR="00707594" w:rsidRPr="00540E96">
        <w:rPr>
          <w:rFonts w:ascii="Cambria" w:hAnsi="Cambria"/>
          <w:sz w:val="20"/>
          <w:szCs w:val="20"/>
          <w:lang w:val="es-VE"/>
        </w:rPr>
        <w:t xml:space="preserve"> aunque no resultó típica penalmente, fue generadora de </w:t>
      </w:r>
      <w:r w:rsidR="00131E6D" w:rsidRPr="00540E96">
        <w:rPr>
          <w:rFonts w:ascii="Cambria" w:hAnsi="Cambria"/>
          <w:sz w:val="20"/>
          <w:szCs w:val="20"/>
          <w:lang w:val="es-VE"/>
        </w:rPr>
        <w:t>responsabilidad civil directamente ocasionada por la publicación de un hecho falso desacreditante e injurioso en un medio escrito.</w:t>
      </w:r>
      <w:r w:rsidRPr="00540E96">
        <w:rPr>
          <w:rFonts w:ascii="Cambria" w:hAnsi="Cambria"/>
          <w:sz w:val="20"/>
          <w:szCs w:val="20"/>
          <w:lang w:val="es-VE"/>
        </w:rPr>
        <w:t xml:space="preserve"> </w:t>
      </w:r>
      <w:r w:rsidR="00131E6D" w:rsidRPr="00540E96">
        <w:rPr>
          <w:rFonts w:ascii="Cambria" w:hAnsi="Cambria"/>
          <w:sz w:val="20"/>
          <w:szCs w:val="20"/>
          <w:lang w:val="es-VE"/>
        </w:rPr>
        <w:t>E</w:t>
      </w:r>
      <w:r w:rsidRPr="00540E96">
        <w:rPr>
          <w:rFonts w:ascii="Cambria" w:hAnsi="Cambria"/>
          <w:sz w:val="20"/>
          <w:szCs w:val="20"/>
          <w:lang w:val="es-VE"/>
        </w:rPr>
        <w:t xml:space="preserve">n consecuencia, </w:t>
      </w:r>
      <w:r w:rsidR="00977E16" w:rsidRPr="00540E96">
        <w:rPr>
          <w:rFonts w:ascii="Cambria" w:hAnsi="Cambria"/>
          <w:sz w:val="20"/>
          <w:szCs w:val="20"/>
          <w:lang w:val="es-VE"/>
        </w:rPr>
        <w:t>ordenó el pago de</w:t>
      </w:r>
      <w:r w:rsidRPr="00540E96">
        <w:rPr>
          <w:rFonts w:ascii="Cambria" w:hAnsi="Cambria"/>
          <w:sz w:val="20"/>
          <w:szCs w:val="20"/>
          <w:lang w:val="es-VE"/>
        </w:rPr>
        <w:t xml:space="preserve"> la suma de cinco millones de colon</w:t>
      </w:r>
      <w:r w:rsidR="00977E16" w:rsidRPr="00540E96">
        <w:rPr>
          <w:rFonts w:ascii="Cambria" w:hAnsi="Cambria"/>
          <w:sz w:val="20"/>
          <w:szCs w:val="20"/>
          <w:lang w:val="es-VE"/>
        </w:rPr>
        <w:t>e</w:t>
      </w:r>
      <w:r w:rsidRPr="00540E96">
        <w:rPr>
          <w:rFonts w:ascii="Cambria" w:hAnsi="Cambria"/>
          <w:sz w:val="20"/>
          <w:szCs w:val="20"/>
          <w:lang w:val="es-VE"/>
        </w:rPr>
        <w:t xml:space="preserve">s </w:t>
      </w:r>
      <w:r w:rsidR="00814213" w:rsidRPr="00540E96">
        <w:rPr>
          <w:rFonts w:ascii="Cambria" w:hAnsi="Cambria"/>
          <w:sz w:val="20"/>
          <w:szCs w:val="20"/>
          <w:lang w:val="es-VE"/>
        </w:rPr>
        <w:t>de forma solidaria entre Ronald Moya Chacón, Rogelio Ramos Martínez, Freddy Parrales Chaves, La Nación S.A. y el Estado de Costa Rica, así como el pago de un millón de colones por concepto de costas procesales</w:t>
      </w:r>
      <w:r w:rsidR="00814213">
        <w:rPr>
          <w:rFonts w:ascii="Cambria" w:hAnsi="Cambria"/>
          <w:sz w:val="20"/>
          <w:szCs w:val="20"/>
          <w:lang w:val="es-VE"/>
        </w:rPr>
        <w:t xml:space="preserve">. Dicho monto fue considerado </w:t>
      </w:r>
      <w:r w:rsidRPr="00540E96">
        <w:rPr>
          <w:rFonts w:ascii="Cambria" w:hAnsi="Cambria"/>
          <w:sz w:val="20"/>
          <w:szCs w:val="20"/>
          <w:lang w:val="es-VE"/>
        </w:rPr>
        <w:t>como proporcional al daño causado en el honor y reputación del querellante</w:t>
      </w:r>
      <w:r w:rsidR="00A21ED9" w:rsidRPr="00540E96">
        <w:rPr>
          <w:rStyle w:val="FootnoteReference"/>
          <w:rFonts w:ascii="Cambria" w:hAnsi="Cambria"/>
          <w:sz w:val="20"/>
          <w:szCs w:val="20"/>
          <w:lang w:val="es-VE"/>
        </w:rPr>
        <w:footnoteReference w:id="27"/>
      </w:r>
      <w:r w:rsidR="008D4B98" w:rsidRPr="00540E96">
        <w:rPr>
          <w:rFonts w:ascii="Cambria" w:hAnsi="Cambria"/>
          <w:sz w:val="20"/>
          <w:szCs w:val="20"/>
          <w:lang w:val="es-VE"/>
        </w:rPr>
        <w:t>. El diario La Nación efectuó el pago correspondiente</w:t>
      </w:r>
      <w:r w:rsidR="002B4D1C" w:rsidRPr="00540E96">
        <w:rPr>
          <w:rFonts w:ascii="Cambria" w:hAnsi="Cambria"/>
          <w:sz w:val="20"/>
          <w:szCs w:val="20"/>
          <w:lang w:val="es-VE"/>
        </w:rPr>
        <w:t xml:space="preserve"> el </w:t>
      </w:r>
      <w:r w:rsidR="003249DA" w:rsidRPr="00540E96">
        <w:rPr>
          <w:rFonts w:ascii="Cambria" w:hAnsi="Cambria"/>
          <w:sz w:val="20"/>
          <w:szCs w:val="20"/>
          <w:lang w:val="es-VE"/>
        </w:rPr>
        <w:t>29 de abril de 2008</w:t>
      </w:r>
      <w:r w:rsidR="003249DA" w:rsidRPr="00540E96">
        <w:rPr>
          <w:rStyle w:val="FootnoteReference"/>
          <w:rFonts w:ascii="Cambria" w:hAnsi="Cambria"/>
          <w:sz w:val="20"/>
          <w:szCs w:val="20"/>
          <w:lang w:val="es-VE"/>
        </w:rPr>
        <w:footnoteReference w:id="28"/>
      </w:r>
      <w:r w:rsidR="003249DA" w:rsidRPr="00540E96">
        <w:rPr>
          <w:rFonts w:ascii="Cambria" w:hAnsi="Cambria"/>
          <w:sz w:val="20"/>
          <w:szCs w:val="20"/>
          <w:lang w:val="es-VE"/>
        </w:rPr>
        <w:t>.</w:t>
      </w:r>
    </w:p>
    <w:p w14:paraId="0E881541" w14:textId="77777777" w:rsidR="000E4324" w:rsidRPr="00540E96" w:rsidRDefault="000E4324"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15A41A69" w14:textId="77777777" w:rsidR="00DD0F24" w:rsidRPr="00540E96" w:rsidRDefault="00D02E7C" w:rsidP="00DC4419">
      <w:pPr>
        <w:pStyle w:val="Heading3"/>
      </w:pPr>
      <w:bookmarkStart w:id="26" w:name="_Toc24542765"/>
      <w:r w:rsidRPr="00540E96">
        <w:t>Recurso de c</w:t>
      </w:r>
      <w:r w:rsidR="00EA073D" w:rsidRPr="00540E96">
        <w:t xml:space="preserve">asación </w:t>
      </w:r>
      <w:r w:rsidRPr="00540E96">
        <w:t xml:space="preserve">ante </w:t>
      </w:r>
      <w:r w:rsidR="0033275C" w:rsidRPr="00540E96">
        <w:t xml:space="preserve">la Sala </w:t>
      </w:r>
      <w:r w:rsidR="002F1846" w:rsidRPr="00540E96">
        <w:t xml:space="preserve">Tercera </w:t>
      </w:r>
      <w:r w:rsidR="0033275C" w:rsidRPr="00540E96">
        <w:t xml:space="preserve">de la Corte Suprema </w:t>
      </w:r>
      <w:r w:rsidR="00DC644E" w:rsidRPr="00540E96">
        <w:t>de Justicia</w:t>
      </w:r>
      <w:bookmarkEnd w:id="26"/>
    </w:p>
    <w:p w14:paraId="5395DFAC" w14:textId="77777777" w:rsidR="00984558" w:rsidRPr="00540E96" w:rsidRDefault="00984558" w:rsidP="006D014B">
      <w:pPr>
        <w:jc w:val="both"/>
        <w:rPr>
          <w:rFonts w:ascii="Cambria" w:hAnsi="Cambria"/>
          <w:sz w:val="20"/>
          <w:szCs w:val="20"/>
          <w:lang w:val="es-ES_tradnl"/>
        </w:rPr>
      </w:pPr>
    </w:p>
    <w:p w14:paraId="37B2A5CC" w14:textId="77777777" w:rsidR="00EF65A1" w:rsidRPr="00540E96" w:rsidRDefault="00254DE3"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ES_tradnl"/>
        </w:rPr>
        <w:t>Lo</w:t>
      </w:r>
      <w:r w:rsidR="000303EE" w:rsidRPr="00540E96">
        <w:rPr>
          <w:rFonts w:ascii="Cambria" w:hAnsi="Cambria"/>
          <w:sz w:val="20"/>
          <w:szCs w:val="20"/>
          <w:lang w:val="es-ES_tradnl"/>
        </w:rPr>
        <w:t>s periodistas y el diario “La Nación”</w:t>
      </w:r>
      <w:r w:rsidR="00443532" w:rsidRPr="00540E96">
        <w:rPr>
          <w:rFonts w:ascii="Cambria" w:hAnsi="Cambria"/>
          <w:sz w:val="20"/>
          <w:szCs w:val="20"/>
          <w:lang w:val="es-ES_tradnl"/>
        </w:rPr>
        <w:t>, así como el Ministro de Seguridad</w:t>
      </w:r>
      <w:r w:rsidR="000303EE" w:rsidRPr="00540E96">
        <w:rPr>
          <w:rFonts w:ascii="Cambria" w:hAnsi="Cambria"/>
          <w:sz w:val="20"/>
          <w:szCs w:val="20"/>
          <w:lang w:val="es-ES_tradnl"/>
        </w:rPr>
        <w:t xml:space="preserve"> presentaron un recurso de casación </w:t>
      </w:r>
      <w:r w:rsidR="00014889" w:rsidRPr="00540E96">
        <w:rPr>
          <w:rFonts w:ascii="Cambria" w:hAnsi="Cambria"/>
          <w:sz w:val="20"/>
          <w:szCs w:val="20"/>
          <w:lang w:val="es-ES_tradnl"/>
        </w:rPr>
        <w:t xml:space="preserve">contra la sentencia dictada por el Tribunal de Juicio. </w:t>
      </w:r>
      <w:r w:rsidR="00014889" w:rsidRPr="00540E96">
        <w:rPr>
          <w:rFonts w:ascii="Cambria" w:hAnsi="Cambria"/>
          <w:sz w:val="20"/>
          <w:szCs w:val="20"/>
          <w:lang w:val="es-VE"/>
        </w:rPr>
        <w:t xml:space="preserve">El </w:t>
      </w:r>
      <w:r w:rsidR="00240F3F" w:rsidRPr="00540E96">
        <w:rPr>
          <w:rFonts w:ascii="Cambria" w:hAnsi="Cambria"/>
          <w:sz w:val="20"/>
          <w:szCs w:val="20"/>
          <w:lang w:val="es-VE"/>
        </w:rPr>
        <w:t xml:space="preserve">20 de diciembre de 2007 </w:t>
      </w:r>
      <w:r w:rsidR="00933424" w:rsidRPr="00540E96">
        <w:rPr>
          <w:rFonts w:ascii="Cambria" w:hAnsi="Cambria"/>
          <w:sz w:val="20"/>
          <w:szCs w:val="20"/>
          <w:lang w:val="es-VE"/>
        </w:rPr>
        <w:t xml:space="preserve">Sala Tercera (Penal) de la Corte Suprema de Justicia (en adelante, “la Sala Tercera”) </w:t>
      </w:r>
      <w:r w:rsidR="00B050BB" w:rsidRPr="00540E96">
        <w:rPr>
          <w:rFonts w:ascii="Cambria" w:hAnsi="Cambria"/>
          <w:sz w:val="20"/>
          <w:szCs w:val="20"/>
          <w:lang w:val="es-VE"/>
        </w:rPr>
        <w:t xml:space="preserve">confirmó la sentencia </w:t>
      </w:r>
      <w:r w:rsidR="005B7660" w:rsidRPr="00540E96">
        <w:rPr>
          <w:rFonts w:ascii="Cambria" w:hAnsi="Cambria"/>
          <w:sz w:val="20"/>
          <w:szCs w:val="20"/>
          <w:lang w:val="es-VE"/>
        </w:rPr>
        <w:t>adoptada por el Tribunal de Juicio</w:t>
      </w:r>
      <w:r w:rsidR="001E7B6D" w:rsidRPr="00540E96">
        <w:rPr>
          <w:rFonts w:ascii="Cambria" w:hAnsi="Cambria"/>
          <w:sz w:val="20"/>
          <w:szCs w:val="20"/>
          <w:lang w:val="es-VE"/>
        </w:rPr>
        <w:t>. L</w:t>
      </w:r>
      <w:r w:rsidR="00C5019B" w:rsidRPr="00540E96">
        <w:rPr>
          <w:rFonts w:ascii="Cambria" w:hAnsi="Cambria"/>
          <w:sz w:val="20"/>
          <w:szCs w:val="20"/>
          <w:lang w:val="es-VE"/>
        </w:rPr>
        <w:t>a S</w:t>
      </w:r>
      <w:r w:rsidR="001E7B6D" w:rsidRPr="00540E96">
        <w:rPr>
          <w:rFonts w:ascii="Cambria" w:hAnsi="Cambria"/>
          <w:sz w:val="20"/>
          <w:szCs w:val="20"/>
          <w:lang w:val="es-VE"/>
        </w:rPr>
        <w:t>ala Tercera</w:t>
      </w:r>
      <w:r w:rsidR="005B7660" w:rsidRPr="00540E96">
        <w:rPr>
          <w:rFonts w:ascii="Cambria" w:hAnsi="Cambria"/>
          <w:sz w:val="20"/>
          <w:szCs w:val="20"/>
          <w:lang w:val="es-VE"/>
        </w:rPr>
        <w:t xml:space="preserve"> </w:t>
      </w:r>
      <w:r w:rsidR="00240F3F" w:rsidRPr="00540E96">
        <w:rPr>
          <w:rFonts w:ascii="Cambria" w:hAnsi="Cambria"/>
          <w:sz w:val="20"/>
          <w:szCs w:val="20"/>
          <w:lang w:val="es-VE"/>
        </w:rPr>
        <w:t xml:space="preserve">consideró, entre varios aspectos analizados, que </w:t>
      </w:r>
      <w:r w:rsidR="005A6C96" w:rsidRPr="00540E96">
        <w:rPr>
          <w:rFonts w:ascii="Cambria" w:hAnsi="Cambria"/>
          <w:sz w:val="20"/>
          <w:szCs w:val="20"/>
          <w:lang w:val="es-VE"/>
        </w:rPr>
        <w:t xml:space="preserve">el fallo </w:t>
      </w:r>
      <w:r w:rsidR="00392344" w:rsidRPr="00540E96">
        <w:rPr>
          <w:rFonts w:ascii="Cambria" w:hAnsi="Cambria"/>
          <w:sz w:val="20"/>
          <w:szCs w:val="20"/>
          <w:lang w:val="es-VE"/>
        </w:rPr>
        <w:t>del Tribunal de Juicio explicó claramente las razones por las cuales</w:t>
      </w:r>
      <w:r w:rsidR="0047721A" w:rsidRPr="00540E96">
        <w:rPr>
          <w:rFonts w:ascii="Cambria" w:hAnsi="Cambria"/>
          <w:sz w:val="20"/>
          <w:szCs w:val="20"/>
          <w:lang w:val="es-VE"/>
        </w:rPr>
        <w:t>,</w:t>
      </w:r>
      <w:r w:rsidR="00392344" w:rsidRPr="00540E96">
        <w:rPr>
          <w:rFonts w:ascii="Cambria" w:hAnsi="Cambria"/>
          <w:sz w:val="20"/>
          <w:szCs w:val="20"/>
          <w:lang w:val="es-VE"/>
        </w:rPr>
        <w:t xml:space="preserve"> a pesar de la absolución </w:t>
      </w:r>
      <w:r w:rsidR="0076382A" w:rsidRPr="00540E96">
        <w:rPr>
          <w:rFonts w:ascii="Cambria" w:hAnsi="Cambria"/>
          <w:sz w:val="20"/>
          <w:szCs w:val="20"/>
          <w:lang w:val="es-VE"/>
        </w:rPr>
        <w:t xml:space="preserve">penal </w:t>
      </w:r>
      <w:r w:rsidR="00392344" w:rsidRPr="00540E96">
        <w:rPr>
          <w:rFonts w:ascii="Cambria" w:hAnsi="Cambria"/>
          <w:sz w:val="20"/>
          <w:szCs w:val="20"/>
          <w:lang w:val="es-VE"/>
        </w:rPr>
        <w:t xml:space="preserve">de los imputados, procedía la reparación civil, con base en </w:t>
      </w:r>
      <w:r w:rsidR="00F47D63" w:rsidRPr="00540E96">
        <w:rPr>
          <w:rFonts w:ascii="Cambria" w:hAnsi="Cambria"/>
          <w:sz w:val="20"/>
          <w:szCs w:val="20"/>
          <w:lang w:val="es-VE"/>
        </w:rPr>
        <w:t xml:space="preserve">el cumplimiento de </w:t>
      </w:r>
      <w:r w:rsidR="00392344" w:rsidRPr="00540E96">
        <w:rPr>
          <w:rFonts w:ascii="Cambria" w:hAnsi="Cambria"/>
          <w:sz w:val="20"/>
          <w:szCs w:val="20"/>
          <w:lang w:val="es-VE"/>
        </w:rPr>
        <w:t xml:space="preserve">los requisitos descritos </w:t>
      </w:r>
      <w:r w:rsidR="0029646A" w:rsidRPr="00540E96">
        <w:rPr>
          <w:rFonts w:ascii="Cambria" w:hAnsi="Cambria"/>
          <w:sz w:val="20"/>
          <w:szCs w:val="20"/>
          <w:lang w:val="es-VE"/>
        </w:rPr>
        <w:t>por dicho Tribunal de Juicio, a saber: a)</w:t>
      </w:r>
      <w:r w:rsidR="00286E6F" w:rsidRPr="00540E96">
        <w:rPr>
          <w:rFonts w:ascii="Cambria" w:hAnsi="Cambria"/>
          <w:sz w:val="20"/>
          <w:szCs w:val="20"/>
          <w:lang w:val="es-VE"/>
        </w:rPr>
        <w:t xml:space="preserve"> </w:t>
      </w:r>
      <w:r w:rsidR="0029646A" w:rsidRPr="00540E96">
        <w:rPr>
          <w:rFonts w:ascii="Cambria" w:hAnsi="Cambria"/>
          <w:sz w:val="20"/>
          <w:szCs w:val="20"/>
          <w:lang w:val="es-VE"/>
        </w:rPr>
        <w:t xml:space="preserve">existencia de un </w:t>
      </w:r>
      <w:r w:rsidR="00286E6F" w:rsidRPr="00540E96">
        <w:rPr>
          <w:rFonts w:ascii="Cambria" w:hAnsi="Cambria"/>
          <w:sz w:val="20"/>
          <w:szCs w:val="20"/>
          <w:lang w:val="es-VE"/>
        </w:rPr>
        <w:t>hecho</w:t>
      </w:r>
      <w:r w:rsidR="0029646A" w:rsidRPr="00540E96">
        <w:rPr>
          <w:rFonts w:ascii="Cambria" w:hAnsi="Cambria"/>
          <w:sz w:val="20"/>
          <w:szCs w:val="20"/>
          <w:lang w:val="es-VE"/>
        </w:rPr>
        <w:t xml:space="preserve"> </w:t>
      </w:r>
      <w:r w:rsidR="00286E6F" w:rsidRPr="00540E96">
        <w:rPr>
          <w:rFonts w:ascii="Cambria" w:hAnsi="Cambria"/>
          <w:sz w:val="20"/>
          <w:szCs w:val="20"/>
          <w:lang w:val="es-VE"/>
        </w:rPr>
        <w:t xml:space="preserve">como fuente de la responsabilidad civil; b) existencia de un daño real </w:t>
      </w:r>
      <w:r w:rsidR="00FD22E5" w:rsidRPr="00540E96">
        <w:rPr>
          <w:rFonts w:ascii="Cambria" w:hAnsi="Cambria"/>
          <w:sz w:val="20"/>
          <w:szCs w:val="20"/>
          <w:lang w:val="es-VE"/>
        </w:rPr>
        <w:t>y efectivo que implique la lesión de un bien que sea objeto de un interés jurídicamente tutelado, como consecuencia nociva para el patrimonio</w:t>
      </w:r>
      <w:r w:rsidR="00CD39BA" w:rsidRPr="00540E96">
        <w:rPr>
          <w:rFonts w:ascii="Cambria" w:hAnsi="Cambria"/>
          <w:sz w:val="20"/>
          <w:szCs w:val="20"/>
          <w:lang w:val="es-VE"/>
        </w:rPr>
        <w:t xml:space="preserve"> económico o </w:t>
      </w:r>
      <w:r w:rsidR="00CD7A2C">
        <w:rPr>
          <w:rFonts w:ascii="Cambria" w:hAnsi="Cambria"/>
          <w:sz w:val="20"/>
          <w:szCs w:val="20"/>
          <w:lang w:val="es-VE"/>
        </w:rPr>
        <w:t xml:space="preserve">la </w:t>
      </w:r>
      <w:r w:rsidR="00CD39BA" w:rsidRPr="00540E96">
        <w:rPr>
          <w:rFonts w:ascii="Cambria" w:hAnsi="Cambria"/>
          <w:sz w:val="20"/>
          <w:szCs w:val="20"/>
          <w:lang w:val="es-VE"/>
        </w:rPr>
        <w:t xml:space="preserve">moral de una persona, y c) </w:t>
      </w:r>
      <w:r w:rsidR="0076382A" w:rsidRPr="00540E96">
        <w:rPr>
          <w:rFonts w:ascii="Cambria" w:hAnsi="Cambria"/>
          <w:sz w:val="20"/>
          <w:szCs w:val="20"/>
          <w:lang w:val="es-VE"/>
        </w:rPr>
        <w:t>existencia de un nexo causal entre el hecho y el daño causado</w:t>
      </w:r>
      <w:r w:rsidR="0095557E" w:rsidRPr="00540E96">
        <w:rPr>
          <w:rStyle w:val="FootnoteReference"/>
          <w:rFonts w:ascii="Cambria" w:hAnsi="Cambria"/>
          <w:sz w:val="20"/>
          <w:szCs w:val="20"/>
          <w:lang w:val="es-VE"/>
        </w:rPr>
        <w:footnoteReference w:id="29"/>
      </w:r>
      <w:r w:rsidR="00F5301F" w:rsidRPr="00540E96">
        <w:rPr>
          <w:rFonts w:ascii="Cambria" w:hAnsi="Cambria"/>
          <w:sz w:val="20"/>
          <w:szCs w:val="20"/>
          <w:lang w:val="es-VE"/>
        </w:rPr>
        <w:t xml:space="preserve">. </w:t>
      </w:r>
    </w:p>
    <w:p w14:paraId="5B8F548E" w14:textId="77777777" w:rsidR="00EF65A1" w:rsidRPr="00540E96" w:rsidRDefault="00EF65A1" w:rsidP="00EF65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24ABB670" w14:textId="77777777" w:rsidR="00F5301F" w:rsidRPr="00540E96" w:rsidRDefault="00F5301F"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A este respecto, la Sala Tercera</w:t>
      </w:r>
      <w:r w:rsidR="003376D6" w:rsidRPr="00540E96">
        <w:rPr>
          <w:rFonts w:ascii="Cambria" w:hAnsi="Cambria"/>
          <w:sz w:val="20"/>
          <w:szCs w:val="20"/>
          <w:lang w:val="es-VE"/>
        </w:rPr>
        <w:t xml:space="preserve"> coincidió con que la re</w:t>
      </w:r>
      <w:r w:rsidR="00EF65A1" w:rsidRPr="00540E96">
        <w:rPr>
          <w:rFonts w:ascii="Cambria" w:hAnsi="Cambria"/>
          <w:sz w:val="20"/>
          <w:szCs w:val="20"/>
          <w:lang w:val="es-VE"/>
        </w:rPr>
        <w:t>sponsabilidad civil derivó d</w:t>
      </w:r>
      <w:r w:rsidR="003376D6" w:rsidRPr="00540E96">
        <w:rPr>
          <w:rFonts w:ascii="Cambria" w:hAnsi="Cambria"/>
          <w:sz w:val="20"/>
          <w:szCs w:val="20"/>
          <w:lang w:val="es-VE"/>
        </w:rPr>
        <w:t xml:space="preserve">el daño causado directamente por la publicación de un hecho falso descreditante e injurioso en un medio escrito, </w:t>
      </w:r>
      <w:r w:rsidR="007C2AF2" w:rsidRPr="00540E96">
        <w:rPr>
          <w:rFonts w:ascii="Cambria" w:hAnsi="Cambria"/>
          <w:sz w:val="20"/>
          <w:szCs w:val="20"/>
          <w:lang w:val="es-VE"/>
        </w:rPr>
        <w:t xml:space="preserve">y </w:t>
      </w:r>
      <w:r w:rsidRPr="00540E96">
        <w:rPr>
          <w:rFonts w:ascii="Cambria" w:hAnsi="Cambria"/>
          <w:sz w:val="20"/>
          <w:szCs w:val="20"/>
          <w:lang w:val="es-VE"/>
        </w:rPr>
        <w:t>destacó</w:t>
      </w:r>
      <w:r w:rsidR="00EE6431" w:rsidRPr="00540E96">
        <w:rPr>
          <w:rFonts w:ascii="Cambria" w:hAnsi="Cambria"/>
          <w:sz w:val="20"/>
          <w:szCs w:val="20"/>
          <w:lang w:val="es-VE"/>
        </w:rPr>
        <w:t xml:space="preserve">, citando </w:t>
      </w:r>
      <w:r w:rsidR="00A21B41" w:rsidRPr="00540E96">
        <w:rPr>
          <w:rFonts w:ascii="Cambria" w:hAnsi="Cambria"/>
          <w:sz w:val="20"/>
          <w:szCs w:val="20"/>
          <w:lang w:val="es-VE"/>
        </w:rPr>
        <w:t xml:space="preserve">su propia </w:t>
      </w:r>
      <w:r w:rsidR="00EE6431" w:rsidRPr="00540E96">
        <w:rPr>
          <w:rFonts w:ascii="Cambria" w:hAnsi="Cambria"/>
          <w:sz w:val="20"/>
          <w:szCs w:val="20"/>
          <w:lang w:val="es-VE"/>
        </w:rPr>
        <w:t>jurisprudencia</w:t>
      </w:r>
      <w:r w:rsidR="00A21B41" w:rsidRPr="00540E96">
        <w:rPr>
          <w:rFonts w:ascii="Cambria" w:hAnsi="Cambria"/>
          <w:sz w:val="20"/>
          <w:szCs w:val="20"/>
          <w:lang w:val="es-VE"/>
        </w:rPr>
        <w:t>,</w:t>
      </w:r>
      <w:r w:rsidRPr="00540E96">
        <w:rPr>
          <w:rFonts w:ascii="Cambria" w:hAnsi="Cambria"/>
          <w:sz w:val="20"/>
          <w:szCs w:val="20"/>
          <w:lang w:val="es-VE"/>
        </w:rPr>
        <w:t xml:space="preserve"> que </w:t>
      </w:r>
      <w:r w:rsidR="00EE6431" w:rsidRPr="00540E96">
        <w:rPr>
          <w:rFonts w:ascii="Cambria" w:hAnsi="Cambria"/>
          <w:sz w:val="20"/>
          <w:szCs w:val="20"/>
          <w:lang w:val="es-VE"/>
        </w:rPr>
        <w:t>“el decreto de responsabilidad civil en un proceso penal y a cargo de cualquiera de las partes demandada</w:t>
      </w:r>
      <w:r w:rsidR="00A21B41" w:rsidRPr="00540E96">
        <w:rPr>
          <w:rFonts w:ascii="Cambria" w:hAnsi="Cambria"/>
          <w:sz w:val="20"/>
          <w:szCs w:val="20"/>
          <w:lang w:val="es-VE"/>
        </w:rPr>
        <w:t xml:space="preserve">s, no depende de que recaiga una condena </w:t>
      </w:r>
      <w:r w:rsidR="00016D2A" w:rsidRPr="00540E96">
        <w:rPr>
          <w:rFonts w:ascii="Cambria" w:hAnsi="Cambria"/>
          <w:sz w:val="20"/>
          <w:szCs w:val="20"/>
          <w:lang w:val="es-VE"/>
        </w:rPr>
        <w:t xml:space="preserve">que declare la existencia de delito o la determinación </w:t>
      </w:r>
      <w:r w:rsidR="00F96620" w:rsidRPr="00540E96">
        <w:rPr>
          <w:rFonts w:ascii="Cambria" w:hAnsi="Cambria"/>
          <w:sz w:val="20"/>
          <w:szCs w:val="20"/>
          <w:lang w:val="es-VE"/>
        </w:rPr>
        <w:t xml:space="preserve">de sus autores. Si los jueces logran establecer </w:t>
      </w:r>
      <w:r w:rsidR="00F55879" w:rsidRPr="00540E96">
        <w:rPr>
          <w:rFonts w:ascii="Cambria" w:hAnsi="Cambria"/>
          <w:sz w:val="20"/>
          <w:szCs w:val="20"/>
          <w:lang w:val="es-VE"/>
        </w:rPr>
        <w:t xml:space="preserve">que </w:t>
      </w:r>
      <w:r w:rsidR="00F96620" w:rsidRPr="00540E96">
        <w:rPr>
          <w:rFonts w:ascii="Cambria" w:hAnsi="Cambria"/>
          <w:sz w:val="20"/>
          <w:szCs w:val="20"/>
          <w:lang w:val="es-VE"/>
        </w:rPr>
        <w:t>el daño surgido a raíz del hecho que se investiga (</w:t>
      </w:r>
      <w:r w:rsidR="00F55879" w:rsidRPr="00540E96">
        <w:rPr>
          <w:rFonts w:ascii="Cambria" w:hAnsi="Cambria"/>
          <w:sz w:val="20"/>
          <w:szCs w:val="20"/>
          <w:lang w:val="es-VE"/>
        </w:rPr>
        <w:t xml:space="preserve">sea delito o no) en realidad se produjo </w:t>
      </w:r>
      <w:r w:rsidR="00634468" w:rsidRPr="00540E96">
        <w:rPr>
          <w:rFonts w:ascii="Cambria" w:hAnsi="Cambria"/>
          <w:sz w:val="20"/>
          <w:szCs w:val="20"/>
          <w:lang w:val="es-VE"/>
        </w:rPr>
        <w:t xml:space="preserve">y que el ordenamiento jurídico contempla normas que permiten atribuir la responsabilidad por el daño </w:t>
      </w:r>
      <w:r w:rsidR="006A394A" w:rsidRPr="00540E96">
        <w:rPr>
          <w:rFonts w:ascii="Cambria" w:hAnsi="Cambria"/>
          <w:sz w:val="20"/>
          <w:szCs w:val="20"/>
          <w:lang w:val="es-VE"/>
        </w:rPr>
        <w:t>a una persona […], están obligados a declararla y a imponer sus consecuencias”.</w:t>
      </w:r>
      <w:r w:rsidR="00DC644E" w:rsidRPr="00540E96">
        <w:rPr>
          <w:rFonts w:ascii="Cambria" w:hAnsi="Cambria"/>
          <w:sz w:val="20"/>
          <w:szCs w:val="20"/>
          <w:lang w:val="es-VE"/>
        </w:rPr>
        <w:t xml:space="preserve"> </w:t>
      </w:r>
      <w:r w:rsidR="00085D0C" w:rsidRPr="00540E96">
        <w:rPr>
          <w:rFonts w:ascii="Cambria" w:hAnsi="Cambria"/>
          <w:sz w:val="20"/>
          <w:szCs w:val="20"/>
          <w:lang w:val="es-VE"/>
        </w:rPr>
        <w:t xml:space="preserve">Esto último es jurídicamente factible según los artículos </w:t>
      </w:r>
      <w:r w:rsidR="0099620B" w:rsidRPr="00540E96">
        <w:rPr>
          <w:rFonts w:ascii="Cambria" w:hAnsi="Cambria"/>
          <w:sz w:val="20"/>
          <w:szCs w:val="20"/>
          <w:lang w:val="es-VE"/>
        </w:rPr>
        <w:t>1045 y 1048 del Código Civil que contemplan los supuestos de responsabilidad civil extracontractual</w:t>
      </w:r>
      <w:r w:rsidR="00D03458" w:rsidRPr="00540E96">
        <w:rPr>
          <w:rStyle w:val="FootnoteReference"/>
          <w:rFonts w:ascii="Cambria" w:hAnsi="Cambria"/>
          <w:sz w:val="20"/>
          <w:szCs w:val="20"/>
          <w:lang w:val="es-VE"/>
        </w:rPr>
        <w:footnoteReference w:id="30"/>
      </w:r>
      <w:r w:rsidR="0099620B" w:rsidRPr="00540E96">
        <w:rPr>
          <w:rFonts w:ascii="Cambria" w:hAnsi="Cambria"/>
          <w:sz w:val="20"/>
          <w:szCs w:val="20"/>
          <w:lang w:val="es-VE"/>
        </w:rPr>
        <w:t>.</w:t>
      </w:r>
    </w:p>
    <w:p w14:paraId="6A829AE9" w14:textId="77777777" w:rsidR="006A394A" w:rsidRPr="00540E96" w:rsidRDefault="006A394A" w:rsidP="00D034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2F7DCDA3" w14:textId="77777777" w:rsidR="00240F3F" w:rsidRPr="00540E96" w:rsidRDefault="00F910BA"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 xml:space="preserve">Asimismo, la Sala Tercera </w:t>
      </w:r>
      <w:r w:rsidR="00CA6706" w:rsidRPr="00540E96">
        <w:rPr>
          <w:rFonts w:ascii="Cambria" w:hAnsi="Cambria"/>
          <w:sz w:val="20"/>
          <w:szCs w:val="20"/>
          <w:lang w:val="es-VE"/>
        </w:rPr>
        <w:t xml:space="preserve">estableció que </w:t>
      </w:r>
      <w:r w:rsidR="00240F3F" w:rsidRPr="00540E96">
        <w:rPr>
          <w:rFonts w:ascii="Cambria" w:hAnsi="Cambria"/>
          <w:sz w:val="20"/>
          <w:szCs w:val="20"/>
          <w:lang w:val="es-VE"/>
        </w:rPr>
        <w:t>“se tuvo por demostrado que había responsabilidad por culpa, puesto que existía claramente una relación de causalidad entre la conducta y el daño, al haberse informado equívocamente sobre situaciones que era</w:t>
      </w:r>
      <w:r w:rsidR="00CA6706" w:rsidRPr="00540E96">
        <w:rPr>
          <w:rFonts w:ascii="Cambria" w:hAnsi="Cambria"/>
          <w:sz w:val="20"/>
          <w:szCs w:val="20"/>
          <w:lang w:val="es-VE"/>
        </w:rPr>
        <w:t>n</w:t>
      </w:r>
      <w:r w:rsidR="00240F3F" w:rsidRPr="00540E96">
        <w:rPr>
          <w:rFonts w:ascii="Cambria" w:hAnsi="Cambria"/>
          <w:sz w:val="20"/>
          <w:szCs w:val="20"/>
          <w:lang w:val="es-VE"/>
        </w:rPr>
        <w:t xml:space="preserve"> fácilmente corroborables, como lo es el estado de una causa y el </w:t>
      </w:r>
      <w:r w:rsidR="00240F3F" w:rsidRPr="00540E96">
        <w:rPr>
          <w:rFonts w:ascii="Cambria" w:hAnsi="Cambria"/>
          <w:sz w:val="20"/>
          <w:szCs w:val="20"/>
          <w:lang w:val="es-VE"/>
        </w:rPr>
        <w:lastRenderedPageBreak/>
        <w:t>hecho que se investiga. Asimismo, la responsabilidad objetiva también se demostró, ya que un medio informativo debe procurar corroborar la veracidad de la información que brinda, pues precisamente por la naturaleza de la actividad, está sujeto a las responsabilidades en que pueda incurrir en el caso de un actuar imprudente o negligente”</w:t>
      </w:r>
      <w:r w:rsidR="00240F3F" w:rsidRPr="00540E96">
        <w:rPr>
          <w:rStyle w:val="FootnoteReference"/>
          <w:rFonts w:ascii="Cambria" w:hAnsi="Cambria"/>
          <w:sz w:val="20"/>
          <w:szCs w:val="20"/>
          <w:lang w:val="es-VE"/>
        </w:rPr>
        <w:footnoteReference w:id="31"/>
      </w:r>
      <w:r w:rsidR="008020D2" w:rsidRPr="00540E96">
        <w:rPr>
          <w:rFonts w:ascii="Cambria" w:hAnsi="Cambria"/>
          <w:sz w:val="20"/>
          <w:szCs w:val="20"/>
          <w:lang w:val="es-VE"/>
        </w:rPr>
        <w:t>.</w:t>
      </w:r>
    </w:p>
    <w:p w14:paraId="0846BCC3" w14:textId="77777777" w:rsidR="00EF65A1" w:rsidRPr="00540E96" w:rsidRDefault="00EF65A1" w:rsidP="00EF65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1CC43073" w14:textId="77777777" w:rsidR="001416C7" w:rsidRPr="00540E96" w:rsidRDefault="00EF65A1" w:rsidP="00F96A5C">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La sentencia de casaci</w:t>
      </w:r>
      <w:r w:rsidRPr="00540E96">
        <w:rPr>
          <w:rFonts w:ascii="Cambria" w:hAnsi="Cambria"/>
          <w:sz w:val="20"/>
          <w:szCs w:val="20"/>
          <w:lang w:val="es-PE"/>
        </w:rPr>
        <w:t>ón</w:t>
      </w:r>
      <w:r w:rsidR="001416C7" w:rsidRPr="00540E96">
        <w:rPr>
          <w:rFonts w:ascii="Cambria" w:hAnsi="Cambria"/>
          <w:sz w:val="20"/>
          <w:szCs w:val="20"/>
          <w:lang w:val="es-VE"/>
        </w:rPr>
        <w:t xml:space="preserve"> </w:t>
      </w:r>
      <w:r w:rsidRPr="00540E96">
        <w:rPr>
          <w:rFonts w:ascii="Cambria" w:hAnsi="Cambria"/>
          <w:sz w:val="20"/>
          <w:szCs w:val="20"/>
          <w:lang w:val="es-VE"/>
        </w:rPr>
        <w:t xml:space="preserve">destacó </w:t>
      </w:r>
      <w:r w:rsidR="00240F3F" w:rsidRPr="00540E96">
        <w:rPr>
          <w:rFonts w:ascii="Cambria" w:hAnsi="Cambria"/>
          <w:sz w:val="20"/>
          <w:szCs w:val="20"/>
          <w:lang w:val="es-VE"/>
        </w:rPr>
        <w:t>que “</w:t>
      </w:r>
      <w:r w:rsidR="00F96A5C" w:rsidRPr="00540E96">
        <w:rPr>
          <w:rFonts w:ascii="Cambria" w:hAnsi="Cambria"/>
          <w:sz w:val="20"/>
          <w:szCs w:val="20"/>
          <w:lang w:val="es-VE"/>
        </w:rPr>
        <w:t>[e]</w:t>
      </w:r>
      <w:r w:rsidR="00240F3F" w:rsidRPr="00540E96">
        <w:rPr>
          <w:rFonts w:ascii="Cambria" w:hAnsi="Cambria"/>
          <w:sz w:val="20"/>
          <w:szCs w:val="20"/>
          <w:lang w:val="es-VE"/>
        </w:rPr>
        <w:t>l derecho a la información es incuestionable, sin embargo, también lo es la circunstancia de que no es un derecho irrestricto, pues encuentra sus límites en la veracidad de la información y en el hecho de que no resulte ofensiva o injuriosa. El derecho a la información existe en el tanto y en el cuanto la información que se brinde sea cierta, de lo contrario la actividad como tal, está sujeta a las responsabilidades penales y pecuniarias que pudieran surgir a partir del daño causado”</w:t>
      </w:r>
      <w:r w:rsidR="00240F3F" w:rsidRPr="00540E96">
        <w:rPr>
          <w:rStyle w:val="FootnoteReference"/>
          <w:rFonts w:ascii="Cambria" w:hAnsi="Cambria"/>
          <w:sz w:val="20"/>
          <w:szCs w:val="20"/>
          <w:lang w:val="es-VE"/>
        </w:rPr>
        <w:footnoteReference w:id="32"/>
      </w:r>
      <w:r w:rsidR="00240F3F" w:rsidRPr="00540E96">
        <w:rPr>
          <w:rFonts w:ascii="Cambria" w:hAnsi="Cambria"/>
          <w:sz w:val="20"/>
          <w:szCs w:val="20"/>
          <w:lang w:val="es-VE"/>
        </w:rPr>
        <w:t xml:space="preserve">. Igualmente, la sentencia </w:t>
      </w:r>
      <w:r w:rsidR="00F96A5C" w:rsidRPr="00540E96">
        <w:rPr>
          <w:rFonts w:ascii="Cambria" w:hAnsi="Cambria"/>
          <w:sz w:val="20"/>
          <w:szCs w:val="20"/>
          <w:lang w:val="es-VE"/>
        </w:rPr>
        <w:t>citó una decisión de la propia Sala Tercera del año 2005, en la cual se estableció la diferencia</w:t>
      </w:r>
      <w:r w:rsidR="00240F3F" w:rsidRPr="00540E96">
        <w:rPr>
          <w:rFonts w:ascii="Cambria" w:hAnsi="Cambria"/>
          <w:sz w:val="20"/>
          <w:szCs w:val="20"/>
          <w:lang w:val="es-VE"/>
        </w:rPr>
        <w:t xml:space="preserve"> entre “veracidad de la información o de </w:t>
      </w:r>
      <w:r w:rsidR="00F96A5C" w:rsidRPr="00540E96">
        <w:rPr>
          <w:rFonts w:ascii="Cambria" w:hAnsi="Cambria"/>
          <w:sz w:val="20"/>
          <w:szCs w:val="20"/>
          <w:lang w:val="es-VE"/>
        </w:rPr>
        <w:t xml:space="preserve">la fuente”, propia del periodismo informativo, y la “verdad objetiva de los hechos”, </w:t>
      </w:r>
      <w:r w:rsidR="00240F3F" w:rsidRPr="00540E96">
        <w:rPr>
          <w:rFonts w:ascii="Cambria" w:hAnsi="Cambria"/>
          <w:sz w:val="20"/>
          <w:szCs w:val="20"/>
          <w:lang w:val="es-VE"/>
        </w:rPr>
        <w:t>propi</w:t>
      </w:r>
      <w:r w:rsidR="00F96A5C" w:rsidRPr="00540E96">
        <w:rPr>
          <w:rFonts w:ascii="Cambria" w:hAnsi="Cambria"/>
          <w:sz w:val="20"/>
          <w:szCs w:val="20"/>
          <w:lang w:val="es-VE"/>
        </w:rPr>
        <w:t>a del periodismo investigativo</w:t>
      </w:r>
      <w:r w:rsidR="00F96A5C" w:rsidRPr="00540E96">
        <w:rPr>
          <w:rStyle w:val="FootnoteReference"/>
          <w:rFonts w:ascii="Cambria" w:hAnsi="Cambria"/>
          <w:sz w:val="20"/>
          <w:szCs w:val="20"/>
          <w:lang w:val="es-VE"/>
        </w:rPr>
        <w:footnoteReference w:id="33"/>
      </w:r>
      <w:r w:rsidR="00F96A5C" w:rsidRPr="00540E96">
        <w:rPr>
          <w:rFonts w:ascii="Cambria" w:hAnsi="Cambria"/>
          <w:sz w:val="20"/>
          <w:szCs w:val="20"/>
          <w:lang w:val="es-VE"/>
        </w:rPr>
        <w:t>. La sentencia consideró que en el presente caso la nota de prensa correspondía</w:t>
      </w:r>
      <w:r w:rsidR="00240F3F" w:rsidRPr="00540E96">
        <w:rPr>
          <w:rFonts w:ascii="Cambria" w:hAnsi="Cambria"/>
          <w:sz w:val="20"/>
          <w:szCs w:val="20"/>
          <w:lang w:val="es-VE"/>
        </w:rPr>
        <w:t xml:space="preserve"> al ejercicio de</w:t>
      </w:r>
      <w:r w:rsidR="005B1DF2">
        <w:rPr>
          <w:rFonts w:ascii="Cambria" w:hAnsi="Cambria"/>
          <w:sz w:val="20"/>
          <w:szCs w:val="20"/>
          <w:lang w:val="es-VE"/>
        </w:rPr>
        <w:t>l</w:t>
      </w:r>
      <w:r w:rsidR="00240F3F" w:rsidRPr="00540E96">
        <w:rPr>
          <w:rFonts w:ascii="Cambria" w:hAnsi="Cambria"/>
          <w:sz w:val="20"/>
          <w:szCs w:val="20"/>
          <w:lang w:val="es-VE"/>
        </w:rPr>
        <w:t xml:space="preserve"> periodismo</w:t>
      </w:r>
      <w:r w:rsidR="00F96A5C" w:rsidRPr="00540E96">
        <w:rPr>
          <w:rFonts w:ascii="Cambria" w:hAnsi="Cambria"/>
          <w:sz w:val="20"/>
          <w:szCs w:val="20"/>
          <w:lang w:val="es-VE"/>
        </w:rPr>
        <w:t xml:space="preserve"> informativo y señaló que conforme a la jurisprudencia de 2005:</w:t>
      </w:r>
    </w:p>
    <w:p w14:paraId="2D837AAE" w14:textId="77777777" w:rsidR="0095557E" w:rsidRPr="00540E96" w:rsidRDefault="0095557E" w:rsidP="0095557E">
      <w:pPr>
        <w:pBdr>
          <w:top w:val="none" w:sz="0" w:space="0" w:color="auto"/>
          <w:left w:val="none" w:sz="0" w:space="0" w:color="auto"/>
          <w:bottom w:val="none" w:sz="0" w:space="0" w:color="auto"/>
          <w:right w:val="none" w:sz="0" w:space="0" w:color="auto"/>
          <w:between w:val="none" w:sz="0" w:space="0" w:color="auto"/>
          <w:bar w:val="none" w:sz="0" w:color="auto"/>
        </w:pBdr>
        <w:ind w:left="709" w:right="571"/>
        <w:jc w:val="both"/>
        <w:rPr>
          <w:rFonts w:ascii="Cambria" w:hAnsi="Cambria"/>
          <w:sz w:val="20"/>
          <w:szCs w:val="20"/>
          <w:lang w:val="es-VE"/>
        </w:rPr>
      </w:pPr>
    </w:p>
    <w:p w14:paraId="280622F4" w14:textId="77777777" w:rsidR="0095557E" w:rsidRPr="00CD5726" w:rsidRDefault="0095557E" w:rsidP="00155302">
      <w:pPr>
        <w:autoSpaceDE w:val="0"/>
        <w:autoSpaceDN w:val="0"/>
        <w:adjustRightInd w:val="0"/>
        <w:ind w:left="567" w:right="571"/>
        <w:jc w:val="both"/>
        <w:rPr>
          <w:rFonts w:ascii="Cambria" w:hAnsi="Cambria" w:cs="Times"/>
          <w:iCs/>
          <w:sz w:val="18"/>
          <w:szCs w:val="18"/>
          <w:lang w:val="es-PE"/>
        </w:rPr>
      </w:pPr>
      <w:r w:rsidRPr="00CD5726">
        <w:rPr>
          <w:rFonts w:ascii="Cambria" w:hAnsi="Cambria" w:cs="Times"/>
          <w:iCs/>
          <w:sz w:val="18"/>
          <w:szCs w:val="18"/>
          <w:lang w:val="es-PE"/>
        </w:rPr>
        <w:t xml:space="preserve">“la verdad objetiva de los hechos no mantiene igual significado que una </w:t>
      </w:r>
      <w:r w:rsidRPr="00CD5726">
        <w:rPr>
          <w:rFonts w:ascii="Cambria" w:eastAsia="HiddenHorzOCR" w:hAnsi="Cambria" w:cs="HiddenHorzOCR"/>
          <w:sz w:val="18"/>
          <w:szCs w:val="18"/>
          <w:lang w:val="es-PE"/>
        </w:rPr>
        <w:t xml:space="preserve">información </w:t>
      </w:r>
      <w:r w:rsidRPr="00CD5726">
        <w:rPr>
          <w:rFonts w:ascii="Cambria" w:hAnsi="Cambria" w:cs="Times"/>
          <w:iCs/>
          <w:sz w:val="18"/>
          <w:szCs w:val="18"/>
          <w:lang w:val="es-PE"/>
        </w:rPr>
        <w:t xml:space="preserve">periodística sobre tales hechos, apegada al principio de veracidad. La veracidad no puede ser entendida </w:t>
      </w:r>
      <w:r w:rsidRPr="00CD5726">
        <w:rPr>
          <w:rFonts w:ascii="Cambria" w:hAnsi="Cambria" w:cs="Helvetica"/>
          <w:iCs/>
          <w:sz w:val="18"/>
          <w:szCs w:val="18"/>
          <w:lang w:val="es-PE"/>
        </w:rPr>
        <w:t xml:space="preserve">como </w:t>
      </w:r>
      <w:r w:rsidRPr="00CD5726">
        <w:rPr>
          <w:rFonts w:ascii="Cambria" w:hAnsi="Cambria" w:cs="Times"/>
          <w:iCs/>
          <w:sz w:val="18"/>
          <w:szCs w:val="18"/>
          <w:lang w:val="es-PE"/>
        </w:rPr>
        <w:t xml:space="preserve">una absoluta coincidencia entre lo que un medio periodístico informa o difunde y la realidad de lo acontecido, pues la verdad </w:t>
      </w:r>
      <w:r w:rsidRPr="00CD5726">
        <w:rPr>
          <w:rFonts w:ascii="Cambria" w:eastAsia="HiddenHorzOCR" w:hAnsi="Cambria" w:cs="HiddenHorzOCR"/>
          <w:sz w:val="18"/>
          <w:szCs w:val="18"/>
          <w:lang w:val="es-PE"/>
        </w:rPr>
        <w:t xml:space="preserve">objetiva y absoluta, </w:t>
      </w:r>
      <w:r w:rsidRPr="00CD5726">
        <w:rPr>
          <w:rFonts w:ascii="Cambria" w:hAnsi="Cambria" w:cs="Times"/>
          <w:iCs/>
          <w:sz w:val="18"/>
          <w:szCs w:val="18"/>
          <w:lang w:val="es-PE"/>
        </w:rPr>
        <w:t>si se pudiera establecer, no es factible reflejarla en toda su dimensión, y si a un periodista se le exigiera esta coincidencia</w:t>
      </w:r>
      <w:r w:rsidR="00155302" w:rsidRPr="00CD5726">
        <w:rPr>
          <w:rFonts w:ascii="Cambria" w:hAnsi="Cambria" w:cs="Times"/>
          <w:iCs/>
          <w:sz w:val="18"/>
          <w:szCs w:val="18"/>
          <w:lang w:val="es-PE"/>
        </w:rPr>
        <w:t xml:space="preserve"> absoluta</w:t>
      </w:r>
      <w:r w:rsidRPr="00CD5726">
        <w:rPr>
          <w:rFonts w:ascii="Cambria" w:hAnsi="Cambria" w:cs="Times"/>
          <w:sz w:val="18"/>
          <w:szCs w:val="18"/>
          <w:lang w:val="es-PE"/>
        </w:rPr>
        <w:t xml:space="preserve">- </w:t>
      </w:r>
      <w:r w:rsidRPr="00CD5726">
        <w:rPr>
          <w:rFonts w:ascii="Cambria" w:hAnsi="Cambria" w:cs="Times"/>
          <w:iCs/>
          <w:sz w:val="18"/>
          <w:szCs w:val="18"/>
          <w:lang w:val="es-PE"/>
        </w:rPr>
        <w:t xml:space="preserve">pues de lo contrario se vería enfrentado siempre a una querella </w:t>
      </w:r>
      <w:r w:rsidRPr="00CD5726">
        <w:rPr>
          <w:rFonts w:ascii="Cambria" w:hAnsi="Cambria" w:cs="Times"/>
          <w:sz w:val="18"/>
          <w:szCs w:val="18"/>
          <w:lang w:val="es-PE"/>
        </w:rPr>
        <w:t>-</w:t>
      </w:r>
      <w:r w:rsidRPr="00CD5726">
        <w:rPr>
          <w:rFonts w:ascii="Cambria" w:hAnsi="Cambria" w:cs="Times"/>
          <w:iCs/>
          <w:sz w:val="18"/>
          <w:szCs w:val="18"/>
          <w:lang w:val="es-PE"/>
        </w:rPr>
        <w:t>se estaría condenando a la desaparición del derecho a informar y ser informado y a expresar el libre pensamiento.</w:t>
      </w:r>
    </w:p>
    <w:p w14:paraId="0E77B7E5" w14:textId="77777777" w:rsidR="0095557E" w:rsidRPr="00EE1E8F" w:rsidRDefault="0095557E" w:rsidP="00155302">
      <w:pPr>
        <w:pStyle w:val="ListParagraph"/>
        <w:autoSpaceDE w:val="0"/>
        <w:autoSpaceDN w:val="0"/>
        <w:adjustRightInd w:val="0"/>
        <w:spacing w:before="0" w:after="0"/>
        <w:ind w:left="567" w:right="571"/>
        <w:rPr>
          <w:rFonts w:cs="Times"/>
          <w:iCs/>
          <w:sz w:val="18"/>
          <w:szCs w:val="18"/>
          <w:lang w:val="es-PE"/>
        </w:rPr>
      </w:pPr>
    </w:p>
    <w:p w14:paraId="21D68A16" w14:textId="77777777" w:rsidR="0095557E" w:rsidRPr="00CD5726" w:rsidRDefault="0095557E" w:rsidP="00155302">
      <w:pPr>
        <w:autoSpaceDE w:val="0"/>
        <w:autoSpaceDN w:val="0"/>
        <w:adjustRightInd w:val="0"/>
        <w:ind w:left="567" w:right="571"/>
        <w:jc w:val="both"/>
        <w:rPr>
          <w:rFonts w:ascii="Cambria" w:hAnsi="Cambria" w:cs="Helvetica"/>
          <w:iCs/>
          <w:sz w:val="18"/>
          <w:szCs w:val="18"/>
          <w:lang w:val="es-PE"/>
        </w:rPr>
      </w:pPr>
      <w:r w:rsidRPr="00CD5726">
        <w:rPr>
          <w:rFonts w:ascii="Cambria" w:hAnsi="Cambria" w:cs="Times"/>
          <w:sz w:val="18"/>
          <w:szCs w:val="18"/>
          <w:lang w:val="es-PE"/>
        </w:rPr>
        <w:t>[…]</w:t>
      </w:r>
      <w:r w:rsidRPr="00CD5726">
        <w:rPr>
          <w:rFonts w:ascii="Cambria" w:hAnsi="Cambria" w:cs="Times"/>
          <w:iCs/>
          <w:sz w:val="18"/>
          <w:szCs w:val="18"/>
          <w:lang w:val="es-PE"/>
        </w:rPr>
        <w:t xml:space="preserve"> [L]a veracidad de lo que se informa ha de medirse </w:t>
      </w:r>
      <w:r w:rsidRPr="00CD5726">
        <w:rPr>
          <w:rFonts w:ascii="Cambria" w:hAnsi="Cambria" w:cs="Helvetica"/>
          <w:iCs/>
          <w:sz w:val="18"/>
          <w:szCs w:val="18"/>
          <w:lang w:val="es-PE"/>
        </w:rPr>
        <w:t xml:space="preserve">frente </w:t>
      </w:r>
      <w:r w:rsidRPr="00CD5726">
        <w:rPr>
          <w:rFonts w:ascii="Cambria" w:hAnsi="Cambria" w:cs="Times"/>
          <w:iCs/>
          <w:sz w:val="18"/>
          <w:szCs w:val="18"/>
          <w:lang w:val="es-PE"/>
        </w:rPr>
        <w:t>a los actos que ejecute el reportero y no por el resultado obtenido, siempre que se determine la diligencia</w:t>
      </w:r>
      <w:r w:rsidRPr="00CD5726">
        <w:rPr>
          <w:rFonts w:ascii="Cambria" w:hAnsi="Cambria" w:cs="Helvetica"/>
          <w:iCs/>
          <w:sz w:val="18"/>
          <w:szCs w:val="18"/>
          <w:lang w:val="es-PE"/>
        </w:rPr>
        <w:t xml:space="preserve"> </w:t>
      </w:r>
      <w:r w:rsidRPr="00CD5726">
        <w:rPr>
          <w:rFonts w:ascii="Cambria" w:hAnsi="Cambria" w:cs="Times"/>
          <w:iCs/>
          <w:sz w:val="18"/>
          <w:szCs w:val="18"/>
          <w:lang w:val="es-PE"/>
        </w:rPr>
        <w:t xml:space="preserve">del periodista en </w:t>
      </w:r>
      <w:r w:rsidRPr="00CD5726">
        <w:rPr>
          <w:rFonts w:ascii="Cambria" w:hAnsi="Cambria" w:cs="Helvetica"/>
          <w:iCs/>
          <w:sz w:val="18"/>
          <w:szCs w:val="18"/>
          <w:lang w:val="es-PE"/>
        </w:rPr>
        <w:t xml:space="preserve">la búsqueda  </w:t>
      </w:r>
      <w:r w:rsidRPr="00CD5726">
        <w:rPr>
          <w:rFonts w:ascii="Cambria" w:hAnsi="Cambria" w:cs="Times"/>
          <w:iCs/>
          <w:sz w:val="18"/>
          <w:szCs w:val="18"/>
          <w:lang w:val="es-PE"/>
        </w:rPr>
        <w:t xml:space="preserve">de los elementos de juicio idóneos que le den respaldo a la </w:t>
      </w:r>
      <w:r w:rsidRPr="00CD5726">
        <w:rPr>
          <w:rFonts w:ascii="Cambria" w:eastAsia="HiddenHorzOCR" w:hAnsi="Cambria" w:cs="HiddenHorzOCR"/>
          <w:sz w:val="18"/>
          <w:szCs w:val="18"/>
          <w:lang w:val="es-PE"/>
        </w:rPr>
        <w:t>información</w:t>
      </w:r>
      <w:r w:rsidRPr="00CD5726">
        <w:rPr>
          <w:rFonts w:ascii="Cambria" w:hAnsi="Cambria" w:cs="Helvetica"/>
          <w:iCs/>
          <w:sz w:val="18"/>
          <w:szCs w:val="18"/>
          <w:lang w:val="es-PE"/>
        </w:rPr>
        <w:t xml:space="preserve"> </w:t>
      </w:r>
      <w:r w:rsidRPr="00CD5726">
        <w:rPr>
          <w:rFonts w:ascii="Cambria" w:hAnsi="Cambria" w:cs="Times"/>
          <w:iCs/>
          <w:sz w:val="18"/>
          <w:szCs w:val="18"/>
          <w:lang w:val="es-PE"/>
        </w:rPr>
        <w:t>publicada y su deseo de informar en forma objetiva, de tal suerte, que si tales presupuestos se conjugan</w:t>
      </w:r>
      <w:r w:rsidRPr="00CD5726">
        <w:rPr>
          <w:rFonts w:ascii="Cambria" w:hAnsi="Cambria" w:cs="Helvetica"/>
          <w:iCs/>
          <w:sz w:val="18"/>
          <w:szCs w:val="18"/>
          <w:lang w:val="es-PE"/>
        </w:rPr>
        <w:t xml:space="preserve"> </w:t>
      </w:r>
      <w:r w:rsidRPr="00CD5726">
        <w:rPr>
          <w:rFonts w:ascii="Cambria" w:hAnsi="Cambria" w:cs="Times"/>
          <w:iCs/>
          <w:sz w:val="18"/>
          <w:szCs w:val="18"/>
          <w:lang w:val="es-PE"/>
        </w:rPr>
        <w:t>fuera de toda duda razonable, puede hablarse de información veraz, que exime de responsabilidad penal y</w:t>
      </w:r>
      <w:r w:rsidRPr="00CD5726">
        <w:rPr>
          <w:rFonts w:ascii="Cambria" w:hAnsi="Cambria" w:cs="Helvetica"/>
          <w:iCs/>
          <w:sz w:val="18"/>
          <w:szCs w:val="18"/>
          <w:lang w:val="es-PE"/>
        </w:rPr>
        <w:t xml:space="preserve"> </w:t>
      </w:r>
      <w:r w:rsidRPr="00CD5726">
        <w:rPr>
          <w:rFonts w:ascii="Cambria" w:hAnsi="Cambria" w:cs="Times"/>
          <w:iCs/>
          <w:sz w:val="18"/>
          <w:szCs w:val="18"/>
          <w:lang w:val="es-PE"/>
        </w:rPr>
        <w:t>civil al comunicador y</w:t>
      </w:r>
      <w:r w:rsidRPr="00CD5726">
        <w:rPr>
          <w:rFonts w:ascii="Cambria" w:hAnsi="Cambria" w:cs="Helvetica"/>
          <w:sz w:val="18"/>
          <w:szCs w:val="18"/>
          <w:lang w:val="es-PE"/>
        </w:rPr>
        <w:t xml:space="preserve"> </w:t>
      </w:r>
      <w:r w:rsidRPr="00CD5726">
        <w:rPr>
          <w:rFonts w:ascii="Cambria" w:hAnsi="Cambria" w:cs="Times"/>
          <w:iCs/>
          <w:sz w:val="18"/>
          <w:szCs w:val="18"/>
          <w:lang w:val="es-PE"/>
        </w:rPr>
        <w:t>eventualmente al medio de prensa a través del cual se genera la publicación</w:t>
      </w:r>
      <w:r w:rsidRPr="00CD5726">
        <w:rPr>
          <w:rFonts w:ascii="Cambria" w:hAnsi="Cambria" w:cs="Helvetica"/>
          <w:iCs/>
          <w:sz w:val="18"/>
          <w:szCs w:val="18"/>
          <w:lang w:val="es-PE"/>
        </w:rPr>
        <w:t xml:space="preserve"> </w:t>
      </w:r>
      <w:r w:rsidRPr="00CD5726">
        <w:rPr>
          <w:rFonts w:ascii="Cambria" w:hAnsi="Cambria" w:cs="Times"/>
          <w:iCs/>
          <w:sz w:val="18"/>
          <w:szCs w:val="18"/>
          <w:lang w:val="es-PE"/>
        </w:rPr>
        <w:t>cuestionada […</w:t>
      </w:r>
      <w:r w:rsidR="003A0387" w:rsidRPr="00CD5726">
        <w:rPr>
          <w:rFonts w:ascii="Cambria" w:hAnsi="Cambria" w:cs="Times"/>
          <w:iCs/>
          <w:sz w:val="18"/>
          <w:szCs w:val="18"/>
          <w:lang w:val="es-PE"/>
        </w:rPr>
        <w:t>].</w:t>
      </w:r>
    </w:p>
    <w:p w14:paraId="3E7C22D1" w14:textId="77777777" w:rsidR="0095557E" w:rsidRPr="00EE1E8F" w:rsidRDefault="0095557E" w:rsidP="00155302">
      <w:pPr>
        <w:pStyle w:val="ListParagraph"/>
        <w:autoSpaceDE w:val="0"/>
        <w:autoSpaceDN w:val="0"/>
        <w:adjustRightInd w:val="0"/>
        <w:spacing w:before="0" w:after="0"/>
        <w:ind w:left="567" w:right="571"/>
        <w:rPr>
          <w:rFonts w:cs="Times"/>
          <w:iCs/>
          <w:sz w:val="18"/>
          <w:szCs w:val="18"/>
          <w:lang w:val="es-PE"/>
        </w:rPr>
      </w:pPr>
    </w:p>
    <w:p w14:paraId="3B5087F0" w14:textId="77777777" w:rsidR="0095557E" w:rsidRPr="00EE1E8F" w:rsidRDefault="0095557E" w:rsidP="00155302">
      <w:pPr>
        <w:autoSpaceDE w:val="0"/>
        <w:autoSpaceDN w:val="0"/>
        <w:adjustRightInd w:val="0"/>
        <w:ind w:left="567" w:right="571"/>
        <w:jc w:val="both"/>
        <w:rPr>
          <w:rFonts w:ascii="Cambria" w:hAnsi="Cambria" w:cs="Times"/>
          <w:iCs/>
          <w:sz w:val="18"/>
          <w:szCs w:val="18"/>
          <w:lang w:val="es-PE"/>
        </w:rPr>
      </w:pPr>
      <w:r w:rsidRPr="00EE1E8F">
        <w:rPr>
          <w:rFonts w:ascii="Cambria" w:hAnsi="Cambria" w:cs="Times"/>
          <w:iCs/>
          <w:sz w:val="18"/>
          <w:szCs w:val="18"/>
          <w:lang w:val="es-PE"/>
        </w:rPr>
        <w:t xml:space="preserve">[…] [L]a circunstancia que debe ser valorada, es </w:t>
      </w:r>
      <w:r w:rsidRPr="00EE1E8F">
        <w:rPr>
          <w:rFonts w:ascii="Cambria" w:hAnsi="Cambria" w:cs="Helvetica"/>
          <w:iCs/>
          <w:sz w:val="18"/>
          <w:szCs w:val="18"/>
          <w:lang w:val="es-PE"/>
        </w:rPr>
        <w:t xml:space="preserve">si, </w:t>
      </w:r>
      <w:r w:rsidRPr="00EE1E8F">
        <w:rPr>
          <w:rFonts w:ascii="Cambria" w:hAnsi="Cambria" w:cs="Times"/>
          <w:i/>
          <w:iCs/>
          <w:sz w:val="18"/>
          <w:szCs w:val="18"/>
          <w:lang w:val="es-PE"/>
        </w:rPr>
        <w:t>ex ante</w:t>
      </w:r>
      <w:r w:rsidRPr="00EE1E8F">
        <w:rPr>
          <w:rFonts w:ascii="Cambria" w:hAnsi="Cambria" w:cs="Times"/>
          <w:iCs/>
          <w:sz w:val="18"/>
          <w:szCs w:val="18"/>
          <w:lang w:val="es-PE"/>
        </w:rPr>
        <w:t xml:space="preserve">, al momento que el periodista ejerce su derecho a </w:t>
      </w:r>
      <w:r w:rsidRPr="00EE1E8F">
        <w:rPr>
          <w:rFonts w:ascii="Cambria" w:eastAsia="HiddenHorzOCR" w:hAnsi="Cambria" w:cs="HiddenHorzOCR"/>
          <w:sz w:val="18"/>
          <w:szCs w:val="18"/>
          <w:lang w:val="es-PE"/>
        </w:rPr>
        <w:t xml:space="preserve">informar, </w:t>
      </w:r>
      <w:r w:rsidRPr="00EE1E8F">
        <w:rPr>
          <w:rFonts w:ascii="Cambria" w:hAnsi="Cambria" w:cs="Times"/>
          <w:iCs/>
          <w:sz w:val="18"/>
          <w:szCs w:val="18"/>
          <w:lang w:val="es-PE"/>
        </w:rPr>
        <w:t>ha realizado una comprobación razonablemente suficiente para determinar la veracidad del contenido de las manifestaciones que van a ser publicadas</w:t>
      </w:r>
      <w:r w:rsidR="005B1DF2">
        <w:rPr>
          <w:rFonts w:ascii="Cambria" w:hAnsi="Cambria" w:cs="Times"/>
          <w:iCs/>
          <w:sz w:val="18"/>
          <w:szCs w:val="18"/>
          <w:lang w:val="es-PE"/>
        </w:rPr>
        <w:t xml:space="preserve">. </w:t>
      </w:r>
      <w:r w:rsidR="00D8716C" w:rsidRPr="005B1DF2">
        <w:rPr>
          <w:rFonts w:ascii="Cambria" w:hAnsi="Cambria" w:cs="Times"/>
          <w:iCs/>
          <w:sz w:val="18"/>
          <w:szCs w:val="18"/>
          <w:lang w:val="es-PE"/>
        </w:rPr>
        <w:t>Si ello es así, podrá dar por acreditado el cumplimiento del requisito de informa</w:t>
      </w:r>
      <w:r w:rsidR="00D8716C" w:rsidRPr="00EE1E8F">
        <w:rPr>
          <w:rFonts w:ascii="Cambria" w:hAnsi="Cambria" w:cs="Times"/>
          <w:iCs/>
          <w:sz w:val="18"/>
          <w:szCs w:val="18"/>
          <w:lang w:val="es-PE"/>
        </w:rPr>
        <w:t>ci</w:t>
      </w:r>
      <w:r w:rsidR="00161BC3" w:rsidRPr="00EE1E8F">
        <w:rPr>
          <w:rFonts w:ascii="Cambria" w:hAnsi="Cambria" w:cs="Times"/>
          <w:iCs/>
          <w:sz w:val="18"/>
          <w:szCs w:val="18"/>
          <w:lang w:val="es-PE"/>
        </w:rPr>
        <w:t>ó</w:t>
      </w:r>
      <w:r w:rsidR="00D8716C" w:rsidRPr="00EE1E8F">
        <w:rPr>
          <w:rFonts w:ascii="Cambria" w:hAnsi="Cambria" w:cs="Times"/>
          <w:iCs/>
          <w:sz w:val="18"/>
          <w:szCs w:val="18"/>
          <w:lang w:val="es-PE"/>
        </w:rPr>
        <w:t xml:space="preserve">n veraz, a pesar de que las pruebas no acrediten </w:t>
      </w:r>
      <w:r w:rsidR="00D8716C" w:rsidRPr="00EE1E8F">
        <w:rPr>
          <w:rFonts w:ascii="Cambria" w:hAnsi="Cambria" w:cs="Times"/>
          <w:i/>
          <w:iCs/>
          <w:sz w:val="18"/>
          <w:szCs w:val="18"/>
          <w:lang w:val="es-PE"/>
        </w:rPr>
        <w:t>ex post</w:t>
      </w:r>
      <w:r w:rsidR="00D8716C" w:rsidRPr="00EE1E8F">
        <w:rPr>
          <w:rFonts w:ascii="Cambria" w:hAnsi="Cambria" w:cs="Times"/>
          <w:iCs/>
          <w:sz w:val="18"/>
          <w:szCs w:val="18"/>
          <w:lang w:val="es-PE"/>
        </w:rPr>
        <w:t xml:space="preserve">, la verdad objetiva de los hechos, pues al periodista no se le puede exigir la demostración exacta de que lo que dice es verdad, sino de que ha utilizado fuentes confiables, y que ha demostrado diligencia razonable para determinar </w:t>
      </w:r>
      <w:r w:rsidR="00D8716C" w:rsidRPr="00EE1E8F">
        <w:rPr>
          <w:rFonts w:ascii="Cambria" w:hAnsi="Cambria" w:cs="Helvetica"/>
          <w:iCs/>
          <w:sz w:val="18"/>
          <w:szCs w:val="18"/>
          <w:lang w:val="es-PE"/>
        </w:rPr>
        <w:t xml:space="preserve">la </w:t>
      </w:r>
      <w:r w:rsidR="00D8716C" w:rsidRPr="00EE1E8F">
        <w:rPr>
          <w:rFonts w:ascii="Cambria" w:hAnsi="Cambria" w:cs="Times"/>
          <w:iCs/>
          <w:sz w:val="18"/>
          <w:szCs w:val="18"/>
          <w:lang w:val="es-PE"/>
        </w:rPr>
        <w:t xml:space="preserve">veracidad de </w:t>
      </w:r>
      <w:r w:rsidR="00D8716C" w:rsidRPr="00EE1E8F">
        <w:rPr>
          <w:rFonts w:ascii="Cambria" w:hAnsi="Cambria" w:cs="Helvetica"/>
          <w:iCs/>
          <w:sz w:val="18"/>
          <w:szCs w:val="18"/>
          <w:lang w:val="es-PE"/>
        </w:rPr>
        <w:t xml:space="preserve">su </w:t>
      </w:r>
      <w:r w:rsidR="00D8716C" w:rsidRPr="00EE1E8F">
        <w:rPr>
          <w:rFonts w:ascii="Cambria" w:hAnsi="Cambria" w:cs="Times"/>
          <w:iCs/>
          <w:sz w:val="18"/>
          <w:szCs w:val="18"/>
          <w:lang w:val="es-PE"/>
        </w:rPr>
        <w:t>publicación</w:t>
      </w:r>
      <w:r w:rsidRPr="00EE1E8F">
        <w:rPr>
          <w:rStyle w:val="FootnoteReference"/>
          <w:rFonts w:ascii="Cambria" w:hAnsi="Cambria" w:cs="Times"/>
          <w:iCs/>
          <w:sz w:val="18"/>
          <w:szCs w:val="18"/>
          <w:lang w:val="es-PE"/>
        </w:rPr>
        <w:footnoteReference w:id="34"/>
      </w:r>
      <w:r w:rsidRPr="00EE1E8F">
        <w:rPr>
          <w:rFonts w:ascii="Cambria" w:hAnsi="Cambria" w:cs="Times"/>
          <w:iCs/>
          <w:sz w:val="18"/>
          <w:szCs w:val="18"/>
          <w:lang w:val="es-PE"/>
        </w:rPr>
        <w:t xml:space="preserve">”. </w:t>
      </w:r>
    </w:p>
    <w:p w14:paraId="1B7BDE21" w14:textId="77777777" w:rsidR="003A0387" w:rsidRPr="00540E96" w:rsidRDefault="003A0387" w:rsidP="003A0387">
      <w:pPr>
        <w:autoSpaceDE w:val="0"/>
        <w:autoSpaceDN w:val="0"/>
        <w:adjustRightInd w:val="0"/>
        <w:jc w:val="both"/>
        <w:rPr>
          <w:rFonts w:ascii="Cambria" w:hAnsi="Cambria"/>
          <w:sz w:val="18"/>
          <w:szCs w:val="18"/>
          <w:lang w:val="es-PE"/>
        </w:rPr>
      </w:pPr>
    </w:p>
    <w:p w14:paraId="7A054697" w14:textId="77777777" w:rsidR="00F96A5C" w:rsidRPr="00540E96" w:rsidRDefault="00155302" w:rsidP="00D8716C">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540E96">
        <w:rPr>
          <w:rFonts w:ascii="Cambria" w:hAnsi="Cambria"/>
          <w:sz w:val="20"/>
          <w:szCs w:val="20"/>
          <w:lang w:val="es-PE"/>
        </w:rPr>
        <w:t xml:space="preserve">La sentencia de casación clarificó de que el Ministro de Seguridad fue entrevistado por el Tribunal de Juicio y al rendir su declaración </w:t>
      </w:r>
      <w:r w:rsidR="00444859" w:rsidRPr="00540E96">
        <w:rPr>
          <w:rFonts w:ascii="Cambria" w:hAnsi="Cambria"/>
          <w:sz w:val="20"/>
          <w:szCs w:val="20"/>
          <w:lang w:val="es-PE"/>
        </w:rPr>
        <w:t>se refirió a la confirmación realizada en relación con los hechos que estaban siendo investigados en el caso específico</w:t>
      </w:r>
      <w:r w:rsidRPr="00540E96">
        <w:rPr>
          <w:rFonts w:ascii="Cambria" w:hAnsi="Cambria"/>
          <w:sz w:val="20"/>
          <w:szCs w:val="20"/>
          <w:lang w:val="es-PE"/>
        </w:rPr>
        <w:t>,</w:t>
      </w:r>
      <w:r w:rsidR="00444859" w:rsidRPr="00540E96">
        <w:rPr>
          <w:rFonts w:ascii="Cambria" w:hAnsi="Cambria"/>
          <w:sz w:val="20"/>
          <w:szCs w:val="20"/>
          <w:lang w:val="es-PE"/>
        </w:rPr>
        <w:t xml:space="preserve"> es decir, los referidos a extorsión por trasiego de licores, ante lo cual manifestó que luego de la consulta con el área correspondiente, corroboró la “existencia de la causa penal que le informaban los periodistas”. Con base en ello, </w:t>
      </w:r>
      <w:r w:rsidR="005B1DF2">
        <w:rPr>
          <w:rFonts w:ascii="Cambria" w:hAnsi="Cambria"/>
          <w:sz w:val="20"/>
          <w:szCs w:val="20"/>
          <w:lang w:val="es-PE"/>
        </w:rPr>
        <w:t xml:space="preserve">y </w:t>
      </w:r>
      <w:r w:rsidRPr="00540E96">
        <w:rPr>
          <w:rFonts w:ascii="Cambria" w:hAnsi="Cambria"/>
          <w:sz w:val="20"/>
          <w:szCs w:val="20"/>
          <w:lang w:val="es-PE"/>
        </w:rPr>
        <w:t xml:space="preserve">en la jurisprudencia </w:t>
      </w:r>
      <w:r w:rsidR="00444859" w:rsidRPr="00540E96">
        <w:rPr>
          <w:rFonts w:ascii="Cambria" w:hAnsi="Cambria"/>
          <w:sz w:val="20"/>
          <w:szCs w:val="20"/>
          <w:lang w:val="es-PE"/>
        </w:rPr>
        <w:t xml:space="preserve">citada, la Sala Tercera declaró sin lugar los recursos de casación interpuestos. </w:t>
      </w:r>
    </w:p>
    <w:p w14:paraId="37720E4F" w14:textId="77777777" w:rsidR="00F96A5C" w:rsidRPr="00540E96" w:rsidRDefault="00F96A5C" w:rsidP="00F96A5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2D9BC57E" w14:textId="77777777" w:rsidR="00240F3F" w:rsidRPr="00540E96" w:rsidRDefault="00240F3F" w:rsidP="006D014B">
      <w:pPr>
        <w:pStyle w:val="Heading1"/>
        <w:rPr>
          <w:lang w:val="es-VE"/>
        </w:rPr>
      </w:pPr>
      <w:bookmarkStart w:id="27" w:name="_Toc534905528"/>
      <w:bookmarkStart w:id="28" w:name="_Toc4417452"/>
      <w:bookmarkStart w:id="29" w:name="_Toc24542766"/>
      <w:r w:rsidRPr="00540E96">
        <w:rPr>
          <w:lang w:val="es-VE"/>
        </w:rPr>
        <w:t>ANÁLISIS DE DERECHO</w:t>
      </w:r>
      <w:bookmarkEnd w:id="27"/>
      <w:bookmarkEnd w:id="28"/>
      <w:bookmarkEnd w:id="29"/>
    </w:p>
    <w:p w14:paraId="4BF42F9D" w14:textId="77777777" w:rsidR="007E2BA7" w:rsidRPr="00540E96" w:rsidRDefault="007E2BA7"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bookmarkStart w:id="30" w:name="_Toc534905529"/>
    </w:p>
    <w:p w14:paraId="71D386C1" w14:textId="77777777" w:rsidR="000E4324" w:rsidRPr="00540E96" w:rsidRDefault="006163B3" w:rsidP="006D014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Cambria"/>
          <w:color w:val="000000"/>
          <w:sz w:val="20"/>
          <w:szCs w:val="20"/>
          <w:lang w:val="es-US"/>
        </w:rPr>
      </w:pPr>
      <w:r w:rsidRPr="00540E96">
        <w:rPr>
          <w:rFonts w:ascii="Cambria" w:hAnsi="Cambria"/>
          <w:bCs/>
          <w:sz w:val="20"/>
          <w:szCs w:val="20"/>
          <w:lang w:val="es-CO"/>
        </w:rPr>
        <w:t xml:space="preserve">Tomando en cuenta los alegatos de las partes así como los hechos del presente caso, la Comisión efectuará </w:t>
      </w:r>
      <w:r w:rsidRPr="00540E96">
        <w:rPr>
          <w:rFonts w:ascii="Cambria" w:hAnsi="Cambria"/>
          <w:sz w:val="20"/>
          <w:szCs w:val="20"/>
          <w:lang w:val="es-CO"/>
        </w:rPr>
        <w:t>su</w:t>
      </w:r>
      <w:r w:rsidRPr="00540E96">
        <w:rPr>
          <w:rFonts w:ascii="Cambria" w:hAnsi="Cambria"/>
          <w:bCs/>
          <w:sz w:val="20"/>
          <w:szCs w:val="20"/>
          <w:lang w:val="es-CO"/>
        </w:rPr>
        <w:t xml:space="preserve"> análisis de derecho en el siguiente orden: i) consideraciones generales sobre la libertad de </w:t>
      </w:r>
      <w:r w:rsidR="008F208A" w:rsidRPr="00540E96">
        <w:rPr>
          <w:rFonts w:ascii="Cambria" w:hAnsi="Cambria"/>
          <w:bCs/>
          <w:sz w:val="20"/>
          <w:szCs w:val="20"/>
          <w:lang w:val="es-CO"/>
        </w:rPr>
        <w:t>pensamiento y de expresión</w:t>
      </w:r>
      <w:r w:rsidRPr="00540E96">
        <w:rPr>
          <w:rFonts w:ascii="Cambria" w:hAnsi="Cambria"/>
          <w:bCs/>
          <w:sz w:val="20"/>
          <w:szCs w:val="20"/>
          <w:lang w:val="es-ES_tradnl"/>
        </w:rPr>
        <w:t xml:space="preserve">; </w:t>
      </w:r>
      <w:r w:rsidRPr="00540E96">
        <w:rPr>
          <w:rFonts w:ascii="Cambria" w:hAnsi="Cambria"/>
          <w:sz w:val="20"/>
          <w:szCs w:val="20"/>
          <w:lang w:val="es-ES_tradnl"/>
        </w:rPr>
        <w:t xml:space="preserve">ii) consideraciones sobre la utilización del derecho penal </w:t>
      </w:r>
      <w:r w:rsidR="002B34B1">
        <w:rPr>
          <w:rFonts w:ascii="Cambria" w:hAnsi="Cambria"/>
          <w:sz w:val="20"/>
          <w:szCs w:val="20"/>
          <w:lang w:val="es-ES_tradnl"/>
        </w:rPr>
        <w:t xml:space="preserve">y de sanciones civiles </w:t>
      </w:r>
      <w:r w:rsidRPr="00540E96">
        <w:rPr>
          <w:rFonts w:ascii="Cambria" w:hAnsi="Cambria"/>
          <w:sz w:val="20"/>
          <w:szCs w:val="20"/>
          <w:lang w:val="es-ES_tradnl"/>
        </w:rPr>
        <w:lastRenderedPageBreak/>
        <w:t>como mecanismo</w:t>
      </w:r>
      <w:r w:rsidR="002B34B1">
        <w:rPr>
          <w:rFonts w:ascii="Cambria" w:hAnsi="Cambria"/>
          <w:sz w:val="20"/>
          <w:szCs w:val="20"/>
          <w:lang w:val="es-ES_tradnl"/>
        </w:rPr>
        <w:t>s</w:t>
      </w:r>
      <w:r w:rsidRPr="00540E96">
        <w:rPr>
          <w:rFonts w:ascii="Cambria" w:hAnsi="Cambria"/>
          <w:sz w:val="20"/>
          <w:szCs w:val="20"/>
          <w:lang w:val="es-ES_tradnl"/>
        </w:rPr>
        <w:t xml:space="preserve"> para establecer responsabilidades ulteriores en casos de interés público, </w:t>
      </w:r>
      <w:r w:rsidR="00A31B71" w:rsidRPr="00540E96">
        <w:rPr>
          <w:rFonts w:ascii="Cambria" w:hAnsi="Cambria"/>
          <w:sz w:val="20"/>
          <w:szCs w:val="20"/>
          <w:lang w:val="es-ES_tradnl"/>
        </w:rPr>
        <w:t xml:space="preserve">sobre </w:t>
      </w:r>
      <w:r w:rsidRPr="00540E96">
        <w:rPr>
          <w:rFonts w:ascii="Cambria" w:hAnsi="Cambria"/>
          <w:sz w:val="20"/>
          <w:szCs w:val="20"/>
          <w:lang w:val="es-ES_tradnl"/>
        </w:rPr>
        <w:t>funcionarios públicos y/o figuras públicas</w:t>
      </w:r>
      <w:r w:rsidR="003955F6" w:rsidRPr="00540E96">
        <w:rPr>
          <w:rFonts w:ascii="Cambria" w:hAnsi="Cambria"/>
          <w:sz w:val="20"/>
          <w:szCs w:val="20"/>
          <w:lang w:val="es-ES_tradnl"/>
        </w:rPr>
        <w:t xml:space="preserve">; </w:t>
      </w:r>
      <w:r w:rsidR="00023C14" w:rsidRPr="00540E96">
        <w:rPr>
          <w:rFonts w:ascii="Cambria" w:hAnsi="Cambria"/>
          <w:sz w:val="20"/>
          <w:szCs w:val="20"/>
          <w:lang w:val="es-ES_tradnl"/>
        </w:rPr>
        <w:t>iii) veracidad de la información y</w:t>
      </w:r>
      <w:r w:rsidR="00FB757A" w:rsidRPr="00540E96">
        <w:rPr>
          <w:rFonts w:ascii="Cambria" w:hAnsi="Cambria"/>
          <w:sz w:val="20"/>
          <w:szCs w:val="20"/>
          <w:lang w:val="es-ES_tradnl"/>
        </w:rPr>
        <w:t xml:space="preserve"> la doctrina de la real malicia</w:t>
      </w:r>
      <w:r w:rsidRPr="00540E96">
        <w:rPr>
          <w:rFonts w:ascii="Cambria" w:hAnsi="Cambria"/>
          <w:sz w:val="20"/>
          <w:szCs w:val="20"/>
          <w:lang w:val="es-ES_tradnl"/>
        </w:rPr>
        <w:t>; i</w:t>
      </w:r>
      <w:r w:rsidR="003955F6" w:rsidRPr="00540E96">
        <w:rPr>
          <w:rFonts w:ascii="Cambria" w:hAnsi="Cambria"/>
          <w:sz w:val="20"/>
          <w:szCs w:val="20"/>
          <w:lang w:val="es-ES_tradnl"/>
        </w:rPr>
        <w:t>v</w:t>
      </w:r>
      <w:r w:rsidRPr="00540E96">
        <w:rPr>
          <w:rFonts w:ascii="Cambria" w:hAnsi="Cambria"/>
          <w:sz w:val="20"/>
          <w:szCs w:val="20"/>
          <w:lang w:val="es-ES_tradnl"/>
        </w:rPr>
        <w:t xml:space="preserve">) análisis del caso, y </w:t>
      </w:r>
      <w:r w:rsidR="00306566" w:rsidRPr="00540E96">
        <w:rPr>
          <w:rFonts w:ascii="Cambria" w:hAnsi="Cambria"/>
          <w:sz w:val="20"/>
          <w:szCs w:val="20"/>
          <w:lang w:val="es-ES_tradnl"/>
        </w:rPr>
        <w:t>i</w:t>
      </w:r>
      <w:r w:rsidRPr="00540E96">
        <w:rPr>
          <w:rFonts w:ascii="Cambria" w:hAnsi="Cambria"/>
          <w:sz w:val="20"/>
          <w:szCs w:val="20"/>
          <w:lang w:val="es-ES_tradnl"/>
        </w:rPr>
        <w:t>v) derecho</w:t>
      </w:r>
      <w:r w:rsidR="002B34B1">
        <w:rPr>
          <w:rFonts w:ascii="Cambria" w:hAnsi="Cambria"/>
          <w:sz w:val="20"/>
          <w:szCs w:val="20"/>
          <w:lang w:val="es-ES_tradnl"/>
        </w:rPr>
        <w:t>s</w:t>
      </w:r>
      <w:r w:rsidRPr="00540E96">
        <w:rPr>
          <w:rFonts w:ascii="Cambria" w:hAnsi="Cambria"/>
          <w:sz w:val="20"/>
          <w:szCs w:val="20"/>
          <w:lang w:val="es-ES_tradnl"/>
        </w:rPr>
        <w:t xml:space="preserve"> a la</w:t>
      </w:r>
      <w:r w:rsidR="00562223" w:rsidRPr="00540E96">
        <w:rPr>
          <w:rFonts w:ascii="Cambria" w:hAnsi="Cambria"/>
          <w:sz w:val="20"/>
          <w:szCs w:val="20"/>
          <w:lang w:val="es-ES_tradnl"/>
        </w:rPr>
        <w:t>s garantías judiciales y</w:t>
      </w:r>
      <w:r w:rsidR="002B34B1">
        <w:rPr>
          <w:rFonts w:ascii="Cambria" w:hAnsi="Cambria"/>
          <w:sz w:val="20"/>
          <w:szCs w:val="20"/>
          <w:lang w:val="es-ES_tradnl"/>
        </w:rPr>
        <w:t xml:space="preserve"> a la</w:t>
      </w:r>
      <w:r w:rsidRPr="00540E96">
        <w:rPr>
          <w:rFonts w:ascii="Cambria" w:hAnsi="Cambria"/>
          <w:sz w:val="20"/>
          <w:szCs w:val="20"/>
          <w:lang w:val="es-ES_tradnl"/>
        </w:rPr>
        <w:t xml:space="preserve"> protección judicial.</w:t>
      </w:r>
      <w:bookmarkEnd w:id="30"/>
    </w:p>
    <w:p w14:paraId="5AE58975" w14:textId="77777777" w:rsidR="004118F7" w:rsidRPr="00540E96" w:rsidRDefault="004118F7" w:rsidP="00411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lang w:val="es-US"/>
        </w:rPr>
      </w:pPr>
    </w:p>
    <w:p w14:paraId="32D72459" w14:textId="77777777" w:rsidR="0024252A" w:rsidRPr="00540E96" w:rsidRDefault="0024252A" w:rsidP="00405056">
      <w:pPr>
        <w:pStyle w:val="Heading2"/>
        <w:widowControl/>
        <w:numPr>
          <w:ilvl w:val="0"/>
          <w:numId w:val="57"/>
        </w:numPr>
        <w:spacing w:before="0" w:after="0"/>
        <w:ind w:left="0" w:firstLine="0"/>
        <w:jc w:val="both"/>
        <w:rPr>
          <w:lang w:eastAsia="es-ES"/>
        </w:rPr>
      </w:pPr>
      <w:bookmarkStart w:id="31" w:name="_Toc6937380"/>
      <w:bookmarkStart w:id="32" w:name="_Toc11073108"/>
      <w:bookmarkStart w:id="33" w:name="_Toc24542767"/>
      <w:r w:rsidRPr="00540E96">
        <w:rPr>
          <w:lang w:eastAsia="es-ES"/>
        </w:rPr>
        <w:t xml:space="preserve">Derecho a la libertad de </w:t>
      </w:r>
      <w:r w:rsidR="00702CAB" w:rsidRPr="00540E96">
        <w:rPr>
          <w:lang w:eastAsia="es-ES"/>
        </w:rPr>
        <w:t xml:space="preserve">pensamiento y </w:t>
      </w:r>
      <w:r w:rsidR="002B34B1">
        <w:rPr>
          <w:lang w:eastAsia="es-ES"/>
        </w:rPr>
        <w:t xml:space="preserve">de </w:t>
      </w:r>
      <w:r w:rsidRPr="00540E96">
        <w:rPr>
          <w:lang w:eastAsia="es-ES"/>
        </w:rPr>
        <w:t>expresión (artículo 13)</w:t>
      </w:r>
      <w:r w:rsidRPr="00540E96">
        <w:rPr>
          <w:rStyle w:val="FootnoteReference"/>
          <w:lang w:eastAsia="es-ES"/>
        </w:rPr>
        <w:footnoteReference w:id="35"/>
      </w:r>
      <w:r w:rsidRPr="00540E96">
        <w:rPr>
          <w:lang w:eastAsia="es-ES"/>
        </w:rPr>
        <w:t xml:space="preserve"> en relación con los artículos 1.1</w:t>
      </w:r>
      <w:r w:rsidRPr="00540E96">
        <w:rPr>
          <w:rStyle w:val="FootnoteReference"/>
          <w:lang w:eastAsia="es-ES"/>
        </w:rPr>
        <w:footnoteReference w:id="36"/>
      </w:r>
      <w:r w:rsidRPr="00540E96">
        <w:rPr>
          <w:lang w:eastAsia="es-ES"/>
        </w:rPr>
        <w:t xml:space="preserve"> y 2</w:t>
      </w:r>
      <w:r w:rsidRPr="00540E96">
        <w:rPr>
          <w:rStyle w:val="FootnoteReference"/>
          <w:lang w:eastAsia="es-ES"/>
        </w:rPr>
        <w:footnoteReference w:id="37"/>
      </w:r>
      <w:r w:rsidRPr="00540E96">
        <w:rPr>
          <w:lang w:eastAsia="es-ES"/>
        </w:rPr>
        <w:t xml:space="preserve"> de la Convención Americana</w:t>
      </w:r>
      <w:bookmarkEnd w:id="31"/>
      <w:bookmarkEnd w:id="32"/>
      <w:bookmarkEnd w:id="33"/>
      <w:r w:rsidR="00702CAB" w:rsidRPr="00540E96">
        <w:rPr>
          <w:lang w:eastAsia="es-ES"/>
        </w:rPr>
        <w:t xml:space="preserve"> </w:t>
      </w:r>
    </w:p>
    <w:p w14:paraId="029A31D1" w14:textId="77777777" w:rsidR="0024252A" w:rsidRPr="00540E96" w:rsidRDefault="0024252A" w:rsidP="006D014B">
      <w:pPr>
        <w:jc w:val="both"/>
        <w:rPr>
          <w:rFonts w:ascii="Cambria" w:hAnsi="Cambria"/>
          <w:sz w:val="20"/>
          <w:szCs w:val="20"/>
          <w:lang w:val="es-ES_tradnl" w:eastAsia="es-ES"/>
        </w:rPr>
      </w:pPr>
    </w:p>
    <w:p w14:paraId="7075DD57" w14:textId="77777777" w:rsidR="0024252A" w:rsidRPr="00540E96" w:rsidRDefault="0024252A" w:rsidP="006635F2">
      <w:pPr>
        <w:pStyle w:val="Heading3"/>
        <w:numPr>
          <w:ilvl w:val="0"/>
          <w:numId w:val="60"/>
        </w:numPr>
        <w:ind w:hanging="720"/>
      </w:pPr>
      <w:bookmarkStart w:id="34" w:name="_Toc6937381"/>
      <w:bookmarkStart w:id="35" w:name="_Toc11073109"/>
      <w:bookmarkStart w:id="36" w:name="_Toc24542768"/>
      <w:r w:rsidRPr="00540E96">
        <w:t>Consideraciones generales sobre la libertad de expresión y pensamiento</w:t>
      </w:r>
      <w:bookmarkEnd w:id="34"/>
      <w:bookmarkEnd w:id="35"/>
      <w:bookmarkEnd w:id="36"/>
    </w:p>
    <w:p w14:paraId="74B93835" w14:textId="77777777" w:rsidR="0024252A" w:rsidRPr="00540E96" w:rsidRDefault="0024252A" w:rsidP="006D014B">
      <w:pPr>
        <w:jc w:val="both"/>
        <w:rPr>
          <w:rFonts w:ascii="Cambria" w:hAnsi="Cambria"/>
          <w:sz w:val="20"/>
          <w:szCs w:val="20"/>
          <w:lang w:val="es-ES_tradnl" w:eastAsia="es-ES"/>
        </w:rPr>
      </w:pPr>
    </w:p>
    <w:p w14:paraId="00AE45DD" w14:textId="77777777" w:rsidR="0024252A" w:rsidRPr="00540E96" w:rsidRDefault="0024252A"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_tradnl"/>
        </w:rPr>
      </w:pPr>
      <w:r w:rsidRPr="00540E96">
        <w:rPr>
          <w:rFonts w:ascii="Cambria" w:hAnsi="Cambria"/>
          <w:sz w:val="20"/>
          <w:szCs w:val="20"/>
          <w:lang w:val="es-CO"/>
        </w:rPr>
        <w:t xml:space="preserve">La </w:t>
      </w:r>
      <w:r w:rsidRPr="00540E96">
        <w:rPr>
          <w:rFonts w:ascii="Cambria" w:hAnsi="Cambria"/>
          <w:sz w:val="20"/>
          <w:szCs w:val="20"/>
          <w:lang w:val="es-VE"/>
        </w:rPr>
        <w:t>CIDH</w:t>
      </w:r>
      <w:r w:rsidRPr="00540E96">
        <w:rPr>
          <w:rFonts w:ascii="Cambria" w:hAnsi="Cambria"/>
          <w:sz w:val="20"/>
          <w:szCs w:val="20"/>
          <w:lang w:val="es-CO"/>
        </w:rPr>
        <w:t xml:space="preserve"> y la Corte IDH han resaltado la importancia del derecho a la libertad de pensamiento y expresión conforme a la protección que otorga el artículo 13 de la Convención Americana. Este </w:t>
      </w:r>
      <w:r w:rsidRPr="00540E96">
        <w:rPr>
          <w:rFonts w:ascii="Cambria" w:hAnsi="Cambria"/>
          <w:spacing w:val="-2"/>
          <w:sz w:val="20"/>
          <w:szCs w:val="20"/>
          <w:lang w:val="es-ES_tradnl"/>
        </w:rPr>
        <w:t>protege el derecho de buscar, recibir y difundir ideas e informaciones de toda índole, así como también el de recibir y conocer las informaciones e ideas difundidas por los demás</w:t>
      </w:r>
      <w:r w:rsidRPr="00540E96">
        <w:rPr>
          <w:rStyle w:val="FootnoteReference"/>
          <w:rFonts w:ascii="Cambria" w:hAnsi="Cambria"/>
          <w:sz w:val="20"/>
          <w:szCs w:val="20"/>
          <w:lang w:val="es-CO"/>
        </w:rPr>
        <w:footnoteReference w:id="38"/>
      </w:r>
      <w:r w:rsidRPr="00540E96">
        <w:rPr>
          <w:rFonts w:ascii="Cambria" w:hAnsi="Cambria"/>
          <w:sz w:val="20"/>
          <w:szCs w:val="20"/>
          <w:lang w:val="es-CO"/>
        </w:rPr>
        <w:t xml:space="preserve">. </w:t>
      </w:r>
      <w:r w:rsidRPr="00540E96">
        <w:rPr>
          <w:rFonts w:ascii="Cambria" w:hAnsi="Cambria"/>
          <w:spacing w:val="-2"/>
          <w:sz w:val="20"/>
          <w:szCs w:val="20"/>
          <w:lang w:val="es-ES_tradnl"/>
        </w:rPr>
        <w:t>La jurisprudencia del sistema interamericano ha señalado que la libertad de expresión tiene una dimensión individual y una dimensión social</w:t>
      </w:r>
      <w:r w:rsidRPr="00540E96">
        <w:rPr>
          <w:rFonts w:ascii="Cambria" w:hAnsi="Cambria"/>
          <w:sz w:val="20"/>
          <w:szCs w:val="20"/>
          <w:vertAlign w:val="superscript"/>
          <w:lang w:val="es-ES_tradnl"/>
        </w:rPr>
        <w:footnoteReference w:id="39"/>
      </w:r>
      <w:r w:rsidRPr="00540E96">
        <w:rPr>
          <w:rFonts w:ascii="Cambria" w:hAnsi="Cambria"/>
          <w:spacing w:val="-2"/>
          <w:sz w:val="20"/>
          <w:szCs w:val="20"/>
          <w:lang w:val="es-ES_tradnl"/>
        </w:rPr>
        <w:t>, las cuales poseen igual importancia y deben ser garantizadas plenamente en forma simultánea para dar efectividad total a dicho derecho en los términos previstos por el artículo 13 de la Convención</w:t>
      </w:r>
      <w:r w:rsidRPr="00540E96">
        <w:rPr>
          <w:rFonts w:ascii="Cambria" w:hAnsi="Cambria"/>
          <w:sz w:val="20"/>
          <w:szCs w:val="20"/>
          <w:vertAlign w:val="superscript"/>
          <w:lang w:val="es-ES_tradnl"/>
        </w:rPr>
        <w:footnoteReference w:id="40"/>
      </w:r>
      <w:r w:rsidRPr="00540E96">
        <w:rPr>
          <w:rFonts w:ascii="Cambria" w:hAnsi="Cambria"/>
          <w:spacing w:val="-2"/>
          <w:sz w:val="20"/>
          <w:szCs w:val="20"/>
          <w:lang w:val="es-ES_tradnl"/>
        </w:rPr>
        <w:t xml:space="preserve">. </w:t>
      </w:r>
      <w:r w:rsidRPr="00540E96">
        <w:rPr>
          <w:rFonts w:ascii="Cambria" w:hAnsi="Cambria"/>
          <w:sz w:val="20"/>
          <w:szCs w:val="20"/>
          <w:lang w:val="es-CO"/>
        </w:rPr>
        <w:t>La primera consiste en el derecho que tiene cada persona a expresar los propios pensamientos, ideas e informaciones, lo cual no se agota con el reconocimiento teórico del derecho a hablar o escribir, sino que también comprende, de manera conjunta, el derecho a utilizar cualquier medio apropiado para difundir el pensamiento y que el mismo alcance al mayor número de destinatarios</w:t>
      </w:r>
      <w:r w:rsidRPr="00540E96">
        <w:rPr>
          <w:rStyle w:val="FootnoteReference"/>
          <w:rFonts w:ascii="Cambria" w:hAnsi="Cambria"/>
          <w:sz w:val="20"/>
          <w:szCs w:val="20"/>
          <w:lang w:val="es-CO"/>
        </w:rPr>
        <w:footnoteReference w:id="41"/>
      </w:r>
      <w:r w:rsidRPr="00540E96">
        <w:rPr>
          <w:rFonts w:ascii="Cambria" w:hAnsi="Cambria"/>
          <w:sz w:val="20"/>
          <w:szCs w:val="20"/>
          <w:lang w:val="es-CO"/>
        </w:rPr>
        <w:t>. La segunda consiste en el derecho que posee la sociedad a procurar y recibir cualquier información, lo cual incluye conocer los pensamientos, ideas e informaciones ajenos y estar informada</w:t>
      </w:r>
      <w:r w:rsidRPr="00540E96">
        <w:rPr>
          <w:rStyle w:val="FootnoteReference"/>
          <w:rFonts w:ascii="Cambria" w:hAnsi="Cambria"/>
          <w:sz w:val="20"/>
          <w:szCs w:val="20"/>
          <w:lang w:val="es-CO"/>
        </w:rPr>
        <w:footnoteReference w:id="42"/>
      </w:r>
      <w:r w:rsidRPr="00540E96">
        <w:rPr>
          <w:rFonts w:ascii="Cambria" w:hAnsi="Cambria"/>
          <w:sz w:val="20"/>
          <w:szCs w:val="20"/>
          <w:lang w:val="es-CO"/>
        </w:rPr>
        <w:t>. En este sentido, la Corte ha establecido que la libertad comprende el derecho de cada persona a tratar de comunicar a otros sus puntos de vista, pero implica también el derecho de todos a conocer opiniones, relatos y noticias de toda índole, libremente</w:t>
      </w:r>
      <w:r w:rsidRPr="00540E96">
        <w:rPr>
          <w:rStyle w:val="FootnoteReference"/>
          <w:rFonts w:ascii="Cambria" w:hAnsi="Cambria"/>
          <w:sz w:val="20"/>
          <w:szCs w:val="20"/>
          <w:lang w:val="es-CO"/>
        </w:rPr>
        <w:footnoteReference w:id="43"/>
      </w:r>
      <w:r w:rsidRPr="00540E96">
        <w:rPr>
          <w:rFonts w:ascii="Cambria" w:hAnsi="Cambria"/>
          <w:sz w:val="20"/>
          <w:szCs w:val="20"/>
          <w:lang w:val="es-CO"/>
        </w:rPr>
        <w:t>.</w:t>
      </w:r>
      <w:r w:rsidRPr="00540E96">
        <w:rPr>
          <w:rFonts w:ascii="Cambria" w:hAnsi="Cambria"/>
          <w:spacing w:val="-2"/>
          <w:sz w:val="20"/>
          <w:szCs w:val="20"/>
          <w:lang w:val="es-CO"/>
        </w:rPr>
        <w:t xml:space="preserve"> </w:t>
      </w:r>
      <w:r w:rsidRPr="00540E96">
        <w:rPr>
          <w:rFonts w:ascii="Cambria" w:hAnsi="Cambria"/>
          <w:spacing w:val="-2"/>
          <w:sz w:val="20"/>
          <w:szCs w:val="20"/>
          <w:lang w:val="es-PE"/>
        </w:rPr>
        <w:t xml:space="preserve">Para el ciudadano común tiene tanta importancia el conocimiento de la </w:t>
      </w:r>
      <w:r w:rsidRPr="00540E96">
        <w:rPr>
          <w:rFonts w:ascii="Cambria" w:hAnsi="Cambria"/>
          <w:spacing w:val="-2"/>
          <w:sz w:val="20"/>
          <w:szCs w:val="20"/>
          <w:lang w:val="es-PE"/>
        </w:rPr>
        <w:lastRenderedPageBreak/>
        <w:t>opinión ajena o de la información de que disponen otros como el derecho a difundir la propia</w:t>
      </w:r>
      <w:r w:rsidRPr="00540E96">
        <w:rPr>
          <w:rStyle w:val="FootnoteReference"/>
          <w:rFonts w:ascii="Cambria" w:hAnsi="Cambria"/>
          <w:spacing w:val="-2"/>
          <w:sz w:val="20"/>
          <w:szCs w:val="20"/>
        </w:rPr>
        <w:footnoteReference w:id="44"/>
      </w:r>
      <w:r w:rsidRPr="00540E96">
        <w:rPr>
          <w:rFonts w:ascii="Cambria" w:hAnsi="Cambria"/>
          <w:spacing w:val="-2"/>
          <w:sz w:val="20"/>
          <w:szCs w:val="20"/>
          <w:lang w:val="es-PE"/>
        </w:rPr>
        <w:t>. Es por ello que, a la luz de ambas dimensiones, la libertad de expresión requiere, por un lado, que nadie sea arbitrariamente menoscabado o impedido de manifestar su propio pensamiento y representa, por tanto, un derecho de cada individuo; pero implica también, por otro lado, un derecho colectivo a recibir cualquier información y a conocer la expresión del pensamiento ajeno</w:t>
      </w:r>
      <w:r w:rsidRPr="00540E96">
        <w:rPr>
          <w:rStyle w:val="FootnoteReference"/>
          <w:rFonts w:ascii="Cambria" w:hAnsi="Cambria"/>
          <w:spacing w:val="-2"/>
          <w:sz w:val="20"/>
          <w:szCs w:val="20"/>
        </w:rPr>
        <w:footnoteReference w:id="45"/>
      </w:r>
      <w:r w:rsidRPr="00540E96">
        <w:rPr>
          <w:rFonts w:ascii="Cambria" w:hAnsi="Cambria"/>
          <w:spacing w:val="-2"/>
          <w:sz w:val="20"/>
          <w:szCs w:val="20"/>
          <w:lang w:val="es-PE"/>
        </w:rPr>
        <w:t>.</w:t>
      </w:r>
    </w:p>
    <w:p w14:paraId="38BAE576" w14:textId="77777777" w:rsidR="0024252A" w:rsidRPr="00540E96" w:rsidRDefault="0024252A" w:rsidP="00EE0C6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pacing w:val="-2"/>
          <w:sz w:val="20"/>
          <w:szCs w:val="20"/>
          <w:lang w:val="es-ES_tradnl"/>
        </w:rPr>
      </w:pPr>
    </w:p>
    <w:p w14:paraId="75019FDB" w14:textId="77777777" w:rsidR="0024252A" w:rsidRPr="00540E96" w:rsidRDefault="0024252A"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_tradnl"/>
        </w:rPr>
      </w:pPr>
      <w:r w:rsidRPr="00540E96">
        <w:rPr>
          <w:rFonts w:ascii="Cambria" w:hAnsi="Cambria"/>
          <w:sz w:val="20"/>
          <w:szCs w:val="20"/>
          <w:lang w:val="es-CO"/>
        </w:rPr>
        <w:t>La Comisión enfatiza que una de las finalidades del artículo 13 de la Convención es el fortalecimiento de sistemas democráticos, pluralistas y deliberativos, mediante la protección y promoción de la libre circulación de informaciones, ideas y expresiones de toda índole</w:t>
      </w:r>
      <w:r w:rsidRPr="00540E96">
        <w:rPr>
          <w:rStyle w:val="FootnoteReference"/>
          <w:rFonts w:ascii="Cambria" w:hAnsi="Cambria"/>
          <w:sz w:val="20"/>
          <w:szCs w:val="20"/>
          <w:lang w:val="es-CO"/>
        </w:rPr>
        <w:footnoteReference w:id="46"/>
      </w:r>
      <w:r w:rsidRPr="00540E96">
        <w:rPr>
          <w:rFonts w:ascii="Cambria" w:hAnsi="Cambria"/>
          <w:sz w:val="20"/>
          <w:szCs w:val="20"/>
          <w:lang w:val="es-CO"/>
        </w:rPr>
        <w:t>. Cabe resaltar que el artículo 4 de la Carta Democrática Interamericana caracteriza la libertad de expresión y de prensa como “componentes fundamentales del ejercicio de la democracia”</w:t>
      </w:r>
      <w:r w:rsidRPr="00540E96">
        <w:rPr>
          <w:rStyle w:val="FootnoteReference"/>
          <w:rFonts w:ascii="Cambria" w:hAnsi="Cambria"/>
          <w:sz w:val="20"/>
          <w:szCs w:val="20"/>
          <w:lang w:val="es-CO"/>
        </w:rPr>
        <w:footnoteReference w:id="47"/>
      </w:r>
      <w:r w:rsidRPr="00540E96">
        <w:rPr>
          <w:rFonts w:ascii="Cambria" w:hAnsi="Cambria"/>
          <w:sz w:val="20"/>
          <w:szCs w:val="20"/>
          <w:lang w:val="es-CO"/>
        </w:rPr>
        <w:t xml:space="preserve">. </w:t>
      </w:r>
    </w:p>
    <w:p w14:paraId="5A5E7E82" w14:textId="77777777" w:rsidR="0024252A" w:rsidRPr="00540E96" w:rsidRDefault="0024252A"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pacing w:val="-2"/>
          <w:sz w:val="20"/>
          <w:szCs w:val="20"/>
          <w:lang w:val="es-ES_tradnl"/>
        </w:rPr>
      </w:pPr>
    </w:p>
    <w:p w14:paraId="76281511" w14:textId="77777777" w:rsidR="0024252A" w:rsidRPr="00540E96" w:rsidRDefault="0024252A"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_tradnl"/>
        </w:rPr>
      </w:pPr>
      <w:r w:rsidRPr="00540E96">
        <w:rPr>
          <w:rFonts w:ascii="Cambria" w:hAnsi="Cambria"/>
          <w:sz w:val="20"/>
          <w:szCs w:val="20"/>
          <w:lang w:val="es-ES_tradnl"/>
        </w:rPr>
        <w:t xml:space="preserve">A pesar de </w:t>
      </w:r>
      <w:r w:rsidRPr="00540E96">
        <w:rPr>
          <w:rFonts w:ascii="Cambria" w:hAnsi="Cambria"/>
          <w:sz w:val="20"/>
          <w:szCs w:val="20"/>
          <w:lang w:val="es-VE"/>
        </w:rPr>
        <w:t>su fundamental importancia, la libertad de expresión no es un derecho absoluto.</w:t>
      </w:r>
      <w:r w:rsidRPr="00540E96">
        <w:rPr>
          <w:rFonts w:ascii="Cambria" w:hAnsi="Cambria"/>
          <w:sz w:val="20"/>
          <w:szCs w:val="20"/>
          <w:lang w:val="es-CO"/>
        </w:rPr>
        <w:t xml:space="preserve"> </w:t>
      </w:r>
      <w:r w:rsidRPr="00540E96">
        <w:rPr>
          <w:rFonts w:ascii="Cambria" w:hAnsi="Cambria"/>
          <w:spacing w:val="-2"/>
          <w:sz w:val="20"/>
          <w:szCs w:val="20"/>
          <w:lang w:val="es-PE"/>
        </w:rPr>
        <w:t>Dicha libertad puede estar sujeta a condiciones o inclusive limitaciones</w:t>
      </w:r>
      <w:r w:rsidRPr="00540E96">
        <w:rPr>
          <w:rStyle w:val="FootnoteReference"/>
          <w:rFonts w:ascii="Cambria" w:hAnsi="Cambria"/>
          <w:spacing w:val="-2"/>
          <w:sz w:val="20"/>
          <w:szCs w:val="20"/>
        </w:rPr>
        <w:footnoteReference w:id="48"/>
      </w:r>
      <w:r w:rsidRPr="00540E96">
        <w:rPr>
          <w:rFonts w:ascii="Cambria" w:hAnsi="Cambria"/>
          <w:spacing w:val="-2"/>
          <w:sz w:val="20"/>
          <w:szCs w:val="20"/>
          <w:lang w:val="es-PE"/>
        </w:rPr>
        <w:t>, en particular cuando interfiere con otros derechos garantizados por la Convención</w:t>
      </w:r>
      <w:r w:rsidRPr="00540E96">
        <w:rPr>
          <w:rStyle w:val="FootnoteReference"/>
          <w:rFonts w:ascii="Cambria" w:hAnsi="Cambria"/>
          <w:spacing w:val="-2"/>
          <w:sz w:val="20"/>
          <w:szCs w:val="20"/>
        </w:rPr>
        <w:footnoteReference w:id="49"/>
      </w:r>
      <w:r w:rsidRPr="00540E96">
        <w:rPr>
          <w:rFonts w:ascii="Cambria" w:hAnsi="Cambria"/>
          <w:spacing w:val="-2"/>
          <w:sz w:val="20"/>
          <w:szCs w:val="20"/>
          <w:lang w:val="es-PE"/>
        </w:rPr>
        <w:t xml:space="preserve">. </w:t>
      </w:r>
      <w:r w:rsidRPr="00540E96">
        <w:rPr>
          <w:rFonts w:ascii="Cambria" w:hAnsi="Cambria"/>
          <w:sz w:val="20"/>
          <w:szCs w:val="20"/>
          <w:lang w:val="es-CO"/>
        </w:rPr>
        <w:t xml:space="preserve">El artículo 13.2 de la Convención Americana, que prohíbe la censura previa, también prevé la posibilidad de establecer restricciones a la libertad de expresión, mediante la aplicación de responsabilidades ulteriores, por el ejercicio abusivo de este derecho, </w:t>
      </w:r>
      <w:r w:rsidRPr="00540E96">
        <w:rPr>
          <w:rFonts w:ascii="Cambria" w:hAnsi="Cambria"/>
          <w:spacing w:val="-2"/>
          <w:sz w:val="20"/>
          <w:szCs w:val="20"/>
          <w:lang w:val="es-PE"/>
        </w:rPr>
        <w:t>inclusive para asegurar el respeto a los derechos o la reputación de los demás.</w:t>
      </w:r>
      <w:r w:rsidRPr="00540E96">
        <w:rPr>
          <w:rFonts w:ascii="Cambria" w:hAnsi="Cambria"/>
          <w:sz w:val="20"/>
          <w:szCs w:val="20"/>
          <w:lang w:val="es-CO"/>
        </w:rPr>
        <w:t xml:space="preserve"> Sin embargo, estas restricciones tienen carácter excepcional y deben satisfacer las condiciones impuestas por la Convención, es decir, deben estar previstas en la ley, tener un fin legítimo y ser necesarias y proporcionales para el logro de dicho fin en una sociedad democrática</w:t>
      </w:r>
      <w:r w:rsidRPr="00540E96">
        <w:rPr>
          <w:rFonts w:ascii="Cambria" w:hAnsi="Cambria"/>
          <w:sz w:val="20"/>
          <w:szCs w:val="20"/>
          <w:vertAlign w:val="superscript"/>
          <w:lang w:val="es-CO"/>
        </w:rPr>
        <w:footnoteReference w:id="50"/>
      </w:r>
      <w:r w:rsidRPr="00540E96">
        <w:rPr>
          <w:rFonts w:ascii="Cambria" w:hAnsi="Cambria"/>
          <w:sz w:val="20"/>
          <w:szCs w:val="20"/>
          <w:lang w:val="es-CO"/>
        </w:rPr>
        <w:t>. La falta de cumplimiento de alguno de estos requisitos implica que la medida impuesta es contraria a la Convención Americana. Las restricciones a la libertad de expresi</w:t>
      </w:r>
      <w:r w:rsidRPr="00540E96">
        <w:rPr>
          <w:rFonts w:ascii="Cambria" w:hAnsi="Cambria"/>
          <w:sz w:val="20"/>
          <w:szCs w:val="20"/>
          <w:lang w:val="es-PE"/>
        </w:rPr>
        <w:t xml:space="preserve">ón no deben </w:t>
      </w:r>
      <w:r w:rsidRPr="00540E96">
        <w:rPr>
          <w:rFonts w:ascii="Cambria" w:hAnsi="Cambria"/>
          <w:spacing w:val="-2"/>
          <w:sz w:val="20"/>
          <w:szCs w:val="20"/>
          <w:lang w:val="es-PE"/>
        </w:rPr>
        <w:t>impedir, más allá de lo estrictamente necesario, su pleno ejercicio y convertirse en un mecanismo directo o indirecto de censura previa</w:t>
      </w:r>
      <w:r w:rsidRPr="00540E96">
        <w:rPr>
          <w:rStyle w:val="FootnoteReference"/>
          <w:rFonts w:ascii="Cambria" w:hAnsi="Cambria"/>
          <w:spacing w:val="-2"/>
          <w:sz w:val="20"/>
          <w:szCs w:val="20"/>
        </w:rPr>
        <w:footnoteReference w:id="51"/>
      </w:r>
      <w:r w:rsidRPr="00540E96">
        <w:rPr>
          <w:rFonts w:ascii="Cambria" w:hAnsi="Cambria"/>
          <w:spacing w:val="-2"/>
          <w:sz w:val="20"/>
          <w:szCs w:val="20"/>
          <w:lang w:val="es-PE"/>
        </w:rPr>
        <w:t>.</w:t>
      </w:r>
    </w:p>
    <w:p w14:paraId="7ABD3731" w14:textId="77777777" w:rsidR="0024252A" w:rsidRPr="00540E96" w:rsidRDefault="0024252A"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pacing w:val="-2"/>
          <w:sz w:val="20"/>
          <w:szCs w:val="20"/>
          <w:lang w:val="es-ES_tradnl"/>
        </w:rPr>
      </w:pPr>
    </w:p>
    <w:p w14:paraId="47FB431E" w14:textId="77777777" w:rsidR="0024252A" w:rsidRPr="00540E96" w:rsidRDefault="0024252A"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_tradnl"/>
        </w:rPr>
      </w:pPr>
      <w:r w:rsidRPr="00540E96">
        <w:rPr>
          <w:rFonts w:ascii="Cambria" w:hAnsi="Cambria"/>
          <w:spacing w:val="-2"/>
          <w:sz w:val="20"/>
          <w:szCs w:val="20"/>
          <w:lang w:val="es-ES_tradnl"/>
        </w:rPr>
        <w:t>El artículo 13.2.a de la Convención establece que “el respeto a los derechos o la reputación de los demás” puede ser motivo para fijar responsabilidades ulteriores en el ejercicio de la libertad de expresión</w:t>
      </w:r>
      <w:r w:rsidRPr="00540E96">
        <w:rPr>
          <w:rStyle w:val="FootnoteReference"/>
          <w:rFonts w:ascii="Cambria" w:hAnsi="Cambria"/>
          <w:spacing w:val="-2"/>
          <w:sz w:val="20"/>
          <w:szCs w:val="20"/>
        </w:rPr>
        <w:footnoteReference w:id="52"/>
      </w:r>
      <w:r w:rsidRPr="00540E96">
        <w:rPr>
          <w:rFonts w:ascii="Cambria" w:hAnsi="Cambria"/>
          <w:spacing w:val="-2"/>
          <w:sz w:val="20"/>
          <w:szCs w:val="20"/>
          <w:lang w:val="es-ES_tradnl"/>
        </w:rPr>
        <w:t>. El artículo 11 de la Convención consagra la protección de la honra y de la dignidad de cualquier persona. Por ello, es legítimo que quien se considere afectado en su honor recurra a los medios judiciales que el Estado disponga para su protección</w:t>
      </w:r>
      <w:r w:rsidRPr="00540E96">
        <w:rPr>
          <w:rFonts w:ascii="Cambria" w:hAnsi="Cambria"/>
          <w:sz w:val="20"/>
          <w:szCs w:val="20"/>
          <w:vertAlign w:val="superscript"/>
        </w:rPr>
        <w:footnoteReference w:id="53"/>
      </w:r>
      <w:r w:rsidRPr="00540E96">
        <w:rPr>
          <w:rFonts w:ascii="Cambria" w:hAnsi="Cambria"/>
          <w:spacing w:val="-2"/>
          <w:sz w:val="20"/>
          <w:szCs w:val="20"/>
          <w:lang w:val="es-ES_tradnl"/>
        </w:rPr>
        <w:t xml:space="preserve">, por lo que el Estado tiene la obligación de garantizar el derecho a la honra y la reputación mediante acciones positivas, lo cual puede implicar, en ciertos casos, la adopción de medidas dirigidas a asegurar dicho </w:t>
      </w:r>
      <w:r w:rsidRPr="00540E96">
        <w:rPr>
          <w:rFonts w:ascii="Cambria" w:hAnsi="Cambria"/>
          <w:spacing w:val="-2"/>
          <w:sz w:val="20"/>
          <w:szCs w:val="20"/>
          <w:lang w:val="es-ES_tradnl"/>
        </w:rPr>
        <w:lastRenderedPageBreak/>
        <w:t>derecho protegiéndolo de las interferencias de las autoridades públicas, así como también de las personas o instituciones privadas, incluyendo los medios de comunicación</w:t>
      </w:r>
      <w:r w:rsidRPr="00540E96">
        <w:rPr>
          <w:rStyle w:val="FootnoteReference"/>
          <w:rFonts w:ascii="Cambria" w:hAnsi="Cambria"/>
          <w:spacing w:val="-2"/>
          <w:sz w:val="20"/>
          <w:szCs w:val="20"/>
        </w:rPr>
        <w:footnoteReference w:id="54"/>
      </w:r>
      <w:r w:rsidRPr="00540E96">
        <w:rPr>
          <w:rFonts w:ascii="Cambria" w:hAnsi="Cambria"/>
          <w:spacing w:val="-2"/>
          <w:sz w:val="20"/>
          <w:szCs w:val="20"/>
          <w:lang w:val="es-ES_tradnl"/>
        </w:rPr>
        <w:t xml:space="preserve">. </w:t>
      </w:r>
    </w:p>
    <w:p w14:paraId="0D4ABA88" w14:textId="77777777" w:rsidR="0024252A" w:rsidRPr="00540E96" w:rsidRDefault="0024252A" w:rsidP="006635F2">
      <w:pPr>
        <w:pStyle w:val="Heading3"/>
        <w:numPr>
          <w:ilvl w:val="0"/>
          <w:numId w:val="0"/>
        </w:numPr>
      </w:pPr>
    </w:p>
    <w:p w14:paraId="06E2A4B6" w14:textId="77777777" w:rsidR="0024252A" w:rsidRPr="00540E96" w:rsidRDefault="0024252A" w:rsidP="006635F2">
      <w:pPr>
        <w:pStyle w:val="Heading3"/>
      </w:pPr>
      <w:bookmarkStart w:id="37" w:name="_Toc6937382"/>
      <w:bookmarkStart w:id="38" w:name="_Toc11073110"/>
      <w:bookmarkStart w:id="39" w:name="_Toc24542769"/>
      <w:r w:rsidRPr="00540E96">
        <w:t xml:space="preserve">Consideraciones sobre la utilización del derecho penal </w:t>
      </w:r>
      <w:r w:rsidR="002A3681" w:rsidRPr="00540E96">
        <w:t xml:space="preserve">y de sanciones civiles </w:t>
      </w:r>
      <w:r w:rsidRPr="00540E96">
        <w:t>como mecanismo</w:t>
      </w:r>
      <w:r w:rsidR="00F5644C">
        <w:t>s</w:t>
      </w:r>
      <w:r w:rsidRPr="00540E96">
        <w:t xml:space="preserve"> para establecer responsabilidades ulteriores en casos de interés público, </w:t>
      </w:r>
      <w:r w:rsidR="00A31B71" w:rsidRPr="00540E96">
        <w:t>sobre</w:t>
      </w:r>
      <w:r w:rsidRPr="00540E96">
        <w:t xml:space="preserve"> funcionarios y/o figuras públicas</w:t>
      </w:r>
      <w:bookmarkEnd w:id="37"/>
      <w:bookmarkEnd w:id="38"/>
      <w:bookmarkEnd w:id="39"/>
      <w:r w:rsidR="006D014B" w:rsidRPr="00540E96">
        <w:t xml:space="preserve"> </w:t>
      </w:r>
    </w:p>
    <w:p w14:paraId="3FD5A186" w14:textId="77777777" w:rsidR="002A3681" w:rsidRPr="00540E96" w:rsidRDefault="002A3681" w:rsidP="002A3681">
      <w:pPr>
        <w:rPr>
          <w:lang w:val="es-PE"/>
        </w:rPr>
      </w:pPr>
    </w:p>
    <w:p w14:paraId="01A26F7E" w14:textId="77777777" w:rsidR="0024252A" w:rsidRPr="00540E96" w:rsidRDefault="0024252A"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VE"/>
        </w:rPr>
        <w:t xml:space="preserve">A pesar de que la libertad de expresión no es un derecho absoluto y </w:t>
      </w:r>
      <w:r w:rsidRPr="00540E96">
        <w:rPr>
          <w:rFonts w:ascii="Cambria" w:hAnsi="Cambria"/>
          <w:spacing w:val="-2"/>
          <w:sz w:val="20"/>
          <w:szCs w:val="20"/>
          <w:lang w:val="es-PE"/>
        </w:rPr>
        <w:t>puede estar sujeta a condiciones o limitaciones</w:t>
      </w:r>
      <w:r w:rsidRPr="00540E96">
        <w:rPr>
          <w:rFonts w:ascii="Cambria" w:hAnsi="Cambria"/>
          <w:sz w:val="20"/>
          <w:szCs w:val="20"/>
          <w:lang w:val="es-PE"/>
        </w:rPr>
        <w:t xml:space="preserve">, la </w:t>
      </w:r>
      <w:r w:rsidRPr="00540E96">
        <w:rPr>
          <w:rFonts w:ascii="Cambria" w:hAnsi="Cambria"/>
          <w:sz w:val="20"/>
          <w:szCs w:val="20"/>
          <w:lang w:val="es-VE"/>
        </w:rPr>
        <w:t>CIDH y la Corte IDH han señalado reiteradamente que los Estados tienen un campo más limitado para imponer restricciones al derecho a la libertad de expresión “cuando quiera que se trate de expresiones atinentes al Estado, a asuntos de interés público, a funcionarios públicos en ejercicio de sus funciones o candidatos a ocupar cargos públicos, o a particulares involucrados voluntariamente en asuntos públicos, así como al discurso y debate político”</w:t>
      </w:r>
      <w:r w:rsidRPr="00540E96">
        <w:rPr>
          <w:rStyle w:val="FootnoteReference"/>
          <w:rFonts w:ascii="Cambria" w:hAnsi="Cambria" w:cs="Arial"/>
          <w:sz w:val="20"/>
          <w:szCs w:val="20"/>
          <w:lang w:val="es-CO"/>
        </w:rPr>
        <w:footnoteReference w:id="55"/>
      </w:r>
      <w:r w:rsidRPr="00540E96">
        <w:rPr>
          <w:rFonts w:ascii="Cambria" w:hAnsi="Cambria"/>
          <w:sz w:val="20"/>
          <w:szCs w:val="20"/>
          <w:lang w:val="es-VE"/>
        </w:rPr>
        <w:t xml:space="preserve">. </w:t>
      </w:r>
    </w:p>
    <w:p w14:paraId="4F9BF822" w14:textId="77777777" w:rsidR="007F6C62" w:rsidRPr="00540E96" w:rsidRDefault="007F6C62" w:rsidP="007F6C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2D8B1582" w14:textId="77777777" w:rsidR="005F4025" w:rsidRPr="00540E96" w:rsidRDefault="005F4025"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VE"/>
        </w:rPr>
        <w:t>Cabe subrayar que “los funcionarios públicos y quienes aspiran a serlo, en una sociedad democrática, tienen un umbral distinto de protección, que les expone en mayor grado al escrutinio y a la crítica del público, lo cual se justifica por el carácter de interés público de las actividades que realizan, porque se han expuesto voluntariamente a un escrutinio más exigente y porque tienen una enorme capacidad de controvertir la información a través de su poder de convocatoria pública”</w:t>
      </w:r>
      <w:r w:rsidRPr="00540E96">
        <w:rPr>
          <w:rStyle w:val="FootnoteReference"/>
          <w:rFonts w:ascii="Cambria" w:hAnsi="Cambria"/>
          <w:sz w:val="20"/>
          <w:szCs w:val="20"/>
        </w:rPr>
        <w:footnoteReference w:id="56"/>
      </w:r>
      <w:r w:rsidRPr="00540E96">
        <w:rPr>
          <w:rFonts w:ascii="Cambria" w:hAnsi="Cambria"/>
          <w:sz w:val="20"/>
          <w:szCs w:val="20"/>
          <w:lang w:val="es-VE"/>
        </w:rPr>
        <w:t>.</w:t>
      </w:r>
    </w:p>
    <w:p w14:paraId="4BC4E368" w14:textId="77777777" w:rsidR="005F4025" w:rsidRPr="00540E96" w:rsidRDefault="005F4025" w:rsidP="006D01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5B54FC0C" w14:textId="77777777" w:rsidR="005F4025" w:rsidRPr="00540E96" w:rsidRDefault="005F4025"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CO"/>
        </w:rPr>
        <w:t>En esos contextos, la Comisión ha mencionado que “[e]l tipo de debate político a que da lugar el derecho a la libertad de expresión generará inevitablemente ciertos discursos críticos o incluso ofensivos para quienes ocupan cargos públicos o están íntimamente vinculados a la formulación de la política pública"</w:t>
      </w:r>
      <w:r w:rsidRPr="00540E96">
        <w:rPr>
          <w:rStyle w:val="FootnoteReference"/>
          <w:rFonts w:ascii="Cambria" w:hAnsi="Cambria"/>
          <w:sz w:val="20"/>
          <w:szCs w:val="20"/>
        </w:rPr>
        <w:footnoteReference w:id="57"/>
      </w:r>
      <w:r w:rsidRPr="00540E96">
        <w:rPr>
          <w:rFonts w:ascii="Cambria" w:hAnsi="Cambria"/>
          <w:sz w:val="20"/>
          <w:szCs w:val="20"/>
          <w:lang w:val="es-CO"/>
        </w:rPr>
        <w:t>, los cuales tambi</w:t>
      </w:r>
      <w:r w:rsidRPr="00540E96">
        <w:rPr>
          <w:rFonts w:ascii="Cambria" w:hAnsi="Cambria"/>
          <w:sz w:val="20"/>
          <w:szCs w:val="20"/>
          <w:lang w:val="es-PE"/>
        </w:rPr>
        <w:t>én constituyen discursos protegidos por el derecho a la libertad de expresión.</w:t>
      </w:r>
    </w:p>
    <w:p w14:paraId="66564E72" w14:textId="77777777" w:rsidR="005F4025" w:rsidRPr="00540E96" w:rsidRDefault="005F4025" w:rsidP="006D014B">
      <w:pPr>
        <w:pStyle w:val="ListParagraph"/>
        <w:spacing w:before="0" w:after="0"/>
        <w:rPr>
          <w:sz w:val="20"/>
          <w:szCs w:val="20"/>
          <w:lang w:val="es-CO"/>
        </w:rPr>
      </w:pPr>
    </w:p>
    <w:p w14:paraId="180C4F72" w14:textId="77777777" w:rsidR="005F4025" w:rsidRPr="00540E96" w:rsidRDefault="005F4025" w:rsidP="0040505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CO"/>
        </w:rPr>
        <w:t xml:space="preserve">En virtud de la importancia del derecho a la libertad de expresión en su doble dimensión, sobre todo en debates de interés público, </w:t>
      </w:r>
      <w:r w:rsidRPr="00540E96">
        <w:rPr>
          <w:rFonts w:ascii="Cambria" w:hAnsi="Cambria"/>
          <w:sz w:val="20"/>
          <w:szCs w:val="20"/>
          <w:lang w:val="es-PE"/>
        </w:rPr>
        <w:t xml:space="preserve">las figuras penales de calumnia, injuria y difamación como mecanismo de asignación de responsabilidades ulteriores, cuando se está frente a discursos especialmente protegidos, contraviene </w:t>
      </w:r>
      <w:r w:rsidRPr="00540E96">
        <w:rPr>
          <w:rFonts w:ascii="Cambria" w:hAnsi="Cambria"/>
          <w:sz w:val="20"/>
          <w:szCs w:val="20"/>
          <w:lang w:val="es-ES"/>
        </w:rPr>
        <w:t>la libertad de expresión protegida por el artículo 13 de la Convención.  Al respecto,</w:t>
      </w:r>
      <w:r w:rsidRPr="00540E96">
        <w:rPr>
          <w:rFonts w:ascii="Cambria" w:hAnsi="Cambria"/>
          <w:sz w:val="20"/>
          <w:szCs w:val="20"/>
          <w:lang w:val="es-PE"/>
        </w:rPr>
        <w:t xml:space="preserve"> la Comisión y la Corte han sido enfáticas al sostener que este tipo de expresiones gozan de una mayor protección en el marco del sistema interamericano de protección de derechos humanos</w:t>
      </w:r>
      <w:r w:rsidRPr="00540E96">
        <w:rPr>
          <w:rFonts w:ascii="Cambria" w:hAnsi="Cambria"/>
          <w:sz w:val="20"/>
          <w:szCs w:val="20"/>
          <w:vertAlign w:val="superscript"/>
        </w:rPr>
        <w:footnoteReference w:id="58"/>
      </w:r>
      <w:r w:rsidRPr="00540E96">
        <w:rPr>
          <w:rFonts w:ascii="Cambria" w:hAnsi="Cambria"/>
          <w:sz w:val="20"/>
          <w:szCs w:val="20"/>
          <w:lang w:val="es-PE"/>
        </w:rPr>
        <w:t>. Tal protección se ha justificado, entre otras razones, en la importancia de mantener un marco jurídico que fomente la deliberación pública; y en el hecho de que los funcionarios voluntariamente se han expuesto a un mayor escrutinio social, y cuentan con mayores y mejores condiciones para responder al debate público</w:t>
      </w:r>
      <w:r w:rsidRPr="00540E96">
        <w:rPr>
          <w:rFonts w:ascii="Cambria" w:hAnsi="Cambria" w:cs="Univers"/>
          <w:sz w:val="20"/>
          <w:szCs w:val="20"/>
          <w:vertAlign w:val="superscript"/>
          <w:lang w:val="es-AR"/>
        </w:rPr>
        <w:footnoteReference w:id="59"/>
      </w:r>
      <w:r w:rsidRPr="00540E96">
        <w:rPr>
          <w:rFonts w:ascii="Cambria" w:hAnsi="Cambria"/>
          <w:sz w:val="20"/>
          <w:szCs w:val="20"/>
          <w:lang w:val="es-PE"/>
        </w:rPr>
        <w:t>.</w:t>
      </w:r>
    </w:p>
    <w:p w14:paraId="2B508EB3" w14:textId="77777777" w:rsidR="005F4025" w:rsidRDefault="005F4025" w:rsidP="006D014B">
      <w:pPr>
        <w:pStyle w:val="ListParagraph"/>
        <w:spacing w:before="0" w:after="0"/>
        <w:rPr>
          <w:sz w:val="20"/>
          <w:szCs w:val="20"/>
          <w:lang w:val="es-CO"/>
        </w:rPr>
      </w:pPr>
    </w:p>
    <w:p w14:paraId="4C7F2B0A" w14:textId="77777777" w:rsidR="008D4A0F" w:rsidRDefault="008D4A0F" w:rsidP="006D014B">
      <w:pPr>
        <w:pStyle w:val="ListParagraph"/>
        <w:spacing w:before="0" w:after="0"/>
        <w:rPr>
          <w:sz w:val="20"/>
          <w:szCs w:val="20"/>
          <w:lang w:val="es-CO"/>
        </w:rPr>
      </w:pPr>
    </w:p>
    <w:p w14:paraId="45A2F972" w14:textId="77777777" w:rsidR="008D4A0F" w:rsidRDefault="008D4A0F" w:rsidP="006D014B">
      <w:pPr>
        <w:pStyle w:val="ListParagraph"/>
        <w:spacing w:before="0" w:after="0"/>
        <w:rPr>
          <w:sz w:val="20"/>
          <w:szCs w:val="20"/>
          <w:lang w:val="es-CO"/>
        </w:rPr>
      </w:pPr>
    </w:p>
    <w:p w14:paraId="184869F3" w14:textId="77777777" w:rsidR="008D4A0F" w:rsidRPr="00540E96" w:rsidRDefault="008D4A0F" w:rsidP="006D014B">
      <w:pPr>
        <w:pStyle w:val="ListParagraph"/>
        <w:spacing w:before="0" w:after="0"/>
        <w:rPr>
          <w:sz w:val="20"/>
          <w:szCs w:val="20"/>
          <w:lang w:val="es-CO"/>
        </w:rPr>
      </w:pPr>
    </w:p>
    <w:p w14:paraId="2D155975" w14:textId="77777777" w:rsidR="00CB7B69" w:rsidRPr="00540E96" w:rsidRDefault="005F4025" w:rsidP="00CB7B69">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PE"/>
        </w:rPr>
        <w:t>Para la CIDH resulta claro que no hay un interés social imperativo que justifique la utilización de mecanismos penales para sancionar este tipo de expresiones. El uso del derecho penal resulta innecesario y desproporcionado, y además constituye un medio de censura indirecta dado su efecto amedrentador e inhibidor del debate sobre asuntos de interés público y la defensa de los derechos</w:t>
      </w:r>
      <w:r w:rsidRPr="00540E96">
        <w:rPr>
          <w:rStyle w:val="FootnoteReference"/>
          <w:rFonts w:ascii="Cambria" w:hAnsi="Cambria"/>
          <w:sz w:val="20"/>
          <w:szCs w:val="20"/>
          <w:lang w:val="es-CO"/>
        </w:rPr>
        <w:footnoteReference w:id="60"/>
      </w:r>
      <w:r w:rsidRPr="00540E96">
        <w:rPr>
          <w:rFonts w:ascii="Cambria" w:hAnsi="Cambria"/>
          <w:sz w:val="20"/>
          <w:szCs w:val="20"/>
          <w:lang w:val="es-PE"/>
        </w:rPr>
        <w:t>. En este sentido, a la luz de los estándares interamericanos, la protección a la honra o reputación sólo debe garantizarse a través de medios menos lesivos, como por ejemplo, sanciones civiles en los casos en que la persona ofendida sea un funcionario público o una persona pública o particular que se haya involucrado voluntariamente en asuntos de interés público</w:t>
      </w:r>
      <w:r w:rsidRPr="00540E96">
        <w:rPr>
          <w:rStyle w:val="FootnoteReference"/>
          <w:rFonts w:ascii="Cambria" w:hAnsi="Cambria"/>
          <w:sz w:val="20"/>
          <w:szCs w:val="20"/>
          <w:lang w:val="es-CO"/>
        </w:rPr>
        <w:footnoteReference w:id="61"/>
      </w:r>
      <w:r w:rsidRPr="00540E96">
        <w:rPr>
          <w:rFonts w:ascii="Cambria" w:hAnsi="Cambria"/>
          <w:sz w:val="20"/>
          <w:szCs w:val="20"/>
          <w:lang w:val="es-PE"/>
        </w:rPr>
        <w:t>, siempre en atención a los principios del pluralismo democrático</w:t>
      </w:r>
      <w:r w:rsidRPr="00540E96">
        <w:rPr>
          <w:rStyle w:val="FootnoteReference"/>
          <w:rFonts w:ascii="Cambria" w:hAnsi="Cambria"/>
          <w:sz w:val="20"/>
          <w:szCs w:val="20"/>
          <w:lang w:val="es-CO"/>
        </w:rPr>
        <w:footnoteReference w:id="62"/>
      </w:r>
      <w:r w:rsidRPr="00540E96">
        <w:rPr>
          <w:rFonts w:ascii="Cambria" w:hAnsi="Cambria"/>
          <w:sz w:val="20"/>
          <w:szCs w:val="20"/>
          <w:lang w:val="es-CO"/>
        </w:rPr>
        <w:t xml:space="preserve">. En consecuencia, el uso y aplicación de mecanismos penales en estos casos, vulnera </w:t>
      </w:r>
      <w:r w:rsidRPr="00540E96">
        <w:rPr>
          <w:rFonts w:ascii="Cambria" w:hAnsi="Cambria"/>
          <w:i/>
          <w:sz w:val="20"/>
          <w:szCs w:val="20"/>
          <w:lang w:val="es-CO"/>
        </w:rPr>
        <w:t>per se</w:t>
      </w:r>
      <w:r w:rsidRPr="00540E96">
        <w:rPr>
          <w:rFonts w:ascii="Cambria" w:hAnsi="Cambria"/>
          <w:sz w:val="20"/>
          <w:szCs w:val="20"/>
          <w:lang w:val="es-CO"/>
        </w:rPr>
        <w:t xml:space="preserve"> el artículo 13 de la Convención Americana</w:t>
      </w:r>
      <w:r w:rsidRPr="00540E96">
        <w:rPr>
          <w:rStyle w:val="FootnoteReference"/>
          <w:rFonts w:ascii="Cambria" w:hAnsi="Cambria"/>
          <w:sz w:val="20"/>
          <w:szCs w:val="20"/>
          <w:lang w:val="es-CO"/>
        </w:rPr>
        <w:footnoteReference w:id="63"/>
      </w:r>
      <w:r w:rsidRPr="00540E96">
        <w:rPr>
          <w:rFonts w:ascii="Cambria" w:hAnsi="Cambria"/>
          <w:sz w:val="20"/>
          <w:szCs w:val="20"/>
          <w:lang w:val="es-CO"/>
        </w:rPr>
        <w:t>.</w:t>
      </w:r>
      <w:r w:rsidR="00465931" w:rsidRPr="00540E96">
        <w:rPr>
          <w:rFonts w:ascii="Cambria" w:hAnsi="Cambria"/>
          <w:sz w:val="20"/>
          <w:szCs w:val="20"/>
          <w:lang w:val="es-CO"/>
        </w:rPr>
        <w:t xml:space="preserve"> En similar sentido se han pronunciado distintos órganos del sistema universal</w:t>
      </w:r>
      <w:r w:rsidR="00465931" w:rsidRPr="00540E96">
        <w:rPr>
          <w:rStyle w:val="FootnoteReference"/>
          <w:rFonts w:ascii="Cambria" w:hAnsi="Cambria"/>
          <w:sz w:val="20"/>
          <w:szCs w:val="20"/>
          <w:lang w:val="es-CO"/>
        </w:rPr>
        <w:footnoteReference w:id="64"/>
      </w:r>
      <w:r w:rsidR="00465931" w:rsidRPr="00540E96">
        <w:rPr>
          <w:rFonts w:ascii="Cambria" w:hAnsi="Cambria"/>
          <w:sz w:val="20"/>
          <w:szCs w:val="20"/>
          <w:lang w:val="es-CO"/>
        </w:rPr>
        <w:t>, europeo</w:t>
      </w:r>
      <w:r w:rsidR="00465931" w:rsidRPr="00540E96">
        <w:rPr>
          <w:rStyle w:val="FootnoteReference"/>
          <w:rFonts w:ascii="Cambria" w:hAnsi="Cambria"/>
          <w:sz w:val="20"/>
          <w:szCs w:val="20"/>
          <w:lang w:val="es-CO"/>
        </w:rPr>
        <w:footnoteReference w:id="65"/>
      </w:r>
      <w:r w:rsidR="00465931" w:rsidRPr="00540E96">
        <w:rPr>
          <w:rFonts w:ascii="Cambria" w:hAnsi="Cambria"/>
          <w:sz w:val="20"/>
          <w:szCs w:val="20"/>
          <w:lang w:val="es-CO"/>
        </w:rPr>
        <w:t xml:space="preserve"> y africano de derechos humanos</w:t>
      </w:r>
      <w:r w:rsidR="00465931" w:rsidRPr="00540E96">
        <w:rPr>
          <w:rStyle w:val="FootnoteReference"/>
          <w:rFonts w:ascii="Cambria" w:hAnsi="Cambria"/>
          <w:sz w:val="20"/>
          <w:szCs w:val="20"/>
          <w:lang w:val="es-CO"/>
        </w:rPr>
        <w:footnoteReference w:id="66"/>
      </w:r>
      <w:r w:rsidR="00465931" w:rsidRPr="00540E96">
        <w:rPr>
          <w:rFonts w:ascii="Cambria" w:hAnsi="Cambria"/>
          <w:sz w:val="20"/>
          <w:szCs w:val="20"/>
          <w:lang w:val="es-CO"/>
        </w:rPr>
        <w:t>.</w:t>
      </w:r>
    </w:p>
    <w:p w14:paraId="2715B09A" w14:textId="77777777" w:rsidR="00CB7B69" w:rsidRPr="00540E96" w:rsidRDefault="00CB7B69" w:rsidP="00CB7B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0624C849" w14:textId="77777777" w:rsidR="009E09EF" w:rsidRPr="00540E96" w:rsidRDefault="00CB7B69" w:rsidP="00CB7B69">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CO"/>
        </w:rPr>
        <w:t xml:space="preserve">De igual manera, la CIDH ha establecido que existen otras alternativas de protección del honor y la reputación de las personas, que son menos lesivas y restrictivas que recurrir al derecho penal como mecanismo para establecer responsabilidades ulteriores, </w:t>
      </w:r>
      <w:r w:rsidRPr="00540E96">
        <w:rPr>
          <w:rFonts w:ascii="Cambria" w:hAnsi="Cambria"/>
          <w:sz w:val="20"/>
          <w:szCs w:val="20"/>
          <w:lang w:val="es-ES"/>
        </w:rPr>
        <w:t xml:space="preserve">como lo son </w:t>
      </w:r>
      <w:r w:rsidR="00B349D2" w:rsidRPr="00540E96">
        <w:rPr>
          <w:rFonts w:ascii="Cambria" w:hAnsi="Cambria"/>
          <w:sz w:val="20"/>
          <w:szCs w:val="20"/>
          <w:lang w:val="es-ES"/>
        </w:rPr>
        <w:t xml:space="preserve">la garantía del derecho de rectificación o respuesta, o </w:t>
      </w:r>
      <w:r w:rsidRPr="00540E96">
        <w:rPr>
          <w:rFonts w:ascii="Cambria" w:hAnsi="Cambria"/>
          <w:sz w:val="20"/>
          <w:szCs w:val="20"/>
          <w:lang w:val="es-ES"/>
        </w:rPr>
        <w:t>la vía civil</w:t>
      </w:r>
      <w:r w:rsidRPr="00540E96">
        <w:rPr>
          <w:rStyle w:val="FootnoteReference"/>
          <w:rFonts w:ascii="Cambria" w:hAnsi="Cambria"/>
          <w:sz w:val="20"/>
          <w:szCs w:val="20"/>
          <w:lang w:val="es-ES"/>
        </w:rPr>
        <w:footnoteReference w:id="67"/>
      </w:r>
      <w:r w:rsidRPr="00540E96">
        <w:rPr>
          <w:rFonts w:ascii="Cambria" w:hAnsi="Cambria"/>
          <w:sz w:val="20"/>
          <w:szCs w:val="20"/>
          <w:lang w:val="es-ES"/>
        </w:rPr>
        <w:t xml:space="preserve">. </w:t>
      </w:r>
      <w:r w:rsidRPr="00540E96">
        <w:rPr>
          <w:rFonts w:ascii="Cambria" w:hAnsi="Cambria"/>
          <w:sz w:val="20"/>
          <w:szCs w:val="20"/>
          <w:lang w:val="es-CO"/>
        </w:rPr>
        <w:t xml:space="preserve">Es preciso resaltar que el derecho penal es el medio más restrictivo, el cual con base en el principio de mínima intervención penal y de última ratio, debe ser utilizado solo en situaciones excepcionales que impliquen graves lesiones a los bienes que se quiere proteger. </w:t>
      </w:r>
      <w:r w:rsidRPr="00540E96">
        <w:rPr>
          <w:rFonts w:ascii="Cambria" w:hAnsi="Cambria"/>
          <w:sz w:val="20"/>
          <w:szCs w:val="20"/>
          <w:lang w:val="es-VE"/>
        </w:rPr>
        <w:t xml:space="preserve">Es decir que, si se presenta efectivamente un abuso de la libertad de expresión que cause un perjuicio a los derechos ajenos, se debe acudir a las medidas menos restrictivas de la libertad de expresión para reparar dicho perjuicio: en primer lugar, al derecho de rectificación o respuesta consagrado en el artículo 14 de la Convención Americana; si ello no bastare, y se demuestra la existencia de un daño grave causado con la intención de dañar o con evidente desprecio por la </w:t>
      </w:r>
      <w:r w:rsidRPr="00540E96">
        <w:rPr>
          <w:rFonts w:ascii="Cambria" w:hAnsi="Cambria"/>
          <w:sz w:val="20"/>
          <w:szCs w:val="20"/>
          <w:lang w:val="es-VE"/>
        </w:rPr>
        <w:lastRenderedPageBreak/>
        <w:t>verdad, podría acudirse a mecanismos de responsabilidad civil que cumplan con las condiciones estrictas derivadas del artículo 13.2 de la Convención Americana</w:t>
      </w:r>
      <w:r w:rsidRPr="00540E96">
        <w:rPr>
          <w:rStyle w:val="FootnoteReference"/>
          <w:rFonts w:ascii="Cambria" w:hAnsi="Cambria"/>
          <w:sz w:val="20"/>
          <w:szCs w:val="20"/>
          <w:lang w:val="es-VE"/>
        </w:rPr>
        <w:footnoteReference w:id="68"/>
      </w:r>
      <w:r w:rsidRPr="00540E96">
        <w:rPr>
          <w:rFonts w:ascii="Cambria" w:hAnsi="Cambria"/>
          <w:sz w:val="20"/>
          <w:szCs w:val="20"/>
          <w:lang w:val="es-VE"/>
        </w:rPr>
        <w:t>.</w:t>
      </w:r>
      <w:r w:rsidR="00404580" w:rsidRPr="00540E96">
        <w:rPr>
          <w:rFonts w:ascii="Cambria" w:hAnsi="Cambria"/>
          <w:sz w:val="20"/>
          <w:szCs w:val="20"/>
          <w:lang w:val="es-VE"/>
        </w:rPr>
        <w:t xml:space="preserve"> </w:t>
      </w:r>
    </w:p>
    <w:p w14:paraId="4C243ECF" w14:textId="77777777" w:rsidR="00613A57" w:rsidRPr="00540E96" w:rsidRDefault="00613A57" w:rsidP="00613A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258A5E12" w14:textId="77777777" w:rsidR="00CB7B69" w:rsidRPr="00540E96" w:rsidRDefault="00404580" w:rsidP="00CB7B69">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VE"/>
        </w:rPr>
        <w:t xml:space="preserve">Estas sanciones civiles, de conformidad con la Declaración Conjunta de 2000 de los </w:t>
      </w:r>
      <w:r w:rsidR="007B1873" w:rsidRPr="00540E96">
        <w:rPr>
          <w:rFonts w:ascii="Cambria" w:hAnsi="Cambria"/>
          <w:sz w:val="20"/>
          <w:szCs w:val="20"/>
          <w:lang w:val="es-VE"/>
        </w:rPr>
        <w:t>R</w:t>
      </w:r>
      <w:r w:rsidRPr="00540E96">
        <w:rPr>
          <w:rFonts w:ascii="Cambria" w:hAnsi="Cambria"/>
          <w:sz w:val="20"/>
          <w:szCs w:val="20"/>
          <w:lang w:val="es-VE"/>
        </w:rPr>
        <w:t>elatores para la libertad de expresión de la ONU, la OEA y la OSCE, “no deben ser de tales proporciones que susciten un efecto inhibitorio sobre la libertad de expresión, y deben ser diseñadas de modo de restablecer la reputación dañada, y no de indemnizar al demandante o castigar al demandado; en especial, las sanciones pecuniarias deben ser estrictamente proporcionales a los daños reales causados, y la ley debe dar prioridad a la utilización de una gama de reparaciones no pecuniarias”</w:t>
      </w:r>
      <w:r w:rsidR="00E64C7E" w:rsidRPr="00540E96">
        <w:rPr>
          <w:rStyle w:val="FootnoteReference"/>
          <w:rFonts w:ascii="Cambria" w:hAnsi="Cambria"/>
          <w:sz w:val="20"/>
          <w:szCs w:val="20"/>
          <w:lang w:val="es-VE"/>
        </w:rPr>
        <w:footnoteReference w:id="69"/>
      </w:r>
      <w:r w:rsidRPr="00540E96">
        <w:rPr>
          <w:rFonts w:ascii="Cambria" w:hAnsi="Cambria"/>
          <w:sz w:val="20"/>
          <w:szCs w:val="20"/>
          <w:lang w:val="es-VE"/>
        </w:rPr>
        <w:t>.</w:t>
      </w:r>
    </w:p>
    <w:p w14:paraId="4847AE55" w14:textId="77777777" w:rsidR="00613A57" w:rsidRPr="00540E96" w:rsidRDefault="00613A57" w:rsidP="00613A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00F7CBE6" w14:textId="77777777" w:rsidR="00DD2EE3" w:rsidRPr="00540E96" w:rsidRDefault="005F4025" w:rsidP="00E41FD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ES"/>
        </w:rPr>
        <w:t xml:space="preserve">La </w:t>
      </w:r>
      <w:r w:rsidR="00941630" w:rsidRPr="00540E96">
        <w:rPr>
          <w:rFonts w:ascii="Cambria" w:hAnsi="Cambria"/>
          <w:sz w:val="20"/>
          <w:szCs w:val="20"/>
          <w:lang w:val="es-ES"/>
        </w:rPr>
        <w:t>Comisión</w:t>
      </w:r>
      <w:r w:rsidRPr="00540E96">
        <w:rPr>
          <w:rFonts w:ascii="Cambria" w:hAnsi="Cambria"/>
          <w:sz w:val="20"/>
          <w:szCs w:val="20"/>
          <w:lang w:val="es-ES"/>
        </w:rPr>
        <w:t xml:space="preserve"> ha hecho </w:t>
      </w:r>
      <w:r w:rsidR="00DD2EE3" w:rsidRPr="00540E96">
        <w:rPr>
          <w:rFonts w:ascii="Cambria" w:hAnsi="Cambria"/>
          <w:sz w:val="20"/>
          <w:szCs w:val="20"/>
          <w:lang w:val="es-ES"/>
        </w:rPr>
        <w:t>hincapié</w:t>
      </w:r>
      <w:r w:rsidR="00AD527E" w:rsidRPr="00540E96">
        <w:rPr>
          <w:rFonts w:ascii="Cambria" w:hAnsi="Cambria"/>
          <w:sz w:val="20"/>
          <w:szCs w:val="20"/>
          <w:lang w:val="es-ES"/>
        </w:rPr>
        <w:t xml:space="preserve"> en el </w:t>
      </w:r>
      <w:r w:rsidRPr="00540E96">
        <w:rPr>
          <w:rFonts w:ascii="Cambria" w:hAnsi="Cambria"/>
          <w:sz w:val="20"/>
          <w:szCs w:val="20"/>
          <w:lang w:val="es-ES"/>
        </w:rPr>
        <w:t>efecto disuasivo (</w:t>
      </w:r>
      <w:r w:rsidRPr="00540E96">
        <w:rPr>
          <w:rFonts w:ascii="Cambria" w:hAnsi="Cambria"/>
          <w:i/>
          <w:sz w:val="20"/>
          <w:szCs w:val="20"/>
          <w:lang w:val="es-ES"/>
        </w:rPr>
        <w:t xml:space="preserve">“chilling effect”) </w:t>
      </w:r>
      <w:r w:rsidR="00E066DA" w:rsidRPr="00540E96">
        <w:rPr>
          <w:rFonts w:ascii="Cambria" w:hAnsi="Cambria"/>
          <w:iCs/>
          <w:sz w:val="20"/>
          <w:szCs w:val="20"/>
          <w:lang w:val="es-ES"/>
        </w:rPr>
        <w:t>que</w:t>
      </w:r>
      <w:r w:rsidR="00E066DA" w:rsidRPr="00540E96">
        <w:rPr>
          <w:rFonts w:ascii="Cambria" w:hAnsi="Cambria"/>
          <w:i/>
          <w:sz w:val="20"/>
          <w:szCs w:val="20"/>
          <w:lang w:val="es-ES"/>
        </w:rPr>
        <w:t xml:space="preserve"> </w:t>
      </w:r>
      <w:r w:rsidR="006D5EAA" w:rsidRPr="00540E96">
        <w:rPr>
          <w:rFonts w:ascii="Cambria" w:hAnsi="Cambria"/>
          <w:iCs/>
          <w:sz w:val="20"/>
          <w:szCs w:val="20"/>
          <w:lang w:val="es-ES"/>
        </w:rPr>
        <w:t xml:space="preserve">genera </w:t>
      </w:r>
      <w:r w:rsidR="006D5EAA" w:rsidRPr="00540E96">
        <w:rPr>
          <w:rFonts w:ascii="Cambria" w:hAnsi="Cambria"/>
          <w:sz w:val="20"/>
          <w:szCs w:val="20"/>
          <w:lang w:val="es-PE"/>
        </w:rPr>
        <w:t xml:space="preserve">la utilización de mecanismos penales para sancionar expresiones sobre cuestiones de interés público </w:t>
      </w:r>
      <w:r w:rsidRPr="00540E96">
        <w:rPr>
          <w:rFonts w:ascii="Cambria" w:hAnsi="Cambria"/>
          <w:sz w:val="20"/>
          <w:szCs w:val="20"/>
          <w:lang w:val="es-ES"/>
        </w:rPr>
        <w:t>sobre el ejercicio de</w:t>
      </w:r>
      <w:r w:rsidR="00A90644" w:rsidRPr="00540E96">
        <w:rPr>
          <w:rFonts w:ascii="Cambria" w:hAnsi="Cambria"/>
          <w:sz w:val="20"/>
          <w:szCs w:val="20"/>
          <w:lang w:val="es-ES"/>
        </w:rPr>
        <w:t xml:space="preserve">l </w:t>
      </w:r>
      <w:r w:rsidRPr="00540E96">
        <w:rPr>
          <w:rFonts w:ascii="Cambria" w:hAnsi="Cambria"/>
          <w:sz w:val="20"/>
          <w:szCs w:val="20"/>
          <w:lang w:val="es-ES"/>
        </w:rPr>
        <w:t>derecho</w:t>
      </w:r>
      <w:r w:rsidR="00D21A27" w:rsidRPr="00540E96">
        <w:rPr>
          <w:rFonts w:ascii="Cambria" w:hAnsi="Cambria"/>
          <w:sz w:val="20"/>
          <w:szCs w:val="20"/>
          <w:lang w:val="es-ES"/>
        </w:rPr>
        <w:t xml:space="preserve"> </w:t>
      </w:r>
      <w:r w:rsidR="00A90644" w:rsidRPr="00540E96">
        <w:rPr>
          <w:rFonts w:ascii="Cambria" w:hAnsi="Cambria"/>
          <w:sz w:val="20"/>
          <w:szCs w:val="20"/>
          <w:lang w:val="es-ES"/>
        </w:rPr>
        <w:t>a la libertad de expresión</w:t>
      </w:r>
      <w:r w:rsidR="003F1F14" w:rsidRPr="00540E96">
        <w:rPr>
          <w:rFonts w:ascii="Cambria" w:hAnsi="Cambria"/>
          <w:sz w:val="20"/>
          <w:szCs w:val="20"/>
          <w:lang w:val="es-ES"/>
        </w:rPr>
        <w:t xml:space="preserve">, lo cual </w:t>
      </w:r>
      <w:r w:rsidRPr="00540E96">
        <w:rPr>
          <w:rFonts w:ascii="Cambria" w:hAnsi="Cambria"/>
          <w:sz w:val="20"/>
          <w:szCs w:val="20"/>
          <w:lang w:val="es-ES"/>
        </w:rPr>
        <w:t>inhibe a los periodistas reportar sobre asuntos de interés público general</w:t>
      </w:r>
      <w:r w:rsidRPr="00540E96">
        <w:rPr>
          <w:rFonts w:ascii="Cambria" w:hAnsi="Cambria"/>
          <w:sz w:val="20"/>
          <w:szCs w:val="20"/>
          <w:vertAlign w:val="superscript"/>
        </w:rPr>
        <w:footnoteReference w:id="70"/>
      </w:r>
      <w:r w:rsidRPr="00540E96">
        <w:rPr>
          <w:rFonts w:ascii="Cambria" w:hAnsi="Cambria"/>
          <w:sz w:val="20"/>
          <w:szCs w:val="20"/>
          <w:lang w:val="es-ES"/>
        </w:rPr>
        <w:t xml:space="preserve">. </w:t>
      </w:r>
      <w:r w:rsidR="00DD2EE3" w:rsidRPr="00540E96">
        <w:rPr>
          <w:rFonts w:ascii="Cambria" w:hAnsi="Cambria"/>
          <w:sz w:val="20"/>
          <w:szCs w:val="20"/>
          <w:lang w:val="es-ES"/>
        </w:rPr>
        <w:t xml:space="preserve">Asimismo, la Corte Interamericana ha destacado que </w:t>
      </w:r>
      <w:r w:rsidR="00DD2EE3" w:rsidRPr="00540E96">
        <w:rPr>
          <w:rFonts w:ascii="Cambria" w:hAnsi="Cambria"/>
          <w:sz w:val="20"/>
          <w:szCs w:val="20"/>
          <w:lang w:val="es-PE"/>
        </w:rPr>
        <w:t>el temor a una sanción civil desproporcionada puede ser a todas luces tan o más intimidante e inhibidor para el ejercicio de la libertad de expresión que una sanción penal, en tanto tiene la potencialidad de comprometer la vida personal y familiar de quien denuncia o, como en el presente caso, publica información sobre un funcionario público, con el resultado evidente y disvalioso de autocensura, tanto para el afectado como para otros potenciales críticos de la actuación de un servidor público</w:t>
      </w:r>
      <w:r w:rsidR="00D9503E" w:rsidRPr="00540E96">
        <w:rPr>
          <w:rStyle w:val="FootnoteReference"/>
          <w:rFonts w:ascii="Cambria" w:hAnsi="Cambria"/>
          <w:sz w:val="20"/>
          <w:szCs w:val="20"/>
          <w:lang w:val="es-PE"/>
        </w:rPr>
        <w:footnoteReference w:id="71"/>
      </w:r>
      <w:r w:rsidR="00D9503E" w:rsidRPr="00540E96">
        <w:rPr>
          <w:rFonts w:ascii="Cambria" w:hAnsi="Cambria"/>
          <w:sz w:val="20"/>
          <w:szCs w:val="20"/>
          <w:lang w:val="es-PE"/>
        </w:rPr>
        <w:t>.</w:t>
      </w:r>
    </w:p>
    <w:p w14:paraId="3D55E1F0" w14:textId="77777777" w:rsidR="00E54AAA" w:rsidRPr="00540E96" w:rsidRDefault="00E54AAA" w:rsidP="00E41FD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22C9948C" w14:textId="77777777" w:rsidR="002A3681" w:rsidRPr="00540E96" w:rsidRDefault="002A3681" w:rsidP="006635F2">
      <w:pPr>
        <w:pStyle w:val="Heading3"/>
      </w:pPr>
      <w:bookmarkStart w:id="40" w:name="_Toc24542770"/>
      <w:r w:rsidRPr="00540E96">
        <w:t>Veracidad de la información y doctrina de la real malicia</w:t>
      </w:r>
      <w:bookmarkEnd w:id="40"/>
      <w:r w:rsidRPr="00540E96">
        <w:t xml:space="preserve"> </w:t>
      </w:r>
    </w:p>
    <w:p w14:paraId="2A54946E" w14:textId="77777777" w:rsidR="002A3681" w:rsidRPr="00540E96" w:rsidRDefault="002A3681" w:rsidP="00E41FD0">
      <w:pPr>
        <w:jc w:val="both"/>
        <w:rPr>
          <w:rFonts w:ascii="Cambria" w:hAnsi="Cambria"/>
          <w:sz w:val="20"/>
          <w:szCs w:val="20"/>
          <w:lang w:val="es-PE"/>
        </w:rPr>
      </w:pPr>
    </w:p>
    <w:p w14:paraId="09CF0413" w14:textId="77777777" w:rsidR="00B476E8" w:rsidRPr="00540E96" w:rsidRDefault="00CA029F" w:rsidP="00E41FD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bookmarkStart w:id="41" w:name="_Toc534905537"/>
      <w:r w:rsidRPr="00540E96">
        <w:rPr>
          <w:rFonts w:ascii="Cambria" w:hAnsi="Cambria"/>
          <w:sz w:val="20"/>
          <w:szCs w:val="20"/>
          <w:lang w:val="es-PE"/>
        </w:rPr>
        <w:t>En primer lugar</w:t>
      </w:r>
      <w:r w:rsidR="002A1609" w:rsidRPr="00540E96">
        <w:rPr>
          <w:rFonts w:ascii="Cambria" w:hAnsi="Cambria"/>
          <w:sz w:val="20"/>
          <w:szCs w:val="20"/>
          <w:lang w:val="es-PE"/>
        </w:rPr>
        <w:t>,</w:t>
      </w:r>
      <w:r w:rsidRPr="00540E96">
        <w:rPr>
          <w:rFonts w:ascii="Cambria" w:hAnsi="Cambria"/>
          <w:sz w:val="20"/>
          <w:szCs w:val="20"/>
          <w:lang w:val="es-PE"/>
        </w:rPr>
        <w:t xml:space="preserve"> es preciso hacer una distinción entre aquellos temas que responden a hechos concretos y de posible comprobación fáctica, de los juicios de valor. En este último caso, es imposible hablar sobre veracidad de la información</w:t>
      </w:r>
      <w:r w:rsidRPr="00540E96">
        <w:rPr>
          <w:rStyle w:val="FootnoteReference"/>
          <w:rFonts w:ascii="Cambria" w:hAnsi="Cambria"/>
          <w:sz w:val="20"/>
          <w:szCs w:val="20"/>
          <w:lang w:val="es-PE"/>
        </w:rPr>
        <w:footnoteReference w:id="72"/>
      </w:r>
      <w:r w:rsidRPr="00540E96">
        <w:rPr>
          <w:rFonts w:ascii="Cambria" w:hAnsi="Cambria"/>
          <w:sz w:val="20"/>
          <w:szCs w:val="20"/>
          <w:lang w:val="es-PE"/>
        </w:rPr>
        <w:t>, por</w:t>
      </w:r>
      <w:r w:rsidR="00B476E8" w:rsidRPr="00540E96">
        <w:rPr>
          <w:rFonts w:ascii="Cambria" w:hAnsi="Cambria"/>
          <w:sz w:val="20"/>
          <w:szCs w:val="20"/>
          <w:lang w:val="es-PE"/>
        </w:rPr>
        <w:t xml:space="preserve"> lo que este apartado se refiere</w:t>
      </w:r>
      <w:r w:rsidRPr="00540E96">
        <w:rPr>
          <w:rFonts w:ascii="Cambria" w:hAnsi="Cambria"/>
          <w:sz w:val="20"/>
          <w:szCs w:val="20"/>
          <w:lang w:val="es-PE"/>
        </w:rPr>
        <w:t xml:space="preserve"> a la información de hechos o n</w:t>
      </w:r>
      <w:r w:rsidR="00B476E8" w:rsidRPr="00540E96">
        <w:rPr>
          <w:rFonts w:ascii="Cambria" w:hAnsi="Cambria"/>
          <w:sz w:val="20"/>
          <w:szCs w:val="20"/>
          <w:lang w:val="es-PE"/>
        </w:rPr>
        <w:t>oticias que por su naturaleza pueden ser verificables.</w:t>
      </w:r>
      <w:r w:rsidRPr="00540E96">
        <w:rPr>
          <w:rFonts w:ascii="Cambria" w:hAnsi="Cambria"/>
          <w:sz w:val="20"/>
          <w:szCs w:val="20"/>
          <w:lang w:val="es-PE"/>
        </w:rPr>
        <w:t xml:space="preserve">  </w:t>
      </w:r>
    </w:p>
    <w:p w14:paraId="65DC04A6" w14:textId="77777777" w:rsidR="00B476E8" w:rsidRPr="00540E96" w:rsidRDefault="00B476E8" w:rsidP="00B476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44AB338A" w14:textId="77777777" w:rsidR="00943A07" w:rsidRPr="00616B34" w:rsidRDefault="00B476E8" w:rsidP="00616B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CO"/>
        </w:rPr>
        <w:t>L</w:t>
      </w:r>
      <w:r w:rsidR="00CD4088" w:rsidRPr="00540E96">
        <w:rPr>
          <w:rFonts w:ascii="Cambria" w:hAnsi="Cambria"/>
          <w:sz w:val="20"/>
          <w:szCs w:val="20"/>
          <w:lang w:val="es-PE"/>
        </w:rPr>
        <w:t>a Comisión y la Corte han establecido no solo que la</w:t>
      </w:r>
      <w:r w:rsidR="005D5D1B" w:rsidRPr="00540E96">
        <w:rPr>
          <w:rFonts w:ascii="Cambria" w:hAnsi="Cambria"/>
          <w:sz w:val="20"/>
          <w:szCs w:val="20"/>
          <w:lang w:val="es-PE"/>
        </w:rPr>
        <w:t>s expresiones críticas e incluso ofensivas</w:t>
      </w:r>
      <w:r w:rsidR="009F5038" w:rsidRPr="00540E96">
        <w:rPr>
          <w:rFonts w:ascii="Cambria" w:hAnsi="Cambria"/>
          <w:sz w:val="20"/>
          <w:szCs w:val="20"/>
          <w:lang w:val="es-PE"/>
        </w:rPr>
        <w:t xml:space="preserve"> gozan de la protección del derecho a la libertad de expresión, sino que</w:t>
      </w:r>
      <w:r w:rsidR="00F92D11" w:rsidRPr="00540E96">
        <w:rPr>
          <w:rFonts w:ascii="Cambria" w:hAnsi="Cambria"/>
          <w:sz w:val="20"/>
          <w:szCs w:val="20"/>
          <w:lang w:val="es-PE"/>
        </w:rPr>
        <w:t xml:space="preserve"> en virtud de la necesidad de</w:t>
      </w:r>
      <w:r w:rsidR="005B2784" w:rsidRPr="00540E96">
        <w:rPr>
          <w:rFonts w:ascii="Cambria" w:hAnsi="Cambria"/>
          <w:sz w:val="20"/>
          <w:szCs w:val="20"/>
          <w:lang w:val="es-PE"/>
        </w:rPr>
        <w:t xml:space="preserve"> </w:t>
      </w:r>
      <w:r w:rsidR="005B2784" w:rsidRPr="00540E96">
        <w:rPr>
          <w:rFonts w:ascii="Cambria" w:hAnsi="Cambria"/>
          <w:sz w:val="20"/>
          <w:szCs w:val="20"/>
          <w:lang w:val="es-ES"/>
        </w:rPr>
        <w:t xml:space="preserve">la máxima posibilidad de información y el pleno ejercicio del derecho a la expresión </w:t>
      </w:r>
      <w:r w:rsidR="00BC2215" w:rsidRPr="00540E96">
        <w:rPr>
          <w:rFonts w:ascii="Cambria" w:hAnsi="Cambria"/>
          <w:sz w:val="20"/>
          <w:szCs w:val="20"/>
          <w:lang w:val="es-ES"/>
        </w:rPr>
        <w:t xml:space="preserve">existe un margen </w:t>
      </w:r>
      <w:r w:rsidR="00EC664E" w:rsidRPr="00540E96">
        <w:rPr>
          <w:rFonts w:ascii="Cambria" w:hAnsi="Cambria"/>
          <w:sz w:val="20"/>
          <w:szCs w:val="20"/>
          <w:lang w:val="es-ES"/>
        </w:rPr>
        <w:t>legítimo para la inexactitud</w:t>
      </w:r>
      <w:r w:rsidR="007679E4" w:rsidRPr="00540E96">
        <w:rPr>
          <w:rFonts w:ascii="Cambria" w:hAnsi="Cambria"/>
          <w:sz w:val="20"/>
          <w:szCs w:val="20"/>
          <w:lang w:val="es-ES"/>
        </w:rPr>
        <w:t xml:space="preserve"> en la información que se difunde</w:t>
      </w:r>
      <w:r w:rsidR="0067305D" w:rsidRPr="00540E96">
        <w:rPr>
          <w:rFonts w:ascii="Cambria" w:hAnsi="Cambria"/>
          <w:sz w:val="20"/>
          <w:szCs w:val="20"/>
          <w:lang w:val="es-ES"/>
        </w:rPr>
        <w:t xml:space="preserve">. En este sentido, </w:t>
      </w:r>
      <w:r w:rsidR="002B04FC" w:rsidRPr="00540E96">
        <w:rPr>
          <w:rFonts w:ascii="Cambria" w:hAnsi="Cambria"/>
          <w:sz w:val="20"/>
          <w:szCs w:val="20"/>
          <w:lang w:val="es-PE"/>
        </w:rPr>
        <w:t>el derecho a la información abarca toda la información, inclusive aquella que denominamos “</w:t>
      </w:r>
      <w:r w:rsidR="002B04FC" w:rsidRPr="00616B34">
        <w:rPr>
          <w:rFonts w:ascii="Cambria" w:hAnsi="Cambria"/>
          <w:sz w:val="20"/>
          <w:szCs w:val="20"/>
          <w:lang w:val="es-PE"/>
        </w:rPr>
        <w:t>errónea”</w:t>
      </w:r>
      <w:r w:rsidR="00E369B9" w:rsidRPr="00616B34">
        <w:rPr>
          <w:rFonts w:ascii="Cambria" w:hAnsi="Cambria"/>
          <w:sz w:val="20"/>
          <w:szCs w:val="20"/>
          <w:lang w:val="es-PE"/>
        </w:rPr>
        <w:t>, siempre y cuando se cumplan ciertos requisitos que serán descritos en los siguientes párrafos</w:t>
      </w:r>
      <w:r w:rsidR="00BB3AAE" w:rsidRPr="00616B34">
        <w:rPr>
          <w:rStyle w:val="FootnoteReference"/>
          <w:rFonts w:ascii="Cambria" w:hAnsi="Cambria"/>
          <w:sz w:val="20"/>
          <w:szCs w:val="20"/>
          <w:lang w:val="es-PE"/>
        </w:rPr>
        <w:footnoteReference w:id="73"/>
      </w:r>
      <w:r w:rsidR="00E369B9" w:rsidRPr="00616B34">
        <w:rPr>
          <w:rFonts w:ascii="Cambria" w:hAnsi="Cambria"/>
          <w:sz w:val="20"/>
          <w:szCs w:val="20"/>
          <w:lang w:val="es-PE"/>
        </w:rPr>
        <w:t xml:space="preserve">. </w:t>
      </w:r>
      <w:r w:rsidR="00181AEA" w:rsidRPr="00616B34">
        <w:rPr>
          <w:rFonts w:ascii="Cambria" w:hAnsi="Cambria"/>
          <w:sz w:val="20"/>
          <w:szCs w:val="20"/>
          <w:lang w:val="es-PE"/>
        </w:rPr>
        <w:t xml:space="preserve">La divulgación de </w:t>
      </w:r>
      <w:r w:rsidR="008A2A13" w:rsidRPr="00616B34">
        <w:rPr>
          <w:rFonts w:ascii="Cambria" w:hAnsi="Cambria"/>
          <w:sz w:val="20"/>
          <w:szCs w:val="20"/>
          <w:lang w:val="es-PE"/>
        </w:rPr>
        <w:t xml:space="preserve">información errónea </w:t>
      </w:r>
      <w:r w:rsidR="00181AEA" w:rsidRPr="00616B34">
        <w:rPr>
          <w:rFonts w:ascii="Cambria" w:hAnsi="Cambria"/>
          <w:sz w:val="20"/>
          <w:szCs w:val="20"/>
          <w:lang w:val="es-PE"/>
        </w:rPr>
        <w:t xml:space="preserve">de buena fe, </w:t>
      </w:r>
      <w:r w:rsidR="008A2A13" w:rsidRPr="00616B34">
        <w:rPr>
          <w:rFonts w:ascii="Cambria" w:hAnsi="Cambria"/>
          <w:sz w:val="20"/>
          <w:szCs w:val="20"/>
          <w:lang w:val="es-PE"/>
        </w:rPr>
        <w:t xml:space="preserve">es inevitable en una sociedad democrática, libre y pluralista, por lo que de imponerse una exigencia de verdad absoluta </w:t>
      </w:r>
      <w:r w:rsidR="00CA029F" w:rsidRPr="00616B34">
        <w:rPr>
          <w:rFonts w:ascii="Cambria" w:hAnsi="Cambria"/>
          <w:sz w:val="20"/>
          <w:szCs w:val="20"/>
          <w:lang w:val="es-PE"/>
        </w:rPr>
        <w:t>para el ejercicio del derecho a la libertad de expresión</w:t>
      </w:r>
      <w:r w:rsidR="003B5761" w:rsidRPr="00616B34">
        <w:rPr>
          <w:rFonts w:ascii="Cambria" w:hAnsi="Cambria"/>
          <w:sz w:val="20"/>
          <w:szCs w:val="20"/>
          <w:lang w:val="es-PE"/>
        </w:rPr>
        <w:t>,</w:t>
      </w:r>
      <w:r w:rsidR="00CA029F" w:rsidRPr="00616B34">
        <w:rPr>
          <w:rFonts w:ascii="Cambria" w:hAnsi="Cambria"/>
          <w:sz w:val="20"/>
          <w:szCs w:val="20"/>
          <w:lang w:val="es-PE"/>
        </w:rPr>
        <w:t xml:space="preserve"> especialmente en relación con temas de interés público</w:t>
      </w:r>
      <w:r w:rsidR="00181AEA" w:rsidRPr="00616B34">
        <w:rPr>
          <w:rFonts w:ascii="Cambria" w:hAnsi="Cambria"/>
          <w:sz w:val="20"/>
          <w:szCs w:val="20"/>
          <w:lang w:val="es-PE"/>
        </w:rPr>
        <w:t xml:space="preserve"> como los abusos de poder y la corrupción</w:t>
      </w:r>
      <w:r w:rsidR="003B5761" w:rsidRPr="00616B34">
        <w:rPr>
          <w:rFonts w:ascii="Cambria" w:hAnsi="Cambria"/>
          <w:sz w:val="20"/>
          <w:szCs w:val="20"/>
          <w:lang w:val="es-PE"/>
        </w:rPr>
        <w:t>,</w:t>
      </w:r>
      <w:r w:rsidR="00522688" w:rsidRPr="00616B34">
        <w:rPr>
          <w:rFonts w:ascii="Cambria" w:hAnsi="Cambria"/>
          <w:sz w:val="20"/>
          <w:szCs w:val="20"/>
          <w:lang w:val="es-PE"/>
        </w:rPr>
        <w:t xml:space="preserve"> </w:t>
      </w:r>
      <w:r w:rsidR="003B5761" w:rsidRPr="00616B34">
        <w:rPr>
          <w:rFonts w:ascii="Cambria" w:hAnsi="Cambria"/>
          <w:sz w:val="20"/>
          <w:szCs w:val="20"/>
          <w:lang w:val="es-PE"/>
        </w:rPr>
        <w:t xml:space="preserve">se </w:t>
      </w:r>
      <w:r w:rsidR="00CA029F" w:rsidRPr="00616B34">
        <w:rPr>
          <w:rFonts w:ascii="Cambria" w:hAnsi="Cambria"/>
          <w:sz w:val="20"/>
          <w:szCs w:val="20"/>
          <w:lang w:val="es-PE"/>
        </w:rPr>
        <w:t>afecta</w:t>
      </w:r>
      <w:r w:rsidR="003B5761" w:rsidRPr="00616B34">
        <w:rPr>
          <w:rFonts w:ascii="Cambria" w:hAnsi="Cambria"/>
          <w:sz w:val="20"/>
          <w:szCs w:val="20"/>
          <w:lang w:val="es-PE"/>
        </w:rPr>
        <w:t>ría</w:t>
      </w:r>
      <w:r w:rsidR="00522688" w:rsidRPr="00616B34">
        <w:rPr>
          <w:rFonts w:ascii="Cambria" w:hAnsi="Cambria"/>
          <w:sz w:val="20"/>
          <w:szCs w:val="20"/>
          <w:lang w:val="es-PE"/>
        </w:rPr>
        <w:t xml:space="preserve"> la esencia misma del derecho.</w:t>
      </w:r>
    </w:p>
    <w:p w14:paraId="76E509CC" w14:textId="77777777" w:rsidR="00181AEA" w:rsidRPr="00616B34" w:rsidRDefault="00181AEA" w:rsidP="00E41FD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4BB5E10D" w14:textId="77777777" w:rsidR="004900D2" w:rsidRPr="00540E96" w:rsidRDefault="00C0204A" w:rsidP="004900D2">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PE"/>
        </w:rPr>
        <w:t xml:space="preserve">La Corte Interamericana estableció </w:t>
      </w:r>
      <w:r w:rsidR="003B5761" w:rsidRPr="00540E96">
        <w:rPr>
          <w:rFonts w:ascii="Cambria" w:hAnsi="Cambria"/>
          <w:sz w:val="20"/>
          <w:szCs w:val="20"/>
          <w:lang w:val="es-PE"/>
        </w:rPr>
        <w:t>en</w:t>
      </w:r>
      <w:r w:rsidR="00621A87" w:rsidRPr="00540E96">
        <w:rPr>
          <w:rFonts w:ascii="Cambria" w:hAnsi="Cambria"/>
          <w:sz w:val="20"/>
          <w:szCs w:val="20"/>
          <w:lang w:val="es-PE"/>
        </w:rPr>
        <w:t xml:space="preserve"> la Opinión Consultiva </w:t>
      </w:r>
      <w:r w:rsidR="00AB4D53" w:rsidRPr="00540E96">
        <w:rPr>
          <w:rFonts w:ascii="Cambria" w:hAnsi="Cambria"/>
          <w:sz w:val="20"/>
          <w:szCs w:val="20"/>
          <w:lang w:val="es-PE"/>
        </w:rPr>
        <w:t>OC-5/85 sobre c</w:t>
      </w:r>
      <w:r w:rsidR="00A40124" w:rsidRPr="00540E96">
        <w:rPr>
          <w:rFonts w:ascii="Cambria" w:hAnsi="Cambria"/>
          <w:sz w:val="20"/>
          <w:szCs w:val="20"/>
          <w:lang w:val="es-PE"/>
        </w:rPr>
        <w:t xml:space="preserve">olegiación obligatoria de periodistas </w:t>
      </w:r>
      <w:r w:rsidR="004A0A69" w:rsidRPr="00540E96">
        <w:rPr>
          <w:rFonts w:ascii="Cambria" w:hAnsi="Cambria"/>
          <w:sz w:val="20"/>
          <w:szCs w:val="20"/>
          <w:lang w:val="es-PE"/>
        </w:rPr>
        <w:t xml:space="preserve">que la exigencia de </w:t>
      </w:r>
      <w:r w:rsidR="00CE63E9" w:rsidRPr="00540E96">
        <w:rPr>
          <w:rFonts w:ascii="Cambria" w:hAnsi="Cambria"/>
          <w:sz w:val="20"/>
          <w:szCs w:val="20"/>
          <w:lang w:val="es-ES"/>
        </w:rPr>
        <w:t>u</w:t>
      </w:r>
      <w:r w:rsidR="006B5D34" w:rsidRPr="00540E96">
        <w:rPr>
          <w:rFonts w:ascii="Cambria" w:hAnsi="Cambria"/>
          <w:sz w:val="20"/>
          <w:szCs w:val="20"/>
          <w:lang w:val="es-ES"/>
        </w:rPr>
        <w:t xml:space="preserve">n sistema de control al derecho </w:t>
      </w:r>
      <w:r w:rsidR="009E54A9">
        <w:rPr>
          <w:rFonts w:ascii="Cambria" w:hAnsi="Cambria"/>
          <w:sz w:val="20"/>
          <w:szCs w:val="20"/>
          <w:lang w:val="es-ES"/>
        </w:rPr>
        <w:t xml:space="preserve">a la libertad </w:t>
      </w:r>
      <w:r w:rsidR="006B5D34" w:rsidRPr="00540E96">
        <w:rPr>
          <w:rFonts w:ascii="Cambria" w:hAnsi="Cambria"/>
          <w:sz w:val="20"/>
          <w:szCs w:val="20"/>
          <w:lang w:val="es-ES"/>
        </w:rPr>
        <w:t>de expresión en nombre de una supuesta garantía de la corrección y veracidad de la informac</w:t>
      </w:r>
      <w:r w:rsidR="00AB4D53" w:rsidRPr="00540E96">
        <w:rPr>
          <w:rFonts w:ascii="Cambria" w:hAnsi="Cambria"/>
          <w:sz w:val="20"/>
          <w:szCs w:val="20"/>
          <w:lang w:val="es-ES"/>
        </w:rPr>
        <w:t>ión que la sociedad recibe puede</w:t>
      </w:r>
      <w:r w:rsidR="006B5D34" w:rsidRPr="00540E96">
        <w:rPr>
          <w:rFonts w:ascii="Cambria" w:hAnsi="Cambria"/>
          <w:sz w:val="20"/>
          <w:szCs w:val="20"/>
          <w:lang w:val="es-ES"/>
        </w:rPr>
        <w:t xml:space="preserve"> ser fuente de grandes abusos y, en el fondo, viola el derecho a la información que tiene esa misma sociedad</w:t>
      </w:r>
      <w:r w:rsidR="0013630C" w:rsidRPr="00540E96">
        <w:rPr>
          <w:rStyle w:val="FootnoteReference"/>
          <w:rFonts w:ascii="Cambria" w:hAnsi="Cambria"/>
          <w:sz w:val="20"/>
          <w:szCs w:val="20"/>
          <w:lang w:val="es-ES"/>
        </w:rPr>
        <w:footnoteReference w:id="74"/>
      </w:r>
      <w:r w:rsidR="006B5D34" w:rsidRPr="00540E96">
        <w:rPr>
          <w:rFonts w:ascii="Cambria" w:hAnsi="Cambria"/>
          <w:sz w:val="20"/>
          <w:szCs w:val="20"/>
          <w:lang w:val="es-ES"/>
        </w:rPr>
        <w:t xml:space="preserve">. </w:t>
      </w:r>
      <w:r w:rsidR="00F82580" w:rsidRPr="00540E96">
        <w:rPr>
          <w:rFonts w:ascii="Cambria" w:hAnsi="Cambria"/>
          <w:sz w:val="20"/>
          <w:szCs w:val="20"/>
          <w:lang w:val="es-ES"/>
        </w:rPr>
        <w:t xml:space="preserve">Esta exigencia </w:t>
      </w:r>
      <w:r w:rsidR="00522688" w:rsidRPr="00540E96">
        <w:rPr>
          <w:rFonts w:ascii="Cambria" w:hAnsi="Cambria"/>
          <w:sz w:val="20"/>
          <w:szCs w:val="20"/>
          <w:lang w:val="es-ES"/>
        </w:rPr>
        <w:t xml:space="preserve">no solo genera </w:t>
      </w:r>
      <w:r w:rsidR="00522688" w:rsidRPr="00540E96">
        <w:rPr>
          <w:rFonts w:ascii="Cambria" w:hAnsi="Cambria"/>
          <w:sz w:val="20"/>
          <w:szCs w:val="20"/>
          <w:lang w:val="es-PE"/>
        </w:rPr>
        <w:t>la autocensura e inhibición de comunicadores sociales</w:t>
      </w:r>
      <w:r w:rsidR="00B03635" w:rsidRPr="00540E96">
        <w:rPr>
          <w:rFonts w:ascii="Cambria" w:hAnsi="Cambria"/>
          <w:sz w:val="20"/>
          <w:szCs w:val="20"/>
          <w:lang w:val="es-PE"/>
        </w:rPr>
        <w:t xml:space="preserve"> y la limitación de</w:t>
      </w:r>
      <w:r w:rsidR="001243E4" w:rsidRPr="00540E96">
        <w:rPr>
          <w:rFonts w:ascii="Cambria" w:hAnsi="Cambria"/>
          <w:sz w:val="20"/>
          <w:szCs w:val="20"/>
          <w:lang w:val="es-PE"/>
        </w:rPr>
        <w:t>l</w:t>
      </w:r>
      <w:r w:rsidR="00B03635" w:rsidRPr="00540E96">
        <w:rPr>
          <w:rFonts w:ascii="Cambria" w:hAnsi="Cambria"/>
          <w:sz w:val="20"/>
          <w:szCs w:val="20"/>
          <w:lang w:val="es-PE"/>
        </w:rPr>
        <w:t xml:space="preserve"> má</w:t>
      </w:r>
      <w:r w:rsidR="001243E4" w:rsidRPr="00540E96">
        <w:rPr>
          <w:rFonts w:ascii="Cambria" w:hAnsi="Cambria"/>
          <w:sz w:val="20"/>
          <w:szCs w:val="20"/>
          <w:lang w:val="es-PE"/>
        </w:rPr>
        <w:t>ximo</w:t>
      </w:r>
      <w:r w:rsidR="00B03635" w:rsidRPr="00540E96">
        <w:rPr>
          <w:rFonts w:ascii="Cambria" w:hAnsi="Cambria"/>
          <w:sz w:val="20"/>
          <w:szCs w:val="20"/>
          <w:lang w:val="es-PE"/>
        </w:rPr>
        <w:t xml:space="preserve"> </w:t>
      </w:r>
      <w:r w:rsidR="001243E4" w:rsidRPr="00540E96">
        <w:rPr>
          <w:rFonts w:ascii="Cambria" w:hAnsi="Cambria"/>
          <w:sz w:val="20"/>
          <w:szCs w:val="20"/>
          <w:lang w:val="es-PE"/>
        </w:rPr>
        <w:t>flujo informativo</w:t>
      </w:r>
      <w:r w:rsidR="00B03635" w:rsidRPr="00540E96">
        <w:rPr>
          <w:rFonts w:ascii="Cambria" w:hAnsi="Cambria"/>
          <w:sz w:val="20"/>
          <w:szCs w:val="20"/>
          <w:lang w:val="es-PE"/>
        </w:rPr>
        <w:t xml:space="preserve"> en la sociedad</w:t>
      </w:r>
      <w:r w:rsidR="00522688" w:rsidRPr="00540E96">
        <w:rPr>
          <w:rFonts w:ascii="Cambria" w:hAnsi="Cambria"/>
          <w:sz w:val="20"/>
          <w:szCs w:val="20"/>
          <w:lang w:val="es-PE"/>
        </w:rPr>
        <w:t xml:space="preserve">, sino que también </w:t>
      </w:r>
      <w:r w:rsidR="00B03635" w:rsidRPr="00540E96">
        <w:rPr>
          <w:rFonts w:ascii="Cambria" w:hAnsi="Cambria"/>
          <w:sz w:val="20"/>
          <w:szCs w:val="20"/>
          <w:lang w:val="es-PE"/>
        </w:rPr>
        <w:t xml:space="preserve">implica la imposición de un entendimiento de la verdad de </w:t>
      </w:r>
      <w:r w:rsidR="00B03635" w:rsidRPr="00540E96">
        <w:rPr>
          <w:rFonts w:ascii="Cambria" w:hAnsi="Cambria"/>
          <w:sz w:val="20"/>
          <w:szCs w:val="20"/>
          <w:lang w:val="es-PE"/>
        </w:rPr>
        <w:lastRenderedPageBreak/>
        <w:t>conformidad con la voluntad del Estado, al momento de decidir sobre los l</w:t>
      </w:r>
      <w:r w:rsidR="001243E4" w:rsidRPr="00540E96">
        <w:rPr>
          <w:rFonts w:ascii="Cambria" w:hAnsi="Cambria"/>
          <w:sz w:val="20"/>
          <w:szCs w:val="20"/>
          <w:lang w:val="es-PE"/>
        </w:rPr>
        <w:t>ímites del</w:t>
      </w:r>
      <w:r w:rsidR="00B03635" w:rsidRPr="00540E96">
        <w:rPr>
          <w:rFonts w:ascii="Cambria" w:hAnsi="Cambria"/>
          <w:sz w:val="20"/>
          <w:szCs w:val="20"/>
          <w:lang w:val="es-PE"/>
        </w:rPr>
        <w:t xml:space="preserve"> derecho.</w:t>
      </w:r>
      <w:r w:rsidR="00522688" w:rsidRPr="00540E96">
        <w:rPr>
          <w:rFonts w:ascii="Cambria" w:hAnsi="Cambria"/>
          <w:sz w:val="20"/>
          <w:szCs w:val="20"/>
          <w:lang w:val="es-PE"/>
        </w:rPr>
        <w:t xml:space="preserve"> </w:t>
      </w:r>
      <w:r w:rsidR="00F87377" w:rsidRPr="00540E96">
        <w:rPr>
          <w:rFonts w:ascii="Cambria" w:hAnsi="Cambria"/>
          <w:sz w:val="20"/>
          <w:szCs w:val="20"/>
          <w:lang w:val="es-ES"/>
        </w:rPr>
        <w:t xml:space="preserve">Asimismo, la Comisión </w:t>
      </w:r>
      <w:r w:rsidR="006F403C" w:rsidRPr="00540E96">
        <w:rPr>
          <w:rFonts w:ascii="Cambria" w:hAnsi="Cambria"/>
          <w:sz w:val="20"/>
          <w:szCs w:val="20"/>
          <w:lang w:val="es-ES"/>
        </w:rPr>
        <w:t xml:space="preserve">ha considerado </w:t>
      </w:r>
      <w:r w:rsidR="00F87377" w:rsidRPr="00540E96">
        <w:rPr>
          <w:rFonts w:ascii="Cambria" w:hAnsi="Cambria"/>
          <w:color w:val="000000"/>
          <w:sz w:val="20"/>
          <w:szCs w:val="20"/>
          <w:lang w:val="es-PE"/>
        </w:rPr>
        <w:t>que una norma que obligue al crítico de los funcionarios públicos a garantizar las afirmaciones fácticas tiene consecuencias perturbadoras para la crítica de la conducta gubernamental</w:t>
      </w:r>
      <w:r w:rsidR="006F403C" w:rsidRPr="00540E96">
        <w:rPr>
          <w:rFonts w:ascii="Cambria" w:hAnsi="Cambria"/>
          <w:color w:val="000000"/>
          <w:sz w:val="20"/>
          <w:szCs w:val="20"/>
          <w:lang w:val="es-PE"/>
        </w:rPr>
        <w:t xml:space="preserve"> y ha considerado que la</w:t>
      </w:r>
      <w:r w:rsidR="006F403C" w:rsidRPr="00540E96">
        <w:rPr>
          <w:rFonts w:ascii="Cambria" w:hAnsi="Cambria"/>
          <w:sz w:val="20"/>
          <w:szCs w:val="20"/>
          <w:lang w:val="es-PE"/>
        </w:rPr>
        <w:t xml:space="preserve"> exactitud de las noticias en general es una finalidad que puede lograrse más eficazmente a través de medidas gubernamentales positivas</w:t>
      </w:r>
      <w:r w:rsidR="009E54A9">
        <w:rPr>
          <w:rFonts w:ascii="Cambria" w:hAnsi="Cambria"/>
          <w:sz w:val="20"/>
          <w:szCs w:val="20"/>
          <w:lang w:val="es-PE"/>
        </w:rPr>
        <w:t xml:space="preserve"> </w:t>
      </w:r>
      <w:r w:rsidR="00FE0466" w:rsidRPr="00540E96">
        <w:rPr>
          <w:rFonts w:ascii="Cambria" w:hAnsi="Cambria"/>
          <w:sz w:val="20"/>
          <w:szCs w:val="20"/>
          <w:lang w:val="es-PE"/>
        </w:rPr>
        <w:t>como garantizar la pluralidad informativa,</w:t>
      </w:r>
      <w:r w:rsidR="006F403C" w:rsidRPr="00540E96">
        <w:rPr>
          <w:rFonts w:ascii="Cambria" w:hAnsi="Cambria"/>
          <w:sz w:val="20"/>
          <w:szCs w:val="20"/>
          <w:lang w:val="es-PE"/>
        </w:rPr>
        <w:t xml:space="preserve"> que a través de la imposición de sanciones en caso de informaciones percibidas como "inexactas" o "carentes de veracidad"</w:t>
      </w:r>
      <w:r w:rsidR="00FE0466" w:rsidRPr="00540E96">
        <w:rPr>
          <w:rStyle w:val="FootnoteReference"/>
          <w:rFonts w:ascii="Cambria" w:hAnsi="Cambria"/>
          <w:sz w:val="20"/>
          <w:szCs w:val="20"/>
          <w:lang w:val="es-PE"/>
        </w:rPr>
        <w:footnoteReference w:id="75"/>
      </w:r>
      <w:r w:rsidR="006F403C" w:rsidRPr="00540E96">
        <w:rPr>
          <w:rFonts w:ascii="Cambria" w:hAnsi="Cambria"/>
          <w:sz w:val="20"/>
          <w:szCs w:val="20"/>
          <w:lang w:val="es-PE"/>
        </w:rPr>
        <w:t>.</w:t>
      </w:r>
    </w:p>
    <w:p w14:paraId="1B879900" w14:textId="77777777" w:rsidR="004900D2" w:rsidRPr="00540E96" w:rsidRDefault="004900D2" w:rsidP="004900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3C055058" w14:textId="77777777" w:rsidR="004900D2" w:rsidRPr="00540E96" w:rsidRDefault="004900D2" w:rsidP="004900D2">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ES"/>
        </w:rPr>
        <w:t xml:space="preserve">Por su parte, el Principio 7 de la </w:t>
      </w:r>
      <w:r w:rsidRPr="00540E96">
        <w:rPr>
          <w:rFonts w:ascii="Cambria" w:hAnsi="Cambria"/>
          <w:sz w:val="20"/>
          <w:szCs w:val="20"/>
          <w:lang w:val="es-CO"/>
        </w:rPr>
        <w:t xml:space="preserve">Declaración de Principios sobre Libertad de Expresión </w:t>
      </w:r>
      <w:r w:rsidR="00872B69" w:rsidRPr="00540E96">
        <w:rPr>
          <w:rFonts w:ascii="Cambria" w:hAnsi="Cambria"/>
          <w:sz w:val="20"/>
          <w:szCs w:val="20"/>
          <w:lang w:val="es-CO"/>
        </w:rPr>
        <w:t xml:space="preserve">de la Comisión </w:t>
      </w:r>
      <w:r w:rsidRPr="00540E96">
        <w:rPr>
          <w:rFonts w:ascii="Cambria" w:hAnsi="Cambria"/>
          <w:sz w:val="20"/>
          <w:szCs w:val="20"/>
          <w:lang w:val="es-CO"/>
        </w:rPr>
        <w:t>establece que</w:t>
      </w:r>
      <w:r w:rsidR="00603308" w:rsidRPr="00540E96">
        <w:rPr>
          <w:rFonts w:ascii="Cambria" w:hAnsi="Cambria"/>
          <w:sz w:val="20"/>
          <w:szCs w:val="20"/>
          <w:lang w:val="es-CO"/>
        </w:rPr>
        <w:t xml:space="preserve"> </w:t>
      </w:r>
      <w:r w:rsidRPr="00540E96">
        <w:rPr>
          <w:rFonts w:ascii="Cambria" w:hAnsi="Cambria"/>
          <w:sz w:val="20"/>
          <w:szCs w:val="20"/>
          <w:lang w:val="es-CO"/>
        </w:rPr>
        <w:t>“</w:t>
      </w:r>
      <w:r w:rsidR="00F90F87" w:rsidRPr="00540E96">
        <w:rPr>
          <w:rFonts w:ascii="Cambria" w:hAnsi="Cambria"/>
          <w:sz w:val="20"/>
          <w:szCs w:val="20"/>
          <w:lang w:val="es-PE"/>
        </w:rPr>
        <w:t>condicionamientos</w:t>
      </w:r>
      <w:r w:rsidRPr="00540E96">
        <w:rPr>
          <w:rFonts w:ascii="Cambria" w:hAnsi="Cambria"/>
          <w:sz w:val="20"/>
          <w:szCs w:val="20"/>
          <w:lang w:val="es-PE"/>
        </w:rPr>
        <w:t xml:space="preserve"> previos, tales como veracidad, oportunidad o imparcialidad por parte de los Estados son incompatibles con el derecho a la libertad de expresión reconocido en los instrumentos internacionales</w:t>
      </w:r>
      <w:r w:rsidR="00603308" w:rsidRPr="00540E96">
        <w:rPr>
          <w:rFonts w:ascii="Cambria" w:hAnsi="Cambria"/>
          <w:sz w:val="20"/>
          <w:szCs w:val="20"/>
          <w:lang w:val="es-PE"/>
        </w:rPr>
        <w:t>”</w:t>
      </w:r>
      <w:r w:rsidR="00872B69" w:rsidRPr="00540E96">
        <w:rPr>
          <w:rStyle w:val="FootnoteReference"/>
          <w:rFonts w:ascii="Cambria" w:hAnsi="Cambria"/>
          <w:sz w:val="20"/>
          <w:szCs w:val="20"/>
          <w:lang w:val="es-PE"/>
        </w:rPr>
        <w:footnoteReference w:id="76"/>
      </w:r>
      <w:r w:rsidR="00872B69" w:rsidRPr="00540E96">
        <w:rPr>
          <w:rFonts w:ascii="Cambria" w:hAnsi="Cambria"/>
          <w:sz w:val="20"/>
          <w:szCs w:val="20"/>
          <w:lang w:val="es-PE"/>
        </w:rPr>
        <w:t>, por lo que toda sanción</w:t>
      </w:r>
      <w:r w:rsidR="001243E4" w:rsidRPr="00540E96">
        <w:rPr>
          <w:rFonts w:ascii="Cambria" w:hAnsi="Cambria"/>
          <w:sz w:val="20"/>
          <w:szCs w:val="20"/>
          <w:lang w:val="es-PE"/>
        </w:rPr>
        <w:t xml:space="preserve"> en los casos en los que corresponda,</w:t>
      </w:r>
      <w:r w:rsidR="00872B69" w:rsidRPr="00540E96">
        <w:rPr>
          <w:rFonts w:ascii="Cambria" w:hAnsi="Cambria"/>
          <w:sz w:val="20"/>
          <w:szCs w:val="20"/>
          <w:lang w:val="es-PE"/>
        </w:rPr>
        <w:t xml:space="preserve"> debe ser producto de una actuación ulterior, y en ningún caso se puede buscar condicionarla con anterioridad.</w:t>
      </w:r>
    </w:p>
    <w:p w14:paraId="32E8146A" w14:textId="77777777" w:rsidR="00F87377" w:rsidRPr="00540E96" w:rsidRDefault="00F87377" w:rsidP="00F825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0C63F530" w14:textId="77777777" w:rsidR="00D550AD" w:rsidRPr="00540E96" w:rsidRDefault="001243E4" w:rsidP="00C902B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ES"/>
        </w:rPr>
        <w:t xml:space="preserve">Ahora bien, sin perjuicio de lo anterior, y como ya fue establecido por la Corte Interamericana, </w:t>
      </w:r>
      <w:r w:rsidR="00D550AD" w:rsidRPr="00540E96">
        <w:rPr>
          <w:rFonts w:ascii="Cambria" w:hAnsi="Cambria"/>
          <w:sz w:val="20"/>
          <w:szCs w:val="20"/>
          <w:lang w:val="es-PE"/>
        </w:rPr>
        <w:t>en el marco de la libertad de información, existe un deber del periodista de constatar en forma razonable, aunque no necesariamente exhaustiva, los hechos en que fundamenta su información</w:t>
      </w:r>
      <w:r w:rsidR="00D550AD" w:rsidRPr="00540E96">
        <w:rPr>
          <w:rStyle w:val="FootnoteReference"/>
          <w:rFonts w:ascii="Cambria" w:hAnsi="Cambria"/>
          <w:sz w:val="20"/>
          <w:szCs w:val="20"/>
        </w:rPr>
        <w:footnoteReference w:id="77"/>
      </w:r>
      <w:r w:rsidR="00D550AD" w:rsidRPr="00540E96">
        <w:rPr>
          <w:rFonts w:ascii="Cambria" w:hAnsi="Cambria"/>
          <w:sz w:val="20"/>
          <w:szCs w:val="20"/>
          <w:lang w:val="es-PE"/>
        </w:rPr>
        <w:t xml:space="preserve">. Es decir, </w:t>
      </w:r>
      <w:r w:rsidR="00D550AD" w:rsidRPr="00540E96">
        <w:rPr>
          <w:rFonts w:ascii="Cambria" w:hAnsi="Cambria" w:cs="Helvetica"/>
          <w:sz w:val="20"/>
          <w:szCs w:val="20"/>
          <w:lang w:val="es-PE"/>
        </w:rPr>
        <w:t>resulta válido reclamar equidad y diligencia en la confrontación de las fuentes y la búsqueda de información. Esto implica el derecho de las personas a no recibir una versión manipulada de los hechos. En consecuencia, los periodistas tienen el deber de tomar alguna distancia crítica respecto a sus fuentes y contrastarlas con otros datos relevantes</w:t>
      </w:r>
      <w:r w:rsidR="00D550AD" w:rsidRPr="00540E96">
        <w:rPr>
          <w:rStyle w:val="FootnoteReference"/>
          <w:rFonts w:ascii="Cambria" w:hAnsi="Cambria"/>
          <w:sz w:val="20"/>
          <w:szCs w:val="20"/>
        </w:rPr>
        <w:footnoteReference w:id="78"/>
      </w:r>
      <w:r w:rsidR="00D550AD" w:rsidRPr="00540E96">
        <w:rPr>
          <w:rFonts w:ascii="Cambria" w:hAnsi="Cambria" w:cs="Helvetica"/>
          <w:sz w:val="20"/>
          <w:szCs w:val="20"/>
          <w:lang w:val="es-PE"/>
        </w:rPr>
        <w:t xml:space="preserve">. </w:t>
      </w:r>
      <w:r w:rsidR="00D550AD" w:rsidRPr="00540E96">
        <w:rPr>
          <w:rFonts w:ascii="Cambria" w:hAnsi="Cambria"/>
          <w:spacing w:val="-2"/>
          <w:sz w:val="20"/>
          <w:szCs w:val="20"/>
          <w:lang w:val="es-PE"/>
        </w:rPr>
        <w:t xml:space="preserve">En sentido similar, </w:t>
      </w:r>
      <w:r w:rsidR="006C1C6E" w:rsidRPr="00540E96">
        <w:rPr>
          <w:rFonts w:ascii="Cambria" w:hAnsi="Cambria"/>
          <w:spacing w:val="-2"/>
          <w:sz w:val="20"/>
          <w:szCs w:val="20"/>
          <w:lang w:val="es-PE"/>
        </w:rPr>
        <w:t xml:space="preserve">la Corte destacó que </w:t>
      </w:r>
      <w:r w:rsidR="00D550AD" w:rsidRPr="00540E96">
        <w:rPr>
          <w:rFonts w:ascii="Cambria" w:hAnsi="Cambria"/>
          <w:spacing w:val="-2"/>
          <w:sz w:val="20"/>
          <w:szCs w:val="20"/>
          <w:lang w:val="es-PE"/>
        </w:rPr>
        <w:t xml:space="preserve">el Tribunal Europeo ha señalado que la libertad de expresión no garantiza una protección ilimitada a los periodistas, inclusive en asuntos de interés público. </w:t>
      </w:r>
      <w:r w:rsidR="00A615DC" w:rsidRPr="00540E96">
        <w:rPr>
          <w:rFonts w:ascii="Cambria" w:hAnsi="Cambria"/>
          <w:spacing w:val="-2"/>
          <w:sz w:val="20"/>
          <w:szCs w:val="20"/>
          <w:lang w:val="es-PE"/>
        </w:rPr>
        <w:t>Aun</w:t>
      </w:r>
      <w:r w:rsidR="00D550AD" w:rsidRPr="00540E96">
        <w:rPr>
          <w:rFonts w:ascii="Cambria" w:hAnsi="Cambria"/>
          <w:spacing w:val="-2"/>
          <w:sz w:val="20"/>
          <w:szCs w:val="20"/>
          <w:lang w:val="es-PE"/>
        </w:rPr>
        <w:t xml:space="preserve"> cuando están amparados bajo la protección de la libertad de expresión, los periodistas deben ejercer sus labores obedeciendo a los principios de un periodismo responsable, es decir, actuar de buena fe, brindar información precisa y confiable, reflejar de manera objetiva las opiniones de los involucrados en el debate público y abstenerse de caer en sensacionalismos</w:t>
      </w:r>
      <w:r w:rsidR="00D550AD" w:rsidRPr="00540E96">
        <w:rPr>
          <w:rStyle w:val="FootnoteReference"/>
          <w:rFonts w:ascii="Cambria" w:hAnsi="Cambria"/>
          <w:spacing w:val="-2"/>
          <w:sz w:val="20"/>
          <w:szCs w:val="20"/>
        </w:rPr>
        <w:footnoteReference w:id="79"/>
      </w:r>
      <w:r w:rsidR="00D550AD" w:rsidRPr="00540E96">
        <w:rPr>
          <w:rFonts w:ascii="Cambria" w:hAnsi="Cambria"/>
          <w:spacing w:val="-2"/>
          <w:sz w:val="20"/>
          <w:szCs w:val="20"/>
          <w:lang w:val="es-PE"/>
        </w:rPr>
        <w:t xml:space="preserve">. </w:t>
      </w:r>
    </w:p>
    <w:p w14:paraId="71C1DB45" w14:textId="77777777" w:rsidR="00B32E6A" w:rsidRPr="00540E96" w:rsidRDefault="00B32E6A" w:rsidP="00B32E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3505E60B" w14:textId="77777777" w:rsidR="007863C7" w:rsidRPr="00540E96" w:rsidRDefault="00A4645E" w:rsidP="007863C7">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pacing w:val="-2"/>
          <w:sz w:val="20"/>
          <w:szCs w:val="20"/>
          <w:lang w:val="es-PE"/>
        </w:rPr>
        <w:t xml:space="preserve">A este respecto, la Corte Interamericana </w:t>
      </w:r>
      <w:r w:rsidR="007863C7" w:rsidRPr="00540E96">
        <w:rPr>
          <w:rFonts w:ascii="Cambria" w:hAnsi="Cambria" w:cstheme="minorHAnsi"/>
          <w:sz w:val="20"/>
          <w:szCs w:val="20"/>
          <w:lang w:val="es-AR"/>
        </w:rPr>
        <w:t xml:space="preserve">en el caso </w:t>
      </w:r>
      <w:r w:rsidR="007863C7" w:rsidRPr="00540E96">
        <w:rPr>
          <w:rFonts w:ascii="Cambria" w:hAnsi="Cambria" w:cstheme="minorHAnsi"/>
          <w:i/>
          <w:iCs/>
          <w:sz w:val="20"/>
          <w:szCs w:val="20"/>
          <w:lang w:val="es-AR"/>
        </w:rPr>
        <w:t>Tristán Donoso Vs. Panamá</w:t>
      </w:r>
      <w:r w:rsidR="007863C7" w:rsidRPr="00540E96">
        <w:rPr>
          <w:rFonts w:ascii="Cambria" w:hAnsi="Cambria" w:cstheme="minorHAnsi"/>
          <w:sz w:val="20"/>
          <w:szCs w:val="20"/>
          <w:lang w:val="es-AR"/>
        </w:rPr>
        <w:t>, estudió el caso de un abogado condenado por calumnia debido a la afirmación efectuada en una rueda de prensa, según la cual el Procurador General de la Nación había interceptado ilegalmente sus comunicaciones, hecho por el que dicho funcionario fue absuelto en un proceso judicial posteriormente. A juicio de la Corte, el abogado, debido al contexto en el que se había enterado de las interceptaciones, tenía buenas razones para considerar que las afirmaciones que hacía correspondían a hechos ciertos y que estaba difundiendo información verdadera</w:t>
      </w:r>
      <w:r w:rsidR="00287104" w:rsidRPr="00540E96">
        <w:rPr>
          <w:rFonts w:ascii="Cambria" w:hAnsi="Cambria" w:cstheme="minorHAnsi"/>
          <w:sz w:val="20"/>
          <w:szCs w:val="20"/>
          <w:lang w:val="es-AR"/>
        </w:rPr>
        <w:t>. Ello, con base en</w:t>
      </w:r>
      <w:r w:rsidR="003A0320" w:rsidRPr="00540E96">
        <w:rPr>
          <w:rFonts w:ascii="Cambria" w:hAnsi="Cambria" w:cstheme="minorHAnsi"/>
          <w:sz w:val="20"/>
          <w:szCs w:val="20"/>
          <w:lang w:val="es-AR"/>
        </w:rPr>
        <w:t xml:space="preserve"> que existieron diversos e importantes elementos de información y de apreciación que permitieron considerar que su afirmación no estaba desprovista de fundamento respecto de la responsabilidad del ex Procurador sobre la grabación de su conversación</w:t>
      </w:r>
      <w:r w:rsidR="00CE51B0" w:rsidRPr="00540E96">
        <w:rPr>
          <w:rFonts w:ascii="Cambria" w:hAnsi="Cambria" w:cstheme="minorHAnsi"/>
          <w:sz w:val="20"/>
          <w:szCs w:val="20"/>
          <w:lang w:val="es-AR"/>
        </w:rPr>
        <w:t xml:space="preserve">, a pesar de que después </w:t>
      </w:r>
      <w:r w:rsidR="006E58F4" w:rsidRPr="00540E96">
        <w:rPr>
          <w:rFonts w:ascii="Cambria" w:hAnsi="Cambria" w:cstheme="minorHAnsi"/>
          <w:sz w:val="20"/>
          <w:szCs w:val="20"/>
          <w:lang w:val="es-AR"/>
        </w:rPr>
        <w:t>no se</w:t>
      </w:r>
      <w:r w:rsidR="00CE51B0" w:rsidRPr="00540E96">
        <w:rPr>
          <w:rFonts w:ascii="Cambria" w:hAnsi="Cambria" w:cstheme="minorHAnsi"/>
          <w:sz w:val="20"/>
          <w:szCs w:val="20"/>
          <w:lang w:val="es-AR"/>
        </w:rPr>
        <w:t xml:space="preserve"> comprobó </w:t>
      </w:r>
      <w:r w:rsidR="006E58F4" w:rsidRPr="00540E96">
        <w:rPr>
          <w:rFonts w:ascii="Cambria" w:hAnsi="Cambria" w:cstheme="minorHAnsi"/>
          <w:sz w:val="20"/>
          <w:szCs w:val="20"/>
          <w:lang w:val="es-AR"/>
        </w:rPr>
        <w:t>la participación del Procurador</w:t>
      </w:r>
      <w:r w:rsidR="003A0320" w:rsidRPr="00540E96">
        <w:rPr>
          <w:rFonts w:ascii="Cambria" w:hAnsi="Cambria" w:cstheme="minorHAnsi"/>
          <w:sz w:val="20"/>
          <w:szCs w:val="20"/>
          <w:lang w:val="es-AR"/>
        </w:rPr>
        <w:t>.</w:t>
      </w:r>
      <w:r w:rsidR="005E657E" w:rsidRPr="00540E96">
        <w:rPr>
          <w:rFonts w:ascii="Cambria" w:hAnsi="Cambria" w:cstheme="minorHAnsi"/>
          <w:sz w:val="20"/>
          <w:szCs w:val="20"/>
          <w:lang w:val="es-AR"/>
        </w:rPr>
        <w:t xml:space="preserve"> Es decir que, con base en las circunstancias del caso el señor Donoso actuó </w:t>
      </w:r>
      <w:r w:rsidR="009563B9" w:rsidRPr="00540E96">
        <w:rPr>
          <w:rFonts w:ascii="Cambria" w:hAnsi="Cambria" w:cstheme="minorHAnsi"/>
          <w:sz w:val="20"/>
          <w:szCs w:val="20"/>
          <w:lang w:val="es-AR"/>
        </w:rPr>
        <w:t>de buena fe, con</w:t>
      </w:r>
      <w:r w:rsidR="009E54A9">
        <w:rPr>
          <w:rFonts w:ascii="Cambria" w:hAnsi="Cambria" w:cstheme="minorHAnsi"/>
          <w:sz w:val="20"/>
          <w:szCs w:val="20"/>
          <w:lang w:val="es-AR"/>
        </w:rPr>
        <w:t>forme a</w:t>
      </w:r>
      <w:r w:rsidR="00C81AFC" w:rsidRPr="00540E96">
        <w:rPr>
          <w:rFonts w:ascii="Cambria" w:hAnsi="Cambria" w:cstheme="minorHAnsi"/>
          <w:sz w:val="20"/>
          <w:szCs w:val="20"/>
          <w:lang w:val="es-AR"/>
        </w:rPr>
        <w:t>l entendido de que lo que informó no era falso</w:t>
      </w:r>
      <w:r w:rsidR="00C81AFC" w:rsidRPr="00540E96">
        <w:rPr>
          <w:rStyle w:val="FootnoteReference"/>
          <w:rFonts w:ascii="Cambria" w:hAnsi="Cambria" w:cstheme="minorHAnsi"/>
          <w:sz w:val="20"/>
          <w:szCs w:val="20"/>
          <w:lang w:val="es-AR"/>
        </w:rPr>
        <w:footnoteReference w:id="80"/>
      </w:r>
      <w:r w:rsidR="00C81AFC" w:rsidRPr="00540E96">
        <w:rPr>
          <w:rFonts w:ascii="Cambria" w:hAnsi="Cambria" w:cstheme="minorHAnsi"/>
          <w:sz w:val="20"/>
          <w:szCs w:val="20"/>
          <w:lang w:val="es-AR"/>
        </w:rPr>
        <w:t xml:space="preserve">. </w:t>
      </w:r>
    </w:p>
    <w:p w14:paraId="3E571720" w14:textId="77777777" w:rsidR="00851F9F" w:rsidRPr="00540E96" w:rsidRDefault="00851F9F" w:rsidP="00851F9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2E1F0C61" w14:textId="77777777" w:rsidR="009F0204" w:rsidRPr="00540E96" w:rsidRDefault="00DD1EAF" w:rsidP="009F020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pacing w:val="-2"/>
          <w:sz w:val="20"/>
          <w:szCs w:val="20"/>
          <w:lang w:val="es-PE"/>
        </w:rPr>
        <w:t>Por su parte, e</w:t>
      </w:r>
      <w:r w:rsidR="003E0111" w:rsidRPr="00540E96">
        <w:rPr>
          <w:rFonts w:ascii="Cambria" w:hAnsi="Cambria"/>
          <w:spacing w:val="-2"/>
          <w:sz w:val="20"/>
          <w:szCs w:val="20"/>
          <w:lang w:val="es-PE"/>
        </w:rPr>
        <w:t xml:space="preserve">l Tribunal Europeo de Derechos Humanos </w:t>
      </w:r>
      <w:r w:rsidR="00B87BD8" w:rsidRPr="00540E96">
        <w:rPr>
          <w:rFonts w:ascii="Cambria" w:hAnsi="Cambria"/>
          <w:spacing w:val="-2"/>
          <w:sz w:val="20"/>
          <w:szCs w:val="20"/>
          <w:lang w:val="es-PE"/>
        </w:rPr>
        <w:t xml:space="preserve">ha considerado en diversos casos que los periodistas no son responsables por las publicaciones efectuadas </w:t>
      </w:r>
      <w:r w:rsidR="0090197D" w:rsidRPr="00540E96">
        <w:rPr>
          <w:rFonts w:ascii="Cambria" w:hAnsi="Cambria"/>
          <w:spacing w:val="-2"/>
          <w:sz w:val="20"/>
          <w:szCs w:val="20"/>
          <w:lang w:val="es-PE"/>
        </w:rPr>
        <w:t>cuando estas</w:t>
      </w:r>
      <w:r w:rsidR="00B87BD8" w:rsidRPr="00540E96">
        <w:rPr>
          <w:rFonts w:ascii="Cambria" w:hAnsi="Cambria"/>
          <w:spacing w:val="-2"/>
          <w:sz w:val="20"/>
          <w:szCs w:val="20"/>
          <w:lang w:val="es-PE"/>
        </w:rPr>
        <w:t xml:space="preserve"> cont</w:t>
      </w:r>
      <w:r w:rsidR="00CD0F31" w:rsidRPr="00540E96">
        <w:rPr>
          <w:rFonts w:ascii="Cambria" w:hAnsi="Cambria"/>
          <w:spacing w:val="-2"/>
          <w:sz w:val="20"/>
          <w:szCs w:val="20"/>
          <w:lang w:val="es-PE"/>
        </w:rPr>
        <w:t>ienen</w:t>
      </w:r>
      <w:r w:rsidR="00B87BD8" w:rsidRPr="00540E96">
        <w:rPr>
          <w:rFonts w:ascii="Cambria" w:hAnsi="Cambria"/>
          <w:spacing w:val="-2"/>
          <w:sz w:val="20"/>
          <w:szCs w:val="20"/>
          <w:lang w:val="es-PE"/>
        </w:rPr>
        <w:t xml:space="preserve"> informaci</w:t>
      </w:r>
      <w:r w:rsidR="0090197D" w:rsidRPr="00540E96">
        <w:rPr>
          <w:rFonts w:ascii="Cambria" w:hAnsi="Cambria"/>
          <w:spacing w:val="-2"/>
          <w:sz w:val="20"/>
          <w:szCs w:val="20"/>
          <w:lang w:val="es-PE"/>
        </w:rPr>
        <w:t>ones no veraces</w:t>
      </w:r>
      <w:r w:rsidR="00B87BD8" w:rsidRPr="00540E96">
        <w:rPr>
          <w:rFonts w:ascii="Cambria" w:hAnsi="Cambria"/>
          <w:spacing w:val="-2"/>
          <w:sz w:val="20"/>
          <w:szCs w:val="20"/>
          <w:lang w:val="es-PE"/>
        </w:rPr>
        <w:t xml:space="preserve">, siempre y cuando estos </w:t>
      </w:r>
      <w:r w:rsidR="0090197D" w:rsidRPr="00540E96">
        <w:rPr>
          <w:rFonts w:ascii="Cambria" w:hAnsi="Cambria"/>
          <w:spacing w:val="-2"/>
          <w:sz w:val="20"/>
          <w:szCs w:val="20"/>
          <w:lang w:val="es-PE"/>
        </w:rPr>
        <w:t>actúen de “buena fe</w:t>
      </w:r>
      <w:r w:rsidR="003D34BB" w:rsidRPr="00540E96">
        <w:rPr>
          <w:rFonts w:ascii="Cambria" w:hAnsi="Cambria"/>
          <w:spacing w:val="-2"/>
          <w:sz w:val="20"/>
          <w:szCs w:val="20"/>
          <w:lang w:val="es-PE"/>
        </w:rPr>
        <w:t xml:space="preserve">” </w:t>
      </w:r>
      <w:r w:rsidR="00D1179C" w:rsidRPr="00540E96">
        <w:rPr>
          <w:rFonts w:ascii="Cambria" w:hAnsi="Cambria"/>
          <w:spacing w:val="-2"/>
          <w:sz w:val="20"/>
          <w:szCs w:val="20"/>
          <w:lang w:val="es-PE"/>
        </w:rPr>
        <w:t xml:space="preserve">y con una “base fáctica suficiente” </w:t>
      </w:r>
      <w:r w:rsidR="003D34BB" w:rsidRPr="00540E96">
        <w:rPr>
          <w:rFonts w:ascii="Cambria" w:hAnsi="Cambria"/>
          <w:spacing w:val="-2"/>
          <w:sz w:val="20"/>
          <w:szCs w:val="20"/>
          <w:lang w:val="es-PE"/>
        </w:rPr>
        <w:t>que sirva</w:t>
      </w:r>
      <w:r w:rsidR="00D1179C" w:rsidRPr="00540E96">
        <w:rPr>
          <w:rFonts w:ascii="Cambria" w:hAnsi="Cambria"/>
          <w:spacing w:val="-2"/>
          <w:sz w:val="20"/>
          <w:szCs w:val="20"/>
          <w:lang w:val="es-PE"/>
        </w:rPr>
        <w:t xml:space="preserve"> de soporte a la </w:t>
      </w:r>
      <w:r w:rsidR="00D1179C" w:rsidRPr="00540E96">
        <w:rPr>
          <w:rFonts w:ascii="Cambria" w:hAnsi="Cambria"/>
          <w:spacing w:val="-2"/>
          <w:sz w:val="20"/>
          <w:szCs w:val="20"/>
          <w:lang w:val="es-PE"/>
        </w:rPr>
        <w:lastRenderedPageBreak/>
        <w:t>información brindada</w:t>
      </w:r>
      <w:r w:rsidR="003D34BB" w:rsidRPr="00540E96">
        <w:rPr>
          <w:rStyle w:val="FootnoteReference"/>
          <w:rFonts w:ascii="Cambria" w:hAnsi="Cambria"/>
          <w:spacing w:val="-2"/>
          <w:sz w:val="20"/>
          <w:szCs w:val="20"/>
          <w:lang w:val="es-PE"/>
        </w:rPr>
        <w:footnoteReference w:id="81"/>
      </w:r>
      <w:r w:rsidR="00A435B6" w:rsidRPr="00540E96">
        <w:rPr>
          <w:rFonts w:ascii="Cambria" w:hAnsi="Cambria"/>
          <w:spacing w:val="-2"/>
          <w:sz w:val="20"/>
          <w:szCs w:val="20"/>
          <w:lang w:val="es-PE"/>
        </w:rPr>
        <w:t xml:space="preserve">. Asimismo, </w:t>
      </w:r>
      <w:r w:rsidR="003D34BB" w:rsidRPr="00540E96">
        <w:rPr>
          <w:rFonts w:ascii="Cambria" w:hAnsi="Cambria"/>
          <w:spacing w:val="-2"/>
          <w:sz w:val="20"/>
          <w:szCs w:val="20"/>
          <w:lang w:val="es-PE"/>
        </w:rPr>
        <w:t>ha destacado la importancia de que</w:t>
      </w:r>
      <w:r w:rsidR="00D1179C" w:rsidRPr="00540E96">
        <w:rPr>
          <w:rFonts w:ascii="Cambria" w:hAnsi="Cambria"/>
          <w:spacing w:val="-2"/>
          <w:sz w:val="20"/>
          <w:szCs w:val="20"/>
          <w:lang w:val="es-PE"/>
        </w:rPr>
        <w:t xml:space="preserve"> </w:t>
      </w:r>
      <w:r w:rsidR="00A435B6" w:rsidRPr="00540E96">
        <w:rPr>
          <w:rFonts w:ascii="Cambria" w:hAnsi="Cambria"/>
          <w:spacing w:val="-2"/>
          <w:sz w:val="20"/>
          <w:szCs w:val="20"/>
          <w:lang w:val="es-PE"/>
        </w:rPr>
        <w:t xml:space="preserve">los periodistas </w:t>
      </w:r>
      <w:r w:rsidR="0090197D" w:rsidRPr="00540E96">
        <w:rPr>
          <w:rFonts w:ascii="Cambria" w:hAnsi="Cambria"/>
          <w:spacing w:val="-2"/>
          <w:sz w:val="20"/>
          <w:szCs w:val="20"/>
          <w:lang w:val="es-PE"/>
        </w:rPr>
        <w:t xml:space="preserve">brinden “información </w:t>
      </w:r>
      <w:r w:rsidR="00A8535C" w:rsidRPr="00540E96">
        <w:rPr>
          <w:rFonts w:ascii="Cambria" w:hAnsi="Cambria"/>
          <w:spacing w:val="-2"/>
          <w:sz w:val="20"/>
          <w:szCs w:val="20"/>
          <w:lang w:val="es-PE"/>
        </w:rPr>
        <w:t>precisa y confiable de acuerdo con la ética periodística”</w:t>
      </w:r>
      <w:r w:rsidR="00D1179C" w:rsidRPr="00540E96">
        <w:rPr>
          <w:rStyle w:val="FootnoteReference"/>
          <w:rFonts w:ascii="Cambria" w:hAnsi="Cambria"/>
          <w:spacing w:val="-2"/>
          <w:sz w:val="20"/>
          <w:szCs w:val="20"/>
          <w:lang w:val="es-PE"/>
        </w:rPr>
        <w:footnoteReference w:id="82"/>
      </w:r>
      <w:r w:rsidR="00A8535C" w:rsidRPr="00540E96">
        <w:rPr>
          <w:rFonts w:ascii="Cambria" w:hAnsi="Cambria"/>
          <w:spacing w:val="-2"/>
          <w:sz w:val="20"/>
          <w:szCs w:val="20"/>
          <w:lang w:val="es-PE"/>
        </w:rPr>
        <w:t>. A</w:t>
      </w:r>
      <w:r w:rsidR="00A57C5F" w:rsidRPr="00540E96">
        <w:rPr>
          <w:rFonts w:ascii="Cambria" w:hAnsi="Cambria"/>
          <w:spacing w:val="-2"/>
          <w:sz w:val="20"/>
          <w:szCs w:val="20"/>
          <w:lang w:val="es-PE"/>
        </w:rPr>
        <w:t>demás</w:t>
      </w:r>
      <w:r w:rsidR="00A8535C" w:rsidRPr="00540E96">
        <w:rPr>
          <w:rFonts w:ascii="Cambria" w:hAnsi="Cambria"/>
          <w:spacing w:val="-2"/>
          <w:sz w:val="20"/>
          <w:szCs w:val="20"/>
          <w:lang w:val="es-PE"/>
        </w:rPr>
        <w:t xml:space="preserve">, el Tribunal Europeo </w:t>
      </w:r>
      <w:r w:rsidR="00A57C5F" w:rsidRPr="00540E96">
        <w:rPr>
          <w:rFonts w:ascii="Cambria" w:hAnsi="Cambria"/>
          <w:spacing w:val="-2"/>
          <w:sz w:val="20"/>
          <w:szCs w:val="20"/>
          <w:lang w:val="es-PE"/>
        </w:rPr>
        <w:t>ha excluido</w:t>
      </w:r>
      <w:r w:rsidR="00A8535C" w:rsidRPr="00540E96">
        <w:rPr>
          <w:rFonts w:ascii="Cambria" w:hAnsi="Cambria"/>
          <w:spacing w:val="-2"/>
          <w:sz w:val="20"/>
          <w:szCs w:val="20"/>
          <w:lang w:val="es-PE"/>
        </w:rPr>
        <w:t xml:space="preserve"> la responsabilidad de los periodistas </w:t>
      </w:r>
      <w:r w:rsidR="00CA6D31" w:rsidRPr="00540E96">
        <w:rPr>
          <w:rFonts w:ascii="Cambria" w:hAnsi="Cambria"/>
          <w:spacing w:val="-2"/>
          <w:sz w:val="20"/>
          <w:szCs w:val="20"/>
          <w:lang w:val="es-PE"/>
        </w:rPr>
        <w:t xml:space="preserve">en casos en los que “las observaciones ofensivas no carecieron de fundamento fáctico y, en vista de la cantidad y seriedad de las fuentes consultadas, la investigación realizada y la moderación y prudencia demostradas en el artículo, </w:t>
      </w:r>
      <w:r w:rsidR="003B5761" w:rsidRPr="00540E96">
        <w:rPr>
          <w:rFonts w:ascii="Cambria" w:hAnsi="Cambria"/>
          <w:spacing w:val="-2"/>
          <w:sz w:val="20"/>
          <w:szCs w:val="20"/>
          <w:lang w:val="es-PE"/>
        </w:rPr>
        <w:t>[denotaron</w:t>
      </w:r>
      <w:r w:rsidR="00532135" w:rsidRPr="00540E96">
        <w:rPr>
          <w:rFonts w:ascii="Cambria" w:hAnsi="Cambria"/>
          <w:spacing w:val="-2"/>
          <w:sz w:val="20"/>
          <w:szCs w:val="20"/>
          <w:lang w:val="es-PE"/>
        </w:rPr>
        <w:t xml:space="preserve"> que] </w:t>
      </w:r>
      <w:r w:rsidR="00CA6D31" w:rsidRPr="00540E96">
        <w:rPr>
          <w:rFonts w:ascii="Cambria" w:hAnsi="Cambria"/>
          <w:spacing w:val="-2"/>
          <w:sz w:val="20"/>
          <w:szCs w:val="20"/>
          <w:lang w:val="es-PE"/>
        </w:rPr>
        <w:t xml:space="preserve">los solicitantes </w:t>
      </w:r>
      <w:r w:rsidR="00D1179C" w:rsidRPr="00540E96">
        <w:rPr>
          <w:rFonts w:ascii="Cambria" w:hAnsi="Cambria"/>
          <w:spacing w:val="-2"/>
          <w:sz w:val="20"/>
          <w:szCs w:val="20"/>
          <w:lang w:val="es-PE"/>
        </w:rPr>
        <w:t>[actuaron]</w:t>
      </w:r>
      <w:r w:rsidR="00CA6D31" w:rsidRPr="00540E96">
        <w:rPr>
          <w:rFonts w:ascii="Cambria" w:hAnsi="Cambria"/>
          <w:spacing w:val="-2"/>
          <w:sz w:val="20"/>
          <w:szCs w:val="20"/>
          <w:lang w:val="es-PE"/>
        </w:rPr>
        <w:t xml:space="preserve"> de buena fe”</w:t>
      </w:r>
      <w:r w:rsidR="00D1179C" w:rsidRPr="00540E96">
        <w:rPr>
          <w:rStyle w:val="FootnoteReference"/>
          <w:rFonts w:ascii="Cambria" w:hAnsi="Cambria"/>
          <w:spacing w:val="-2"/>
          <w:sz w:val="20"/>
          <w:szCs w:val="20"/>
          <w:lang w:val="es-PE"/>
        </w:rPr>
        <w:footnoteReference w:id="83"/>
      </w:r>
      <w:r w:rsidR="00CA6D31" w:rsidRPr="00540E96">
        <w:rPr>
          <w:rFonts w:ascii="Cambria" w:hAnsi="Cambria"/>
          <w:spacing w:val="-2"/>
          <w:sz w:val="20"/>
          <w:szCs w:val="20"/>
          <w:lang w:val="es-PE"/>
        </w:rPr>
        <w:t>.</w:t>
      </w:r>
    </w:p>
    <w:p w14:paraId="782AB256" w14:textId="77777777" w:rsidR="00DC3754" w:rsidRPr="00540E96" w:rsidRDefault="00DC3754" w:rsidP="00DC37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190889ED" w14:textId="77777777" w:rsidR="009F0204" w:rsidRPr="00540E96" w:rsidRDefault="00DD1EAF" w:rsidP="00C902B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CO"/>
        </w:rPr>
        <w:t xml:space="preserve">Asimismo, </w:t>
      </w:r>
      <w:r w:rsidR="009A2A70" w:rsidRPr="00540E96">
        <w:rPr>
          <w:rFonts w:ascii="Cambria" w:hAnsi="Cambria"/>
          <w:sz w:val="20"/>
          <w:szCs w:val="20"/>
          <w:lang w:val="es-CO"/>
        </w:rPr>
        <w:t xml:space="preserve">distintos </w:t>
      </w:r>
      <w:r w:rsidR="00000CC2" w:rsidRPr="00540E96">
        <w:rPr>
          <w:rFonts w:ascii="Cambria" w:hAnsi="Cambria"/>
          <w:sz w:val="20"/>
          <w:szCs w:val="20"/>
          <w:lang w:val="es-CO"/>
        </w:rPr>
        <w:t xml:space="preserve">órganos </w:t>
      </w:r>
      <w:r w:rsidR="00D90262" w:rsidRPr="00540E96">
        <w:rPr>
          <w:rFonts w:ascii="Cambria" w:hAnsi="Cambria"/>
          <w:sz w:val="20"/>
          <w:szCs w:val="20"/>
          <w:lang w:val="es-CO"/>
        </w:rPr>
        <w:t>judiciales</w:t>
      </w:r>
      <w:r w:rsidR="003B5761" w:rsidRPr="00540E96">
        <w:rPr>
          <w:rFonts w:ascii="Cambria" w:hAnsi="Cambria"/>
          <w:sz w:val="20"/>
          <w:szCs w:val="20"/>
          <w:lang w:val="es-CO"/>
        </w:rPr>
        <w:t xml:space="preserve"> a nivel interno</w:t>
      </w:r>
      <w:r w:rsidR="00D90262" w:rsidRPr="00540E96">
        <w:rPr>
          <w:rFonts w:ascii="Cambria" w:hAnsi="Cambria"/>
          <w:sz w:val="20"/>
          <w:szCs w:val="20"/>
          <w:lang w:val="es-CO"/>
        </w:rPr>
        <w:t xml:space="preserve"> </w:t>
      </w:r>
      <w:r w:rsidR="000E40FE" w:rsidRPr="00540E96">
        <w:rPr>
          <w:rFonts w:ascii="Cambria" w:hAnsi="Cambria"/>
          <w:sz w:val="20"/>
          <w:szCs w:val="20"/>
          <w:lang w:val="es-CO"/>
        </w:rPr>
        <w:t xml:space="preserve">han </w:t>
      </w:r>
      <w:r w:rsidR="008A5779" w:rsidRPr="00540E96">
        <w:rPr>
          <w:rFonts w:ascii="Cambria" w:hAnsi="Cambria"/>
          <w:sz w:val="20"/>
          <w:szCs w:val="20"/>
          <w:lang w:val="es-CO"/>
        </w:rPr>
        <w:t xml:space="preserve">considerado </w:t>
      </w:r>
      <w:r w:rsidR="00EB0932" w:rsidRPr="00540E96">
        <w:rPr>
          <w:rFonts w:ascii="Cambria" w:hAnsi="Cambria"/>
          <w:sz w:val="20"/>
          <w:szCs w:val="20"/>
          <w:lang w:val="es-CO"/>
        </w:rPr>
        <w:t xml:space="preserve">que </w:t>
      </w:r>
      <w:r w:rsidR="0029726D" w:rsidRPr="00540E96">
        <w:rPr>
          <w:rFonts w:ascii="Cambria" w:hAnsi="Cambria"/>
          <w:sz w:val="20"/>
          <w:szCs w:val="20"/>
          <w:lang w:val="es-CO"/>
        </w:rPr>
        <w:t xml:space="preserve">el exigir que la </w:t>
      </w:r>
      <w:r w:rsidR="0029726D" w:rsidRPr="00540E96">
        <w:rPr>
          <w:rFonts w:ascii="Cambria" w:hAnsi="Cambria"/>
          <w:sz w:val="20"/>
          <w:szCs w:val="20"/>
          <w:lang w:val="es-PE"/>
        </w:rPr>
        <w:t>información difundida sea</w:t>
      </w:r>
      <w:r w:rsidR="00661385" w:rsidRPr="00540E96">
        <w:rPr>
          <w:rFonts w:ascii="Cambria" w:hAnsi="Cambria"/>
          <w:sz w:val="20"/>
          <w:szCs w:val="20"/>
          <w:lang w:val="es-PE"/>
        </w:rPr>
        <w:t xml:space="preserve"> </w:t>
      </w:r>
      <w:r w:rsidR="0029726D" w:rsidRPr="00540E96">
        <w:rPr>
          <w:rFonts w:ascii="Cambria" w:hAnsi="Cambria"/>
          <w:sz w:val="20"/>
          <w:szCs w:val="20"/>
          <w:lang w:val="es-PE"/>
        </w:rPr>
        <w:t>“verdadera”, clara e incontrovertiblemente cierta</w:t>
      </w:r>
      <w:r w:rsidR="00661385" w:rsidRPr="00540E96">
        <w:rPr>
          <w:rFonts w:ascii="Cambria" w:hAnsi="Cambria"/>
          <w:sz w:val="20"/>
          <w:szCs w:val="20"/>
          <w:lang w:val="es-PE"/>
        </w:rPr>
        <w:t xml:space="preserve"> </w:t>
      </w:r>
      <w:r w:rsidR="0029726D" w:rsidRPr="00540E96">
        <w:rPr>
          <w:rFonts w:ascii="Cambria" w:hAnsi="Cambria"/>
          <w:sz w:val="20"/>
          <w:szCs w:val="20"/>
          <w:lang w:val="es-PE"/>
        </w:rPr>
        <w:t>desnaturalizaría el ejercicio del derecho a informar y resultaría en la</w:t>
      </w:r>
      <w:r w:rsidR="00BD231F" w:rsidRPr="00540E96">
        <w:rPr>
          <w:rFonts w:ascii="Cambria" w:hAnsi="Cambria"/>
          <w:sz w:val="20"/>
          <w:szCs w:val="20"/>
          <w:lang w:val="es-PE"/>
        </w:rPr>
        <w:t xml:space="preserve"> censura o</w:t>
      </w:r>
      <w:r w:rsidR="0029726D" w:rsidRPr="00540E96">
        <w:rPr>
          <w:rFonts w:ascii="Cambria" w:hAnsi="Cambria"/>
          <w:sz w:val="20"/>
          <w:szCs w:val="20"/>
          <w:lang w:val="es-PE"/>
        </w:rPr>
        <w:t xml:space="preserve"> autocensura</w:t>
      </w:r>
      <w:r w:rsidR="00661385" w:rsidRPr="00540E96">
        <w:rPr>
          <w:rFonts w:ascii="Cambria" w:hAnsi="Cambria"/>
          <w:sz w:val="20"/>
          <w:szCs w:val="20"/>
          <w:lang w:val="es-PE"/>
        </w:rPr>
        <w:t xml:space="preserve">. El requisito que según diversos tribunales se debe exigir es el de la </w:t>
      </w:r>
      <w:r w:rsidR="00174CA8">
        <w:rPr>
          <w:rFonts w:ascii="Cambria" w:hAnsi="Cambria"/>
          <w:sz w:val="20"/>
          <w:szCs w:val="20"/>
          <w:lang w:val="es-PE"/>
        </w:rPr>
        <w:t>“</w:t>
      </w:r>
      <w:r w:rsidR="00661385" w:rsidRPr="00540E96">
        <w:rPr>
          <w:rFonts w:ascii="Cambria" w:hAnsi="Cambria"/>
          <w:sz w:val="20"/>
          <w:szCs w:val="20"/>
          <w:lang w:val="es-PE"/>
        </w:rPr>
        <w:t>diligencia</w:t>
      </w:r>
      <w:r w:rsidR="00D0780A" w:rsidRPr="00540E96">
        <w:rPr>
          <w:rFonts w:ascii="Cambria" w:hAnsi="Cambria"/>
          <w:sz w:val="20"/>
          <w:szCs w:val="20"/>
          <w:lang w:val="es-PE"/>
        </w:rPr>
        <w:t xml:space="preserve"> razonable</w:t>
      </w:r>
      <w:r w:rsidR="00174CA8">
        <w:rPr>
          <w:rFonts w:ascii="Cambria" w:hAnsi="Cambria"/>
          <w:sz w:val="20"/>
          <w:szCs w:val="20"/>
          <w:lang w:val="es-PE"/>
        </w:rPr>
        <w:t>”</w:t>
      </w:r>
      <w:r w:rsidR="00C23D82" w:rsidRPr="00540E96">
        <w:rPr>
          <w:rFonts w:ascii="Cambria" w:hAnsi="Cambria"/>
          <w:sz w:val="20"/>
          <w:szCs w:val="20"/>
          <w:lang w:val="es-PE"/>
        </w:rPr>
        <w:t xml:space="preserve"> de comprobación de hechos</w:t>
      </w:r>
      <w:r w:rsidR="00D52472" w:rsidRPr="00540E96">
        <w:rPr>
          <w:rFonts w:ascii="Cambria" w:hAnsi="Cambria"/>
          <w:sz w:val="20"/>
          <w:szCs w:val="20"/>
          <w:lang w:val="es-PE"/>
        </w:rPr>
        <w:t>, es decir la exigencia de que los periodistas realicen un ejercicio razonable de investigación y comprobación de información para garantizar que sus reportajes, entrevistas y notas periodísticas tengan suficiente asi</w:t>
      </w:r>
      <w:r w:rsidR="00366CA1" w:rsidRPr="00540E96">
        <w:rPr>
          <w:rFonts w:ascii="Cambria" w:hAnsi="Cambria"/>
          <w:sz w:val="20"/>
          <w:szCs w:val="20"/>
          <w:lang w:val="es-PE"/>
        </w:rPr>
        <w:t>dero</w:t>
      </w:r>
      <w:r w:rsidR="00D52472" w:rsidRPr="00540E96">
        <w:rPr>
          <w:rFonts w:ascii="Cambria" w:hAnsi="Cambria"/>
          <w:sz w:val="20"/>
          <w:szCs w:val="20"/>
          <w:lang w:val="es-PE"/>
        </w:rPr>
        <w:t xml:space="preserve"> en la realidad.</w:t>
      </w:r>
      <w:r w:rsidR="006E4B72" w:rsidRPr="00540E96">
        <w:rPr>
          <w:rFonts w:ascii="Cambria" w:hAnsi="Cambria"/>
          <w:sz w:val="20"/>
          <w:szCs w:val="20"/>
          <w:lang w:val="es-PE"/>
        </w:rPr>
        <w:t xml:space="preserve"> </w:t>
      </w:r>
      <w:r w:rsidR="00437796" w:rsidRPr="00540E96">
        <w:rPr>
          <w:rFonts w:ascii="Cambria" w:hAnsi="Cambria"/>
          <w:sz w:val="20"/>
          <w:szCs w:val="20"/>
          <w:lang w:val="es-PE"/>
        </w:rPr>
        <w:t xml:space="preserve">Lo </w:t>
      </w:r>
      <w:r w:rsidR="000E6257" w:rsidRPr="00540E96">
        <w:rPr>
          <w:rFonts w:ascii="Cambria" w:hAnsi="Cambria"/>
          <w:sz w:val="20"/>
          <w:szCs w:val="20"/>
          <w:lang w:val="es-PE"/>
        </w:rPr>
        <w:t>importante es el grado de diligencia observado</w:t>
      </w:r>
      <w:r w:rsidR="00BC79B6" w:rsidRPr="00540E96">
        <w:rPr>
          <w:rFonts w:ascii="Cambria" w:hAnsi="Cambria"/>
          <w:sz w:val="20"/>
          <w:szCs w:val="20"/>
          <w:lang w:val="es-PE"/>
        </w:rPr>
        <w:t xml:space="preserve"> de forma previa a la difusión de la noticia,</w:t>
      </w:r>
      <w:r w:rsidR="000E6257" w:rsidRPr="00540E96">
        <w:rPr>
          <w:rFonts w:ascii="Cambria" w:hAnsi="Cambria"/>
          <w:sz w:val="20"/>
          <w:szCs w:val="20"/>
          <w:lang w:val="es-PE"/>
        </w:rPr>
        <w:t xml:space="preserve"> </w:t>
      </w:r>
      <w:r w:rsidR="00296553" w:rsidRPr="00540E96">
        <w:rPr>
          <w:rFonts w:ascii="Cambria" w:hAnsi="Cambria"/>
          <w:sz w:val="20"/>
          <w:szCs w:val="20"/>
          <w:lang w:val="es-PE"/>
        </w:rPr>
        <w:t xml:space="preserve">de modo que el comunicador se base </w:t>
      </w:r>
      <w:r w:rsidR="008164DD" w:rsidRPr="00540E96">
        <w:rPr>
          <w:rFonts w:ascii="Cambria" w:hAnsi="Cambria"/>
          <w:sz w:val="20"/>
          <w:szCs w:val="20"/>
          <w:lang w:val="es-PE"/>
        </w:rPr>
        <w:t>en un mínimo y aceptable soporte probatorio</w:t>
      </w:r>
      <w:r w:rsidR="000012E6" w:rsidRPr="00540E96">
        <w:rPr>
          <w:rFonts w:ascii="Cambria" w:hAnsi="Cambria"/>
          <w:sz w:val="20"/>
          <w:szCs w:val="20"/>
          <w:lang w:val="es-PE"/>
        </w:rPr>
        <w:t xml:space="preserve"> que </w:t>
      </w:r>
      <w:r w:rsidR="003B5761" w:rsidRPr="00540E96">
        <w:rPr>
          <w:rFonts w:ascii="Cambria" w:hAnsi="Cambria"/>
          <w:sz w:val="20"/>
          <w:szCs w:val="20"/>
          <w:lang w:val="es-PE"/>
        </w:rPr>
        <w:t xml:space="preserve">le </w:t>
      </w:r>
      <w:r w:rsidR="000012E6" w:rsidRPr="00540E96">
        <w:rPr>
          <w:rFonts w:ascii="Cambria" w:hAnsi="Cambria"/>
          <w:sz w:val="20"/>
          <w:szCs w:val="20"/>
          <w:lang w:val="es-PE"/>
        </w:rPr>
        <w:t>genere credibilidad y v</w:t>
      </w:r>
      <w:r w:rsidR="003B5761" w:rsidRPr="00540E96">
        <w:rPr>
          <w:rFonts w:ascii="Cambria" w:hAnsi="Cambria"/>
          <w:sz w:val="20"/>
          <w:szCs w:val="20"/>
          <w:lang w:val="es-PE"/>
        </w:rPr>
        <w:t>erosimilitud sobre</w:t>
      </w:r>
      <w:r w:rsidR="001B3A7A" w:rsidRPr="00540E96">
        <w:rPr>
          <w:rFonts w:ascii="Cambria" w:hAnsi="Cambria"/>
          <w:sz w:val="20"/>
          <w:szCs w:val="20"/>
          <w:lang w:val="es-PE"/>
        </w:rPr>
        <w:t xml:space="preserve"> lo difundido</w:t>
      </w:r>
      <w:r w:rsidR="00BC79B6" w:rsidRPr="00540E96">
        <w:rPr>
          <w:rFonts w:ascii="Cambria" w:hAnsi="Cambria"/>
          <w:sz w:val="20"/>
          <w:szCs w:val="20"/>
          <w:lang w:val="es-PE"/>
        </w:rPr>
        <w:t xml:space="preserve">. </w:t>
      </w:r>
      <w:r w:rsidR="00C23D82" w:rsidRPr="00540E96">
        <w:rPr>
          <w:rFonts w:ascii="Cambria" w:hAnsi="Cambria"/>
          <w:sz w:val="20"/>
          <w:szCs w:val="20"/>
          <w:lang w:val="es-PE"/>
        </w:rPr>
        <w:t>Según este estándar l</w:t>
      </w:r>
      <w:r w:rsidR="00BB7F2E" w:rsidRPr="00540E96">
        <w:rPr>
          <w:rFonts w:ascii="Cambria" w:hAnsi="Cambria"/>
          <w:sz w:val="20"/>
          <w:szCs w:val="20"/>
          <w:lang w:val="es-PE"/>
        </w:rPr>
        <w:t xml:space="preserve">os periodistas deben </w:t>
      </w:r>
      <w:r w:rsidR="007108F3" w:rsidRPr="00540E96">
        <w:rPr>
          <w:rFonts w:ascii="Cambria" w:hAnsi="Cambria"/>
          <w:sz w:val="20"/>
          <w:szCs w:val="20"/>
          <w:lang w:val="es-PE"/>
        </w:rPr>
        <w:t>verificar de forma razonable</w:t>
      </w:r>
      <w:r w:rsidR="00967672" w:rsidRPr="00540E96">
        <w:rPr>
          <w:rFonts w:ascii="Cambria" w:hAnsi="Cambria"/>
          <w:sz w:val="20"/>
          <w:szCs w:val="20"/>
          <w:lang w:val="es-PE"/>
        </w:rPr>
        <w:t xml:space="preserve">, respetando un cierto estándar de diligencia, los hechos </w:t>
      </w:r>
      <w:r w:rsidR="007B1F63" w:rsidRPr="00540E96">
        <w:rPr>
          <w:rFonts w:ascii="Cambria" w:hAnsi="Cambria"/>
          <w:sz w:val="20"/>
          <w:szCs w:val="20"/>
          <w:lang w:val="es-PE"/>
        </w:rPr>
        <w:t>noticiosos</w:t>
      </w:r>
      <w:r w:rsidR="00967672" w:rsidRPr="00540E96">
        <w:rPr>
          <w:rFonts w:ascii="Cambria" w:hAnsi="Cambria"/>
          <w:sz w:val="20"/>
          <w:szCs w:val="20"/>
          <w:lang w:val="es-PE"/>
        </w:rPr>
        <w:t xml:space="preserve">, </w:t>
      </w:r>
      <w:r w:rsidR="000D0673" w:rsidRPr="00540E96">
        <w:rPr>
          <w:rFonts w:ascii="Cambria" w:hAnsi="Cambria"/>
          <w:sz w:val="20"/>
          <w:szCs w:val="20"/>
          <w:lang w:val="es-PE"/>
        </w:rPr>
        <w:t xml:space="preserve">asegurando con ello </w:t>
      </w:r>
      <w:r w:rsidR="00151564" w:rsidRPr="00540E96">
        <w:rPr>
          <w:rFonts w:ascii="Cambria" w:hAnsi="Cambria"/>
          <w:sz w:val="20"/>
          <w:szCs w:val="20"/>
          <w:lang w:val="es-PE"/>
        </w:rPr>
        <w:t xml:space="preserve">su intención </w:t>
      </w:r>
      <w:r w:rsidR="00A4578F" w:rsidRPr="00540E96">
        <w:rPr>
          <w:rFonts w:ascii="Cambria" w:hAnsi="Cambria" w:cs="Times"/>
          <w:iCs/>
          <w:sz w:val="20"/>
          <w:szCs w:val="20"/>
          <w:lang w:val="es-PE"/>
        </w:rPr>
        <w:t>de informar en forma objetiva,</w:t>
      </w:r>
      <w:r w:rsidR="00F17674" w:rsidRPr="00540E96">
        <w:rPr>
          <w:rFonts w:ascii="Cambria" w:hAnsi="Cambria" w:cs="Times"/>
          <w:iCs/>
          <w:sz w:val="20"/>
          <w:szCs w:val="20"/>
          <w:lang w:val="es-PE"/>
        </w:rPr>
        <w:t xml:space="preserve"> a pesar de que con posterioridad a la difusión se compruebe que l</w:t>
      </w:r>
      <w:r w:rsidR="009D6DB0" w:rsidRPr="00540E96">
        <w:rPr>
          <w:rFonts w:ascii="Cambria" w:hAnsi="Cambria" w:cs="Times"/>
          <w:iCs/>
          <w:sz w:val="20"/>
          <w:szCs w:val="20"/>
          <w:lang w:val="es-PE"/>
        </w:rPr>
        <w:t>a</w:t>
      </w:r>
      <w:r w:rsidR="00F17674" w:rsidRPr="00540E96">
        <w:rPr>
          <w:rFonts w:ascii="Cambria" w:hAnsi="Cambria" w:cs="Times"/>
          <w:iCs/>
          <w:sz w:val="20"/>
          <w:szCs w:val="20"/>
          <w:lang w:val="es-PE"/>
        </w:rPr>
        <w:t xml:space="preserve"> </w:t>
      </w:r>
      <w:r w:rsidR="009D6DB0" w:rsidRPr="00540E96">
        <w:rPr>
          <w:rFonts w:ascii="Cambria" w:hAnsi="Cambria" w:cs="Times"/>
          <w:iCs/>
          <w:sz w:val="20"/>
          <w:szCs w:val="20"/>
          <w:lang w:val="es-PE"/>
        </w:rPr>
        <w:t>noticia</w:t>
      </w:r>
      <w:r w:rsidR="00F17674" w:rsidRPr="00540E96">
        <w:rPr>
          <w:rFonts w:ascii="Cambria" w:hAnsi="Cambria" w:cs="Times"/>
          <w:iCs/>
          <w:sz w:val="20"/>
          <w:szCs w:val="20"/>
          <w:lang w:val="es-PE"/>
        </w:rPr>
        <w:t xml:space="preserve"> no se corresponde con la verdad objetiva</w:t>
      </w:r>
      <w:r w:rsidR="006A7501" w:rsidRPr="00540E96">
        <w:rPr>
          <w:rStyle w:val="FootnoteReference"/>
          <w:rFonts w:ascii="Cambria" w:hAnsi="Cambria" w:cs="Times"/>
          <w:iCs/>
          <w:sz w:val="20"/>
          <w:szCs w:val="20"/>
          <w:lang w:val="es-PE"/>
        </w:rPr>
        <w:footnoteReference w:id="84"/>
      </w:r>
      <w:r w:rsidR="00F17674" w:rsidRPr="00540E96">
        <w:rPr>
          <w:rFonts w:ascii="Cambria" w:hAnsi="Cambria" w:cs="Times"/>
          <w:iCs/>
          <w:sz w:val="20"/>
          <w:szCs w:val="20"/>
          <w:lang w:val="es-PE"/>
        </w:rPr>
        <w:t>.</w:t>
      </w:r>
    </w:p>
    <w:p w14:paraId="77A00629" w14:textId="77777777" w:rsidR="00E52097" w:rsidRPr="00540E96" w:rsidRDefault="00E52097" w:rsidP="00E520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51195485" w14:textId="77777777" w:rsidR="000D43BE" w:rsidRPr="00540E96" w:rsidRDefault="00CA3B3A" w:rsidP="007F576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540E96">
        <w:rPr>
          <w:rFonts w:ascii="Cambria" w:hAnsi="Cambria" w:cs="Times"/>
          <w:iCs/>
          <w:sz w:val="20"/>
          <w:szCs w:val="20"/>
          <w:lang w:val="es-PE"/>
        </w:rPr>
        <w:t xml:space="preserve">Con base en lo anterior, </w:t>
      </w:r>
      <w:r w:rsidR="00E52097" w:rsidRPr="00540E96">
        <w:rPr>
          <w:rFonts w:ascii="Cambria" w:hAnsi="Cambria" w:cs="Times"/>
          <w:iCs/>
          <w:sz w:val="20"/>
          <w:szCs w:val="20"/>
          <w:lang w:val="es-PE"/>
        </w:rPr>
        <w:t>la Comisión considera que</w:t>
      </w:r>
      <w:r w:rsidR="00327103" w:rsidRPr="00540E96">
        <w:rPr>
          <w:rFonts w:ascii="Cambria" w:hAnsi="Cambria" w:cs="Times"/>
          <w:iCs/>
          <w:sz w:val="20"/>
          <w:szCs w:val="20"/>
          <w:lang w:val="es-PE"/>
        </w:rPr>
        <w:t xml:space="preserve"> </w:t>
      </w:r>
      <w:r w:rsidR="00DB0884" w:rsidRPr="00540E96">
        <w:rPr>
          <w:rFonts w:ascii="Cambria" w:hAnsi="Cambria" w:cs="Times"/>
          <w:iCs/>
          <w:sz w:val="20"/>
          <w:szCs w:val="20"/>
          <w:lang w:val="es-PE"/>
        </w:rPr>
        <w:t xml:space="preserve">la responsabilidad ulterior de </w:t>
      </w:r>
      <w:r w:rsidR="002B667F" w:rsidRPr="00540E96">
        <w:rPr>
          <w:rFonts w:ascii="Cambria" w:hAnsi="Cambria" w:cs="Times"/>
          <w:iCs/>
          <w:sz w:val="20"/>
          <w:szCs w:val="20"/>
          <w:lang w:val="es-PE"/>
        </w:rPr>
        <w:t>los</w:t>
      </w:r>
      <w:r w:rsidR="00F50AAD" w:rsidRPr="00540E96">
        <w:rPr>
          <w:rFonts w:ascii="Cambria" w:hAnsi="Cambria" w:cs="Times"/>
          <w:iCs/>
          <w:sz w:val="20"/>
          <w:szCs w:val="20"/>
          <w:lang w:val="es-PE"/>
        </w:rPr>
        <w:t xml:space="preserve"> periodistas </w:t>
      </w:r>
      <w:r w:rsidR="00DB0884" w:rsidRPr="00540E96">
        <w:rPr>
          <w:rFonts w:ascii="Cambria" w:hAnsi="Cambria" w:cs="Times"/>
          <w:iCs/>
          <w:sz w:val="20"/>
          <w:szCs w:val="20"/>
          <w:lang w:val="es-PE"/>
        </w:rPr>
        <w:t>debe ser excluida</w:t>
      </w:r>
      <w:r w:rsidR="008A0657" w:rsidRPr="00540E96">
        <w:rPr>
          <w:rFonts w:ascii="Cambria" w:hAnsi="Cambria" w:cs="Times"/>
          <w:iCs/>
          <w:sz w:val="20"/>
          <w:szCs w:val="20"/>
          <w:lang w:val="es-PE"/>
        </w:rPr>
        <w:t>,</w:t>
      </w:r>
      <w:r w:rsidR="00DB0884" w:rsidRPr="00540E96">
        <w:rPr>
          <w:rFonts w:ascii="Cambria" w:hAnsi="Cambria" w:cs="Times"/>
          <w:iCs/>
          <w:sz w:val="20"/>
          <w:szCs w:val="20"/>
          <w:lang w:val="es-PE"/>
        </w:rPr>
        <w:t xml:space="preserve"> </w:t>
      </w:r>
      <w:r w:rsidR="008A0657" w:rsidRPr="00540E96">
        <w:rPr>
          <w:rFonts w:ascii="Cambria" w:hAnsi="Cambria" w:cstheme="minorHAnsi"/>
          <w:sz w:val="20"/>
          <w:szCs w:val="20"/>
          <w:lang w:val="es-AR"/>
        </w:rPr>
        <w:t xml:space="preserve">incluso si los hechos </w:t>
      </w:r>
      <w:r w:rsidR="000D0F2E" w:rsidRPr="00540E96">
        <w:rPr>
          <w:rFonts w:ascii="Cambria" w:hAnsi="Cambria" w:cstheme="minorHAnsi"/>
          <w:sz w:val="20"/>
          <w:szCs w:val="20"/>
          <w:lang w:val="es-AR"/>
        </w:rPr>
        <w:t xml:space="preserve">de interés público </w:t>
      </w:r>
      <w:r w:rsidR="008A0657" w:rsidRPr="00540E96">
        <w:rPr>
          <w:rFonts w:ascii="Cambria" w:hAnsi="Cambria" w:cstheme="minorHAnsi"/>
          <w:sz w:val="20"/>
          <w:szCs w:val="20"/>
          <w:lang w:val="es-AR"/>
        </w:rPr>
        <w:t xml:space="preserve">que se afirman </w:t>
      </w:r>
      <w:r w:rsidR="000D0F2E" w:rsidRPr="00540E96">
        <w:rPr>
          <w:rFonts w:ascii="Cambria" w:hAnsi="Cambria" w:cstheme="minorHAnsi"/>
          <w:sz w:val="20"/>
          <w:szCs w:val="20"/>
          <w:lang w:val="es-AR"/>
        </w:rPr>
        <w:t>son erróneos o inexactos,</w:t>
      </w:r>
      <w:r w:rsidR="006571A7" w:rsidRPr="00540E96">
        <w:rPr>
          <w:rFonts w:ascii="Cambria" w:hAnsi="Cambria" w:cstheme="minorHAnsi"/>
          <w:sz w:val="20"/>
          <w:szCs w:val="20"/>
          <w:lang w:val="es-AR"/>
        </w:rPr>
        <w:t xml:space="preserve"> cuando </w:t>
      </w:r>
      <w:r w:rsidR="00461602" w:rsidRPr="00540E96">
        <w:rPr>
          <w:rFonts w:ascii="Cambria" w:hAnsi="Cambria" w:cstheme="minorHAnsi"/>
          <w:sz w:val="20"/>
          <w:szCs w:val="20"/>
          <w:lang w:val="es-AR"/>
        </w:rPr>
        <w:t xml:space="preserve">aquellos </w:t>
      </w:r>
      <w:r w:rsidR="00940749" w:rsidRPr="00540E96">
        <w:rPr>
          <w:rFonts w:ascii="Cambria" w:hAnsi="Cambria" w:cstheme="minorHAnsi"/>
          <w:sz w:val="20"/>
          <w:szCs w:val="20"/>
          <w:lang w:val="es-AR"/>
        </w:rPr>
        <w:t xml:space="preserve">actuaron </w:t>
      </w:r>
      <w:r w:rsidR="00334B73" w:rsidRPr="00540E96">
        <w:rPr>
          <w:rFonts w:ascii="Cambria" w:hAnsi="Cambria" w:cs="Times"/>
          <w:iCs/>
          <w:sz w:val="20"/>
          <w:szCs w:val="20"/>
          <w:lang w:val="es-PE"/>
        </w:rPr>
        <w:t>con</w:t>
      </w:r>
      <w:r w:rsidR="00F50AAD" w:rsidRPr="00540E96">
        <w:rPr>
          <w:rFonts w:ascii="Cambria" w:hAnsi="Cambria" w:cs="Times"/>
          <w:iCs/>
          <w:sz w:val="20"/>
          <w:szCs w:val="20"/>
          <w:lang w:val="es-PE"/>
        </w:rPr>
        <w:t xml:space="preserve"> diligencia razonable</w:t>
      </w:r>
      <w:r w:rsidR="00E52097" w:rsidRPr="00540E96">
        <w:rPr>
          <w:rFonts w:ascii="Cambria" w:hAnsi="Cambria" w:cs="Times"/>
          <w:iCs/>
          <w:sz w:val="20"/>
          <w:szCs w:val="20"/>
          <w:lang w:val="es-PE"/>
        </w:rPr>
        <w:t xml:space="preserve"> </w:t>
      </w:r>
      <w:r w:rsidR="001E3559" w:rsidRPr="00540E96">
        <w:rPr>
          <w:rFonts w:ascii="Cambria" w:hAnsi="Cambria"/>
          <w:spacing w:val="-2"/>
          <w:sz w:val="20"/>
          <w:szCs w:val="20"/>
          <w:lang w:val="es-PE"/>
        </w:rPr>
        <w:t xml:space="preserve">en la búsqueda </w:t>
      </w:r>
      <w:r w:rsidR="00A9692C" w:rsidRPr="00540E96">
        <w:rPr>
          <w:rFonts w:ascii="Cambria" w:hAnsi="Cambria"/>
          <w:spacing w:val="-2"/>
          <w:sz w:val="20"/>
          <w:szCs w:val="20"/>
          <w:lang w:val="es-PE"/>
        </w:rPr>
        <w:t xml:space="preserve">y comprobación de </w:t>
      </w:r>
      <w:r w:rsidR="0093220E" w:rsidRPr="00540E96">
        <w:rPr>
          <w:rFonts w:ascii="Cambria" w:hAnsi="Cambria"/>
          <w:spacing w:val="-2"/>
          <w:sz w:val="20"/>
          <w:szCs w:val="20"/>
          <w:lang w:val="es-PE"/>
        </w:rPr>
        <w:t xml:space="preserve">la información </w:t>
      </w:r>
      <w:r w:rsidR="00A9692C" w:rsidRPr="00540E96">
        <w:rPr>
          <w:rFonts w:ascii="Cambria" w:hAnsi="Cambria"/>
          <w:spacing w:val="-2"/>
          <w:sz w:val="20"/>
          <w:szCs w:val="20"/>
          <w:lang w:val="es-PE"/>
        </w:rPr>
        <w:t>difundid</w:t>
      </w:r>
      <w:r w:rsidR="0093220E" w:rsidRPr="00540E96">
        <w:rPr>
          <w:rFonts w:ascii="Cambria" w:hAnsi="Cambria"/>
          <w:spacing w:val="-2"/>
          <w:sz w:val="20"/>
          <w:szCs w:val="20"/>
          <w:lang w:val="es-PE"/>
        </w:rPr>
        <w:t>a</w:t>
      </w:r>
      <w:r w:rsidR="00940749" w:rsidRPr="00540E96">
        <w:rPr>
          <w:rFonts w:ascii="Cambria" w:hAnsi="Cambria"/>
          <w:spacing w:val="-2"/>
          <w:sz w:val="20"/>
          <w:szCs w:val="20"/>
          <w:lang w:val="es-PE"/>
        </w:rPr>
        <w:t>.</w:t>
      </w:r>
      <w:r w:rsidR="00A9692C" w:rsidRPr="00540E96">
        <w:rPr>
          <w:rFonts w:ascii="Cambria" w:hAnsi="Cambria"/>
          <w:spacing w:val="-2"/>
          <w:sz w:val="20"/>
          <w:szCs w:val="20"/>
          <w:lang w:val="es-PE"/>
        </w:rPr>
        <w:t xml:space="preserve"> </w:t>
      </w:r>
      <w:r w:rsidR="00940749" w:rsidRPr="00540E96">
        <w:rPr>
          <w:rFonts w:ascii="Cambria" w:hAnsi="Cambria"/>
          <w:spacing w:val="-2"/>
          <w:sz w:val="20"/>
          <w:szCs w:val="20"/>
          <w:lang w:val="es-PE"/>
        </w:rPr>
        <w:t>E</w:t>
      </w:r>
      <w:r w:rsidR="000C35A7" w:rsidRPr="00540E96">
        <w:rPr>
          <w:rFonts w:ascii="Cambria" w:hAnsi="Cambria"/>
          <w:spacing w:val="-2"/>
          <w:sz w:val="20"/>
          <w:szCs w:val="20"/>
          <w:lang w:val="es-PE"/>
        </w:rPr>
        <w:t xml:space="preserve">s decir que lo exigible es un grado de confirmación </w:t>
      </w:r>
      <w:r w:rsidR="0013646C" w:rsidRPr="00540E96">
        <w:rPr>
          <w:rFonts w:ascii="Cambria" w:hAnsi="Cambria"/>
          <w:spacing w:val="-2"/>
          <w:sz w:val="20"/>
          <w:szCs w:val="20"/>
          <w:lang w:val="es-PE"/>
        </w:rPr>
        <w:t>mínimo</w:t>
      </w:r>
      <w:r w:rsidR="00174CA8">
        <w:rPr>
          <w:rFonts w:ascii="Cambria" w:hAnsi="Cambria"/>
          <w:spacing w:val="-2"/>
          <w:sz w:val="20"/>
          <w:szCs w:val="20"/>
          <w:lang w:val="es-PE"/>
        </w:rPr>
        <w:t>,</w:t>
      </w:r>
      <w:r w:rsidR="0013646C" w:rsidRPr="00540E96">
        <w:rPr>
          <w:rFonts w:ascii="Cambria" w:hAnsi="Cambria"/>
          <w:spacing w:val="-2"/>
          <w:sz w:val="20"/>
          <w:szCs w:val="20"/>
          <w:lang w:val="es-PE"/>
        </w:rPr>
        <w:t xml:space="preserve"> </w:t>
      </w:r>
      <w:r w:rsidR="00D81F4B" w:rsidRPr="00540E96">
        <w:rPr>
          <w:rFonts w:ascii="Cambria" w:hAnsi="Cambria"/>
          <w:spacing w:val="-2"/>
          <w:sz w:val="20"/>
          <w:szCs w:val="20"/>
          <w:lang w:val="es-PE"/>
        </w:rPr>
        <w:t xml:space="preserve">de conformidad con </w:t>
      </w:r>
      <w:r w:rsidR="003E7DCA" w:rsidRPr="00540E96">
        <w:rPr>
          <w:rFonts w:ascii="Cambria" w:hAnsi="Cambria"/>
          <w:spacing w:val="-2"/>
          <w:sz w:val="20"/>
          <w:szCs w:val="20"/>
          <w:lang w:val="es-PE"/>
        </w:rPr>
        <w:t xml:space="preserve">lo </w:t>
      </w:r>
      <w:r w:rsidR="000C35A7" w:rsidRPr="00540E96">
        <w:rPr>
          <w:rFonts w:ascii="Cambria" w:hAnsi="Cambria"/>
          <w:spacing w:val="-2"/>
          <w:sz w:val="20"/>
          <w:szCs w:val="20"/>
          <w:lang w:val="es-PE"/>
        </w:rPr>
        <w:t>que el caso amerite</w:t>
      </w:r>
      <w:r w:rsidR="00174CA8">
        <w:rPr>
          <w:rFonts w:ascii="Cambria" w:hAnsi="Cambria"/>
          <w:spacing w:val="-2"/>
          <w:sz w:val="20"/>
          <w:szCs w:val="20"/>
          <w:lang w:val="es-PE"/>
        </w:rPr>
        <w:t>,</w:t>
      </w:r>
      <w:r w:rsidR="00D8318E" w:rsidRPr="00540E96">
        <w:rPr>
          <w:rFonts w:ascii="Cambria" w:hAnsi="Cambria"/>
          <w:spacing w:val="-2"/>
          <w:sz w:val="20"/>
          <w:szCs w:val="20"/>
          <w:lang w:val="es-PE"/>
        </w:rPr>
        <w:t xml:space="preserve"> </w:t>
      </w:r>
      <w:r w:rsidR="003E7DCA" w:rsidRPr="00540E96">
        <w:rPr>
          <w:rFonts w:ascii="Cambria" w:hAnsi="Cambria"/>
          <w:spacing w:val="-2"/>
          <w:sz w:val="20"/>
          <w:szCs w:val="20"/>
          <w:lang w:val="es-PE"/>
        </w:rPr>
        <w:t xml:space="preserve">y </w:t>
      </w:r>
      <w:r w:rsidR="001B24A7" w:rsidRPr="00540E96">
        <w:rPr>
          <w:rFonts w:ascii="Cambria" w:hAnsi="Cambria"/>
          <w:spacing w:val="-2"/>
          <w:sz w:val="20"/>
          <w:szCs w:val="20"/>
          <w:lang w:val="es-PE"/>
        </w:rPr>
        <w:t>de acuerdo con</w:t>
      </w:r>
      <w:r w:rsidR="00D8318E" w:rsidRPr="00540E96">
        <w:rPr>
          <w:rFonts w:ascii="Cambria" w:hAnsi="Cambria"/>
          <w:spacing w:val="-2"/>
          <w:sz w:val="20"/>
          <w:szCs w:val="20"/>
          <w:lang w:val="es-PE"/>
        </w:rPr>
        <w:t xml:space="preserve"> las circunstancias existentes, que genere en el informador </w:t>
      </w:r>
      <w:r w:rsidR="002948AA" w:rsidRPr="00540E96">
        <w:rPr>
          <w:rFonts w:ascii="Cambria" w:hAnsi="Cambria"/>
          <w:spacing w:val="-2"/>
          <w:sz w:val="20"/>
          <w:szCs w:val="20"/>
          <w:lang w:val="es-PE"/>
        </w:rPr>
        <w:t xml:space="preserve">la </w:t>
      </w:r>
      <w:r w:rsidR="00EA2411" w:rsidRPr="00540E96">
        <w:rPr>
          <w:rFonts w:ascii="Cambria" w:hAnsi="Cambria"/>
          <w:spacing w:val="-2"/>
          <w:sz w:val="20"/>
          <w:szCs w:val="20"/>
          <w:lang w:val="es-PE"/>
        </w:rPr>
        <w:t>convicción</w:t>
      </w:r>
      <w:r w:rsidR="002948AA" w:rsidRPr="00540E96">
        <w:rPr>
          <w:rFonts w:ascii="Cambria" w:hAnsi="Cambria"/>
          <w:spacing w:val="-2"/>
          <w:sz w:val="20"/>
          <w:szCs w:val="20"/>
          <w:lang w:val="es-PE"/>
        </w:rPr>
        <w:t xml:space="preserve"> </w:t>
      </w:r>
      <w:r w:rsidR="00174CA8">
        <w:rPr>
          <w:rFonts w:ascii="Cambria" w:hAnsi="Cambria"/>
          <w:spacing w:val="-2"/>
          <w:sz w:val="20"/>
          <w:szCs w:val="20"/>
          <w:lang w:val="es-PE"/>
        </w:rPr>
        <w:t xml:space="preserve">de </w:t>
      </w:r>
      <w:r w:rsidR="002948AA" w:rsidRPr="00540E96">
        <w:rPr>
          <w:rFonts w:ascii="Cambria" w:hAnsi="Cambria"/>
          <w:spacing w:val="-2"/>
          <w:sz w:val="20"/>
          <w:szCs w:val="20"/>
          <w:lang w:val="es-PE"/>
        </w:rPr>
        <w:t>que los hechos</w:t>
      </w:r>
      <w:r w:rsidR="001B24A7" w:rsidRPr="00540E96">
        <w:rPr>
          <w:rFonts w:ascii="Cambria" w:hAnsi="Cambria"/>
          <w:spacing w:val="-2"/>
          <w:sz w:val="20"/>
          <w:szCs w:val="20"/>
          <w:lang w:val="es-PE"/>
        </w:rPr>
        <w:t xml:space="preserve"> </w:t>
      </w:r>
      <w:r w:rsidR="002948AA" w:rsidRPr="00540E96">
        <w:rPr>
          <w:rFonts w:ascii="Cambria" w:hAnsi="Cambria"/>
          <w:spacing w:val="-2"/>
          <w:sz w:val="20"/>
          <w:szCs w:val="20"/>
          <w:lang w:val="es-PE"/>
        </w:rPr>
        <w:t>no son notoriamente inverosímiles</w:t>
      </w:r>
      <w:r w:rsidR="00EA2411" w:rsidRPr="00540E96">
        <w:rPr>
          <w:rFonts w:ascii="Cambria" w:hAnsi="Cambria"/>
          <w:spacing w:val="-2"/>
          <w:sz w:val="20"/>
          <w:szCs w:val="20"/>
          <w:lang w:val="es-PE"/>
        </w:rPr>
        <w:t xml:space="preserve">. </w:t>
      </w:r>
      <w:r w:rsidR="00C00712" w:rsidRPr="00540E96">
        <w:rPr>
          <w:rFonts w:ascii="Cambria" w:hAnsi="Cambria"/>
          <w:spacing w:val="-2"/>
          <w:sz w:val="20"/>
          <w:szCs w:val="20"/>
          <w:lang w:val="es-PE"/>
        </w:rPr>
        <w:t>Para determinar esto último,</w:t>
      </w:r>
      <w:r w:rsidR="007D19EF" w:rsidRPr="00540E96">
        <w:rPr>
          <w:rFonts w:ascii="Cambria" w:hAnsi="Cambria"/>
          <w:spacing w:val="-2"/>
          <w:sz w:val="20"/>
          <w:szCs w:val="20"/>
          <w:lang w:val="es-PE"/>
        </w:rPr>
        <w:t xml:space="preserve"> podría por ejemplo considerarse,</w:t>
      </w:r>
      <w:r w:rsidR="00A5065A" w:rsidRPr="00540E96">
        <w:rPr>
          <w:rFonts w:ascii="Cambria" w:hAnsi="Cambria"/>
          <w:spacing w:val="-2"/>
          <w:sz w:val="20"/>
          <w:szCs w:val="20"/>
          <w:lang w:val="es-PE"/>
        </w:rPr>
        <w:t xml:space="preserve"> </w:t>
      </w:r>
      <w:r w:rsidR="00E63AFE" w:rsidRPr="00540E96">
        <w:rPr>
          <w:rFonts w:ascii="Cambria" w:hAnsi="Cambria"/>
          <w:spacing w:val="-2"/>
          <w:sz w:val="20"/>
          <w:szCs w:val="20"/>
          <w:lang w:val="es-PE"/>
        </w:rPr>
        <w:t>la</w:t>
      </w:r>
      <w:r w:rsidR="00F94CAC" w:rsidRPr="00540E96">
        <w:rPr>
          <w:rFonts w:ascii="Cambria" w:hAnsi="Cambria"/>
          <w:spacing w:val="-2"/>
          <w:sz w:val="20"/>
          <w:szCs w:val="20"/>
          <w:lang w:val="es-PE"/>
        </w:rPr>
        <w:t xml:space="preserve"> cantidad, calidad y</w:t>
      </w:r>
      <w:r w:rsidR="00E63AFE" w:rsidRPr="00540E96">
        <w:rPr>
          <w:rFonts w:ascii="Cambria" w:hAnsi="Cambria"/>
          <w:spacing w:val="-2"/>
          <w:sz w:val="20"/>
          <w:szCs w:val="20"/>
          <w:lang w:val="es-PE"/>
        </w:rPr>
        <w:t xml:space="preserve"> naturaleza de la fuente</w:t>
      </w:r>
      <w:r w:rsidR="001C6533" w:rsidRPr="00540E96">
        <w:rPr>
          <w:rFonts w:ascii="Cambria" w:hAnsi="Cambria"/>
          <w:spacing w:val="-2"/>
          <w:sz w:val="20"/>
          <w:szCs w:val="20"/>
          <w:lang w:val="es-PE"/>
        </w:rPr>
        <w:t xml:space="preserve"> consultada</w:t>
      </w:r>
      <w:r w:rsidR="00F94CAC" w:rsidRPr="00540E96">
        <w:rPr>
          <w:rFonts w:ascii="Cambria" w:hAnsi="Cambria"/>
          <w:spacing w:val="-2"/>
          <w:sz w:val="20"/>
          <w:szCs w:val="20"/>
          <w:lang w:val="es-PE"/>
        </w:rPr>
        <w:t>.</w:t>
      </w:r>
      <w:r w:rsidR="00C00712" w:rsidRPr="00540E96">
        <w:rPr>
          <w:rFonts w:ascii="Cambria" w:hAnsi="Cambria"/>
          <w:spacing w:val="-2"/>
          <w:sz w:val="20"/>
          <w:szCs w:val="20"/>
          <w:lang w:val="es-PE"/>
        </w:rPr>
        <w:t xml:space="preserve"> </w:t>
      </w:r>
      <w:r w:rsidR="0013646C" w:rsidRPr="00540E96">
        <w:rPr>
          <w:rFonts w:ascii="Cambria" w:hAnsi="Cambria"/>
          <w:spacing w:val="-2"/>
          <w:sz w:val="20"/>
          <w:szCs w:val="20"/>
          <w:lang w:val="es-PE"/>
        </w:rPr>
        <w:t xml:space="preserve">La Comisión resalta que </w:t>
      </w:r>
      <w:r w:rsidR="002529D2" w:rsidRPr="00540E96">
        <w:rPr>
          <w:rFonts w:ascii="Cambria" w:hAnsi="Cambria"/>
          <w:spacing w:val="-2"/>
          <w:sz w:val="20"/>
          <w:szCs w:val="20"/>
          <w:lang w:val="es-PE"/>
        </w:rPr>
        <w:t>la verosimilitud de la información no es sinónimo de verdad absoluta</w:t>
      </w:r>
      <w:r w:rsidR="001E3559" w:rsidRPr="00540E96">
        <w:rPr>
          <w:rFonts w:ascii="Cambria" w:hAnsi="Cambria"/>
          <w:spacing w:val="-2"/>
          <w:sz w:val="20"/>
          <w:szCs w:val="20"/>
          <w:lang w:val="es-PE"/>
        </w:rPr>
        <w:t>,</w:t>
      </w:r>
      <w:r w:rsidR="002529D2" w:rsidRPr="00540E96">
        <w:rPr>
          <w:rFonts w:ascii="Cambria" w:hAnsi="Cambria"/>
          <w:spacing w:val="-2"/>
          <w:sz w:val="20"/>
          <w:szCs w:val="20"/>
          <w:lang w:val="es-PE"/>
        </w:rPr>
        <w:t xml:space="preserve"> por lo que</w:t>
      </w:r>
      <w:r w:rsidR="001E3559" w:rsidRPr="00540E96">
        <w:rPr>
          <w:rFonts w:ascii="Cambria" w:hAnsi="Cambria"/>
          <w:spacing w:val="-2"/>
          <w:sz w:val="20"/>
          <w:szCs w:val="20"/>
          <w:lang w:val="es-PE"/>
        </w:rPr>
        <w:t xml:space="preserve"> a pesar de que la exactitud de </w:t>
      </w:r>
      <w:r w:rsidR="001B24A7" w:rsidRPr="00540E96">
        <w:rPr>
          <w:rFonts w:ascii="Cambria" w:hAnsi="Cambria"/>
          <w:spacing w:val="-2"/>
          <w:sz w:val="20"/>
          <w:szCs w:val="20"/>
          <w:lang w:val="es-PE"/>
        </w:rPr>
        <w:t>esta</w:t>
      </w:r>
      <w:r w:rsidR="001E3559" w:rsidRPr="00540E96">
        <w:rPr>
          <w:rFonts w:ascii="Cambria" w:hAnsi="Cambria"/>
          <w:spacing w:val="-2"/>
          <w:sz w:val="20"/>
          <w:szCs w:val="20"/>
          <w:lang w:val="es-PE"/>
        </w:rPr>
        <w:t xml:space="preserve"> sea controvertible o se compruebe errónea, dicho discurso estará protegido por el derecho a la libertad de expresión y de información</w:t>
      </w:r>
      <w:r w:rsidR="008432F3" w:rsidRPr="00540E96">
        <w:rPr>
          <w:rFonts w:ascii="Cambria" w:hAnsi="Cambria"/>
          <w:spacing w:val="-2"/>
          <w:sz w:val="20"/>
          <w:szCs w:val="20"/>
          <w:lang w:val="es-PE"/>
        </w:rPr>
        <w:t xml:space="preserve">, siempre y cuando </w:t>
      </w:r>
      <w:r w:rsidR="009E69B5" w:rsidRPr="00540E96">
        <w:rPr>
          <w:rFonts w:ascii="Cambria" w:hAnsi="Cambria"/>
          <w:spacing w:val="-2"/>
          <w:sz w:val="20"/>
          <w:szCs w:val="20"/>
          <w:lang w:val="es-PE"/>
        </w:rPr>
        <w:t>se actúe con</w:t>
      </w:r>
      <w:r w:rsidR="001E3559" w:rsidRPr="00540E96">
        <w:rPr>
          <w:rFonts w:ascii="Cambria" w:hAnsi="Cambria"/>
          <w:sz w:val="20"/>
          <w:szCs w:val="20"/>
          <w:lang w:val="es-PE"/>
        </w:rPr>
        <w:t xml:space="preserve"> </w:t>
      </w:r>
      <w:r w:rsidR="00DA3514" w:rsidRPr="00540E96">
        <w:rPr>
          <w:rFonts w:ascii="Cambria" w:hAnsi="Cambria" w:cstheme="minorHAnsi"/>
          <w:sz w:val="20"/>
          <w:szCs w:val="20"/>
          <w:lang w:val="es-AR"/>
        </w:rPr>
        <w:t>diligencia razonable y buena fe</w:t>
      </w:r>
      <w:r w:rsidR="00565EB6" w:rsidRPr="00540E96">
        <w:rPr>
          <w:rFonts w:ascii="Cambria" w:hAnsi="Cambria" w:cstheme="minorHAnsi"/>
          <w:sz w:val="20"/>
          <w:szCs w:val="20"/>
          <w:lang w:val="es-AR"/>
        </w:rPr>
        <w:t>.</w:t>
      </w:r>
      <w:r w:rsidR="009C5C19" w:rsidRPr="00540E96">
        <w:rPr>
          <w:rFonts w:ascii="Cambria" w:hAnsi="Cambria" w:cstheme="minorHAnsi"/>
          <w:sz w:val="20"/>
          <w:szCs w:val="20"/>
          <w:lang w:val="es-AR"/>
        </w:rPr>
        <w:t xml:space="preserve"> </w:t>
      </w:r>
    </w:p>
    <w:p w14:paraId="53CC5572" w14:textId="77777777" w:rsidR="007F5764" w:rsidRPr="00540E96" w:rsidRDefault="007F5764" w:rsidP="007F57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60F6DC2A" w14:textId="77777777" w:rsidR="00313827" w:rsidRPr="00540E96" w:rsidRDefault="0079704B" w:rsidP="007F576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MX"/>
        </w:rPr>
      </w:pPr>
      <w:r w:rsidRPr="00540E96">
        <w:rPr>
          <w:rFonts w:ascii="Cambria" w:hAnsi="Cambria"/>
          <w:sz w:val="20"/>
          <w:szCs w:val="20"/>
          <w:lang w:val="es-PE"/>
        </w:rPr>
        <w:t>Si la información genera verosimilitud en el informador</w:t>
      </w:r>
      <w:r w:rsidR="005F4C9A" w:rsidRPr="00540E96">
        <w:rPr>
          <w:rFonts w:ascii="Cambria" w:hAnsi="Cambria"/>
          <w:sz w:val="20"/>
          <w:szCs w:val="20"/>
          <w:lang w:val="es-PE"/>
        </w:rPr>
        <w:t xml:space="preserve"> y hay una constatación razonable</w:t>
      </w:r>
      <w:r w:rsidR="00FA6F93" w:rsidRPr="00540E96">
        <w:rPr>
          <w:rFonts w:ascii="Cambria" w:hAnsi="Cambria"/>
          <w:sz w:val="20"/>
          <w:szCs w:val="20"/>
          <w:lang w:val="es-PE"/>
        </w:rPr>
        <w:t xml:space="preserve"> de los hechos</w:t>
      </w:r>
      <w:r w:rsidR="00663D71" w:rsidRPr="00540E96">
        <w:rPr>
          <w:rFonts w:ascii="Cambria" w:hAnsi="Cambria"/>
          <w:sz w:val="20"/>
          <w:szCs w:val="20"/>
          <w:lang w:val="es-PE"/>
        </w:rPr>
        <w:t xml:space="preserve"> de buena fe</w:t>
      </w:r>
      <w:r w:rsidR="00574544" w:rsidRPr="00540E96">
        <w:rPr>
          <w:rFonts w:ascii="Cambria" w:hAnsi="Cambria"/>
          <w:sz w:val="20"/>
          <w:szCs w:val="20"/>
          <w:lang w:val="es-PE"/>
        </w:rPr>
        <w:t>, la verificación no debe ser necesariamente exhaustiva</w:t>
      </w:r>
      <w:r w:rsidR="00BE794B" w:rsidRPr="00540E96">
        <w:rPr>
          <w:rFonts w:ascii="Cambria" w:hAnsi="Cambria"/>
          <w:sz w:val="20"/>
          <w:szCs w:val="20"/>
          <w:lang w:val="es-PE"/>
        </w:rPr>
        <w:t>, ello debido a que</w:t>
      </w:r>
      <w:r w:rsidR="00313827" w:rsidRPr="00540E96">
        <w:rPr>
          <w:rFonts w:ascii="Cambria" w:hAnsi="Cambria"/>
          <w:sz w:val="20"/>
          <w:szCs w:val="20"/>
          <w:lang w:val="es-PE"/>
        </w:rPr>
        <w:t xml:space="preserve">, </w:t>
      </w:r>
      <w:r w:rsidR="00247063" w:rsidRPr="00540E96">
        <w:rPr>
          <w:rFonts w:ascii="Cambria" w:hAnsi="Cambria"/>
          <w:sz w:val="20"/>
          <w:szCs w:val="20"/>
          <w:lang w:val="es-PE"/>
        </w:rPr>
        <w:t>como ha</w:t>
      </w:r>
      <w:r w:rsidR="005E125C" w:rsidRPr="00540E96">
        <w:rPr>
          <w:rFonts w:ascii="Cambria" w:hAnsi="Cambria"/>
          <w:sz w:val="20"/>
          <w:szCs w:val="20"/>
          <w:lang w:val="es-PE"/>
        </w:rPr>
        <w:t xml:space="preserve"> sido establecido por el Tribunal Europeo</w:t>
      </w:r>
      <w:r w:rsidR="00174CA8">
        <w:rPr>
          <w:rFonts w:ascii="Cambria" w:hAnsi="Cambria"/>
          <w:sz w:val="20"/>
          <w:szCs w:val="20"/>
          <w:lang w:val="es-PE"/>
        </w:rPr>
        <w:t>,</w:t>
      </w:r>
      <w:r w:rsidR="005E125C" w:rsidRPr="00540E96">
        <w:rPr>
          <w:rFonts w:ascii="Cambria" w:hAnsi="Cambria"/>
          <w:sz w:val="20"/>
          <w:szCs w:val="20"/>
          <w:lang w:val="es-PE"/>
        </w:rPr>
        <w:t xml:space="preserve"> </w:t>
      </w:r>
      <w:r w:rsidR="008E0058" w:rsidRPr="00540E96">
        <w:rPr>
          <w:rFonts w:ascii="Cambria" w:hAnsi="Cambria"/>
          <w:sz w:val="20"/>
          <w:szCs w:val="20"/>
          <w:lang w:val="es-MX"/>
        </w:rPr>
        <w:t xml:space="preserve">para que la prensa pueda desempeñar </w:t>
      </w:r>
      <w:r w:rsidR="008E0058" w:rsidRPr="00540E96">
        <w:rPr>
          <w:rFonts w:ascii="Cambria" w:hAnsi="Cambria"/>
          <w:i/>
          <w:sz w:val="20"/>
          <w:szCs w:val="20"/>
          <w:lang w:val="es-MX"/>
        </w:rPr>
        <w:t>su “papel indispensable de perro guardián”</w:t>
      </w:r>
      <w:r w:rsidR="008E0058" w:rsidRPr="00540E96">
        <w:rPr>
          <w:rStyle w:val="FootnoteReference"/>
          <w:rFonts w:ascii="Cambria" w:hAnsi="Cambria"/>
          <w:i/>
          <w:sz w:val="20"/>
          <w:szCs w:val="20"/>
          <w:lang w:val="es-MX"/>
        </w:rPr>
        <w:footnoteReference w:id="85"/>
      </w:r>
      <w:r w:rsidR="008E0058" w:rsidRPr="00540E96">
        <w:rPr>
          <w:rFonts w:ascii="Cambria" w:hAnsi="Cambria"/>
          <w:sz w:val="20"/>
          <w:szCs w:val="20"/>
          <w:lang w:val="es-MX"/>
        </w:rPr>
        <w:t>, los periodistas deben informar y alertar al público sobre los hechos tan pronto como la información pertinente llegue a su poder</w:t>
      </w:r>
      <w:r w:rsidR="008E0058" w:rsidRPr="00540E96">
        <w:rPr>
          <w:rStyle w:val="FootnoteReference"/>
          <w:rFonts w:ascii="Cambria" w:hAnsi="Cambria"/>
          <w:sz w:val="20"/>
          <w:szCs w:val="20"/>
          <w:lang w:val="es-MX"/>
        </w:rPr>
        <w:footnoteReference w:id="86"/>
      </w:r>
      <w:r w:rsidR="00E724D3" w:rsidRPr="00540E96">
        <w:rPr>
          <w:rFonts w:ascii="Cambria" w:hAnsi="Cambria"/>
          <w:sz w:val="20"/>
          <w:szCs w:val="20"/>
          <w:lang w:val="es-MX"/>
        </w:rPr>
        <w:t xml:space="preserve">, </w:t>
      </w:r>
      <w:r w:rsidR="00114C10" w:rsidRPr="00540E96">
        <w:rPr>
          <w:rFonts w:ascii="Cambria" w:hAnsi="Cambria"/>
          <w:sz w:val="20"/>
          <w:szCs w:val="20"/>
          <w:lang w:val="es-MX"/>
        </w:rPr>
        <w:t>pues “las noticias son un bien perecedero y la demora en su publicación</w:t>
      </w:r>
      <w:r w:rsidR="00E724D3" w:rsidRPr="00540E96">
        <w:rPr>
          <w:rFonts w:ascii="Cambria" w:hAnsi="Cambria"/>
          <w:sz w:val="20"/>
          <w:szCs w:val="20"/>
          <w:lang w:val="es-MX"/>
        </w:rPr>
        <w:t>, incluso por un corto period</w:t>
      </w:r>
      <w:r w:rsidR="00BA21AB" w:rsidRPr="00540E96">
        <w:rPr>
          <w:rFonts w:ascii="Cambria" w:hAnsi="Cambria"/>
          <w:sz w:val="20"/>
          <w:szCs w:val="20"/>
          <w:lang w:val="es-MX"/>
        </w:rPr>
        <w:t>o, bien puede privarlas de todo su valor e interés”</w:t>
      </w:r>
      <w:r w:rsidR="00584C46" w:rsidRPr="00540E96">
        <w:rPr>
          <w:rStyle w:val="FootnoteReference"/>
          <w:rFonts w:ascii="Cambria" w:hAnsi="Cambria"/>
          <w:sz w:val="20"/>
          <w:szCs w:val="20"/>
          <w:lang w:val="es-MX"/>
        </w:rPr>
        <w:footnoteReference w:id="87"/>
      </w:r>
      <w:r w:rsidR="00BA21AB" w:rsidRPr="00540E96">
        <w:rPr>
          <w:rFonts w:ascii="Cambria" w:hAnsi="Cambria"/>
          <w:sz w:val="20"/>
          <w:szCs w:val="20"/>
          <w:lang w:val="es-MX"/>
        </w:rPr>
        <w:t xml:space="preserve">. </w:t>
      </w:r>
      <w:r w:rsidR="004C614E" w:rsidRPr="00540E96">
        <w:rPr>
          <w:rFonts w:ascii="Cambria" w:hAnsi="Cambria"/>
          <w:sz w:val="20"/>
          <w:szCs w:val="20"/>
          <w:lang w:val="es-MX"/>
        </w:rPr>
        <w:t>A</w:t>
      </w:r>
      <w:r w:rsidR="00174CA8">
        <w:rPr>
          <w:rFonts w:ascii="Cambria" w:hAnsi="Cambria"/>
          <w:sz w:val="20"/>
          <w:szCs w:val="20"/>
          <w:lang w:val="es-MX"/>
        </w:rPr>
        <w:t>simismo</w:t>
      </w:r>
      <w:r w:rsidR="004C614E" w:rsidRPr="00540E96">
        <w:rPr>
          <w:rFonts w:ascii="Cambria" w:hAnsi="Cambria"/>
          <w:sz w:val="20"/>
          <w:szCs w:val="20"/>
          <w:lang w:val="es-MX"/>
        </w:rPr>
        <w:t>, e</w:t>
      </w:r>
      <w:r w:rsidR="00584C46" w:rsidRPr="00540E96">
        <w:rPr>
          <w:rFonts w:ascii="Cambria" w:hAnsi="Cambria"/>
          <w:sz w:val="20"/>
          <w:szCs w:val="20"/>
          <w:lang w:val="es-MX"/>
        </w:rPr>
        <w:t>l Tribunal E</w:t>
      </w:r>
      <w:r w:rsidR="009E1CE9" w:rsidRPr="00540E96">
        <w:rPr>
          <w:rFonts w:ascii="Cambria" w:hAnsi="Cambria"/>
          <w:sz w:val="20"/>
          <w:szCs w:val="20"/>
          <w:lang w:val="es-MX"/>
        </w:rPr>
        <w:t>uropeo ha destacado que</w:t>
      </w:r>
      <w:r w:rsidR="009E1CE9" w:rsidRPr="00540E96">
        <w:rPr>
          <w:rFonts w:ascii="Cambria" w:hAnsi="Cambria"/>
          <w:sz w:val="20"/>
          <w:szCs w:val="20"/>
          <w:lang w:val="es-PE"/>
        </w:rPr>
        <w:t xml:space="preserve"> </w:t>
      </w:r>
      <w:r w:rsidR="005E125C" w:rsidRPr="00540E96">
        <w:rPr>
          <w:rFonts w:ascii="Cambria" w:hAnsi="Cambria"/>
          <w:sz w:val="20"/>
          <w:szCs w:val="20"/>
          <w:lang w:val="es-PE"/>
        </w:rPr>
        <w:t xml:space="preserve">“cuando la prensa </w:t>
      </w:r>
      <w:r w:rsidR="009E1CE9" w:rsidRPr="00540E96">
        <w:rPr>
          <w:rFonts w:ascii="Cambria" w:hAnsi="Cambria"/>
          <w:sz w:val="20"/>
          <w:szCs w:val="20"/>
          <w:lang w:val="es-PE"/>
        </w:rPr>
        <w:t xml:space="preserve">contribuye </w:t>
      </w:r>
      <w:r w:rsidR="007C200F" w:rsidRPr="00540E96">
        <w:rPr>
          <w:rFonts w:ascii="Cambria" w:hAnsi="Cambria"/>
          <w:sz w:val="20"/>
          <w:szCs w:val="20"/>
          <w:lang w:val="es-PE"/>
        </w:rPr>
        <w:t>al debate público sobre cuestiones que despiertan una preocupación legítima</w:t>
      </w:r>
      <w:r w:rsidR="002C45FE" w:rsidRPr="00540E96">
        <w:rPr>
          <w:rFonts w:ascii="Cambria" w:hAnsi="Cambria"/>
          <w:sz w:val="20"/>
          <w:szCs w:val="20"/>
          <w:lang w:val="es-PE"/>
        </w:rPr>
        <w:t xml:space="preserve">, en principio debe poder apoyarse en informes oficiales sin tener que emprender </w:t>
      </w:r>
      <w:r w:rsidR="00BE404A" w:rsidRPr="00540E96">
        <w:rPr>
          <w:rFonts w:ascii="Cambria" w:hAnsi="Cambria"/>
          <w:sz w:val="20"/>
          <w:szCs w:val="20"/>
          <w:lang w:val="es-PE"/>
        </w:rPr>
        <w:t>investigaciones independientes</w:t>
      </w:r>
      <w:r w:rsidR="002C45FE" w:rsidRPr="00540E96">
        <w:rPr>
          <w:rFonts w:ascii="Cambria" w:hAnsi="Cambria"/>
          <w:sz w:val="20"/>
          <w:szCs w:val="20"/>
          <w:lang w:val="es-PE"/>
        </w:rPr>
        <w:t>”</w:t>
      </w:r>
      <w:r w:rsidR="00597A74" w:rsidRPr="00540E96">
        <w:rPr>
          <w:rStyle w:val="FootnoteReference"/>
          <w:rFonts w:ascii="Cambria" w:hAnsi="Cambria"/>
          <w:sz w:val="20"/>
          <w:szCs w:val="20"/>
          <w:lang w:val="es-PE"/>
        </w:rPr>
        <w:footnoteReference w:id="88"/>
      </w:r>
      <w:r w:rsidR="00597A74" w:rsidRPr="00540E96">
        <w:rPr>
          <w:rFonts w:ascii="Cambria" w:hAnsi="Cambria"/>
          <w:sz w:val="20"/>
          <w:szCs w:val="20"/>
          <w:lang w:val="es-PE"/>
        </w:rPr>
        <w:t>.</w:t>
      </w:r>
      <w:r w:rsidR="00F810B4" w:rsidRPr="00540E96">
        <w:rPr>
          <w:rFonts w:ascii="Cambria" w:hAnsi="Cambria"/>
          <w:sz w:val="20"/>
          <w:szCs w:val="20"/>
          <w:lang w:val="es-PE"/>
        </w:rPr>
        <w:t xml:space="preserve"> </w:t>
      </w:r>
    </w:p>
    <w:p w14:paraId="79692AB8" w14:textId="77777777" w:rsidR="007F5764" w:rsidRPr="00540E96" w:rsidRDefault="007F5764" w:rsidP="007F57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p>
    <w:p w14:paraId="5298D186" w14:textId="77777777" w:rsidR="00083A4B" w:rsidRPr="00540E96" w:rsidRDefault="00784266" w:rsidP="007F576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Pr>
          <w:rFonts w:ascii="Cambria" w:hAnsi="Cambria" w:cstheme="minorHAnsi"/>
          <w:sz w:val="20"/>
          <w:szCs w:val="20"/>
          <w:lang w:val="es-AR"/>
        </w:rPr>
        <w:t>Por otro lado,</w:t>
      </w:r>
      <w:r w:rsidR="004C70C9" w:rsidRPr="00540E96">
        <w:rPr>
          <w:rFonts w:ascii="Cambria" w:hAnsi="Cambria" w:cstheme="minorHAnsi"/>
          <w:sz w:val="20"/>
          <w:szCs w:val="20"/>
          <w:lang w:val="es-AR"/>
        </w:rPr>
        <w:t xml:space="preserve"> </w:t>
      </w:r>
      <w:r w:rsidR="00E40915" w:rsidRPr="00540E96">
        <w:rPr>
          <w:rFonts w:ascii="Cambria" w:hAnsi="Cambria" w:cstheme="minorHAnsi"/>
          <w:sz w:val="20"/>
          <w:szCs w:val="20"/>
          <w:lang w:val="es-AR"/>
        </w:rPr>
        <w:t>la Comisi</w:t>
      </w:r>
      <w:r w:rsidR="000F7C0B" w:rsidRPr="00540E96">
        <w:rPr>
          <w:rFonts w:ascii="Cambria" w:hAnsi="Cambria" w:cstheme="minorHAnsi"/>
          <w:sz w:val="20"/>
          <w:szCs w:val="20"/>
          <w:lang w:val="es-AR"/>
        </w:rPr>
        <w:t xml:space="preserve">ón </w:t>
      </w:r>
      <w:r w:rsidR="008835A9" w:rsidRPr="00540E96">
        <w:rPr>
          <w:rFonts w:ascii="Cambria" w:hAnsi="Cambria" w:cstheme="minorHAnsi"/>
          <w:sz w:val="20"/>
          <w:szCs w:val="20"/>
          <w:lang w:val="es-AR"/>
        </w:rPr>
        <w:t>considera importante resaltar</w:t>
      </w:r>
      <w:r w:rsidR="00862CB3" w:rsidRPr="00540E96">
        <w:rPr>
          <w:rFonts w:ascii="Cambria" w:hAnsi="Cambria" w:cstheme="minorHAnsi"/>
          <w:sz w:val="20"/>
          <w:szCs w:val="20"/>
          <w:lang w:val="es-AR"/>
        </w:rPr>
        <w:t xml:space="preserve"> la doctrina de</w:t>
      </w:r>
      <w:r w:rsidR="00DA3514" w:rsidRPr="00540E96">
        <w:rPr>
          <w:rFonts w:ascii="Cambria" w:hAnsi="Cambria" w:cstheme="minorHAnsi"/>
          <w:sz w:val="20"/>
          <w:szCs w:val="20"/>
          <w:lang w:val="es-AR"/>
        </w:rPr>
        <w:t xml:space="preserve"> </w:t>
      </w:r>
      <w:r w:rsidR="00862CB3" w:rsidRPr="00540E96">
        <w:rPr>
          <w:rFonts w:ascii="Cambria" w:hAnsi="Cambria" w:cstheme="minorHAnsi"/>
          <w:sz w:val="20"/>
          <w:szCs w:val="20"/>
          <w:lang w:val="es-AR"/>
        </w:rPr>
        <w:t xml:space="preserve">la </w:t>
      </w:r>
      <w:r w:rsidR="00EE645F" w:rsidRPr="00540E96">
        <w:rPr>
          <w:rFonts w:ascii="Cambria" w:hAnsi="Cambria" w:cstheme="minorHAnsi"/>
          <w:sz w:val="20"/>
          <w:szCs w:val="20"/>
          <w:lang w:val="es-AR"/>
        </w:rPr>
        <w:t xml:space="preserve">real malicia, </w:t>
      </w:r>
      <w:r w:rsidR="000F7C0B" w:rsidRPr="00540E96">
        <w:rPr>
          <w:rFonts w:ascii="Cambria" w:hAnsi="Cambria" w:cstheme="minorHAnsi"/>
          <w:sz w:val="20"/>
          <w:szCs w:val="20"/>
          <w:lang w:val="es-AR"/>
        </w:rPr>
        <w:t xml:space="preserve">desarrollada </w:t>
      </w:r>
      <w:r w:rsidR="00DB62D0" w:rsidRPr="00540E96">
        <w:rPr>
          <w:rFonts w:ascii="Cambria" w:hAnsi="Cambria" w:cstheme="minorHAnsi"/>
          <w:sz w:val="20"/>
          <w:szCs w:val="20"/>
          <w:lang w:val="es-AR"/>
        </w:rPr>
        <w:t xml:space="preserve">por la Corte Suprema de los Estados Unidos </w:t>
      </w:r>
      <w:r w:rsidR="00FB1475" w:rsidRPr="00540E96">
        <w:rPr>
          <w:rFonts w:ascii="Cambria" w:hAnsi="Cambria" w:cstheme="minorHAnsi"/>
          <w:sz w:val="20"/>
          <w:szCs w:val="20"/>
          <w:lang w:val="es-AR"/>
        </w:rPr>
        <w:t xml:space="preserve">en el caso </w:t>
      </w:r>
      <w:r w:rsidR="00FB1475" w:rsidRPr="00540E96">
        <w:rPr>
          <w:rFonts w:ascii="Cambria" w:hAnsi="Cambria" w:cstheme="minorHAnsi"/>
          <w:i/>
          <w:iCs/>
          <w:sz w:val="20"/>
          <w:szCs w:val="20"/>
          <w:lang w:val="es-AR"/>
        </w:rPr>
        <w:t>New York Times Vs. Sullivan</w:t>
      </w:r>
      <w:r w:rsidR="00FB1475" w:rsidRPr="00540E96">
        <w:rPr>
          <w:rFonts w:ascii="Cambria" w:hAnsi="Cambria" w:cstheme="minorHAnsi"/>
          <w:sz w:val="20"/>
          <w:szCs w:val="20"/>
          <w:lang w:val="es-AR"/>
        </w:rPr>
        <w:t xml:space="preserve"> </w:t>
      </w:r>
      <w:r w:rsidR="000D4BF9" w:rsidRPr="00540E96">
        <w:rPr>
          <w:rFonts w:ascii="Cambria" w:hAnsi="Cambria" w:cstheme="minorHAnsi"/>
          <w:sz w:val="20"/>
          <w:szCs w:val="20"/>
          <w:lang w:val="es-AR"/>
        </w:rPr>
        <w:t>en el</w:t>
      </w:r>
      <w:r w:rsidR="00FB1475" w:rsidRPr="00540E96">
        <w:rPr>
          <w:rFonts w:ascii="Cambria" w:hAnsi="Cambria" w:cstheme="minorHAnsi"/>
          <w:sz w:val="20"/>
          <w:szCs w:val="20"/>
          <w:lang w:val="es-AR"/>
        </w:rPr>
        <w:t xml:space="preserve"> año 1964</w:t>
      </w:r>
      <w:r w:rsidR="00354AB9" w:rsidRPr="00540E96">
        <w:rPr>
          <w:rFonts w:ascii="Cambria" w:hAnsi="Cambria" w:cstheme="minorHAnsi"/>
          <w:sz w:val="20"/>
          <w:szCs w:val="20"/>
          <w:lang w:val="es-AR"/>
        </w:rPr>
        <w:t>, ocasión en la cual</w:t>
      </w:r>
      <w:r w:rsidR="00083A4B" w:rsidRPr="00540E96">
        <w:rPr>
          <w:rFonts w:ascii="Cambria" w:hAnsi="Cambria" w:cstheme="minorHAnsi"/>
          <w:sz w:val="20"/>
          <w:szCs w:val="20"/>
          <w:lang w:val="es-AR"/>
        </w:rPr>
        <w:t xml:space="preserve"> la Corte Suprema interpret</w:t>
      </w:r>
      <w:r w:rsidR="00C86509" w:rsidRPr="00540E96">
        <w:rPr>
          <w:rFonts w:ascii="Cambria" w:hAnsi="Cambria" w:cstheme="minorHAnsi"/>
          <w:sz w:val="20"/>
          <w:szCs w:val="20"/>
          <w:lang w:val="es-AR"/>
        </w:rPr>
        <w:t xml:space="preserve">ó </w:t>
      </w:r>
      <w:r w:rsidR="00083A4B" w:rsidRPr="00540E96">
        <w:rPr>
          <w:rFonts w:ascii="Cambria" w:hAnsi="Cambria" w:cstheme="minorHAnsi"/>
          <w:sz w:val="20"/>
          <w:szCs w:val="20"/>
          <w:lang w:val="es-AR"/>
        </w:rPr>
        <w:t xml:space="preserve">el alcance de la </w:t>
      </w:r>
      <w:r w:rsidR="009735ED" w:rsidRPr="00540E96">
        <w:rPr>
          <w:rFonts w:ascii="Cambria" w:hAnsi="Cambria" w:cstheme="minorHAnsi"/>
          <w:sz w:val="20"/>
          <w:szCs w:val="20"/>
          <w:lang w:val="es-AR"/>
        </w:rPr>
        <w:t>p</w:t>
      </w:r>
      <w:r w:rsidR="00083A4B" w:rsidRPr="00540E96">
        <w:rPr>
          <w:rFonts w:ascii="Cambria" w:hAnsi="Cambria" w:cstheme="minorHAnsi"/>
          <w:sz w:val="20"/>
          <w:szCs w:val="20"/>
          <w:lang w:val="es-AR"/>
        </w:rPr>
        <w:t xml:space="preserve">rimera </w:t>
      </w:r>
      <w:r w:rsidR="009735ED" w:rsidRPr="00540E96">
        <w:rPr>
          <w:rFonts w:ascii="Cambria" w:hAnsi="Cambria" w:cstheme="minorHAnsi"/>
          <w:sz w:val="20"/>
          <w:szCs w:val="20"/>
          <w:lang w:val="es-AR"/>
        </w:rPr>
        <w:t>e</w:t>
      </w:r>
      <w:r w:rsidR="00083A4B" w:rsidRPr="00540E96">
        <w:rPr>
          <w:rFonts w:ascii="Cambria" w:hAnsi="Cambria" w:cstheme="minorHAnsi"/>
          <w:sz w:val="20"/>
          <w:szCs w:val="20"/>
          <w:lang w:val="es-AR"/>
        </w:rPr>
        <w:t xml:space="preserve">nmienda </w:t>
      </w:r>
      <w:r w:rsidR="00F242CD" w:rsidRPr="00540E96">
        <w:rPr>
          <w:rFonts w:ascii="Cambria" w:hAnsi="Cambria" w:cstheme="minorHAnsi"/>
          <w:sz w:val="20"/>
          <w:szCs w:val="20"/>
          <w:lang w:val="es-AR"/>
        </w:rPr>
        <w:t>de la Constitución</w:t>
      </w:r>
      <w:r w:rsidR="005300EA" w:rsidRPr="00540E96">
        <w:rPr>
          <w:rFonts w:ascii="Cambria" w:hAnsi="Cambria" w:cstheme="minorHAnsi"/>
          <w:sz w:val="20"/>
          <w:szCs w:val="20"/>
          <w:lang w:val="es-AR"/>
        </w:rPr>
        <w:t xml:space="preserve"> que ordena al Congreso no sancionar ninguna ley que prohíba </w:t>
      </w:r>
      <w:r w:rsidR="003E5CFD" w:rsidRPr="00540E96">
        <w:rPr>
          <w:rFonts w:ascii="Cambria" w:hAnsi="Cambria" w:cstheme="minorHAnsi"/>
          <w:sz w:val="20"/>
          <w:szCs w:val="20"/>
          <w:lang w:val="es-AR"/>
        </w:rPr>
        <w:t>o restrinja la libertad de expresión.</w:t>
      </w:r>
      <w:r w:rsidR="00083A4B" w:rsidRPr="00540E96">
        <w:rPr>
          <w:rFonts w:ascii="Cambria" w:hAnsi="Cambria" w:cstheme="minorHAnsi"/>
          <w:sz w:val="20"/>
          <w:szCs w:val="20"/>
          <w:lang w:val="es-AR"/>
        </w:rPr>
        <w:t xml:space="preserve"> De conformidad con </w:t>
      </w:r>
      <w:r w:rsidR="00A05E80" w:rsidRPr="00540E96">
        <w:rPr>
          <w:rFonts w:ascii="Cambria" w:hAnsi="Cambria" w:cstheme="minorHAnsi"/>
          <w:sz w:val="20"/>
          <w:szCs w:val="20"/>
          <w:lang w:val="es-AR"/>
        </w:rPr>
        <w:t xml:space="preserve">dicha decisión, </w:t>
      </w:r>
      <w:r w:rsidR="000750D5" w:rsidRPr="00540E96">
        <w:rPr>
          <w:rFonts w:ascii="Cambria" w:hAnsi="Cambria" w:cstheme="minorHAnsi"/>
          <w:sz w:val="20"/>
          <w:szCs w:val="20"/>
          <w:lang w:val="es-AR"/>
        </w:rPr>
        <w:t xml:space="preserve">la </w:t>
      </w:r>
      <w:r w:rsidR="00083A4B" w:rsidRPr="00540E96">
        <w:rPr>
          <w:rFonts w:ascii="Cambria" w:hAnsi="Cambria" w:cstheme="minorHAnsi"/>
          <w:sz w:val="20"/>
          <w:szCs w:val="20"/>
          <w:lang w:val="es-AR"/>
        </w:rPr>
        <w:t>doctrina</w:t>
      </w:r>
      <w:r w:rsidR="000750D5" w:rsidRPr="00540E96">
        <w:rPr>
          <w:rFonts w:ascii="Cambria" w:hAnsi="Cambria" w:cstheme="minorHAnsi"/>
          <w:sz w:val="20"/>
          <w:szCs w:val="20"/>
          <w:lang w:val="es-AR"/>
        </w:rPr>
        <w:t xml:space="preserve"> de la real malicia </w:t>
      </w:r>
      <w:r w:rsidR="007F4318" w:rsidRPr="00540E96">
        <w:rPr>
          <w:rFonts w:ascii="Cambria" w:hAnsi="Cambria" w:cstheme="minorHAnsi"/>
          <w:sz w:val="20"/>
          <w:szCs w:val="20"/>
          <w:lang w:val="es-AR"/>
        </w:rPr>
        <w:t xml:space="preserve">impide que un funcionario público sea indemnizado </w:t>
      </w:r>
      <w:r w:rsidR="007B721E" w:rsidRPr="00540E96">
        <w:rPr>
          <w:rFonts w:ascii="Cambria" w:hAnsi="Cambria" w:cstheme="minorHAnsi"/>
          <w:sz w:val="20"/>
          <w:szCs w:val="20"/>
          <w:lang w:val="es-AR"/>
        </w:rPr>
        <w:t xml:space="preserve">con motivo de una manifestación inexacta y difamatoria relacionada </w:t>
      </w:r>
      <w:r>
        <w:rPr>
          <w:rFonts w:ascii="Cambria" w:hAnsi="Cambria" w:cstheme="minorHAnsi"/>
          <w:sz w:val="20"/>
          <w:szCs w:val="20"/>
          <w:lang w:val="es-AR"/>
        </w:rPr>
        <w:t>con</w:t>
      </w:r>
      <w:r w:rsidR="007B721E" w:rsidRPr="00540E96">
        <w:rPr>
          <w:rFonts w:ascii="Cambria" w:hAnsi="Cambria" w:cstheme="minorHAnsi"/>
          <w:sz w:val="20"/>
          <w:szCs w:val="20"/>
          <w:lang w:val="es-AR"/>
        </w:rPr>
        <w:t xml:space="preserve"> su conducta oficial</w:t>
      </w:r>
      <w:r w:rsidR="00C65BCC" w:rsidRPr="00540E96">
        <w:rPr>
          <w:rFonts w:ascii="Cambria" w:hAnsi="Cambria" w:cstheme="minorHAnsi"/>
          <w:sz w:val="20"/>
          <w:szCs w:val="20"/>
          <w:lang w:val="es-AR"/>
        </w:rPr>
        <w:t>, a menos que se pruebe que fue hecha con real malicia, es decir, con conocimiento de que era falsa o con una temeraria despr</w:t>
      </w:r>
      <w:r w:rsidR="00481EFD" w:rsidRPr="00540E96">
        <w:rPr>
          <w:rFonts w:ascii="Cambria" w:hAnsi="Cambria" w:cstheme="minorHAnsi"/>
          <w:sz w:val="20"/>
          <w:szCs w:val="20"/>
          <w:lang w:val="es-AR"/>
        </w:rPr>
        <w:t>e</w:t>
      </w:r>
      <w:r w:rsidR="00C65BCC" w:rsidRPr="00540E96">
        <w:rPr>
          <w:rFonts w:ascii="Cambria" w:hAnsi="Cambria" w:cstheme="minorHAnsi"/>
          <w:sz w:val="20"/>
          <w:szCs w:val="20"/>
          <w:lang w:val="es-AR"/>
        </w:rPr>
        <w:t xml:space="preserve">ocupación </w:t>
      </w:r>
      <w:r w:rsidR="00481EFD" w:rsidRPr="00540E96">
        <w:rPr>
          <w:rFonts w:ascii="Cambria" w:hAnsi="Cambria" w:cstheme="minorHAnsi"/>
          <w:sz w:val="20"/>
          <w:szCs w:val="20"/>
          <w:lang w:val="es-AR"/>
        </w:rPr>
        <w:t>acerca de su verdad o falsedad</w:t>
      </w:r>
      <w:r w:rsidR="00801C60" w:rsidRPr="00540E96">
        <w:rPr>
          <w:rFonts w:ascii="Cambria" w:hAnsi="Cambria" w:cstheme="minorHAnsi"/>
          <w:sz w:val="20"/>
          <w:szCs w:val="20"/>
          <w:lang w:val="es-AR"/>
        </w:rPr>
        <w:t xml:space="preserve"> (</w:t>
      </w:r>
      <w:r w:rsidR="00801C60" w:rsidRPr="00540E96">
        <w:rPr>
          <w:rFonts w:ascii="Cambria" w:hAnsi="Cambria" w:cstheme="minorHAnsi"/>
          <w:i/>
          <w:iCs/>
          <w:sz w:val="20"/>
          <w:szCs w:val="20"/>
          <w:lang w:val="es-AR"/>
        </w:rPr>
        <w:t>“reckless disregard</w:t>
      </w:r>
      <w:r w:rsidR="00674265" w:rsidRPr="00540E96">
        <w:rPr>
          <w:rFonts w:ascii="Cambria" w:hAnsi="Cambria" w:cstheme="minorHAnsi"/>
          <w:i/>
          <w:iCs/>
          <w:sz w:val="20"/>
          <w:szCs w:val="20"/>
          <w:lang w:val="es-AR"/>
        </w:rPr>
        <w:t xml:space="preserve"> </w:t>
      </w:r>
      <w:r w:rsidR="00620F05" w:rsidRPr="00540E96">
        <w:rPr>
          <w:rFonts w:ascii="Cambria" w:hAnsi="Cambria" w:cstheme="minorHAnsi"/>
          <w:i/>
          <w:iCs/>
          <w:sz w:val="20"/>
          <w:szCs w:val="20"/>
          <w:lang w:val="es-AR"/>
        </w:rPr>
        <w:t>of whether it was false or not</w:t>
      </w:r>
      <w:r w:rsidR="00801C60" w:rsidRPr="00540E96">
        <w:rPr>
          <w:rFonts w:ascii="Cambria" w:hAnsi="Cambria" w:cstheme="minorHAnsi"/>
          <w:i/>
          <w:iCs/>
          <w:sz w:val="20"/>
          <w:szCs w:val="20"/>
          <w:lang w:val="es-AR"/>
        </w:rPr>
        <w:t>”</w:t>
      </w:r>
      <w:r w:rsidR="00801C60" w:rsidRPr="00540E96">
        <w:rPr>
          <w:rFonts w:ascii="Cambria" w:hAnsi="Cambria" w:cstheme="minorHAnsi"/>
          <w:sz w:val="20"/>
          <w:szCs w:val="20"/>
          <w:lang w:val="es-AR"/>
        </w:rPr>
        <w:t>)</w:t>
      </w:r>
      <w:r w:rsidR="00567763" w:rsidRPr="00540E96">
        <w:rPr>
          <w:rStyle w:val="FootnoteReference"/>
          <w:rFonts w:ascii="Cambria" w:hAnsi="Cambria" w:cstheme="minorHAnsi"/>
          <w:sz w:val="20"/>
          <w:szCs w:val="20"/>
          <w:lang w:val="es-AR"/>
        </w:rPr>
        <w:footnoteReference w:id="89"/>
      </w:r>
      <w:r w:rsidR="00EC6D08" w:rsidRPr="00540E96">
        <w:rPr>
          <w:rFonts w:ascii="Cambria" w:hAnsi="Cambria" w:cstheme="minorHAnsi"/>
          <w:sz w:val="20"/>
          <w:szCs w:val="20"/>
          <w:lang w:val="es-AR"/>
        </w:rPr>
        <w:t xml:space="preserve">. </w:t>
      </w:r>
      <w:r w:rsidR="0033796A" w:rsidRPr="00540E96">
        <w:rPr>
          <w:rFonts w:ascii="Cambria" w:hAnsi="Cambria" w:cstheme="minorHAnsi"/>
          <w:sz w:val="20"/>
          <w:szCs w:val="20"/>
          <w:lang w:val="es-AR"/>
        </w:rPr>
        <w:t xml:space="preserve">Asimismo, el caso reconoció que </w:t>
      </w:r>
      <w:r w:rsidR="00513918" w:rsidRPr="00540E96">
        <w:rPr>
          <w:rFonts w:ascii="Cambria" w:hAnsi="Cambria" w:cstheme="minorHAnsi"/>
          <w:sz w:val="20"/>
          <w:szCs w:val="20"/>
          <w:lang w:val="es-AR"/>
        </w:rPr>
        <w:t xml:space="preserve">las afirmaciones erróneas </w:t>
      </w:r>
      <w:r w:rsidR="00442762" w:rsidRPr="00540E96">
        <w:rPr>
          <w:rFonts w:ascii="Cambria" w:hAnsi="Cambria" w:cstheme="minorHAnsi"/>
          <w:sz w:val="20"/>
          <w:szCs w:val="20"/>
          <w:lang w:val="es-AR"/>
        </w:rPr>
        <w:t>son inevitables en el debate li</w:t>
      </w:r>
      <w:r w:rsidR="008C6CC1" w:rsidRPr="00540E96">
        <w:rPr>
          <w:rFonts w:ascii="Cambria" w:hAnsi="Cambria" w:cstheme="minorHAnsi"/>
          <w:sz w:val="20"/>
          <w:szCs w:val="20"/>
          <w:lang w:val="es-AR"/>
        </w:rPr>
        <w:t xml:space="preserve">bre </w:t>
      </w:r>
      <w:r w:rsidR="00AE2094" w:rsidRPr="00540E96">
        <w:rPr>
          <w:rFonts w:ascii="Cambria" w:hAnsi="Cambria" w:cstheme="minorHAnsi"/>
          <w:sz w:val="20"/>
          <w:szCs w:val="20"/>
          <w:lang w:val="es-AR"/>
        </w:rPr>
        <w:t xml:space="preserve">y </w:t>
      </w:r>
      <w:r w:rsidR="00602FB7" w:rsidRPr="00540E96">
        <w:rPr>
          <w:rFonts w:ascii="Cambria" w:hAnsi="Cambria" w:cstheme="minorHAnsi"/>
          <w:sz w:val="20"/>
          <w:szCs w:val="20"/>
          <w:lang w:val="es-AR"/>
        </w:rPr>
        <w:t xml:space="preserve">que </w:t>
      </w:r>
      <w:r w:rsidR="00AE2094" w:rsidRPr="00540E96">
        <w:rPr>
          <w:rFonts w:ascii="Cambria" w:hAnsi="Cambria" w:cstheme="minorHAnsi"/>
          <w:sz w:val="20"/>
          <w:szCs w:val="20"/>
          <w:lang w:val="es-AR"/>
        </w:rPr>
        <w:t xml:space="preserve">el error ocasional debe estar protegido por la libertad de expresión </w:t>
      </w:r>
      <w:r w:rsidR="00362FB2" w:rsidRPr="00540E96">
        <w:rPr>
          <w:rFonts w:ascii="Cambria" w:hAnsi="Cambria" w:cstheme="minorHAnsi"/>
          <w:sz w:val="20"/>
          <w:szCs w:val="20"/>
          <w:lang w:val="es-AR"/>
        </w:rPr>
        <w:t>para que esta “tenga el es</w:t>
      </w:r>
      <w:r w:rsidR="00CC0B3C" w:rsidRPr="00540E96">
        <w:rPr>
          <w:rFonts w:ascii="Cambria" w:hAnsi="Cambria" w:cstheme="minorHAnsi"/>
          <w:sz w:val="20"/>
          <w:szCs w:val="20"/>
          <w:lang w:val="es-AR"/>
        </w:rPr>
        <w:t>p</w:t>
      </w:r>
      <w:r w:rsidR="00362FB2" w:rsidRPr="00540E96">
        <w:rPr>
          <w:rFonts w:ascii="Cambria" w:hAnsi="Cambria" w:cstheme="minorHAnsi"/>
          <w:sz w:val="20"/>
          <w:szCs w:val="20"/>
          <w:lang w:val="es-AR"/>
        </w:rPr>
        <w:t xml:space="preserve">acio suficiente </w:t>
      </w:r>
      <w:r w:rsidR="00CC0B3C" w:rsidRPr="00540E96">
        <w:rPr>
          <w:rFonts w:ascii="Cambria" w:hAnsi="Cambria" w:cstheme="minorHAnsi"/>
          <w:sz w:val="20"/>
          <w:szCs w:val="20"/>
          <w:lang w:val="es-AR"/>
        </w:rPr>
        <w:t>para respirar que necesita para sobrevivir”</w:t>
      </w:r>
      <w:r w:rsidR="00CC0B3C" w:rsidRPr="00540E96">
        <w:rPr>
          <w:rStyle w:val="FootnoteReference"/>
          <w:rFonts w:ascii="Cambria" w:hAnsi="Cambria" w:cstheme="minorHAnsi"/>
          <w:sz w:val="20"/>
          <w:szCs w:val="20"/>
          <w:lang w:val="es-AR"/>
        </w:rPr>
        <w:footnoteReference w:id="90"/>
      </w:r>
      <w:r w:rsidR="00A86ABB" w:rsidRPr="00540E96">
        <w:rPr>
          <w:rFonts w:ascii="Cambria" w:hAnsi="Cambria" w:cstheme="minorHAnsi"/>
          <w:sz w:val="20"/>
          <w:szCs w:val="20"/>
          <w:lang w:val="es-AR"/>
        </w:rPr>
        <w:t xml:space="preserve">. </w:t>
      </w:r>
      <w:r w:rsidR="00F31641" w:rsidRPr="00540E96">
        <w:rPr>
          <w:rFonts w:ascii="Cambria" w:hAnsi="Cambria" w:cstheme="minorHAnsi"/>
          <w:sz w:val="20"/>
          <w:szCs w:val="20"/>
          <w:lang w:val="es-AR"/>
        </w:rPr>
        <w:t xml:space="preserve">Si bien este estándar fue inicialmente adoptado por la Corte Suprema </w:t>
      </w:r>
      <w:r w:rsidR="00CA3236" w:rsidRPr="00540E96">
        <w:rPr>
          <w:rFonts w:ascii="Cambria" w:hAnsi="Cambria" w:cstheme="minorHAnsi"/>
          <w:sz w:val="20"/>
          <w:szCs w:val="20"/>
          <w:lang w:val="es-AR"/>
        </w:rPr>
        <w:t xml:space="preserve">para casos en contextos de demandas de difamación civiles, la doctrina de la real malicia fue luego extendida </w:t>
      </w:r>
      <w:r w:rsidR="003645DF" w:rsidRPr="00540E96">
        <w:rPr>
          <w:rFonts w:ascii="Cambria" w:hAnsi="Cambria" w:cstheme="minorHAnsi"/>
          <w:sz w:val="20"/>
          <w:szCs w:val="20"/>
          <w:lang w:val="es-AR"/>
        </w:rPr>
        <w:t>para casos de difamación penal</w:t>
      </w:r>
      <w:r w:rsidR="002707B5" w:rsidRPr="00540E96">
        <w:rPr>
          <w:rStyle w:val="FootnoteReference"/>
          <w:rFonts w:ascii="Cambria" w:hAnsi="Cambria" w:cstheme="minorHAnsi"/>
          <w:sz w:val="20"/>
          <w:szCs w:val="20"/>
          <w:lang w:val="es-AR"/>
        </w:rPr>
        <w:footnoteReference w:id="91"/>
      </w:r>
      <w:r w:rsidR="003645DF" w:rsidRPr="00540E96">
        <w:rPr>
          <w:rFonts w:ascii="Cambria" w:hAnsi="Cambria" w:cstheme="minorHAnsi"/>
          <w:sz w:val="20"/>
          <w:szCs w:val="20"/>
          <w:lang w:val="es-AR"/>
        </w:rPr>
        <w:t>. Esto último ha sido adoptado por países como Argentina y Uruguay</w:t>
      </w:r>
      <w:r w:rsidR="003645DF" w:rsidRPr="00540E96">
        <w:rPr>
          <w:rStyle w:val="FootnoteReference"/>
          <w:rFonts w:ascii="Cambria" w:hAnsi="Cambria" w:cstheme="minorHAnsi"/>
          <w:sz w:val="20"/>
          <w:szCs w:val="20"/>
          <w:lang w:val="es-AR"/>
        </w:rPr>
        <w:footnoteReference w:id="92"/>
      </w:r>
      <w:r w:rsidR="003645DF" w:rsidRPr="00540E96">
        <w:rPr>
          <w:rFonts w:ascii="Cambria" w:hAnsi="Cambria" w:cstheme="minorHAnsi"/>
          <w:sz w:val="20"/>
          <w:szCs w:val="20"/>
          <w:lang w:val="es-AR"/>
        </w:rPr>
        <w:t>.</w:t>
      </w:r>
    </w:p>
    <w:p w14:paraId="4BAAE51C" w14:textId="77777777" w:rsidR="007F5764" w:rsidRPr="00540E96" w:rsidRDefault="007F5764" w:rsidP="007F57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76243E6E" w14:textId="77777777" w:rsidR="00730C89" w:rsidRPr="00540E96" w:rsidRDefault="00A753D6" w:rsidP="007F576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540E96">
        <w:rPr>
          <w:rFonts w:ascii="Cambria" w:hAnsi="Cambria" w:cstheme="minorHAnsi"/>
          <w:sz w:val="20"/>
          <w:szCs w:val="20"/>
          <w:lang w:val="es-AR"/>
        </w:rPr>
        <w:t xml:space="preserve">Asimismo, en decisiones </w:t>
      </w:r>
      <w:r w:rsidR="00517DD6" w:rsidRPr="00540E96">
        <w:rPr>
          <w:rFonts w:ascii="Cambria" w:hAnsi="Cambria" w:cstheme="minorHAnsi"/>
          <w:sz w:val="20"/>
          <w:szCs w:val="20"/>
          <w:lang w:val="es-AR"/>
        </w:rPr>
        <w:t>posteriores</w:t>
      </w:r>
      <w:r w:rsidR="005C288D" w:rsidRPr="00540E96">
        <w:rPr>
          <w:rFonts w:ascii="Cambria" w:hAnsi="Cambria" w:cstheme="minorHAnsi"/>
          <w:sz w:val="20"/>
          <w:szCs w:val="20"/>
          <w:lang w:val="es-AR"/>
        </w:rPr>
        <w:t>,</w:t>
      </w:r>
      <w:r w:rsidR="00517DD6" w:rsidRPr="00540E96">
        <w:rPr>
          <w:rFonts w:ascii="Cambria" w:hAnsi="Cambria" w:cstheme="minorHAnsi"/>
          <w:sz w:val="20"/>
          <w:szCs w:val="20"/>
          <w:lang w:val="es-AR"/>
        </w:rPr>
        <w:t xml:space="preserve"> la Corte Suprema de los Estados Unidos </w:t>
      </w:r>
      <w:r w:rsidR="00552946" w:rsidRPr="00540E96">
        <w:rPr>
          <w:rFonts w:ascii="Cambria" w:hAnsi="Cambria" w:cstheme="minorHAnsi"/>
          <w:sz w:val="20"/>
          <w:szCs w:val="20"/>
          <w:lang w:val="es-AR"/>
        </w:rPr>
        <w:t xml:space="preserve">interpretó de manera más amplia el alcance de </w:t>
      </w:r>
      <w:r w:rsidR="00132773" w:rsidRPr="00540E96">
        <w:rPr>
          <w:rFonts w:ascii="Cambria" w:hAnsi="Cambria" w:cstheme="minorHAnsi"/>
          <w:sz w:val="20"/>
          <w:szCs w:val="20"/>
          <w:lang w:val="es-AR"/>
        </w:rPr>
        <w:t xml:space="preserve">la “temeraria despreocupación” y estableció que no solo </w:t>
      </w:r>
      <w:r w:rsidR="00B3238F" w:rsidRPr="00540E96">
        <w:rPr>
          <w:rFonts w:ascii="Cambria" w:hAnsi="Cambria" w:cstheme="minorHAnsi"/>
          <w:sz w:val="20"/>
          <w:szCs w:val="20"/>
          <w:lang w:val="es-AR"/>
        </w:rPr>
        <w:t xml:space="preserve">se refería a un mero actuar negligente o que bastaba </w:t>
      </w:r>
      <w:r w:rsidR="008D4DC9" w:rsidRPr="00540E96">
        <w:rPr>
          <w:rFonts w:ascii="Cambria" w:hAnsi="Cambria" w:cstheme="minorHAnsi"/>
          <w:sz w:val="20"/>
          <w:szCs w:val="20"/>
          <w:lang w:val="es-AR"/>
        </w:rPr>
        <w:t xml:space="preserve">con actuar con mala voluntad o malicia en el sentido ordinario del término, sino que </w:t>
      </w:r>
      <w:r w:rsidR="00B13A6C" w:rsidRPr="00540E96">
        <w:rPr>
          <w:rFonts w:ascii="Cambria" w:hAnsi="Cambria" w:cstheme="minorHAnsi"/>
          <w:sz w:val="20"/>
          <w:szCs w:val="20"/>
          <w:lang w:val="es-AR"/>
        </w:rPr>
        <w:t xml:space="preserve">solo podía cumplirse este supuesto si se demostraba que el </w:t>
      </w:r>
      <w:r w:rsidR="00A835FB" w:rsidRPr="00540E96">
        <w:rPr>
          <w:rFonts w:ascii="Cambria" w:hAnsi="Cambria" w:cstheme="minorHAnsi"/>
          <w:sz w:val="20"/>
          <w:szCs w:val="20"/>
          <w:lang w:val="es-AR"/>
        </w:rPr>
        <w:t xml:space="preserve">informador realizó las afirmaciones </w:t>
      </w:r>
      <w:r w:rsidR="0036033F" w:rsidRPr="00540E96">
        <w:rPr>
          <w:rFonts w:ascii="Cambria" w:hAnsi="Cambria"/>
          <w:sz w:val="20"/>
          <w:szCs w:val="20"/>
          <w:lang w:val="es-MX"/>
        </w:rPr>
        <w:t>con un alto grado de conocimiento sobre la probabilidad de la falsedad o con serias dudas sobre la verdad o exactitud de la misma</w:t>
      </w:r>
      <w:r w:rsidR="00730C89" w:rsidRPr="00540E96">
        <w:rPr>
          <w:rFonts w:ascii="Cambria" w:hAnsi="Cambria"/>
          <w:sz w:val="20"/>
          <w:szCs w:val="20"/>
          <w:lang w:val="es-MX"/>
        </w:rPr>
        <w:t xml:space="preserve">. Es decir que se necesita más </w:t>
      </w:r>
      <w:r w:rsidR="006806BA" w:rsidRPr="00540E96">
        <w:rPr>
          <w:rFonts w:ascii="Cambria" w:hAnsi="Cambria"/>
          <w:sz w:val="20"/>
          <w:szCs w:val="20"/>
          <w:lang w:val="es-MX"/>
        </w:rPr>
        <w:t xml:space="preserve">que una comparación con la conducta razonable de </w:t>
      </w:r>
      <w:r w:rsidR="00F941E4" w:rsidRPr="00540E96">
        <w:rPr>
          <w:rFonts w:ascii="Cambria" w:hAnsi="Cambria"/>
          <w:sz w:val="20"/>
          <w:szCs w:val="20"/>
          <w:lang w:val="es-MX"/>
        </w:rPr>
        <w:t>un hombre prudente en ese momento, debido a que debe existir suficiente evidencia de que en el caso concreto</w:t>
      </w:r>
      <w:r w:rsidR="00D552A0" w:rsidRPr="00540E96">
        <w:rPr>
          <w:rFonts w:ascii="Cambria" w:hAnsi="Cambria"/>
          <w:sz w:val="20"/>
          <w:szCs w:val="20"/>
          <w:lang w:val="es-MX"/>
        </w:rPr>
        <w:t xml:space="preserve"> tenía serias dudas </w:t>
      </w:r>
      <w:r w:rsidR="00F57888" w:rsidRPr="00540E96">
        <w:rPr>
          <w:rFonts w:ascii="Cambria" w:hAnsi="Cambria"/>
          <w:sz w:val="20"/>
          <w:szCs w:val="20"/>
          <w:lang w:val="es-MX"/>
        </w:rPr>
        <w:t xml:space="preserve">sobre la verdad de la información </w:t>
      </w:r>
      <w:r w:rsidR="00EB3038" w:rsidRPr="00540E96">
        <w:rPr>
          <w:rFonts w:ascii="Cambria" w:hAnsi="Cambria"/>
          <w:sz w:val="20"/>
          <w:szCs w:val="20"/>
          <w:lang w:val="es-MX"/>
        </w:rPr>
        <w:t xml:space="preserve">o existían razones obvias </w:t>
      </w:r>
      <w:r w:rsidR="00F57888" w:rsidRPr="00540E96">
        <w:rPr>
          <w:rFonts w:ascii="Cambria" w:hAnsi="Cambria"/>
          <w:sz w:val="20"/>
          <w:szCs w:val="20"/>
          <w:lang w:val="es-MX"/>
        </w:rPr>
        <w:t xml:space="preserve">para dudar sobre </w:t>
      </w:r>
      <w:r w:rsidR="000965F4" w:rsidRPr="00540E96">
        <w:rPr>
          <w:rFonts w:ascii="Cambria" w:hAnsi="Cambria"/>
          <w:sz w:val="20"/>
          <w:szCs w:val="20"/>
          <w:lang w:val="es-MX"/>
        </w:rPr>
        <w:t>su</w:t>
      </w:r>
      <w:r w:rsidR="00F57888" w:rsidRPr="00540E96">
        <w:rPr>
          <w:rFonts w:ascii="Cambria" w:hAnsi="Cambria"/>
          <w:sz w:val="20"/>
          <w:szCs w:val="20"/>
          <w:lang w:val="es-MX"/>
        </w:rPr>
        <w:t xml:space="preserve"> veracidad o exactitud</w:t>
      </w:r>
      <w:r w:rsidR="000965F4" w:rsidRPr="00540E96">
        <w:rPr>
          <w:rStyle w:val="FootnoteReference"/>
          <w:rFonts w:ascii="Cambria" w:hAnsi="Cambria"/>
          <w:sz w:val="20"/>
          <w:szCs w:val="20"/>
          <w:lang w:val="es-MX"/>
        </w:rPr>
        <w:footnoteReference w:id="93"/>
      </w:r>
      <w:r w:rsidR="000965F4" w:rsidRPr="00540E96">
        <w:rPr>
          <w:rFonts w:ascii="Cambria" w:hAnsi="Cambria"/>
          <w:sz w:val="20"/>
          <w:szCs w:val="20"/>
          <w:lang w:val="es-MX"/>
        </w:rPr>
        <w:t>.</w:t>
      </w:r>
    </w:p>
    <w:p w14:paraId="677C0B4D" w14:textId="77777777" w:rsidR="007F5764" w:rsidRPr="00540E96" w:rsidRDefault="007F5764" w:rsidP="007F57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1CCA873B" w14:textId="77777777" w:rsidR="00DE497F" w:rsidRPr="00540E96" w:rsidRDefault="00B85425" w:rsidP="00DE497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540E96">
        <w:rPr>
          <w:rFonts w:ascii="Cambria" w:hAnsi="Cambria" w:cstheme="minorHAnsi"/>
          <w:sz w:val="20"/>
          <w:szCs w:val="20"/>
          <w:lang w:val="es-AR"/>
        </w:rPr>
        <w:t>L</w:t>
      </w:r>
      <w:r w:rsidR="00481EFD" w:rsidRPr="00540E96">
        <w:rPr>
          <w:rFonts w:ascii="Cambria" w:hAnsi="Cambria" w:cstheme="minorHAnsi"/>
          <w:sz w:val="20"/>
          <w:szCs w:val="20"/>
          <w:lang w:val="es-AR"/>
        </w:rPr>
        <w:t xml:space="preserve">a doctrina </w:t>
      </w:r>
      <w:r w:rsidRPr="00540E96">
        <w:rPr>
          <w:rFonts w:ascii="Cambria" w:hAnsi="Cambria" w:cstheme="minorHAnsi"/>
          <w:sz w:val="20"/>
          <w:szCs w:val="20"/>
          <w:lang w:val="es-AR"/>
        </w:rPr>
        <w:t xml:space="preserve">de la real malicia </w:t>
      </w:r>
      <w:r w:rsidR="00D823C1" w:rsidRPr="00540E96">
        <w:rPr>
          <w:rFonts w:ascii="Cambria" w:hAnsi="Cambria" w:cstheme="minorHAnsi"/>
          <w:sz w:val="20"/>
          <w:szCs w:val="20"/>
          <w:lang w:val="es-AR"/>
        </w:rPr>
        <w:t xml:space="preserve">también </w:t>
      </w:r>
      <w:r w:rsidRPr="00540E96">
        <w:rPr>
          <w:rFonts w:ascii="Cambria" w:hAnsi="Cambria" w:cstheme="minorHAnsi"/>
          <w:sz w:val="20"/>
          <w:szCs w:val="20"/>
          <w:lang w:val="es-AR"/>
        </w:rPr>
        <w:t xml:space="preserve">ha sido </w:t>
      </w:r>
      <w:r w:rsidR="00D823C1" w:rsidRPr="00540E96">
        <w:rPr>
          <w:rFonts w:ascii="Cambria" w:hAnsi="Cambria" w:cstheme="minorHAnsi"/>
          <w:sz w:val="20"/>
          <w:szCs w:val="20"/>
          <w:lang w:val="es-AR"/>
        </w:rPr>
        <w:t>adoptada por la Comisión</w:t>
      </w:r>
      <w:r w:rsidR="003B376C" w:rsidRPr="00540E96">
        <w:rPr>
          <w:rFonts w:ascii="Cambria" w:hAnsi="Cambria" w:cstheme="minorHAnsi"/>
          <w:sz w:val="20"/>
          <w:szCs w:val="20"/>
          <w:lang w:val="es-AR"/>
        </w:rPr>
        <w:t xml:space="preserve"> </w:t>
      </w:r>
      <w:r w:rsidR="00800E85" w:rsidRPr="00540E96">
        <w:rPr>
          <w:rFonts w:ascii="Cambria" w:hAnsi="Cambria"/>
          <w:sz w:val="20"/>
          <w:szCs w:val="20"/>
          <w:lang w:val="es-CO"/>
        </w:rPr>
        <w:t>en su Declaración de Principios sobre Libertad de Expresión</w:t>
      </w:r>
      <w:r w:rsidR="003B376C" w:rsidRPr="00540E96">
        <w:rPr>
          <w:rFonts w:ascii="Cambria" w:hAnsi="Cambria"/>
          <w:sz w:val="20"/>
          <w:szCs w:val="20"/>
          <w:lang w:val="es-CO"/>
        </w:rPr>
        <w:t xml:space="preserve"> del a</w:t>
      </w:r>
      <w:r w:rsidR="003E35E8" w:rsidRPr="00540E96">
        <w:rPr>
          <w:rFonts w:ascii="Cambria" w:hAnsi="Cambria"/>
          <w:sz w:val="20"/>
          <w:szCs w:val="20"/>
          <w:lang w:val="es-CO"/>
        </w:rPr>
        <w:t>ñ</w:t>
      </w:r>
      <w:r w:rsidR="003B376C" w:rsidRPr="00540E96">
        <w:rPr>
          <w:rFonts w:ascii="Cambria" w:hAnsi="Cambria"/>
          <w:sz w:val="20"/>
          <w:szCs w:val="20"/>
          <w:lang w:val="es-CO"/>
        </w:rPr>
        <w:t>o 2000</w:t>
      </w:r>
      <w:r w:rsidR="003E35E8" w:rsidRPr="00540E96">
        <w:rPr>
          <w:rFonts w:ascii="Cambria" w:hAnsi="Cambria"/>
          <w:sz w:val="20"/>
          <w:szCs w:val="20"/>
          <w:lang w:val="es-CO"/>
        </w:rPr>
        <w:t xml:space="preserve">. El Principio 10 establece </w:t>
      </w:r>
      <w:r w:rsidR="00800E85" w:rsidRPr="00540E96">
        <w:rPr>
          <w:rFonts w:ascii="Cambria" w:hAnsi="Cambria"/>
          <w:sz w:val="20"/>
          <w:szCs w:val="20"/>
          <w:lang w:val="es-CO"/>
        </w:rPr>
        <w:t>que “las leyes de privacidad no deben inhibir ni restringir la investigación y difusión de información de interés público”</w:t>
      </w:r>
      <w:r w:rsidR="00800E85" w:rsidRPr="00540E96">
        <w:rPr>
          <w:rStyle w:val="FootnoteReference"/>
          <w:rFonts w:ascii="Cambria" w:hAnsi="Cambria"/>
          <w:sz w:val="20"/>
          <w:szCs w:val="20"/>
          <w:lang w:val="es-CO"/>
        </w:rPr>
        <w:footnoteReference w:id="94"/>
      </w:r>
      <w:r w:rsidR="00800E85" w:rsidRPr="00540E96">
        <w:rPr>
          <w:rFonts w:ascii="Cambria" w:hAnsi="Cambria"/>
          <w:sz w:val="20"/>
          <w:szCs w:val="20"/>
          <w:lang w:val="es-CO"/>
        </w:rPr>
        <w:t>, y que la protección del honor y la reputación de los funcionarios públicos o personas que se han involucrado voluntariamente en asuntos de interés público sólo debe estar garantizada mediante sanciones civiles. Asimismo, en estos supuestos, “debe probarse que en la difusión de las noticias el comunicador tuvo intención de infligir daño o pleno conocimiento de que se estaba difundiendo noticias falsas o se condujo con manifiesta negligencia en la búsqueda de la verdad o falsedad de las mismas”</w:t>
      </w:r>
      <w:r w:rsidR="00800E85" w:rsidRPr="00540E96">
        <w:rPr>
          <w:rStyle w:val="FootnoteReference"/>
          <w:rFonts w:ascii="Cambria" w:hAnsi="Cambria"/>
          <w:sz w:val="20"/>
          <w:szCs w:val="20"/>
          <w:lang w:val="es-CO"/>
        </w:rPr>
        <w:footnoteReference w:id="95"/>
      </w:r>
      <w:r w:rsidR="00800E85" w:rsidRPr="00540E96">
        <w:rPr>
          <w:rFonts w:ascii="Cambria" w:hAnsi="Cambria"/>
          <w:sz w:val="20"/>
          <w:szCs w:val="20"/>
          <w:lang w:val="es-CO"/>
        </w:rPr>
        <w:t xml:space="preserve">. </w:t>
      </w:r>
    </w:p>
    <w:p w14:paraId="20B29862" w14:textId="77777777" w:rsidR="003240CF" w:rsidRPr="00540E96" w:rsidRDefault="003240CF" w:rsidP="003240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7E8CB90C" w14:textId="77777777" w:rsidR="00A44914" w:rsidRPr="0085373B" w:rsidRDefault="00F763E7" w:rsidP="00A4491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540E96">
        <w:rPr>
          <w:rFonts w:ascii="Cambria" w:hAnsi="Cambria"/>
          <w:sz w:val="20"/>
          <w:szCs w:val="20"/>
          <w:lang w:val="es-PE"/>
        </w:rPr>
        <w:t xml:space="preserve">La Comisión ha ratificado dicho estándar en diversas ocasiones </w:t>
      </w:r>
      <w:r w:rsidR="00ED23CE" w:rsidRPr="00540E96">
        <w:rPr>
          <w:rFonts w:ascii="Cambria" w:hAnsi="Cambria"/>
          <w:sz w:val="20"/>
          <w:szCs w:val="20"/>
          <w:lang w:val="es-PE"/>
        </w:rPr>
        <w:t xml:space="preserve">y ha concluido que </w:t>
      </w:r>
      <w:r w:rsidR="00800E85" w:rsidRPr="00540E96">
        <w:rPr>
          <w:rFonts w:ascii="Cambria" w:hAnsi="Cambria"/>
          <w:sz w:val="20"/>
          <w:szCs w:val="20"/>
          <w:lang w:val="es-CO"/>
        </w:rPr>
        <w:t xml:space="preserve">en el establecimiento de responsabilidad por un presunto abuso de la libertad de expresión es preciso aplicar el </w:t>
      </w:r>
      <w:r w:rsidR="00800E85" w:rsidRPr="00540E96">
        <w:rPr>
          <w:rFonts w:ascii="Cambria" w:hAnsi="Cambria"/>
          <w:sz w:val="20"/>
          <w:szCs w:val="20"/>
          <w:lang w:val="es-CO"/>
        </w:rPr>
        <w:lastRenderedPageBreak/>
        <w:t>estándar de valoración de la “real malicia”, es decir, “</w:t>
      </w:r>
      <w:r w:rsidR="00800E85" w:rsidRPr="00540E96">
        <w:rPr>
          <w:rFonts w:ascii="Cambria" w:hAnsi="Cambria"/>
          <w:sz w:val="20"/>
          <w:szCs w:val="20"/>
          <w:lang w:val="es-AR"/>
        </w:rPr>
        <w:t>demostrar que quien se expresó lo hizo con plena intención de causar un daño y conocimiento de que se estaban difundiendo informaciones falsas o con un evidente desprecio por la verdad de los hechos”</w:t>
      </w:r>
      <w:r w:rsidR="00800E85" w:rsidRPr="00540E96">
        <w:rPr>
          <w:rStyle w:val="FootnoteReference"/>
          <w:rFonts w:ascii="Cambria" w:hAnsi="Cambria"/>
          <w:sz w:val="20"/>
          <w:szCs w:val="20"/>
          <w:lang w:val="es-AR"/>
        </w:rPr>
        <w:footnoteReference w:id="96"/>
      </w:r>
      <w:r w:rsidR="00800E85" w:rsidRPr="00540E96">
        <w:rPr>
          <w:rFonts w:ascii="Cambria" w:hAnsi="Cambria"/>
          <w:sz w:val="20"/>
          <w:szCs w:val="20"/>
          <w:lang w:val="es-CO"/>
        </w:rPr>
        <w:t>.</w:t>
      </w:r>
    </w:p>
    <w:p w14:paraId="77A3EC34" w14:textId="77777777" w:rsidR="00747FA3" w:rsidRPr="007F4E51" w:rsidRDefault="00E64143" w:rsidP="00710C0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540E96">
        <w:rPr>
          <w:rFonts w:ascii="Cambria" w:hAnsi="Cambria"/>
          <w:sz w:val="20"/>
          <w:szCs w:val="20"/>
          <w:lang w:val="es-CO"/>
        </w:rPr>
        <w:t xml:space="preserve">Ahora bien, </w:t>
      </w:r>
      <w:r w:rsidR="00A44914" w:rsidRPr="00540E96">
        <w:rPr>
          <w:rFonts w:ascii="Cambria" w:hAnsi="Cambria"/>
          <w:sz w:val="20"/>
          <w:szCs w:val="20"/>
          <w:lang w:val="es-CO"/>
        </w:rPr>
        <w:t>la Comisión estima que la doctrina de la real malicia debe</w:t>
      </w:r>
      <w:r w:rsidR="006D447C" w:rsidRPr="00540E96">
        <w:rPr>
          <w:rFonts w:ascii="Cambria" w:hAnsi="Cambria"/>
          <w:sz w:val="20"/>
          <w:szCs w:val="20"/>
          <w:lang w:val="es-CO"/>
        </w:rPr>
        <w:t xml:space="preserve"> ser aplicada en procesos civiles, pero también en procesos penales que se instauren </w:t>
      </w:r>
      <w:r w:rsidR="000C67DE" w:rsidRPr="00540E96">
        <w:rPr>
          <w:rFonts w:ascii="Cambria" w:hAnsi="Cambria"/>
          <w:sz w:val="20"/>
          <w:szCs w:val="20"/>
          <w:lang w:val="es-CO"/>
        </w:rPr>
        <w:t>para establecer responsabilidades ulteriores por un alegado uso abusivo de la libertad de expresión; ello, sin perjuic</w:t>
      </w:r>
      <w:r w:rsidR="00DF7C17" w:rsidRPr="00540E96">
        <w:rPr>
          <w:rFonts w:ascii="Cambria" w:hAnsi="Cambria"/>
          <w:sz w:val="20"/>
          <w:szCs w:val="20"/>
          <w:lang w:val="es-CO"/>
        </w:rPr>
        <w:t>io de las consideraciones que la Comisión ha elaborado con respecto a la utilización del derecho penal en estos casos</w:t>
      </w:r>
      <w:r w:rsidR="001922D8" w:rsidRPr="00540E96">
        <w:rPr>
          <w:rFonts w:ascii="Cambria" w:hAnsi="Cambria"/>
          <w:sz w:val="20"/>
          <w:szCs w:val="20"/>
          <w:lang w:val="es-CO"/>
        </w:rPr>
        <w:t>,</w:t>
      </w:r>
      <w:r w:rsidR="00DF7C17" w:rsidRPr="00540E96">
        <w:rPr>
          <w:rFonts w:ascii="Cambria" w:hAnsi="Cambria"/>
          <w:sz w:val="20"/>
          <w:szCs w:val="20"/>
          <w:lang w:val="es-CO"/>
        </w:rPr>
        <w:t xml:space="preserve"> conforme a lo señ</w:t>
      </w:r>
      <w:r w:rsidR="00CC2504" w:rsidRPr="00540E96">
        <w:rPr>
          <w:rFonts w:ascii="Cambria" w:hAnsi="Cambria"/>
          <w:sz w:val="20"/>
          <w:szCs w:val="20"/>
          <w:lang w:val="es-CO"/>
        </w:rPr>
        <w:t xml:space="preserve">alado </w:t>
      </w:r>
      <w:r w:rsidR="00CC2504" w:rsidRPr="00540E96">
        <w:rPr>
          <w:rFonts w:ascii="Cambria" w:hAnsi="Cambria"/>
          <w:i/>
          <w:iCs/>
          <w:sz w:val="20"/>
          <w:szCs w:val="20"/>
          <w:lang w:val="es-CO"/>
        </w:rPr>
        <w:t>ut supra</w:t>
      </w:r>
      <w:r w:rsidR="00CC2504" w:rsidRPr="00540E96">
        <w:rPr>
          <w:rFonts w:ascii="Cambria" w:hAnsi="Cambria"/>
          <w:sz w:val="20"/>
          <w:szCs w:val="20"/>
          <w:lang w:val="es-CO"/>
        </w:rPr>
        <w:t>.</w:t>
      </w:r>
      <w:r w:rsidR="00A44914" w:rsidRPr="00540E96">
        <w:rPr>
          <w:rFonts w:ascii="Cambria" w:hAnsi="Cambria"/>
          <w:sz w:val="20"/>
          <w:szCs w:val="20"/>
          <w:lang w:val="es-CO"/>
        </w:rPr>
        <w:t xml:space="preserve"> </w:t>
      </w:r>
      <w:r w:rsidR="00857863" w:rsidRPr="00540E96">
        <w:rPr>
          <w:rFonts w:ascii="Cambria" w:hAnsi="Cambria"/>
          <w:sz w:val="20"/>
          <w:szCs w:val="20"/>
          <w:lang w:val="es-CO"/>
        </w:rPr>
        <w:t>En este entendido, l</w:t>
      </w:r>
      <w:r w:rsidR="003F24CF" w:rsidRPr="00540E96">
        <w:rPr>
          <w:rFonts w:ascii="Cambria" w:hAnsi="Cambria"/>
          <w:sz w:val="20"/>
          <w:szCs w:val="20"/>
          <w:lang w:val="es-CO"/>
        </w:rPr>
        <w:t xml:space="preserve">a real malicia debe ser demostrada por quien alega </w:t>
      </w:r>
      <w:r w:rsidR="00CA1A90" w:rsidRPr="00540E96">
        <w:rPr>
          <w:rFonts w:ascii="Cambria" w:hAnsi="Cambria"/>
          <w:sz w:val="20"/>
          <w:szCs w:val="20"/>
          <w:lang w:val="es-CO"/>
        </w:rPr>
        <w:t xml:space="preserve">que </w:t>
      </w:r>
      <w:r w:rsidR="00CA1A90" w:rsidRPr="00540E96">
        <w:rPr>
          <w:rFonts w:ascii="Cambria" w:hAnsi="Cambria" w:cstheme="minorHAnsi"/>
          <w:sz w:val="20"/>
          <w:szCs w:val="20"/>
          <w:lang w:val="es-AR"/>
        </w:rPr>
        <w:t>se causó un daño</w:t>
      </w:r>
      <w:r w:rsidR="00BA5173" w:rsidRPr="00540E96">
        <w:rPr>
          <w:rFonts w:ascii="Cambria" w:hAnsi="Cambria" w:cstheme="minorHAnsi"/>
          <w:sz w:val="20"/>
          <w:szCs w:val="20"/>
          <w:lang w:val="es-AR"/>
        </w:rPr>
        <w:t xml:space="preserve">, es decir que no existe una presunción </w:t>
      </w:r>
      <w:r w:rsidR="00B83DE6" w:rsidRPr="00540E96">
        <w:rPr>
          <w:rFonts w:ascii="Cambria" w:hAnsi="Cambria" w:cstheme="minorHAnsi"/>
          <w:sz w:val="20"/>
          <w:szCs w:val="20"/>
          <w:lang w:val="es-AR"/>
        </w:rPr>
        <w:t xml:space="preserve">sobre el conocimiento de la falsedad </w:t>
      </w:r>
      <w:r w:rsidR="000F6AC3" w:rsidRPr="00540E96">
        <w:rPr>
          <w:rFonts w:ascii="Cambria" w:hAnsi="Cambria" w:cstheme="minorHAnsi"/>
          <w:sz w:val="20"/>
          <w:szCs w:val="20"/>
          <w:lang w:val="es-AR"/>
        </w:rPr>
        <w:t xml:space="preserve">o la indiferencia </w:t>
      </w:r>
      <w:r w:rsidR="00814E60" w:rsidRPr="00540E96">
        <w:rPr>
          <w:rFonts w:ascii="Cambria" w:hAnsi="Cambria" w:cstheme="minorHAnsi"/>
          <w:sz w:val="20"/>
          <w:szCs w:val="20"/>
          <w:lang w:val="es-AR"/>
        </w:rPr>
        <w:t xml:space="preserve">negligente </w:t>
      </w:r>
      <w:r w:rsidR="000F6AC3" w:rsidRPr="00540E96">
        <w:rPr>
          <w:rFonts w:ascii="Cambria" w:hAnsi="Cambria" w:cstheme="minorHAnsi"/>
          <w:sz w:val="20"/>
          <w:szCs w:val="20"/>
          <w:lang w:val="es-AR"/>
        </w:rPr>
        <w:t xml:space="preserve">sobre la posible falsedad. La </w:t>
      </w:r>
      <w:r w:rsidR="00DA66B8" w:rsidRPr="00540E96">
        <w:rPr>
          <w:rFonts w:ascii="Cambria" w:hAnsi="Cambria"/>
          <w:sz w:val="20"/>
          <w:szCs w:val="20"/>
          <w:lang w:val="es-CO"/>
        </w:rPr>
        <w:t xml:space="preserve">Comisión y la Corte han destacado que, </w:t>
      </w:r>
      <w:r w:rsidR="00DA66B8" w:rsidRPr="00540E96">
        <w:rPr>
          <w:rFonts w:ascii="Cambria" w:hAnsi="Cambria" w:cstheme="minorHAnsi"/>
          <w:sz w:val="20"/>
          <w:szCs w:val="20"/>
          <w:lang w:val="es-AR"/>
        </w:rPr>
        <w:t>en los casos en que se pretenda hacer efectiva la responsabilidad de quien ha abusado de su derecho a la libertad de expresión, quien alega que se causó un daño es quien debe soportar la carga de la prueba de demostrar que las expresiones pertinentes eran falsas y causaron efectivamente el daño alegado</w:t>
      </w:r>
      <w:r w:rsidR="00DA66B8" w:rsidRPr="00540E96">
        <w:rPr>
          <w:rStyle w:val="FootnoteReference"/>
          <w:rFonts w:ascii="Cambria" w:hAnsi="Cambria" w:cstheme="minorHAnsi"/>
          <w:sz w:val="20"/>
          <w:szCs w:val="20"/>
          <w:lang w:val="es-AR"/>
        </w:rPr>
        <w:footnoteReference w:id="97"/>
      </w:r>
      <w:r w:rsidR="00DA66B8" w:rsidRPr="00540E96">
        <w:rPr>
          <w:rFonts w:ascii="Cambria" w:hAnsi="Cambria" w:cstheme="minorHAnsi"/>
          <w:sz w:val="20"/>
          <w:szCs w:val="20"/>
          <w:lang w:val="es-AR"/>
        </w:rPr>
        <w:t xml:space="preserve">. La aplicación de una </w:t>
      </w:r>
      <w:r w:rsidR="00DA66B8" w:rsidRPr="00540E96">
        <w:rPr>
          <w:rFonts w:ascii="Cambria" w:hAnsi="Cambria" w:cstheme="minorHAnsi"/>
          <w:i/>
          <w:iCs/>
          <w:sz w:val="20"/>
          <w:szCs w:val="20"/>
          <w:lang w:val="es-AR"/>
        </w:rPr>
        <w:t>exceptio veritatis</w:t>
      </w:r>
      <w:r w:rsidR="00DA66B8" w:rsidRPr="00540E96">
        <w:rPr>
          <w:rFonts w:ascii="Cambria" w:hAnsi="Cambria" w:cstheme="minorHAnsi"/>
          <w:sz w:val="20"/>
          <w:szCs w:val="20"/>
          <w:lang w:val="es-AR"/>
        </w:rPr>
        <w:t xml:space="preserve">, en su caso, no debe </w:t>
      </w:r>
      <w:r w:rsidR="00DA66B8" w:rsidRPr="006A6993">
        <w:rPr>
          <w:rFonts w:ascii="Cambria" w:hAnsi="Cambria" w:cstheme="minorHAnsi"/>
          <w:sz w:val="20"/>
          <w:szCs w:val="20"/>
          <w:lang w:val="es-AR"/>
        </w:rPr>
        <w:t>significar inversión en la carga de la prueba que contradiga las derivaciones probatorias de ese principio,</w:t>
      </w:r>
      <w:r w:rsidR="00710C04" w:rsidRPr="007F4E51">
        <w:rPr>
          <w:rFonts w:ascii="Cambria" w:hAnsi="Cambria"/>
          <w:sz w:val="20"/>
          <w:szCs w:val="20"/>
          <w:lang w:val="es-MX"/>
        </w:rPr>
        <w:t xml:space="preserve"> </w:t>
      </w:r>
      <w:r w:rsidR="00FA04BC" w:rsidRPr="006E4303">
        <w:rPr>
          <w:rFonts w:ascii="Cambria" w:hAnsi="Cambria"/>
          <w:sz w:val="20"/>
          <w:szCs w:val="20"/>
          <w:lang w:val="es-MX"/>
        </w:rPr>
        <w:t xml:space="preserve">ello quiere decir que </w:t>
      </w:r>
      <w:r w:rsidR="00710C04" w:rsidRPr="00DD5036">
        <w:rPr>
          <w:rFonts w:ascii="Cambria" w:hAnsi="Cambria"/>
          <w:sz w:val="20"/>
          <w:szCs w:val="20"/>
          <w:lang w:val="es-MX"/>
        </w:rPr>
        <w:t>quien difunde la información no está obligado a probar la veracidad de lo publicado, pero en caso de que se le impute falsedad, tiene la posibilidad de presentar pruebas para desvirtuarlo</w:t>
      </w:r>
      <w:r w:rsidR="00747FA3" w:rsidRPr="006A6993">
        <w:rPr>
          <w:rStyle w:val="FootnoteReference"/>
          <w:rFonts w:ascii="Cambria" w:hAnsi="Cambria" w:cstheme="minorHAnsi"/>
          <w:sz w:val="20"/>
          <w:szCs w:val="20"/>
          <w:lang w:val="es-AR"/>
        </w:rPr>
        <w:footnoteReference w:id="98"/>
      </w:r>
      <w:r w:rsidR="00747FA3" w:rsidRPr="006A6993">
        <w:rPr>
          <w:rFonts w:ascii="Cambria" w:hAnsi="Cambria"/>
          <w:sz w:val="20"/>
          <w:szCs w:val="20"/>
          <w:lang w:val="es-MX"/>
        </w:rPr>
        <w:t>.</w:t>
      </w:r>
    </w:p>
    <w:p w14:paraId="66A987FD" w14:textId="77777777" w:rsidR="00710C04" w:rsidRPr="00DD5036" w:rsidRDefault="00710C04" w:rsidP="00710C04">
      <w:pPr>
        <w:pStyle w:val="ListParagraph"/>
        <w:spacing w:before="0" w:after="0"/>
        <w:rPr>
          <w:rFonts w:cstheme="minorHAnsi"/>
          <w:sz w:val="20"/>
          <w:szCs w:val="20"/>
          <w:lang w:val="es-PE"/>
        </w:rPr>
      </w:pPr>
    </w:p>
    <w:p w14:paraId="10D2F3EB" w14:textId="77777777" w:rsidR="00DA66B8" w:rsidRPr="00CD5726" w:rsidRDefault="00747FA3" w:rsidP="006A699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CD5726">
        <w:rPr>
          <w:rFonts w:ascii="Cambria" w:hAnsi="Cambria" w:cstheme="minorHAnsi"/>
          <w:sz w:val="20"/>
          <w:szCs w:val="20"/>
          <w:lang w:val="es-AR"/>
        </w:rPr>
        <w:t xml:space="preserve">En conclusión, la Comisión </w:t>
      </w:r>
      <w:r w:rsidR="00F178D4" w:rsidRPr="00CD5726">
        <w:rPr>
          <w:rFonts w:ascii="Cambria" w:hAnsi="Cambria" w:cstheme="minorHAnsi"/>
          <w:sz w:val="20"/>
          <w:szCs w:val="20"/>
          <w:lang w:val="es-AR"/>
        </w:rPr>
        <w:t>considera que el artículo 13 de la Convención Americana protege</w:t>
      </w:r>
      <w:r w:rsidR="0075083B" w:rsidRPr="00CD5726">
        <w:rPr>
          <w:rFonts w:ascii="Cambria" w:hAnsi="Cambria" w:cstheme="minorHAnsi"/>
          <w:sz w:val="20"/>
          <w:szCs w:val="20"/>
          <w:lang w:val="es-AR"/>
        </w:rPr>
        <w:t xml:space="preserve"> la </w:t>
      </w:r>
      <w:r w:rsidR="00C80DBB" w:rsidRPr="00CD5726">
        <w:rPr>
          <w:rFonts w:ascii="Cambria" w:hAnsi="Cambria" w:cstheme="minorHAnsi"/>
          <w:sz w:val="20"/>
          <w:szCs w:val="20"/>
          <w:lang w:val="es-AR"/>
        </w:rPr>
        <w:t>información inexacta</w:t>
      </w:r>
      <w:r w:rsidR="00D74DD2" w:rsidRPr="00CD5726">
        <w:rPr>
          <w:rFonts w:ascii="Cambria" w:hAnsi="Cambria" w:cstheme="minorHAnsi"/>
          <w:sz w:val="20"/>
          <w:szCs w:val="20"/>
          <w:lang w:val="es-AR"/>
        </w:rPr>
        <w:t xml:space="preserve"> o errónea </w:t>
      </w:r>
      <w:r w:rsidR="007C6F88" w:rsidRPr="00CD5726">
        <w:rPr>
          <w:rFonts w:ascii="Cambria" w:hAnsi="Cambria" w:cstheme="minorHAnsi"/>
          <w:sz w:val="20"/>
          <w:szCs w:val="20"/>
          <w:lang w:val="es-AR"/>
        </w:rPr>
        <w:t>sobre asuntos de interés público</w:t>
      </w:r>
      <w:r w:rsidR="00814E60" w:rsidRPr="00CD5726">
        <w:rPr>
          <w:rFonts w:ascii="Cambria" w:hAnsi="Cambria" w:cstheme="minorHAnsi"/>
          <w:sz w:val="20"/>
          <w:szCs w:val="20"/>
          <w:lang w:val="es-AR"/>
        </w:rPr>
        <w:t xml:space="preserve"> y no genera responsabilidad civil ni penal </w:t>
      </w:r>
      <w:r w:rsidR="005D5C76" w:rsidRPr="00CD5726">
        <w:rPr>
          <w:rFonts w:ascii="Cambria" w:hAnsi="Cambria" w:cstheme="minorHAnsi"/>
          <w:sz w:val="20"/>
          <w:szCs w:val="20"/>
          <w:lang w:val="es-AR"/>
        </w:rPr>
        <w:t>de quien la difunda</w:t>
      </w:r>
      <w:r w:rsidR="006A6993" w:rsidRPr="00CD5726">
        <w:rPr>
          <w:rFonts w:ascii="Cambria" w:hAnsi="Cambria" w:cstheme="minorHAnsi"/>
          <w:sz w:val="20"/>
          <w:szCs w:val="20"/>
          <w:lang w:val="es-AR"/>
        </w:rPr>
        <w:t xml:space="preserve">, a menos de que se demuestre que </w:t>
      </w:r>
      <w:r w:rsidR="006A6993" w:rsidRPr="00CD5726">
        <w:rPr>
          <w:rFonts w:ascii="Cambria" w:hAnsi="Cambria"/>
          <w:sz w:val="20"/>
          <w:szCs w:val="20"/>
          <w:lang w:val="es-PE"/>
        </w:rPr>
        <w:t xml:space="preserve">quien se expresó, lo hizo con </w:t>
      </w:r>
      <w:r w:rsidR="00CA3F3B" w:rsidRPr="00CD5726">
        <w:rPr>
          <w:rFonts w:ascii="Cambria" w:hAnsi="Cambria" w:cstheme="minorHAnsi"/>
          <w:sz w:val="20"/>
          <w:szCs w:val="20"/>
          <w:lang w:val="es-AR"/>
        </w:rPr>
        <w:t xml:space="preserve">la intención de causar daño </w:t>
      </w:r>
      <w:r w:rsidR="003A7D64" w:rsidRPr="00CD5726">
        <w:rPr>
          <w:rFonts w:ascii="Cambria" w:hAnsi="Cambria"/>
          <w:sz w:val="20"/>
          <w:szCs w:val="20"/>
          <w:lang w:val="es-PE"/>
        </w:rPr>
        <w:t>y</w:t>
      </w:r>
      <w:r w:rsidR="006A6993" w:rsidRPr="00CD5726">
        <w:rPr>
          <w:rFonts w:ascii="Cambria" w:hAnsi="Cambria"/>
          <w:sz w:val="20"/>
          <w:szCs w:val="20"/>
          <w:lang w:val="es-PE"/>
        </w:rPr>
        <w:t xml:space="preserve"> </w:t>
      </w:r>
      <w:r w:rsidR="003A7D64" w:rsidRPr="00CD5726">
        <w:rPr>
          <w:rFonts w:ascii="Cambria" w:hAnsi="Cambria"/>
          <w:sz w:val="20"/>
          <w:szCs w:val="20"/>
          <w:lang w:val="es-PE"/>
        </w:rPr>
        <w:t>conocimiento de que se estaban difundiendo informaciones falsas o con un evidente desprecio por la verdad de los hechos.</w:t>
      </w:r>
      <w:r w:rsidR="006A6993" w:rsidRPr="00CD5726">
        <w:rPr>
          <w:rFonts w:ascii="Cambria" w:hAnsi="Cambria"/>
          <w:sz w:val="20"/>
          <w:szCs w:val="20"/>
          <w:lang w:val="es-PE"/>
        </w:rPr>
        <w:t xml:space="preserve"> Asimismo, como esta Comisión ya ha establecido, basta </w:t>
      </w:r>
      <w:r w:rsidR="006A6993" w:rsidRPr="00CD5726">
        <w:rPr>
          <w:rFonts w:ascii="Cambria" w:hAnsi="Cambria" w:cstheme="minorHAnsi"/>
          <w:sz w:val="20"/>
          <w:szCs w:val="20"/>
          <w:lang w:val="es-AR"/>
        </w:rPr>
        <w:t>con que las aseveraciones cuestionadas resulten razonables en cuanto a su verosimilitud, para excluir la responsabilidad frente a afirmaciones que revisten un interés público actual.</w:t>
      </w:r>
      <w:r w:rsidR="006A6993" w:rsidRPr="00CD5726">
        <w:rPr>
          <w:rFonts w:ascii="Cambria" w:hAnsi="Cambria"/>
          <w:sz w:val="20"/>
          <w:szCs w:val="20"/>
          <w:lang w:val="es-PE"/>
        </w:rPr>
        <w:t xml:space="preserve"> </w:t>
      </w:r>
    </w:p>
    <w:p w14:paraId="07E42D48" w14:textId="77777777" w:rsidR="00361F7C" w:rsidRPr="00616B34" w:rsidRDefault="00361F7C" w:rsidP="00361F7C">
      <w:pPr>
        <w:pStyle w:val="NoSpacing"/>
        <w:spacing w:before="0" w:after="0"/>
        <w:ind w:firstLine="0"/>
        <w:rPr>
          <w:szCs w:val="20"/>
          <w:lang w:val="es-ES"/>
        </w:rPr>
      </w:pPr>
    </w:p>
    <w:p w14:paraId="57A9CB64" w14:textId="77777777" w:rsidR="00361F7C" w:rsidRPr="00616B34" w:rsidRDefault="00361F7C" w:rsidP="006635F2">
      <w:pPr>
        <w:pStyle w:val="Heading3"/>
      </w:pPr>
      <w:bookmarkStart w:id="42" w:name="_Toc24542771"/>
      <w:r w:rsidRPr="00616B34">
        <w:t>Análisis del caso</w:t>
      </w:r>
      <w:bookmarkEnd w:id="42"/>
    </w:p>
    <w:p w14:paraId="27ECA9ED" w14:textId="77777777" w:rsidR="002C41EC" w:rsidRPr="00616B34" w:rsidRDefault="002C41EC" w:rsidP="007C37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i/>
          <w:iCs/>
          <w:spacing w:val="-2"/>
          <w:sz w:val="20"/>
          <w:szCs w:val="20"/>
          <w:lang w:val="es-ES_tradnl"/>
        </w:rPr>
      </w:pPr>
    </w:p>
    <w:p w14:paraId="3D3FA078" w14:textId="77777777" w:rsidR="000F4ACC" w:rsidRPr="00616B34" w:rsidRDefault="009332EF" w:rsidP="00CE53F1">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i/>
          <w:iCs/>
          <w:spacing w:val="-2"/>
          <w:sz w:val="20"/>
          <w:szCs w:val="20"/>
          <w:lang w:val="es-ES_tradnl"/>
        </w:rPr>
      </w:pPr>
      <w:r w:rsidRPr="00616B34">
        <w:rPr>
          <w:rFonts w:ascii="Cambria" w:hAnsi="Cambria"/>
          <w:sz w:val="20"/>
          <w:szCs w:val="20"/>
          <w:lang w:val="es-VE"/>
        </w:rPr>
        <w:t xml:space="preserve">La CIDH </w:t>
      </w:r>
      <w:r w:rsidR="000F4ACC" w:rsidRPr="00616B34">
        <w:rPr>
          <w:rFonts w:ascii="Cambria" w:hAnsi="Cambria"/>
          <w:sz w:val="20"/>
          <w:szCs w:val="20"/>
          <w:lang w:val="es-VE"/>
        </w:rPr>
        <w:t>entiende</w:t>
      </w:r>
      <w:r w:rsidRPr="00616B34">
        <w:rPr>
          <w:rFonts w:ascii="Cambria" w:hAnsi="Cambria"/>
          <w:sz w:val="20"/>
          <w:szCs w:val="20"/>
          <w:lang w:val="es-VE"/>
        </w:rPr>
        <w:t xml:space="preserve"> que</w:t>
      </w:r>
      <w:r w:rsidR="000F4ACC" w:rsidRPr="00616B34">
        <w:rPr>
          <w:rFonts w:ascii="Cambria" w:hAnsi="Cambria"/>
          <w:sz w:val="20"/>
          <w:szCs w:val="20"/>
          <w:lang w:val="es-VE"/>
        </w:rPr>
        <w:t xml:space="preserve"> el presente caso se e</w:t>
      </w:r>
      <w:r w:rsidR="00377E97" w:rsidRPr="00616B34">
        <w:rPr>
          <w:rFonts w:ascii="Cambria" w:hAnsi="Cambria"/>
          <w:sz w:val="20"/>
          <w:szCs w:val="20"/>
          <w:lang w:val="es-VE"/>
        </w:rPr>
        <w:t>nmarca en la publicación de un art</w:t>
      </w:r>
      <w:r w:rsidR="00377E97" w:rsidRPr="00616B34">
        <w:rPr>
          <w:rFonts w:ascii="Cambria" w:hAnsi="Cambria"/>
          <w:vanish/>
          <w:sz w:val="20"/>
          <w:szCs w:val="20"/>
          <w:lang w:val="es-MX"/>
        </w:rPr>
        <w:t xml:space="preserve">  terminarárco se pasara o la negligencia palmariaeguridad, a cargo del sistema aduanero, se encontraban en curso y los hechos r</w:t>
      </w:r>
      <w:r w:rsidR="00377E97" w:rsidRPr="00616B34">
        <w:rPr>
          <w:rFonts w:ascii="Cambria" w:hAnsi="Cambria"/>
          <w:sz w:val="20"/>
          <w:szCs w:val="20"/>
          <w:lang w:val="es-VE"/>
        </w:rPr>
        <w:t>ículo periodístico de evidente</w:t>
      </w:r>
      <w:r w:rsidR="000F4ACC" w:rsidRPr="00616B34">
        <w:rPr>
          <w:rFonts w:ascii="Cambria" w:hAnsi="Cambria"/>
          <w:sz w:val="20"/>
          <w:szCs w:val="20"/>
          <w:lang w:val="es-VE"/>
        </w:rPr>
        <w:t xml:space="preserve"> interés público por parte de</w:t>
      </w:r>
      <w:r w:rsidRPr="00616B34">
        <w:rPr>
          <w:rFonts w:ascii="Cambria" w:hAnsi="Cambria"/>
          <w:sz w:val="20"/>
          <w:szCs w:val="20"/>
          <w:lang w:val="es-VE"/>
        </w:rPr>
        <w:t xml:space="preserve"> </w:t>
      </w:r>
      <w:r w:rsidR="007C3784" w:rsidRPr="00616B34">
        <w:rPr>
          <w:rFonts w:ascii="Cambria" w:hAnsi="Cambria"/>
          <w:sz w:val="20"/>
          <w:szCs w:val="20"/>
          <w:lang w:val="es-CO"/>
        </w:rPr>
        <w:t xml:space="preserve">los periodistas </w:t>
      </w:r>
      <w:r w:rsidR="007C3784" w:rsidRPr="00616B34">
        <w:rPr>
          <w:rFonts w:ascii="Cambria" w:hAnsi="Cambria"/>
          <w:sz w:val="20"/>
          <w:szCs w:val="20"/>
          <w:lang w:val="es-MX"/>
        </w:rPr>
        <w:t xml:space="preserve">Ronald Moya </w:t>
      </w:r>
      <w:r w:rsidR="00774CDD" w:rsidRPr="00616B34">
        <w:rPr>
          <w:rFonts w:ascii="Cambria" w:hAnsi="Cambria"/>
          <w:sz w:val="20"/>
          <w:szCs w:val="20"/>
          <w:lang w:val="es-MX"/>
        </w:rPr>
        <w:t>Chacón y Freddy Parrales Chaves</w:t>
      </w:r>
      <w:r w:rsidR="000F4ACC" w:rsidRPr="00616B34">
        <w:rPr>
          <w:rFonts w:ascii="Cambria" w:hAnsi="Cambria"/>
          <w:sz w:val="20"/>
          <w:szCs w:val="20"/>
          <w:lang w:val="es-MX"/>
        </w:rPr>
        <w:t xml:space="preserve"> </w:t>
      </w:r>
      <w:r w:rsidR="004904DF" w:rsidRPr="00616B34">
        <w:rPr>
          <w:rFonts w:ascii="Cambria" w:hAnsi="Cambria"/>
          <w:sz w:val="20"/>
          <w:szCs w:val="20"/>
          <w:lang w:val="es-MX"/>
        </w:rPr>
        <w:t>en el</w:t>
      </w:r>
      <w:r w:rsidR="007C3784" w:rsidRPr="00616B34">
        <w:rPr>
          <w:rFonts w:ascii="Cambria" w:hAnsi="Cambria"/>
          <w:sz w:val="20"/>
          <w:szCs w:val="20"/>
          <w:lang w:val="es-MX"/>
        </w:rPr>
        <w:t xml:space="preserve"> diario </w:t>
      </w:r>
      <w:r w:rsidR="007C3784" w:rsidRPr="00616B34">
        <w:rPr>
          <w:rFonts w:ascii="Cambria" w:hAnsi="Cambria"/>
          <w:i/>
          <w:sz w:val="20"/>
          <w:szCs w:val="20"/>
          <w:lang w:val="es-MX"/>
        </w:rPr>
        <w:t>La Nación</w:t>
      </w:r>
      <w:r w:rsidR="000F4ACC" w:rsidRPr="00616B34">
        <w:rPr>
          <w:rFonts w:ascii="Cambria" w:hAnsi="Cambria"/>
          <w:i/>
          <w:sz w:val="20"/>
          <w:szCs w:val="20"/>
          <w:lang w:val="es-MX"/>
        </w:rPr>
        <w:t>,</w:t>
      </w:r>
      <w:r w:rsidR="007C3784" w:rsidRPr="00616B34">
        <w:rPr>
          <w:rFonts w:ascii="Cambria" w:hAnsi="Cambria"/>
          <w:sz w:val="20"/>
          <w:szCs w:val="20"/>
          <w:lang w:val="es-MX"/>
        </w:rPr>
        <w:t xml:space="preserve"> </w:t>
      </w:r>
      <w:r w:rsidR="004904DF" w:rsidRPr="00616B34">
        <w:rPr>
          <w:rFonts w:ascii="Cambria" w:hAnsi="Cambria"/>
          <w:sz w:val="20"/>
          <w:szCs w:val="20"/>
          <w:lang w:val="es-MX"/>
        </w:rPr>
        <w:t>e</w:t>
      </w:r>
      <w:r w:rsidR="00CC19FE" w:rsidRPr="00616B34">
        <w:rPr>
          <w:rFonts w:ascii="Cambria" w:hAnsi="Cambria"/>
          <w:sz w:val="20"/>
          <w:szCs w:val="20"/>
          <w:lang w:val="es-MX"/>
        </w:rPr>
        <w:t xml:space="preserve">n </w:t>
      </w:r>
      <w:r w:rsidR="003055D4" w:rsidRPr="00616B34">
        <w:rPr>
          <w:rFonts w:ascii="Cambria" w:hAnsi="Cambria"/>
          <w:sz w:val="20"/>
          <w:szCs w:val="20"/>
          <w:lang w:val="es-MX"/>
        </w:rPr>
        <w:t>el</w:t>
      </w:r>
      <w:r w:rsidR="00CC19FE" w:rsidRPr="00616B34">
        <w:rPr>
          <w:rFonts w:ascii="Cambria" w:hAnsi="Cambria"/>
          <w:sz w:val="20"/>
          <w:szCs w:val="20"/>
          <w:lang w:val="es-MX"/>
        </w:rPr>
        <w:t xml:space="preserve"> cual </w:t>
      </w:r>
      <w:r w:rsidR="00774CDD" w:rsidRPr="00616B34">
        <w:rPr>
          <w:rFonts w:ascii="Cambria" w:hAnsi="Cambria"/>
          <w:sz w:val="20"/>
          <w:szCs w:val="20"/>
          <w:lang w:val="es-MX"/>
        </w:rPr>
        <w:t>informaron</w:t>
      </w:r>
      <w:r w:rsidR="00CC19FE" w:rsidRPr="00616B34">
        <w:rPr>
          <w:rFonts w:ascii="Cambria" w:hAnsi="Cambria"/>
          <w:sz w:val="20"/>
          <w:szCs w:val="20"/>
          <w:lang w:val="es-MX"/>
        </w:rPr>
        <w:t xml:space="preserve"> sobre presuntas</w:t>
      </w:r>
      <w:r w:rsidR="007C3784" w:rsidRPr="00616B34">
        <w:rPr>
          <w:rFonts w:ascii="Cambria" w:hAnsi="Cambria"/>
          <w:sz w:val="20"/>
          <w:szCs w:val="20"/>
          <w:lang w:val="es-MX"/>
        </w:rPr>
        <w:t xml:space="preserve"> irregularidades en el control del trasiego de licores </w:t>
      </w:r>
      <w:r w:rsidR="00377E97" w:rsidRPr="00616B34">
        <w:rPr>
          <w:rFonts w:ascii="Cambria" w:hAnsi="Cambria"/>
          <w:sz w:val="20"/>
          <w:szCs w:val="20"/>
          <w:lang w:val="es-MX"/>
        </w:rPr>
        <w:t xml:space="preserve">hacia Costa Rica </w:t>
      </w:r>
      <w:r w:rsidR="007C3784" w:rsidRPr="00616B34">
        <w:rPr>
          <w:rFonts w:ascii="Cambria" w:hAnsi="Cambria"/>
          <w:sz w:val="20"/>
          <w:szCs w:val="20"/>
          <w:lang w:val="es-MX"/>
        </w:rPr>
        <w:t xml:space="preserve">en </w:t>
      </w:r>
      <w:r w:rsidR="00CC19FE" w:rsidRPr="00616B34">
        <w:rPr>
          <w:rFonts w:ascii="Cambria" w:hAnsi="Cambria"/>
          <w:sz w:val="20"/>
          <w:szCs w:val="20"/>
          <w:lang w:val="es-MX"/>
        </w:rPr>
        <w:t>la</w:t>
      </w:r>
      <w:r w:rsidR="007C3784" w:rsidRPr="00616B34">
        <w:rPr>
          <w:rFonts w:ascii="Cambria" w:hAnsi="Cambria"/>
          <w:sz w:val="20"/>
          <w:szCs w:val="20"/>
          <w:lang w:val="es-MX"/>
        </w:rPr>
        <w:t xml:space="preserve"> zona fronteriza</w:t>
      </w:r>
      <w:r w:rsidR="00CC19FE" w:rsidRPr="00616B34">
        <w:rPr>
          <w:rFonts w:ascii="Cambria" w:hAnsi="Cambria"/>
          <w:sz w:val="20"/>
          <w:szCs w:val="20"/>
          <w:lang w:val="es-MX"/>
        </w:rPr>
        <w:t xml:space="preserve"> con Panam</w:t>
      </w:r>
      <w:r w:rsidR="00CC19FE" w:rsidRPr="00616B34">
        <w:rPr>
          <w:rFonts w:ascii="Cambria" w:hAnsi="Cambria"/>
          <w:sz w:val="20"/>
          <w:szCs w:val="20"/>
          <w:lang w:val="es-PE"/>
        </w:rPr>
        <w:t>á</w:t>
      </w:r>
      <w:r w:rsidR="007C3784" w:rsidRPr="00616B34">
        <w:rPr>
          <w:rFonts w:ascii="Cambria" w:hAnsi="Cambria"/>
          <w:sz w:val="20"/>
          <w:szCs w:val="20"/>
          <w:lang w:val="es-MX"/>
        </w:rPr>
        <w:t xml:space="preserve"> </w:t>
      </w:r>
      <w:r w:rsidR="0069694E" w:rsidRPr="00616B34">
        <w:rPr>
          <w:rFonts w:ascii="Cambria" w:hAnsi="Cambria"/>
          <w:sz w:val="20"/>
          <w:szCs w:val="20"/>
          <w:lang w:val="es-MX"/>
        </w:rPr>
        <w:t>y</w:t>
      </w:r>
      <w:r w:rsidR="007C3784" w:rsidRPr="00616B34">
        <w:rPr>
          <w:rFonts w:ascii="Cambria" w:hAnsi="Cambria"/>
          <w:sz w:val="20"/>
          <w:szCs w:val="20"/>
          <w:lang w:val="es-MX"/>
        </w:rPr>
        <w:t xml:space="preserve"> se </w:t>
      </w:r>
      <w:r w:rsidR="0069694E" w:rsidRPr="00616B34">
        <w:rPr>
          <w:rFonts w:ascii="Cambria" w:hAnsi="Cambria"/>
          <w:sz w:val="20"/>
          <w:szCs w:val="20"/>
          <w:lang w:val="es-MX"/>
        </w:rPr>
        <w:t>mencion</w:t>
      </w:r>
      <w:r w:rsidR="007C3784" w:rsidRPr="00616B34">
        <w:rPr>
          <w:rFonts w:ascii="Cambria" w:hAnsi="Cambria"/>
          <w:sz w:val="20"/>
          <w:szCs w:val="20"/>
          <w:lang w:val="es-MX"/>
        </w:rPr>
        <w:t xml:space="preserve">ó a </w:t>
      </w:r>
      <w:r w:rsidR="00832D91" w:rsidRPr="00616B34">
        <w:rPr>
          <w:rFonts w:ascii="Cambria" w:hAnsi="Cambria"/>
          <w:sz w:val="20"/>
          <w:szCs w:val="20"/>
          <w:lang w:val="es-MX"/>
        </w:rPr>
        <w:t xml:space="preserve">distintos </w:t>
      </w:r>
      <w:r w:rsidR="007C3784" w:rsidRPr="00616B34">
        <w:rPr>
          <w:rFonts w:ascii="Cambria" w:hAnsi="Cambria"/>
          <w:sz w:val="20"/>
          <w:szCs w:val="20"/>
          <w:lang w:val="es-MX"/>
        </w:rPr>
        <w:t>funcionarios policiales que habrían estado involucrados en los hechos.</w:t>
      </w:r>
      <w:r w:rsidR="00CD0828" w:rsidRPr="00616B34">
        <w:rPr>
          <w:rFonts w:ascii="Cambria" w:hAnsi="Cambria"/>
          <w:sz w:val="20"/>
          <w:szCs w:val="20"/>
          <w:lang w:val="es-MX"/>
        </w:rPr>
        <w:t xml:space="preserve"> </w:t>
      </w:r>
      <w:r w:rsidR="000F4ACC" w:rsidRPr="00616B34">
        <w:rPr>
          <w:rFonts w:ascii="Cambria" w:hAnsi="Cambria"/>
          <w:sz w:val="20"/>
          <w:szCs w:val="20"/>
          <w:lang w:val="es-MX"/>
        </w:rPr>
        <w:t xml:space="preserve">La </w:t>
      </w:r>
      <w:r w:rsidR="00774CDD" w:rsidRPr="00616B34">
        <w:rPr>
          <w:rFonts w:ascii="Cambria" w:hAnsi="Cambria"/>
          <w:sz w:val="20"/>
          <w:szCs w:val="20"/>
          <w:lang w:val="es-MX"/>
        </w:rPr>
        <w:t>situación</w:t>
      </w:r>
      <w:r w:rsidR="000F4ACC" w:rsidRPr="00616B34">
        <w:rPr>
          <w:rFonts w:ascii="Cambria" w:hAnsi="Cambria"/>
          <w:sz w:val="20"/>
          <w:szCs w:val="20"/>
          <w:lang w:val="es-MX"/>
        </w:rPr>
        <w:t xml:space="preserve"> </w:t>
      </w:r>
      <w:r w:rsidR="003055D4" w:rsidRPr="00616B34">
        <w:rPr>
          <w:rFonts w:ascii="Cambria" w:hAnsi="Cambria"/>
          <w:sz w:val="20"/>
          <w:szCs w:val="20"/>
          <w:lang w:val="es-MX"/>
        </w:rPr>
        <w:t>era investigada</w:t>
      </w:r>
      <w:r w:rsidR="008A6040">
        <w:rPr>
          <w:rFonts w:ascii="Cambria" w:hAnsi="Cambria"/>
          <w:sz w:val="20"/>
          <w:szCs w:val="20"/>
          <w:lang w:val="es-MX"/>
        </w:rPr>
        <w:t xml:space="preserve"> por las autoridades del </w:t>
      </w:r>
      <w:r w:rsidR="00784266">
        <w:rPr>
          <w:rFonts w:ascii="Cambria" w:hAnsi="Cambria"/>
          <w:sz w:val="20"/>
          <w:szCs w:val="20"/>
          <w:lang w:val="es-MX"/>
        </w:rPr>
        <w:t>M</w:t>
      </w:r>
      <w:r w:rsidR="008A6040">
        <w:rPr>
          <w:rFonts w:ascii="Cambria" w:hAnsi="Cambria"/>
          <w:sz w:val="20"/>
          <w:szCs w:val="20"/>
          <w:lang w:val="es-MX"/>
        </w:rPr>
        <w:t xml:space="preserve">inisterio </w:t>
      </w:r>
      <w:r w:rsidR="00784266">
        <w:rPr>
          <w:rFonts w:ascii="Cambria" w:hAnsi="Cambria"/>
          <w:sz w:val="20"/>
          <w:szCs w:val="20"/>
          <w:lang w:val="es-MX"/>
        </w:rPr>
        <w:t>P</w:t>
      </w:r>
      <w:r w:rsidR="008A6040">
        <w:rPr>
          <w:rFonts w:ascii="Cambria" w:hAnsi="Cambria"/>
          <w:sz w:val="20"/>
          <w:szCs w:val="20"/>
          <w:lang w:val="es-UY"/>
        </w:rPr>
        <w:t>úblico</w:t>
      </w:r>
      <w:r w:rsidR="000F4ACC" w:rsidRPr="00616B34">
        <w:rPr>
          <w:rFonts w:ascii="Cambria" w:hAnsi="Cambria"/>
          <w:sz w:val="20"/>
          <w:szCs w:val="20"/>
          <w:lang w:val="es-MX"/>
        </w:rPr>
        <w:t xml:space="preserve">, </w:t>
      </w:r>
      <w:r w:rsidR="00784266">
        <w:rPr>
          <w:rFonts w:ascii="Cambria" w:hAnsi="Cambria"/>
          <w:sz w:val="20"/>
          <w:szCs w:val="20"/>
          <w:lang w:val="es-MX"/>
        </w:rPr>
        <w:t>y</w:t>
      </w:r>
      <w:r w:rsidR="008A6040">
        <w:rPr>
          <w:rFonts w:ascii="Cambria" w:hAnsi="Cambria"/>
          <w:sz w:val="20"/>
          <w:szCs w:val="20"/>
          <w:lang w:val="es-MX"/>
        </w:rPr>
        <w:t xml:space="preserve"> estaba en </w:t>
      </w:r>
      <w:r w:rsidR="00CE53F1">
        <w:rPr>
          <w:rFonts w:ascii="Cambria" w:hAnsi="Cambria"/>
          <w:sz w:val="20"/>
          <w:szCs w:val="20"/>
          <w:lang w:val="es-MX"/>
        </w:rPr>
        <w:t xml:space="preserve">conocimiento del Ministerio de </w:t>
      </w:r>
      <w:r w:rsidR="008A6040">
        <w:rPr>
          <w:rFonts w:ascii="Cambria" w:hAnsi="Cambria"/>
          <w:sz w:val="20"/>
          <w:szCs w:val="20"/>
          <w:lang w:val="es-MX"/>
        </w:rPr>
        <w:t>Seguridad</w:t>
      </w:r>
      <w:r w:rsidR="00784266">
        <w:rPr>
          <w:rFonts w:ascii="Cambria" w:hAnsi="Cambria"/>
          <w:sz w:val="20"/>
          <w:szCs w:val="20"/>
          <w:lang w:val="es-MX"/>
        </w:rPr>
        <w:t xml:space="preserve">. Asimismo, </w:t>
      </w:r>
      <w:r w:rsidR="000F4ACC" w:rsidRPr="00616B34">
        <w:rPr>
          <w:rFonts w:ascii="Cambria" w:hAnsi="Cambria"/>
          <w:sz w:val="20"/>
          <w:szCs w:val="20"/>
          <w:lang w:val="es-MX"/>
        </w:rPr>
        <w:t xml:space="preserve">los hechos </w:t>
      </w:r>
      <w:r w:rsidR="003055D4" w:rsidRPr="00616B34">
        <w:rPr>
          <w:rFonts w:ascii="Cambria" w:hAnsi="Cambria"/>
          <w:sz w:val="20"/>
          <w:szCs w:val="20"/>
          <w:lang w:val="es-MX"/>
        </w:rPr>
        <w:t>apuntaban</w:t>
      </w:r>
      <w:r w:rsidR="000F4ACC" w:rsidRPr="00616B34">
        <w:rPr>
          <w:rFonts w:ascii="Cambria" w:hAnsi="Cambria"/>
          <w:sz w:val="20"/>
          <w:szCs w:val="20"/>
          <w:lang w:val="es-MX"/>
        </w:rPr>
        <w:t xml:space="preserve"> a</w:t>
      </w:r>
      <w:r w:rsidR="00774CDD" w:rsidRPr="00616B34">
        <w:rPr>
          <w:rFonts w:ascii="Cambria" w:hAnsi="Cambria"/>
          <w:sz w:val="20"/>
          <w:szCs w:val="20"/>
          <w:lang w:val="es-MX"/>
        </w:rPr>
        <w:t xml:space="preserve"> la existencia</w:t>
      </w:r>
      <w:r w:rsidR="000F4ACC" w:rsidRPr="00616B34">
        <w:rPr>
          <w:rFonts w:ascii="Cambria" w:hAnsi="Cambria"/>
          <w:sz w:val="20"/>
          <w:szCs w:val="20"/>
          <w:lang w:val="es-MX"/>
        </w:rPr>
        <w:t xml:space="preserve"> </w:t>
      </w:r>
      <w:r w:rsidR="00784266">
        <w:rPr>
          <w:rFonts w:ascii="Cambria" w:hAnsi="Cambria"/>
          <w:sz w:val="20"/>
          <w:szCs w:val="20"/>
          <w:lang w:val="es-MX"/>
        </w:rPr>
        <w:t xml:space="preserve">de </w:t>
      </w:r>
      <w:r w:rsidR="000F4ACC" w:rsidRPr="00616B34">
        <w:rPr>
          <w:rFonts w:ascii="Cambria" w:hAnsi="Cambria"/>
          <w:sz w:val="20"/>
          <w:szCs w:val="20"/>
          <w:lang w:val="es-MX"/>
        </w:rPr>
        <w:t>un presunto caso de contrabando</w:t>
      </w:r>
      <w:r w:rsidR="00774CDD" w:rsidRPr="00616B34">
        <w:rPr>
          <w:rFonts w:ascii="Cambria" w:hAnsi="Cambria"/>
          <w:sz w:val="20"/>
          <w:szCs w:val="20"/>
          <w:lang w:val="es-MX"/>
        </w:rPr>
        <w:t xml:space="preserve"> y abusos policiales que</w:t>
      </w:r>
      <w:r w:rsidR="000F4ACC" w:rsidRPr="00616B34">
        <w:rPr>
          <w:rFonts w:ascii="Cambria" w:hAnsi="Cambria"/>
          <w:sz w:val="20"/>
          <w:szCs w:val="20"/>
          <w:lang w:val="es-MX"/>
        </w:rPr>
        <w:t xml:space="preserve"> fueron confirmados por las más altas autoridades.</w:t>
      </w:r>
    </w:p>
    <w:p w14:paraId="4CFBFE59" w14:textId="77777777" w:rsidR="000F4ACC" w:rsidRDefault="000F4ACC" w:rsidP="000F4AC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i/>
          <w:iCs/>
          <w:spacing w:val="-2"/>
          <w:sz w:val="20"/>
          <w:szCs w:val="20"/>
          <w:lang w:val="es-ES_tradnl"/>
        </w:rPr>
      </w:pPr>
    </w:p>
    <w:p w14:paraId="7A59859A" w14:textId="77777777" w:rsidR="00EB0406" w:rsidRPr="00616B34" w:rsidRDefault="00CD0828" w:rsidP="009332E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i/>
          <w:iCs/>
          <w:spacing w:val="-2"/>
          <w:sz w:val="20"/>
          <w:szCs w:val="20"/>
          <w:lang w:val="es-ES_tradnl"/>
        </w:rPr>
      </w:pPr>
      <w:r w:rsidRPr="00616B34">
        <w:rPr>
          <w:rFonts w:ascii="Cambria" w:hAnsi="Cambria"/>
          <w:sz w:val="20"/>
          <w:szCs w:val="20"/>
          <w:lang w:val="es-MX"/>
        </w:rPr>
        <w:t>En particular, luego de recibir información</w:t>
      </w:r>
      <w:r w:rsidR="00B64048" w:rsidRPr="00616B34">
        <w:rPr>
          <w:rFonts w:ascii="Cambria" w:hAnsi="Cambria"/>
          <w:sz w:val="20"/>
          <w:szCs w:val="20"/>
          <w:lang w:val="es-MX"/>
        </w:rPr>
        <w:t xml:space="preserve">, los periodistas confirmaron con el Ministro de Seguridad la existencia de una investigación por la presunta comisión del delito de extorsión </w:t>
      </w:r>
      <w:r w:rsidR="00832D91" w:rsidRPr="00616B34">
        <w:rPr>
          <w:rFonts w:ascii="Cambria" w:hAnsi="Cambria"/>
          <w:sz w:val="20"/>
          <w:szCs w:val="20"/>
          <w:lang w:val="es-MX"/>
        </w:rPr>
        <w:t xml:space="preserve">por trasiego de licores </w:t>
      </w:r>
      <w:r w:rsidR="00FE60E8" w:rsidRPr="00616B34">
        <w:rPr>
          <w:rFonts w:ascii="Cambria" w:hAnsi="Cambria"/>
          <w:sz w:val="20"/>
          <w:szCs w:val="20"/>
          <w:lang w:val="es-MX"/>
        </w:rPr>
        <w:t xml:space="preserve">en contra del agente de la policía Trejos Rodríguez. </w:t>
      </w:r>
      <w:r w:rsidR="00E066C8" w:rsidRPr="00616B34">
        <w:rPr>
          <w:rFonts w:ascii="Cambria" w:hAnsi="Cambria"/>
          <w:sz w:val="20"/>
          <w:szCs w:val="20"/>
          <w:lang w:val="es-MX"/>
        </w:rPr>
        <w:t>Est</w:t>
      </w:r>
      <w:r w:rsidR="00497C83" w:rsidRPr="00616B34">
        <w:rPr>
          <w:rFonts w:ascii="Cambria" w:hAnsi="Cambria"/>
          <w:sz w:val="20"/>
          <w:szCs w:val="20"/>
          <w:lang w:val="es-MX"/>
        </w:rPr>
        <w:t>e</w:t>
      </w:r>
      <w:r w:rsidR="00E066C8" w:rsidRPr="00616B34">
        <w:rPr>
          <w:rFonts w:ascii="Cambria" w:hAnsi="Cambria"/>
          <w:sz w:val="20"/>
          <w:szCs w:val="20"/>
          <w:lang w:val="es-MX"/>
        </w:rPr>
        <w:t xml:space="preserve"> último presentó una querella </w:t>
      </w:r>
      <w:r w:rsidR="00E74134" w:rsidRPr="00616B34">
        <w:rPr>
          <w:rFonts w:ascii="Cambria" w:hAnsi="Cambria"/>
          <w:sz w:val="20"/>
          <w:szCs w:val="20"/>
          <w:lang w:val="es-MX"/>
        </w:rPr>
        <w:t>por la comisión del delito de calumnias y difa</w:t>
      </w:r>
      <w:r w:rsidR="00355E94" w:rsidRPr="00616B34">
        <w:rPr>
          <w:rFonts w:ascii="Cambria" w:hAnsi="Cambria"/>
          <w:sz w:val="20"/>
          <w:szCs w:val="20"/>
          <w:lang w:val="es-MX"/>
        </w:rPr>
        <w:t>m</w:t>
      </w:r>
      <w:r w:rsidR="00E74134" w:rsidRPr="00616B34">
        <w:rPr>
          <w:rFonts w:ascii="Cambria" w:hAnsi="Cambria"/>
          <w:sz w:val="20"/>
          <w:szCs w:val="20"/>
          <w:lang w:val="es-MX"/>
        </w:rPr>
        <w:t xml:space="preserve">ación por medio de prensa en contra de los periodistas y del ministro que confirmó la </w:t>
      </w:r>
      <w:r w:rsidR="00E74134" w:rsidRPr="00616B34">
        <w:rPr>
          <w:rFonts w:ascii="Cambria" w:hAnsi="Cambria"/>
          <w:sz w:val="20"/>
          <w:szCs w:val="20"/>
          <w:lang w:val="es-MX"/>
        </w:rPr>
        <w:lastRenderedPageBreak/>
        <w:t xml:space="preserve">información, así como una </w:t>
      </w:r>
      <w:r w:rsidR="00355E94" w:rsidRPr="00616B34">
        <w:rPr>
          <w:rFonts w:ascii="Cambria" w:hAnsi="Cambria"/>
          <w:sz w:val="20"/>
          <w:szCs w:val="20"/>
          <w:lang w:val="es-MX"/>
        </w:rPr>
        <w:t>acción civil resarcitoria</w:t>
      </w:r>
      <w:r w:rsidR="00C738F8" w:rsidRPr="00616B34">
        <w:rPr>
          <w:rFonts w:ascii="Cambria" w:hAnsi="Cambria"/>
          <w:sz w:val="20"/>
          <w:szCs w:val="20"/>
          <w:lang w:val="es-MX"/>
        </w:rPr>
        <w:t xml:space="preserve"> </w:t>
      </w:r>
      <w:r w:rsidR="0002403F" w:rsidRPr="00616B34">
        <w:rPr>
          <w:rFonts w:ascii="Cambria" w:hAnsi="Cambria"/>
          <w:sz w:val="20"/>
          <w:szCs w:val="20"/>
          <w:lang w:val="es-MX"/>
        </w:rPr>
        <w:t xml:space="preserve">en contra de estos, del diario La Nación y del Estado, </w:t>
      </w:r>
      <w:r w:rsidR="00C738F8" w:rsidRPr="00616B34">
        <w:rPr>
          <w:rFonts w:ascii="Cambria" w:hAnsi="Cambria"/>
          <w:sz w:val="20"/>
          <w:szCs w:val="20"/>
          <w:lang w:val="es-MX"/>
        </w:rPr>
        <w:t xml:space="preserve">debido a </w:t>
      </w:r>
      <w:r w:rsidR="008A6040">
        <w:rPr>
          <w:rFonts w:ascii="Cambria" w:hAnsi="Cambria"/>
          <w:sz w:val="20"/>
          <w:szCs w:val="20"/>
          <w:lang w:val="es-MX"/>
        </w:rPr>
        <w:t xml:space="preserve">la </w:t>
      </w:r>
      <w:r w:rsidR="00784266">
        <w:rPr>
          <w:rFonts w:ascii="Cambria" w:hAnsi="Cambria"/>
          <w:sz w:val="20"/>
          <w:szCs w:val="20"/>
          <w:lang w:val="es-MX"/>
        </w:rPr>
        <w:t xml:space="preserve">alegada </w:t>
      </w:r>
      <w:r w:rsidR="008A6040">
        <w:rPr>
          <w:rFonts w:ascii="Cambria" w:hAnsi="Cambria"/>
          <w:sz w:val="20"/>
          <w:szCs w:val="20"/>
          <w:lang w:val="es-MX"/>
        </w:rPr>
        <w:t>existencia de falsedad respecto a la información que lo involucraba</w:t>
      </w:r>
      <w:r w:rsidR="00355E94" w:rsidRPr="00616B34">
        <w:rPr>
          <w:rFonts w:ascii="Cambria" w:hAnsi="Cambria"/>
          <w:sz w:val="20"/>
          <w:szCs w:val="20"/>
          <w:lang w:val="es-MX"/>
        </w:rPr>
        <w:t xml:space="preserve">. </w:t>
      </w:r>
    </w:p>
    <w:p w14:paraId="57676D04" w14:textId="77777777" w:rsidR="008D4A0F" w:rsidRPr="00616B34" w:rsidRDefault="008D4A0F" w:rsidP="00540E9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i/>
          <w:iCs/>
          <w:spacing w:val="-2"/>
          <w:sz w:val="20"/>
          <w:szCs w:val="20"/>
          <w:lang w:val="es-ES_tradnl"/>
        </w:rPr>
      </w:pPr>
    </w:p>
    <w:p w14:paraId="35CE06E6" w14:textId="77777777" w:rsidR="009332EF" w:rsidRPr="00540E96" w:rsidRDefault="0002403F" w:rsidP="009332E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i/>
          <w:iCs/>
          <w:spacing w:val="-2"/>
          <w:sz w:val="20"/>
          <w:szCs w:val="20"/>
          <w:lang w:val="es-ES_tradnl"/>
        </w:rPr>
      </w:pPr>
      <w:r w:rsidRPr="00616B34">
        <w:rPr>
          <w:rFonts w:ascii="Cambria" w:hAnsi="Cambria"/>
          <w:sz w:val="20"/>
          <w:szCs w:val="20"/>
          <w:lang w:val="es-MX"/>
        </w:rPr>
        <w:t>L</w:t>
      </w:r>
      <w:r w:rsidR="00355E94" w:rsidRPr="00616B34">
        <w:rPr>
          <w:rFonts w:ascii="Cambria" w:hAnsi="Cambria"/>
          <w:sz w:val="20"/>
          <w:szCs w:val="20"/>
          <w:lang w:val="es-MX"/>
        </w:rPr>
        <w:t xml:space="preserve">os periodistas </w:t>
      </w:r>
      <w:r w:rsidR="00484C10" w:rsidRPr="00616B34">
        <w:rPr>
          <w:rFonts w:ascii="Cambria" w:hAnsi="Cambria"/>
          <w:sz w:val="20"/>
          <w:szCs w:val="20"/>
          <w:lang w:val="es-MX"/>
        </w:rPr>
        <w:t xml:space="preserve">y el ministro </w:t>
      </w:r>
      <w:r w:rsidR="00355E94" w:rsidRPr="00616B34">
        <w:rPr>
          <w:rFonts w:ascii="Cambria" w:hAnsi="Cambria"/>
          <w:sz w:val="20"/>
          <w:szCs w:val="20"/>
          <w:lang w:val="es-MX"/>
        </w:rPr>
        <w:t xml:space="preserve">fueron </w:t>
      </w:r>
      <w:r w:rsidR="00FD36DB" w:rsidRPr="00616B34">
        <w:rPr>
          <w:rFonts w:ascii="Cambria" w:hAnsi="Cambria"/>
          <w:sz w:val="20"/>
          <w:szCs w:val="20"/>
          <w:lang w:val="es-MX"/>
        </w:rPr>
        <w:t>absueltos</w:t>
      </w:r>
      <w:r w:rsidR="00DB27A8" w:rsidRPr="00616B34">
        <w:rPr>
          <w:rFonts w:ascii="Cambria" w:hAnsi="Cambria"/>
          <w:sz w:val="20"/>
          <w:szCs w:val="20"/>
          <w:lang w:val="es-MX"/>
        </w:rPr>
        <w:t xml:space="preserve"> por ausencia de dolo</w:t>
      </w:r>
      <w:r w:rsidR="00FD36DB" w:rsidRPr="00616B34">
        <w:rPr>
          <w:rFonts w:ascii="Cambria" w:hAnsi="Cambria"/>
          <w:sz w:val="20"/>
          <w:szCs w:val="20"/>
          <w:lang w:val="es-MX"/>
        </w:rPr>
        <w:t>,</w:t>
      </w:r>
      <w:r w:rsidR="00743856" w:rsidRPr="00616B34">
        <w:rPr>
          <w:rFonts w:ascii="Cambria" w:hAnsi="Cambria"/>
          <w:sz w:val="20"/>
          <w:szCs w:val="20"/>
          <w:lang w:val="es-MX"/>
        </w:rPr>
        <w:t xml:space="preserve"> </w:t>
      </w:r>
      <w:r w:rsidR="00DB27A8" w:rsidRPr="00616B34">
        <w:rPr>
          <w:rFonts w:ascii="Cambria" w:hAnsi="Cambria"/>
          <w:sz w:val="20"/>
          <w:szCs w:val="20"/>
          <w:lang w:val="es-MX"/>
        </w:rPr>
        <w:t>sin embargo</w:t>
      </w:r>
      <w:r w:rsidR="007C35EA" w:rsidRPr="00616B34">
        <w:rPr>
          <w:rFonts w:ascii="Cambria" w:hAnsi="Cambria"/>
          <w:sz w:val="20"/>
          <w:szCs w:val="20"/>
          <w:lang w:val="es-MX"/>
        </w:rPr>
        <w:t>, en el marco de ese mismo proceso penal,</w:t>
      </w:r>
      <w:r w:rsidR="00743856" w:rsidRPr="00616B34">
        <w:rPr>
          <w:rFonts w:ascii="Cambria" w:hAnsi="Cambria"/>
          <w:sz w:val="20"/>
          <w:szCs w:val="20"/>
          <w:lang w:val="es-MX"/>
        </w:rPr>
        <w:t xml:space="preserve"> </w:t>
      </w:r>
      <w:r w:rsidR="00D80857" w:rsidRPr="00616B34">
        <w:rPr>
          <w:rFonts w:ascii="Cambria" w:hAnsi="Cambria"/>
          <w:sz w:val="20"/>
          <w:szCs w:val="20"/>
          <w:lang w:val="es-MX"/>
        </w:rPr>
        <w:t xml:space="preserve">fueron </w:t>
      </w:r>
      <w:r w:rsidR="00743856" w:rsidRPr="00616B34">
        <w:rPr>
          <w:rFonts w:ascii="Cambria" w:hAnsi="Cambria"/>
          <w:sz w:val="20"/>
          <w:szCs w:val="20"/>
          <w:lang w:val="es-MX"/>
        </w:rPr>
        <w:t>condenados a</w:t>
      </w:r>
      <w:r w:rsidR="006E643C" w:rsidRPr="00616B34">
        <w:rPr>
          <w:rFonts w:ascii="Cambria" w:hAnsi="Cambria"/>
          <w:sz w:val="20"/>
          <w:szCs w:val="20"/>
          <w:lang w:val="es-MX"/>
        </w:rPr>
        <w:t>l pago</w:t>
      </w:r>
      <w:r w:rsidR="000E0877" w:rsidRPr="00616B34">
        <w:rPr>
          <w:rFonts w:ascii="Cambria" w:hAnsi="Cambria"/>
          <w:sz w:val="20"/>
          <w:szCs w:val="20"/>
          <w:lang w:val="es-MX"/>
        </w:rPr>
        <w:t>,</w:t>
      </w:r>
      <w:r w:rsidR="006E643C" w:rsidRPr="00616B34">
        <w:rPr>
          <w:rFonts w:ascii="Cambria" w:hAnsi="Cambria"/>
          <w:sz w:val="20"/>
          <w:szCs w:val="20"/>
          <w:lang w:val="es-MX"/>
        </w:rPr>
        <w:t xml:space="preserve"> </w:t>
      </w:r>
      <w:r w:rsidR="00F536C1" w:rsidRPr="00616B34">
        <w:rPr>
          <w:rFonts w:ascii="Cambria" w:hAnsi="Cambria"/>
          <w:sz w:val="20"/>
          <w:szCs w:val="20"/>
          <w:lang w:val="es-MX"/>
        </w:rPr>
        <w:t>de forma solidaria</w:t>
      </w:r>
      <w:r w:rsidR="000E0877" w:rsidRPr="00616B34">
        <w:rPr>
          <w:rFonts w:ascii="Cambria" w:hAnsi="Cambria"/>
          <w:sz w:val="20"/>
          <w:szCs w:val="20"/>
          <w:lang w:val="es-MX"/>
        </w:rPr>
        <w:t>,</w:t>
      </w:r>
      <w:r w:rsidR="00F536C1" w:rsidRPr="00616B34">
        <w:rPr>
          <w:rFonts w:ascii="Cambria" w:hAnsi="Cambria"/>
          <w:sz w:val="20"/>
          <w:szCs w:val="20"/>
          <w:lang w:val="es-MX"/>
        </w:rPr>
        <w:t xml:space="preserve"> </w:t>
      </w:r>
      <w:r w:rsidR="006E643C" w:rsidRPr="00616B34">
        <w:rPr>
          <w:rFonts w:ascii="Cambria" w:hAnsi="Cambria"/>
          <w:sz w:val="20"/>
          <w:szCs w:val="20"/>
          <w:lang w:val="es-MX"/>
        </w:rPr>
        <w:t>de cinco millones de colones por concepto de indemnización civil por daño moral</w:t>
      </w:r>
      <w:r w:rsidR="00F536C1" w:rsidRPr="00616B34">
        <w:rPr>
          <w:rFonts w:ascii="Cambria" w:hAnsi="Cambria"/>
          <w:sz w:val="20"/>
          <w:szCs w:val="20"/>
          <w:lang w:val="es-MX"/>
        </w:rPr>
        <w:t xml:space="preserve">, junto con el diario La Nación y el Estado. En el caso de los periodistas, </w:t>
      </w:r>
      <w:r w:rsidR="00377E97" w:rsidRPr="00616B34">
        <w:rPr>
          <w:rFonts w:ascii="Cambria" w:hAnsi="Cambria"/>
          <w:sz w:val="20"/>
          <w:szCs w:val="20"/>
          <w:lang w:val="es-MX"/>
        </w:rPr>
        <w:t xml:space="preserve">el </w:t>
      </w:r>
      <w:r w:rsidR="00784266">
        <w:rPr>
          <w:rFonts w:ascii="Cambria" w:hAnsi="Cambria"/>
          <w:sz w:val="20"/>
          <w:szCs w:val="20"/>
          <w:lang w:val="es-MX"/>
        </w:rPr>
        <w:t>T</w:t>
      </w:r>
      <w:r w:rsidR="00377E97" w:rsidRPr="00616B34">
        <w:rPr>
          <w:rFonts w:ascii="Cambria" w:hAnsi="Cambria"/>
          <w:sz w:val="20"/>
          <w:szCs w:val="20"/>
          <w:lang w:val="es-MX"/>
        </w:rPr>
        <w:t xml:space="preserve">ribunal </w:t>
      </w:r>
      <w:r w:rsidR="003B003D" w:rsidRPr="00616B34">
        <w:rPr>
          <w:rFonts w:ascii="Cambria" w:hAnsi="Cambria"/>
          <w:sz w:val="20"/>
          <w:szCs w:val="20"/>
          <w:lang w:val="es-MX"/>
        </w:rPr>
        <w:t>les atribuyó la sanción por</w:t>
      </w:r>
      <w:r w:rsidR="00377E97" w:rsidRPr="00616B34">
        <w:rPr>
          <w:rFonts w:ascii="Cambria" w:hAnsi="Cambria"/>
          <w:sz w:val="20"/>
          <w:szCs w:val="20"/>
          <w:lang w:val="es-MX"/>
        </w:rPr>
        <w:t xml:space="preserve"> haber</w:t>
      </w:r>
      <w:r w:rsidR="00355E94" w:rsidRPr="00616B34">
        <w:rPr>
          <w:rFonts w:ascii="Cambria" w:hAnsi="Cambria"/>
          <w:sz w:val="20"/>
          <w:szCs w:val="20"/>
          <w:lang w:val="es-MX"/>
        </w:rPr>
        <w:t xml:space="preserve"> publicado información que </w:t>
      </w:r>
      <w:r w:rsidR="00697B3E" w:rsidRPr="00616B34">
        <w:rPr>
          <w:rFonts w:ascii="Cambria" w:hAnsi="Cambria"/>
          <w:sz w:val="20"/>
          <w:szCs w:val="20"/>
          <w:lang w:val="es-MX"/>
        </w:rPr>
        <w:t>generó daño en el honor y la reputación del policía</w:t>
      </w:r>
      <w:r w:rsidR="00377E97" w:rsidRPr="00616B34">
        <w:rPr>
          <w:rFonts w:ascii="Cambria" w:hAnsi="Cambria"/>
          <w:sz w:val="20"/>
          <w:szCs w:val="20"/>
          <w:lang w:val="es-MX"/>
        </w:rPr>
        <w:t xml:space="preserve"> denunciante</w:t>
      </w:r>
      <w:r w:rsidR="00697B3E" w:rsidRPr="00616B34">
        <w:rPr>
          <w:rFonts w:ascii="Cambria" w:hAnsi="Cambria"/>
          <w:sz w:val="20"/>
          <w:szCs w:val="20"/>
          <w:lang w:val="es-MX"/>
        </w:rPr>
        <w:t xml:space="preserve"> </w:t>
      </w:r>
      <w:r w:rsidR="002C25E2" w:rsidRPr="00616B34">
        <w:rPr>
          <w:rFonts w:ascii="Cambria" w:hAnsi="Cambria"/>
          <w:sz w:val="20"/>
          <w:szCs w:val="20"/>
          <w:lang w:val="es-MX"/>
        </w:rPr>
        <w:t xml:space="preserve">sin haber confirmado </w:t>
      </w:r>
      <w:r w:rsidR="008B40B6" w:rsidRPr="00616B34">
        <w:rPr>
          <w:rFonts w:ascii="Cambria" w:hAnsi="Cambria"/>
          <w:sz w:val="20"/>
          <w:szCs w:val="20"/>
          <w:lang w:val="es-MX"/>
        </w:rPr>
        <w:t xml:space="preserve">la noticia </w:t>
      </w:r>
      <w:r w:rsidR="00144BC0" w:rsidRPr="00616B34">
        <w:rPr>
          <w:rFonts w:ascii="Cambria" w:hAnsi="Cambria"/>
          <w:sz w:val="20"/>
          <w:szCs w:val="20"/>
          <w:lang w:val="es-MX"/>
        </w:rPr>
        <w:t>con la debida diligencia</w:t>
      </w:r>
      <w:r w:rsidR="00D80857" w:rsidRPr="00616B34">
        <w:rPr>
          <w:rFonts w:ascii="Cambria" w:hAnsi="Cambria"/>
          <w:sz w:val="20"/>
          <w:szCs w:val="20"/>
          <w:lang w:val="es-MX"/>
        </w:rPr>
        <w:t>.</w:t>
      </w:r>
      <w:r w:rsidR="00F536C1" w:rsidRPr="00616B34">
        <w:rPr>
          <w:rFonts w:ascii="Cambria" w:hAnsi="Cambria"/>
          <w:sz w:val="20"/>
          <w:szCs w:val="20"/>
          <w:lang w:val="es-MX"/>
        </w:rPr>
        <w:t xml:space="preserve"> </w:t>
      </w:r>
      <w:r w:rsidR="00484C10" w:rsidRPr="00616B34">
        <w:rPr>
          <w:rFonts w:ascii="Cambria" w:hAnsi="Cambria"/>
          <w:sz w:val="20"/>
          <w:szCs w:val="20"/>
          <w:lang w:val="es-MX"/>
        </w:rPr>
        <w:t xml:space="preserve">Asimismo, </w:t>
      </w:r>
      <w:r w:rsidR="00F536C1" w:rsidRPr="00616B34">
        <w:rPr>
          <w:rFonts w:ascii="Cambria" w:hAnsi="Cambria"/>
          <w:sz w:val="20"/>
          <w:szCs w:val="20"/>
          <w:lang w:val="es-MX"/>
        </w:rPr>
        <w:t>el ministro fue sancionado por confirmar información</w:t>
      </w:r>
      <w:r w:rsidR="00F536C1" w:rsidRPr="00540E96">
        <w:rPr>
          <w:rFonts w:ascii="Cambria" w:hAnsi="Cambria"/>
          <w:sz w:val="20"/>
          <w:szCs w:val="20"/>
          <w:lang w:val="es-MX"/>
        </w:rPr>
        <w:t xml:space="preserve"> que terminó siendo errónea. El monto ordenado por reparación civil y por concepto de costas fue pagado por el diario La Nación al</w:t>
      </w:r>
      <w:r w:rsidR="000E0877" w:rsidRPr="00540E96">
        <w:rPr>
          <w:rFonts w:ascii="Cambria" w:hAnsi="Cambria"/>
          <w:sz w:val="20"/>
          <w:szCs w:val="20"/>
          <w:lang w:val="es-MX"/>
        </w:rPr>
        <w:t xml:space="preserve"> señor Trejos Rodríguez, de conformidad con lo ordenado por la sentencia interna.</w:t>
      </w:r>
      <w:r w:rsidR="00EB0406" w:rsidRPr="00540E96">
        <w:rPr>
          <w:rFonts w:ascii="Cambria" w:hAnsi="Cambria"/>
          <w:sz w:val="20"/>
          <w:szCs w:val="20"/>
          <w:lang w:val="es-MX"/>
        </w:rPr>
        <w:t xml:space="preserve"> La Comisión resalta que si bien la sanción civil fue </w:t>
      </w:r>
      <w:r w:rsidR="00370EE8" w:rsidRPr="00540E96">
        <w:rPr>
          <w:rFonts w:ascii="Cambria" w:hAnsi="Cambria"/>
          <w:sz w:val="20"/>
          <w:szCs w:val="20"/>
          <w:lang w:val="es-MX"/>
        </w:rPr>
        <w:t>dictada</w:t>
      </w:r>
      <w:r w:rsidR="00EB0406" w:rsidRPr="00540E96">
        <w:rPr>
          <w:rFonts w:ascii="Cambria" w:hAnsi="Cambria"/>
          <w:sz w:val="20"/>
          <w:szCs w:val="20"/>
          <w:lang w:val="es-MX"/>
        </w:rPr>
        <w:t xml:space="preserve"> en contra de los periodistas, el ministro, el diario La Nación y el propio Estado, </w:t>
      </w:r>
      <w:r w:rsidR="00E84410" w:rsidRPr="00540E96">
        <w:rPr>
          <w:rFonts w:ascii="Cambria" w:hAnsi="Cambria"/>
          <w:sz w:val="20"/>
          <w:szCs w:val="20"/>
          <w:lang w:val="es-MX"/>
        </w:rPr>
        <w:t>la petición fue presentada solo respecto de los periodistas Ronald Moya Chacón y Freddy Parrales Chaves, por lo que el presente caso se centrará en analizar las alegadas violaciones cometidas en contra de ellos.</w:t>
      </w:r>
    </w:p>
    <w:p w14:paraId="3BEB743B" w14:textId="77777777" w:rsidR="00FD36DB" w:rsidRPr="00540E96" w:rsidRDefault="00FD36DB" w:rsidP="00FD36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i/>
          <w:iCs/>
          <w:spacing w:val="-2"/>
          <w:sz w:val="20"/>
          <w:szCs w:val="20"/>
          <w:lang w:val="es-ES_tradnl"/>
        </w:rPr>
      </w:pPr>
    </w:p>
    <w:p w14:paraId="52D6CAA2" w14:textId="77777777" w:rsidR="00486857" w:rsidRPr="00E239D8" w:rsidRDefault="009332EF" w:rsidP="00EB3AD1">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MX"/>
        </w:rPr>
      </w:pPr>
      <w:r w:rsidRPr="00540E96">
        <w:rPr>
          <w:rFonts w:ascii="Cambria" w:hAnsi="Cambria"/>
          <w:spacing w:val="-2"/>
          <w:sz w:val="20"/>
          <w:szCs w:val="20"/>
          <w:lang w:val="es-ES_tradnl"/>
        </w:rPr>
        <w:t xml:space="preserve">En el presente caso, </w:t>
      </w:r>
      <w:r w:rsidR="00486857" w:rsidRPr="00540E96">
        <w:rPr>
          <w:rFonts w:ascii="Cambria" w:hAnsi="Cambria"/>
          <w:sz w:val="20"/>
          <w:szCs w:val="20"/>
          <w:lang w:val="es-MX"/>
        </w:rPr>
        <w:t xml:space="preserve">la Comisión considera que el principal problema jurídico que debe resolver es si </w:t>
      </w:r>
      <w:r w:rsidR="00771FA3" w:rsidRPr="00540E96">
        <w:rPr>
          <w:rFonts w:ascii="Cambria" w:hAnsi="Cambria"/>
          <w:sz w:val="20"/>
          <w:szCs w:val="20"/>
          <w:lang w:val="es-MX"/>
        </w:rPr>
        <w:t xml:space="preserve">el proceso penal </w:t>
      </w:r>
      <w:r w:rsidR="00665C89" w:rsidRPr="00540E96">
        <w:rPr>
          <w:rFonts w:ascii="Cambria" w:hAnsi="Cambria"/>
          <w:sz w:val="20"/>
          <w:szCs w:val="20"/>
          <w:lang w:val="es-MX"/>
        </w:rPr>
        <w:t xml:space="preserve">por calumnias y difamación por medio de la prensa </w:t>
      </w:r>
      <w:r w:rsidR="00771FA3" w:rsidRPr="00540E96">
        <w:rPr>
          <w:rFonts w:ascii="Cambria" w:hAnsi="Cambria"/>
          <w:sz w:val="20"/>
          <w:szCs w:val="20"/>
          <w:lang w:val="es-MX"/>
        </w:rPr>
        <w:t>iniciado en contra de los periodistas Moya Chac</w:t>
      </w:r>
      <w:r w:rsidR="00ED32E0" w:rsidRPr="00540E96">
        <w:rPr>
          <w:rFonts w:ascii="Cambria" w:hAnsi="Cambria"/>
          <w:sz w:val="20"/>
          <w:szCs w:val="20"/>
          <w:lang w:val="es-MX"/>
        </w:rPr>
        <w:t>ó</w:t>
      </w:r>
      <w:r w:rsidR="00771FA3" w:rsidRPr="00540E96">
        <w:rPr>
          <w:rFonts w:ascii="Cambria" w:hAnsi="Cambria"/>
          <w:sz w:val="20"/>
          <w:szCs w:val="20"/>
          <w:lang w:val="es-MX"/>
        </w:rPr>
        <w:t>n y Parrales Chave</w:t>
      </w:r>
      <w:r w:rsidR="00ED32E0" w:rsidRPr="00540E96">
        <w:rPr>
          <w:rFonts w:ascii="Cambria" w:hAnsi="Cambria"/>
          <w:sz w:val="20"/>
          <w:szCs w:val="20"/>
          <w:lang w:val="es-MX"/>
        </w:rPr>
        <w:t>s</w:t>
      </w:r>
      <w:r w:rsidR="00771FA3" w:rsidRPr="00540E96">
        <w:rPr>
          <w:rFonts w:ascii="Cambria" w:hAnsi="Cambria"/>
          <w:sz w:val="20"/>
          <w:szCs w:val="20"/>
          <w:lang w:val="es-MX"/>
        </w:rPr>
        <w:t xml:space="preserve">, así como </w:t>
      </w:r>
      <w:r w:rsidR="00486857" w:rsidRPr="00540E96">
        <w:rPr>
          <w:rFonts w:ascii="Cambria" w:hAnsi="Cambria"/>
          <w:sz w:val="20"/>
          <w:szCs w:val="20"/>
          <w:lang w:val="es-MX"/>
        </w:rPr>
        <w:t>la condena de tipo civil</w:t>
      </w:r>
      <w:r w:rsidR="00ED32E0" w:rsidRPr="00540E96">
        <w:rPr>
          <w:rFonts w:ascii="Cambria" w:hAnsi="Cambria"/>
          <w:sz w:val="20"/>
          <w:szCs w:val="20"/>
          <w:lang w:val="es-MX"/>
        </w:rPr>
        <w:t xml:space="preserve"> dictada</w:t>
      </w:r>
      <w:r w:rsidR="00486857" w:rsidRPr="00540E96">
        <w:rPr>
          <w:rFonts w:ascii="Cambria" w:hAnsi="Cambria"/>
          <w:sz w:val="20"/>
          <w:szCs w:val="20"/>
          <w:lang w:val="es-MX"/>
        </w:rPr>
        <w:t xml:space="preserve"> en el marco del </w:t>
      </w:r>
      <w:r w:rsidR="00665C89" w:rsidRPr="00540E96">
        <w:rPr>
          <w:rFonts w:ascii="Cambria" w:hAnsi="Cambria"/>
          <w:sz w:val="20"/>
          <w:szCs w:val="20"/>
          <w:lang w:val="es-MX"/>
        </w:rPr>
        <w:t xml:space="preserve">dicho </w:t>
      </w:r>
      <w:r w:rsidR="00486857" w:rsidRPr="00540E96">
        <w:rPr>
          <w:rFonts w:ascii="Cambria" w:hAnsi="Cambria"/>
          <w:sz w:val="20"/>
          <w:szCs w:val="20"/>
          <w:lang w:val="es-MX"/>
        </w:rPr>
        <w:t>proceso</w:t>
      </w:r>
      <w:r w:rsidR="00DC40FA" w:rsidRPr="00540E96">
        <w:rPr>
          <w:rFonts w:ascii="Cambria" w:hAnsi="Cambria"/>
          <w:sz w:val="20"/>
          <w:szCs w:val="20"/>
          <w:lang w:val="es-MX"/>
        </w:rPr>
        <w:t xml:space="preserve"> </w:t>
      </w:r>
      <w:r w:rsidR="000B36E8" w:rsidRPr="00540E96">
        <w:rPr>
          <w:rFonts w:ascii="Cambria" w:hAnsi="Cambria"/>
          <w:sz w:val="20"/>
          <w:szCs w:val="20"/>
          <w:lang w:val="es-MX"/>
        </w:rPr>
        <w:t>se llevaron a cabo</w:t>
      </w:r>
      <w:r w:rsidR="00486857" w:rsidRPr="00540E96">
        <w:rPr>
          <w:rFonts w:ascii="Cambria" w:hAnsi="Cambria"/>
          <w:sz w:val="20"/>
          <w:szCs w:val="20"/>
          <w:lang w:val="es-MX"/>
        </w:rPr>
        <w:t xml:space="preserve"> de conformidad con el artículo 13 de la Convención Americana. En este sentido, la Comisión establec</w:t>
      </w:r>
      <w:r w:rsidR="00F334CF" w:rsidRPr="00540E96">
        <w:rPr>
          <w:rFonts w:ascii="Cambria" w:hAnsi="Cambria"/>
          <w:sz w:val="20"/>
          <w:szCs w:val="20"/>
          <w:lang w:val="es-MX"/>
        </w:rPr>
        <w:t>ió en párrafos precedente</w:t>
      </w:r>
      <w:r w:rsidR="00784266">
        <w:rPr>
          <w:rFonts w:ascii="Cambria" w:hAnsi="Cambria"/>
          <w:sz w:val="20"/>
          <w:szCs w:val="20"/>
          <w:lang w:val="es-MX"/>
        </w:rPr>
        <w:t>s</w:t>
      </w:r>
      <w:r w:rsidR="00F334CF" w:rsidRPr="00540E96">
        <w:rPr>
          <w:rFonts w:ascii="Cambria" w:hAnsi="Cambria"/>
          <w:sz w:val="20"/>
          <w:szCs w:val="20"/>
          <w:lang w:val="es-MX"/>
        </w:rPr>
        <w:t xml:space="preserve"> que</w:t>
      </w:r>
      <w:r w:rsidR="00486857" w:rsidRPr="00540E96">
        <w:rPr>
          <w:rFonts w:ascii="Cambria" w:hAnsi="Cambria"/>
          <w:sz w:val="20"/>
          <w:szCs w:val="20"/>
          <w:lang w:val="es-MX"/>
        </w:rPr>
        <w:t xml:space="preserve"> </w:t>
      </w:r>
      <w:r w:rsidR="00F334CF" w:rsidRPr="00540E96">
        <w:rPr>
          <w:rFonts w:ascii="Cambria" w:hAnsi="Cambria"/>
          <w:sz w:val="20"/>
          <w:szCs w:val="20"/>
          <w:lang w:val="es-MX"/>
        </w:rPr>
        <w:t xml:space="preserve">la protección de la libertad de </w:t>
      </w:r>
      <w:r w:rsidR="00F334CF" w:rsidRPr="00E239D8">
        <w:rPr>
          <w:rFonts w:ascii="Cambria" w:hAnsi="Cambria"/>
          <w:sz w:val="20"/>
          <w:szCs w:val="20"/>
          <w:lang w:val="es-MX"/>
        </w:rPr>
        <w:t xml:space="preserve">expresión </w:t>
      </w:r>
      <w:r w:rsidR="003B003D" w:rsidRPr="00E239D8">
        <w:rPr>
          <w:rFonts w:ascii="Cambria" w:hAnsi="Cambria"/>
          <w:sz w:val="20"/>
          <w:szCs w:val="20"/>
          <w:lang w:val="es-MX"/>
        </w:rPr>
        <w:t>alcanza a</w:t>
      </w:r>
      <w:r w:rsidR="00486857" w:rsidRPr="00E239D8">
        <w:rPr>
          <w:rFonts w:ascii="Cambria" w:hAnsi="Cambria"/>
          <w:sz w:val="20"/>
          <w:szCs w:val="20"/>
          <w:lang w:val="es-MX"/>
        </w:rPr>
        <w:t xml:space="preserve"> la información </w:t>
      </w:r>
      <w:r w:rsidR="003B003D" w:rsidRPr="00E239D8">
        <w:rPr>
          <w:rFonts w:ascii="Cambria" w:hAnsi="Cambria"/>
          <w:sz w:val="20"/>
          <w:szCs w:val="20"/>
          <w:lang w:val="es-MX"/>
        </w:rPr>
        <w:t xml:space="preserve">de interés público, </w:t>
      </w:r>
      <w:r w:rsidR="00E239D8" w:rsidRPr="00E239D8">
        <w:rPr>
          <w:rFonts w:ascii="Cambria" w:hAnsi="Cambria"/>
          <w:sz w:val="20"/>
          <w:szCs w:val="20"/>
          <w:lang w:val="es-MX"/>
        </w:rPr>
        <w:t>aun</w:t>
      </w:r>
      <w:r w:rsidR="003B003D" w:rsidRPr="00E239D8">
        <w:rPr>
          <w:rFonts w:ascii="Cambria" w:hAnsi="Cambria"/>
          <w:sz w:val="20"/>
          <w:szCs w:val="20"/>
          <w:lang w:val="es-MX"/>
        </w:rPr>
        <w:t xml:space="preserve"> cuando contenga inexactitudes o errores</w:t>
      </w:r>
      <w:r w:rsidR="00377E97" w:rsidRPr="00E239D8">
        <w:rPr>
          <w:rFonts w:ascii="Cambria" w:hAnsi="Cambria"/>
          <w:sz w:val="20"/>
          <w:szCs w:val="20"/>
          <w:lang w:val="es-MX"/>
        </w:rPr>
        <w:t xml:space="preserve">, </w:t>
      </w:r>
      <w:r w:rsidR="003B003D" w:rsidRPr="00E239D8">
        <w:rPr>
          <w:rFonts w:ascii="Cambria" w:hAnsi="Cambria"/>
          <w:sz w:val="20"/>
          <w:szCs w:val="20"/>
          <w:lang w:val="es-MX"/>
        </w:rPr>
        <w:t>siempre que no</w:t>
      </w:r>
      <w:r w:rsidR="00377E97" w:rsidRPr="00E239D8">
        <w:rPr>
          <w:rFonts w:ascii="Cambria" w:hAnsi="Cambria"/>
          <w:sz w:val="20"/>
          <w:szCs w:val="20"/>
          <w:lang w:val="es-MX"/>
        </w:rPr>
        <w:t xml:space="preserve"> se compruebe </w:t>
      </w:r>
      <w:r w:rsidR="004C4472">
        <w:rPr>
          <w:rFonts w:ascii="Cambria" w:hAnsi="Cambria"/>
          <w:sz w:val="20"/>
          <w:szCs w:val="20"/>
          <w:lang w:val="es-MX"/>
        </w:rPr>
        <w:t xml:space="preserve">una actuación con </w:t>
      </w:r>
      <w:r w:rsidR="00301818" w:rsidRPr="00A90180">
        <w:rPr>
          <w:rFonts w:ascii="Cambria" w:hAnsi="Cambria" w:cstheme="minorHAnsi"/>
          <w:sz w:val="20"/>
          <w:szCs w:val="20"/>
          <w:lang w:val="es-AR"/>
        </w:rPr>
        <w:t xml:space="preserve">la intención de causar daño </w:t>
      </w:r>
      <w:r w:rsidR="00301818" w:rsidRPr="00A90180">
        <w:rPr>
          <w:rFonts w:ascii="Cambria" w:hAnsi="Cambria"/>
          <w:sz w:val="20"/>
          <w:szCs w:val="20"/>
          <w:lang w:val="es-PE"/>
        </w:rPr>
        <w:t>y conocimiento de que se estaban difundiendo informaciones falsas o con un evidente desprecio por la verdad</w:t>
      </w:r>
      <w:r w:rsidR="00377E97" w:rsidRPr="00E239D8">
        <w:rPr>
          <w:rFonts w:ascii="Cambria" w:hAnsi="Cambria"/>
          <w:sz w:val="20"/>
          <w:szCs w:val="20"/>
          <w:lang w:val="es-MX"/>
        </w:rPr>
        <w:t>. En ese marco, se pasará a</w:t>
      </w:r>
      <w:r w:rsidR="003B6B74" w:rsidRPr="00E239D8">
        <w:rPr>
          <w:rFonts w:ascii="Cambria" w:hAnsi="Cambria"/>
          <w:sz w:val="20"/>
          <w:szCs w:val="20"/>
          <w:lang w:val="es-MX"/>
        </w:rPr>
        <w:t xml:space="preserve"> </w:t>
      </w:r>
      <w:r w:rsidR="00377E97" w:rsidRPr="00E239D8">
        <w:rPr>
          <w:rFonts w:ascii="Cambria" w:hAnsi="Cambria"/>
          <w:sz w:val="20"/>
          <w:szCs w:val="20"/>
          <w:lang w:val="es-MX"/>
        </w:rPr>
        <w:t xml:space="preserve">determinar </w:t>
      </w:r>
      <w:r w:rsidR="00486857" w:rsidRPr="00E239D8">
        <w:rPr>
          <w:rFonts w:ascii="Cambria" w:hAnsi="Cambria"/>
          <w:sz w:val="20"/>
          <w:szCs w:val="20"/>
          <w:lang w:val="es-MX"/>
        </w:rPr>
        <w:t xml:space="preserve">si en el caso concreto, la verificación de dicha información por parte de los periodistas fue suficiente para que se considere que su actuar </w:t>
      </w:r>
      <w:r w:rsidR="00097F1C" w:rsidRPr="00E239D8">
        <w:rPr>
          <w:rFonts w:ascii="Cambria" w:hAnsi="Cambria"/>
          <w:sz w:val="20"/>
          <w:szCs w:val="20"/>
          <w:lang w:val="es-MX"/>
        </w:rPr>
        <w:t>se enmarcó en</w:t>
      </w:r>
      <w:r w:rsidR="00F863D3" w:rsidRPr="00E239D8">
        <w:rPr>
          <w:rFonts w:ascii="Cambria" w:hAnsi="Cambria"/>
          <w:sz w:val="20"/>
          <w:szCs w:val="20"/>
          <w:lang w:val="es-MX"/>
        </w:rPr>
        <w:t xml:space="preserve"> </w:t>
      </w:r>
      <w:r w:rsidR="00486857" w:rsidRPr="00E239D8">
        <w:rPr>
          <w:rFonts w:ascii="Cambria" w:hAnsi="Cambria"/>
          <w:sz w:val="20"/>
          <w:szCs w:val="20"/>
          <w:lang w:val="es-MX"/>
        </w:rPr>
        <w:t xml:space="preserve">los parámetros de la diligencia </w:t>
      </w:r>
      <w:r w:rsidR="00E019AE" w:rsidRPr="00E239D8">
        <w:rPr>
          <w:rFonts w:ascii="Cambria" w:hAnsi="Cambria"/>
          <w:sz w:val="20"/>
          <w:szCs w:val="20"/>
          <w:lang w:val="es-MX"/>
        </w:rPr>
        <w:t>razonable</w:t>
      </w:r>
      <w:r w:rsidR="00CF2CE8" w:rsidRPr="00E239D8">
        <w:rPr>
          <w:rFonts w:ascii="Cambria" w:hAnsi="Cambria"/>
          <w:sz w:val="20"/>
          <w:szCs w:val="20"/>
          <w:lang w:val="es-MX"/>
        </w:rPr>
        <w:t xml:space="preserve">, </w:t>
      </w:r>
      <w:r w:rsidR="00486857" w:rsidRPr="00E239D8">
        <w:rPr>
          <w:rFonts w:ascii="Cambria" w:hAnsi="Cambria"/>
          <w:sz w:val="20"/>
          <w:szCs w:val="20"/>
          <w:lang w:val="es-MX"/>
        </w:rPr>
        <w:t>de acuerdo con las circunstancias del caso</w:t>
      </w:r>
      <w:r w:rsidR="00E019AE" w:rsidRPr="00E239D8">
        <w:rPr>
          <w:rFonts w:ascii="Cambria" w:hAnsi="Cambria"/>
          <w:sz w:val="20"/>
          <w:szCs w:val="20"/>
          <w:lang w:val="es-MX"/>
        </w:rPr>
        <w:t xml:space="preserve"> y los criterios establecidos </w:t>
      </w:r>
      <w:r w:rsidR="00E019AE" w:rsidRPr="00E239D8">
        <w:rPr>
          <w:rFonts w:ascii="Cambria" w:hAnsi="Cambria"/>
          <w:i/>
          <w:iCs/>
          <w:sz w:val="20"/>
          <w:szCs w:val="20"/>
          <w:lang w:val="es-MX"/>
        </w:rPr>
        <w:t>ut supra</w:t>
      </w:r>
      <w:r w:rsidR="00E019AE" w:rsidRPr="00E239D8">
        <w:rPr>
          <w:rFonts w:ascii="Cambria" w:hAnsi="Cambria"/>
          <w:sz w:val="20"/>
          <w:szCs w:val="20"/>
          <w:lang w:val="es-MX"/>
        </w:rPr>
        <w:t>.</w:t>
      </w:r>
    </w:p>
    <w:p w14:paraId="15288278" w14:textId="77777777" w:rsidR="009332EF" w:rsidRPr="00E239D8" w:rsidRDefault="009332EF" w:rsidP="003B6B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
          <w:iCs/>
          <w:spacing w:val="-2"/>
          <w:sz w:val="20"/>
          <w:szCs w:val="20"/>
          <w:lang w:val="es-ES_tradnl"/>
        </w:rPr>
      </w:pPr>
    </w:p>
    <w:p w14:paraId="4E21F25C" w14:textId="77777777" w:rsidR="009332EF" w:rsidRPr="00E239D8" w:rsidRDefault="009332EF" w:rsidP="004118F7">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i/>
          <w:iCs/>
          <w:spacing w:val="-2"/>
          <w:sz w:val="20"/>
          <w:szCs w:val="20"/>
          <w:lang w:val="es-ES_tradnl"/>
        </w:rPr>
      </w:pPr>
      <w:r w:rsidRPr="00E239D8">
        <w:rPr>
          <w:rFonts w:ascii="Cambria" w:hAnsi="Cambria"/>
          <w:sz w:val="20"/>
          <w:szCs w:val="20"/>
          <w:lang w:val="es-AR"/>
        </w:rPr>
        <w:t xml:space="preserve">Conforme a las reglas fijadas por la Convención Americana en su artículo 13.2, </w:t>
      </w:r>
      <w:r w:rsidR="003B003D" w:rsidRPr="00E239D8">
        <w:rPr>
          <w:rFonts w:ascii="Cambria" w:hAnsi="Cambria"/>
          <w:sz w:val="20"/>
          <w:szCs w:val="20"/>
          <w:lang w:val="es-AR"/>
        </w:rPr>
        <w:t>las</w:t>
      </w:r>
      <w:r w:rsidRPr="00E239D8">
        <w:rPr>
          <w:rFonts w:ascii="Cambria" w:hAnsi="Cambria"/>
          <w:sz w:val="20"/>
          <w:szCs w:val="20"/>
          <w:lang w:val="es-AR"/>
        </w:rPr>
        <w:t xml:space="preserve"> limitaciones a la libertad de expresión, para ser legítimas, deben satisfacer un estricto test tripartito, el cual exige que las sanciones: (1) estén definidas en forma precisa y clara a través de una ley formal y material preexistente</w:t>
      </w:r>
      <w:r w:rsidRPr="00E239D8">
        <w:rPr>
          <w:rStyle w:val="FootnoteReference"/>
          <w:rFonts w:ascii="Cambria" w:hAnsi="Cambria"/>
          <w:spacing w:val="-2"/>
          <w:sz w:val="20"/>
          <w:szCs w:val="20"/>
          <w:lang w:eastAsia="de-DE"/>
        </w:rPr>
        <w:footnoteReference w:id="99"/>
      </w:r>
      <w:r w:rsidRPr="00E239D8">
        <w:rPr>
          <w:rFonts w:ascii="Cambria" w:hAnsi="Cambria"/>
          <w:sz w:val="20"/>
          <w:szCs w:val="20"/>
          <w:lang w:val="es-AR"/>
        </w:rPr>
        <w:t xml:space="preserve">; (2) estén orientadas al logro de objetivos legítimos autorizados por la Convención </w:t>
      </w:r>
      <w:r w:rsidRPr="00E239D8">
        <w:rPr>
          <w:rFonts w:ascii="Cambria" w:hAnsi="Cambria"/>
          <w:spacing w:val="-2"/>
          <w:sz w:val="20"/>
          <w:szCs w:val="20"/>
          <w:lang w:val="es-ES_tradnl"/>
        </w:rPr>
        <w:t>(“el respeto a los derechos o a la reputación de los demás” o “la protección de la seguridad nacional, el orden público o la salud o la moral públicas”)</w:t>
      </w:r>
      <w:r w:rsidRPr="00E239D8">
        <w:rPr>
          <w:rFonts w:ascii="Cambria" w:hAnsi="Cambria"/>
          <w:sz w:val="20"/>
          <w:szCs w:val="20"/>
          <w:lang w:val="es-AR"/>
        </w:rPr>
        <w:t xml:space="preserve">; y (3) </w:t>
      </w:r>
      <w:r w:rsidRPr="00E239D8">
        <w:rPr>
          <w:rFonts w:ascii="Cambria" w:hAnsi="Cambria"/>
          <w:spacing w:val="-2"/>
          <w:sz w:val="20"/>
          <w:szCs w:val="20"/>
          <w:lang w:val="es-ES_tradnl"/>
        </w:rPr>
        <w:t xml:space="preserve">ser necesarias en una sociedad democrática (para lo cual deben </w:t>
      </w:r>
      <w:r w:rsidRPr="00E239D8">
        <w:rPr>
          <w:rFonts w:ascii="Cambria" w:hAnsi="Cambria"/>
          <w:spacing w:val="-2"/>
          <w:sz w:val="20"/>
          <w:szCs w:val="20"/>
          <w:lang w:val="es-PE" w:eastAsia="de-DE"/>
        </w:rPr>
        <w:t>cumplir con los requisitos de idoneidad, necesidad y proporcionalidad</w:t>
      </w:r>
      <w:r w:rsidRPr="00E239D8">
        <w:rPr>
          <w:rFonts w:ascii="Cambria" w:hAnsi="Cambria"/>
          <w:spacing w:val="-2"/>
          <w:sz w:val="20"/>
          <w:szCs w:val="20"/>
          <w:vertAlign w:val="superscript"/>
          <w:lang w:eastAsia="de-DE"/>
        </w:rPr>
        <w:footnoteReference w:id="100"/>
      </w:r>
      <w:r w:rsidRPr="00E239D8">
        <w:rPr>
          <w:rFonts w:ascii="Cambria" w:hAnsi="Cambria"/>
          <w:spacing w:val="-2"/>
          <w:sz w:val="20"/>
          <w:szCs w:val="20"/>
          <w:lang w:val="es-PE" w:eastAsia="de-DE"/>
        </w:rPr>
        <w:t>).</w:t>
      </w:r>
      <w:r w:rsidRPr="00E239D8">
        <w:rPr>
          <w:rFonts w:ascii="Cambria" w:hAnsi="Cambria"/>
          <w:spacing w:val="-2"/>
          <w:sz w:val="20"/>
          <w:szCs w:val="20"/>
          <w:lang w:val="es-ES_tradnl"/>
        </w:rPr>
        <w:t xml:space="preserve"> En el present</w:t>
      </w:r>
      <w:r w:rsidR="00AF4080" w:rsidRPr="00E239D8">
        <w:rPr>
          <w:rFonts w:ascii="Cambria" w:hAnsi="Cambria"/>
          <w:spacing w:val="-2"/>
          <w:sz w:val="20"/>
          <w:szCs w:val="20"/>
          <w:lang w:val="es-ES_tradnl"/>
        </w:rPr>
        <w:t>e caso, la CIDH analizará si las disposiciones</w:t>
      </w:r>
      <w:r w:rsidRPr="00E239D8">
        <w:rPr>
          <w:rFonts w:ascii="Cambria" w:hAnsi="Cambria"/>
          <w:spacing w:val="-2"/>
          <w:sz w:val="20"/>
          <w:szCs w:val="20"/>
          <w:lang w:val="es-ES_tradnl"/>
        </w:rPr>
        <w:t xml:space="preserve"> </w:t>
      </w:r>
      <w:r w:rsidR="00AF4080" w:rsidRPr="00E239D8">
        <w:rPr>
          <w:rFonts w:ascii="Cambria" w:hAnsi="Cambria"/>
          <w:spacing w:val="-2"/>
          <w:sz w:val="20"/>
          <w:szCs w:val="20"/>
          <w:lang w:val="es-ES_tradnl"/>
        </w:rPr>
        <w:t xml:space="preserve">que penalizan la injuria --bajo la cual se dio trámite al proceso contra los periodistas-- y la sanción civil </w:t>
      </w:r>
      <w:r w:rsidRPr="00E239D8">
        <w:rPr>
          <w:rFonts w:ascii="Cambria" w:hAnsi="Cambria"/>
          <w:spacing w:val="-2"/>
          <w:sz w:val="20"/>
          <w:szCs w:val="20"/>
          <w:lang w:val="es-ES_tradnl"/>
        </w:rPr>
        <w:t xml:space="preserve"> impuesta a </w:t>
      </w:r>
      <w:r w:rsidR="005C119D" w:rsidRPr="00E239D8">
        <w:rPr>
          <w:rFonts w:ascii="Cambria" w:hAnsi="Cambria"/>
          <w:spacing w:val="-2"/>
          <w:sz w:val="20"/>
          <w:szCs w:val="20"/>
          <w:lang w:val="es-ES_tradnl"/>
        </w:rPr>
        <w:t xml:space="preserve">ambos </w:t>
      </w:r>
      <w:r w:rsidR="00AF4080" w:rsidRPr="00E239D8">
        <w:rPr>
          <w:rFonts w:ascii="Cambria" w:hAnsi="Cambria"/>
          <w:spacing w:val="-2"/>
          <w:sz w:val="20"/>
          <w:szCs w:val="20"/>
          <w:lang w:val="es-ES_tradnl"/>
        </w:rPr>
        <w:t>comunicadores</w:t>
      </w:r>
      <w:r w:rsidRPr="00E239D8">
        <w:rPr>
          <w:rFonts w:ascii="Cambria" w:hAnsi="Cambria"/>
          <w:spacing w:val="-2"/>
          <w:sz w:val="20"/>
          <w:szCs w:val="20"/>
          <w:lang w:val="es-ES_tradnl"/>
        </w:rPr>
        <w:t xml:space="preserve"> cumpli</w:t>
      </w:r>
      <w:r w:rsidR="00784266">
        <w:rPr>
          <w:rFonts w:ascii="Cambria" w:hAnsi="Cambria"/>
          <w:spacing w:val="-2"/>
          <w:sz w:val="20"/>
          <w:szCs w:val="20"/>
          <w:lang w:val="es-ES_tradnl"/>
        </w:rPr>
        <w:t>eron</w:t>
      </w:r>
      <w:r w:rsidRPr="00E239D8">
        <w:rPr>
          <w:rFonts w:ascii="Cambria" w:hAnsi="Cambria"/>
          <w:spacing w:val="-2"/>
          <w:sz w:val="20"/>
          <w:szCs w:val="20"/>
          <w:lang w:val="es-ES_tradnl"/>
        </w:rPr>
        <w:t xml:space="preserve"> con estos requisitos.</w:t>
      </w:r>
      <w:r w:rsidR="00C45543" w:rsidRPr="00E239D8">
        <w:rPr>
          <w:rFonts w:ascii="Cambria" w:hAnsi="Cambria"/>
          <w:i/>
          <w:iCs/>
          <w:spacing w:val="-2"/>
          <w:sz w:val="20"/>
          <w:szCs w:val="20"/>
          <w:lang w:val="es-ES_tradnl"/>
        </w:rPr>
        <w:t xml:space="preserve"> </w:t>
      </w:r>
    </w:p>
    <w:p w14:paraId="075B992E" w14:textId="77777777" w:rsidR="00361F7C" w:rsidRPr="00540E96" w:rsidRDefault="00361F7C" w:rsidP="00361F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
          <w:iCs/>
          <w:spacing w:val="-2"/>
          <w:sz w:val="20"/>
          <w:szCs w:val="20"/>
          <w:lang w:val="es-ES_tradnl"/>
        </w:rPr>
      </w:pPr>
    </w:p>
    <w:p w14:paraId="60102072" w14:textId="77777777" w:rsidR="007B62C4" w:rsidRPr="00540E96" w:rsidRDefault="007B62C4" w:rsidP="007B62C4">
      <w:pPr>
        <w:pStyle w:val="Heading4"/>
      </w:pPr>
      <w:bookmarkStart w:id="43" w:name="_Toc4492615"/>
      <w:r w:rsidRPr="00540E96">
        <w:t xml:space="preserve">4.1 </w:t>
      </w:r>
      <w:r w:rsidRPr="00540E96">
        <w:tab/>
        <w:t>Test tripartito</w:t>
      </w:r>
      <w:bookmarkEnd w:id="43"/>
    </w:p>
    <w:p w14:paraId="65B9B218" w14:textId="77777777" w:rsidR="007B62C4" w:rsidRPr="00540E96" w:rsidRDefault="007B62C4" w:rsidP="007B62C4">
      <w:pPr>
        <w:jc w:val="both"/>
        <w:rPr>
          <w:rFonts w:ascii="Cambria" w:hAnsi="Cambria"/>
          <w:sz w:val="20"/>
          <w:szCs w:val="20"/>
          <w:lang w:val="es-CO"/>
        </w:rPr>
      </w:pPr>
    </w:p>
    <w:p w14:paraId="1FF22627" w14:textId="77777777" w:rsidR="007B62C4" w:rsidRPr="00540E96" w:rsidRDefault="007B62C4" w:rsidP="00D0542D">
      <w:pPr>
        <w:pStyle w:val="Heading5"/>
        <w:rPr>
          <w:szCs w:val="20"/>
        </w:rPr>
      </w:pPr>
      <w:r w:rsidRPr="00540E96">
        <w:t xml:space="preserve">a) </w:t>
      </w:r>
      <w:r w:rsidRPr="00540E96">
        <w:tab/>
      </w:r>
      <w:r w:rsidRPr="00540E96">
        <w:rPr>
          <w:szCs w:val="20"/>
        </w:rPr>
        <w:t>Estricta formulación de la norma que consagra limitación o restricción (previsión legal)</w:t>
      </w:r>
    </w:p>
    <w:p w14:paraId="27AE5B12" w14:textId="77777777" w:rsidR="008345A4" w:rsidRPr="00540E96" w:rsidRDefault="008345A4" w:rsidP="00D0542D">
      <w:pPr>
        <w:jc w:val="both"/>
        <w:rPr>
          <w:rFonts w:ascii="Cambria" w:hAnsi="Cambria"/>
          <w:b/>
          <w:sz w:val="20"/>
          <w:szCs w:val="20"/>
          <w:lang w:val="es-PE" w:eastAsia="es-ES"/>
        </w:rPr>
      </w:pPr>
    </w:p>
    <w:p w14:paraId="66E87E27" w14:textId="77777777" w:rsidR="007B62C4" w:rsidRPr="00540E96" w:rsidRDefault="007B62C4" w:rsidP="00D0542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CO"/>
        </w:rPr>
        <w:t xml:space="preserve">De </w:t>
      </w:r>
      <w:r w:rsidRPr="00540E96">
        <w:rPr>
          <w:rFonts w:ascii="Cambria" w:hAnsi="Cambria"/>
          <w:sz w:val="20"/>
          <w:szCs w:val="20"/>
          <w:lang w:val="es-PE"/>
        </w:rPr>
        <w:t>acuerdo</w:t>
      </w:r>
      <w:r w:rsidRPr="00540E96">
        <w:rPr>
          <w:rFonts w:ascii="Cambria" w:hAnsi="Cambria"/>
          <w:sz w:val="20"/>
          <w:szCs w:val="20"/>
          <w:lang w:val="es-CO"/>
        </w:rPr>
        <w:t xml:space="preserve"> con la doctrina de la CIDH como de la Corte IDH, el requisito de </w:t>
      </w:r>
      <w:r w:rsidRPr="00540E96">
        <w:rPr>
          <w:rFonts w:ascii="Cambria" w:hAnsi="Cambria"/>
          <w:i/>
          <w:sz w:val="20"/>
          <w:szCs w:val="20"/>
          <w:lang w:val="es-CO"/>
        </w:rPr>
        <w:t>legalidad</w:t>
      </w:r>
      <w:r w:rsidRPr="00540E96">
        <w:rPr>
          <w:rFonts w:ascii="Cambria" w:hAnsi="Cambria"/>
          <w:sz w:val="20"/>
          <w:szCs w:val="20"/>
          <w:lang w:val="es-CO"/>
        </w:rPr>
        <w:t xml:space="preserve"> significa que la previsión legal que </w:t>
      </w:r>
      <w:r w:rsidR="00784266">
        <w:rPr>
          <w:rFonts w:ascii="Cambria" w:hAnsi="Cambria"/>
          <w:sz w:val="20"/>
          <w:szCs w:val="20"/>
          <w:lang w:val="es-CO"/>
        </w:rPr>
        <w:t>establece</w:t>
      </w:r>
      <w:r w:rsidRPr="00540E96">
        <w:rPr>
          <w:rFonts w:ascii="Cambria" w:hAnsi="Cambria"/>
          <w:sz w:val="20"/>
          <w:szCs w:val="20"/>
          <w:lang w:val="es-CO"/>
        </w:rPr>
        <w:t xml:space="preserve"> una restricción a la libertad de expresión debe estar contenida en una ley en términos precisos y claros</w:t>
      </w:r>
      <w:r w:rsidRPr="00540E96">
        <w:rPr>
          <w:rStyle w:val="FootnoteReference"/>
          <w:rFonts w:ascii="Cambria" w:hAnsi="Cambria"/>
          <w:sz w:val="20"/>
          <w:szCs w:val="20"/>
          <w:lang w:val="es-CO"/>
        </w:rPr>
        <w:footnoteReference w:id="101"/>
      </w:r>
      <w:r w:rsidRPr="00540E96">
        <w:rPr>
          <w:rFonts w:ascii="Cambria" w:hAnsi="Cambria"/>
          <w:sz w:val="20"/>
          <w:szCs w:val="20"/>
          <w:lang w:val="es-CO"/>
        </w:rPr>
        <w:t>. La tipificación debe formularse “en forma expresa, precisa, taxativa y previa, más aún cuando el derecho penal es el medio más restrictivo y severo para establecer responsabilidades respecto de una conducta ilícita, teniendo en cuenta que el marco legal debe brindar seguridad jurídica al ciudadano”</w:t>
      </w:r>
      <w:r w:rsidRPr="00540E96">
        <w:rPr>
          <w:rStyle w:val="FootnoteReference"/>
          <w:rFonts w:ascii="Cambria" w:hAnsi="Cambria"/>
          <w:sz w:val="20"/>
          <w:szCs w:val="20"/>
          <w:lang w:val="es-CO"/>
        </w:rPr>
        <w:footnoteReference w:id="102"/>
      </w:r>
      <w:r w:rsidRPr="00540E96">
        <w:rPr>
          <w:rFonts w:ascii="Cambria" w:hAnsi="Cambria"/>
          <w:sz w:val="20"/>
          <w:szCs w:val="20"/>
          <w:lang w:val="es-CO"/>
        </w:rPr>
        <w:t xml:space="preserve">. </w:t>
      </w:r>
    </w:p>
    <w:bookmarkEnd w:id="41"/>
    <w:p w14:paraId="003C9C5A" w14:textId="77777777" w:rsidR="00A60EBB" w:rsidRPr="00540E96" w:rsidRDefault="00A60EBB" w:rsidP="00D0542D">
      <w:pPr>
        <w:pStyle w:val="NoSpacing"/>
        <w:spacing w:before="0" w:after="0"/>
        <w:ind w:firstLine="0"/>
        <w:rPr>
          <w:szCs w:val="20"/>
          <w:lang w:val="es-CO"/>
        </w:rPr>
      </w:pPr>
    </w:p>
    <w:p w14:paraId="3046D7AD" w14:textId="77777777" w:rsidR="007F70C7" w:rsidRPr="00540E96" w:rsidRDefault="00362901" w:rsidP="00D0542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CO"/>
        </w:rPr>
        <w:t>Las normas penales deben estar redactadas utilizando términos estrictos y unívocos</w:t>
      </w:r>
      <w:r w:rsidRPr="00540E96">
        <w:rPr>
          <w:rFonts w:ascii="Cambria" w:hAnsi="Cambria"/>
          <w:sz w:val="20"/>
          <w:szCs w:val="20"/>
          <w:lang w:val="es-PE"/>
        </w:rPr>
        <w:t xml:space="preserve">, que acoten claramente las conductas punibles, dando pleno sentido al principio de legalidad penal. Este implica una clara definición de la conducta incriminada, que fije sus elementos y permita deslindarla de comportamientos no punibles o conductas ilícitas sancionables con medidas no penales.  La ambigüedad en la formulación de los </w:t>
      </w:r>
      <w:r w:rsidRPr="00540E96">
        <w:rPr>
          <w:rFonts w:ascii="Cambria" w:hAnsi="Cambria"/>
          <w:sz w:val="20"/>
          <w:szCs w:val="20"/>
          <w:lang w:val="es-PE"/>
        </w:rPr>
        <w:lastRenderedPageBreak/>
        <w:t>tipos penales genera dudas y abre el campo al arbitrio de la autoridad, particularmente indeseable cuando se trata de establecer la responsabilidad penal de los individuos y sancionarla con penas que afectan severamente bienes fundamentales, como la vida o la libertad</w:t>
      </w:r>
      <w:r w:rsidRPr="00540E96">
        <w:rPr>
          <w:rStyle w:val="FootnoteReference"/>
          <w:rFonts w:ascii="Cambria" w:hAnsi="Cambria"/>
          <w:sz w:val="20"/>
          <w:szCs w:val="20"/>
          <w:lang w:val="es-PE"/>
        </w:rPr>
        <w:footnoteReference w:id="103"/>
      </w:r>
      <w:r w:rsidRPr="00540E96">
        <w:rPr>
          <w:rFonts w:ascii="Cambria" w:hAnsi="Cambria"/>
          <w:sz w:val="20"/>
          <w:szCs w:val="20"/>
          <w:lang w:val="es-PE"/>
        </w:rPr>
        <w:t>.</w:t>
      </w:r>
      <w:r w:rsidRPr="00540E96">
        <w:rPr>
          <w:rFonts w:ascii="Cambria" w:hAnsi="Cambria"/>
          <w:sz w:val="20"/>
          <w:szCs w:val="20"/>
          <w:lang w:val="es-CO"/>
        </w:rPr>
        <w:t xml:space="preserve"> </w:t>
      </w:r>
    </w:p>
    <w:p w14:paraId="28CCDD6B" w14:textId="77777777" w:rsidR="00565B67" w:rsidRPr="00540E96" w:rsidRDefault="00565B67" w:rsidP="00D054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5657245E" w14:textId="77777777" w:rsidR="006C79AB" w:rsidRPr="00540E96" w:rsidRDefault="007F70C7" w:rsidP="00D0542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CO"/>
        </w:rPr>
        <w:t xml:space="preserve">A este respecto, </w:t>
      </w:r>
      <w:r w:rsidR="00301DC1" w:rsidRPr="00540E96">
        <w:rPr>
          <w:rFonts w:ascii="Cambria" w:hAnsi="Cambria"/>
          <w:sz w:val="20"/>
          <w:szCs w:val="20"/>
          <w:lang w:val="es-CO"/>
        </w:rPr>
        <w:t>si bien en el presente caso no existió una condena penal por la ausencia de</w:t>
      </w:r>
      <w:r w:rsidR="0033679C" w:rsidRPr="00540E96">
        <w:rPr>
          <w:rFonts w:ascii="Cambria" w:hAnsi="Cambria"/>
          <w:sz w:val="20"/>
          <w:szCs w:val="20"/>
          <w:lang w:val="es-CO"/>
        </w:rPr>
        <w:t>l elemento subjetivo del tipo</w:t>
      </w:r>
      <w:r w:rsidR="00301DC1" w:rsidRPr="00540E96">
        <w:rPr>
          <w:rFonts w:ascii="Cambria" w:hAnsi="Cambria"/>
          <w:sz w:val="20"/>
          <w:szCs w:val="20"/>
          <w:lang w:val="es-CO"/>
        </w:rPr>
        <w:t xml:space="preserve"> </w:t>
      </w:r>
      <w:r w:rsidR="0033679C" w:rsidRPr="00540E96">
        <w:rPr>
          <w:rFonts w:ascii="Cambria" w:hAnsi="Cambria"/>
          <w:sz w:val="20"/>
          <w:szCs w:val="20"/>
          <w:lang w:val="es-CO"/>
        </w:rPr>
        <w:t>(</w:t>
      </w:r>
      <w:r w:rsidR="00301DC1" w:rsidRPr="00540E96">
        <w:rPr>
          <w:rFonts w:ascii="Cambria" w:hAnsi="Cambria"/>
          <w:sz w:val="20"/>
          <w:szCs w:val="20"/>
          <w:lang w:val="es-CO"/>
        </w:rPr>
        <w:t>dolo</w:t>
      </w:r>
      <w:r w:rsidR="0033679C" w:rsidRPr="00540E96">
        <w:rPr>
          <w:rFonts w:ascii="Cambria" w:hAnsi="Cambria"/>
          <w:sz w:val="20"/>
          <w:szCs w:val="20"/>
          <w:lang w:val="es-CO"/>
        </w:rPr>
        <w:t>)</w:t>
      </w:r>
      <w:r w:rsidR="00E11E0D" w:rsidRPr="00540E96">
        <w:rPr>
          <w:rFonts w:ascii="Cambria" w:hAnsi="Cambria"/>
          <w:sz w:val="20"/>
          <w:szCs w:val="20"/>
          <w:lang w:val="es-CO"/>
        </w:rPr>
        <w:t xml:space="preserve">, por lo que el tipo penal de injurias por medio de la prensa (el tipo penal fue </w:t>
      </w:r>
      <w:r w:rsidR="009835BD" w:rsidRPr="00540E96">
        <w:rPr>
          <w:rFonts w:ascii="Cambria" w:hAnsi="Cambria"/>
          <w:sz w:val="20"/>
          <w:szCs w:val="20"/>
          <w:lang w:val="es-CO"/>
        </w:rPr>
        <w:t xml:space="preserve">reconducido ya que la querella fue </w:t>
      </w:r>
      <w:r w:rsidR="006F46D5" w:rsidRPr="00540E96">
        <w:rPr>
          <w:rFonts w:ascii="Cambria" w:hAnsi="Cambria"/>
          <w:sz w:val="20"/>
          <w:szCs w:val="20"/>
          <w:lang w:val="es-CO"/>
        </w:rPr>
        <w:t xml:space="preserve">interpuesta </w:t>
      </w:r>
      <w:r w:rsidR="009835BD" w:rsidRPr="00540E96">
        <w:rPr>
          <w:rFonts w:ascii="Cambria" w:hAnsi="Cambria"/>
          <w:sz w:val="20"/>
          <w:szCs w:val="20"/>
          <w:lang w:val="es-CO"/>
        </w:rPr>
        <w:t>por los delitos de calumnias y difamación por prensa)</w:t>
      </w:r>
      <w:r w:rsidR="00D8792B" w:rsidRPr="00540E96">
        <w:rPr>
          <w:rFonts w:ascii="Cambria" w:hAnsi="Cambria"/>
          <w:sz w:val="20"/>
          <w:szCs w:val="20"/>
          <w:lang w:val="es-CO"/>
        </w:rPr>
        <w:t xml:space="preserve"> no se configuró, l</w:t>
      </w:r>
      <w:r w:rsidRPr="00540E96">
        <w:rPr>
          <w:rFonts w:ascii="Cambria" w:hAnsi="Cambria"/>
          <w:sz w:val="20"/>
          <w:szCs w:val="20"/>
          <w:lang w:val="es-CO"/>
        </w:rPr>
        <w:t>a Comisión considera importante</w:t>
      </w:r>
      <w:r w:rsidR="00D8792B" w:rsidRPr="00540E96">
        <w:rPr>
          <w:rFonts w:ascii="Cambria" w:hAnsi="Cambria"/>
          <w:sz w:val="20"/>
          <w:szCs w:val="20"/>
          <w:lang w:val="es-CO"/>
        </w:rPr>
        <w:t xml:space="preserve"> hacer un breve análisis</w:t>
      </w:r>
      <w:r w:rsidRPr="00540E96">
        <w:rPr>
          <w:rFonts w:ascii="Cambria" w:hAnsi="Cambria"/>
          <w:sz w:val="20"/>
          <w:szCs w:val="20"/>
          <w:lang w:val="es-CO"/>
        </w:rPr>
        <w:t xml:space="preserve"> </w:t>
      </w:r>
      <w:r w:rsidR="00D8792B" w:rsidRPr="00540E96">
        <w:rPr>
          <w:rFonts w:ascii="Cambria" w:hAnsi="Cambria"/>
          <w:sz w:val="20"/>
          <w:szCs w:val="20"/>
          <w:lang w:val="es-CO"/>
        </w:rPr>
        <w:t xml:space="preserve">de la legalidad del artículo </w:t>
      </w:r>
      <w:r w:rsidR="00D8792B" w:rsidRPr="00540E96">
        <w:rPr>
          <w:rFonts w:ascii="Cambria" w:hAnsi="Cambria"/>
          <w:sz w:val="20"/>
          <w:szCs w:val="20"/>
          <w:lang w:val="es-VE"/>
        </w:rPr>
        <w:t>7 de la Ley de Imprenta en relación con el artículo 145 del Código Penal</w:t>
      </w:r>
      <w:r w:rsidR="000E0877" w:rsidRPr="00540E96">
        <w:rPr>
          <w:rFonts w:ascii="Cambria" w:hAnsi="Cambria"/>
          <w:sz w:val="20"/>
          <w:szCs w:val="20"/>
          <w:lang w:val="es-VE"/>
        </w:rPr>
        <w:t>. Ello,</w:t>
      </w:r>
      <w:r w:rsidR="00D8792B" w:rsidRPr="00540E96">
        <w:rPr>
          <w:rFonts w:ascii="Cambria" w:hAnsi="Cambria"/>
          <w:sz w:val="20"/>
          <w:szCs w:val="20"/>
          <w:lang w:val="es-VE"/>
        </w:rPr>
        <w:t xml:space="preserve"> debido a que</w:t>
      </w:r>
      <w:r w:rsidR="000E0877" w:rsidRPr="00540E96">
        <w:rPr>
          <w:rFonts w:ascii="Cambria" w:hAnsi="Cambria"/>
          <w:sz w:val="20"/>
          <w:szCs w:val="20"/>
          <w:lang w:val="es-VE"/>
        </w:rPr>
        <w:t>,</w:t>
      </w:r>
      <w:r w:rsidR="00D8792B" w:rsidRPr="00540E96">
        <w:rPr>
          <w:rFonts w:ascii="Cambria" w:hAnsi="Cambria"/>
          <w:sz w:val="20"/>
          <w:szCs w:val="20"/>
          <w:lang w:val="es-VE"/>
        </w:rPr>
        <w:t xml:space="preserve"> si bien no existió una condena en el caso concreto, la normativa </w:t>
      </w:r>
      <w:r w:rsidR="00E95483" w:rsidRPr="00540E96">
        <w:rPr>
          <w:rFonts w:ascii="Cambria" w:hAnsi="Cambria"/>
          <w:sz w:val="20"/>
          <w:szCs w:val="20"/>
          <w:lang w:val="es-VE"/>
        </w:rPr>
        <w:t xml:space="preserve">se </w:t>
      </w:r>
      <w:r w:rsidR="0039256F" w:rsidRPr="00540E96">
        <w:rPr>
          <w:rFonts w:ascii="Cambria" w:hAnsi="Cambria"/>
          <w:sz w:val="20"/>
          <w:szCs w:val="20"/>
          <w:lang w:val="es-VE"/>
        </w:rPr>
        <w:t>encuentra</w:t>
      </w:r>
      <w:r w:rsidR="00E95483" w:rsidRPr="00540E96">
        <w:rPr>
          <w:rFonts w:ascii="Cambria" w:hAnsi="Cambria"/>
          <w:sz w:val="20"/>
          <w:szCs w:val="20"/>
          <w:lang w:val="es-VE"/>
        </w:rPr>
        <w:t xml:space="preserve"> actualmente vigente en Costa Rica</w:t>
      </w:r>
      <w:r w:rsidR="0039256F" w:rsidRPr="00540E96">
        <w:rPr>
          <w:rFonts w:ascii="Cambria" w:hAnsi="Cambria"/>
          <w:sz w:val="20"/>
          <w:szCs w:val="20"/>
          <w:lang w:val="es-VE"/>
        </w:rPr>
        <w:t xml:space="preserve">. Esta normativa permite </w:t>
      </w:r>
      <w:r w:rsidR="00B91989" w:rsidRPr="00540E96">
        <w:rPr>
          <w:rFonts w:ascii="Cambria" w:hAnsi="Cambria"/>
          <w:sz w:val="20"/>
          <w:szCs w:val="20"/>
          <w:lang w:val="es-VE"/>
        </w:rPr>
        <w:t xml:space="preserve">recurrir a mecanismos penales como medidas de asignación de responsabilidades ulteriores en </w:t>
      </w:r>
      <w:r w:rsidR="00565B67" w:rsidRPr="00540E96">
        <w:rPr>
          <w:rFonts w:ascii="Cambria" w:hAnsi="Cambria"/>
          <w:sz w:val="20"/>
          <w:szCs w:val="20"/>
          <w:lang w:val="es-VE"/>
        </w:rPr>
        <w:t xml:space="preserve">supuestos en los que se considera que existió un abuso a la libertad de expresión, de manera contraria a los estándares establecidos por esta Comisión </w:t>
      </w:r>
      <w:r w:rsidR="00565B67" w:rsidRPr="00540E96">
        <w:rPr>
          <w:rFonts w:ascii="Cambria" w:hAnsi="Cambria"/>
          <w:i/>
          <w:iCs/>
          <w:sz w:val="20"/>
          <w:szCs w:val="20"/>
          <w:lang w:val="es-VE"/>
        </w:rPr>
        <w:t>ut supra</w:t>
      </w:r>
      <w:r w:rsidR="00565B67" w:rsidRPr="00540E96">
        <w:rPr>
          <w:rFonts w:ascii="Cambria" w:hAnsi="Cambria"/>
          <w:sz w:val="20"/>
          <w:szCs w:val="20"/>
          <w:lang w:val="es-VE"/>
        </w:rPr>
        <w:t>.</w:t>
      </w:r>
    </w:p>
    <w:p w14:paraId="681B0376" w14:textId="77777777" w:rsidR="00F773FE" w:rsidRPr="00540E96" w:rsidRDefault="00F773FE" w:rsidP="00D054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6F60B37C" w14:textId="77777777" w:rsidR="00362901" w:rsidRPr="00540E96" w:rsidRDefault="006C79AB" w:rsidP="00D0542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CO"/>
        </w:rPr>
        <w:t xml:space="preserve">Con respecto a lo anterior, </w:t>
      </w:r>
      <w:r w:rsidR="00AA1133" w:rsidRPr="00540E96">
        <w:rPr>
          <w:rFonts w:ascii="Cambria" w:hAnsi="Cambria"/>
          <w:sz w:val="20"/>
          <w:szCs w:val="20"/>
          <w:lang w:val="es-CO"/>
        </w:rPr>
        <w:t>la Comisión considera importante resaltar</w:t>
      </w:r>
      <w:r w:rsidR="00A54550" w:rsidRPr="00540E96">
        <w:rPr>
          <w:rFonts w:ascii="Cambria" w:hAnsi="Cambria"/>
          <w:sz w:val="20"/>
          <w:szCs w:val="20"/>
          <w:lang w:val="es-CO"/>
        </w:rPr>
        <w:t xml:space="preserve"> de forma general, y como un argumento adicional </w:t>
      </w:r>
      <w:r w:rsidR="004E7626" w:rsidRPr="00540E96">
        <w:rPr>
          <w:rFonts w:ascii="Cambria" w:hAnsi="Cambria"/>
          <w:sz w:val="20"/>
          <w:szCs w:val="20"/>
          <w:lang w:val="es-CO"/>
        </w:rPr>
        <w:t xml:space="preserve">a otros ya esgrimidos </w:t>
      </w:r>
      <w:r w:rsidR="003551A3">
        <w:rPr>
          <w:rFonts w:ascii="Cambria" w:hAnsi="Cambria"/>
          <w:sz w:val="20"/>
          <w:szCs w:val="20"/>
          <w:lang w:val="es-CO"/>
        </w:rPr>
        <w:t>en relación con</w:t>
      </w:r>
      <w:r w:rsidR="00A54550" w:rsidRPr="00540E96">
        <w:rPr>
          <w:rFonts w:ascii="Cambria" w:hAnsi="Cambria"/>
          <w:sz w:val="20"/>
          <w:szCs w:val="20"/>
          <w:lang w:val="es-CO"/>
        </w:rPr>
        <w:t xml:space="preserve"> la despenalización de los delitos contra el honor</w:t>
      </w:r>
      <w:r w:rsidR="001C1FE5" w:rsidRPr="00540E96">
        <w:rPr>
          <w:rFonts w:ascii="Cambria" w:hAnsi="Cambria"/>
          <w:sz w:val="20"/>
          <w:szCs w:val="20"/>
          <w:lang w:val="es-CO"/>
        </w:rPr>
        <w:t xml:space="preserve"> en casos de interés público</w:t>
      </w:r>
      <w:r w:rsidR="009A548D" w:rsidRPr="00540E96">
        <w:rPr>
          <w:rFonts w:ascii="Cambria" w:hAnsi="Cambria"/>
          <w:sz w:val="20"/>
          <w:szCs w:val="20"/>
          <w:lang w:val="es-CO"/>
        </w:rPr>
        <w:t xml:space="preserve">, </w:t>
      </w:r>
      <w:r w:rsidR="00B67892" w:rsidRPr="00540E96">
        <w:rPr>
          <w:rFonts w:ascii="Cambria" w:hAnsi="Cambria"/>
          <w:sz w:val="20"/>
          <w:szCs w:val="20"/>
          <w:lang w:val="es-CO"/>
        </w:rPr>
        <w:t xml:space="preserve">que </w:t>
      </w:r>
      <w:r w:rsidR="009D7677" w:rsidRPr="00540E96">
        <w:rPr>
          <w:rFonts w:ascii="Cambria" w:hAnsi="Cambria"/>
          <w:sz w:val="20"/>
          <w:szCs w:val="20"/>
          <w:lang w:val="es-CO"/>
        </w:rPr>
        <w:t xml:space="preserve">la redacción de los tipos penales </w:t>
      </w:r>
      <w:r w:rsidR="00051A15" w:rsidRPr="00540E96">
        <w:rPr>
          <w:rFonts w:ascii="Cambria" w:hAnsi="Cambria"/>
          <w:sz w:val="20"/>
          <w:szCs w:val="20"/>
          <w:lang w:val="es-CO"/>
        </w:rPr>
        <w:t xml:space="preserve">que buscan proteger el honor y reputación de las personas </w:t>
      </w:r>
      <w:r w:rsidR="003551A3" w:rsidRPr="00540E96">
        <w:rPr>
          <w:rFonts w:ascii="Cambria" w:hAnsi="Cambria"/>
          <w:sz w:val="20"/>
          <w:szCs w:val="20"/>
          <w:lang w:val="es-CO"/>
        </w:rPr>
        <w:t>es</w:t>
      </w:r>
      <w:r w:rsidR="003551A3">
        <w:rPr>
          <w:rFonts w:ascii="Cambria" w:hAnsi="Cambria"/>
          <w:sz w:val="20"/>
          <w:szCs w:val="20"/>
          <w:lang w:val="es-CO"/>
        </w:rPr>
        <w:t xml:space="preserve">, </w:t>
      </w:r>
      <w:r w:rsidR="00051A15" w:rsidRPr="00540E96">
        <w:rPr>
          <w:rFonts w:ascii="Cambria" w:hAnsi="Cambria"/>
          <w:sz w:val="20"/>
          <w:szCs w:val="20"/>
          <w:lang w:val="es-CO"/>
        </w:rPr>
        <w:t>e</w:t>
      </w:r>
      <w:r w:rsidR="009A548D" w:rsidRPr="00540E96">
        <w:rPr>
          <w:rFonts w:ascii="Cambria" w:hAnsi="Cambria"/>
          <w:sz w:val="20"/>
          <w:szCs w:val="20"/>
          <w:lang w:val="es-CO"/>
        </w:rPr>
        <w:t>n su mayoría</w:t>
      </w:r>
      <w:r w:rsidR="003551A3">
        <w:rPr>
          <w:rFonts w:ascii="Cambria" w:hAnsi="Cambria"/>
          <w:sz w:val="20"/>
          <w:szCs w:val="20"/>
          <w:lang w:val="es-CO"/>
        </w:rPr>
        <w:t xml:space="preserve">, </w:t>
      </w:r>
      <w:r w:rsidR="00051A15" w:rsidRPr="00540E96">
        <w:rPr>
          <w:rFonts w:ascii="Cambria" w:hAnsi="Cambria"/>
          <w:sz w:val="20"/>
          <w:szCs w:val="20"/>
          <w:lang w:val="es-CO"/>
        </w:rPr>
        <w:t>“inherentemente muy vag</w:t>
      </w:r>
      <w:r w:rsidR="007C7F60" w:rsidRPr="00540E96">
        <w:rPr>
          <w:rFonts w:ascii="Cambria" w:hAnsi="Cambria"/>
          <w:sz w:val="20"/>
          <w:szCs w:val="20"/>
          <w:lang w:val="es-CO"/>
        </w:rPr>
        <w:t xml:space="preserve">a </w:t>
      </w:r>
      <w:r w:rsidR="009E2C27" w:rsidRPr="00540E96">
        <w:rPr>
          <w:rFonts w:ascii="Cambria" w:hAnsi="Cambria"/>
          <w:sz w:val="20"/>
          <w:szCs w:val="20"/>
          <w:lang w:val="es-CO"/>
        </w:rPr>
        <w:t>e inciert</w:t>
      </w:r>
      <w:r w:rsidR="007C7F60" w:rsidRPr="00540E96">
        <w:rPr>
          <w:rFonts w:ascii="Cambria" w:hAnsi="Cambria"/>
          <w:sz w:val="20"/>
          <w:szCs w:val="20"/>
          <w:lang w:val="es-CO"/>
        </w:rPr>
        <w:t>a</w:t>
      </w:r>
      <w:r w:rsidR="009E2C27" w:rsidRPr="00540E96">
        <w:rPr>
          <w:rFonts w:ascii="Cambria" w:hAnsi="Cambria"/>
          <w:sz w:val="20"/>
          <w:szCs w:val="20"/>
          <w:lang w:val="es-CO"/>
        </w:rPr>
        <w:t xml:space="preserve"> para constituir una ofensa criminal”. En este sentido se ha pronunciado la Corte Suprema de los Estados Unidos, así como la Corte Suprema de Alaska</w:t>
      </w:r>
      <w:r w:rsidR="00402C53" w:rsidRPr="00540E96">
        <w:rPr>
          <w:rFonts w:ascii="Cambria" w:hAnsi="Cambria"/>
          <w:sz w:val="20"/>
          <w:szCs w:val="20"/>
          <w:lang w:val="es-CO"/>
        </w:rPr>
        <w:t xml:space="preserve">. </w:t>
      </w:r>
      <w:r w:rsidR="00300AAD" w:rsidRPr="00540E96">
        <w:rPr>
          <w:rFonts w:ascii="Cambria" w:hAnsi="Cambria"/>
          <w:sz w:val="20"/>
          <w:szCs w:val="20"/>
          <w:lang w:val="es-CO"/>
        </w:rPr>
        <w:t xml:space="preserve">En el caso </w:t>
      </w:r>
      <w:r w:rsidR="00300AAD" w:rsidRPr="00540E96">
        <w:rPr>
          <w:rFonts w:ascii="Cambria" w:hAnsi="Cambria"/>
          <w:i/>
          <w:iCs/>
          <w:sz w:val="20"/>
          <w:szCs w:val="20"/>
          <w:lang w:val="es-CO"/>
        </w:rPr>
        <w:t>Ashton Vs. Kentucky</w:t>
      </w:r>
      <w:r w:rsidR="00C51F67" w:rsidRPr="00540E96">
        <w:rPr>
          <w:rFonts w:ascii="Cambria" w:hAnsi="Cambria"/>
          <w:i/>
          <w:iCs/>
          <w:sz w:val="20"/>
          <w:szCs w:val="20"/>
          <w:lang w:val="es-CO"/>
        </w:rPr>
        <w:t>,</w:t>
      </w:r>
      <w:r w:rsidR="00300AAD" w:rsidRPr="00540E96">
        <w:rPr>
          <w:rFonts w:ascii="Cambria" w:hAnsi="Cambria"/>
          <w:sz w:val="20"/>
          <w:szCs w:val="20"/>
          <w:lang w:val="es-CO"/>
        </w:rPr>
        <w:t xml:space="preserve"> la Corte Suprema de los Estados Unidos concluyó que </w:t>
      </w:r>
      <w:r w:rsidR="00AC2EDB" w:rsidRPr="00540E96">
        <w:rPr>
          <w:rFonts w:ascii="Cambria" w:hAnsi="Cambria"/>
          <w:sz w:val="20"/>
          <w:szCs w:val="20"/>
          <w:lang w:val="es-CO"/>
        </w:rPr>
        <w:t>el c</w:t>
      </w:r>
      <w:r w:rsidR="00953778" w:rsidRPr="00540E96">
        <w:rPr>
          <w:rFonts w:ascii="Cambria" w:hAnsi="Cambria"/>
          <w:sz w:val="20"/>
          <w:szCs w:val="20"/>
          <w:lang w:val="es-CO"/>
        </w:rPr>
        <w:t>ri</w:t>
      </w:r>
      <w:r w:rsidR="00AC2EDB" w:rsidRPr="00540E96">
        <w:rPr>
          <w:rFonts w:ascii="Cambria" w:hAnsi="Cambria"/>
          <w:sz w:val="20"/>
          <w:szCs w:val="20"/>
          <w:lang w:val="es-CO"/>
        </w:rPr>
        <w:t xml:space="preserve">men de difamación no </w:t>
      </w:r>
      <w:r w:rsidR="003551A3">
        <w:rPr>
          <w:rFonts w:ascii="Cambria" w:hAnsi="Cambria"/>
          <w:sz w:val="20"/>
          <w:szCs w:val="20"/>
          <w:lang w:val="es-CO"/>
        </w:rPr>
        <w:t>pudo</w:t>
      </w:r>
      <w:r w:rsidR="00AC2EDB" w:rsidRPr="00540E96">
        <w:rPr>
          <w:rFonts w:ascii="Cambria" w:hAnsi="Cambria"/>
          <w:sz w:val="20"/>
          <w:szCs w:val="20"/>
          <w:lang w:val="es-CO"/>
        </w:rPr>
        <w:t xml:space="preserve"> ser </w:t>
      </w:r>
      <w:r w:rsidR="007D7C58" w:rsidRPr="00540E96">
        <w:rPr>
          <w:rFonts w:ascii="Cambria" w:hAnsi="Cambria"/>
          <w:sz w:val="20"/>
          <w:szCs w:val="20"/>
          <w:lang w:val="es-CO"/>
        </w:rPr>
        <w:t xml:space="preserve">redefinido en términos entendibles, y </w:t>
      </w:r>
      <w:r w:rsidR="00630DA0" w:rsidRPr="00540E96">
        <w:rPr>
          <w:rFonts w:ascii="Cambria" w:hAnsi="Cambria"/>
          <w:sz w:val="20"/>
          <w:szCs w:val="20"/>
          <w:lang w:val="es-CO"/>
        </w:rPr>
        <w:t>debido a</w:t>
      </w:r>
      <w:r w:rsidR="007D7C58" w:rsidRPr="00540E96">
        <w:rPr>
          <w:rFonts w:ascii="Cambria" w:hAnsi="Cambria"/>
          <w:sz w:val="20"/>
          <w:szCs w:val="20"/>
          <w:lang w:val="es-CO"/>
        </w:rPr>
        <w:t xml:space="preserve"> que la ley deb</w:t>
      </w:r>
      <w:r w:rsidR="003551A3">
        <w:rPr>
          <w:rFonts w:ascii="Cambria" w:hAnsi="Cambria"/>
          <w:sz w:val="20"/>
          <w:szCs w:val="20"/>
          <w:lang w:val="es-CO"/>
        </w:rPr>
        <w:t>ía</w:t>
      </w:r>
      <w:r w:rsidR="007D7C58" w:rsidRPr="00540E96">
        <w:rPr>
          <w:rFonts w:ascii="Cambria" w:hAnsi="Cambria"/>
          <w:sz w:val="20"/>
          <w:szCs w:val="20"/>
          <w:lang w:val="es-CO"/>
        </w:rPr>
        <w:t xml:space="preserve"> interpretarse </w:t>
      </w:r>
      <w:r w:rsidR="00953778" w:rsidRPr="00540E96">
        <w:rPr>
          <w:rFonts w:ascii="Cambria" w:hAnsi="Cambria"/>
          <w:sz w:val="20"/>
          <w:szCs w:val="20"/>
          <w:lang w:val="es-CO"/>
        </w:rPr>
        <w:t xml:space="preserve">caso por caso </w:t>
      </w:r>
      <w:r w:rsidR="00A46DC1" w:rsidRPr="00540E96">
        <w:rPr>
          <w:rFonts w:ascii="Cambria" w:hAnsi="Cambria"/>
          <w:sz w:val="20"/>
          <w:szCs w:val="20"/>
          <w:lang w:val="es-CO"/>
        </w:rPr>
        <w:t xml:space="preserve">y que </w:t>
      </w:r>
      <w:r w:rsidR="00953778" w:rsidRPr="00540E96">
        <w:rPr>
          <w:rFonts w:ascii="Cambria" w:hAnsi="Cambria"/>
          <w:sz w:val="20"/>
          <w:szCs w:val="20"/>
          <w:lang w:val="es-CO"/>
        </w:rPr>
        <w:t xml:space="preserve">los elementos del crimen </w:t>
      </w:r>
      <w:r w:rsidR="003551A3">
        <w:rPr>
          <w:rFonts w:ascii="Cambria" w:hAnsi="Cambria"/>
          <w:sz w:val="20"/>
          <w:szCs w:val="20"/>
          <w:lang w:val="es-CO"/>
        </w:rPr>
        <w:t>eran</w:t>
      </w:r>
      <w:r w:rsidR="00953778" w:rsidRPr="00540E96">
        <w:rPr>
          <w:rFonts w:ascii="Cambria" w:hAnsi="Cambria"/>
          <w:sz w:val="20"/>
          <w:szCs w:val="20"/>
          <w:lang w:val="es-CO"/>
        </w:rPr>
        <w:t xml:space="preserve"> tan indefinidos e inciertos</w:t>
      </w:r>
      <w:r w:rsidR="00A46DC1" w:rsidRPr="00540E96">
        <w:rPr>
          <w:rFonts w:ascii="Cambria" w:hAnsi="Cambria"/>
          <w:sz w:val="20"/>
          <w:szCs w:val="20"/>
          <w:lang w:val="es-CO"/>
        </w:rPr>
        <w:t>,</w:t>
      </w:r>
      <w:r w:rsidR="00AF49BB" w:rsidRPr="00540E96">
        <w:rPr>
          <w:rFonts w:ascii="Cambria" w:hAnsi="Cambria"/>
          <w:sz w:val="20"/>
          <w:szCs w:val="20"/>
          <w:lang w:val="es-CO"/>
        </w:rPr>
        <w:t xml:space="preserve"> no deberían ser </w:t>
      </w:r>
      <w:r w:rsidR="001D0ECE" w:rsidRPr="00540E96">
        <w:rPr>
          <w:rFonts w:ascii="Cambria" w:hAnsi="Cambria"/>
          <w:sz w:val="20"/>
          <w:szCs w:val="20"/>
          <w:lang w:val="es-CO"/>
        </w:rPr>
        <w:t>considerados</w:t>
      </w:r>
      <w:r w:rsidR="00AF49BB" w:rsidRPr="00540E96">
        <w:rPr>
          <w:rFonts w:ascii="Cambria" w:hAnsi="Cambria"/>
          <w:sz w:val="20"/>
          <w:szCs w:val="20"/>
          <w:lang w:val="es-CO"/>
        </w:rPr>
        <w:t xml:space="preserve"> como una ofensa criminal</w:t>
      </w:r>
      <w:r w:rsidR="00AF49BB" w:rsidRPr="00540E96">
        <w:rPr>
          <w:rStyle w:val="FootnoteReference"/>
          <w:rFonts w:ascii="Cambria" w:hAnsi="Cambria"/>
          <w:sz w:val="20"/>
          <w:szCs w:val="20"/>
          <w:lang w:val="es-CO"/>
        </w:rPr>
        <w:footnoteReference w:id="104"/>
      </w:r>
      <w:r w:rsidR="00AF49BB" w:rsidRPr="00540E96">
        <w:rPr>
          <w:rFonts w:ascii="Cambria" w:hAnsi="Cambria"/>
          <w:sz w:val="20"/>
          <w:szCs w:val="20"/>
          <w:lang w:val="es-CO"/>
        </w:rPr>
        <w:t>. La Corte Suprema de Alaska concluyó en sentido similar en el caso</w:t>
      </w:r>
      <w:r w:rsidR="00A46DC1" w:rsidRPr="00540E96">
        <w:rPr>
          <w:rFonts w:ascii="Cambria" w:hAnsi="Cambria"/>
          <w:sz w:val="20"/>
          <w:szCs w:val="20"/>
          <w:lang w:val="es-CO"/>
        </w:rPr>
        <w:t xml:space="preserve"> </w:t>
      </w:r>
      <w:r w:rsidR="00C64E55" w:rsidRPr="00540E96">
        <w:rPr>
          <w:rFonts w:ascii="Cambria" w:hAnsi="Cambria"/>
          <w:i/>
          <w:iCs/>
          <w:sz w:val="20"/>
          <w:szCs w:val="20"/>
          <w:lang w:val="es-CO"/>
        </w:rPr>
        <w:t>Gottschalk Vs. State</w:t>
      </w:r>
      <w:r w:rsidR="001D0ECE" w:rsidRPr="00540E96">
        <w:rPr>
          <w:rFonts w:ascii="Cambria" w:hAnsi="Cambria"/>
          <w:sz w:val="20"/>
          <w:szCs w:val="20"/>
          <w:lang w:val="es-CO"/>
        </w:rPr>
        <w:t>, ya que e</w:t>
      </w:r>
      <w:r w:rsidR="00896980" w:rsidRPr="00540E96">
        <w:rPr>
          <w:rFonts w:ascii="Cambria" w:hAnsi="Cambria"/>
          <w:sz w:val="20"/>
          <w:szCs w:val="20"/>
          <w:lang w:val="es-CO"/>
        </w:rPr>
        <w:t>stableció</w:t>
      </w:r>
      <w:r w:rsidR="00C64E55" w:rsidRPr="00540E96">
        <w:rPr>
          <w:rFonts w:ascii="Cambria" w:hAnsi="Cambria"/>
          <w:sz w:val="20"/>
          <w:szCs w:val="20"/>
          <w:lang w:val="es-CO"/>
        </w:rPr>
        <w:t xml:space="preserve"> que el crimen de difamación en el </w:t>
      </w:r>
      <w:r w:rsidR="003551A3">
        <w:rPr>
          <w:rFonts w:ascii="Cambria" w:hAnsi="Cambria"/>
          <w:sz w:val="20"/>
          <w:szCs w:val="20"/>
          <w:lang w:val="es-CO"/>
        </w:rPr>
        <w:t>E</w:t>
      </w:r>
      <w:r w:rsidR="008B2281" w:rsidRPr="00540E96">
        <w:rPr>
          <w:rFonts w:ascii="Cambria" w:hAnsi="Cambria"/>
          <w:sz w:val="20"/>
          <w:szCs w:val="20"/>
          <w:lang w:val="es-CO"/>
        </w:rPr>
        <w:t>stado</w:t>
      </w:r>
      <w:r w:rsidR="00C64E55" w:rsidRPr="00540E96">
        <w:rPr>
          <w:rFonts w:ascii="Cambria" w:hAnsi="Cambria"/>
          <w:sz w:val="20"/>
          <w:szCs w:val="20"/>
          <w:lang w:val="es-CO"/>
        </w:rPr>
        <w:t xml:space="preserve"> violaba la primera enmienda, </w:t>
      </w:r>
      <w:r w:rsidR="0075745B" w:rsidRPr="00540E96">
        <w:rPr>
          <w:rFonts w:ascii="Cambria" w:hAnsi="Cambria"/>
          <w:sz w:val="20"/>
          <w:szCs w:val="20"/>
          <w:lang w:val="es-CO"/>
        </w:rPr>
        <w:t xml:space="preserve">no solo porque </w:t>
      </w:r>
      <w:r w:rsidR="00C20182" w:rsidRPr="00540E96">
        <w:rPr>
          <w:rFonts w:ascii="Cambria" w:hAnsi="Cambria"/>
          <w:sz w:val="20"/>
          <w:szCs w:val="20"/>
          <w:lang w:val="es-CO"/>
        </w:rPr>
        <w:t xml:space="preserve">la norma no </w:t>
      </w:r>
      <w:r w:rsidR="0075745B" w:rsidRPr="00540E96">
        <w:rPr>
          <w:rFonts w:ascii="Cambria" w:hAnsi="Cambria"/>
          <w:sz w:val="20"/>
          <w:szCs w:val="20"/>
          <w:lang w:val="es-CO"/>
        </w:rPr>
        <w:t>prove</w:t>
      </w:r>
      <w:r w:rsidR="00C172D2" w:rsidRPr="00540E96">
        <w:rPr>
          <w:rFonts w:ascii="Cambria" w:hAnsi="Cambria"/>
          <w:sz w:val="20"/>
          <w:szCs w:val="20"/>
          <w:lang w:val="es-CO"/>
        </w:rPr>
        <w:t xml:space="preserve">yó </w:t>
      </w:r>
      <w:r w:rsidR="003C1F75" w:rsidRPr="00540E96">
        <w:rPr>
          <w:rFonts w:ascii="Cambria" w:hAnsi="Cambria"/>
          <w:sz w:val="20"/>
          <w:szCs w:val="20"/>
          <w:lang w:val="es-CO"/>
        </w:rPr>
        <w:t xml:space="preserve">salvaguardas mínimas de exigencia de pruebas sobre la falsedad o la intencionalidad, sino que </w:t>
      </w:r>
      <w:r w:rsidR="005A77E6" w:rsidRPr="00540E96">
        <w:rPr>
          <w:rFonts w:ascii="Cambria" w:hAnsi="Cambria"/>
          <w:sz w:val="20"/>
          <w:szCs w:val="20"/>
          <w:lang w:val="es-CO"/>
        </w:rPr>
        <w:t xml:space="preserve">simplemente no </w:t>
      </w:r>
      <w:r w:rsidR="00BA4503" w:rsidRPr="00540E96">
        <w:rPr>
          <w:rFonts w:ascii="Cambria" w:hAnsi="Cambria"/>
          <w:sz w:val="20"/>
          <w:szCs w:val="20"/>
          <w:lang w:val="es-CO"/>
        </w:rPr>
        <w:t>acot</w:t>
      </w:r>
      <w:r w:rsidR="008510C4" w:rsidRPr="00540E96">
        <w:rPr>
          <w:rFonts w:ascii="Cambria" w:hAnsi="Cambria"/>
          <w:sz w:val="20"/>
          <w:szCs w:val="20"/>
          <w:lang w:val="es-CO"/>
        </w:rPr>
        <w:t>ó</w:t>
      </w:r>
      <w:r w:rsidR="00BA4503" w:rsidRPr="00540E96">
        <w:rPr>
          <w:rFonts w:ascii="Cambria" w:hAnsi="Cambria"/>
          <w:sz w:val="20"/>
          <w:szCs w:val="20"/>
          <w:lang w:val="es-CO"/>
        </w:rPr>
        <w:t xml:space="preserve"> claramente qué tipo </w:t>
      </w:r>
      <w:r w:rsidR="004525BE" w:rsidRPr="00540E96">
        <w:rPr>
          <w:rFonts w:ascii="Cambria" w:hAnsi="Cambria"/>
          <w:sz w:val="20"/>
          <w:szCs w:val="20"/>
          <w:lang w:val="es-CO"/>
        </w:rPr>
        <w:t>de</w:t>
      </w:r>
      <w:r w:rsidR="00BA4503" w:rsidRPr="00540E96">
        <w:rPr>
          <w:rFonts w:ascii="Cambria" w:hAnsi="Cambria"/>
          <w:sz w:val="20"/>
          <w:szCs w:val="20"/>
          <w:lang w:val="es-CO"/>
        </w:rPr>
        <w:t xml:space="preserve"> discurso e</w:t>
      </w:r>
      <w:r w:rsidR="004331CC" w:rsidRPr="00540E96">
        <w:rPr>
          <w:rFonts w:ascii="Cambria" w:hAnsi="Cambria"/>
          <w:sz w:val="20"/>
          <w:szCs w:val="20"/>
          <w:lang w:val="es-CO"/>
        </w:rPr>
        <w:t>ra</w:t>
      </w:r>
      <w:r w:rsidR="00BA4503" w:rsidRPr="00540E96">
        <w:rPr>
          <w:rFonts w:ascii="Cambria" w:hAnsi="Cambria"/>
          <w:sz w:val="20"/>
          <w:szCs w:val="20"/>
          <w:lang w:val="es-CO"/>
        </w:rPr>
        <w:t xml:space="preserve"> ilegal</w:t>
      </w:r>
      <w:r w:rsidR="004525BE" w:rsidRPr="00540E96">
        <w:rPr>
          <w:rFonts w:ascii="Cambria" w:hAnsi="Cambria"/>
          <w:sz w:val="20"/>
          <w:szCs w:val="20"/>
          <w:lang w:val="es-CO"/>
        </w:rPr>
        <w:t xml:space="preserve">, </w:t>
      </w:r>
      <w:r w:rsidR="004331CC" w:rsidRPr="00540E96">
        <w:rPr>
          <w:rFonts w:ascii="Cambria" w:hAnsi="Cambria"/>
          <w:sz w:val="20"/>
          <w:szCs w:val="20"/>
          <w:lang w:val="es-CO"/>
        </w:rPr>
        <w:t>ni brindó</w:t>
      </w:r>
      <w:r w:rsidR="004525BE" w:rsidRPr="00540E96">
        <w:rPr>
          <w:rFonts w:ascii="Cambria" w:hAnsi="Cambria"/>
          <w:sz w:val="20"/>
          <w:szCs w:val="20"/>
          <w:lang w:val="es-CO"/>
        </w:rPr>
        <w:t xml:space="preserve"> la precisión necesaria que se requ</w:t>
      </w:r>
      <w:r w:rsidR="003551A3">
        <w:rPr>
          <w:rFonts w:ascii="Cambria" w:hAnsi="Cambria"/>
          <w:sz w:val="20"/>
          <w:szCs w:val="20"/>
          <w:lang w:val="es-CO"/>
        </w:rPr>
        <w:t>ería</w:t>
      </w:r>
      <w:r w:rsidR="004525BE" w:rsidRPr="00540E96">
        <w:rPr>
          <w:rFonts w:ascii="Cambria" w:hAnsi="Cambria"/>
          <w:sz w:val="20"/>
          <w:szCs w:val="20"/>
          <w:lang w:val="es-CO"/>
        </w:rPr>
        <w:t xml:space="preserve"> para definir una conducta criminal</w:t>
      </w:r>
      <w:r w:rsidR="004331CC" w:rsidRPr="00540E96">
        <w:rPr>
          <w:rStyle w:val="FootnoteReference"/>
          <w:rFonts w:ascii="Cambria" w:hAnsi="Cambria"/>
          <w:sz w:val="20"/>
          <w:szCs w:val="20"/>
          <w:lang w:val="es-CO"/>
        </w:rPr>
        <w:footnoteReference w:id="105"/>
      </w:r>
      <w:r w:rsidR="004525BE" w:rsidRPr="00540E96">
        <w:rPr>
          <w:rFonts w:ascii="Cambria" w:hAnsi="Cambria"/>
          <w:sz w:val="20"/>
          <w:szCs w:val="20"/>
          <w:lang w:val="es-CO"/>
        </w:rPr>
        <w:t>.</w:t>
      </w:r>
      <w:r w:rsidR="005A77E6" w:rsidRPr="00540E96">
        <w:rPr>
          <w:rFonts w:ascii="Cambria" w:hAnsi="Cambria"/>
          <w:sz w:val="20"/>
          <w:szCs w:val="20"/>
          <w:lang w:val="es-CO"/>
        </w:rPr>
        <w:t xml:space="preserve"> </w:t>
      </w:r>
    </w:p>
    <w:p w14:paraId="6BD29248" w14:textId="77777777" w:rsidR="005C5248" w:rsidRPr="00540E96" w:rsidRDefault="005C5248" w:rsidP="005C52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0842C647" w14:textId="77777777" w:rsidR="000217D6" w:rsidRPr="00540E96" w:rsidRDefault="00744DAB" w:rsidP="00D0542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CO"/>
        </w:rPr>
        <w:t>E</w:t>
      </w:r>
      <w:r w:rsidR="00371D7F" w:rsidRPr="00540E96">
        <w:rPr>
          <w:rFonts w:ascii="Cambria" w:hAnsi="Cambria"/>
          <w:sz w:val="20"/>
          <w:szCs w:val="20"/>
          <w:lang w:val="es-CO"/>
        </w:rPr>
        <w:t xml:space="preserve">n el caso concreto, el </w:t>
      </w:r>
      <w:r w:rsidRPr="00540E96">
        <w:rPr>
          <w:rFonts w:ascii="Cambria" w:hAnsi="Cambria"/>
          <w:sz w:val="20"/>
          <w:szCs w:val="20"/>
          <w:lang w:val="es-CO"/>
        </w:rPr>
        <w:t xml:space="preserve">artículo </w:t>
      </w:r>
      <w:r w:rsidR="00371D7F" w:rsidRPr="00540E96">
        <w:rPr>
          <w:rFonts w:ascii="Cambria" w:hAnsi="Cambria"/>
          <w:sz w:val="20"/>
          <w:szCs w:val="20"/>
          <w:lang w:val="es-CO"/>
        </w:rPr>
        <w:t>145</w:t>
      </w:r>
      <w:r w:rsidRPr="00540E96">
        <w:rPr>
          <w:rFonts w:ascii="Cambria" w:hAnsi="Cambria"/>
          <w:sz w:val="20"/>
          <w:szCs w:val="20"/>
          <w:lang w:val="es-CO"/>
        </w:rPr>
        <w:t xml:space="preserve"> del Código Penal, prescribe lo siguiente: </w:t>
      </w:r>
      <w:r w:rsidRPr="00540E96">
        <w:rPr>
          <w:rFonts w:ascii="Cambria" w:hAnsi="Cambria"/>
          <w:sz w:val="20"/>
          <w:szCs w:val="20"/>
          <w:lang w:val="es-PE"/>
        </w:rPr>
        <w:t>“[</w:t>
      </w:r>
      <w:r w:rsidR="00F52F9D" w:rsidRPr="00540E96">
        <w:rPr>
          <w:rFonts w:ascii="Cambria" w:hAnsi="Cambria"/>
          <w:sz w:val="20"/>
          <w:szCs w:val="20"/>
          <w:lang w:val="es-PE"/>
        </w:rPr>
        <w:t>s]</w:t>
      </w:r>
      <w:r w:rsidR="00F52F9D" w:rsidRPr="00540E96">
        <w:rPr>
          <w:rFonts w:ascii="Cambria" w:hAnsi="Cambria"/>
          <w:sz w:val="20"/>
          <w:szCs w:val="20"/>
          <w:lang w:val="es-ES"/>
        </w:rPr>
        <w:t>erá reprimido con diez a cincuenta días multa el que ofendiere de palabra o de hecho en su dignidad o decoro, a una persona, sea en su presencia, sea por medio de una comunicación dirigida a ella.</w:t>
      </w:r>
      <w:r w:rsidR="00C305DC" w:rsidRPr="00540E96">
        <w:rPr>
          <w:rFonts w:ascii="Cambria" w:hAnsi="Cambria"/>
          <w:sz w:val="20"/>
          <w:szCs w:val="20"/>
          <w:lang w:val="es-ES"/>
        </w:rPr>
        <w:t xml:space="preserve"> </w:t>
      </w:r>
      <w:r w:rsidR="00F52F9D" w:rsidRPr="00540E96">
        <w:rPr>
          <w:rFonts w:ascii="Cambria" w:hAnsi="Cambria"/>
          <w:sz w:val="20"/>
          <w:szCs w:val="20"/>
          <w:lang w:val="es-ES"/>
        </w:rPr>
        <w:t>La pena será de quince a setenta y cinco días multa si la ofensa fuere inferida en público</w:t>
      </w:r>
      <w:r w:rsidR="00C305DC" w:rsidRPr="00540E96">
        <w:rPr>
          <w:rFonts w:ascii="Cambria" w:hAnsi="Cambria"/>
          <w:sz w:val="20"/>
          <w:szCs w:val="20"/>
          <w:lang w:val="es-ES"/>
        </w:rPr>
        <w:t>”</w:t>
      </w:r>
      <w:r w:rsidR="00F52F9D" w:rsidRPr="00540E96">
        <w:rPr>
          <w:rFonts w:ascii="Cambria" w:hAnsi="Cambria"/>
          <w:sz w:val="20"/>
          <w:szCs w:val="20"/>
          <w:lang w:val="es-ES"/>
        </w:rPr>
        <w:t>.</w:t>
      </w:r>
      <w:r w:rsidR="00C305DC" w:rsidRPr="00540E96">
        <w:rPr>
          <w:rFonts w:ascii="Cambria" w:hAnsi="Cambria"/>
          <w:sz w:val="20"/>
          <w:szCs w:val="20"/>
          <w:lang w:val="es-ES"/>
        </w:rPr>
        <w:t xml:space="preserve"> Asimismo</w:t>
      </w:r>
      <w:r w:rsidR="00DC480D" w:rsidRPr="00540E96">
        <w:rPr>
          <w:rFonts w:ascii="Cambria" w:hAnsi="Cambria"/>
          <w:sz w:val="20"/>
          <w:szCs w:val="20"/>
          <w:lang w:val="es-ES"/>
        </w:rPr>
        <w:t>,</w:t>
      </w:r>
      <w:r w:rsidR="00C305DC" w:rsidRPr="00540E96">
        <w:rPr>
          <w:rFonts w:ascii="Cambria" w:hAnsi="Cambria"/>
          <w:sz w:val="20"/>
          <w:szCs w:val="20"/>
          <w:lang w:val="es-ES"/>
        </w:rPr>
        <w:t xml:space="preserve"> el artículo 7 de la Ley de Imprenta establece que: “[l]</w:t>
      </w:r>
      <w:r w:rsidR="000217D6" w:rsidRPr="00540E96">
        <w:rPr>
          <w:rFonts w:ascii="Cambria" w:eastAsia="Times New Roman" w:hAnsi="Cambria"/>
          <w:sz w:val="20"/>
          <w:szCs w:val="20"/>
          <w:bdr w:val="none" w:sz="0" w:space="0" w:color="auto"/>
          <w:lang w:val="es-PE"/>
        </w:rPr>
        <w:t xml:space="preserve">os responsables de calumnia o injuria cometidos por medio de la prensa, serán castigados con la pena de arresto de uno a ciento veinte días. Esta pena la sufrirán conjuntamente los autores de la publicación y los editores responsables del periódico, folleto o libro en que hubiere aparecido. Si en el periódico, folleto o libro, no estuviere estampado el nombre de los editores responsables, se tendrán como tales para los efectos de este artículo, los directores de la imprenta, y si no los hubiere, la responsabilidad de éstos recaerá sobre el dueño de la imprenta. </w:t>
      </w:r>
      <w:r w:rsidR="00F70679" w:rsidRPr="00540E96">
        <w:rPr>
          <w:rFonts w:ascii="Cambria" w:eastAsia="Times New Roman" w:hAnsi="Cambria"/>
          <w:sz w:val="20"/>
          <w:szCs w:val="20"/>
          <w:bdr w:val="none" w:sz="0" w:space="0" w:color="auto"/>
          <w:lang w:val="es-PE"/>
        </w:rPr>
        <w:t>[…]”.</w:t>
      </w:r>
    </w:p>
    <w:p w14:paraId="04BD377C" w14:textId="77777777" w:rsidR="00F52F9D" w:rsidRPr="00540E96" w:rsidRDefault="00F52F9D" w:rsidP="00D054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PE"/>
        </w:rPr>
      </w:pPr>
    </w:p>
    <w:p w14:paraId="6A065188" w14:textId="77777777" w:rsidR="00744DAB" w:rsidRPr="00540E96" w:rsidRDefault="00DC480D" w:rsidP="00E240E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CO"/>
        </w:rPr>
        <w:t xml:space="preserve">La CIDH considera que los artículos citados son incompatibles con el principio de estricta legalidad penal y el derecho a la libertad de expresión, porque </w:t>
      </w:r>
      <w:r w:rsidRPr="00540E96">
        <w:rPr>
          <w:rFonts w:ascii="Cambria" w:hAnsi="Cambria"/>
          <w:sz w:val="20"/>
          <w:szCs w:val="20"/>
          <w:lang w:val="es-US"/>
        </w:rPr>
        <w:t>no establec</w:t>
      </w:r>
      <w:r w:rsidR="006D4AE6" w:rsidRPr="00540E96">
        <w:rPr>
          <w:rFonts w:ascii="Cambria" w:hAnsi="Cambria"/>
          <w:sz w:val="20"/>
          <w:szCs w:val="20"/>
          <w:lang w:val="es-US"/>
        </w:rPr>
        <w:t>en</w:t>
      </w:r>
      <w:r w:rsidRPr="00540E96">
        <w:rPr>
          <w:rFonts w:ascii="Cambria" w:hAnsi="Cambria"/>
          <w:sz w:val="20"/>
          <w:szCs w:val="20"/>
          <w:lang w:val="es-US"/>
        </w:rPr>
        <w:t xml:space="preserve"> parámetros claros que permitan prever la conducta prohibida y sus elementos</w:t>
      </w:r>
      <w:r w:rsidRPr="00540E96">
        <w:rPr>
          <w:rFonts w:ascii="Cambria" w:hAnsi="Cambria"/>
          <w:sz w:val="20"/>
          <w:szCs w:val="20"/>
          <w:lang w:val="es-CO"/>
        </w:rPr>
        <w:t xml:space="preserve">. </w:t>
      </w:r>
      <w:r w:rsidR="00476132" w:rsidRPr="00540E96">
        <w:rPr>
          <w:rFonts w:ascii="Cambria" w:hAnsi="Cambria"/>
          <w:sz w:val="20"/>
          <w:szCs w:val="20"/>
          <w:lang w:val="es-CO"/>
        </w:rPr>
        <w:t xml:space="preserve">La redacción de </w:t>
      </w:r>
      <w:r w:rsidR="006D4AE6" w:rsidRPr="00540E96">
        <w:rPr>
          <w:rFonts w:ascii="Cambria" w:hAnsi="Cambria"/>
          <w:sz w:val="20"/>
          <w:szCs w:val="20"/>
          <w:lang w:val="es-CO"/>
        </w:rPr>
        <w:t>estos</w:t>
      </w:r>
      <w:r w:rsidRPr="00540E96">
        <w:rPr>
          <w:rFonts w:ascii="Cambria" w:hAnsi="Cambria"/>
          <w:sz w:val="20"/>
          <w:szCs w:val="20"/>
          <w:lang w:val="es-CO"/>
        </w:rPr>
        <w:t xml:space="preserve"> no establece una frontera clara e inequívoca para determinar cuándo resulta lícito o no denunciar públicamente hechos de interés público o emitir una opinión crítica sobre una autoridad estatal</w:t>
      </w:r>
      <w:r w:rsidR="00331AFD" w:rsidRPr="00540E96">
        <w:rPr>
          <w:rFonts w:ascii="Cambria" w:hAnsi="Cambria"/>
          <w:sz w:val="20"/>
          <w:szCs w:val="20"/>
          <w:lang w:val="es-CO"/>
        </w:rPr>
        <w:t>,</w:t>
      </w:r>
      <w:r w:rsidR="00BD7B14" w:rsidRPr="00540E96">
        <w:rPr>
          <w:rFonts w:ascii="Cambria" w:hAnsi="Cambria"/>
          <w:sz w:val="20"/>
          <w:szCs w:val="20"/>
          <w:lang w:val="es-CO"/>
        </w:rPr>
        <w:t xml:space="preserve"> tampoco </w:t>
      </w:r>
      <w:r w:rsidR="0046103B" w:rsidRPr="00540E96">
        <w:rPr>
          <w:rFonts w:ascii="Cambria" w:hAnsi="Cambria"/>
          <w:sz w:val="20"/>
          <w:szCs w:val="20"/>
          <w:lang w:val="es-CO"/>
        </w:rPr>
        <w:t>menciona</w:t>
      </w:r>
      <w:r w:rsidR="00BD7B14" w:rsidRPr="00540E96">
        <w:rPr>
          <w:rFonts w:ascii="Cambria" w:hAnsi="Cambria"/>
          <w:sz w:val="20"/>
          <w:szCs w:val="20"/>
          <w:lang w:val="es-CO"/>
        </w:rPr>
        <w:t xml:space="preserve"> </w:t>
      </w:r>
      <w:r w:rsidR="00DC3C97" w:rsidRPr="00540E96">
        <w:rPr>
          <w:rFonts w:ascii="Cambria" w:hAnsi="Cambria"/>
          <w:sz w:val="20"/>
          <w:szCs w:val="20"/>
          <w:lang w:val="es-CO"/>
        </w:rPr>
        <w:t xml:space="preserve">el </w:t>
      </w:r>
      <w:r w:rsidR="00FC0DF7" w:rsidRPr="00540E96">
        <w:rPr>
          <w:rFonts w:ascii="Cambria" w:hAnsi="Cambria"/>
          <w:sz w:val="20"/>
          <w:szCs w:val="20"/>
          <w:lang w:val="es-CO"/>
        </w:rPr>
        <w:t>elemento de intencionalidad</w:t>
      </w:r>
      <w:r w:rsidR="00DC3C97" w:rsidRPr="00540E96">
        <w:rPr>
          <w:rFonts w:ascii="Cambria" w:hAnsi="Cambria"/>
          <w:sz w:val="20"/>
          <w:szCs w:val="20"/>
          <w:lang w:val="es-CO"/>
        </w:rPr>
        <w:t xml:space="preserve"> </w:t>
      </w:r>
      <w:r w:rsidR="00FC0DF7" w:rsidRPr="00540E96">
        <w:rPr>
          <w:rFonts w:ascii="Cambria" w:hAnsi="Cambria"/>
          <w:sz w:val="20"/>
          <w:szCs w:val="20"/>
          <w:lang w:val="es-CO"/>
        </w:rPr>
        <w:t>de los delitos</w:t>
      </w:r>
      <w:r w:rsidR="00331AFD" w:rsidRPr="00540E96">
        <w:rPr>
          <w:rFonts w:ascii="Cambria" w:hAnsi="Cambria"/>
          <w:sz w:val="20"/>
          <w:szCs w:val="20"/>
          <w:lang w:val="es-CO"/>
        </w:rPr>
        <w:t>, ni</w:t>
      </w:r>
      <w:r w:rsidR="00FC0DF7" w:rsidRPr="00540E96">
        <w:rPr>
          <w:rFonts w:ascii="Cambria" w:hAnsi="Cambria"/>
          <w:sz w:val="20"/>
          <w:szCs w:val="20"/>
          <w:lang w:val="es-CO"/>
        </w:rPr>
        <w:t xml:space="preserve"> delimita el ámbito de aplicación de la norma penal con el fin de proteger los discursos referid</w:t>
      </w:r>
      <w:r w:rsidR="0058012A" w:rsidRPr="00540E96">
        <w:rPr>
          <w:rFonts w:ascii="Cambria" w:hAnsi="Cambria"/>
          <w:sz w:val="20"/>
          <w:szCs w:val="20"/>
          <w:lang w:val="es-CO"/>
        </w:rPr>
        <w:t>o</w:t>
      </w:r>
      <w:r w:rsidR="00FC0DF7" w:rsidRPr="00540E96">
        <w:rPr>
          <w:rFonts w:ascii="Cambria" w:hAnsi="Cambria"/>
          <w:sz w:val="20"/>
          <w:szCs w:val="20"/>
          <w:lang w:val="es-CO"/>
        </w:rPr>
        <w:t>s a asuntos de interés público</w:t>
      </w:r>
      <w:r w:rsidR="00BB2728" w:rsidRPr="00540E96">
        <w:rPr>
          <w:rFonts w:ascii="Cambria" w:hAnsi="Cambria"/>
          <w:sz w:val="20"/>
          <w:szCs w:val="20"/>
          <w:lang w:val="es-CO"/>
        </w:rPr>
        <w:t xml:space="preserve">. </w:t>
      </w:r>
      <w:r w:rsidRPr="00540E96">
        <w:rPr>
          <w:rFonts w:ascii="Cambria" w:hAnsi="Cambria"/>
          <w:sz w:val="20"/>
          <w:szCs w:val="20"/>
          <w:lang w:val="es-CO"/>
        </w:rPr>
        <w:t>Por el contrario, la indeterminación de la norma abre camino al uso del derecho penal para generar un ambiente intimidatorio que inhibe el discurso y el debate sobre episodios de interés público</w:t>
      </w:r>
      <w:r w:rsidRPr="00540E96">
        <w:rPr>
          <w:rFonts w:ascii="Cambria" w:hAnsi="Cambria"/>
          <w:sz w:val="20"/>
          <w:szCs w:val="20"/>
          <w:vertAlign w:val="superscript"/>
          <w:lang w:val="es-CO"/>
        </w:rPr>
        <w:footnoteReference w:id="106"/>
      </w:r>
      <w:r w:rsidRPr="00540E96">
        <w:rPr>
          <w:rFonts w:ascii="Cambria" w:hAnsi="Cambria"/>
          <w:sz w:val="20"/>
          <w:szCs w:val="20"/>
          <w:lang w:val="es-CO"/>
        </w:rPr>
        <w:t xml:space="preserve">. </w:t>
      </w:r>
    </w:p>
    <w:p w14:paraId="0F72C52C" w14:textId="77777777" w:rsidR="00E240E4" w:rsidRDefault="00E240E4" w:rsidP="00E240E4">
      <w:pPr>
        <w:pStyle w:val="ListParagraph"/>
        <w:spacing w:before="0" w:after="0"/>
        <w:rPr>
          <w:sz w:val="20"/>
          <w:szCs w:val="20"/>
          <w:lang w:val="es-CO"/>
        </w:rPr>
      </w:pPr>
    </w:p>
    <w:p w14:paraId="4102D8A4" w14:textId="77777777" w:rsidR="008D4A0F" w:rsidRDefault="008D4A0F" w:rsidP="00E240E4">
      <w:pPr>
        <w:pStyle w:val="ListParagraph"/>
        <w:spacing w:before="0" w:after="0"/>
        <w:rPr>
          <w:sz w:val="20"/>
          <w:szCs w:val="20"/>
          <w:lang w:val="es-CO"/>
        </w:rPr>
      </w:pPr>
    </w:p>
    <w:p w14:paraId="253DD323" w14:textId="77777777" w:rsidR="008D4A0F" w:rsidRDefault="008D4A0F" w:rsidP="00E240E4">
      <w:pPr>
        <w:pStyle w:val="ListParagraph"/>
        <w:spacing w:before="0" w:after="0"/>
        <w:rPr>
          <w:sz w:val="20"/>
          <w:szCs w:val="20"/>
          <w:lang w:val="es-CO"/>
        </w:rPr>
      </w:pPr>
    </w:p>
    <w:p w14:paraId="4FD9AB19" w14:textId="77777777" w:rsidR="008D4A0F" w:rsidRPr="00540E96" w:rsidRDefault="008D4A0F" w:rsidP="00E240E4">
      <w:pPr>
        <w:pStyle w:val="ListParagraph"/>
        <w:spacing w:before="0" w:after="0"/>
        <w:rPr>
          <w:sz w:val="20"/>
          <w:szCs w:val="20"/>
          <w:lang w:val="es-CO"/>
        </w:rPr>
      </w:pPr>
    </w:p>
    <w:p w14:paraId="6C85BF90" w14:textId="77777777" w:rsidR="00E240E4" w:rsidRPr="00540E96" w:rsidRDefault="000E3A6A" w:rsidP="00E240E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US"/>
        </w:rPr>
        <w:lastRenderedPageBreak/>
        <w:t>Debido a</w:t>
      </w:r>
      <w:r w:rsidR="00E240E4" w:rsidRPr="00540E96">
        <w:rPr>
          <w:rFonts w:ascii="Cambria" w:hAnsi="Cambria"/>
          <w:sz w:val="20"/>
          <w:szCs w:val="20"/>
          <w:lang w:val="es-US"/>
        </w:rPr>
        <w:t xml:space="preserve"> lo expuesto, la Comisión concluye que, si bien las normas sobre injurias estaban establecidas de manera previa en una ley, la ambigüedad y amplitud de los artículos citados implican un incumplimiento del requisito de estricta legalidad en la imposición de restricciones de los derechos a la libertad de </w:t>
      </w:r>
      <w:r w:rsidR="006034A4">
        <w:rPr>
          <w:rFonts w:ascii="Cambria" w:hAnsi="Cambria"/>
          <w:sz w:val="20"/>
          <w:szCs w:val="20"/>
          <w:lang w:val="es-US"/>
        </w:rPr>
        <w:t>expresión de los periodistas</w:t>
      </w:r>
      <w:r w:rsidR="00E240E4" w:rsidRPr="00540E96">
        <w:rPr>
          <w:rFonts w:ascii="Cambria" w:hAnsi="Cambria"/>
          <w:sz w:val="20"/>
          <w:szCs w:val="20"/>
          <w:lang w:val="es-US"/>
        </w:rPr>
        <w:t xml:space="preserve">. Por ello, el Estado incurrió en la violación del artículo 13.1 y 13.2 de la Convención Americana, en relación con el artículo 1.1 de la misma. </w:t>
      </w:r>
      <w:r w:rsidR="00E240E4" w:rsidRPr="00540E96">
        <w:rPr>
          <w:rFonts w:ascii="Cambria" w:hAnsi="Cambria"/>
          <w:sz w:val="20"/>
          <w:szCs w:val="20"/>
          <w:lang w:val="es-ES"/>
        </w:rPr>
        <w:t>Del mismo modo, al haberse producido esta violación como consecuencia de la aplicación de una ley que no cumple con los requisitos de estricta legalidad y, e</w:t>
      </w:r>
      <w:r w:rsidR="00E240E4" w:rsidRPr="00540E96">
        <w:rPr>
          <w:rFonts w:ascii="Cambria" w:hAnsi="Cambria"/>
          <w:sz w:val="20"/>
          <w:szCs w:val="20"/>
          <w:lang w:val="es-ES_tradnl"/>
        </w:rPr>
        <w:t xml:space="preserve">n ejercicio de su competencia </w:t>
      </w:r>
      <w:r w:rsidR="00E240E4" w:rsidRPr="00540E96">
        <w:rPr>
          <w:rFonts w:ascii="Cambria" w:hAnsi="Cambria"/>
          <w:i/>
          <w:sz w:val="20"/>
          <w:szCs w:val="20"/>
          <w:lang w:val="es-ES_tradnl"/>
        </w:rPr>
        <w:t xml:space="preserve">iura novit curia </w:t>
      </w:r>
      <w:r w:rsidR="00E240E4" w:rsidRPr="00540E96">
        <w:rPr>
          <w:rFonts w:ascii="Cambria" w:hAnsi="Cambria"/>
          <w:sz w:val="20"/>
          <w:szCs w:val="20"/>
          <w:lang w:val="es-ES_tradnl"/>
        </w:rPr>
        <w:t>la Comisión concluye que</w:t>
      </w:r>
      <w:r w:rsidR="00E240E4" w:rsidRPr="00540E96">
        <w:rPr>
          <w:rFonts w:ascii="Cambria" w:hAnsi="Cambria"/>
          <w:sz w:val="20"/>
          <w:szCs w:val="20"/>
          <w:lang w:val="es-ES"/>
        </w:rPr>
        <w:t xml:space="preserve"> el Estado también incumplió el artículo 9 y 2 de la Convención.</w:t>
      </w:r>
    </w:p>
    <w:p w14:paraId="6212DD37" w14:textId="77777777" w:rsidR="00885C4F" w:rsidRPr="00540E96" w:rsidRDefault="00885C4F" w:rsidP="00E240E4">
      <w:pPr>
        <w:pStyle w:val="ListParagraph"/>
        <w:spacing w:before="0" w:after="0"/>
        <w:rPr>
          <w:sz w:val="20"/>
          <w:szCs w:val="20"/>
          <w:lang w:val="es-CO"/>
        </w:rPr>
      </w:pPr>
    </w:p>
    <w:p w14:paraId="08BD6206" w14:textId="77777777" w:rsidR="00885C4F" w:rsidRPr="00E239D8" w:rsidRDefault="00E240E4" w:rsidP="00E240E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CO"/>
        </w:rPr>
        <w:t>Por otro lado, c</w:t>
      </w:r>
      <w:r w:rsidR="00885C4F" w:rsidRPr="00540E96">
        <w:rPr>
          <w:rFonts w:ascii="Cambria" w:hAnsi="Cambria"/>
          <w:sz w:val="20"/>
          <w:szCs w:val="20"/>
          <w:lang w:val="es-CO"/>
        </w:rPr>
        <w:t xml:space="preserve">omo fue mencionado anteriormente, </w:t>
      </w:r>
      <w:r w:rsidR="00885C4F" w:rsidRPr="00E239D8">
        <w:rPr>
          <w:rFonts w:ascii="Cambria" w:hAnsi="Cambria"/>
          <w:sz w:val="20"/>
          <w:szCs w:val="20"/>
          <w:lang w:val="es-CO"/>
        </w:rPr>
        <w:t xml:space="preserve">si bien en el presente caso </w:t>
      </w:r>
      <w:r w:rsidR="00EE235D" w:rsidRPr="00E239D8">
        <w:rPr>
          <w:rFonts w:ascii="Cambria" w:hAnsi="Cambria"/>
          <w:sz w:val="20"/>
          <w:szCs w:val="20"/>
          <w:lang w:val="es-CO"/>
        </w:rPr>
        <w:t>la justicia desestimó</w:t>
      </w:r>
      <w:r w:rsidR="00885C4F" w:rsidRPr="00E239D8">
        <w:rPr>
          <w:rFonts w:ascii="Cambria" w:hAnsi="Cambria"/>
          <w:sz w:val="20"/>
          <w:szCs w:val="20"/>
          <w:lang w:val="es-CO"/>
        </w:rPr>
        <w:t xml:space="preserve"> una condena penal </w:t>
      </w:r>
      <w:r w:rsidR="009616DC" w:rsidRPr="00E239D8">
        <w:rPr>
          <w:rFonts w:ascii="Cambria" w:hAnsi="Cambria"/>
          <w:sz w:val="20"/>
          <w:szCs w:val="20"/>
          <w:lang w:val="es-CO"/>
        </w:rPr>
        <w:t>con base en los delitos prescritos en el C</w:t>
      </w:r>
      <w:r w:rsidR="00EE235D" w:rsidRPr="00E239D8">
        <w:rPr>
          <w:rFonts w:ascii="Cambria" w:hAnsi="Cambria"/>
          <w:sz w:val="20"/>
          <w:szCs w:val="20"/>
          <w:lang w:val="es-CO"/>
        </w:rPr>
        <w:t>ódigo P</w:t>
      </w:r>
      <w:r w:rsidR="009616DC" w:rsidRPr="00E239D8">
        <w:rPr>
          <w:rFonts w:ascii="Cambria" w:hAnsi="Cambria"/>
          <w:sz w:val="20"/>
          <w:szCs w:val="20"/>
          <w:lang w:val="es-CO"/>
        </w:rPr>
        <w:t xml:space="preserve">enal que permitieron la </w:t>
      </w:r>
      <w:r w:rsidR="00EE235D" w:rsidRPr="00E239D8">
        <w:rPr>
          <w:rFonts w:ascii="Cambria" w:hAnsi="Cambria"/>
          <w:sz w:val="20"/>
          <w:szCs w:val="20"/>
          <w:lang w:val="es-CO"/>
        </w:rPr>
        <w:t>tramitación</w:t>
      </w:r>
      <w:r w:rsidR="009616DC" w:rsidRPr="00E239D8">
        <w:rPr>
          <w:rFonts w:ascii="Cambria" w:hAnsi="Cambria"/>
          <w:sz w:val="20"/>
          <w:szCs w:val="20"/>
          <w:lang w:val="es-CO"/>
        </w:rPr>
        <w:t xml:space="preserve"> de un proceso penal por querella privada, el juez penal, de conformidad con la normativa vigente costarricense, </w:t>
      </w:r>
      <w:r w:rsidR="00DB0BDD" w:rsidRPr="00E239D8">
        <w:rPr>
          <w:rFonts w:ascii="Cambria" w:hAnsi="Cambria"/>
          <w:sz w:val="20"/>
          <w:szCs w:val="20"/>
          <w:lang w:val="es-CO"/>
        </w:rPr>
        <w:t xml:space="preserve">aplicó el artículo 1045 del Código Civil </w:t>
      </w:r>
      <w:r w:rsidR="00880C82" w:rsidRPr="00E239D8">
        <w:rPr>
          <w:rFonts w:ascii="Cambria" w:hAnsi="Cambria"/>
          <w:sz w:val="20"/>
          <w:szCs w:val="20"/>
          <w:lang w:val="es-CO"/>
        </w:rPr>
        <w:t>con base en el cual sancionó civilmente a los periodistas</w:t>
      </w:r>
      <w:r w:rsidR="00707C15" w:rsidRPr="00E239D8">
        <w:rPr>
          <w:rFonts w:ascii="Cambria" w:hAnsi="Cambria"/>
          <w:sz w:val="20"/>
          <w:szCs w:val="20"/>
          <w:lang w:val="es-CO"/>
        </w:rPr>
        <w:t>, al ministro, al diario y al Estado,</w:t>
      </w:r>
      <w:r w:rsidR="00880C82" w:rsidRPr="00E239D8">
        <w:rPr>
          <w:rFonts w:ascii="Cambria" w:hAnsi="Cambria"/>
          <w:sz w:val="20"/>
          <w:szCs w:val="20"/>
          <w:lang w:val="es-CO"/>
        </w:rPr>
        <w:t xml:space="preserve"> al pago </w:t>
      </w:r>
      <w:r w:rsidR="00707C15" w:rsidRPr="00E239D8">
        <w:rPr>
          <w:rFonts w:ascii="Cambria" w:hAnsi="Cambria"/>
          <w:sz w:val="20"/>
          <w:szCs w:val="20"/>
          <w:lang w:val="es-CO"/>
        </w:rPr>
        <w:t xml:space="preserve">solidario </w:t>
      </w:r>
      <w:r w:rsidR="00880C82" w:rsidRPr="00E239D8">
        <w:rPr>
          <w:rFonts w:ascii="Cambria" w:hAnsi="Cambria"/>
          <w:sz w:val="20"/>
          <w:szCs w:val="20"/>
          <w:lang w:val="es-CO"/>
        </w:rPr>
        <w:t>de una in</w:t>
      </w:r>
      <w:r w:rsidR="00707C15" w:rsidRPr="00E239D8">
        <w:rPr>
          <w:rFonts w:ascii="Cambria" w:hAnsi="Cambria"/>
          <w:sz w:val="20"/>
          <w:szCs w:val="20"/>
          <w:lang w:val="es-CO"/>
        </w:rPr>
        <w:t>demnización civil por el daño moral causado. Dicho artículo establece que</w:t>
      </w:r>
      <w:r w:rsidR="00787643" w:rsidRPr="00E239D8">
        <w:rPr>
          <w:rFonts w:ascii="Cambria" w:hAnsi="Cambria"/>
          <w:sz w:val="20"/>
          <w:szCs w:val="20"/>
          <w:lang w:val="es-CO"/>
        </w:rPr>
        <w:t>: “[t]</w:t>
      </w:r>
      <w:r w:rsidR="00102C99" w:rsidRPr="00E239D8">
        <w:rPr>
          <w:rFonts w:ascii="Cambria" w:hAnsi="Cambria"/>
          <w:sz w:val="20"/>
          <w:szCs w:val="20"/>
          <w:lang w:val="es-PE"/>
        </w:rPr>
        <w:t>odo aquel que por dolo, falta, negligencia o imprudencia, causa a otro un daño, está obligado a repararlo junto con los perjuicios</w:t>
      </w:r>
      <w:r w:rsidR="00787643" w:rsidRPr="00E239D8">
        <w:rPr>
          <w:rFonts w:ascii="Cambria" w:hAnsi="Cambria"/>
          <w:sz w:val="20"/>
          <w:szCs w:val="20"/>
          <w:lang w:val="es-PE"/>
        </w:rPr>
        <w:t xml:space="preserve">”. </w:t>
      </w:r>
    </w:p>
    <w:p w14:paraId="646627E4" w14:textId="77777777" w:rsidR="009475B7" w:rsidRPr="00E239D8" w:rsidRDefault="009475B7" w:rsidP="00E240E4">
      <w:pPr>
        <w:pStyle w:val="ListParagraph"/>
        <w:spacing w:before="0" w:after="0"/>
        <w:rPr>
          <w:sz w:val="20"/>
          <w:szCs w:val="20"/>
          <w:lang w:val="es-CO"/>
        </w:rPr>
      </w:pPr>
    </w:p>
    <w:p w14:paraId="3E153A02" w14:textId="77777777" w:rsidR="00A73625" w:rsidRPr="00A53D05" w:rsidRDefault="00E267DD" w:rsidP="00E240E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E239D8">
        <w:rPr>
          <w:rFonts w:ascii="Cambria" w:hAnsi="Cambria"/>
          <w:sz w:val="20"/>
          <w:szCs w:val="20"/>
          <w:lang w:val="es-CO"/>
        </w:rPr>
        <w:t>La redacción del a</w:t>
      </w:r>
      <w:r w:rsidR="00965A52" w:rsidRPr="00E239D8">
        <w:rPr>
          <w:rFonts w:ascii="Cambria" w:hAnsi="Cambria"/>
          <w:sz w:val="20"/>
          <w:szCs w:val="20"/>
          <w:lang w:val="es-CO"/>
        </w:rPr>
        <w:t xml:space="preserve">rtículo </w:t>
      </w:r>
      <w:r w:rsidRPr="00E239D8">
        <w:rPr>
          <w:rFonts w:ascii="Cambria" w:hAnsi="Cambria"/>
          <w:sz w:val="20"/>
          <w:szCs w:val="20"/>
          <w:lang w:val="es-CO"/>
        </w:rPr>
        <w:t xml:space="preserve">1045 del Código Civil es </w:t>
      </w:r>
      <w:r w:rsidR="001A4914" w:rsidRPr="00E239D8">
        <w:rPr>
          <w:rFonts w:ascii="Cambria" w:hAnsi="Cambria"/>
          <w:sz w:val="20"/>
          <w:szCs w:val="20"/>
          <w:lang w:val="es-CO"/>
        </w:rPr>
        <w:t>vag</w:t>
      </w:r>
      <w:r w:rsidR="004D79AF" w:rsidRPr="00E239D8">
        <w:rPr>
          <w:rFonts w:ascii="Cambria" w:hAnsi="Cambria"/>
          <w:sz w:val="20"/>
          <w:szCs w:val="20"/>
          <w:lang w:val="es-CO"/>
        </w:rPr>
        <w:t>a</w:t>
      </w:r>
      <w:r w:rsidR="001A4914" w:rsidRPr="00E239D8">
        <w:rPr>
          <w:rFonts w:ascii="Cambria" w:hAnsi="Cambria"/>
          <w:sz w:val="20"/>
          <w:szCs w:val="20"/>
          <w:lang w:val="es-CO"/>
        </w:rPr>
        <w:t xml:space="preserve"> y otorga un margen </w:t>
      </w:r>
      <w:r w:rsidR="004D79AF" w:rsidRPr="00E239D8">
        <w:rPr>
          <w:rFonts w:ascii="Cambria" w:hAnsi="Cambria"/>
          <w:sz w:val="20"/>
          <w:szCs w:val="20"/>
          <w:lang w:val="es-CO"/>
        </w:rPr>
        <w:t xml:space="preserve">amplio </w:t>
      </w:r>
      <w:r w:rsidR="001A4914" w:rsidRPr="00E239D8">
        <w:rPr>
          <w:rFonts w:ascii="Cambria" w:hAnsi="Cambria"/>
          <w:sz w:val="20"/>
          <w:szCs w:val="20"/>
          <w:lang w:val="es-CO"/>
        </w:rPr>
        <w:t>de discrecionalidad al juez. Sin embargo, la Corte Interamericana ha señalado</w:t>
      </w:r>
      <w:r w:rsidR="00737A1F" w:rsidRPr="00E239D8">
        <w:rPr>
          <w:rFonts w:ascii="Cambria" w:hAnsi="Cambria"/>
          <w:sz w:val="20"/>
          <w:szCs w:val="20"/>
          <w:lang w:val="es-CO"/>
        </w:rPr>
        <w:t xml:space="preserve"> que “</w:t>
      </w:r>
      <w:r w:rsidR="00737A1F" w:rsidRPr="00E239D8">
        <w:rPr>
          <w:rFonts w:ascii="Cambria" w:hAnsi="Cambria"/>
          <w:sz w:val="20"/>
          <w:szCs w:val="20"/>
          <w:lang w:val="es-PE"/>
        </w:rPr>
        <w:t>el grado de precisión requerido a la legislación interna depende considerablemente de la materia. La precisión de una norma civil puede ser diferente a la requerida por el principio de legalidad en materia penal, por la naturaleza de los conflictos que la primera está destinada a resolver. No puede exigirse que la norma civil, al contrario de lo que usualmente ocurre con las normas penales, prevea con extrema precisión los supuestos de hecho que puedan presentarse; ello impediría que la norma civil resolviera una innumerable cantidad de conflictos que la realidad ofrece en forma permanente y que resulta de imposible previsión para el legislador</w:t>
      </w:r>
      <w:r w:rsidR="009110C1" w:rsidRPr="00E239D8">
        <w:rPr>
          <w:rFonts w:ascii="Cambria" w:hAnsi="Cambria"/>
          <w:sz w:val="20"/>
          <w:szCs w:val="20"/>
          <w:lang w:val="es-PE"/>
        </w:rPr>
        <w:t>”</w:t>
      </w:r>
      <w:r w:rsidR="006E2752" w:rsidRPr="00E239D8">
        <w:rPr>
          <w:rFonts w:ascii="Cambria" w:hAnsi="Cambria"/>
          <w:sz w:val="20"/>
          <w:szCs w:val="20"/>
          <w:lang w:val="es-PE"/>
        </w:rPr>
        <w:t xml:space="preserve"> […]</w:t>
      </w:r>
      <w:r w:rsidR="004D79AF" w:rsidRPr="00E239D8">
        <w:rPr>
          <w:rFonts w:ascii="Cambria" w:hAnsi="Cambria"/>
          <w:sz w:val="20"/>
          <w:szCs w:val="20"/>
          <w:lang w:val="es-PE"/>
        </w:rPr>
        <w:t>.</w:t>
      </w:r>
      <w:r w:rsidR="006E2752" w:rsidRPr="00E239D8">
        <w:rPr>
          <w:rFonts w:ascii="Cambria" w:hAnsi="Cambria"/>
          <w:sz w:val="20"/>
          <w:szCs w:val="20"/>
          <w:lang w:val="es-PE"/>
        </w:rPr>
        <w:t xml:space="preserve"> “</w:t>
      </w:r>
      <w:r w:rsidR="004D79AF" w:rsidRPr="00E239D8">
        <w:rPr>
          <w:rFonts w:ascii="Cambria" w:hAnsi="Cambria"/>
          <w:sz w:val="20"/>
          <w:szCs w:val="20"/>
          <w:lang w:val="es-PE"/>
        </w:rPr>
        <w:t>[S]</w:t>
      </w:r>
      <w:r w:rsidR="00737A1F" w:rsidRPr="00E239D8">
        <w:rPr>
          <w:rFonts w:ascii="Cambria" w:hAnsi="Cambria"/>
          <w:sz w:val="20"/>
          <w:szCs w:val="20"/>
          <w:lang w:val="es-PE"/>
        </w:rPr>
        <w:t>i bien la certeza en la ley es altamente deseable, ello puede traer una rigidez excesiva. Por otra parte, la ley debe ser capaz de mantenerse vigente a pesar de las circunstancias cambiantes</w:t>
      </w:r>
      <w:r w:rsidR="00A73625" w:rsidRPr="00E239D8">
        <w:rPr>
          <w:rFonts w:ascii="Cambria" w:hAnsi="Cambria"/>
          <w:sz w:val="20"/>
          <w:szCs w:val="20"/>
          <w:lang w:val="es-PE"/>
        </w:rPr>
        <w:t>”</w:t>
      </w:r>
      <w:r w:rsidR="006E2752" w:rsidRPr="00E239D8">
        <w:rPr>
          <w:rStyle w:val="FootnoteReference"/>
          <w:rFonts w:ascii="Cambria" w:hAnsi="Cambria"/>
          <w:sz w:val="20"/>
          <w:szCs w:val="20"/>
          <w:lang w:val="es-PE"/>
        </w:rPr>
        <w:footnoteReference w:id="107"/>
      </w:r>
      <w:r w:rsidR="00737A1F" w:rsidRPr="00E239D8">
        <w:rPr>
          <w:rFonts w:ascii="Cambria" w:hAnsi="Cambria"/>
          <w:sz w:val="20"/>
          <w:szCs w:val="20"/>
          <w:lang w:val="es-PE"/>
        </w:rPr>
        <w:t>.</w:t>
      </w:r>
      <w:r w:rsidR="00214B9D" w:rsidRPr="00E239D8">
        <w:rPr>
          <w:rFonts w:ascii="Cambria" w:hAnsi="Cambria"/>
          <w:sz w:val="20"/>
          <w:szCs w:val="20"/>
          <w:lang w:val="es-PE"/>
        </w:rPr>
        <w:t xml:space="preserve"> Sin perjuicio de ello, la CIDH ha considerado pertinente que las normas civiles que tengan como objetivo la protección del honor </w:t>
      </w:r>
      <w:r w:rsidR="00214B9D" w:rsidRPr="00E239D8">
        <w:rPr>
          <w:rFonts w:ascii="Cambria" w:hAnsi="Cambria"/>
          <w:sz w:val="20"/>
          <w:szCs w:val="20"/>
          <w:lang w:val="es-CO"/>
        </w:rPr>
        <w:t xml:space="preserve">y la reputación </w:t>
      </w:r>
      <w:r w:rsidR="00214B9D" w:rsidRPr="00E239D8">
        <w:rPr>
          <w:rFonts w:ascii="Cambria" w:hAnsi="Cambria"/>
          <w:sz w:val="20"/>
          <w:szCs w:val="20"/>
          <w:lang w:val="es-PE"/>
        </w:rPr>
        <w:t xml:space="preserve">o la privacidad </w:t>
      </w:r>
      <w:r w:rsidR="00214B9D" w:rsidRPr="00E239D8">
        <w:rPr>
          <w:rFonts w:ascii="Cambria" w:hAnsi="Cambria"/>
          <w:sz w:val="20"/>
          <w:szCs w:val="20"/>
          <w:lang w:val="es-CO"/>
        </w:rPr>
        <w:t>de los funcionarios o personas públicas</w:t>
      </w:r>
      <w:r w:rsidR="00214B9D" w:rsidRPr="00E239D8">
        <w:rPr>
          <w:rFonts w:ascii="Cambria" w:hAnsi="Cambria"/>
          <w:sz w:val="20"/>
          <w:szCs w:val="20"/>
          <w:lang w:val="es-PE"/>
        </w:rPr>
        <w:t xml:space="preserve"> en casos de interés público, </w:t>
      </w:r>
      <w:r w:rsidR="003B003D" w:rsidRPr="00E239D8">
        <w:rPr>
          <w:rFonts w:ascii="Cambria" w:hAnsi="Cambria"/>
          <w:sz w:val="20"/>
          <w:szCs w:val="20"/>
          <w:lang w:val="es-PE"/>
        </w:rPr>
        <w:t>incluyan</w:t>
      </w:r>
      <w:r w:rsidR="00214B9D" w:rsidRPr="00E239D8">
        <w:rPr>
          <w:rFonts w:ascii="Cambria" w:hAnsi="Cambria"/>
          <w:sz w:val="20"/>
          <w:szCs w:val="20"/>
          <w:lang w:val="es-PE"/>
        </w:rPr>
        <w:t xml:space="preserve"> </w:t>
      </w:r>
      <w:r w:rsidR="00214B9D" w:rsidRPr="00A53D05">
        <w:rPr>
          <w:rFonts w:ascii="Cambria" w:hAnsi="Cambria"/>
          <w:sz w:val="20"/>
          <w:szCs w:val="20"/>
          <w:lang w:val="es-PE"/>
        </w:rPr>
        <w:t xml:space="preserve">criterios de necesidad y proporcionalidad para establecer la responsabilidad ulterior, </w:t>
      </w:r>
      <w:r w:rsidR="003B003D" w:rsidRPr="00A53D05">
        <w:rPr>
          <w:rFonts w:ascii="Cambria" w:hAnsi="Cambria"/>
          <w:sz w:val="20"/>
          <w:szCs w:val="20"/>
          <w:lang w:val="es-PE"/>
        </w:rPr>
        <w:t xml:space="preserve">tales </w:t>
      </w:r>
      <w:r w:rsidR="00214B9D" w:rsidRPr="00A53D05">
        <w:rPr>
          <w:rFonts w:ascii="Cambria" w:hAnsi="Cambria"/>
          <w:sz w:val="20"/>
          <w:szCs w:val="20"/>
          <w:lang w:val="es-PE"/>
        </w:rPr>
        <w:t xml:space="preserve">como </w:t>
      </w:r>
      <w:r w:rsidR="00EE235D" w:rsidRPr="00A53D05">
        <w:rPr>
          <w:rFonts w:ascii="Cambria" w:hAnsi="Cambria"/>
          <w:sz w:val="20"/>
          <w:szCs w:val="20"/>
          <w:lang w:val="es-PE"/>
        </w:rPr>
        <w:t xml:space="preserve">establecer </w:t>
      </w:r>
      <w:r w:rsidR="003B003D" w:rsidRPr="00A53D05">
        <w:rPr>
          <w:rFonts w:ascii="Cambria" w:hAnsi="Cambria"/>
          <w:sz w:val="20"/>
          <w:szCs w:val="20"/>
          <w:lang w:val="es-PE"/>
        </w:rPr>
        <w:t>como</w:t>
      </w:r>
      <w:r w:rsidR="00EE235D" w:rsidRPr="00A53D05">
        <w:rPr>
          <w:rFonts w:ascii="Cambria" w:hAnsi="Cambria"/>
          <w:sz w:val="20"/>
          <w:szCs w:val="20"/>
          <w:lang w:val="es-PE"/>
        </w:rPr>
        <w:t xml:space="preserve"> factor de atribución la</w:t>
      </w:r>
      <w:r w:rsidR="00214B9D" w:rsidRPr="00A53D05">
        <w:rPr>
          <w:rFonts w:ascii="Cambria" w:hAnsi="Cambria"/>
          <w:sz w:val="20"/>
          <w:szCs w:val="20"/>
          <w:lang w:val="es-PE"/>
        </w:rPr>
        <w:t xml:space="preserve"> real malicia </w:t>
      </w:r>
      <w:r w:rsidR="003B003D" w:rsidRPr="00A53D05">
        <w:rPr>
          <w:rFonts w:ascii="Cambria" w:hAnsi="Cambria"/>
          <w:sz w:val="20"/>
          <w:szCs w:val="20"/>
          <w:lang w:val="es-PE"/>
        </w:rPr>
        <w:t xml:space="preserve">de quien se expresa </w:t>
      </w:r>
      <w:r w:rsidR="00EE235D" w:rsidRPr="00A53D05">
        <w:rPr>
          <w:rFonts w:ascii="Cambria" w:hAnsi="Cambria"/>
          <w:sz w:val="20"/>
          <w:szCs w:val="20"/>
          <w:lang w:val="es-PE"/>
        </w:rPr>
        <w:t xml:space="preserve">o cuando el desprecio por la verdad guía </w:t>
      </w:r>
      <w:r w:rsidR="00214B9D" w:rsidRPr="00A53D05">
        <w:rPr>
          <w:rFonts w:ascii="Cambria" w:hAnsi="Cambria"/>
          <w:sz w:val="20"/>
          <w:szCs w:val="20"/>
          <w:lang w:val="es-PE"/>
        </w:rPr>
        <w:t>la búsqueda</w:t>
      </w:r>
      <w:r w:rsidR="00EE235D" w:rsidRPr="00A53D05">
        <w:rPr>
          <w:rFonts w:ascii="Cambria" w:hAnsi="Cambria"/>
          <w:sz w:val="20"/>
          <w:szCs w:val="20"/>
          <w:lang w:val="es-PE"/>
        </w:rPr>
        <w:t xml:space="preserve"> </w:t>
      </w:r>
      <w:r w:rsidR="0009137A" w:rsidRPr="00A53D05">
        <w:rPr>
          <w:rFonts w:ascii="Cambria" w:hAnsi="Cambria"/>
          <w:sz w:val="20"/>
          <w:szCs w:val="20"/>
          <w:lang w:val="es-PE"/>
        </w:rPr>
        <w:t xml:space="preserve">y </w:t>
      </w:r>
      <w:r w:rsidR="00EE235D" w:rsidRPr="00A53D05">
        <w:rPr>
          <w:rFonts w:ascii="Cambria" w:hAnsi="Cambria"/>
          <w:sz w:val="20"/>
          <w:szCs w:val="20"/>
          <w:lang w:val="es-PE"/>
        </w:rPr>
        <w:t>dif</w:t>
      </w:r>
      <w:r w:rsidR="00372BDF" w:rsidRPr="00A53D05">
        <w:rPr>
          <w:rFonts w:ascii="Cambria" w:hAnsi="Cambria"/>
          <w:sz w:val="20"/>
          <w:szCs w:val="20"/>
          <w:lang w:val="es-PE"/>
        </w:rPr>
        <w:t>u</w:t>
      </w:r>
      <w:r w:rsidR="00EE235D" w:rsidRPr="00A53D05">
        <w:rPr>
          <w:rFonts w:ascii="Cambria" w:hAnsi="Cambria"/>
          <w:sz w:val="20"/>
          <w:szCs w:val="20"/>
          <w:lang w:val="es-PE"/>
        </w:rPr>
        <w:t>sión</w:t>
      </w:r>
      <w:r w:rsidR="00214B9D" w:rsidRPr="00A53D05">
        <w:rPr>
          <w:rFonts w:ascii="Cambria" w:hAnsi="Cambria"/>
          <w:sz w:val="20"/>
          <w:szCs w:val="20"/>
          <w:lang w:val="es-PE"/>
        </w:rPr>
        <w:t xml:space="preserve"> de información</w:t>
      </w:r>
      <w:r w:rsidR="00214B9D" w:rsidRPr="00A53D05">
        <w:rPr>
          <w:rStyle w:val="FootnoteReference"/>
          <w:rFonts w:ascii="Cambria" w:hAnsi="Cambria"/>
          <w:sz w:val="20"/>
          <w:szCs w:val="20"/>
          <w:lang w:val="es-CO"/>
        </w:rPr>
        <w:footnoteReference w:id="108"/>
      </w:r>
      <w:r w:rsidR="00214B9D" w:rsidRPr="00A53D05">
        <w:rPr>
          <w:rFonts w:ascii="Cambria" w:hAnsi="Cambria"/>
          <w:sz w:val="20"/>
          <w:szCs w:val="20"/>
          <w:lang w:val="es-CO"/>
        </w:rPr>
        <w:t xml:space="preserve">. </w:t>
      </w:r>
    </w:p>
    <w:p w14:paraId="4F5F32F2" w14:textId="77777777" w:rsidR="002E456C" w:rsidRPr="00A53D05" w:rsidRDefault="00E239D8" w:rsidP="00E239D8">
      <w:pPr>
        <w:pBdr>
          <w:top w:val="none" w:sz="0" w:space="0" w:color="auto"/>
          <w:left w:val="none" w:sz="0" w:space="0" w:color="auto"/>
          <w:bottom w:val="none" w:sz="0" w:space="0" w:color="auto"/>
          <w:right w:val="none" w:sz="0" w:space="0" w:color="auto"/>
          <w:between w:val="none" w:sz="0" w:space="0" w:color="auto"/>
          <w:bar w:val="none" w:sz="0" w:color="auto"/>
        </w:pBdr>
        <w:tabs>
          <w:tab w:val="left" w:pos="8077"/>
        </w:tabs>
        <w:jc w:val="both"/>
        <w:rPr>
          <w:sz w:val="20"/>
          <w:szCs w:val="20"/>
          <w:lang w:val="es-CO"/>
        </w:rPr>
      </w:pPr>
      <w:r w:rsidRPr="00A53D05">
        <w:rPr>
          <w:sz w:val="20"/>
          <w:szCs w:val="20"/>
          <w:lang w:val="es-CO"/>
        </w:rPr>
        <w:tab/>
      </w:r>
    </w:p>
    <w:p w14:paraId="12324E0D" w14:textId="77777777" w:rsidR="00372BDF" w:rsidRPr="00A53D05" w:rsidRDefault="002E456C" w:rsidP="00616B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A53D05">
        <w:rPr>
          <w:rFonts w:ascii="Cambria" w:hAnsi="Cambria"/>
          <w:sz w:val="20"/>
          <w:szCs w:val="20"/>
          <w:lang w:val="es-CO"/>
        </w:rPr>
        <w:t>En el presente caso, la Comisión considera que la disposición del Código Civil</w:t>
      </w:r>
      <w:r w:rsidR="003B003D" w:rsidRPr="00A53D05">
        <w:rPr>
          <w:rFonts w:ascii="Cambria" w:hAnsi="Cambria"/>
          <w:sz w:val="20"/>
          <w:szCs w:val="20"/>
          <w:lang w:val="es-CO"/>
        </w:rPr>
        <w:t xml:space="preserve"> de Costa Rica</w:t>
      </w:r>
      <w:r w:rsidR="002F52FF" w:rsidRPr="00A53D05">
        <w:rPr>
          <w:rFonts w:ascii="Cambria" w:hAnsi="Cambria"/>
          <w:sz w:val="20"/>
          <w:szCs w:val="20"/>
          <w:lang w:val="es-CO"/>
        </w:rPr>
        <w:t>, si bien</w:t>
      </w:r>
      <w:r w:rsidR="0009137A" w:rsidRPr="00A53D05">
        <w:rPr>
          <w:rFonts w:ascii="Cambria" w:hAnsi="Cambria"/>
          <w:sz w:val="20"/>
          <w:szCs w:val="20"/>
          <w:lang w:val="es-CO"/>
        </w:rPr>
        <w:t xml:space="preserve"> se encuentra</w:t>
      </w:r>
      <w:r w:rsidR="002F52FF" w:rsidRPr="00A53D05">
        <w:rPr>
          <w:rFonts w:ascii="Cambria" w:hAnsi="Cambria"/>
          <w:sz w:val="20"/>
          <w:szCs w:val="20"/>
          <w:lang w:val="es-CO"/>
        </w:rPr>
        <w:t xml:space="preserve"> redactada de manera general,</w:t>
      </w:r>
      <w:r w:rsidRPr="00A53D05">
        <w:rPr>
          <w:rFonts w:ascii="Cambria" w:hAnsi="Cambria"/>
          <w:sz w:val="20"/>
          <w:szCs w:val="20"/>
          <w:lang w:val="es-CO"/>
        </w:rPr>
        <w:t xml:space="preserve"> </w:t>
      </w:r>
      <w:r w:rsidR="00110CDA" w:rsidRPr="00A53D05">
        <w:rPr>
          <w:rFonts w:ascii="Cambria" w:hAnsi="Cambria"/>
          <w:sz w:val="20"/>
          <w:szCs w:val="20"/>
          <w:lang w:val="es-CO"/>
        </w:rPr>
        <w:t xml:space="preserve">permite </w:t>
      </w:r>
      <w:r w:rsidR="002F52FF" w:rsidRPr="00A53D05">
        <w:rPr>
          <w:rFonts w:ascii="Cambria" w:hAnsi="Cambria"/>
          <w:sz w:val="20"/>
          <w:szCs w:val="20"/>
          <w:lang w:val="es-PE"/>
        </w:rPr>
        <w:t xml:space="preserve">a las personas, </w:t>
      </w:r>
      <w:r w:rsidR="002F52FF" w:rsidRPr="00A53D05">
        <w:rPr>
          <w:rFonts w:ascii="Cambria" w:hAnsi="Cambria"/>
          <w:sz w:val="20"/>
          <w:szCs w:val="20"/>
          <w:lang w:val="es-CO"/>
        </w:rPr>
        <w:t xml:space="preserve">en </w:t>
      </w:r>
      <w:r w:rsidR="00712068" w:rsidRPr="00A53D05">
        <w:rPr>
          <w:rFonts w:ascii="Cambria" w:hAnsi="Cambria"/>
          <w:sz w:val="20"/>
          <w:szCs w:val="20"/>
          <w:lang w:val="es-PE"/>
        </w:rPr>
        <w:t xml:space="preserve">grado suficiente, regular sus conductas y prever razonablemente las consecuencias de su infracción. De tal modo que </w:t>
      </w:r>
      <w:r w:rsidR="00A45AAF" w:rsidRPr="00A53D05">
        <w:rPr>
          <w:rFonts w:ascii="Cambria" w:hAnsi="Cambria"/>
          <w:sz w:val="20"/>
          <w:szCs w:val="20"/>
          <w:lang w:val="es-PE"/>
        </w:rPr>
        <w:t xml:space="preserve">evaluar si </w:t>
      </w:r>
      <w:r w:rsidR="00712068" w:rsidRPr="00A53D05">
        <w:rPr>
          <w:rFonts w:ascii="Cambria" w:hAnsi="Cambria"/>
          <w:sz w:val="20"/>
          <w:szCs w:val="20"/>
          <w:lang w:val="es-PE"/>
        </w:rPr>
        <w:t>su</w:t>
      </w:r>
      <w:r w:rsidR="00A45AAF" w:rsidRPr="00A53D05">
        <w:rPr>
          <w:rFonts w:ascii="Cambria" w:hAnsi="Cambria"/>
          <w:sz w:val="20"/>
          <w:szCs w:val="20"/>
          <w:lang w:val="es-PE"/>
        </w:rPr>
        <w:t xml:space="preserve"> aplicación resulta</w:t>
      </w:r>
      <w:r w:rsidR="00712068" w:rsidRPr="00A53D05">
        <w:rPr>
          <w:rFonts w:ascii="Cambria" w:hAnsi="Cambria"/>
          <w:sz w:val="20"/>
          <w:szCs w:val="20"/>
          <w:lang w:val="es-PE"/>
        </w:rPr>
        <w:t xml:space="preserve"> conforme a la Convención dependerá de su interpretación judicial en el caso concreto.</w:t>
      </w:r>
      <w:r w:rsidR="00DF04EC" w:rsidRPr="00A53D05">
        <w:rPr>
          <w:rFonts w:ascii="Cambria" w:hAnsi="Cambria"/>
          <w:sz w:val="20"/>
          <w:szCs w:val="20"/>
          <w:lang w:val="es-PE"/>
        </w:rPr>
        <w:t xml:space="preserve"> </w:t>
      </w:r>
      <w:r w:rsidR="003551A3">
        <w:rPr>
          <w:rFonts w:ascii="Cambria" w:hAnsi="Cambria"/>
          <w:sz w:val="20"/>
          <w:szCs w:val="20"/>
          <w:lang w:val="es-PE"/>
        </w:rPr>
        <w:t xml:space="preserve">La </w:t>
      </w:r>
      <w:r w:rsidR="00A45AAF" w:rsidRPr="00A53D05">
        <w:rPr>
          <w:rFonts w:ascii="Cambria" w:hAnsi="Cambria"/>
          <w:sz w:val="20"/>
          <w:szCs w:val="20"/>
          <w:lang w:val="es-PE"/>
        </w:rPr>
        <w:t xml:space="preserve">Comisión considera que, si bien perfectible, </w:t>
      </w:r>
      <w:r w:rsidR="00712068" w:rsidRPr="00A53D05">
        <w:rPr>
          <w:rFonts w:ascii="Cambria" w:hAnsi="Cambria"/>
          <w:sz w:val="20"/>
          <w:szCs w:val="20"/>
          <w:lang w:val="es-PE"/>
        </w:rPr>
        <w:t xml:space="preserve">la norma </w:t>
      </w:r>
      <w:r w:rsidR="00A45AAF" w:rsidRPr="00A53D05">
        <w:rPr>
          <w:rFonts w:ascii="Cambria" w:hAnsi="Cambria"/>
          <w:sz w:val="20"/>
          <w:szCs w:val="20"/>
          <w:lang w:val="es-PE"/>
        </w:rPr>
        <w:t xml:space="preserve">civil </w:t>
      </w:r>
      <w:r w:rsidR="00712068" w:rsidRPr="00A53D05">
        <w:rPr>
          <w:rFonts w:ascii="Cambria" w:hAnsi="Cambria"/>
          <w:sz w:val="20"/>
          <w:szCs w:val="20"/>
          <w:lang w:val="es-PE"/>
        </w:rPr>
        <w:t>en sí misma</w:t>
      </w:r>
      <w:r w:rsidR="00A45AAF" w:rsidRPr="00A53D05">
        <w:rPr>
          <w:rFonts w:ascii="Cambria" w:hAnsi="Cambria"/>
          <w:sz w:val="20"/>
          <w:szCs w:val="20"/>
          <w:lang w:val="es-PE"/>
        </w:rPr>
        <w:t xml:space="preserve"> no es</w:t>
      </w:r>
      <w:r w:rsidR="00712068" w:rsidRPr="00A53D05">
        <w:rPr>
          <w:rFonts w:ascii="Cambria" w:hAnsi="Cambria"/>
          <w:sz w:val="20"/>
          <w:szCs w:val="20"/>
          <w:lang w:val="es-PE"/>
        </w:rPr>
        <w:t xml:space="preserve"> incompatible co</w:t>
      </w:r>
      <w:r w:rsidR="003F1B4C" w:rsidRPr="00A53D05">
        <w:rPr>
          <w:rFonts w:ascii="Cambria" w:hAnsi="Cambria"/>
          <w:sz w:val="20"/>
          <w:szCs w:val="20"/>
          <w:lang w:val="es-PE"/>
        </w:rPr>
        <w:t xml:space="preserve">n la </w:t>
      </w:r>
      <w:r w:rsidR="00457F8B" w:rsidRPr="00A53D05">
        <w:rPr>
          <w:rFonts w:ascii="Cambria" w:hAnsi="Cambria"/>
          <w:sz w:val="20"/>
          <w:szCs w:val="20"/>
          <w:lang w:val="es-PE"/>
        </w:rPr>
        <w:t>Convención Americana, sino que</w:t>
      </w:r>
      <w:r w:rsidR="003551A3">
        <w:rPr>
          <w:rFonts w:ascii="Cambria" w:hAnsi="Cambria"/>
          <w:sz w:val="20"/>
          <w:szCs w:val="20"/>
          <w:lang w:val="es-PE"/>
        </w:rPr>
        <w:t xml:space="preserve">, en el caso que nos ocupa, fue </w:t>
      </w:r>
      <w:r w:rsidR="003551A3" w:rsidRPr="00A53D05">
        <w:rPr>
          <w:rFonts w:ascii="Cambria" w:hAnsi="Cambria"/>
          <w:sz w:val="20"/>
          <w:szCs w:val="20"/>
          <w:lang w:val="es-PE"/>
        </w:rPr>
        <w:t>su aplicación por</w:t>
      </w:r>
      <w:r w:rsidR="003551A3">
        <w:rPr>
          <w:rFonts w:ascii="Cambria" w:hAnsi="Cambria"/>
          <w:sz w:val="20"/>
          <w:szCs w:val="20"/>
          <w:lang w:val="es-PE"/>
        </w:rPr>
        <w:t xml:space="preserve"> parte de</w:t>
      </w:r>
      <w:r w:rsidR="003551A3" w:rsidRPr="00A53D05">
        <w:rPr>
          <w:rFonts w:ascii="Cambria" w:hAnsi="Cambria"/>
          <w:sz w:val="20"/>
          <w:szCs w:val="20"/>
          <w:lang w:val="es-PE"/>
        </w:rPr>
        <w:t xml:space="preserve"> las autoridades judiciales del Estado </w:t>
      </w:r>
      <w:r w:rsidR="003551A3">
        <w:rPr>
          <w:rFonts w:ascii="Cambria" w:hAnsi="Cambria"/>
          <w:sz w:val="20"/>
          <w:szCs w:val="20"/>
          <w:lang w:val="es-PE"/>
        </w:rPr>
        <w:t xml:space="preserve">la que generó dicha incompatibilidad. </w:t>
      </w:r>
      <w:r w:rsidR="00A53D05" w:rsidRPr="00A53D05">
        <w:rPr>
          <w:rFonts w:ascii="Cambria" w:hAnsi="Cambria"/>
          <w:sz w:val="20"/>
          <w:szCs w:val="20"/>
          <w:lang w:val="es-PE"/>
        </w:rPr>
        <w:t>La aplicación de la norma civil debe</w:t>
      </w:r>
      <w:r w:rsidR="007E4A19" w:rsidRPr="00A53D05">
        <w:rPr>
          <w:rFonts w:ascii="Cambria" w:hAnsi="Cambria"/>
          <w:sz w:val="20"/>
          <w:szCs w:val="20"/>
          <w:lang w:val="es-PE"/>
        </w:rPr>
        <w:t xml:space="preserve"> hacerse </w:t>
      </w:r>
      <w:r w:rsidR="004A1A31" w:rsidRPr="00A53D05">
        <w:rPr>
          <w:rFonts w:ascii="Cambria" w:hAnsi="Cambria"/>
          <w:sz w:val="20"/>
          <w:szCs w:val="20"/>
          <w:lang w:val="es-PE"/>
        </w:rPr>
        <w:t>de acuerdo con</w:t>
      </w:r>
      <w:r w:rsidR="007E4A19" w:rsidRPr="00A53D05">
        <w:rPr>
          <w:rFonts w:ascii="Cambria" w:hAnsi="Cambria"/>
          <w:sz w:val="20"/>
          <w:szCs w:val="20"/>
          <w:lang w:val="es-PE"/>
        </w:rPr>
        <w:t xml:space="preserve"> los criterios </w:t>
      </w:r>
      <w:r w:rsidR="004C35E8" w:rsidRPr="00A53D05">
        <w:rPr>
          <w:rFonts w:ascii="Cambria" w:hAnsi="Cambria"/>
          <w:sz w:val="20"/>
          <w:szCs w:val="20"/>
          <w:lang w:val="es-PE"/>
        </w:rPr>
        <w:t xml:space="preserve">establecidos </w:t>
      </w:r>
      <w:r w:rsidR="004C35E8" w:rsidRPr="00A53D05">
        <w:rPr>
          <w:rFonts w:ascii="Cambria" w:hAnsi="Cambria"/>
          <w:i/>
          <w:iCs/>
          <w:sz w:val="20"/>
          <w:szCs w:val="20"/>
          <w:lang w:val="es-PE"/>
        </w:rPr>
        <w:t>ut supra</w:t>
      </w:r>
      <w:r w:rsidR="004C35E8" w:rsidRPr="00A53D05">
        <w:rPr>
          <w:rFonts w:ascii="Cambria" w:hAnsi="Cambria"/>
          <w:sz w:val="20"/>
          <w:szCs w:val="20"/>
          <w:lang w:val="es-PE"/>
        </w:rPr>
        <w:t>, de modo que las indemnizaciones civiles no impliquen una inhibición o autocensura de quienes ejercen su derecho a la libertad de expresión</w:t>
      </w:r>
      <w:r w:rsidR="002E2438" w:rsidRPr="00A53D05">
        <w:rPr>
          <w:rFonts w:ascii="Cambria" w:hAnsi="Cambria"/>
          <w:sz w:val="20"/>
          <w:szCs w:val="20"/>
          <w:lang w:val="es-PE"/>
        </w:rPr>
        <w:t>, como</w:t>
      </w:r>
      <w:r w:rsidR="004E019B" w:rsidRPr="00A53D05">
        <w:rPr>
          <w:rFonts w:ascii="Cambria" w:hAnsi="Cambria"/>
          <w:sz w:val="20"/>
          <w:szCs w:val="20"/>
          <w:lang w:val="es-PE"/>
        </w:rPr>
        <w:t xml:space="preserve"> </w:t>
      </w:r>
      <w:r w:rsidR="00D0542D" w:rsidRPr="00A53D05">
        <w:rPr>
          <w:rFonts w:ascii="Cambria" w:hAnsi="Cambria"/>
          <w:sz w:val="20"/>
          <w:szCs w:val="20"/>
          <w:lang w:val="es-PE"/>
        </w:rPr>
        <w:t>será analizado a continuación.</w:t>
      </w:r>
    </w:p>
    <w:p w14:paraId="2EE8FDEC" w14:textId="77777777" w:rsidR="00020445" w:rsidRPr="00372BDF" w:rsidRDefault="00020445" w:rsidP="00372B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3B621F3A" w14:textId="77777777" w:rsidR="00E932B0" w:rsidRPr="00E37A98" w:rsidRDefault="00E932B0" w:rsidP="00D0542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540E96">
        <w:rPr>
          <w:rFonts w:ascii="Cambria" w:hAnsi="Cambria"/>
          <w:sz w:val="20"/>
          <w:szCs w:val="20"/>
          <w:lang w:val="es-CO"/>
        </w:rPr>
        <w:t xml:space="preserve">Sin perjuicio de lo anterior, </w:t>
      </w:r>
      <w:r w:rsidRPr="00540E96">
        <w:rPr>
          <w:rFonts w:ascii="Cambria" w:hAnsi="Cambria"/>
          <w:sz w:val="20"/>
          <w:szCs w:val="20"/>
          <w:lang w:val="es-US"/>
        </w:rPr>
        <w:t xml:space="preserve">la Comisión considera procedente analizar si la restricción en este caso buscó satisfacer un objetivo legítimo e imperioso del Estado y si fue estrictamente necesaria para el logro de ese fin. Ello para efectos de discutir de manera sistemática y completa las posibles afectaciones del derecho a la libertad de expresión que se presenta en el caso objeto de estudio. </w:t>
      </w:r>
    </w:p>
    <w:p w14:paraId="3E54BB67" w14:textId="77777777" w:rsidR="00E37A98" w:rsidRDefault="00E37A98" w:rsidP="00E37A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53A63542" w14:textId="77777777" w:rsidR="008D4A0F" w:rsidRDefault="008D4A0F" w:rsidP="00E37A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2A5612D3" w14:textId="77777777" w:rsidR="008D4A0F" w:rsidRDefault="008D4A0F" w:rsidP="00E37A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431CE711" w14:textId="77777777" w:rsidR="008D4A0F" w:rsidRPr="00540E96" w:rsidRDefault="008D4A0F" w:rsidP="00E37A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46D95CC7" w14:textId="77777777" w:rsidR="001F1800" w:rsidRPr="00540E96" w:rsidRDefault="00F805E7" w:rsidP="00D0542D">
      <w:pPr>
        <w:pStyle w:val="Heading5"/>
        <w:rPr>
          <w:szCs w:val="20"/>
        </w:rPr>
      </w:pPr>
      <w:r w:rsidRPr="00540E96">
        <w:rPr>
          <w:szCs w:val="20"/>
        </w:rPr>
        <w:lastRenderedPageBreak/>
        <w:t xml:space="preserve">b) </w:t>
      </w:r>
      <w:r w:rsidR="001A2154" w:rsidRPr="00540E96">
        <w:rPr>
          <w:szCs w:val="20"/>
        </w:rPr>
        <w:tab/>
      </w:r>
      <w:r w:rsidRPr="00540E96">
        <w:rPr>
          <w:szCs w:val="20"/>
        </w:rPr>
        <w:t>Finalidad legítima de la restricción</w:t>
      </w:r>
    </w:p>
    <w:p w14:paraId="1BC923D3" w14:textId="77777777" w:rsidR="00F805E7" w:rsidRPr="00540E96" w:rsidRDefault="00F805E7" w:rsidP="00D0542D">
      <w:pPr>
        <w:jc w:val="both"/>
        <w:rPr>
          <w:rFonts w:ascii="Cambria" w:hAnsi="Cambria"/>
          <w:sz w:val="20"/>
          <w:szCs w:val="20"/>
          <w:lang w:val="es-MX" w:eastAsia="es-ES"/>
        </w:rPr>
      </w:pPr>
    </w:p>
    <w:p w14:paraId="0E700DDA" w14:textId="77777777" w:rsidR="001F1800" w:rsidRPr="00540E96" w:rsidRDefault="001F1800" w:rsidP="00D0542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s-CO"/>
        </w:rPr>
      </w:pPr>
      <w:r w:rsidRPr="00540E96">
        <w:rPr>
          <w:rFonts w:ascii="Cambria" w:hAnsi="Cambria"/>
          <w:sz w:val="20"/>
          <w:szCs w:val="20"/>
          <w:lang w:val="es-US"/>
        </w:rPr>
        <w:t>Las limitaciones a la libertad de expresión impuestas también deben perseguir el logro de</w:t>
      </w:r>
      <w:r w:rsidRPr="00540E96">
        <w:rPr>
          <w:rFonts w:ascii="Cambria" w:hAnsi="Cambria"/>
          <w:sz w:val="20"/>
          <w:szCs w:val="20"/>
          <w:lang w:val="es-CO"/>
        </w:rPr>
        <w:t xml:space="preserve"> alguno de los objetivos imperiosos establecidos taxativamente en la Convención Americana. </w:t>
      </w:r>
      <w:r w:rsidRPr="00540E96">
        <w:rPr>
          <w:rFonts w:ascii="Cambria" w:hAnsi="Cambria" w:cs="Arial"/>
          <w:sz w:val="20"/>
          <w:szCs w:val="20"/>
          <w:lang w:val="es-CO"/>
        </w:rPr>
        <w:t>Según el artículo 13.2 de la Convención Americana, la protección de la honra y reputación de los demás puede ser un motivo para fijar responsabilidades ulteriores por el ejercicio abusivo de la libertad de expresión</w:t>
      </w:r>
      <w:r w:rsidRPr="00540E96">
        <w:rPr>
          <w:rStyle w:val="FootnoteReference"/>
          <w:rFonts w:ascii="Cambria" w:hAnsi="Cambria" w:cs="Arial"/>
          <w:sz w:val="20"/>
          <w:szCs w:val="20"/>
          <w:lang w:val="es-CO"/>
        </w:rPr>
        <w:footnoteReference w:id="109"/>
      </w:r>
      <w:r w:rsidRPr="00540E96">
        <w:rPr>
          <w:rFonts w:ascii="Cambria" w:hAnsi="Cambria" w:cs="Arial"/>
          <w:sz w:val="20"/>
          <w:szCs w:val="20"/>
          <w:lang w:val="es-CO"/>
        </w:rPr>
        <w:t>, lo que implica que quien se considere vulnerado en su reputación, pueda recurrir a los medios judiciales del Estado disponibles para su protección</w:t>
      </w:r>
      <w:r w:rsidRPr="00540E96">
        <w:rPr>
          <w:rStyle w:val="FootnoteReference"/>
          <w:rFonts w:ascii="Cambria" w:hAnsi="Cambria" w:cs="Arial"/>
          <w:sz w:val="20"/>
          <w:szCs w:val="20"/>
          <w:lang w:val="es-CO"/>
        </w:rPr>
        <w:footnoteReference w:id="110"/>
      </w:r>
      <w:r w:rsidRPr="00540E96">
        <w:rPr>
          <w:rFonts w:ascii="Cambria" w:hAnsi="Cambria" w:cs="Arial"/>
          <w:sz w:val="20"/>
          <w:szCs w:val="20"/>
          <w:lang w:val="es-CO"/>
        </w:rPr>
        <w:t xml:space="preserve">. </w:t>
      </w:r>
    </w:p>
    <w:p w14:paraId="7BD02082" w14:textId="77777777" w:rsidR="001F1800" w:rsidRPr="00540E96" w:rsidRDefault="001F1800" w:rsidP="00D054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p>
    <w:p w14:paraId="7A7C23E4" w14:textId="77777777" w:rsidR="001F1800" w:rsidRPr="00540E96" w:rsidRDefault="001F1800" w:rsidP="00D0542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lang w:val="es-CO"/>
        </w:rPr>
      </w:pPr>
      <w:r w:rsidRPr="00540E96">
        <w:rPr>
          <w:rFonts w:ascii="Cambria" w:hAnsi="Cambria"/>
          <w:sz w:val="20"/>
          <w:szCs w:val="20"/>
          <w:lang w:val="es-CO"/>
        </w:rPr>
        <w:t xml:space="preserve">En el presente caso, la CIDH observa que el delito de </w:t>
      </w:r>
      <w:r w:rsidR="009C15AB" w:rsidRPr="00540E96">
        <w:rPr>
          <w:rFonts w:ascii="Cambria" w:hAnsi="Cambria"/>
          <w:sz w:val="20"/>
          <w:szCs w:val="20"/>
          <w:lang w:val="es-CO"/>
        </w:rPr>
        <w:t>“</w:t>
      </w:r>
      <w:r w:rsidRPr="00540E96">
        <w:rPr>
          <w:rFonts w:ascii="Cambria" w:hAnsi="Cambria"/>
          <w:sz w:val="20"/>
          <w:szCs w:val="20"/>
          <w:lang w:val="es-CO"/>
        </w:rPr>
        <w:t>injurias</w:t>
      </w:r>
      <w:r w:rsidR="009C15AB" w:rsidRPr="00540E96">
        <w:rPr>
          <w:rFonts w:ascii="Cambria" w:hAnsi="Cambria"/>
          <w:sz w:val="20"/>
          <w:szCs w:val="20"/>
          <w:lang w:val="es-CO"/>
        </w:rPr>
        <w:t xml:space="preserve"> por prensa</w:t>
      </w:r>
      <w:r w:rsidRPr="00540E96">
        <w:rPr>
          <w:rFonts w:ascii="Cambria" w:hAnsi="Cambria"/>
          <w:sz w:val="20"/>
          <w:szCs w:val="20"/>
          <w:lang w:val="es-CO"/>
        </w:rPr>
        <w:t xml:space="preserve">”, por el que se </w:t>
      </w:r>
      <w:r w:rsidR="00496A3E" w:rsidRPr="00540E96">
        <w:rPr>
          <w:rFonts w:ascii="Cambria" w:hAnsi="Cambria"/>
          <w:sz w:val="20"/>
          <w:szCs w:val="20"/>
          <w:lang w:val="es-CO"/>
        </w:rPr>
        <w:t>inició el proceso penal contra</w:t>
      </w:r>
      <w:r w:rsidR="00BE4168" w:rsidRPr="00540E96">
        <w:rPr>
          <w:rFonts w:ascii="Cambria" w:hAnsi="Cambria"/>
          <w:sz w:val="20"/>
          <w:szCs w:val="20"/>
          <w:lang w:val="es-CO"/>
        </w:rPr>
        <w:t xml:space="preserve"> los periodistas Moya Chacón y Parrales Chaves</w:t>
      </w:r>
      <w:r w:rsidR="00496A3E" w:rsidRPr="00540E96">
        <w:rPr>
          <w:rFonts w:ascii="Cambria" w:hAnsi="Cambria"/>
          <w:sz w:val="20"/>
          <w:szCs w:val="20"/>
          <w:lang w:val="es-CO"/>
        </w:rPr>
        <w:t xml:space="preserve">, así como el artículo 1045 del Código Civil que </w:t>
      </w:r>
      <w:r w:rsidR="00496A3E" w:rsidRPr="00540E96">
        <w:rPr>
          <w:rFonts w:ascii="Cambria" w:hAnsi="Cambria"/>
          <w:sz w:val="20"/>
          <w:szCs w:val="20"/>
          <w:lang w:val="es-VE"/>
        </w:rPr>
        <w:t>regula la responsabilidad civil</w:t>
      </w:r>
      <w:r w:rsidR="00496A3E" w:rsidRPr="00540E96">
        <w:rPr>
          <w:rFonts w:ascii="Cambria" w:hAnsi="Cambria"/>
          <w:sz w:val="20"/>
          <w:szCs w:val="20"/>
          <w:lang w:val="es-CO"/>
        </w:rPr>
        <w:t xml:space="preserve"> extracontractual, </w:t>
      </w:r>
      <w:r w:rsidRPr="00540E96">
        <w:rPr>
          <w:rFonts w:ascii="Cambria" w:hAnsi="Cambria"/>
          <w:sz w:val="20"/>
          <w:szCs w:val="20"/>
          <w:lang w:val="es-CO"/>
        </w:rPr>
        <w:t>busc</w:t>
      </w:r>
      <w:r w:rsidR="00C6096D" w:rsidRPr="00540E96">
        <w:rPr>
          <w:rFonts w:ascii="Cambria" w:hAnsi="Cambria"/>
          <w:sz w:val="20"/>
          <w:szCs w:val="20"/>
          <w:lang w:val="es-CO"/>
        </w:rPr>
        <w:t>aron</w:t>
      </w:r>
      <w:r w:rsidRPr="00540E96">
        <w:rPr>
          <w:rFonts w:ascii="Cambria" w:hAnsi="Cambria"/>
          <w:sz w:val="20"/>
          <w:szCs w:val="20"/>
          <w:lang w:val="es-CO"/>
        </w:rPr>
        <w:t xml:space="preserve"> proteger la reputación y la honra del </w:t>
      </w:r>
      <w:r w:rsidR="00BE4168" w:rsidRPr="00540E96">
        <w:rPr>
          <w:rFonts w:ascii="Cambria" w:hAnsi="Cambria"/>
          <w:sz w:val="20"/>
          <w:szCs w:val="20"/>
          <w:lang w:val="es-CO"/>
        </w:rPr>
        <w:t xml:space="preserve">policía </w:t>
      </w:r>
      <w:r w:rsidR="00C6633E" w:rsidRPr="00540E96">
        <w:rPr>
          <w:rFonts w:ascii="Cambria" w:hAnsi="Cambria"/>
          <w:sz w:val="20"/>
          <w:szCs w:val="20"/>
          <w:lang w:val="es-CO"/>
        </w:rPr>
        <w:t>Trejos Rodríguez</w:t>
      </w:r>
      <w:r w:rsidRPr="00540E96">
        <w:rPr>
          <w:rFonts w:ascii="Cambria" w:hAnsi="Cambria"/>
          <w:sz w:val="20"/>
          <w:szCs w:val="20"/>
          <w:lang w:val="es-CO"/>
        </w:rPr>
        <w:t xml:space="preserve">, por lo que el segundo elemento del </w:t>
      </w:r>
      <w:r w:rsidRPr="00540E96">
        <w:rPr>
          <w:rFonts w:ascii="Cambria" w:hAnsi="Cambria"/>
          <w:i/>
          <w:sz w:val="20"/>
          <w:szCs w:val="20"/>
          <w:lang w:val="es-CO"/>
        </w:rPr>
        <w:t xml:space="preserve">test </w:t>
      </w:r>
      <w:r w:rsidRPr="00540E96">
        <w:rPr>
          <w:rFonts w:ascii="Cambria" w:hAnsi="Cambria"/>
          <w:sz w:val="20"/>
          <w:szCs w:val="20"/>
          <w:lang w:val="es-CO"/>
        </w:rPr>
        <w:t>estaría satisfecho. No obstante, la Comisión advierte que este elemento por sí solo no faculta la utilización de</w:t>
      </w:r>
      <w:r w:rsidR="00C6633E" w:rsidRPr="00540E96">
        <w:rPr>
          <w:rFonts w:ascii="Cambria" w:hAnsi="Cambria"/>
          <w:sz w:val="20"/>
          <w:szCs w:val="20"/>
          <w:lang w:val="es-CO"/>
        </w:rPr>
        <w:t xml:space="preserve"> una sanción civil </w:t>
      </w:r>
      <w:r w:rsidRPr="00540E96">
        <w:rPr>
          <w:rFonts w:ascii="Cambria" w:hAnsi="Cambria"/>
          <w:sz w:val="20"/>
          <w:szCs w:val="20"/>
          <w:lang w:val="es-CO"/>
        </w:rPr>
        <w:t xml:space="preserve">en supuestos como el que está bajo análisis. </w:t>
      </w:r>
    </w:p>
    <w:p w14:paraId="0779EE06" w14:textId="77777777" w:rsidR="00F445CF" w:rsidRPr="00540E96" w:rsidRDefault="00F445CF" w:rsidP="00E044CD">
      <w:pPr>
        <w:pStyle w:val="Heading5"/>
      </w:pPr>
    </w:p>
    <w:p w14:paraId="6BAD09F5" w14:textId="77777777" w:rsidR="00240F3F" w:rsidRPr="006034A4" w:rsidRDefault="00F445CF" w:rsidP="006034A4">
      <w:pPr>
        <w:pStyle w:val="Heading5"/>
        <w:rPr>
          <w:szCs w:val="20"/>
        </w:rPr>
      </w:pPr>
      <w:r w:rsidRPr="00540E96">
        <w:rPr>
          <w:szCs w:val="20"/>
        </w:rPr>
        <w:t xml:space="preserve">c) </w:t>
      </w:r>
      <w:r w:rsidRPr="00540E96">
        <w:rPr>
          <w:szCs w:val="20"/>
        </w:rPr>
        <w:tab/>
      </w:r>
      <w:r w:rsidR="00240F3F" w:rsidRPr="006034A4">
        <w:rPr>
          <w:szCs w:val="20"/>
        </w:rPr>
        <w:t>Estricta necesidad y proporcionalidad de la restricción</w:t>
      </w:r>
    </w:p>
    <w:p w14:paraId="6863FB88" w14:textId="77777777" w:rsidR="000C0CC7" w:rsidRPr="006034A4" w:rsidRDefault="000C0CC7" w:rsidP="006034A4">
      <w:pPr>
        <w:pStyle w:val="NoSpacing"/>
        <w:spacing w:before="0" w:after="0"/>
        <w:ind w:firstLine="0"/>
        <w:rPr>
          <w:szCs w:val="20"/>
          <w:lang w:val="es-VE"/>
        </w:rPr>
      </w:pPr>
    </w:p>
    <w:p w14:paraId="5EB5703D" w14:textId="77777777" w:rsidR="00886DCF" w:rsidRPr="006034A4" w:rsidRDefault="00406413"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6034A4">
        <w:rPr>
          <w:rFonts w:ascii="Cambria" w:hAnsi="Cambria"/>
          <w:sz w:val="20"/>
          <w:szCs w:val="20"/>
          <w:lang w:val="es-CO"/>
        </w:rPr>
        <w:t xml:space="preserve">La Comisión recuerda que </w:t>
      </w:r>
      <w:r w:rsidRPr="006034A4">
        <w:rPr>
          <w:rFonts w:ascii="Cambria" w:hAnsi="Cambria"/>
          <w:sz w:val="20"/>
          <w:szCs w:val="20"/>
          <w:lang w:val="es-VE"/>
        </w:rPr>
        <w:t>la Convención Americana</w:t>
      </w:r>
      <w:r w:rsidR="00280EDF" w:rsidRPr="006034A4">
        <w:rPr>
          <w:rFonts w:ascii="Cambria" w:hAnsi="Cambria"/>
          <w:sz w:val="20"/>
          <w:szCs w:val="20"/>
          <w:lang w:val="es-VE"/>
        </w:rPr>
        <w:t xml:space="preserve"> otorga una protección reforzada </w:t>
      </w:r>
      <w:r w:rsidR="005F201C" w:rsidRPr="006034A4">
        <w:rPr>
          <w:rFonts w:ascii="Cambria" w:hAnsi="Cambria"/>
          <w:sz w:val="20"/>
          <w:szCs w:val="20"/>
          <w:lang w:val="es-VE"/>
        </w:rPr>
        <w:t>a</w:t>
      </w:r>
      <w:r w:rsidR="00280EDF" w:rsidRPr="006034A4">
        <w:rPr>
          <w:rFonts w:ascii="Cambria" w:hAnsi="Cambria"/>
          <w:sz w:val="20"/>
          <w:szCs w:val="20"/>
          <w:lang w:val="es-VE"/>
        </w:rPr>
        <w:t>l derecho a la libertad de expresión sobre asuntos de interés público, debido a que constituye</w:t>
      </w:r>
      <w:r w:rsidR="00280EDF" w:rsidRPr="006034A4">
        <w:rPr>
          <w:rFonts w:ascii="Cambria" w:hAnsi="Cambria"/>
          <w:sz w:val="20"/>
          <w:szCs w:val="20"/>
          <w:lang w:val="es-PE"/>
        </w:rPr>
        <w:t xml:space="preserve"> “una piedra angular en la existencia misma de una sociedad democrática”</w:t>
      </w:r>
      <w:r w:rsidR="00280EDF" w:rsidRPr="006034A4">
        <w:rPr>
          <w:rStyle w:val="FootnoteReference"/>
          <w:rFonts w:ascii="Cambria" w:hAnsi="Cambria"/>
          <w:sz w:val="20"/>
          <w:szCs w:val="20"/>
          <w:lang w:val="es-PE"/>
        </w:rPr>
        <w:footnoteReference w:id="111"/>
      </w:r>
      <w:r w:rsidR="00280EDF" w:rsidRPr="006034A4">
        <w:rPr>
          <w:rFonts w:ascii="Cambria" w:hAnsi="Cambria"/>
          <w:sz w:val="20"/>
          <w:szCs w:val="20"/>
          <w:lang w:val="es-PE"/>
        </w:rPr>
        <w:t>. Sin perjuicio de ello,</w:t>
      </w:r>
      <w:r w:rsidR="00280EDF" w:rsidRPr="006034A4">
        <w:rPr>
          <w:rFonts w:ascii="Cambria" w:hAnsi="Cambria"/>
          <w:sz w:val="20"/>
          <w:szCs w:val="20"/>
          <w:lang w:val="es-VE"/>
        </w:rPr>
        <w:t xml:space="preserve"> </w:t>
      </w:r>
      <w:r w:rsidR="00980BE4" w:rsidRPr="006034A4">
        <w:rPr>
          <w:rFonts w:ascii="Cambria" w:hAnsi="Cambria"/>
          <w:sz w:val="20"/>
          <w:szCs w:val="20"/>
          <w:lang w:val="es-VE"/>
        </w:rPr>
        <w:t xml:space="preserve">la </w:t>
      </w:r>
      <w:r w:rsidRPr="006034A4">
        <w:rPr>
          <w:rFonts w:ascii="Cambria" w:hAnsi="Cambria"/>
          <w:sz w:val="20"/>
          <w:szCs w:val="20"/>
          <w:lang w:val="es-VE"/>
        </w:rPr>
        <w:t xml:space="preserve">libertad de expresión no es un derecho absoluto y </w:t>
      </w:r>
      <w:r w:rsidR="00886DCF" w:rsidRPr="006034A4">
        <w:rPr>
          <w:rFonts w:ascii="Cambria" w:hAnsi="Cambria"/>
          <w:spacing w:val="-2"/>
          <w:sz w:val="20"/>
          <w:szCs w:val="20"/>
          <w:lang w:val="es-PE"/>
        </w:rPr>
        <w:t>puede estar sujeto</w:t>
      </w:r>
      <w:r w:rsidRPr="006034A4">
        <w:rPr>
          <w:rFonts w:ascii="Cambria" w:hAnsi="Cambria"/>
          <w:spacing w:val="-2"/>
          <w:sz w:val="20"/>
          <w:szCs w:val="20"/>
          <w:lang w:val="es-PE"/>
        </w:rPr>
        <w:t xml:space="preserve"> a </w:t>
      </w:r>
      <w:r w:rsidR="00980BE4" w:rsidRPr="006034A4">
        <w:rPr>
          <w:rFonts w:ascii="Cambria" w:hAnsi="Cambria"/>
          <w:spacing w:val="-2"/>
          <w:sz w:val="20"/>
          <w:szCs w:val="20"/>
          <w:lang w:val="es-PE"/>
        </w:rPr>
        <w:t>responsabilidades ulteriores</w:t>
      </w:r>
      <w:r w:rsidR="00886DCF" w:rsidRPr="006034A4">
        <w:rPr>
          <w:rFonts w:ascii="Cambria" w:hAnsi="Cambria"/>
          <w:spacing w:val="-2"/>
          <w:sz w:val="20"/>
          <w:szCs w:val="20"/>
          <w:lang w:val="es-PE"/>
        </w:rPr>
        <w:t xml:space="preserve">. A este respecto, </w:t>
      </w:r>
      <w:r w:rsidR="00886DCF" w:rsidRPr="006034A4">
        <w:rPr>
          <w:rFonts w:ascii="Cambria" w:hAnsi="Cambria"/>
          <w:sz w:val="20"/>
          <w:szCs w:val="20"/>
          <w:lang w:val="es-CO"/>
        </w:rPr>
        <w:t xml:space="preserve">es preciso resaltar, como fue establecido </w:t>
      </w:r>
      <w:r w:rsidR="00886DCF" w:rsidRPr="006034A4">
        <w:rPr>
          <w:rFonts w:ascii="Cambria" w:hAnsi="Cambria"/>
          <w:i/>
          <w:iCs/>
          <w:sz w:val="20"/>
          <w:szCs w:val="20"/>
          <w:lang w:val="es-CO"/>
        </w:rPr>
        <w:t>ut</w:t>
      </w:r>
      <w:r w:rsidR="00886DCF" w:rsidRPr="006034A4">
        <w:rPr>
          <w:rFonts w:ascii="Cambria" w:hAnsi="Cambria"/>
          <w:sz w:val="20"/>
          <w:szCs w:val="20"/>
          <w:lang w:val="es-CO"/>
        </w:rPr>
        <w:t xml:space="preserve"> </w:t>
      </w:r>
      <w:r w:rsidR="00886DCF" w:rsidRPr="006034A4">
        <w:rPr>
          <w:rFonts w:ascii="Cambria" w:hAnsi="Cambria"/>
          <w:i/>
          <w:iCs/>
          <w:sz w:val="20"/>
          <w:szCs w:val="20"/>
          <w:lang w:val="es-CO"/>
        </w:rPr>
        <w:t>supra</w:t>
      </w:r>
      <w:r w:rsidR="00886DCF" w:rsidRPr="006034A4">
        <w:rPr>
          <w:rFonts w:ascii="Cambria" w:hAnsi="Cambria"/>
          <w:sz w:val="20"/>
          <w:szCs w:val="20"/>
          <w:lang w:val="es-CO"/>
        </w:rPr>
        <w:t xml:space="preserve">, que la CIDH ha señalado que existen otras alternativas de protección del honor y la reputación de las personas, que son menos lesivas y restrictivas que recurrir al derecho penal como mecanismo para establecer responsabilidades ulteriores, </w:t>
      </w:r>
      <w:r w:rsidR="00886DCF" w:rsidRPr="006034A4">
        <w:rPr>
          <w:rFonts w:ascii="Cambria" w:hAnsi="Cambria"/>
          <w:sz w:val="20"/>
          <w:szCs w:val="20"/>
          <w:lang w:val="es-ES"/>
        </w:rPr>
        <w:t>como lo son la garantía del derecho de rectificación o respuesta</w:t>
      </w:r>
      <w:r w:rsidR="007F4E51">
        <w:rPr>
          <w:rFonts w:ascii="Cambria" w:hAnsi="Cambria"/>
          <w:sz w:val="20"/>
          <w:szCs w:val="20"/>
          <w:lang w:val="es-ES"/>
        </w:rPr>
        <w:t xml:space="preserve"> </w:t>
      </w:r>
      <w:r w:rsidR="007F4E51" w:rsidRPr="00E73131">
        <w:rPr>
          <w:rFonts w:ascii="Cambria" w:hAnsi="Cambria"/>
          <w:sz w:val="20"/>
          <w:szCs w:val="20"/>
          <w:lang w:val="es-VE"/>
        </w:rPr>
        <w:t>(medidas de carácter no pecuniario)</w:t>
      </w:r>
      <w:r w:rsidR="00886DCF" w:rsidRPr="006034A4">
        <w:rPr>
          <w:rFonts w:ascii="Cambria" w:hAnsi="Cambria"/>
          <w:sz w:val="20"/>
          <w:szCs w:val="20"/>
          <w:lang w:val="es-ES"/>
        </w:rPr>
        <w:t>, o en todo caso la vía civil</w:t>
      </w:r>
      <w:r w:rsidR="00886DCF" w:rsidRPr="006034A4">
        <w:rPr>
          <w:rStyle w:val="FootnoteReference"/>
          <w:rFonts w:ascii="Cambria" w:hAnsi="Cambria"/>
          <w:sz w:val="20"/>
          <w:szCs w:val="20"/>
          <w:lang w:val="es-ES"/>
        </w:rPr>
        <w:footnoteReference w:id="112"/>
      </w:r>
      <w:r w:rsidR="00886DCF" w:rsidRPr="006034A4">
        <w:rPr>
          <w:rFonts w:ascii="Cambria" w:hAnsi="Cambria"/>
          <w:sz w:val="20"/>
          <w:szCs w:val="20"/>
          <w:lang w:val="es-ES"/>
        </w:rPr>
        <w:t xml:space="preserve">. </w:t>
      </w:r>
      <w:r w:rsidR="0090155E" w:rsidRPr="006034A4">
        <w:rPr>
          <w:rFonts w:ascii="Cambria" w:hAnsi="Cambria"/>
          <w:sz w:val="20"/>
          <w:szCs w:val="20"/>
          <w:lang w:val="es-MX"/>
        </w:rPr>
        <w:t>La imposición de las sanciones penales a las ofensas contra funcionarios públicos relacionadas con el ejercicio de sus funciones es contraria a los criterios de necesidad y proporcionalidad en el marco de una sociedad democrático</w:t>
      </w:r>
      <w:r w:rsidR="0090155E" w:rsidRPr="006034A4">
        <w:rPr>
          <w:rStyle w:val="FootnoteReference"/>
          <w:rFonts w:ascii="Cambria" w:hAnsi="Cambria"/>
          <w:sz w:val="20"/>
          <w:szCs w:val="20"/>
        </w:rPr>
        <w:footnoteReference w:id="113"/>
      </w:r>
      <w:r w:rsidR="0090155E" w:rsidRPr="006034A4">
        <w:rPr>
          <w:rFonts w:ascii="Cambria" w:hAnsi="Cambria"/>
          <w:sz w:val="20"/>
          <w:szCs w:val="20"/>
          <w:lang w:val="es-MX"/>
        </w:rPr>
        <w:t>.</w:t>
      </w:r>
    </w:p>
    <w:p w14:paraId="719FBA36" w14:textId="77777777" w:rsidR="004A1DE6" w:rsidRPr="006034A4" w:rsidRDefault="004A1DE6"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17B79298" w14:textId="77777777" w:rsidR="007F4E51" w:rsidRPr="00CD5726" w:rsidRDefault="004A1DE6"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6034A4">
        <w:rPr>
          <w:rFonts w:ascii="Cambria" w:hAnsi="Cambria"/>
          <w:sz w:val="20"/>
          <w:szCs w:val="20"/>
          <w:lang w:val="es-CO"/>
        </w:rPr>
        <w:t>S</w:t>
      </w:r>
      <w:r w:rsidR="00980BE4" w:rsidRPr="006034A4">
        <w:rPr>
          <w:rFonts w:ascii="Cambria" w:hAnsi="Cambria"/>
          <w:sz w:val="20"/>
          <w:szCs w:val="20"/>
          <w:lang w:val="es-ES"/>
        </w:rPr>
        <w:t xml:space="preserve">i bien en este caso la vía penal se activó con base en la presentación de la querella con motivo de la existencia de los llamados delitos contra el honor, no existió una condena penal debido a la ausencia de la comprobación del dolo. </w:t>
      </w:r>
      <w:r w:rsidR="00886DCF" w:rsidRPr="006034A4">
        <w:rPr>
          <w:rFonts w:ascii="Cambria" w:hAnsi="Cambria"/>
          <w:sz w:val="20"/>
          <w:szCs w:val="20"/>
          <w:lang w:val="es-CO"/>
        </w:rPr>
        <w:t xml:space="preserve">Sin embargo, </w:t>
      </w:r>
      <w:r w:rsidR="00835371" w:rsidRPr="006034A4">
        <w:rPr>
          <w:rFonts w:ascii="Cambria" w:hAnsi="Cambria"/>
          <w:sz w:val="20"/>
          <w:szCs w:val="20"/>
          <w:lang w:val="es-CO"/>
        </w:rPr>
        <w:t xml:space="preserve">el juez penal en el marco del proceso </w:t>
      </w:r>
      <w:r w:rsidR="00E37A98" w:rsidRPr="006034A4">
        <w:rPr>
          <w:rFonts w:ascii="Cambria" w:hAnsi="Cambria"/>
          <w:sz w:val="20"/>
          <w:szCs w:val="20"/>
          <w:lang w:val="es-CO"/>
        </w:rPr>
        <w:t>penal</w:t>
      </w:r>
      <w:r w:rsidR="00835371" w:rsidRPr="006034A4">
        <w:rPr>
          <w:rFonts w:ascii="Cambria" w:hAnsi="Cambria"/>
          <w:sz w:val="20"/>
          <w:szCs w:val="20"/>
          <w:lang w:val="es-CO"/>
        </w:rPr>
        <w:t xml:space="preserve"> </w:t>
      </w:r>
      <w:r w:rsidR="006E1025" w:rsidRPr="006034A4">
        <w:rPr>
          <w:rFonts w:ascii="Cambria" w:hAnsi="Cambria"/>
          <w:sz w:val="20"/>
          <w:szCs w:val="20"/>
          <w:lang w:val="es-CO"/>
        </w:rPr>
        <w:t>dictó</w:t>
      </w:r>
      <w:r w:rsidR="00886DCF" w:rsidRPr="006034A4">
        <w:rPr>
          <w:rFonts w:ascii="Cambria" w:hAnsi="Cambria"/>
          <w:sz w:val="20"/>
          <w:szCs w:val="20"/>
          <w:lang w:val="es-CO"/>
        </w:rPr>
        <w:t xml:space="preserve"> </w:t>
      </w:r>
      <w:r w:rsidR="00E32E0C" w:rsidRPr="006034A4">
        <w:rPr>
          <w:rFonts w:ascii="Cambria" w:hAnsi="Cambria"/>
          <w:sz w:val="20"/>
          <w:szCs w:val="20"/>
          <w:lang w:val="es-CO"/>
        </w:rPr>
        <w:t xml:space="preserve">una sanción </w:t>
      </w:r>
      <w:r w:rsidR="001D5F64" w:rsidRPr="006034A4">
        <w:rPr>
          <w:rFonts w:ascii="Cambria" w:hAnsi="Cambria"/>
          <w:sz w:val="20"/>
          <w:szCs w:val="20"/>
          <w:lang w:val="es-CO"/>
        </w:rPr>
        <w:t>de naturalez</w:t>
      </w:r>
      <w:r w:rsidR="005B5A32" w:rsidRPr="006034A4">
        <w:rPr>
          <w:rFonts w:ascii="Cambria" w:hAnsi="Cambria"/>
          <w:sz w:val="20"/>
          <w:szCs w:val="20"/>
          <w:lang w:val="es-CO"/>
        </w:rPr>
        <w:t>a</w:t>
      </w:r>
      <w:r w:rsidR="001D5F64" w:rsidRPr="006034A4">
        <w:rPr>
          <w:rFonts w:ascii="Cambria" w:hAnsi="Cambria"/>
          <w:sz w:val="20"/>
          <w:szCs w:val="20"/>
          <w:lang w:val="es-CO"/>
        </w:rPr>
        <w:t xml:space="preserve"> </w:t>
      </w:r>
      <w:r w:rsidR="006E1025" w:rsidRPr="006034A4">
        <w:rPr>
          <w:rFonts w:ascii="Cambria" w:hAnsi="Cambria"/>
          <w:sz w:val="20"/>
          <w:szCs w:val="20"/>
          <w:lang w:val="es-CO"/>
        </w:rPr>
        <w:t xml:space="preserve">civil </w:t>
      </w:r>
      <w:r w:rsidR="001D5F64" w:rsidRPr="006034A4">
        <w:rPr>
          <w:rFonts w:ascii="Cambria" w:hAnsi="Cambria"/>
          <w:sz w:val="20"/>
          <w:szCs w:val="20"/>
          <w:lang w:val="es-CO"/>
        </w:rPr>
        <w:t xml:space="preserve">para sancionar lo </w:t>
      </w:r>
      <w:r w:rsidR="00835371" w:rsidRPr="006034A4">
        <w:rPr>
          <w:rFonts w:ascii="Cambria" w:hAnsi="Cambria"/>
          <w:sz w:val="20"/>
          <w:szCs w:val="20"/>
          <w:lang w:val="es-CO"/>
        </w:rPr>
        <w:t xml:space="preserve">que consideró, y fue ratificado por la Corte Suprema mediante casación, </w:t>
      </w:r>
      <w:r w:rsidR="00961BAE" w:rsidRPr="006034A4">
        <w:rPr>
          <w:rFonts w:ascii="Cambria" w:hAnsi="Cambria"/>
          <w:sz w:val="20"/>
          <w:szCs w:val="20"/>
          <w:lang w:val="es-VE"/>
        </w:rPr>
        <w:t xml:space="preserve">un </w:t>
      </w:r>
      <w:r w:rsidR="00835371" w:rsidRPr="006034A4">
        <w:rPr>
          <w:rFonts w:ascii="Cambria" w:hAnsi="Cambria"/>
          <w:sz w:val="20"/>
          <w:szCs w:val="20"/>
          <w:lang w:val="es-VE"/>
        </w:rPr>
        <w:t>ejercicio abusivo</w:t>
      </w:r>
      <w:r w:rsidR="00961BAE" w:rsidRPr="006034A4">
        <w:rPr>
          <w:rFonts w:ascii="Cambria" w:hAnsi="Cambria"/>
          <w:sz w:val="20"/>
          <w:szCs w:val="20"/>
          <w:lang w:val="es-VE"/>
        </w:rPr>
        <w:t xml:space="preserve"> de la libertad de expresión</w:t>
      </w:r>
      <w:r w:rsidR="00EF6D96" w:rsidRPr="006034A4">
        <w:rPr>
          <w:rFonts w:ascii="Cambria" w:hAnsi="Cambria"/>
          <w:sz w:val="20"/>
          <w:szCs w:val="20"/>
          <w:lang w:val="es-VE"/>
        </w:rPr>
        <w:t xml:space="preserve"> </w:t>
      </w:r>
      <w:r w:rsidR="00961BAE" w:rsidRPr="006034A4">
        <w:rPr>
          <w:rFonts w:ascii="Cambria" w:hAnsi="Cambria"/>
          <w:sz w:val="20"/>
          <w:szCs w:val="20"/>
          <w:lang w:val="es-VE"/>
        </w:rPr>
        <w:t>que caus</w:t>
      </w:r>
      <w:r w:rsidR="002226DE" w:rsidRPr="006034A4">
        <w:rPr>
          <w:rFonts w:ascii="Cambria" w:hAnsi="Cambria"/>
          <w:sz w:val="20"/>
          <w:szCs w:val="20"/>
          <w:lang w:val="es-VE"/>
        </w:rPr>
        <w:t>ó</w:t>
      </w:r>
      <w:r w:rsidR="00961BAE" w:rsidRPr="006034A4">
        <w:rPr>
          <w:rFonts w:ascii="Cambria" w:hAnsi="Cambria"/>
          <w:sz w:val="20"/>
          <w:szCs w:val="20"/>
          <w:lang w:val="es-VE"/>
        </w:rPr>
        <w:t xml:space="preserve"> un perjuicio </w:t>
      </w:r>
      <w:r w:rsidR="006267EC" w:rsidRPr="006034A4">
        <w:rPr>
          <w:rFonts w:ascii="Cambria" w:hAnsi="Cambria"/>
          <w:sz w:val="20"/>
          <w:szCs w:val="20"/>
          <w:lang w:val="es-VE"/>
        </w:rPr>
        <w:t>del</w:t>
      </w:r>
      <w:r w:rsidR="002226DE" w:rsidRPr="006034A4">
        <w:rPr>
          <w:rFonts w:ascii="Cambria" w:hAnsi="Cambria"/>
          <w:sz w:val="20"/>
          <w:szCs w:val="20"/>
          <w:lang w:val="es-VE"/>
        </w:rPr>
        <w:t xml:space="preserve"> derecho al honor y a la reputación de un policía.</w:t>
      </w:r>
    </w:p>
    <w:p w14:paraId="787F9720" w14:textId="77777777" w:rsidR="007F4E51" w:rsidRPr="00CD5726" w:rsidRDefault="007F4E51" w:rsidP="00CD572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51D59285" w14:textId="77777777" w:rsidR="00961BAE" w:rsidRPr="00F21552" w:rsidRDefault="007F4E51" w:rsidP="00CD572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Pr>
          <w:rFonts w:ascii="Cambria" w:hAnsi="Cambria"/>
          <w:sz w:val="20"/>
          <w:szCs w:val="20"/>
          <w:lang w:val="es-CO"/>
        </w:rPr>
        <w:t>Al respecto, l</w:t>
      </w:r>
      <w:r w:rsidR="00305464" w:rsidRPr="007F4E51">
        <w:rPr>
          <w:rFonts w:ascii="Cambria" w:hAnsi="Cambria"/>
          <w:sz w:val="20"/>
          <w:szCs w:val="20"/>
          <w:lang w:val="es-CO"/>
        </w:rPr>
        <w:t>a</w:t>
      </w:r>
      <w:r w:rsidR="00EE3C41" w:rsidRPr="007F4E51">
        <w:rPr>
          <w:rFonts w:ascii="Cambria" w:hAnsi="Cambria"/>
          <w:sz w:val="20"/>
          <w:szCs w:val="20"/>
          <w:lang w:val="es-VE"/>
        </w:rPr>
        <w:t xml:space="preserve"> utilización de la vía civil como mecanismo de responsabilidad ulterior </w:t>
      </w:r>
      <w:r w:rsidRPr="00F8314D">
        <w:rPr>
          <w:rFonts w:ascii="Cambria" w:hAnsi="Cambria"/>
          <w:sz w:val="20"/>
          <w:szCs w:val="20"/>
          <w:lang w:val="es-VE"/>
        </w:rPr>
        <w:t>frente a la publicación de información de interés público errónea o inexacta</w:t>
      </w:r>
      <w:r w:rsidR="00F21552" w:rsidRPr="00F21552">
        <w:rPr>
          <w:rFonts w:ascii="Cambria" w:hAnsi="Cambria"/>
          <w:sz w:val="20"/>
          <w:szCs w:val="20"/>
          <w:lang w:val="es-VE"/>
        </w:rPr>
        <w:t xml:space="preserve"> </w:t>
      </w:r>
      <w:r w:rsidR="00F21552">
        <w:rPr>
          <w:rFonts w:ascii="Cambria" w:hAnsi="Cambria"/>
          <w:sz w:val="20"/>
          <w:szCs w:val="20"/>
          <w:lang w:val="es-VE"/>
        </w:rPr>
        <w:t>no mediada</w:t>
      </w:r>
      <w:r w:rsidR="00F21552" w:rsidRPr="00F8314D">
        <w:rPr>
          <w:rFonts w:ascii="Cambria" w:hAnsi="Cambria"/>
          <w:sz w:val="20"/>
          <w:szCs w:val="20"/>
          <w:lang w:val="es-VE"/>
        </w:rPr>
        <w:t xml:space="preserve"> </w:t>
      </w:r>
      <w:r w:rsidR="00F21552">
        <w:rPr>
          <w:rFonts w:ascii="Cambria" w:hAnsi="Cambria" w:cstheme="minorHAnsi"/>
          <w:sz w:val="20"/>
          <w:szCs w:val="20"/>
          <w:lang w:val="es-AR"/>
        </w:rPr>
        <w:t xml:space="preserve">por </w:t>
      </w:r>
      <w:r w:rsidR="00F21552" w:rsidRPr="00A90180">
        <w:rPr>
          <w:rFonts w:ascii="Cambria" w:hAnsi="Cambria" w:cstheme="minorHAnsi"/>
          <w:sz w:val="20"/>
          <w:szCs w:val="20"/>
          <w:lang w:val="es-AR"/>
        </w:rPr>
        <w:t xml:space="preserve">la intención de causar daño </w:t>
      </w:r>
      <w:r w:rsidR="00F21552" w:rsidRPr="00A90180">
        <w:rPr>
          <w:rFonts w:ascii="Cambria" w:hAnsi="Cambria"/>
          <w:sz w:val="20"/>
          <w:szCs w:val="20"/>
          <w:lang w:val="es-PE"/>
        </w:rPr>
        <w:t xml:space="preserve">y conocimiento de </w:t>
      </w:r>
      <w:r w:rsidR="00F21552">
        <w:rPr>
          <w:rFonts w:ascii="Cambria" w:hAnsi="Cambria"/>
          <w:sz w:val="20"/>
          <w:szCs w:val="20"/>
          <w:lang w:val="es-PE"/>
        </w:rPr>
        <w:t xml:space="preserve">la falsedad </w:t>
      </w:r>
      <w:r w:rsidR="00F21552" w:rsidRPr="00A90180">
        <w:rPr>
          <w:rFonts w:ascii="Cambria" w:hAnsi="Cambria"/>
          <w:sz w:val="20"/>
          <w:szCs w:val="20"/>
          <w:lang w:val="es-PE"/>
        </w:rPr>
        <w:t xml:space="preserve">o </w:t>
      </w:r>
      <w:r w:rsidR="00F21552">
        <w:rPr>
          <w:rFonts w:ascii="Cambria" w:hAnsi="Cambria"/>
          <w:sz w:val="20"/>
          <w:szCs w:val="20"/>
          <w:lang w:val="es-PE"/>
        </w:rPr>
        <w:t>por</w:t>
      </w:r>
      <w:r w:rsidR="00F21552" w:rsidRPr="00A90180">
        <w:rPr>
          <w:rFonts w:ascii="Cambria" w:hAnsi="Cambria"/>
          <w:sz w:val="20"/>
          <w:szCs w:val="20"/>
          <w:lang w:val="es-PE"/>
        </w:rPr>
        <w:t xml:space="preserve"> un evidente despre</w:t>
      </w:r>
      <w:r w:rsidR="00F21552">
        <w:rPr>
          <w:rFonts w:ascii="Cambria" w:hAnsi="Cambria"/>
          <w:sz w:val="20"/>
          <w:szCs w:val="20"/>
          <w:lang w:val="es-PE"/>
        </w:rPr>
        <w:t>cio por la verdad,</w:t>
      </w:r>
      <w:r w:rsidR="00F21552">
        <w:rPr>
          <w:rFonts w:ascii="Cambria" w:hAnsi="Cambria"/>
          <w:sz w:val="20"/>
          <w:szCs w:val="20"/>
          <w:lang w:val="es-VE"/>
        </w:rPr>
        <w:t xml:space="preserve"> con el fin de proteger </w:t>
      </w:r>
      <w:r w:rsidR="00F21552" w:rsidRPr="007F4E51">
        <w:rPr>
          <w:rFonts w:ascii="Cambria" w:hAnsi="Cambria"/>
          <w:sz w:val="20"/>
          <w:szCs w:val="20"/>
          <w:lang w:val="es-VE"/>
        </w:rPr>
        <w:t xml:space="preserve">el derecho al honor no es </w:t>
      </w:r>
      <w:r w:rsidR="00F21552" w:rsidRPr="007F4E51">
        <w:rPr>
          <w:rFonts w:ascii="Cambria" w:hAnsi="Cambria"/>
          <w:i/>
          <w:iCs/>
          <w:sz w:val="20"/>
          <w:szCs w:val="20"/>
          <w:lang w:val="es-VE"/>
        </w:rPr>
        <w:t>per se</w:t>
      </w:r>
      <w:r w:rsidR="00F21552" w:rsidRPr="007F4E51">
        <w:rPr>
          <w:rFonts w:ascii="Cambria" w:hAnsi="Cambria"/>
          <w:sz w:val="20"/>
          <w:szCs w:val="20"/>
          <w:lang w:val="es-VE"/>
        </w:rPr>
        <w:t xml:space="preserve"> contraria a la Convención Americana</w:t>
      </w:r>
      <w:r w:rsidR="00F21552">
        <w:rPr>
          <w:rFonts w:ascii="Cambria" w:hAnsi="Cambria"/>
          <w:sz w:val="20"/>
          <w:szCs w:val="20"/>
          <w:lang w:val="es-VE"/>
        </w:rPr>
        <w:t xml:space="preserve">. Sin perjuicio de ello, </w:t>
      </w:r>
      <w:r w:rsidR="00CF508A" w:rsidRPr="007F4E51">
        <w:rPr>
          <w:rFonts w:ascii="Cambria" w:hAnsi="Cambria"/>
          <w:sz w:val="20"/>
          <w:szCs w:val="20"/>
          <w:lang w:val="es-VE"/>
        </w:rPr>
        <w:t>a</w:t>
      </w:r>
      <w:r w:rsidR="002E0F2F" w:rsidRPr="007F4E51">
        <w:rPr>
          <w:rFonts w:ascii="Cambria" w:hAnsi="Cambria"/>
          <w:sz w:val="20"/>
          <w:szCs w:val="20"/>
          <w:lang w:val="es-VE"/>
        </w:rPr>
        <w:t xml:space="preserve">l momento </w:t>
      </w:r>
      <w:r w:rsidR="00CF508A" w:rsidRPr="007F4E51">
        <w:rPr>
          <w:rFonts w:ascii="Cambria" w:hAnsi="Cambria"/>
          <w:sz w:val="20"/>
          <w:szCs w:val="20"/>
          <w:lang w:val="es-VE"/>
        </w:rPr>
        <w:t xml:space="preserve">de </w:t>
      </w:r>
      <w:r w:rsidR="001A172A" w:rsidRPr="007F4E51">
        <w:rPr>
          <w:rFonts w:ascii="Cambria" w:hAnsi="Cambria"/>
          <w:sz w:val="20"/>
          <w:szCs w:val="20"/>
          <w:lang w:val="es-VE"/>
        </w:rPr>
        <w:t xml:space="preserve">evaluar </w:t>
      </w:r>
      <w:r w:rsidR="00CF508A" w:rsidRPr="007F4E51">
        <w:rPr>
          <w:rFonts w:ascii="Cambria" w:hAnsi="Cambria"/>
          <w:sz w:val="20"/>
          <w:szCs w:val="20"/>
          <w:lang w:val="es-VE"/>
        </w:rPr>
        <w:t>la imposición de sanciones civ</w:t>
      </w:r>
      <w:r w:rsidR="006034A4" w:rsidRPr="007F4E51">
        <w:rPr>
          <w:rFonts w:ascii="Cambria" w:hAnsi="Cambria"/>
          <w:sz w:val="20"/>
          <w:szCs w:val="20"/>
          <w:lang w:val="es-VE"/>
        </w:rPr>
        <w:t>i</w:t>
      </w:r>
      <w:r w:rsidR="00CF508A" w:rsidRPr="007F4E51">
        <w:rPr>
          <w:rFonts w:ascii="Cambria" w:hAnsi="Cambria"/>
          <w:sz w:val="20"/>
          <w:szCs w:val="20"/>
          <w:lang w:val="es-VE"/>
        </w:rPr>
        <w:t xml:space="preserve">les para proteger </w:t>
      </w:r>
      <w:r w:rsidR="00463C2F" w:rsidRPr="007F4E51">
        <w:rPr>
          <w:rFonts w:ascii="Cambria" w:hAnsi="Cambria"/>
          <w:sz w:val="20"/>
          <w:szCs w:val="20"/>
          <w:lang w:val="es-CO"/>
        </w:rPr>
        <w:t xml:space="preserve">el honor y la reputación de los funcionarios públicos o personas que se han involucrado voluntariamente en asuntos de interés </w:t>
      </w:r>
      <w:r w:rsidR="00835371" w:rsidRPr="00F21552">
        <w:rPr>
          <w:rFonts w:ascii="Cambria" w:hAnsi="Cambria"/>
          <w:sz w:val="20"/>
          <w:szCs w:val="20"/>
          <w:lang w:val="es-CO"/>
        </w:rPr>
        <w:t>público</w:t>
      </w:r>
      <w:r w:rsidR="002E0F2F" w:rsidRPr="00F21552">
        <w:rPr>
          <w:rFonts w:ascii="Cambria" w:hAnsi="Cambria"/>
          <w:sz w:val="20"/>
          <w:szCs w:val="20"/>
          <w:lang w:val="es-CO"/>
        </w:rPr>
        <w:t xml:space="preserve">, </w:t>
      </w:r>
      <w:r w:rsidR="00463C2F" w:rsidRPr="00F21552">
        <w:rPr>
          <w:rFonts w:ascii="Cambria" w:hAnsi="Cambria"/>
          <w:sz w:val="20"/>
          <w:szCs w:val="20"/>
          <w:lang w:val="es-CO"/>
        </w:rPr>
        <w:t>estas</w:t>
      </w:r>
      <w:r w:rsidR="00463C2F" w:rsidRPr="00F21552">
        <w:rPr>
          <w:rFonts w:ascii="Cambria" w:hAnsi="Cambria"/>
          <w:sz w:val="20"/>
          <w:szCs w:val="20"/>
          <w:lang w:val="es-VE"/>
        </w:rPr>
        <w:t xml:space="preserve"> </w:t>
      </w:r>
      <w:r w:rsidR="00835371" w:rsidRPr="00F21552">
        <w:rPr>
          <w:rFonts w:ascii="Cambria" w:hAnsi="Cambria"/>
          <w:sz w:val="20"/>
          <w:szCs w:val="20"/>
          <w:lang w:val="es-VE"/>
        </w:rPr>
        <w:t xml:space="preserve">deben </w:t>
      </w:r>
      <w:r w:rsidR="00C84B8E" w:rsidRPr="00F21552">
        <w:rPr>
          <w:rFonts w:ascii="Cambria" w:hAnsi="Cambria"/>
          <w:sz w:val="20"/>
          <w:szCs w:val="20"/>
          <w:lang w:val="es-VE"/>
        </w:rPr>
        <w:t>cumplir con los elementos de ponderación del test tripartito</w:t>
      </w:r>
      <w:r w:rsidR="000B25CA" w:rsidRPr="00F21552">
        <w:rPr>
          <w:rFonts w:ascii="Cambria" w:hAnsi="Cambria"/>
          <w:sz w:val="20"/>
          <w:szCs w:val="20"/>
          <w:lang w:val="es-VE"/>
        </w:rPr>
        <w:t xml:space="preserve"> para ser legítima</w:t>
      </w:r>
      <w:r w:rsidR="00835371" w:rsidRPr="00F21552">
        <w:rPr>
          <w:rFonts w:ascii="Cambria" w:hAnsi="Cambria"/>
          <w:sz w:val="20"/>
          <w:szCs w:val="20"/>
          <w:lang w:val="es-VE"/>
        </w:rPr>
        <w:t>s</w:t>
      </w:r>
      <w:r w:rsidR="003B2B64" w:rsidRPr="00F21552">
        <w:rPr>
          <w:rFonts w:ascii="Cambria" w:hAnsi="Cambria"/>
          <w:sz w:val="20"/>
          <w:szCs w:val="20"/>
          <w:lang w:val="es-VE"/>
        </w:rPr>
        <w:t xml:space="preserve">. En este sentido, </w:t>
      </w:r>
      <w:r w:rsidR="001941A8" w:rsidRPr="00F21552">
        <w:rPr>
          <w:rFonts w:ascii="Cambria" w:hAnsi="Cambria"/>
          <w:sz w:val="20"/>
          <w:szCs w:val="20"/>
          <w:lang w:val="es-VE"/>
        </w:rPr>
        <w:t xml:space="preserve">la </w:t>
      </w:r>
      <w:r w:rsidR="009A63B9" w:rsidRPr="00F21552">
        <w:rPr>
          <w:rFonts w:ascii="Cambria" w:hAnsi="Cambria"/>
          <w:sz w:val="20"/>
          <w:szCs w:val="20"/>
          <w:lang w:val="es-VE"/>
        </w:rPr>
        <w:t>aplicación</w:t>
      </w:r>
      <w:r w:rsidR="001941A8" w:rsidRPr="00F21552">
        <w:rPr>
          <w:rFonts w:ascii="Cambria" w:hAnsi="Cambria"/>
          <w:sz w:val="20"/>
          <w:szCs w:val="20"/>
          <w:lang w:val="es-VE"/>
        </w:rPr>
        <w:t xml:space="preserve"> de una medida civil </w:t>
      </w:r>
      <w:r w:rsidR="00EF6D96" w:rsidRPr="00F21552">
        <w:rPr>
          <w:rFonts w:ascii="Cambria" w:hAnsi="Cambria"/>
          <w:sz w:val="20"/>
          <w:szCs w:val="20"/>
          <w:lang w:val="es-VE"/>
        </w:rPr>
        <w:t xml:space="preserve">no solo deberá ser legal y legítima, sino que también </w:t>
      </w:r>
      <w:r w:rsidR="009C3186" w:rsidRPr="00F21552">
        <w:rPr>
          <w:rFonts w:ascii="Cambria" w:hAnsi="Cambria"/>
          <w:sz w:val="20"/>
          <w:szCs w:val="20"/>
          <w:lang w:val="es-VE"/>
        </w:rPr>
        <w:t>necesaria en una sociedad democrática</w:t>
      </w:r>
      <w:r w:rsidR="00EF6D96" w:rsidRPr="00F21552">
        <w:rPr>
          <w:rFonts w:ascii="Cambria" w:hAnsi="Cambria"/>
          <w:sz w:val="20"/>
          <w:szCs w:val="20"/>
          <w:lang w:val="es-VE"/>
        </w:rPr>
        <w:t xml:space="preserve"> (necesidad social imperiosa que justifique la restricción) y proporcional</w:t>
      </w:r>
      <w:r w:rsidR="00794373" w:rsidRPr="00F21552">
        <w:rPr>
          <w:rFonts w:ascii="Cambria" w:hAnsi="Cambria"/>
          <w:sz w:val="20"/>
          <w:szCs w:val="20"/>
          <w:lang w:val="es-VE"/>
        </w:rPr>
        <w:t xml:space="preserve">. </w:t>
      </w:r>
    </w:p>
    <w:p w14:paraId="0962E7BD" w14:textId="77777777" w:rsidR="004A1DE6" w:rsidRDefault="004A1DE6"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3260F4F5" w14:textId="77777777" w:rsidR="008D4A0F" w:rsidRDefault="008D4A0F"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4CA236CA" w14:textId="77777777" w:rsidR="008D4A0F" w:rsidRPr="006034A4" w:rsidRDefault="008D4A0F"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061CD0C8" w14:textId="77777777" w:rsidR="002B386F" w:rsidRPr="006034A4" w:rsidRDefault="003157E3"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6034A4">
        <w:rPr>
          <w:rStyle w:val="CharacterStyle1"/>
          <w:rFonts w:ascii="Cambria" w:hAnsi="Cambria" w:cs="Times New Roman"/>
          <w:sz w:val="20"/>
          <w:szCs w:val="20"/>
          <w:lang w:val="es-CO"/>
        </w:rPr>
        <w:lastRenderedPageBreak/>
        <w:t xml:space="preserve">A este respecto, la Comisión recuerda que si bien </w:t>
      </w:r>
      <w:r w:rsidR="0090155E" w:rsidRPr="006034A4">
        <w:rPr>
          <w:rFonts w:ascii="Cambria" w:hAnsi="Cambria"/>
          <w:sz w:val="20"/>
          <w:szCs w:val="20"/>
          <w:lang w:val="es-CO"/>
        </w:rPr>
        <w:t>la Convención protege el derecho a la honra de los funcionarios públicos, si el discurso se centra en el desempeño de su cargo, el derecho a la libertad de expresión goza de especial protección, con el fin de propiciar el debate democrático sobre temas de interés público y fomentar la transparencia y fiscalización sobre su gestión.</w:t>
      </w:r>
      <w:r w:rsidR="00FC4634" w:rsidRPr="006034A4">
        <w:rPr>
          <w:rFonts w:ascii="Cambria" w:hAnsi="Cambria"/>
          <w:sz w:val="20"/>
          <w:szCs w:val="20"/>
          <w:lang w:val="es-CO"/>
        </w:rPr>
        <w:t xml:space="preserve"> Asimismo, el umbral de tolerancia a la crítica de las instituciones y funcionarios estatales debe ser mayor frente a afirmaciones y apreciaciones vertidas por las personas en ejercicio de tal control democrático. </w:t>
      </w:r>
    </w:p>
    <w:p w14:paraId="1A8243A1" w14:textId="77777777" w:rsidR="002B386F" w:rsidRDefault="002B386F"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12692918" w14:textId="77777777" w:rsidR="000A388F" w:rsidRPr="006034A4" w:rsidRDefault="0090155E"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6034A4">
        <w:rPr>
          <w:rFonts w:ascii="Cambria" w:hAnsi="Cambria"/>
          <w:sz w:val="20"/>
          <w:szCs w:val="20"/>
          <w:lang w:val="es-CO"/>
        </w:rPr>
        <w:t xml:space="preserve">En el caso que nos ocupa, </w:t>
      </w:r>
      <w:r w:rsidR="00FC4634" w:rsidRPr="006034A4">
        <w:rPr>
          <w:rFonts w:ascii="Cambria" w:hAnsi="Cambria"/>
          <w:sz w:val="20"/>
          <w:szCs w:val="20"/>
          <w:lang w:val="es-CO"/>
        </w:rPr>
        <w:t xml:space="preserve">la nota de prensa publicada </w:t>
      </w:r>
      <w:r w:rsidR="008C3A48" w:rsidRPr="006034A4">
        <w:rPr>
          <w:rFonts w:ascii="Cambria" w:hAnsi="Cambria"/>
          <w:sz w:val="20"/>
          <w:szCs w:val="20"/>
          <w:lang w:val="es-CO"/>
        </w:rPr>
        <w:t>se refirió</w:t>
      </w:r>
      <w:r w:rsidR="00FC4634" w:rsidRPr="006034A4">
        <w:rPr>
          <w:rFonts w:ascii="Cambria" w:hAnsi="Cambria"/>
          <w:sz w:val="20"/>
          <w:szCs w:val="20"/>
          <w:lang w:val="es-CO"/>
        </w:rPr>
        <w:t xml:space="preserve"> a </w:t>
      </w:r>
      <w:r w:rsidR="00FC4634" w:rsidRPr="006034A4">
        <w:rPr>
          <w:rFonts w:ascii="Cambria" w:hAnsi="Cambria"/>
          <w:sz w:val="20"/>
          <w:szCs w:val="20"/>
          <w:lang w:val="es-MX"/>
        </w:rPr>
        <w:t>presuntas irregularidades en el control del trasiego de licores en la zona fronteriza</w:t>
      </w:r>
      <w:r w:rsidR="00EF6D96" w:rsidRPr="006034A4">
        <w:rPr>
          <w:rFonts w:ascii="Cambria" w:hAnsi="Cambria"/>
          <w:sz w:val="20"/>
          <w:szCs w:val="20"/>
          <w:lang w:val="es-MX"/>
        </w:rPr>
        <w:t>. Según la noticia dicha situación</w:t>
      </w:r>
      <w:r w:rsidR="00FC4634" w:rsidRPr="006034A4">
        <w:rPr>
          <w:rFonts w:ascii="Cambria" w:hAnsi="Cambria"/>
          <w:sz w:val="20"/>
          <w:szCs w:val="20"/>
          <w:lang w:val="es-MX"/>
        </w:rPr>
        <w:t xml:space="preserve"> generó la apertura de investigaciones penales contra </w:t>
      </w:r>
      <w:r w:rsidR="002B386F" w:rsidRPr="006034A4">
        <w:rPr>
          <w:rFonts w:ascii="Cambria" w:hAnsi="Cambria"/>
          <w:sz w:val="20"/>
          <w:szCs w:val="20"/>
          <w:lang w:val="es-MX"/>
        </w:rPr>
        <w:t xml:space="preserve">tres </w:t>
      </w:r>
      <w:r w:rsidR="00293443" w:rsidRPr="006034A4">
        <w:rPr>
          <w:rFonts w:ascii="Cambria" w:hAnsi="Cambria"/>
          <w:sz w:val="20"/>
          <w:szCs w:val="20"/>
          <w:lang w:val="es-VE"/>
        </w:rPr>
        <w:t>funcionarios policiales de alto rango</w:t>
      </w:r>
      <w:r w:rsidR="00FC4634" w:rsidRPr="006034A4">
        <w:rPr>
          <w:rFonts w:ascii="Cambria" w:hAnsi="Cambria"/>
          <w:sz w:val="20"/>
          <w:szCs w:val="20"/>
          <w:lang w:val="es-MX"/>
        </w:rPr>
        <w:t xml:space="preserve">, </w:t>
      </w:r>
      <w:r w:rsidR="002B386F" w:rsidRPr="006034A4">
        <w:rPr>
          <w:rFonts w:ascii="Cambria" w:hAnsi="Cambria"/>
          <w:sz w:val="20"/>
          <w:szCs w:val="20"/>
          <w:lang w:val="es-MX"/>
        </w:rPr>
        <w:t xml:space="preserve">entre ellos el señor Trejos Rodríguez. Es decir que, </w:t>
      </w:r>
      <w:r w:rsidR="00CF508A" w:rsidRPr="006034A4">
        <w:rPr>
          <w:rFonts w:ascii="Cambria" w:hAnsi="Cambria"/>
          <w:sz w:val="20"/>
          <w:szCs w:val="20"/>
          <w:lang w:val="es-MX"/>
        </w:rPr>
        <w:t xml:space="preserve">el artículo periodístico </w:t>
      </w:r>
      <w:r w:rsidR="002B386F" w:rsidRPr="006034A4">
        <w:rPr>
          <w:rFonts w:ascii="Cambria" w:hAnsi="Cambria"/>
          <w:sz w:val="20"/>
          <w:szCs w:val="20"/>
          <w:lang w:val="es-MX"/>
        </w:rPr>
        <w:t xml:space="preserve">se refirió a </w:t>
      </w:r>
      <w:r w:rsidR="0005101E" w:rsidRPr="006034A4">
        <w:rPr>
          <w:rFonts w:ascii="Cambria" w:hAnsi="Cambria"/>
          <w:sz w:val="20"/>
          <w:szCs w:val="20"/>
          <w:lang w:val="es-MX"/>
        </w:rPr>
        <w:t>funcionarios</w:t>
      </w:r>
      <w:r w:rsidR="00E13964" w:rsidRPr="006034A4">
        <w:rPr>
          <w:rFonts w:ascii="Cambria" w:hAnsi="Cambria"/>
          <w:sz w:val="20"/>
          <w:szCs w:val="20"/>
          <w:lang w:val="es-MX"/>
        </w:rPr>
        <w:t xml:space="preserve"> estatales</w:t>
      </w:r>
      <w:r w:rsidR="00CF508A" w:rsidRPr="006034A4">
        <w:rPr>
          <w:rFonts w:ascii="Cambria" w:hAnsi="Cambria"/>
          <w:sz w:val="20"/>
          <w:szCs w:val="20"/>
          <w:lang w:val="es-MX"/>
        </w:rPr>
        <w:t xml:space="preserve"> con</w:t>
      </w:r>
      <w:r w:rsidR="0005101E" w:rsidRPr="006034A4">
        <w:rPr>
          <w:rFonts w:ascii="Cambria" w:hAnsi="Cambria"/>
          <w:sz w:val="20"/>
          <w:szCs w:val="20"/>
          <w:lang w:val="es-MX"/>
        </w:rPr>
        <w:t xml:space="preserve"> responsabilidades jerárquicas </w:t>
      </w:r>
      <w:r w:rsidR="00E13964" w:rsidRPr="006034A4">
        <w:rPr>
          <w:rFonts w:ascii="Cambria" w:hAnsi="Cambria"/>
          <w:sz w:val="20"/>
          <w:szCs w:val="20"/>
          <w:lang w:val="es-MX"/>
        </w:rPr>
        <w:t>en el desempeño de sus funciones</w:t>
      </w:r>
      <w:r w:rsidR="00CF508A" w:rsidRPr="006034A4">
        <w:rPr>
          <w:rFonts w:ascii="Cambria" w:hAnsi="Cambria"/>
          <w:sz w:val="20"/>
          <w:szCs w:val="20"/>
          <w:lang w:val="es-MX"/>
        </w:rPr>
        <w:t>,</w:t>
      </w:r>
      <w:r w:rsidR="00E13964" w:rsidRPr="006034A4">
        <w:rPr>
          <w:rFonts w:ascii="Cambria" w:hAnsi="Cambria"/>
          <w:sz w:val="20"/>
          <w:szCs w:val="20"/>
          <w:lang w:val="es-MX"/>
        </w:rPr>
        <w:t xml:space="preserve"> </w:t>
      </w:r>
      <w:r w:rsidR="0005101E" w:rsidRPr="006034A4">
        <w:rPr>
          <w:rFonts w:ascii="Cambria" w:hAnsi="Cambria"/>
          <w:sz w:val="20"/>
          <w:szCs w:val="20"/>
          <w:lang w:val="es-MX"/>
        </w:rPr>
        <w:t>y describió</w:t>
      </w:r>
      <w:r w:rsidR="00E13964" w:rsidRPr="006034A4">
        <w:rPr>
          <w:rFonts w:ascii="Cambria" w:hAnsi="Cambria"/>
          <w:sz w:val="20"/>
          <w:szCs w:val="20"/>
          <w:lang w:val="es-MX"/>
        </w:rPr>
        <w:t xml:space="preserve"> </w:t>
      </w:r>
      <w:r w:rsidR="002B386F" w:rsidRPr="006034A4">
        <w:rPr>
          <w:rFonts w:ascii="Cambria" w:hAnsi="Cambria"/>
          <w:sz w:val="20"/>
          <w:szCs w:val="20"/>
          <w:lang w:val="es-MX"/>
        </w:rPr>
        <w:t>un contexto más general de irregularidades en la zona sur del país en relación</w:t>
      </w:r>
      <w:r w:rsidR="00E13964" w:rsidRPr="006034A4">
        <w:rPr>
          <w:rFonts w:ascii="Cambria" w:hAnsi="Cambria"/>
          <w:sz w:val="20"/>
          <w:szCs w:val="20"/>
          <w:lang w:val="es-MX"/>
        </w:rPr>
        <w:t xml:space="preserve"> con el contrabando de licores, por lo que lo informado versaba </w:t>
      </w:r>
      <w:r w:rsidRPr="006034A4">
        <w:rPr>
          <w:rFonts w:ascii="Cambria" w:hAnsi="Cambria"/>
          <w:sz w:val="20"/>
          <w:szCs w:val="20"/>
          <w:lang w:val="es-CO"/>
        </w:rPr>
        <w:t xml:space="preserve">sobre </w:t>
      </w:r>
      <w:r w:rsidR="00E13964" w:rsidRPr="006034A4">
        <w:rPr>
          <w:rFonts w:ascii="Cambria" w:hAnsi="Cambria"/>
          <w:sz w:val="20"/>
          <w:szCs w:val="20"/>
          <w:lang w:val="es-CO"/>
        </w:rPr>
        <w:t xml:space="preserve">hechos </w:t>
      </w:r>
      <w:r w:rsidRPr="006034A4">
        <w:rPr>
          <w:rFonts w:ascii="Cambria" w:hAnsi="Cambria"/>
          <w:sz w:val="20"/>
          <w:szCs w:val="20"/>
          <w:lang w:val="es-CO"/>
        </w:rPr>
        <w:t>de notorio interés público</w:t>
      </w:r>
      <w:r w:rsidR="00A31E66">
        <w:rPr>
          <w:rFonts w:ascii="Cambria" w:hAnsi="Cambria"/>
          <w:sz w:val="20"/>
          <w:szCs w:val="20"/>
          <w:lang w:val="es-CO"/>
        </w:rPr>
        <w:t>. En este sentido,</w:t>
      </w:r>
      <w:r w:rsidR="00CF508A" w:rsidRPr="006034A4">
        <w:rPr>
          <w:rFonts w:ascii="Cambria" w:hAnsi="Cambria"/>
          <w:sz w:val="20"/>
          <w:szCs w:val="20"/>
          <w:lang w:val="es-CO"/>
        </w:rPr>
        <w:t xml:space="preserve"> la actuación periodística se circunscribió a la función de </w:t>
      </w:r>
      <w:r w:rsidR="00A00EB1" w:rsidRPr="006034A4">
        <w:rPr>
          <w:rFonts w:ascii="Cambria" w:hAnsi="Cambria"/>
          <w:sz w:val="20"/>
          <w:szCs w:val="20"/>
          <w:lang w:val="es-CO"/>
        </w:rPr>
        <w:t>“</w:t>
      </w:r>
      <w:r w:rsidR="00CF508A" w:rsidRPr="006034A4">
        <w:rPr>
          <w:rFonts w:ascii="Cambria" w:hAnsi="Cambria"/>
          <w:sz w:val="20"/>
          <w:szCs w:val="20"/>
          <w:lang w:val="es-CO"/>
        </w:rPr>
        <w:t>perro guardián</w:t>
      </w:r>
      <w:r w:rsidR="00A00EB1" w:rsidRPr="006034A4">
        <w:rPr>
          <w:rFonts w:ascii="Cambria" w:hAnsi="Cambria"/>
          <w:sz w:val="20"/>
          <w:szCs w:val="20"/>
          <w:lang w:val="es-CO"/>
        </w:rPr>
        <w:t>”</w:t>
      </w:r>
      <w:r w:rsidR="00A31E66">
        <w:rPr>
          <w:rFonts w:ascii="Cambria" w:hAnsi="Cambria"/>
          <w:sz w:val="20"/>
          <w:szCs w:val="20"/>
          <w:lang w:val="es-CO"/>
        </w:rPr>
        <w:t>,</w:t>
      </w:r>
      <w:r w:rsidR="00CF508A" w:rsidRPr="006034A4">
        <w:rPr>
          <w:rFonts w:ascii="Cambria" w:hAnsi="Cambria"/>
          <w:sz w:val="20"/>
          <w:szCs w:val="20"/>
          <w:lang w:val="es-CO"/>
        </w:rPr>
        <w:t xml:space="preserve"> </w:t>
      </w:r>
      <w:r w:rsidR="00A31E66" w:rsidRPr="006034A4">
        <w:rPr>
          <w:rFonts w:ascii="Cambria" w:hAnsi="Cambria"/>
          <w:sz w:val="20"/>
          <w:szCs w:val="20"/>
          <w:lang w:val="es-CO"/>
        </w:rPr>
        <w:t>propia de la prensa</w:t>
      </w:r>
      <w:r w:rsidR="00A31E66">
        <w:rPr>
          <w:rFonts w:ascii="Cambria" w:hAnsi="Cambria"/>
          <w:sz w:val="20"/>
          <w:szCs w:val="20"/>
          <w:lang w:val="es-CO"/>
        </w:rPr>
        <w:t>,</w:t>
      </w:r>
      <w:r w:rsidR="00A31E66" w:rsidRPr="006034A4">
        <w:rPr>
          <w:rFonts w:ascii="Cambria" w:hAnsi="Cambria"/>
          <w:sz w:val="20"/>
          <w:szCs w:val="20"/>
          <w:lang w:val="es-CO"/>
        </w:rPr>
        <w:t xml:space="preserve"> </w:t>
      </w:r>
      <w:r w:rsidR="00A31E66">
        <w:rPr>
          <w:rFonts w:ascii="Cambria" w:hAnsi="Cambria"/>
          <w:sz w:val="20"/>
          <w:szCs w:val="20"/>
          <w:lang w:val="es-CO"/>
        </w:rPr>
        <w:t xml:space="preserve">para informar sobre </w:t>
      </w:r>
      <w:r w:rsidR="00CF508A" w:rsidRPr="006034A4">
        <w:rPr>
          <w:rFonts w:ascii="Cambria" w:hAnsi="Cambria"/>
          <w:sz w:val="20"/>
          <w:szCs w:val="20"/>
          <w:lang w:val="es-CO"/>
        </w:rPr>
        <w:t>los abusos de pode</w:t>
      </w:r>
      <w:r w:rsidR="00A31E66">
        <w:rPr>
          <w:rFonts w:ascii="Cambria" w:hAnsi="Cambria"/>
          <w:sz w:val="20"/>
          <w:szCs w:val="20"/>
          <w:lang w:val="es-CO"/>
        </w:rPr>
        <w:t>r.</w:t>
      </w:r>
    </w:p>
    <w:p w14:paraId="675A3AA2" w14:textId="77777777" w:rsidR="00474A5B" w:rsidRPr="006034A4" w:rsidRDefault="00474A5B"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0B884C8B" w14:textId="77777777" w:rsidR="005D42FC" w:rsidRPr="006034A4" w:rsidRDefault="00395BCE"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6034A4">
        <w:rPr>
          <w:rFonts w:ascii="Cambria" w:hAnsi="Cambria"/>
          <w:sz w:val="20"/>
          <w:szCs w:val="20"/>
          <w:lang w:val="es-CO"/>
        </w:rPr>
        <w:t xml:space="preserve">Según lo señalado </w:t>
      </w:r>
      <w:r w:rsidR="008C3A48" w:rsidRPr="006034A4">
        <w:rPr>
          <w:rFonts w:ascii="Cambria" w:hAnsi="Cambria"/>
          <w:sz w:val="20"/>
          <w:szCs w:val="20"/>
          <w:lang w:val="es-CO"/>
        </w:rPr>
        <w:t>por los peticionarios, la información difundida mediante la nota de prensa provino de “fuentes fidedignas”</w:t>
      </w:r>
      <w:r w:rsidR="00293443" w:rsidRPr="006034A4">
        <w:rPr>
          <w:rFonts w:ascii="Cambria" w:hAnsi="Cambria"/>
          <w:sz w:val="20"/>
          <w:szCs w:val="20"/>
          <w:lang w:val="es-CO"/>
        </w:rPr>
        <w:t xml:space="preserve">, </w:t>
      </w:r>
      <w:r w:rsidR="00D30C50" w:rsidRPr="006034A4">
        <w:rPr>
          <w:rFonts w:ascii="Cambria" w:hAnsi="Cambria"/>
          <w:sz w:val="20"/>
          <w:szCs w:val="20"/>
          <w:lang w:val="es-CO"/>
        </w:rPr>
        <w:t xml:space="preserve">y </w:t>
      </w:r>
      <w:r w:rsidR="00293443" w:rsidRPr="006034A4">
        <w:rPr>
          <w:rFonts w:ascii="Cambria" w:hAnsi="Cambria"/>
          <w:sz w:val="20"/>
          <w:szCs w:val="20"/>
          <w:lang w:val="es-CO"/>
        </w:rPr>
        <w:t>la existencia de las distintas investigacio</w:t>
      </w:r>
      <w:r w:rsidR="00D30C50" w:rsidRPr="006034A4">
        <w:rPr>
          <w:rFonts w:ascii="Cambria" w:hAnsi="Cambria"/>
          <w:sz w:val="20"/>
          <w:szCs w:val="20"/>
          <w:lang w:val="es-CO"/>
        </w:rPr>
        <w:t xml:space="preserve">nes </w:t>
      </w:r>
      <w:r w:rsidR="00293443" w:rsidRPr="006034A4">
        <w:rPr>
          <w:rFonts w:ascii="Cambria" w:hAnsi="Cambria"/>
          <w:sz w:val="20"/>
          <w:szCs w:val="20"/>
          <w:lang w:val="es-CO"/>
        </w:rPr>
        <w:t>fue confirmada por el entonces Minis</w:t>
      </w:r>
      <w:r w:rsidR="00474A5B" w:rsidRPr="006034A4">
        <w:rPr>
          <w:rFonts w:ascii="Cambria" w:hAnsi="Cambria"/>
          <w:sz w:val="20"/>
          <w:szCs w:val="20"/>
          <w:lang w:val="es-CO"/>
        </w:rPr>
        <w:t>tro de Seguridad, Rogelio Ramo</w:t>
      </w:r>
      <w:r w:rsidR="00293443" w:rsidRPr="006034A4">
        <w:rPr>
          <w:rFonts w:ascii="Cambria" w:hAnsi="Cambria"/>
          <w:sz w:val="20"/>
          <w:szCs w:val="20"/>
          <w:lang w:val="es-CO"/>
        </w:rPr>
        <w:t>s</w:t>
      </w:r>
      <w:r w:rsidR="00474A5B" w:rsidRPr="006034A4">
        <w:rPr>
          <w:rFonts w:ascii="Cambria" w:hAnsi="Cambria"/>
          <w:sz w:val="20"/>
          <w:szCs w:val="20"/>
          <w:lang w:val="es-CO"/>
        </w:rPr>
        <w:t>.</w:t>
      </w:r>
      <w:r w:rsidR="004745DC" w:rsidRPr="006034A4">
        <w:rPr>
          <w:rFonts w:ascii="Cambria" w:hAnsi="Cambria"/>
          <w:sz w:val="20"/>
          <w:szCs w:val="20"/>
          <w:lang w:val="es-CO"/>
        </w:rPr>
        <w:t xml:space="preserve"> </w:t>
      </w:r>
      <w:r w:rsidR="00D30C50" w:rsidRPr="006034A4">
        <w:rPr>
          <w:rFonts w:ascii="Cambria" w:hAnsi="Cambria"/>
          <w:sz w:val="20"/>
          <w:szCs w:val="20"/>
          <w:lang w:val="es-CO"/>
        </w:rPr>
        <w:t xml:space="preserve">En particular, la </w:t>
      </w:r>
      <w:r w:rsidR="004745DC" w:rsidRPr="006034A4">
        <w:rPr>
          <w:rFonts w:ascii="Cambria" w:hAnsi="Cambria"/>
          <w:sz w:val="20"/>
          <w:szCs w:val="20"/>
          <w:lang w:val="es-CO"/>
        </w:rPr>
        <w:t xml:space="preserve">confirmación de la existencia de una </w:t>
      </w:r>
      <w:r w:rsidR="00D30C50" w:rsidRPr="006034A4">
        <w:rPr>
          <w:rFonts w:ascii="Cambria" w:hAnsi="Cambria"/>
          <w:sz w:val="20"/>
          <w:szCs w:val="20"/>
          <w:lang w:val="es-CO"/>
        </w:rPr>
        <w:t xml:space="preserve">investigación iniciada por la presunta extorsión por trasiego de licores contra </w:t>
      </w:r>
      <w:r w:rsidR="00D30C50" w:rsidRPr="006034A4">
        <w:rPr>
          <w:rFonts w:ascii="Cambria" w:hAnsi="Cambria"/>
          <w:sz w:val="20"/>
          <w:szCs w:val="20"/>
          <w:lang w:val="es-MX"/>
        </w:rPr>
        <w:t>el funcionario policial Trejos Rodríguez</w:t>
      </w:r>
      <w:r w:rsidR="00D30C50" w:rsidRPr="006034A4">
        <w:rPr>
          <w:rFonts w:ascii="Cambria" w:hAnsi="Cambria"/>
          <w:sz w:val="20"/>
          <w:szCs w:val="20"/>
          <w:lang w:val="es-CO"/>
        </w:rPr>
        <w:t xml:space="preserve"> también fue </w:t>
      </w:r>
      <w:r w:rsidR="004745DC" w:rsidRPr="006034A4">
        <w:rPr>
          <w:rFonts w:ascii="Cambria" w:hAnsi="Cambria"/>
          <w:sz w:val="20"/>
          <w:szCs w:val="20"/>
          <w:lang w:val="es-CO"/>
        </w:rPr>
        <w:t xml:space="preserve">brindada </w:t>
      </w:r>
      <w:r w:rsidR="00D30C50" w:rsidRPr="006034A4">
        <w:rPr>
          <w:rFonts w:ascii="Cambria" w:hAnsi="Cambria"/>
          <w:sz w:val="20"/>
          <w:szCs w:val="20"/>
          <w:lang w:val="es-CO"/>
        </w:rPr>
        <w:t xml:space="preserve">por el ministro, </w:t>
      </w:r>
      <w:r w:rsidR="004B6A8F" w:rsidRPr="006034A4">
        <w:rPr>
          <w:rFonts w:ascii="Cambria" w:hAnsi="Cambria"/>
          <w:sz w:val="20"/>
          <w:szCs w:val="20"/>
          <w:lang w:val="es-CO"/>
        </w:rPr>
        <w:t>de conformidad con lo establecido por las decisiones j</w:t>
      </w:r>
      <w:r w:rsidR="00D30C50" w:rsidRPr="006034A4">
        <w:rPr>
          <w:rFonts w:ascii="Cambria" w:hAnsi="Cambria"/>
          <w:sz w:val="20"/>
          <w:szCs w:val="20"/>
          <w:lang w:val="es-CO"/>
        </w:rPr>
        <w:t xml:space="preserve">udiciales a nivel interno. </w:t>
      </w:r>
      <w:r w:rsidR="00EF6D96" w:rsidRPr="006034A4">
        <w:rPr>
          <w:rFonts w:ascii="Cambria" w:hAnsi="Cambria"/>
          <w:sz w:val="20"/>
          <w:szCs w:val="20"/>
          <w:lang w:val="es-CO"/>
        </w:rPr>
        <w:t xml:space="preserve">Además, según la declaración del ministro durante el proceso, luego de la confirmación con el área respectiva del ministerio, procedió a confirmar que el señor Trejos Rodríguez </w:t>
      </w:r>
      <w:r w:rsidR="00DD2ECF" w:rsidRPr="006034A4">
        <w:rPr>
          <w:rFonts w:ascii="Cambria" w:hAnsi="Cambria"/>
          <w:sz w:val="20"/>
          <w:szCs w:val="20"/>
          <w:lang w:val="es-CO"/>
        </w:rPr>
        <w:t xml:space="preserve">--junto a otros altos funcionarios-- </w:t>
      </w:r>
      <w:r w:rsidR="00EF6D96" w:rsidRPr="006034A4">
        <w:rPr>
          <w:rFonts w:ascii="Cambria" w:hAnsi="Cambria"/>
          <w:sz w:val="20"/>
          <w:szCs w:val="20"/>
          <w:lang w:val="es-CO"/>
        </w:rPr>
        <w:t xml:space="preserve">estaba siendo investigado por extorsión en la Fiscalía de Corredores. </w:t>
      </w:r>
      <w:r w:rsidR="00086D6B" w:rsidRPr="006034A4">
        <w:rPr>
          <w:rFonts w:ascii="Cambria" w:hAnsi="Cambria"/>
          <w:sz w:val="20"/>
          <w:szCs w:val="20"/>
          <w:lang w:val="es-CO"/>
        </w:rPr>
        <w:t xml:space="preserve">Con posterioridad a la publicación de la noticia, el ministerio contactó al diario La Nación para aclararles que había existido un error en cuanto a la Fiscalía en donde se llevaba a cabo la investigación, ya que no era la de Corredores, sino la de </w:t>
      </w:r>
      <w:r w:rsidR="00DD2ECF" w:rsidRPr="006034A4">
        <w:rPr>
          <w:rFonts w:ascii="Cambria" w:hAnsi="Cambria"/>
          <w:sz w:val="20"/>
          <w:szCs w:val="20"/>
          <w:lang w:val="es-CO"/>
        </w:rPr>
        <w:t xml:space="preserve">circunscripción </w:t>
      </w:r>
      <w:r w:rsidR="00A00EB1" w:rsidRPr="006034A4">
        <w:rPr>
          <w:rFonts w:ascii="Cambria" w:hAnsi="Cambria"/>
          <w:sz w:val="20"/>
          <w:szCs w:val="20"/>
          <w:lang w:val="es-CO"/>
        </w:rPr>
        <w:t xml:space="preserve">de </w:t>
      </w:r>
      <w:r w:rsidR="00086D6B" w:rsidRPr="006034A4">
        <w:rPr>
          <w:rFonts w:ascii="Cambria" w:hAnsi="Cambria"/>
          <w:sz w:val="20"/>
          <w:szCs w:val="20"/>
          <w:lang w:val="es-CO"/>
        </w:rPr>
        <w:t xml:space="preserve">Coto Brus. Sin embargo, la corrección no se refirió al tipo de delito o a los hechos materia de la investigación. Debido a esta aclaración, </w:t>
      </w:r>
      <w:r w:rsidR="00DD2ECF" w:rsidRPr="006034A4">
        <w:rPr>
          <w:rFonts w:ascii="Cambria" w:hAnsi="Cambria"/>
          <w:sz w:val="20"/>
          <w:szCs w:val="20"/>
          <w:lang w:val="es-CO"/>
        </w:rPr>
        <w:t>los periodistas procedieron a publicar</w:t>
      </w:r>
      <w:r w:rsidR="00086D6B" w:rsidRPr="006034A4">
        <w:rPr>
          <w:rFonts w:ascii="Cambria" w:hAnsi="Cambria"/>
          <w:sz w:val="20"/>
          <w:szCs w:val="20"/>
          <w:lang w:val="es-CO"/>
        </w:rPr>
        <w:t xml:space="preserve"> una fe de erratas modificando la Fiscalía a cargo de la investigación. </w:t>
      </w:r>
    </w:p>
    <w:p w14:paraId="06ED355C" w14:textId="77777777" w:rsidR="00086D6B" w:rsidRPr="006034A4" w:rsidRDefault="00086D6B"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5524BB20" w14:textId="77777777" w:rsidR="00E75794" w:rsidRPr="00885BD7" w:rsidRDefault="005D42FC"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6034A4">
        <w:rPr>
          <w:rFonts w:ascii="Cambria" w:hAnsi="Cambria"/>
          <w:sz w:val="20"/>
          <w:szCs w:val="20"/>
          <w:lang w:val="es-CO"/>
        </w:rPr>
        <w:t xml:space="preserve">A pesar de </w:t>
      </w:r>
      <w:r w:rsidR="00086D6B" w:rsidRPr="006034A4">
        <w:rPr>
          <w:rFonts w:ascii="Cambria" w:hAnsi="Cambria"/>
          <w:sz w:val="20"/>
          <w:szCs w:val="20"/>
          <w:lang w:val="es-CO"/>
        </w:rPr>
        <w:t>la existencia de la confirmación por parte del funcionario</w:t>
      </w:r>
      <w:r w:rsidR="004C7FD7" w:rsidRPr="006034A4">
        <w:rPr>
          <w:rFonts w:ascii="Cambria" w:hAnsi="Cambria"/>
          <w:sz w:val="20"/>
          <w:szCs w:val="20"/>
          <w:lang w:val="es-CO"/>
        </w:rPr>
        <w:t xml:space="preserve"> de</w:t>
      </w:r>
      <w:r w:rsidR="00086D6B" w:rsidRPr="006034A4">
        <w:rPr>
          <w:rFonts w:ascii="Cambria" w:hAnsi="Cambria"/>
          <w:sz w:val="20"/>
          <w:szCs w:val="20"/>
          <w:lang w:val="es-CO"/>
        </w:rPr>
        <w:t xml:space="preserve"> más alto</w:t>
      </w:r>
      <w:r w:rsidR="004C7FD7" w:rsidRPr="006034A4">
        <w:rPr>
          <w:rFonts w:ascii="Cambria" w:hAnsi="Cambria"/>
          <w:sz w:val="20"/>
          <w:szCs w:val="20"/>
          <w:lang w:val="es-CO"/>
        </w:rPr>
        <w:t xml:space="preserve"> rango</w:t>
      </w:r>
      <w:r w:rsidR="00086D6B" w:rsidRPr="006034A4">
        <w:rPr>
          <w:rFonts w:ascii="Cambria" w:hAnsi="Cambria"/>
          <w:sz w:val="20"/>
          <w:szCs w:val="20"/>
          <w:lang w:val="es-CO"/>
        </w:rPr>
        <w:t xml:space="preserve"> de las fuerzas policiales</w:t>
      </w:r>
      <w:r w:rsidRPr="006034A4">
        <w:rPr>
          <w:rFonts w:ascii="Cambria" w:hAnsi="Cambria"/>
          <w:sz w:val="20"/>
          <w:szCs w:val="20"/>
          <w:lang w:val="es-CO"/>
        </w:rPr>
        <w:t xml:space="preserve">, la información publicada con respecto al </w:t>
      </w:r>
      <w:r w:rsidR="008F18BF" w:rsidRPr="006034A4">
        <w:rPr>
          <w:rFonts w:ascii="Cambria" w:hAnsi="Cambria"/>
          <w:sz w:val="20"/>
          <w:szCs w:val="20"/>
          <w:lang w:val="es-CO"/>
        </w:rPr>
        <w:t xml:space="preserve">policía </w:t>
      </w:r>
      <w:r w:rsidRPr="006034A4">
        <w:rPr>
          <w:rFonts w:ascii="Cambria" w:hAnsi="Cambria"/>
          <w:sz w:val="20"/>
          <w:szCs w:val="20"/>
          <w:lang w:val="es-CO"/>
        </w:rPr>
        <w:t>Trejos Rodríguez resultó ser errónea</w:t>
      </w:r>
      <w:r w:rsidR="00D26B46" w:rsidRPr="006034A4">
        <w:rPr>
          <w:rFonts w:ascii="Cambria" w:hAnsi="Cambria"/>
          <w:sz w:val="20"/>
          <w:szCs w:val="20"/>
          <w:lang w:val="es-CO"/>
        </w:rPr>
        <w:t xml:space="preserve"> no solo en cuanto a la Fiscalía responsable de la investigación, sino </w:t>
      </w:r>
      <w:r w:rsidR="008F18BF" w:rsidRPr="006034A4">
        <w:rPr>
          <w:rFonts w:ascii="Cambria" w:hAnsi="Cambria"/>
          <w:sz w:val="20"/>
          <w:szCs w:val="20"/>
          <w:lang w:val="es-CO"/>
        </w:rPr>
        <w:t xml:space="preserve">también </w:t>
      </w:r>
      <w:r w:rsidR="00D26B46" w:rsidRPr="006034A4">
        <w:rPr>
          <w:rFonts w:ascii="Cambria" w:hAnsi="Cambria"/>
          <w:sz w:val="20"/>
          <w:szCs w:val="20"/>
          <w:lang w:val="es-CO"/>
        </w:rPr>
        <w:t>en cuanto a</w:t>
      </w:r>
      <w:r w:rsidR="00E6749B" w:rsidRPr="006034A4">
        <w:rPr>
          <w:rFonts w:ascii="Cambria" w:hAnsi="Cambria"/>
          <w:sz w:val="20"/>
          <w:szCs w:val="20"/>
          <w:lang w:val="es-CO"/>
        </w:rPr>
        <w:t xml:space="preserve"> los hechos materia de </w:t>
      </w:r>
      <w:r w:rsidR="00E6749B" w:rsidRPr="00885BD7">
        <w:rPr>
          <w:rFonts w:ascii="Cambria" w:hAnsi="Cambria"/>
          <w:sz w:val="20"/>
          <w:szCs w:val="20"/>
          <w:lang w:val="es-CO"/>
        </w:rPr>
        <w:t>investigación</w:t>
      </w:r>
      <w:r w:rsidRPr="00885BD7">
        <w:rPr>
          <w:rFonts w:ascii="Cambria" w:hAnsi="Cambria"/>
          <w:sz w:val="20"/>
          <w:szCs w:val="20"/>
          <w:lang w:val="es-CO"/>
        </w:rPr>
        <w:t xml:space="preserve">. </w:t>
      </w:r>
      <w:r w:rsidR="00526DFC" w:rsidRPr="00885BD7">
        <w:rPr>
          <w:rFonts w:ascii="Cambria" w:hAnsi="Cambria"/>
          <w:sz w:val="20"/>
          <w:szCs w:val="20"/>
          <w:lang w:val="es-CO"/>
        </w:rPr>
        <w:t xml:space="preserve">En efecto, </w:t>
      </w:r>
      <w:r w:rsidR="00526DFC" w:rsidRPr="00885BD7">
        <w:rPr>
          <w:rFonts w:ascii="Cambria" w:hAnsi="Cambria"/>
          <w:sz w:val="20"/>
          <w:szCs w:val="20"/>
          <w:lang w:val="es-VE"/>
        </w:rPr>
        <w:t xml:space="preserve">en el transcurso del proceso penal se comprobó </w:t>
      </w:r>
      <w:r w:rsidR="00E37A98" w:rsidRPr="00885BD7">
        <w:rPr>
          <w:rFonts w:ascii="Cambria" w:hAnsi="Cambria"/>
          <w:sz w:val="20"/>
          <w:szCs w:val="20"/>
          <w:lang w:val="es-VE"/>
        </w:rPr>
        <w:t>que,</w:t>
      </w:r>
      <w:r w:rsidR="00030FE8" w:rsidRPr="00885BD7">
        <w:rPr>
          <w:rFonts w:ascii="Cambria" w:hAnsi="Cambria"/>
          <w:sz w:val="20"/>
          <w:szCs w:val="20"/>
          <w:lang w:val="es-VE"/>
        </w:rPr>
        <w:t xml:space="preserve"> </w:t>
      </w:r>
      <w:r w:rsidR="00526DFC" w:rsidRPr="00885BD7">
        <w:rPr>
          <w:rFonts w:ascii="Cambria" w:hAnsi="Cambria"/>
          <w:sz w:val="20"/>
          <w:szCs w:val="20"/>
          <w:lang w:val="es-VE"/>
        </w:rPr>
        <w:t xml:space="preserve">si bien </w:t>
      </w:r>
      <w:r w:rsidR="005557F8" w:rsidRPr="00885BD7">
        <w:rPr>
          <w:rFonts w:ascii="Cambria" w:hAnsi="Cambria"/>
          <w:sz w:val="20"/>
          <w:szCs w:val="20"/>
          <w:lang w:val="es-VE"/>
        </w:rPr>
        <w:t xml:space="preserve">existía una investigación </w:t>
      </w:r>
      <w:r w:rsidR="00526DFC" w:rsidRPr="00885BD7">
        <w:rPr>
          <w:rFonts w:ascii="Cambria" w:hAnsi="Cambria"/>
          <w:sz w:val="20"/>
          <w:szCs w:val="20"/>
          <w:lang w:val="es-VE"/>
        </w:rPr>
        <w:t>por extorsión contra el señor Trejos Rodríguez, esta no versaba sobre trasiego de licores.</w:t>
      </w:r>
      <w:r w:rsidR="008F2483" w:rsidRPr="00885BD7">
        <w:rPr>
          <w:rFonts w:ascii="Cambria" w:hAnsi="Cambria"/>
          <w:sz w:val="20"/>
          <w:szCs w:val="20"/>
          <w:lang w:val="es-CO"/>
        </w:rPr>
        <w:t xml:space="preserve"> </w:t>
      </w:r>
      <w:r w:rsidR="0053746C" w:rsidRPr="00885BD7">
        <w:rPr>
          <w:rFonts w:ascii="Cambria" w:hAnsi="Cambria"/>
          <w:sz w:val="20"/>
          <w:szCs w:val="20"/>
          <w:lang w:val="es-CO"/>
        </w:rPr>
        <w:t>En este sentido, a</w:t>
      </w:r>
      <w:r w:rsidR="003F1C6E" w:rsidRPr="00885BD7">
        <w:rPr>
          <w:rFonts w:ascii="Cambria" w:hAnsi="Cambria"/>
          <w:sz w:val="20"/>
          <w:szCs w:val="20"/>
          <w:lang w:val="es-CO"/>
        </w:rPr>
        <w:t xml:space="preserve">l momento de la </w:t>
      </w:r>
      <w:r w:rsidR="00452903" w:rsidRPr="00885BD7">
        <w:rPr>
          <w:rFonts w:ascii="Cambria" w:hAnsi="Cambria"/>
          <w:sz w:val="20"/>
          <w:szCs w:val="20"/>
          <w:lang w:val="es-CO"/>
        </w:rPr>
        <w:t>publicación de la noticia</w:t>
      </w:r>
      <w:r w:rsidR="0053746C" w:rsidRPr="00885BD7">
        <w:rPr>
          <w:rFonts w:ascii="Cambria" w:hAnsi="Cambria"/>
          <w:sz w:val="20"/>
          <w:szCs w:val="20"/>
          <w:lang w:val="es-CO"/>
        </w:rPr>
        <w:t xml:space="preserve"> </w:t>
      </w:r>
      <w:r w:rsidR="00FE4168" w:rsidRPr="00885BD7">
        <w:rPr>
          <w:rFonts w:ascii="Cambria" w:hAnsi="Cambria"/>
          <w:sz w:val="20"/>
          <w:szCs w:val="20"/>
          <w:lang w:val="es-CO"/>
        </w:rPr>
        <w:t>existía una investigación por extorsión, luego recalificada como co</w:t>
      </w:r>
      <w:r w:rsidR="005557F8" w:rsidRPr="00885BD7">
        <w:rPr>
          <w:rFonts w:ascii="Cambria" w:hAnsi="Cambria"/>
          <w:sz w:val="20"/>
          <w:szCs w:val="20"/>
          <w:lang w:val="es-CO"/>
        </w:rPr>
        <w:t>hecho, pero no en referencia a los hechos concretos de la noticia.</w:t>
      </w:r>
    </w:p>
    <w:p w14:paraId="7D2B9702" w14:textId="77777777" w:rsidR="00A31B71" w:rsidRPr="00885BD7" w:rsidRDefault="00A31B71"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0C4D2682" w14:textId="77777777" w:rsidR="000A388F" w:rsidRPr="00885BD7" w:rsidRDefault="00621C39"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885BD7">
        <w:rPr>
          <w:rFonts w:ascii="Cambria" w:hAnsi="Cambria"/>
          <w:sz w:val="20"/>
          <w:szCs w:val="20"/>
          <w:lang w:val="es-CO"/>
        </w:rPr>
        <w:t>Con base en lo expuesto</w:t>
      </w:r>
      <w:r w:rsidR="005D42FC" w:rsidRPr="00885BD7">
        <w:rPr>
          <w:rFonts w:ascii="Cambria" w:hAnsi="Cambria"/>
          <w:sz w:val="20"/>
          <w:szCs w:val="20"/>
          <w:lang w:val="es-CO"/>
        </w:rPr>
        <w:t xml:space="preserve">, </w:t>
      </w:r>
      <w:r w:rsidR="006E4303" w:rsidRPr="00885BD7">
        <w:rPr>
          <w:rFonts w:ascii="Cambria" w:hAnsi="Cambria"/>
          <w:sz w:val="20"/>
          <w:szCs w:val="20"/>
          <w:lang w:val="es-CO"/>
        </w:rPr>
        <w:t xml:space="preserve">a efectos de determinar si la sanción civil impuesta cumplió con el requisito de necesidad y proporcionalidad, </w:t>
      </w:r>
      <w:r w:rsidR="005D42FC" w:rsidRPr="00885BD7">
        <w:rPr>
          <w:rFonts w:ascii="Cambria" w:hAnsi="Cambria"/>
          <w:sz w:val="20"/>
          <w:szCs w:val="20"/>
          <w:lang w:val="es-CO"/>
        </w:rPr>
        <w:t xml:space="preserve">la Comisión debe analizar si </w:t>
      </w:r>
      <w:r w:rsidR="006E4303" w:rsidRPr="00885BD7">
        <w:rPr>
          <w:rFonts w:ascii="Cambria" w:hAnsi="Cambria"/>
          <w:sz w:val="20"/>
          <w:szCs w:val="20"/>
          <w:lang w:val="es-CO"/>
        </w:rPr>
        <w:t xml:space="preserve">se comprobó que </w:t>
      </w:r>
      <w:r w:rsidR="005D42FC" w:rsidRPr="00885BD7">
        <w:rPr>
          <w:rFonts w:ascii="Cambria" w:hAnsi="Cambria"/>
          <w:sz w:val="20"/>
          <w:szCs w:val="20"/>
          <w:lang w:val="es-CO"/>
        </w:rPr>
        <w:t xml:space="preserve">los periodistas actuaron con </w:t>
      </w:r>
      <w:r w:rsidR="006E4303" w:rsidRPr="00885BD7">
        <w:rPr>
          <w:rFonts w:ascii="Cambria" w:hAnsi="Cambria" w:cstheme="minorHAnsi"/>
          <w:sz w:val="20"/>
          <w:szCs w:val="20"/>
          <w:lang w:val="es-AR"/>
        </w:rPr>
        <w:t xml:space="preserve">la intención de causar daño </w:t>
      </w:r>
      <w:r w:rsidR="006E4303" w:rsidRPr="00885BD7">
        <w:rPr>
          <w:rFonts w:ascii="Cambria" w:hAnsi="Cambria"/>
          <w:sz w:val="20"/>
          <w:szCs w:val="20"/>
          <w:lang w:val="es-PE"/>
        </w:rPr>
        <w:t xml:space="preserve">y </w:t>
      </w:r>
      <w:r w:rsidR="00885BD7">
        <w:rPr>
          <w:rFonts w:ascii="Cambria" w:hAnsi="Cambria"/>
          <w:sz w:val="20"/>
          <w:szCs w:val="20"/>
          <w:lang w:val="es-PE"/>
        </w:rPr>
        <w:t xml:space="preserve">con </w:t>
      </w:r>
      <w:r w:rsidR="006E4303" w:rsidRPr="00885BD7">
        <w:rPr>
          <w:rFonts w:ascii="Cambria" w:hAnsi="Cambria"/>
          <w:sz w:val="20"/>
          <w:szCs w:val="20"/>
          <w:lang w:val="es-PE"/>
        </w:rPr>
        <w:t>conocimiento de que se estaban difundiendo informaciones falsas o con un evidente desprecio por la verdad de los hechos</w:t>
      </w:r>
      <w:r w:rsidR="00B968D2" w:rsidRPr="00885BD7">
        <w:rPr>
          <w:rFonts w:ascii="Cambria" w:hAnsi="Cambria"/>
          <w:sz w:val="20"/>
          <w:szCs w:val="20"/>
          <w:lang w:val="es-PE"/>
        </w:rPr>
        <w:t xml:space="preserve">. </w:t>
      </w:r>
      <w:r w:rsidR="000A388F" w:rsidRPr="00885BD7">
        <w:rPr>
          <w:rFonts w:ascii="Cambria" w:hAnsi="Cambria"/>
          <w:sz w:val="20"/>
          <w:szCs w:val="20"/>
          <w:lang w:val="es-CO"/>
        </w:rPr>
        <w:t xml:space="preserve">Cabe resaltar que </w:t>
      </w:r>
      <w:r w:rsidR="000A388F" w:rsidRPr="00885BD7">
        <w:rPr>
          <w:rFonts w:ascii="Cambria" w:hAnsi="Cambria"/>
          <w:sz w:val="20"/>
          <w:szCs w:val="20"/>
          <w:lang w:val="es-PE"/>
        </w:rPr>
        <w:t>las expresiones realizadas por los señores Moya Chacón y Parrales Chaves no constitu</w:t>
      </w:r>
      <w:r w:rsidR="006E4303" w:rsidRPr="00885BD7">
        <w:rPr>
          <w:rFonts w:ascii="Cambria" w:hAnsi="Cambria"/>
          <w:sz w:val="20"/>
          <w:szCs w:val="20"/>
          <w:lang w:val="es-PE"/>
        </w:rPr>
        <w:t>yeron</w:t>
      </w:r>
      <w:r w:rsidR="000A388F" w:rsidRPr="00885BD7">
        <w:rPr>
          <w:rFonts w:ascii="Cambria" w:hAnsi="Cambria"/>
          <w:sz w:val="20"/>
          <w:szCs w:val="20"/>
          <w:lang w:val="es-PE"/>
        </w:rPr>
        <w:t xml:space="preserve"> una opinión sino una afirmación de hechos. Mientras que las opiniones no son susceptibles de ser verdaderas o falsas, las expresiones sobre hechos sí lo son.</w:t>
      </w:r>
    </w:p>
    <w:p w14:paraId="06CB0998" w14:textId="77777777" w:rsidR="005D42FC" w:rsidRPr="006034A4" w:rsidRDefault="005D42FC"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363BC0D2" w14:textId="77777777" w:rsidR="00755ECA" w:rsidRPr="00885BD7" w:rsidRDefault="00687AD1"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6034A4">
        <w:rPr>
          <w:rFonts w:ascii="Cambria" w:hAnsi="Cambria"/>
          <w:sz w:val="20"/>
          <w:szCs w:val="20"/>
          <w:lang w:val="es-CO"/>
        </w:rPr>
        <w:t xml:space="preserve">En primer lugar, la Comisión </w:t>
      </w:r>
      <w:r w:rsidR="00755ECA" w:rsidRPr="006034A4">
        <w:rPr>
          <w:rFonts w:ascii="Cambria" w:hAnsi="Cambria"/>
          <w:sz w:val="20"/>
          <w:szCs w:val="20"/>
          <w:lang w:val="es-CO"/>
        </w:rPr>
        <w:t>recuerda que</w:t>
      </w:r>
      <w:r w:rsidR="00A242A1" w:rsidRPr="006034A4">
        <w:rPr>
          <w:rFonts w:ascii="Cambria" w:hAnsi="Cambria"/>
          <w:sz w:val="20"/>
          <w:szCs w:val="20"/>
          <w:lang w:val="es-CO"/>
        </w:rPr>
        <w:t xml:space="preserve"> la Corte Interamericana ha señalado que </w:t>
      </w:r>
      <w:r w:rsidR="001706FF" w:rsidRPr="006034A4">
        <w:rPr>
          <w:rFonts w:ascii="Cambria" w:hAnsi="Cambria"/>
          <w:sz w:val="20"/>
          <w:szCs w:val="20"/>
          <w:lang w:val="es-CO"/>
        </w:rPr>
        <w:t>“</w:t>
      </w:r>
      <w:r w:rsidR="001706FF" w:rsidRPr="006034A4">
        <w:rPr>
          <w:rFonts w:ascii="Cambria" w:hAnsi="Cambria"/>
          <w:sz w:val="20"/>
          <w:szCs w:val="20"/>
          <w:lang w:val="es-PE"/>
        </w:rPr>
        <w:t>el poder judicial debe tomar en consideración el contexto en el que se realizan las expresiones en asuntos de interés público; el juzgador debe ‘ponderar el respeto a los derechos o a la reputación de los demás con el valor que tiene en una sociedad democrática el debate abierto sobre temas de interés o preocupación pública’”</w:t>
      </w:r>
      <w:r w:rsidR="001706FF" w:rsidRPr="006034A4">
        <w:rPr>
          <w:rStyle w:val="FootnoteReference"/>
          <w:rFonts w:ascii="Cambria" w:hAnsi="Cambria"/>
          <w:sz w:val="20"/>
          <w:szCs w:val="20"/>
          <w:lang w:val="es-PE"/>
        </w:rPr>
        <w:footnoteReference w:id="114"/>
      </w:r>
      <w:r w:rsidR="001706FF" w:rsidRPr="006034A4">
        <w:rPr>
          <w:rFonts w:ascii="Cambria" w:hAnsi="Cambria"/>
          <w:sz w:val="20"/>
          <w:szCs w:val="20"/>
          <w:lang w:val="es-PE"/>
        </w:rPr>
        <w:t xml:space="preserve">. Al respecto, como se estableció anteriormente, </w:t>
      </w:r>
      <w:r w:rsidR="001706FF" w:rsidRPr="006034A4">
        <w:rPr>
          <w:rFonts w:ascii="Cambria" w:hAnsi="Cambria"/>
          <w:sz w:val="20"/>
          <w:szCs w:val="20"/>
          <w:lang w:val="es-CO"/>
        </w:rPr>
        <w:t>el asunto en cuestión trataba sobre un</w:t>
      </w:r>
      <w:r w:rsidR="0027611D" w:rsidRPr="006034A4">
        <w:rPr>
          <w:rFonts w:ascii="Cambria" w:hAnsi="Cambria"/>
          <w:sz w:val="20"/>
          <w:szCs w:val="20"/>
          <w:lang w:val="es-CO"/>
        </w:rPr>
        <w:t>a</w:t>
      </w:r>
      <w:r w:rsidR="001706FF" w:rsidRPr="006034A4">
        <w:rPr>
          <w:rFonts w:ascii="Cambria" w:hAnsi="Cambria"/>
          <w:sz w:val="20"/>
          <w:szCs w:val="20"/>
          <w:lang w:val="es-CO"/>
        </w:rPr>
        <w:t xml:space="preserve"> </w:t>
      </w:r>
      <w:r w:rsidR="0027611D" w:rsidRPr="006034A4">
        <w:rPr>
          <w:rFonts w:ascii="Cambria" w:hAnsi="Cambria"/>
          <w:sz w:val="20"/>
          <w:szCs w:val="20"/>
          <w:lang w:val="es-CO"/>
        </w:rPr>
        <w:t xml:space="preserve">noticia </w:t>
      </w:r>
      <w:r w:rsidR="001706FF" w:rsidRPr="006034A4">
        <w:rPr>
          <w:rFonts w:ascii="Cambria" w:hAnsi="Cambria"/>
          <w:sz w:val="20"/>
          <w:szCs w:val="20"/>
          <w:lang w:val="es-CO"/>
        </w:rPr>
        <w:t>de elevado interés público</w:t>
      </w:r>
      <w:r w:rsidR="0027611D" w:rsidRPr="006034A4">
        <w:rPr>
          <w:rFonts w:ascii="Cambria" w:hAnsi="Cambria"/>
          <w:sz w:val="20"/>
          <w:szCs w:val="20"/>
          <w:lang w:val="es-CO"/>
        </w:rPr>
        <w:t xml:space="preserve"> </w:t>
      </w:r>
      <w:r w:rsidR="00DF203A" w:rsidRPr="006034A4">
        <w:rPr>
          <w:rFonts w:ascii="Cambria" w:hAnsi="Cambria"/>
          <w:sz w:val="20"/>
          <w:szCs w:val="20"/>
          <w:lang w:val="es-CO"/>
        </w:rPr>
        <w:t xml:space="preserve">como sin duda lo es </w:t>
      </w:r>
      <w:r w:rsidR="00A242A1" w:rsidRPr="006034A4">
        <w:rPr>
          <w:rFonts w:ascii="Cambria" w:hAnsi="Cambria"/>
          <w:sz w:val="20"/>
          <w:szCs w:val="20"/>
          <w:lang w:val="es-MX"/>
        </w:rPr>
        <w:t xml:space="preserve">una situación </w:t>
      </w:r>
      <w:r w:rsidR="00755ECA" w:rsidRPr="006034A4">
        <w:rPr>
          <w:rFonts w:ascii="Cambria" w:hAnsi="Cambria"/>
          <w:sz w:val="20"/>
          <w:szCs w:val="20"/>
          <w:lang w:val="es-MX"/>
        </w:rPr>
        <w:t xml:space="preserve">de </w:t>
      </w:r>
      <w:r w:rsidR="00A242A1" w:rsidRPr="006034A4">
        <w:rPr>
          <w:rFonts w:ascii="Cambria" w:hAnsi="Cambria"/>
          <w:sz w:val="20"/>
          <w:szCs w:val="20"/>
          <w:lang w:val="es-MX"/>
        </w:rPr>
        <w:t xml:space="preserve">presuntas </w:t>
      </w:r>
      <w:r w:rsidR="00755ECA" w:rsidRPr="006034A4">
        <w:rPr>
          <w:rFonts w:ascii="Cambria" w:hAnsi="Cambria"/>
          <w:sz w:val="20"/>
          <w:szCs w:val="20"/>
          <w:lang w:val="es-MX"/>
        </w:rPr>
        <w:t xml:space="preserve">irregularidades en la zona sur del país en relación con el contrabando de licores, </w:t>
      </w:r>
      <w:r w:rsidR="00A242A1" w:rsidRPr="006034A4">
        <w:rPr>
          <w:rFonts w:ascii="Cambria" w:hAnsi="Cambria"/>
          <w:sz w:val="20"/>
          <w:szCs w:val="20"/>
          <w:lang w:val="es-MX"/>
        </w:rPr>
        <w:t>razón por la cual se habrían iniciado diversas investigaciones</w:t>
      </w:r>
      <w:r w:rsidR="003D1314" w:rsidRPr="006034A4">
        <w:rPr>
          <w:rFonts w:ascii="Cambria" w:hAnsi="Cambria"/>
          <w:sz w:val="20"/>
          <w:szCs w:val="20"/>
          <w:lang w:val="es-MX"/>
        </w:rPr>
        <w:t xml:space="preserve"> </w:t>
      </w:r>
      <w:r w:rsidR="00DF203A" w:rsidRPr="006034A4">
        <w:rPr>
          <w:rFonts w:ascii="Cambria" w:hAnsi="Cambria"/>
          <w:sz w:val="20"/>
          <w:szCs w:val="20"/>
          <w:lang w:val="es-MX"/>
        </w:rPr>
        <w:t>por parte de</w:t>
      </w:r>
      <w:r w:rsidR="004F1CAF">
        <w:rPr>
          <w:rFonts w:ascii="Cambria" w:hAnsi="Cambria"/>
          <w:sz w:val="20"/>
          <w:szCs w:val="20"/>
          <w:lang w:val="es-MX"/>
        </w:rPr>
        <w:t xml:space="preserve"> las autoridades fiscales, </w:t>
      </w:r>
      <w:r w:rsidR="00A242A1" w:rsidRPr="006034A4">
        <w:rPr>
          <w:rFonts w:ascii="Cambria" w:hAnsi="Cambria"/>
          <w:sz w:val="20"/>
          <w:szCs w:val="20"/>
          <w:lang w:val="es-MX"/>
        </w:rPr>
        <w:t>en especial contra el jefe regional de la fuerza pública</w:t>
      </w:r>
      <w:r w:rsidR="000B07F5" w:rsidRPr="006034A4">
        <w:rPr>
          <w:rFonts w:ascii="Cambria" w:hAnsi="Cambria"/>
          <w:sz w:val="20"/>
          <w:szCs w:val="20"/>
          <w:lang w:val="es-MX"/>
        </w:rPr>
        <w:t xml:space="preserve"> y otros dos agentes policiales</w:t>
      </w:r>
      <w:r w:rsidR="00A242A1" w:rsidRPr="006034A4">
        <w:rPr>
          <w:rFonts w:ascii="Cambria" w:hAnsi="Cambria"/>
          <w:sz w:val="20"/>
          <w:szCs w:val="20"/>
          <w:lang w:val="es-MX"/>
        </w:rPr>
        <w:t>. E</w:t>
      </w:r>
      <w:r w:rsidR="0027611D" w:rsidRPr="006034A4">
        <w:rPr>
          <w:rFonts w:ascii="Cambria" w:hAnsi="Cambria"/>
          <w:sz w:val="20"/>
          <w:szCs w:val="20"/>
          <w:lang w:val="es-MX"/>
        </w:rPr>
        <w:t xml:space="preserve">n este sentido, la nota </w:t>
      </w:r>
      <w:r w:rsidR="0027611D" w:rsidRPr="006034A4">
        <w:rPr>
          <w:rFonts w:ascii="Cambria" w:hAnsi="Cambria"/>
          <w:sz w:val="20"/>
          <w:szCs w:val="20"/>
          <w:lang w:val="es-MX"/>
        </w:rPr>
        <w:lastRenderedPageBreak/>
        <w:t>periodística</w:t>
      </w:r>
      <w:r w:rsidR="00A242A1" w:rsidRPr="006034A4">
        <w:rPr>
          <w:rFonts w:ascii="Cambria" w:hAnsi="Cambria"/>
          <w:sz w:val="20"/>
          <w:szCs w:val="20"/>
          <w:lang w:val="es-MX"/>
        </w:rPr>
        <w:t xml:space="preserve"> no solo se centró en las presuntas acciones del señor Trejos Rodríguez, sino</w:t>
      </w:r>
      <w:r w:rsidR="000B07F5" w:rsidRPr="006034A4">
        <w:rPr>
          <w:rFonts w:ascii="Cambria" w:hAnsi="Cambria"/>
          <w:sz w:val="20"/>
          <w:szCs w:val="20"/>
          <w:lang w:val="es-MX"/>
        </w:rPr>
        <w:t xml:space="preserve"> sobre </w:t>
      </w:r>
      <w:r w:rsidR="00DF203A" w:rsidRPr="006034A4">
        <w:rPr>
          <w:rFonts w:ascii="Cambria" w:hAnsi="Cambria"/>
          <w:sz w:val="20"/>
          <w:szCs w:val="20"/>
          <w:lang w:val="es-MX"/>
        </w:rPr>
        <w:t>un presunto patrón de irregularidades</w:t>
      </w:r>
      <w:r w:rsidR="003F09A4" w:rsidRPr="006034A4">
        <w:rPr>
          <w:rFonts w:ascii="Cambria" w:hAnsi="Cambria"/>
          <w:sz w:val="20"/>
          <w:szCs w:val="20"/>
          <w:lang w:val="es-MX"/>
        </w:rPr>
        <w:t xml:space="preserve"> </w:t>
      </w:r>
      <w:r w:rsidR="000B07F5" w:rsidRPr="006034A4">
        <w:rPr>
          <w:rFonts w:ascii="Cambria" w:hAnsi="Cambria"/>
          <w:sz w:val="20"/>
          <w:szCs w:val="20"/>
          <w:lang w:val="es-MX"/>
        </w:rPr>
        <w:t>de distintos agentes policiales en la zona.</w:t>
      </w:r>
      <w:r w:rsidR="00A242A1" w:rsidRPr="006034A4">
        <w:rPr>
          <w:rFonts w:ascii="Cambria" w:hAnsi="Cambria"/>
          <w:sz w:val="20"/>
          <w:szCs w:val="20"/>
          <w:lang w:val="es-MX"/>
        </w:rPr>
        <w:t xml:space="preserve"> </w:t>
      </w:r>
    </w:p>
    <w:p w14:paraId="2D60FF66" w14:textId="77777777" w:rsidR="00885BD7" w:rsidRPr="006034A4" w:rsidRDefault="00885BD7" w:rsidP="00885BD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7D32ADFD" w14:textId="77777777" w:rsidR="004C1D39" w:rsidRPr="006034A4" w:rsidRDefault="00687AD1"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6034A4">
        <w:rPr>
          <w:rFonts w:ascii="Cambria" w:hAnsi="Cambria"/>
          <w:sz w:val="20"/>
          <w:szCs w:val="20"/>
          <w:lang w:val="es-CO"/>
        </w:rPr>
        <w:t>En segundo lugar, l</w:t>
      </w:r>
      <w:r w:rsidR="004745DC" w:rsidRPr="006034A4">
        <w:rPr>
          <w:rFonts w:ascii="Cambria" w:hAnsi="Cambria"/>
          <w:sz w:val="20"/>
          <w:szCs w:val="20"/>
          <w:lang w:val="es-CO"/>
        </w:rPr>
        <w:t xml:space="preserve">a Comisión nota que los periodistas no solo recibieron información inicial de </w:t>
      </w:r>
      <w:r w:rsidR="007C5B50" w:rsidRPr="006034A4">
        <w:rPr>
          <w:rFonts w:ascii="Cambria" w:hAnsi="Cambria"/>
          <w:sz w:val="20"/>
          <w:szCs w:val="20"/>
          <w:lang w:val="es-CO"/>
        </w:rPr>
        <w:t>determinadas</w:t>
      </w:r>
      <w:r w:rsidR="004745DC" w:rsidRPr="006034A4">
        <w:rPr>
          <w:rFonts w:ascii="Cambria" w:hAnsi="Cambria"/>
          <w:sz w:val="20"/>
          <w:szCs w:val="20"/>
          <w:lang w:val="es-CO"/>
        </w:rPr>
        <w:t xml:space="preserve"> fuentes, sino que acudieron a la máxima autoridad de los funcionarios policiales</w:t>
      </w:r>
      <w:r w:rsidR="004F1CAF">
        <w:rPr>
          <w:rFonts w:ascii="Cambria" w:hAnsi="Cambria"/>
          <w:sz w:val="20"/>
          <w:szCs w:val="20"/>
          <w:lang w:val="es-CO"/>
        </w:rPr>
        <w:t xml:space="preserve"> involucrados</w:t>
      </w:r>
      <w:r w:rsidR="004745DC" w:rsidRPr="006034A4">
        <w:rPr>
          <w:rFonts w:ascii="Cambria" w:hAnsi="Cambria"/>
          <w:sz w:val="20"/>
          <w:szCs w:val="20"/>
          <w:lang w:val="es-CO"/>
        </w:rPr>
        <w:t xml:space="preserve"> para que </w:t>
      </w:r>
      <w:r w:rsidR="005F1AB5" w:rsidRPr="006034A4">
        <w:rPr>
          <w:rFonts w:ascii="Cambria" w:hAnsi="Cambria"/>
          <w:sz w:val="20"/>
          <w:szCs w:val="20"/>
          <w:lang w:val="es-CO"/>
        </w:rPr>
        <w:t xml:space="preserve">esta </w:t>
      </w:r>
      <w:r w:rsidR="00C213BF" w:rsidRPr="006034A4">
        <w:rPr>
          <w:rFonts w:ascii="Cambria" w:hAnsi="Cambria"/>
          <w:sz w:val="20"/>
          <w:szCs w:val="20"/>
          <w:lang w:val="es-CO"/>
        </w:rPr>
        <w:t>corroborara la noticia</w:t>
      </w:r>
      <w:r w:rsidR="004F1CAF">
        <w:rPr>
          <w:rFonts w:ascii="Cambria" w:hAnsi="Cambria"/>
          <w:sz w:val="20"/>
          <w:szCs w:val="20"/>
          <w:lang w:val="es-CO"/>
        </w:rPr>
        <w:t>. Tampoco fue controvertido qu</w:t>
      </w:r>
      <w:r w:rsidR="00C213BF" w:rsidRPr="006034A4">
        <w:rPr>
          <w:rFonts w:ascii="Cambria" w:hAnsi="Cambria"/>
          <w:sz w:val="20"/>
          <w:szCs w:val="20"/>
          <w:lang w:val="es-CO"/>
        </w:rPr>
        <w:t>e</w:t>
      </w:r>
      <w:r w:rsidR="008844BB">
        <w:rPr>
          <w:rFonts w:ascii="Cambria" w:hAnsi="Cambria"/>
          <w:sz w:val="20"/>
          <w:szCs w:val="20"/>
          <w:lang w:val="es-CO"/>
        </w:rPr>
        <w:t xml:space="preserve"> los periodistas</w:t>
      </w:r>
      <w:r w:rsidR="00C213BF" w:rsidRPr="006034A4">
        <w:rPr>
          <w:rFonts w:ascii="Cambria" w:hAnsi="Cambria"/>
          <w:sz w:val="20"/>
          <w:szCs w:val="20"/>
          <w:lang w:val="es-CO"/>
        </w:rPr>
        <w:t xml:space="preserve"> intentaron contactar al señor Trejos Rodríguez antes de la publicación, sin </w:t>
      </w:r>
      <w:r w:rsidR="000E3A6A" w:rsidRPr="006034A4">
        <w:rPr>
          <w:rFonts w:ascii="Cambria" w:hAnsi="Cambria"/>
          <w:sz w:val="20"/>
          <w:szCs w:val="20"/>
          <w:lang w:val="es-CO"/>
        </w:rPr>
        <w:t>embargo,</w:t>
      </w:r>
      <w:r w:rsidR="00C213BF" w:rsidRPr="006034A4">
        <w:rPr>
          <w:rFonts w:ascii="Cambria" w:hAnsi="Cambria"/>
          <w:sz w:val="20"/>
          <w:szCs w:val="20"/>
          <w:lang w:val="es-CO"/>
        </w:rPr>
        <w:t xml:space="preserve"> </w:t>
      </w:r>
      <w:r w:rsidR="00D65400" w:rsidRPr="006034A4">
        <w:rPr>
          <w:rFonts w:ascii="Cambria" w:hAnsi="Cambria"/>
          <w:sz w:val="20"/>
          <w:szCs w:val="20"/>
          <w:lang w:val="es-CO"/>
        </w:rPr>
        <w:t>este habría comunicado que se encontraba</w:t>
      </w:r>
      <w:r w:rsidR="00C213BF" w:rsidRPr="006034A4">
        <w:rPr>
          <w:rFonts w:ascii="Cambria" w:hAnsi="Cambria"/>
          <w:sz w:val="20"/>
          <w:szCs w:val="20"/>
          <w:lang w:val="es-CO"/>
        </w:rPr>
        <w:t xml:space="preserve"> en reuniones. </w:t>
      </w:r>
      <w:r w:rsidR="007C5B50" w:rsidRPr="006034A4">
        <w:rPr>
          <w:rFonts w:ascii="Cambria" w:hAnsi="Cambria"/>
          <w:sz w:val="20"/>
          <w:szCs w:val="20"/>
          <w:lang w:val="es-CO"/>
        </w:rPr>
        <w:t xml:space="preserve">La Comisión </w:t>
      </w:r>
      <w:r w:rsidR="00EA3223" w:rsidRPr="006034A4">
        <w:rPr>
          <w:rFonts w:ascii="Cambria" w:hAnsi="Cambria"/>
          <w:sz w:val="20"/>
          <w:szCs w:val="20"/>
          <w:lang w:val="es-CO"/>
        </w:rPr>
        <w:t>observa</w:t>
      </w:r>
      <w:r w:rsidR="007C5B50" w:rsidRPr="006034A4">
        <w:rPr>
          <w:rFonts w:ascii="Cambria" w:hAnsi="Cambria"/>
          <w:sz w:val="20"/>
          <w:szCs w:val="20"/>
          <w:lang w:val="es-CO"/>
        </w:rPr>
        <w:t xml:space="preserve"> que </w:t>
      </w:r>
      <w:r w:rsidR="007C5B50" w:rsidRPr="006034A4">
        <w:rPr>
          <w:rFonts w:ascii="Cambria" w:hAnsi="Cambria"/>
          <w:sz w:val="20"/>
          <w:szCs w:val="20"/>
          <w:lang w:val="es-VE"/>
        </w:rPr>
        <w:t>el Ministerio</w:t>
      </w:r>
      <w:r w:rsidR="00093F48" w:rsidRPr="006034A4">
        <w:rPr>
          <w:rFonts w:ascii="Cambria" w:hAnsi="Cambria"/>
          <w:sz w:val="20"/>
          <w:szCs w:val="20"/>
          <w:lang w:val="es-VE"/>
        </w:rPr>
        <w:t xml:space="preserve"> de Seguridad</w:t>
      </w:r>
      <w:r w:rsidR="007C5B50" w:rsidRPr="006034A4">
        <w:rPr>
          <w:rFonts w:ascii="Cambria" w:hAnsi="Cambria"/>
          <w:sz w:val="20"/>
          <w:szCs w:val="20"/>
          <w:lang w:val="es-VE"/>
        </w:rPr>
        <w:t xml:space="preserve"> tenía un departamento de asuntos internos que se encargaba de lo relativo a las investigaciones abiertas al personal policial</w:t>
      </w:r>
      <w:r w:rsidR="00093F48" w:rsidRPr="006034A4">
        <w:rPr>
          <w:rFonts w:ascii="Cambria" w:hAnsi="Cambria"/>
          <w:sz w:val="20"/>
          <w:szCs w:val="20"/>
          <w:lang w:val="es-VE"/>
        </w:rPr>
        <w:t xml:space="preserve">, por lo que la información sobre la investigación iniciada contra el señor Trejos Rodríguez se </w:t>
      </w:r>
      <w:r w:rsidR="003D1314" w:rsidRPr="006034A4">
        <w:rPr>
          <w:rFonts w:ascii="Cambria" w:hAnsi="Cambria"/>
          <w:sz w:val="20"/>
          <w:szCs w:val="20"/>
          <w:lang w:val="es-VE"/>
        </w:rPr>
        <w:t>podía corrob</w:t>
      </w:r>
      <w:r w:rsidR="00E239D8" w:rsidRPr="006034A4">
        <w:rPr>
          <w:rFonts w:ascii="Cambria" w:hAnsi="Cambria"/>
          <w:sz w:val="20"/>
          <w:szCs w:val="20"/>
          <w:lang w:val="es-VE"/>
        </w:rPr>
        <w:t>or</w:t>
      </w:r>
      <w:r w:rsidR="003D1314" w:rsidRPr="006034A4">
        <w:rPr>
          <w:rFonts w:ascii="Cambria" w:hAnsi="Cambria"/>
          <w:sz w:val="20"/>
          <w:szCs w:val="20"/>
          <w:lang w:val="es-VE"/>
        </w:rPr>
        <w:t>ar</w:t>
      </w:r>
      <w:r w:rsidR="00093F48" w:rsidRPr="006034A4">
        <w:rPr>
          <w:rFonts w:ascii="Cambria" w:hAnsi="Cambria"/>
          <w:sz w:val="20"/>
          <w:szCs w:val="20"/>
          <w:lang w:val="es-VE"/>
        </w:rPr>
        <w:t xml:space="preserve"> no solo en la Fiscalía sino también en las oficinas administrativas y disciplinarias del </w:t>
      </w:r>
      <w:r w:rsidR="008844BB">
        <w:rPr>
          <w:rFonts w:ascii="Cambria" w:hAnsi="Cambria"/>
          <w:sz w:val="20"/>
          <w:szCs w:val="20"/>
          <w:lang w:val="es-VE"/>
        </w:rPr>
        <w:t>m</w:t>
      </w:r>
      <w:r w:rsidR="00093F48" w:rsidRPr="006034A4">
        <w:rPr>
          <w:rFonts w:ascii="Cambria" w:hAnsi="Cambria"/>
          <w:sz w:val="20"/>
          <w:szCs w:val="20"/>
          <w:lang w:val="es-VE"/>
        </w:rPr>
        <w:t xml:space="preserve">inisterio. </w:t>
      </w:r>
      <w:r w:rsidR="00D65400" w:rsidRPr="006034A4">
        <w:rPr>
          <w:rFonts w:ascii="Cambria" w:hAnsi="Cambria"/>
          <w:sz w:val="20"/>
          <w:szCs w:val="20"/>
          <w:lang w:val="es-VE"/>
        </w:rPr>
        <w:t xml:space="preserve">El </w:t>
      </w:r>
      <w:r w:rsidR="003F09A4" w:rsidRPr="006034A4">
        <w:rPr>
          <w:rFonts w:ascii="Cambria" w:hAnsi="Cambria"/>
          <w:sz w:val="20"/>
          <w:szCs w:val="20"/>
          <w:lang w:val="es-VE"/>
        </w:rPr>
        <w:t>E</w:t>
      </w:r>
      <w:r w:rsidR="00D65400" w:rsidRPr="006034A4">
        <w:rPr>
          <w:rFonts w:ascii="Cambria" w:hAnsi="Cambria"/>
          <w:sz w:val="20"/>
          <w:szCs w:val="20"/>
          <w:lang w:val="es-VE"/>
        </w:rPr>
        <w:t xml:space="preserve">stado de Costa Rica controvirtió </w:t>
      </w:r>
      <w:r w:rsidR="004F1CAF">
        <w:rPr>
          <w:rFonts w:ascii="Cambria" w:hAnsi="Cambria"/>
          <w:sz w:val="20"/>
          <w:szCs w:val="20"/>
          <w:lang w:val="es-VE"/>
        </w:rPr>
        <w:t xml:space="preserve">este punto </w:t>
      </w:r>
      <w:r w:rsidR="00D65400" w:rsidRPr="006034A4">
        <w:rPr>
          <w:rFonts w:ascii="Cambria" w:hAnsi="Cambria"/>
          <w:sz w:val="20"/>
          <w:szCs w:val="20"/>
          <w:lang w:val="es-VE"/>
        </w:rPr>
        <w:t xml:space="preserve">y afirmó que </w:t>
      </w:r>
      <w:r w:rsidR="005F1AB5" w:rsidRPr="006034A4">
        <w:rPr>
          <w:rFonts w:ascii="Cambria" w:hAnsi="Cambria"/>
          <w:sz w:val="20"/>
          <w:szCs w:val="20"/>
          <w:lang w:val="es-VE"/>
        </w:rPr>
        <w:t xml:space="preserve">para la época de los hechos </w:t>
      </w:r>
      <w:r w:rsidR="004F1CAF">
        <w:rPr>
          <w:rFonts w:ascii="Cambria" w:hAnsi="Cambria"/>
          <w:sz w:val="20"/>
          <w:szCs w:val="20"/>
          <w:lang w:val="es-VE"/>
        </w:rPr>
        <w:t>--</w:t>
      </w:r>
      <w:r w:rsidR="005F1AB5" w:rsidRPr="006034A4">
        <w:rPr>
          <w:rFonts w:ascii="Cambria" w:hAnsi="Cambria"/>
          <w:sz w:val="20"/>
          <w:szCs w:val="20"/>
          <w:lang w:val="es-VE"/>
        </w:rPr>
        <w:t xml:space="preserve">y </w:t>
      </w:r>
      <w:r w:rsidR="00113B31" w:rsidRPr="006034A4">
        <w:rPr>
          <w:rFonts w:ascii="Cambria" w:hAnsi="Cambria"/>
          <w:sz w:val="20"/>
          <w:szCs w:val="20"/>
          <w:lang w:val="es-VE"/>
        </w:rPr>
        <w:t>antes de la creación del área de prensa del Ministerio Público en el 2008</w:t>
      </w:r>
      <w:r w:rsidR="004F1CAF">
        <w:rPr>
          <w:rFonts w:ascii="Cambria" w:hAnsi="Cambria"/>
          <w:sz w:val="20"/>
          <w:szCs w:val="20"/>
          <w:lang w:val="es-VE"/>
        </w:rPr>
        <w:t>--</w:t>
      </w:r>
      <w:r w:rsidR="00093F48" w:rsidRPr="006034A4">
        <w:rPr>
          <w:rFonts w:ascii="Cambria" w:hAnsi="Cambria"/>
          <w:sz w:val="20"/>
          <w:szCs w:val="20"/>
          <w:lang w:val="es-VE"/>
        </w:rPr>
        <w:t xml:space="preserve">, la oficina de prensa del Poder Judicial </w:t>
      </w:r>
      <w:r w:rsidR="00113B31" w:rsidRPr="006034A4">
        <w:rPr>
          <w:rFonts w:ascii="Cambria" w:hAnsi="Cambria"/>
          <w:sz w:val="20"/>
          <w:szCs w:val="20"/>
          <w:lang w:val="es-VE"/>
        </w:rPr>
        <w:t>atendía consultas de casos en investigación fiscal</w:t>
      </w:r>
      <w:r w:rsidR="005F1AB5" w:rsidRPr="006034A4">
        <w:rPr>
          <w:rFonts w:ascii="Cambria" w:hAnsi="Cambria"/>
          <w:sz w:val="20"/>
          <w:szCs w:val="20"/>
          <w:lang w:val="es-VE"/>
        </w:rPr>
        <w:t xml:space="preserve"> de todo el territorio nacional. Sin embargo, este hecho no implica que el Ministerio de Seguridad no con</w:t>
      </w:r>
      <w:r w:rsidR="003C742F" w:rsidRPr="006034A4">
        <w:rPr>
          <w:rFonts w:ascii="Cambria" w:hAnsi="Cambria"/>
          <w:sz w:val="20"/>
          <w:szCs w:val="20"/>
          <w:lang w:val="es-VE"/>
        </w:rPr>
        <w:t xml:space="preserve">tara también con esta información, por lo que </w:t>
      </w:r>
      <w:r w:rsidR="004F1CAF">
        <w:rPr>
          <w:rFonts w:ascii="Cambria" w:hAnsi="Cambria"/>
          <w:sz w:val="20"/>
          <w:szCs w:val="20"/>
          <w:lang w:val="es-VE"/>
        </w:rPr>
        <w:t>se trataba de</w:t>
      </w:r>
      <w:r w:rsidR="003D26AC" w:rsidRPr="006034A4">
        <w:rPr>
          <w:rFonts w:ascii="Cambria" w:hAnsi="Cambria"/>
          <w:sz w:val="20"/>
          <w:szCs w:val="20"/>
          <w:lang w:val="es-VE"/>
        </w:rPr>
        <w:t xml:space="preserve"> </w:t>
      </w:r>
      <w:r w:rsidR="005F1AB5" w:rsidRPr="006034A4">
        <w:rPr>
          <w:rFonts w:ascii="Cambria" w:hAnsi="Cambria"/>
          <w:sz w:val="20"/>
          <w:szCs w:val="20"/>
          <w:lang w:val="es-VE"/>
        </w:rPr>
        <w:t>una fuente adecuada para corroborar la existencia de la investigación</w:t>
      </w:r>
      <w:r w:rsidR="005C705D" w:rsidRPr="006034A4">
        <w:rPr>
          <w:rFonts w:ascii="Cambria" w:hAnsi="Cambria"/>
          <w:sz w:val="20"/>
          <w:szCs w:val="20"/>
          <w:lang w:val="es-VE"/>
        </w:rPr>
        <w:t xml:space="preserve">. En este sentido, </w:t>
      </w:r>
      <w:r w:rsidR="005F1AB5" w:rsidRPr="006034A4">
        <w:rPr>
          <w:rFonts w:ascii="Cambria" w:hAnsi="Cambria"/>
          <w:sz w:val="20"/>
          <w:szCs w:val="20"/>
          <w:lang w:val="es-VE"/>
        </w:rPr>
        <w:t xml:space="preserve">era razonable que los periodistas confirmaran la noticia con </w:t>
      </w:r>
      <w:r w:rsidR="008844BB" w:rsidRPr="006034A4">
        <w:rPr>
          <w:rFonts w:ascii="Cambria" w:hAnsi="Cambria"/>
          <w:sz w:val="20"/>
          <w:szCs w:val="20"/>
          <w:lang w:val="es-VE"/>
        </w:rPr>
        <w:t>el área</w:t>
      </w:r>
      <w:r w:rsidR="008844BB">
        <w:rPr>
          <w:rFonts w:ascii="Cambria" w:hAnsi="Cambria"/>
          <w:sz w:val="20"/>
          <w:szCs w:val="20"/>
          <w:lang w:val="es-VE"/>
        </w:rPr>
        <w:t xml:space="preserve"> a cargo d</w:t>
      </w:r>
      <w:r w:rsidR="005F1AB5" w:rsidRPr="006034A4">
        <w:rPr>
          <w:rFonts w:ascii="Cambria" w:hAnsi="Cambria"/>
          <w:sz w:val="20"/>
          <w:szCs w:val="20"/>
          <w:lang w:val="es-VE"/>
        </w:rPr>
        <w:t xml:space="preserve">el </w:t>
      </w:r>
      <w:r w:rsidR="00ED4679" w:rsidRPr="006034A4">
        <w:rPr>
          <w:rFonts w:ascii="Cambria" w:hAnsi="Cambria"/>
          <w:sz w:val="20"/>
          <w:szCs w:val="20"/>
          <w:lang w:val="es-VE"/>
        </w:rPr>
        <w:t>ministerio</w:t>
      </w:r>
      <w:r w:rsidR="00D65400" w:rsidRPr="006034A4">
        <w:rPr>
          <w:rFonts w:ascii="Cambria" w:hAnsi="Cambria"/>
          <w:sz w:val="20"/>
          <w:szCs w:val="20"/>
          <w:lang w:val="es-VE"/>
        </w:rPr>
        <w:t xml:space="preserve"> </w:t>
      </w:r>
      <w:r w:rsidR="00ED4679" w:rsidRPr="006034A4">
        <w:rPr>
          <w:rFonts w:ascii="Cambria" w:hAnsi="Cambria"/>
          <w:sz w:val="20"/>
          <w:szCs w:val="20"/>
          <w:lang w:val="es-VE"/>
        </w:rPr>
        <w:t xml:space="preserve">y confiaran en la certeza de dicha corroboración. </w:t>
      </w:r>
      <w:r w:rsidR="0028034B" w:rsidRPr="006034A4">
        <w:rPr>
          <w:rFonts w:ascii="Cambria" w:hAnsi="Cambria"/>
          <w:sz w:val="20"/>
          <w:szCs w:val="20"/>
          <w:lang w:val="es-VE"/>
        </w:rPr>
        <w:t xml:space="preserve">Concluir lo contrario, implicaría </w:t>
      </w:r>
      <w:r w:rsidR="003D1314" w:rsidRPr="006034A4">
        <w:rPr>
          <w:rFonts w:ascii="Cambria" w:hAnsi="Cambria"/>
          <w:sz w:val="20"/>
          <w:szCs w:val="20"/>
          <w:lang w:val="es-VE"/>
        </w:rPr>
        <w:t xml:space="preserve">la exigencia </w:t>
      </w:r>
      <w:r w:rsidR="00270C0F">
        <w:rPr>
          <w:rFonts w:ascii="Cambria" w:hAnsi="Cambria"/>
          <w:sz w:val="20"/>
          <w:szCs w:val="20"/>
          <w:lang w:val="es-VE"/>
        </w:rPr>
        <w:t xml:space="preserve">de </w:t>
      </w:r>
      <w:r w:rsidR="0028034B" w:rsidRPr="006034A4">
        <w:rPr>
          <w:rFonts w:ascii="Cambria" w:hAnsi="Cambria"/>
          <w:sz w:val="20"/>
          <w:szCs w:val="20"/>
          <w:lang w:val="es-VE"/>
        </w:rPr>
        <w:t xml:space="preserve">una verificación </w:t>
      </w:r>
      <w:r w:rsidR="0028034B" w:rsidRPr="006034A4">
        <w:rPr>
          <w:rFonts w:ascii="Cambria" w:hAnsi="Cambria"/>
          <w:sz w:val="20"/>
          <w:szCs w:val="20"/>
          <w:lang w:val="es-CO"/>
        </w:rPr>
        <w:t>exhaustiva que</w:t>
      </w:r>
      <w:r w:rsidR="004F1CAF">
        <w:rPr>
          <w:rFonts w:ascii="Cambria" w:hAnsi="Cambria"/>
          <w:sz w:val="20"/>
          <w:szCs w:val="20"/>
          <w:lang w:val="es-CO"/>
        </w:rPr>
        <w:t>,</w:t>
      </w:r>
      <w:r w:rsidR="0028034B" w:rsidRPr="006034A4">
        <w:rPr>
          <w:rFonts w:ascii="Cambria" w:hAnsi="Cambria"/>
          <w:sz w:val="20"/>
          <w:szCs w:val="20"/>
          <w:lang w:val="es-CO"/>
        </w:rPr>
        <w:t xml:space="preserve"> </w:t>
      </w:r>
      <w:r w:rsidR="004C1D39" w:rsidRPr="006034A4">
        <w:rPr>
          <w:rFonts w:ascii="Cambria" w:hAnsi="Cambria"/>
          <w:sz w:val="20"/>
          <w:szCs w:val="20"/>
          <w:lang w:val="es-CO"/>
        </w:rPr>
        <w:t xml:space="preserve">a criterio de </w:t>
      </w:r>
      <w:r w:rsidR="0028034B" w:rsidRPr="006034A4">
        <w:rPr>
          <w:rFonts w:ascii="Cambria" w:hAnsi="Cambria"/>
          <w:sz w:val="20"/>
          <w:szCs w:val="20"/>
          <w:lang w:val="es-CO"/>
        </w:rPr>
        <w:t>la Comisión</w:t>
      </w:r>
      <w:r w:rsidR="004F1CAF">
        <w:rPr>
          <w:rFonts w:ascii="Cambria" w:hAnsi="Cambria"/>
          <w:sz w:val="20"/>
          <w:szCs w:val="20"/>
          <w:lang w:val="es-CO"/>
        </w:rPr>
        <w:t>,</w:t>
      </w:r>
      <w:r w:rsidR="004C1D39" w:rsidRPr="006034A4">
        <w:rPr>
          <w:rFonts w:ascii="Cambria" w:hAnsi="Cambria"/>
          <w:sz w:val="20"/>
          <w:szCs w:val="20"/>
          <w:lang w:val="es-CO"/>
        </w:rPr>
        <w:t xml:space="preserve"> excede el estándar de diligencia razonable requerido. </w:t>
      </w:r>
    </w:p>
    <w:p w14:paraId="1C49BD1F" w14:textId="77777777" w:rsidR="00C91F21" w:rsidRPr="006034A4" w:rsidRDefault="00C91F21"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53E90BA1" w14:textId="77777777" w:rsidR="002D5073" w:rsidRPr="006034A4" w:rsidRDefault="004C1D39"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6034A4">
        <w:rPr>
          <w:rFonts w:ascii="Cambria" w:hAnsi="Cambria"/>
          <w:sz w:val="20"/>
          <w:szCs w:val="20"/>
          <w:lang w:val="es-CO"/>
        </w:rPr>
        <w:t xml:space="preserve">De igual manera, </w:t>
      </w:r>
      <w:r w:rsidR="000E5983" w:rsidRPr="006034A4">
        <w:rPr>
          <w:rFonts w:ascii="Cambria" w:hAnsi="Cambria"/>
          <w:sz w:val="20"/>
          <w:szCs w:val="20"/>
          <w:lang w:val="es-CO"/>
        </w:rPr>
        <w:t xml:space="preserve">es preciso destacar que el ministro declaró haber confirmado la información con el área encargada dentro del </w:t>
      </w:r>
      <w:r w:rsidR="00270C0F">
        <w:rPr>
          <w:rFonts w:ascii="Cambria" w:hAnsi="Cambria"/>
          <w:sz w:val="20"/>
          <w:szCs w:val="20"/>
          <w:lang w:val="es-CO"/>
        </w:rPr>
        <w:t>m</w:t>
      </w:r>
      <w:r w:rsidR="000E5983" w:rsidRPr="006034A4">
        <w:rPr>
          <w:rFonts w:ascii="Cambria" w:hAnsi="Cambria"/>
          <w:sz w:val="20"/>
          <w:szCs w:val="20"/>
          <w:lang w:val="es-CO"/>
        </w:rPr>
        <w:t xml:space="preserve">inisterio, antes de </w:t>
      </w:r>
      <w:r w:rsidR="003C0E7F" w:rsidRPr="006034A4">
        <w:rPr>
          <w:rFonts w:ascii="Cambria" w:hAnsi="Cambria"/>
          <w:sz w:val="20"/>
          <w:szCs w:val="20"/>
          <w:lang w:val="es-CO"/>
        </w:rPr>
        <w:t>corroborarla a</w:t>
      </w:r>
      <w:r w:rsidR="000E5983" w:rsidRPr="006034A4">
        <w:rPr>
          <w:rFonts w:ascii="Cambria" w:hAnsi="Cambria"/>
          <w:sz w:val="20"/>
          <w:szCs w:val="20"/>
          <w:lang w:val="es-CO"/>
        </w:rPr>
        <w:t xml:space="preserve"> los periodistas.</w:t>
      </w:r>
      <w:r w:rsidR="00716E90" w:rsidRPr="006034A4">
        <w:rPr>
          <w:rFonts w:ascii="Cambria" w:hAnsi="Cambria"/>
          <w:sz w:val="20"/>
          <w:szCs w:val="20"/>
          <w:lang w:val="es-CO"/>
        </w:rPr>
        <w:t xml:space="preserve"> </w:t>
      </w:r>
      <w:r w:rsidR="005F7C93" w:rsidRPr="006034A4">
        <w:rPr>
          <w:rFonts w:ascii="Cambria" w:hAnsi="Cambria"/>
          <w:sz w:val="20"/>
          <w:szCs w:val="20"/>
          <w:lang w:val="es-CO"/>
        </w:rPr>
        <w:t>De hecho</w:t>
      </w:r>
      <w:r w:rsidR="00C91F21" w:rsidRPr="006034A4">
        <w:rPr>
          <w:rFonts w:ascii="Cambria" w:hAnsi="Cambria"/>
          <w:sz w:val="20"/>
          <w:szCs w:val="20"/>
          <w:lang w:val="es-CO"/>
        </w:rPr>
        <w:t>, d</w:t>
      </w:r>
      <w:r w:rsidR="000E5983" w:rsidRPr="006034A4">
        <w:rPr>
          <w:rFonts w:ascii="Cambria" w:hAnsi="Cambria"/>
          <w:sz w:val="20"/>
          <w:szCs w:val="20"/>
          <w:lang w:val="es-CO"/>
        </w:rPr>
        <w:t>urante el proceso penal se comprobó que el ministro cometió un error</w:t>
      </w:r>
      <w:r w:rsidR="004D79AF" w:rsidRPr="006034A4">
        <w:rPr>
          <w:rFonts w:ascii="Cambria" w:hAnsi="Cambria"/>
          <w:sz w:val="20"/>
          <w:szCs w:val="20"/>
          <w:lang w:val="es-CO"/>
        </w:rPr>
        <w:t xml:space="preserve"> al corroborar la noticia</w:t>
      </w:r>
      <w:r w:rsidR="000E5983" w:rsidRPr="006034A4">
        <w:rPr>
          <w:rFonts w:ascii="Cambria" w:hAnsi="Cambria"/>
          <w:sz w:val="20"/>
          <w:szCs w:val="20"/>
          <w:lang w:val="es-CO"/>
        </w:rPr>
        <w:t xml:space="preserve">, </w:t>
      </w:r>
      <w:r w:rsidR="004D79AF" w:rsidRPr="006034A4">
        <w:rPr>
          <w:rFonts w:ascii="Cambria" w:hAnsi="Cambria"/>
          <w:sz w:val="20"/>
          <w:szCs w:val="20"/>
          <w:lang w:val="es-CO"/>
        </w:rPr>
        <w:t>motivo por el cual</w:t>
      </w:r>
      <w:r w:rsidR="000E5983" w:rsidRPr="006034A4">
        <w:rPr>
          <w:rFonts w:ascii="Cambria" w:hAnsi="Cambria"/>
          <w:sz w:val="20"/>
          <w:szCs w:val="20"/>
          <w:lang w:val="es-CO"/>
        </w:rPr>
        <w:t xml:space="preserve"> este y el propio Estado fueron sancionados con un monto de indemnización civil por </w:t>
      </w:r>
      <w:r w:rsidR="00C069FE" w:rsidRPr="006034A4">
        <w:rPr>
          <w:rFonts w:ascii="Cambria" w:hAnsi="Cambria"/>
          <w:sz w:val="20"/>
          <w:szCs w:val="20"/>
          <w:lang w:val="es-CO"/>
        </w:rPr>
        <w:t xml:space="preserve">el </w:t>
      </w:r>
      <w:r w:rsidR="000E5983" w:rsidRPr="006034A4">
        <w:rPr>
          <w:rFonts w:ascii="Cambria" w:hAnsi="Cambria"/>
          <w:sz w:val="20"/>
          <w:szCs w:val="20"/>
          <w:lang w:val="es-CO"/>
        </w:rPr>
        <w:t>daño moral</w:t>
      </w:r>
      <w:r w:rsidR="004D79AF" w:rsidRPr="006034A4">
        <w:rPr>
          <w:rFonts w:ascii="Cambria" w:hAnsi="Cambria"/>
          <w:sz w:val="20"/>
          <w:szCs w:val="20"/>
          <w:lang w:val="es-CO"/>
        </w:rPr>
        <w:t xml:space="preserve"> ocasionado</w:t>
      </w:r>
      <w:r w:rsidR="000E5983" w:rsidRPr="006034A4">
        <w:rPr>
          <w:rFonts w:ascii="Cambria" w:hAnsi="Cambria"/>
          <w:sz w:val="20"/>
          <w:szCs w:val="20"/>
          <w:lang w:val="es-CO"/>
        </w:rPr>
        <w:t>,</w:t>
      </w:r>
      <w:r w:rsidR="00C91F21" w:rsidRPr="006034A4">
        <w:rPr>
          <w:rFonts w:ascii="Cambria" w:hAnsi="Cambria"/>
          <w:sz w:val="20"/>
          <w:szCs w:val="20"/>
          <w:lang w:val="es-CO"/>
        </w:rPr>
        <w:t xml:space="preserve"> al igual que los periodistas. </w:t>
      </w:r>
      <w:r w:rsidR="00C069FE" w:rsidRPr="006034A4">
        <w:rPr>
          <w:rFonts w:ascii="Cambria" w:hAnsi="Cambria"/>
          <w:sz w:val="20"/>
          <w:szCs w:val="20"/>
          <w:lang w:val="es-CO"/>
        </w:rPr>
        <w:t>Es decir que, l</w:t>
      </w:r>
      <w:r w:rsidR="004D79AF" w:rsidRPr="006034A4">
        <w:rPr>
          <w:rFonts w:ascii="Cambria" w:hAnsi="Cambria"/>
          <w:sz w:val="20"/>
          <w:szCs w:val="20"/>
          <w:lang w:val="es-CO"/>
        </w:rPr>
        <w:t>as propias sentencias a nivel interno sancionaron al ministro por haber sido la fuente que confirmó</w:t>
      </w:r>
      <w:r w:rsidR="00BE6D8F" w:rsidRPr="006034A4">
        <w:rPr>
          <w:rFonts w:ascii="Cambria" w:hAnsi="Cambria"/>
          <w:sz w:val="20"/>
          <w:szCs w:val="20"/>
          <w:lang w:val="es-CO"/>
        </w:rPr>
        <w:t>,</w:t>
      </w:r>
      <w:r w:rsidR="004D79AF" w:rsidRPr="006034A4">
        <w:rPr>
          <w:rFonts w:ascii="Cambria" w:hAnsi="Cambria"/>
          <w:sz w:val="20"/>
          <w:szCs w:val="20"/>
          <w:lang w:val="es-CO"/>
        </w:rPr>
        <w:t xml:space="preserve"> sin intencionalidad, pero de manera errónea, la noticia publicada. </w:t>
      </w:r>
      <w:r w:rsidR="00C91F21" w:rsidRPr="006034A4">
        <w:rPr>
          <w:rFonts w:ascii="Cambria" w:hAnsi="Cambria"/>
          <w:sz w:val="20"/>
          <w:szCs w:val="20"/>
          <w:lang w:val="es-CO"/>
        </w:rPr>
        <w:t xml:space="preserve">Dicho error no puede ser atribuido a los periodistas, ya que estos, </w:t>
      </w:r>
      <w:r w:rsidR="007E1643" w:rsidRPr="006034A4">
        <w:rPr>
          <w:rFonts w:ascii="Cambria" w:hAnsi="Cambria"/>
          <w:sz w:val="20"/>
          <w:szCs w:val="20"/>
          <w:lang w:val="es-CO"/>
        </w:rPr>
        <w:t>actuaron</w:t>
      </w:r>
      <w:r w:rsidR="000E5983" w:rsidRPr="006034A4">
        <w:rPr>
          <w:rFonts w:ascii="Cambria" w:hAnsi="Cambria"/>
          <w:sz w:val="20"/>
          <w:szCs w:val="20"/>
          <w:lang w:val="es-CO"/>
        </w:rPr>
        <w:t xml:space="preserve"> de buena fe</w:t>
      </w:r>
      <w:r w:rsidR="00C213BF" w:rsidRPr="006034A4">
        <w:rPr>
          <w:rFonts w:ascii="Cambria" w:hAnsi="Cambria"/>
          <w:sz w:val="20"/>
          <w:szCs w:val="20"/>
          <w:lang w:val="es-CO"/>
        </w:rPr>
        <w:t xml:space="preserve">, </w:t>
      </w:r>
      <w:r w:rsidR="00135BF8" w:rsidRPr="006034A4">
        <w:rPr>
          <w:rFonts w:ascii="Cambria" w:hAnsi="Cambria"/>
          <w:sz w:val="20"/>
          <w:szCs w:val="20"/>
          <w:lang w:val="es-CO"/>
        </w:rPr>
        <w:t>tras haber confirmado</w:t>
      </w:r>
      <w:r w:rsidR="00954E52" w:rsidRPr="006034A4">
        <w:rPr>
          <w:rFonts w:ascii="Cambria" w:hAnsi="Cambria"/>
          <w:sz w:val="20"/>
          <w:szCs w:val="20"/>
          <w:lang w:val="es-CO"/>
        </w:rPr>
        <w:t xml:space="preserve"> previamente</w:t>
      </w:r>
      <w:r w:rsidR="00135BF8" w:rsidRPr="006034A4">
        <w:rPr>
          <w:rFonts w:ascii="Cambria" w:hAnsi="Cambria"/>
          <w:sz w:val="20"/>
          <w:szCs w:val="20"/>
          <w:lang w:val="es-CO"/>
        </w:rPr>
        <w:t xml:space="preserve"> con la máxima autoridad del área objeto de investigación la información proporcionada por otras fuentes. De esa forma actuaron</w:t>
      </w:r>
      <w:r w:rsidR="007E1643" w:rsidRPr="006034A4">
        <w:rPr>
          <w:rFonts w:ascii="Cambria" w:hAnsi="Cambria"/>
          <w:sz w:val="20"/>
          <w:szCs w:val="20"/>
          <w:lang w:val="es-PE"/>
        </w:rPr>
        <w:t xml:space="preserve"> </w:t>
      </w:r>
      <w:r w:rsidR="000E5983" w:rsidRPr="006034A4">
        <w:rPr>
          <w:rFonts w:ascii="Cambria" w:hAnsi="Cambria"/>
          <w:sz w:val="20"/>
          <w:szCs w:val="20"/>
          <w:lang w:val="es-CO"/>
        </w:rPr>
        <w:t xml:space="preserve">bajo el entendido </w:t>
      </w:r>
      <w:r w:rsidR="00C213BF" w:rsidRPr="006034A4">
        <w:rPr>
          <w:rFonts w:ascii="Cambria" w:hAnsi="Cambria"/>
          <w:sz w:val="20"/>
          <w:szCs w:val="20"/>
          <w:lang w:val="es-CO"/>
        </w:rPr>
        <w:t>que</w:t>
      </w:r>
      <w:r w:rsidR="00E0631E" w:rsidRPr="006034A4">
        <w:rPr>
          <w:rFonts w:ascii="Cambria" w:hAnsi="Cambria"/>
          <w:sz w:val="20"/>
          <w:szCs w:val="20"/>
          <w:lang w:val="es-CO"/>
        </w:rPr>
        <w:t xml:space="preserve"> </w:t>
      </w:r>
      <w:r w:rsidR="00C213BF" w:rsidRPr="006034A4">
        <w:rPr>
          <w:rFonts w:ascii="Cambria" w:hAnsi="Cambria"/>
          <w:sz w:val="20"/>
          <w:szCs w:val="20"/>
          <w:lang w:val="es-CO"/>
        </w:rPr>
        <w:t xml:space="preserve">lo publicado era creíble y verosímil. </w:t>
      </w:r>
    </w:p>
    <w:p w14:paraId="2E6FF043" w14:textId="77777777" w:rsidR="00E01345" w:rsidRPr="006034A4" w:rsidRDefault="00E01345"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17610CD7" w14:textId="77777777" w:rsidR="00E01345" w:rsidRPr="006034A4" w:rsidRDefault="00E0631E"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6034A4">
        <w:rPr>
          <w:rFonts w:ascii="Cambria" w:hAnsi="Cambria"/>
          <w:sz w:val="20"/>
          <w:szCs w:val="20"/>
          <w:lang w:val="es-CO"/>
        </w:rPr>
        <w:t xml:space="preserve">La </w:t>
      </w:r>
      <w:r w:rsidR="006B3C58" w:rsidRPr="006034A4">
        <w:rPr>
          <w:rFonts w:ascii="Cambria" w:hAnsi="Cambria"/>
          <w:sz w:val="20"/>
          <w:szCs w:val="20"/>
          <w:lang w:val="es-CO"/>
        </w:rPr>
        <w:t xml:space="preserve">Comisión </w:t>
      </w:r>
      <w:r w:rsidR="002D5073" w:rsidRPr="006034A4">
        <w:rPr>
          <w:rFonts w:ascii="Cambria" w:hAnsi="Cambria"/>
          <w:sz w:val="20"/>
          <w:szCs w:val="20"/>
          <w:lang w:val="es-CO"/>
        </w:rPr>
        <w:t>recuerda que</w:t>
      </w:r>
      <w:r w:rsidR="00126797">
        <w:rPr>
          <w:rFonts w:ascii="Cambria" w:hAnsi="Cambria"/>
          <w:sz w:val="20"/>
          <w:szCs w:val="20"/>
          <w:lang w:val="es-CO"/>
        </w:rPr>
        <w:t xml:space="preserve"> </w:t>
      </w:r>
      <w:r w:rsidR="00270C0F">
        <w:rPr>
          <w:rFonts w:ascii="Cambria" w:hAnsi="Cambria"/>
          <w:sz w:val="20"/>
          <w:szCs w:val="20"/>
          <w:lang w:val="es-CO"/>
        </w:rPr>
        <w:t xml:space="preserve">para el establecimiento de </w:t>
      </w:r>
      <w:r w:rsidR="002D5073" w:rsidRPr="006034A4">
        <w:rPr>
          <w:rFonts w:ascii="Cambria" w:hAnsi="Cambria"/>
          <w:sz w:val="20"/>
          <w:szCs w:val="20"/>
          <w:lang w:val="es-CO"/>
        </w:rPr>
        <w:t xml:space="preserve">sanciones civiles </w:t>
      </w:r>
      <w:r w:rsidR="004F1CAF">
        <w:rPr>
          <w:rFonts w:ascii="Cambria" w:hAnsi="Cambria"/>
          <w:sz w:val="20"/>
          <w:szCs w:val="20"/>
          <w:lang w:val="es-CO"/>
        </w:rPr>
        <w:t>respecto a l</w:t>
      </w:r>
      <w:r w:rsidR="00270C0F">
        <w:rPr>
          <w:rFonts w:ascii="Cambria" w:hAnsi="Cambria"/>
          <w:sz w:val="20"/>
          <w:szCs w:val="20"/>
          <w:lang w:val="es-CO"/>
        </w:rPr>
        <w:t>o</w:t>
      </w:r>
      <w:r w:rsidR="004F1CAF">
        <w:rPr>
          <w:rFonts w:ascii="Cambria" w:hAnsi="Cambria"/>
          <w:sz w:val="20"/>
          <w:szCs w:val="20"/>
          <w:lang w:val="es-CO"/>
        </w:rPr>
        <w:t xml:space="preserve">s eventuales </w:t>
      </w:r>
      <w:r w:rsidR="00270C0F">
        <w:rPr>
          <w:rFonts w:ascii="Cambria" w:hAnsi="Cambria"/>
          <w:sz w:val="20"/>
          <w:szCs w:val="20"/>
          <w:lang w:val="es-CO"/>
        </w:rPr>
        <w:t>abusos en la difusión de</w:t>
      </w:r>
      <w:r w:rsidR="004F1CAF">
        <w:rPr>
          <w:rFonts w:ascii="Cambria" w:hAnsi="Cambria"/>
          <w:sz w:val="20"/>
          <w:szCs w:val="20"/>
          <w:lang w:val="es-CO"/>
        </w:rPr>
        <w:t xml:space="preserve"> información que involucra</w:t>
      </w:r>
      <w:r w:rsidR="00560302" w:rsidRPr="006034A4">
        <w:rPr>
          <w:rFonts w:ascii="Cambria" w:hAnsi="Cambria"/>
          <w:sz w:val="20"/>
          <w:szCs w:val="20"/>
          <w:lang w:val="es-CO"/>
        </w:rPr>
        <w:t xml:space="preserve"> funcio</w:t>
      </w:r>
      <w:r w:rsidR="006034A4">
        <w:rPr>
          <w:rFonts w:ascii="Cambria" w:hAnsi="Cambria"/>
          <w:sz w:val="20"/>
          <w:szCs w:val="20"/>
          <w:lang w:val="es-CO"/>
        </w:rPr>
        <w:t>na</w:t>
      </w:r>
      <w:r w:rsidR="00560302" w:rsidRPr="006034A4">
        <w:rPr>
          <w:rFonts w:ascii="Cambria" w:hAnsi="Cambria"/>
          <w:sz w:val="20"/>
          <w:szCs w:val="20"/>
          <w:lang w:val="es-CO"/>
        </w:rPr>
        <w:t>rios y asuntos públicos</w:t>
      </w:r>
      <w:r w:rsidR="002D5073" w:rsidRPr="006034A4">
        <w:rPr>
          <w:rFonts w:ascii="Cambria" w:hAnsi="Cambria"/>
          <w:sz w:val="20"/>
          <w:szCs w:val="20"/>
          <w:lang w:val="es-CO"/>
        </w:rPr>
        <w:t xml:space="preserve">, </w:t>
      </w:r>
      <w:r w:rsidR="00E01345" w:rsidRPr="006034A4">
        <w:rPr>
          <w:rFonts w:ascii="Cambria" w:hAnsi="Cambria"/>
          <w:sz w:val="20"/>
          <w:szCs w:val="20"/>
          <w:lang w:val="es-CO"/>
        </w:rPr>
        <w:t xml:space="preserve">debe </w:t>
      </w:r>
      <w:r w:rsidR="00E01345" w:rsidRPr="006034A4">
        <w:rPr>
          <w:rFonts w:ascii="Cambria" w:hAnsi="Cambria"/>
          <w:sz w:val="20"/>
          <w:szCs w:val="20"/>
          <w:lang w:val="es-PE"/>
        </w:rPr>
        <w:t xml:space="preserve">aplicarse el estándar de </w:t>
      </w:r>
      <w:r w:rsidR="00126797">
        <w:rPr>
          <w:rFonts w:ascii="Cambria" w:hAnsi="Cambria"/>
          <w:sz w:val="20"/>
          <w:szCs w:val="20"/>
          <w:lang w:val="es-PE"/>
        </w:rPr>
        <w:t>valoración de la “real malicia”</w:t>
      </w:r>
      <w:r w:rsidR="00270C0F">
        <w:rPr>
          <w:rFonts w:ascii="Cambria" w:hAnsi="Cambria"/>
          <w:sz w:val="20"/>
          <w:szCs w:val="20"/>
          <w:lang w:val="es-PE"/>
        </w:rPr>
        <w:t>. D</w:t>
      </w:r>
      <w:r w:rsidR="00126797">
        <w:rPr>
          <w:rFonts w:ascii="Cambria" w:hAnsi="Cambria"/>
          <w:sz w:val="20"/>
          <w:szCs w:val="20"/>
          <w:lang w:val="es-PE"/>
        </w:rPr>
        <w:t xml:space="preserve">e acuerdo a este estándar, </w:t>
      </w:r>
      <w:r w:rsidR="002D5073" w:rsidRPr="006034A4">
        <w:rPr>
          <w:rFonts w:ascii="Cambria" w:hAnsi="Cambria"/>
          <w:sz w:val="20"/>
          <w:szCs w:val="20"/>
          <w:lang w:val="es-CO"/>
        </w:rPr>
        <w:t xml:space="preserve">el funcionario o persona pública que alega el daño debe </w:t>
      </w:r>
      <w:r w:rsidR="00E01345" w:rsidRPr="006034A4">
        <w:rPr>
          <w:rFonts w:ascii="Cambria" w:hAnsi="Cambria"/>
          <w:sz w:val="20"/>
          <w:szCs w:val="20"/>
          <w:lang w:val="es-CO"/>
        </w:rPr>
        <w:t>demostrar</w:t>
      </w:r>
      <w:r w:rsidR="002D5073" w:rsidRPr="006034A4">
        <w:rPr>
          <w:rFonts w:ascii="Cambria" w:hAnsi="Cambria"/>
          <w:sz w:val="20"/>
          <w:szCs w:val="20"/>
          <w:lang w:val="es-CO"/>
        </w:rPr>
        <w:t xml:space="preserve"> que </w:t>
      </w:r>
      <w:r w:rsidR="00E01345" w:rsidRPr="006034A4">
        <w:rPr>
          <w:rFonts w:ascii="Cambria" w:hAnsi="Cambria"/>
          <w:sz w:val="20"/>
          <w:szCs w:val="20"/>
          <w:lang w:val="es-PE"/>
        </w:rPr>
        <w:t>quien se expresó lo hizo con plena intención de causar un daño y conocimiento de que se estaban difundiendo informaciones falsas o con un evidente desprecio por la verdad de los hechos.</w:t>
      </w:r>
    </w:p>
    <w:p w14:paraId="01364710" w14:textId="77777777" w:rsidR="00E01345" w:rsidRPr="006034A4" w:rsidRDefault="00E01345"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1A50D1B5" w14:textId="77777777" w:rsidR="007F78D0" w:rsidRPr="006034A4" w:rsidRDefault="002D5073"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6034A4">
        <w:rPr>
          <w:rFonts w:ascii="Cambria" w:hAnsi="Cambria"/>
          <w:sz w:val="20"/>
          <w:szCs w:val="20"/>
          <w:lang w:val="es-MX"/>
        </w:rPr>
        <w:t xml:space="preserve">Con respecto al primer supuesto señalado, la Comisión observa </w:t>
      </w:r>
      <w:r w:rsidR="000E3A6A" w:rsidRPr="006034A4">
        <w:rPr>
          <w:rFonts w:ascii="Cambria" w:hAnsi="Cambria"/>
          <w:sz w:val="20"/>
          <w:szCs w:val="20"/>
          <w:lang w:val="es-MX"/>
        </w:rPr>
        <w:t>que,</w:t>
      </w:r>
      <w:r w:rsidRPr="006034A4">
        <w:rPr>
          <w:rFonts w:ascii="Cambria" w:hAnsi="Cambria"/>
          <w:sz w:val="20"/>
          <w:szCs w:val="20"/>
          <w:lang w:val="es-MX"/>
        </w:rPr>
        <w:t xml:space="preserve"> de acuerdo con la sentencia de primera instancia </w:t>
      </w:r>
      <w:r w:rsidR="00F0169B" w:rsidRPr="006034A4">
        <w:rPr>
          <w:rFonts w:ascii="Cambria" w:hAnsi="Cambria"/>
          <w:sz w:val="20"/>
          <w:szCs w:val="20"/>
          <w:lang w:val="es-MX"/>
        </w:rPr>
        <w:t>y su posterior confirmación en c</w:t>
      </w:r>
      <w:r w:rsidRPr="006034A4">
        <w:rPr>
          <w:rFonts w:ascii="Cambria" w:hAnsi="Cambria"/>
          <w:sz w:val="20"/>
          <w:szCs w:val="20"/>
          <w:lang w:val="es-MX"/>
        </w:rPr>
        <w:t>asación, los tribunales de justicia concluyeron que no hubo dolo o intención de dañar por</w:t>
      </w:r>
      <w:r w:rsidR="00126797">
        <w:rPr>
          <w:rFonts w:ascii="Cambria" w:hAnsi="Cambria"/>
          <w:sz w:val="20"/>
          <w:szCs w:val="20"/>
          <w:lang w:val="es-MX"/>
        </w:rPr>
        <w:t xml:space="preserve"> parte de</w:t>
      </w:r>
      <w:r w:rsidRPr="006034A4">
        <w:rPr>
          <w:rFonts w:ascii="Cambria" w:hAnsi="Cambria"/>
          <w:sz w:val="20"/>
          <w:szCs w:val="20"/>
          <w:lang w:val="es-MX"/>
        </w:rPr>
        <w:t xml:space="preserve"> los periodistas</w:t>
      </w:r>
      <w:r w:rsidR="00126797">
        <w:rPr>
          <w:rFonts w:ascii="Cambria" w:hAnsi="Cambria"/>
          <w:sz w:val="20"/>
          <w:szCs w:val="20"/>
          <w:lang w:val="es-MX"/>
        </w:rPr>
        <w:t xml:space="preserve"> al difundir la información errónea</w:t>
      </w:r>
      <w:r w:rsidRPr="006034A4">
        <w:rPr>
          <w:rFonts w:ascii="Cambria" w:hAnsi="Cambria"/>
          <w:sz w:val="20"/>
          <w:szCs w:val="20"/>
          <w:lang w:val="es-MX"/>
        </w:rPr>
        <w:t xml:space="preserve">, por lo que </w:t>
      </w:r>
      <w:r w:rsidR="00126797">
        <w:rPr>
          <w:rFonts w:ascii="Cambria" w:hAnsi="Cambria"/>
          <w:sz w:val="20"/>
          <w:szCs w:val="20"/>
          <w:lang w:val="es-MX"/>
        </w:rPr>
        <w:t>incluso fueron</w:t>
      </w:r>
      <w:r w:rsidR="007011B3" w:rsidRPr="006034A4">
        <w:rPr>
          <w:rFonts w:ascii="Cambria" w:hAnsi="Cambria"/>
          <w:sz w:val="20"/>
          <w:szCs w:val="20"/>
          <w:lang w:val="es-MX"/>
        </w:rPr>
        <w:t xml:space="preserve"> </w:t>
      </w:r>
      <w:r w:rsidR="00126797">
        <w:rPr>
          <w:rFonts w:ascii="Cambria" w:hAnsi="Cambria"/>
          <w:sz w:val="20"/>
          <w:szCs w:val="20"/>
          <w:lang w:val="es-MX"/>
        </w:rPr>
        <w:t>absueltos</w:t>
      </w:r>
      <w:r w:rsidRPr="006034A4">
        <w:rPr>
          <w:rFonts w:ascii="Cambria" w:hAnsi="Cambria"/>
          <w:sz w:val="20"/>
          <w:szCs w:val="20"/>
          <w:lang w:val="es-MX"/>
        </w:rPr>
        <w:t xml:space="preserve"> de toda responsabilidad </w:t>
      </w:r>
      <w:r w:rsidR="00897667" w:rsidRPr="006034A4">
        <w:rPr>
          <w:rFonts w:ascii="Cambria" w:hAnsi="Cambria"/>
          <w:sz w:val="20"/>
          <w:szCs w:val="20"/>
          <w:lang w:val="es-MX"/>
        </w:rPr>
        <w:t>penal</w:t>
      </w:r>
      <w:r w:rsidR="007011B3" w:rsidRPr="006034A4">
        <w:rPr>
          <w:rFonts w:ascii="Cambria" w:hAnsi="Cambria"/>
          <w:sz w:val="20"/>
          <w:szCs w:val="20"/>
          <w:lang w:val="es-MX"/>
        </w:rPr>
        <w:t xml:space="preserve">. </w:t>
      </w:r>
      <w:r w:rsidR="00126797">
        <w:rPr>
          <w:rFonts w:ascii="Cambria" w:hAnsi="Cambria"/>
          <w:sz w:val="20"/>
          <w:szCs w:val="20"/>
          <w:lang w:val="es-MX"/>
        </w:rPr>
        <w:t>En el mismo sentido, cabe descartar en el presente caso</w:t>
      </w:r>
      <w:r w:rsidR="00B66E4C" w:rsidRPr="006034A4">
        <w:rPr>
          <w:rFonts w:ascii="Cambria" w:hAnsi="Cambria"/>
          <w:sz w:val="20"/>
          <w:szCs w:val="20"/>
          <w:lang w:val="es-MX"/>
        </w:rPr>
        <w:t xml:space="preserve"> la hipótesis </w:t>
      </w:r>
      <w:r w:rsidR="00126797">
        <w:rPr>
          <w:rFonts w:ascii="Cambria" w:hAnsi="Cambria"/>
          <w:sz w:val="20"/>
          <w:szCs w:val="20"/>
          <w:lang w:val="es-MX"/>
        </w:rPr>
        <w:t xml:space="preserve">de que los periodistas actuaron con </w:t>
      </w:r>
      <w:r w:rsidR="00B66E4C" w:rsidRPr="006034A4">
        <w:rPr>
          <w:rFonts w:ascii="Cambria" w:hAnsi="Cambria"/>
          <w:sz w:val="20"/>
          <w:szCs w:val="20"/>
          <w:lang w:val="es-MX"/>
        </w:rPr>
        <w:t>intención de dañar el honor o la reputación</w:t>
      </w:r>
      <w:r w:rsidR="006C252B">
        <w:rPr>
          <w:rFonts w:ascii="Cambria" w:hAnsi="Cambria"/>
          <w:sz w:val="20"/>
          <w:szCs w:val="20"/>
          <w:lang w:val="es-MX"/>
        </w:rPr>
        <w:t xml:space="preserve"> </w:t>
      </w:r>
      <w:r w:rsidR="00126797">
        <w:rPr>
          <w:rFonts w:ascii="Cambria" w:hAnsi="Cambria"/>
          <w:sz w:val="20"/>
          <w:szCs w:val="20"/>
          <w:lang w:val="es-MX"/>
        </w:rPr>
        <w:t>como supuesto de la responsabilidad civil</w:t>
      </w:r>
      <w:r w:rsidR="00B66E4C" w:rsidRPr="006034A4">
        <w:rPr>
          <w:rFonts w:ascii="Cambria" w:hAnsi="Cambria"/>
          <w:sz w:val="20"/>
          <w:szCs w:val="20"/>
          <w:lang w:val="es-MX"/>
        </w:rPr>
        <w:t xml:space="preserve">. </w:t>
      </w:r>
    </w:p>
    <w:p w14:paraId="2989DCA1" w14:textId="77777777" w:rsidR="00E239D8" w:rsidRPr="006034A4" w:rsidRDefault="00E239D8"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28E1E398" w14:textId="77777777" w:rsidR="00CC2F6B" w:rsidRDefault="00CC2F6B"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Pr>
          <w:rFonts w:ascii="Cambria" w:hAnsi="Cambria"/>
          <w:sz w:val="20"/>
          <w:szCs w:val="20"/>
          <w:lang w:val="es-MX"/>
        </w:rPr>
        <w:t>No obstante, las</w:t>
      </w:r>
      <w:r w:rsidR="007F78D0" w:rsidRPr="006034A4">
        <w:rPr>
          <w:rFonts w:ascii="Cambria" w:hAnsi="Cambria"/>
          <w:sz w:val="20"/>
          <w:szCs w:val="20"/>
          <w:lang w:val="es-MX"/>
        </w:rPr>
        <w:t xml:space="preserve"> sentencias dictadas </w:t>
      </w:r>
      <w:r>
        <w:rPr>
          <w:rFonts w:ascii="Cambria" w:hAnsi="Cambria"/>
          <w:sz w:val="20"/>
          <w:szCs w:val="20"/>
          <w:lang w:val="es-MX"/>
        </w:rPr>
        <w:t xml:space="preserve">en este caso </w:t>
      </w:r>
      <w:r w:rsidR="00F0169B" w:rsidRPr="006034A4">
        <w:rPr>
          <w:rFonts w:ascii="Cambria" w:hAnsi="Cambria"/>
          <w:sz w:val="20"/>
          <w:szCs w:val="20"/>
          <w:lang w:val="es-MX"/>
        </w:rPr>
        <w:t>consideraron que lo</w:t>
      </w:r>
      <w:r w:rsidR="007011B3" w:rsidRPr="006034A4">
        <w:rPr>
          <w:rFonts w:ascii="Cambria" w:hAnsi="Cambria"/>
          <w:sz w:val="20"/>
          <w:szCs w:val="20"/>
          <w:lang w:val="es-MX"/>
        </w:rPr>
        <w:t>s</w:t>
      </w:r>
      <w:r w:rsidR="00F0169B" w:rsidRPr="006034A4">
        <w:rPr>
          <w:rFonts w:ascii="Cambria" w:hAnsi="Cambria"/>
          <w:sz w:val="20"/>
          <w:szCs w:val="20"/>
          <w:lang w:val="es-MX"/>
        </w:rPr>
        <w:t xml:space="preserve"> periodistas</w:t>
      </w:r>
      <w:r>
        <w:rPr>
          <w:rFonts w:ascii="Cambria" w:hAnsi="Cambria"/>
          <w:sz w:val="20"/>
          <w:szCs w:val="20"/>
          <w:lang w:val="es-MX"/>
        </w:rPr>
        <w:t xml:space="preserve"> Moya y Parrales Chaves</w:t>
      </w:r>
      <w:r w:rsidR="00F0169B" w:rsidRPr="006034A4">
        <w:rPr>
          <w:rFonts w:ascii="Cambria" w:hAnsi="Cambria"/>
          <w:sz w:val="20"/>
          <w:szCs w:val="20"/>
          <w:lang w:val="es-MX"/>
        </w:rPr>
        <w:t xml:space="preserve"> </w:t>
      </w:r>
      <w:r w:rsidR="00E6403B" w:rsidRPr="006034A4">
        <w:rPr>
          <w:rFonts w:ascii="Cambria" w:hAnsi="Cambria"/>
          <w:sz w:val="20"/>
          <w:szCs w:val="20"/>
          <w:lang w:val="es-MX"/>
        </w:rPr>
        <w:t xml:space="preserve">actuaron </w:t>
      </w:r>
      <w:r w:rsidR="00E6403B" w:rsidRPr="006034A4">
        <w:rPr>
          <w:rFonts w:ascii="Cambria" w:hAnsi="Cambria"/>
          <w:sz w:val="20"/>
          <w:szCs w:val="20"/>
          <w:lang w:val="es-VE"/>
        </w:rPr>
        <w:t>“sin guardar el cuidado que requiere su profesión”</w:t>
      </w:r>
      <w:r w:rsidR="007011B3" w:rsidRPr="006034A4">
        <w:rPr>
          <w:rFonts w:ascii="Cambria" w:hAnsi="Cambria"/>
          <w:sz w:val="20"/>
          <w:szCs w:val="20"/>
          <w:lang w:val="es-VE"/>
        </w:rPr>
        <w:t xml:space="preserve"> y </w:t>
      </w:r>
      <w:r w:rsidR="00E6403B" w:rsidRPr="006034A4">
        <w:rPr>
          <w:rFonts w:ascii="Cambria" w:hAnsi="Cambria"/>
          <w:sz w:val="20"/>
          <w:szCs w:val="20"/>
          <w:lang w:val="es-VE"/>
        </w:rPr>
        <w:t>con “un grave descuido y falta de deber de cuidado”</w:t>
      </w:r>
      <w:r w:rsidR="00137C28" w:rsidRPr="006034A4">
        <w:rPr>
          <w:rFonts w:ascii="Cambria" w:hAnsi="Cambria"/>
          <w:sz w:val="20"/>
          <w:szCs w:val="20"/>
          <w:lang w:val="es-VE"/>
        </w:rPr>
        <w:t xml:space="preserve"> debido a que no corroboraron lo señalado por el ministro con otras fuentes, como la oficina de prensa del </w:t>
      </w:r>
      <w:r w:rsidR="004C461A">
        <w:rPr>
          <w:rFonts w:ascii="Cambria" w:hAnsi="Cambria"/>
          <w:sz w:val="20"/>
          <w:szCs w:val="20"/>
          <w:lang w:val="es-VE"/>
        </w:rPr>
        <w:t>P</w:t>
      </w:r>
      <w:r w:rsidR="00137C28" w:rsidRPr="006034A4">
        <w:rPr>
          <w:rFonts w:ascii="Cambria" w:hAnsi="Cambria"/>
          <w:sz w:val="20"/>
          <w:szCs w:val="20"/>
          <w:lang w:val="es-VE"/>
        </w:rPr>
        <w:t xml:space="preserve">oder </w:t>
      </w:r>
      <w:r w:rsidR="004C461A">
        <w:rPr>
          <w:rFonts w:ascii="Cambria" w:hAnsi="Cambria"/>
          <w:sz w:val="20"/>
          <w:szCs w:val="20"/>
          <w:lang w:val="es-VE"/>
        </w:rPr>
        <w:t>J</w:t>
      </w:r>
      <w:r w:rsidR="00137C28" w:rsidRPr="006034A4">
        <w:rPr>
          <w:rFonts w:ascii="Cambria" w:hAnsi="Cambria"/>
          <w:sz w:val="20"/>
          <w:szCs w:val="20"/>
          <w:lang w:val="es-VE"/>
        </w:rPr>
        <w:t xml:space="preserve">udicial. </w:t>
      </w:r>
      <w:r>
        <w:rPr>
          <w:rFonts w:ascii="Cambria" w:hAnsi="Cambria"/>
          <w:sz w:val="20"/>
          <w:szCs w:val="20"/>
          <w:lang w:val="es-VE"/>
        </w:rPr>
        <w:t>Por lo que la Comisión pasa a analizar el otro supuesto que habilita a asignar responsabilidad civil: una actuación “</w:t>
      </w:r>
      <w:r w:rsidRPr="006034A4">
        <w:rPr>
          <w:rFonts w:ascii="Cambria" w:hAnsi="Cambria"/>
          <w:sz w:val="20"/>
          <w:szCs w:val="20"/>
          <w:lang w:val="es-PE"/>
        </w:rPr>
        <w:t>con un evidente desprecio por la verdad de los hechos</w:t>
      </w:r>
      <w:r>
        <w:rPr>
          <w:rFonts w:ascii="Cambria" w:hAnsi="Cambria"/>
          <w:sz w:val="20"/>
          <w:szCs w:val="20"/>
          <w:lang w:val="es-PE"/>
        </w:rPr>
        <w:t>”.</w:t>
      </w:r>
    </w:p>
    <w:p w14:paraId="7CE50AE8" w14:textId="77777777" w:rsidR="006C252B" w:rsidRPr="00CC2F6B" w:rsidRDefault="006C252B" w:rsidP="00CD572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79E04FD1" w14:textId="77777777" w:rsidR="00536377" w:rsidRDefault="00137C28"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6034A4">
        <w:rPr>
          <w:rFonts w:ascii="Cambria" w:hAnsi="Cambria"/>
          <w:sz w:val="20"/>
          <w:szCs w:val="20"/>
          <w:lang w:val="es-VE"/>
        </w:rPr>
        <w:t xml:space="preserve">A este respecto, la Comisión </w:t>
      </w:r>
      <w:r w:rsidR="007011B3" w:rsidRPr="006034A4">
        <w:rPr>
          <w:rFonts w:ascii="Cambria" w:hAnsi="Cambria"/>
          <w:sz w:val="20"/>
          <w:szCs w:val="20"/>
          <w:lang w:val="es-VE"/>
        </w:rPr>
        <w:t xml:space="preserve">indicó </w:t>
      </w:r>
      <w:r w:rsidRPr="006034A4">
        <w:rPr>
          <w:rFonts w:ascii="Cambria" w:hAnsi="Cambria"/>
          <w:sz w:val="20"/>
          <w:szCs w:val="20"/>
          <w:lang w:val="es-VE"/>
        </w:rPr>
        <w:t>en p</w:t>
      </w:r>
      <w:r w:rsidR="00847893" w:rsidRPr="006034A4">
        <w:rPr>
          <w:rFonts w:ascii="Cambria" w:hAnsi="Cambria"/>
          <w:sz w:val="20"/>
          <w:szCs w:val="20"/>
          <w:lang w:val="es-VE"/>
        </w:rPr>
        <w:t xml:space="preserve">árrafos precedentes </w:t>
      </w:r>
      <w:r w:rsidR="00897667" w:rsidRPr="006034A4">
        <w:rPr>
          <w:rFonts w:ascii="Cambria" w:hAnsi="Cambria"/>
          <w:sz w:val="20"/>
          <w:szCs w:val="20"/>
          <w:lang w:val="es-VE"/>
        </w:rPr>
        <w:t>que para concluir que un periodista actúo con</w:t>
      </w:r>
      <w:r w:rsidR="00347D3E" w:rsidRPr="006034A4">
        <w:rPr>
          <w:rFonts w:ascii="Cambria" w:hAnsi="Cambria"/>
          <w:sz w:val="20"/>
          <w:szCs w:val="20"/>
          <w:lang w:val="es-VE"/>
        </w:rPr>
        <w:t xml:space="preserve"> un </w:t>
      </w:r>
      <w:r w:rsidR="00847893" w:rsidRPr="006034A4">
        <w:rPr>
          <w:rFonts w:ascii="Cambria" w:hAnsi="Cambria"/>
          <w:sz w:val="20"/>
          <w:szCs w:val="20"/>
          <w:lang w:val="es-VE"/>
        </w:rPr>
        <w:t>“evidente desprecio por la verdad”</w:t>
      </w:r>
      <w:r w:rsidR="006C252B">
        <w:rPr>
          <w:rFonts w:ascii="Cambria" w:hAnsi="Cambria"/>
          <w:sz w:val="20"/>
          <w:szCs w:val="20"/>
          <w:lang w:val="es-VE"/>
        </w:rPr>
        <w:t>,</w:t>
      </w:r>
      <w:r w:rsidR="00847893" w:rsidRPr="006034A4">
        <w:rPr>
          <w:rFonts w:ascii="Cambria" w:hAnsi="Cambria"/>
          <w:sz w:val="20"/>
          <w:szCs w:val="20"/>
          <w:lang w:val="es-VE"/>
        </w:rPr>
        <w:t xml:space="preserve"> </w:t>
      </w:r>
      <w:r w:rsidR="00847893" w:rsidRPr="006034A4">
        <w:rPr>
          <w:rFonts w:ascii="Cambria" w:hAnsi="Cambria" w:cstheme="minorHAnsi"/>
          <w:sz w:val="20"/>
          <w:szCs w:val="20"/>
          <w:lang w:val="es-AR"/>
        </w:rPr>
        <w:t>el funcionario que sufre el daño</w:t>
      </w:r>
      <w:r w:rsidRPr="006034A4">
        <w:rPr>
          <w:rFonts w:ascii="Cambria" w:hAnsi="Cambria" w:cstheme="minorHAnsi"/>
          <w:sz w:val="20"/>
          <w:szCs w:val="20"/>
          <w:lang w:val="es-AR"/>
        </w:rPr>
        <w:t xml:space="preserve"> </w:t>
      </w:r>
      <w:r w:rsidR="00B66E4C" w:rsidRPr="006034A4">
        <w:rPr>
          <w:rFonts w:ascii="Cambria" w:hAnsi="Cambria" w:cstheme="minorHAnsi"/>
          <w:sz w:val="20"/>
          <w:szCs w:val="20"/>
          <w:lang w:val="es-AR"/>
        </w:rPr>
        <w:t>debe demostrar</w:t>
      </w:r>
      <w:r w:rsidR="00847893" w:rsidRPr="006034A4">
        <w:rPr>
          <w:rFonts w:ascii="Cambria" w:hAnsi="Cambria" w:cstheme="minorHAnsi"/>
          <w:sz w:val="20"/>
          <w:szCs w:val="20"/>
          <w:lang w:val="es-AR"/>
        </w:rPr>
        <w:t xml:space="preserve"> </w:t>
      </w:r>
      <w:r w:rsidRPr="006034A4">
        <w:rPr>
          <w:rFonts w:ascii="Cambria" w:hAnsi="Cambria" w:cstheme="minorHAnsi"/>
          <w:sz w:val="20"/>
          <w:szCs w:val="20"/>
          <w:lang w:val="es-AR"/>
        </w:rPr>
        <w:t xml:space="preserve">que el informador realizó las afirmaciones </w:t>
      </w:r>
      <w:r w:rsidR="00CC2F6B" w:rsidRPr="00540E96">
        <w:rPr>
          <w:rFonts w:ascii="Cambria" w:hAnsi="Cambria"/>
          <w:sz w:val="20"/>
          <w:szCs w:val="20"/>
          <w:lang w:val="es-MX"/>
        </w:rPr>
        <w:t>con un alto grado de conocimiento sobre la probabilidad de la falsedad o con serias dudas sobre l</w:t>
      </w:r>
      <w:r w:rsidR="00B35552">
        <w:rPr>
          <w:rFonts w:ascii="Cambria" w:hAnsi="Cambria"/>
          <w:sz w:val="20"/>
          <w:szCs w:val="20"/>
          <w:lang w:val="es-MX"/>
        </w:rPr>
        <w:t xml:space="preserve">a verdad o exactitud de la </w:t>
      </w:r>
      <w:r w:rsidR="00B35552" w:rsidRPr="00B35552">
        <w:rPr>
          <w:rFonts w:ascii="Cambria" w:hAnsi="Cambria"/>
          <w:sz w:val="20"/>
          <w:szCs w:val="20"/>
          <w:lang w:val="es-MX"/>
        </w:rPr>
        <w:t>información. A juicio de la Comisión</w:t>
      </w:r>
      <w:r w:rsidR="00847893" w:rsidRPr="00B35552">
        <w:rPr>
          <w:rFonts w:ascii="Cambria" w:hAnsi="Cambria"/>
          <w:sz w:val="20"/>
          <w:szCs w:val="20"/>
          <w:lang w:val="es-MX"/>
        </w:rPr>
        <w:t xml:space="preserve">, </w:t>
      </w:r>
      <w:r w:rsidR="002D5073" w:rsidRPr="00B35552">
        <w:rPr>
          <w:rFonts w:ascii="Cambria" w:hAnsi="Cambria"/>
          <w:sz w:val="20"/>
          <w:szCs w:val="20"/>
          <w:lang w:val="es-CO"/>
        </w:rPr>
        <w:t>no</w:t>
      </w:r>
      <w:r w:rsidR="002D5073" w:rsidRPr="006034A4">
        <w:rPr>
          <w:rFonts w:ascii="Cambria" w:hAnsi="Cambria"/>
          <w:sz w:val="20"/>
          <w:szCs w:val="20"/>
          <w:lang w:val="es-CO"/>
        </w:rPr>
        <w:t xml:space="preserve"> se demostró que los periodistas hayan tenido </w:t>
      </w:r>
      <w:r w:rsidR="00847893" w:rsidRPr="006034A4">
        <w:rPr>
          <w:rFonts w:ascii="Cambria" w:hAnsi="Cambria"/>
          <w:sz w:val="20"/>
          <w:szCs w:val="20"/>
          <w:lang w:val="es-CO"/>
        </w:rPr>
        <w:t xml:space="preserve">serios </w:t>
      </w:r>
      <w:r w:rsidR="002D5073" w:rsidRPr="006034A4">
        <w:rPr>
          <w:rFonts w:ascii="Cambria" w:hAnsi="Cambria"/>
          <w:sz w:val="20"/>
          <w:szCs w:val="20"/>
          <w:lang w:val="es-CO"/>
        </w:rPr>
        <w:t>motivos para dudar sobre la veracidad de la información o sobre la potencialidad de su falsedad</w:t>
      </w:r>
      <w:r w:rsidR="001063BE" w:rsidRPr="006034A4">
        <w:rPr>
          <w:rFonts w:ascii="Cambria" w:hAnsi="Cambria"/>
          <w:sz w:val="20"/>
          <w:szCs w:val="20"/>
          <w:lang w:val="es-CO"/>
        </w:rPr>
        <w:t xml:space="preserve"> antes de publicarla</w:t>
      </w:r>
      <w:r w:rsidR="00536377" w:rsidRPr="006034A4">
        <w:rPr>
          <w:rFonts w:ascii="Cambria" w:hAnsi="Cambria"/>
          <w:sz w:val="20"/>
          <w:szCs w:val="20"/>
          <w:lang w:val="es-PE"/>
        </w:rPr>
        <w:t>.</w:t>
      </w:r>
    </w:p>
    <w:p w14:paraId="2D62EBF4" w14:textId="77777777" w:rsidR="008D4A0F" w:rsidRPr="006034A4" w:rsidRDefault="008D4A0F" w:rsidP="008D4A0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4702C030" w14:textId="77777777" w:rsidR="001063BE" w:rsidRPr="006034A4" w:rsidRDefault="001063BE"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4F93D564" w14:textId="77777777" w:rsidR="005D477A" w:rsidRPr="006034A4" w:rsidRDefault="007F78D0"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6034A4">
        <w:rPr>
          <w:rFonts w:ascii="Cambria" w:hAnsi="Cambria"/>
          <w:sz w:val="20"/>
          <w:szCs w:val="20"/>
          <w:lang w:val="es-PE"/>
        </w:rPr>
        <w:lastRenderedPageBreak/>
        <w:t xml:space="preserve">En conclusión, </w:t>
      </w:r>
      <w:r w:rsidR="005D477A" w:rsidRPr="006034A4">
        <w:rPr>
          <w:rFonts w:ascii="Cambria" w:hAnsi="Cambria"/>
          <w:sz w:val="20"/>
          <w:szCs w:val="20"/>
          <w:lang w:val="es-PE"/>
        </w:rPr>
        <w:t>la Comisión entiende que</w:t>
      </w:r>
      <w:r w:rsidR="00376F32" w:rsidRPr="006034A4">
        <w:rPr>
          <w:rFonts w:ascii="Cambria" w:hAnsi="Cambria"/>
          <w:sz w:val="20"/>
          <w:szCs w:val="20"/>
          <w:lang w:val="es-PE"/>
        </w:rPr>
        <w:t xml:space="preserve"> si bien</w:t>
      </w:r>
      <w:r w:rsidR="005D477A" w:rsidRPr="006034A4">
        <w:rPr>
          <w:rFonts w:ascii="Cambria" w:hAnsi="Cambria"/>
          <w:sz w:val="20"/>
          <w:szCs w:val="20"/>
          <w:lang w:val="es-PE"/>
        </w:rPr>
        <w:t xml:space="preserve"> </w:t>
      </w:r>
      <w:r w:rsidR="00376F32" w:rsidRPr="006034A4">
        <w:rPr>
          <w:rFonts w:ascii="Cambria" w:hAnsi="Cambria"/>
          <w:sz w:val="20"/>
          <w:szCs w:val="20"/>
          <w:lang w:val="es-PE"/>
        </w:rPr>
        <w:t xml:space="preserve">los </w:t>
      </w:r>
      <w:r w:rsidR="006C252B">
        <w:rPr>
          <w:rFonts w:ascii="Cambria" w:hAnsi="Cambria"/>
          <w:sz w:val="20"/>
          <w:szCs w:val="20"/>
          <w:lang w:val="es-PE"/>
        </w:rPr>
        <w:t>periodistas</w:t>
      </w:r>
      <w:r w:rsidR="006C252B" w:rsidRPr="006034A4">
        <w:rPr>
          <w:rFonts w:ascii="Cambria" w:hAnsi="Cambria"/>
          <w:sz w:val="20"/>
          <w:szCs w:val="20"/>
          <w:lang w:val="es-PE"/>
        </w:rPr>
        <w:t xml:space="preserve"> </w:t>
      </w:r>
      <w:r w:rsidR="00376F32" w:rsidRPr="006034A4">
        <w:rPr>
          <w:rFonts w:ascii="Cambria" w:hAnsi="Cambria"/>
          <w:sz w:val="20"/>
          <w:szCs w:val="20"/>
          <w:lang w:val="es-PE"/>
        </w:rPr>
        <w:t xml:space="preserve">difundieron información errónea, lo hicieron sin haber tenido pleno conocimiento de que estaban difundiendo información falsa, </w:t>
      </w:r>
      <w:r w:rsidR="00A35A88" w:rsidRPr="006034A4">
        <w:rPr>
          <w:rFonts w:ascii="Cambria" w:hAnsi="Cambria"/>
          <w:sz w:val="20"/>
          <w:szCs w:val="20"/>
          <w:lang w:val="es-PE"/>
        </w:rPr>
        <w:t>y</w:t>
      </w:r>
      <w:r w:rsidR="00376F32" w:rsidRPr="006034A4">
        <w:rPr>
          <w:rFonts w:ascii="Cambria" w:hAnsi="Cambria"/>
          <w:sz w:val="20"/>
          <w:szCs w:val="20"/>
          <w:lang w:val="es-PE"/>
        </w:rPr>
        <w:t xml:space="preserve"> tampoco actuaron </w:t>
      </w:r>
      <w:r w:rsidR="00376F32" w:rsidRPr="006034A4">
        <w:rPr>
          <w:rFonts w:ascii="Cambria" w:hAnsi="Cambria"/>
          <w:sz w:val="20"/>
          <w:szCs w:val="20"/>
          <w:lang w:val="es-UY"/>
        </w:rPr>
        <w:t>con manifiesta negligencia en la búsqueda de la verdad de las noticias</w:t>
      </w:r>
      <w:r w:rsidR="00376F32" w:rsidRPr="006034A4">
        <w:rPr>
          <w:rFonts w:ascii="Cambria" w:hAnsi="Cambria"/>
          <w:sz w:val="20"/>
          <w:szCs w:val="20"/>
          <w:lang w:val="es-PE"/>
        </w:rPr>
        <w:t xml:space="preserve">. </w:t>
      </w:r>
      <w:r w:rsidR="00A35A88" w:rsidRPr="006034A4">
        <w:rPr>
          <w:rFonts w:ascii="Cambria" w:hAnsi="Cambria"/>
          <w:sz w:val="20"/>
          <w:szCs w:val="20"/>
          <w:lang w:val="es-PE"/>
        </w:rPr>
        <w:t>Lo anterior,</w:t>
      </w:r>
      <w:r w:rsidR="00376F32" w:rsidRPr="006034A4">
        <w:rPr>
          <w:rFonts w:ascii="Cambria" w:hAnsi="Cambria"/>
          <w:sz w:val="20"/>
          <w:szCs w:val="20"/>
          <w:lang w:val="es-PE"/>
        </w:rPr>
        <w:t xml:space="preserve"> debido</w:t>
      </w:r>
      <w:r w:rsidR="005D477A" w:rsidRPr="006034A4">
        <w:rPr>
          <w:rFonts w:ascii="Cambria" w:hAnsi="Cambria"/>
          <w:sz w:val="20"/>
          <w:szCs w:val="20"/>
          <w:lang w:val="es-PE"/>
        </w:rPr>
        <w:t xml:space="preserve"> a</w:t>
      </w:r>
      <w:r w:rsidRPr="006034A4">
        <w:rPr>
          <w:rFonts w:ascii="Cambria" w:hAnsi="Cambria"/>
          <w:sz w:val="20"/>
          <w:szCs w:val="20"/>
          <w:lang w:val="es-CO"/>
        </w:rPr>
        <w:t>l contexto</w:t>
      </w:r>
      <w:r w:rsidR="00F922B9" w:rsidRPr="006034A4">
        <w:rPr>
          <w:rFonts w:ascii="Cambria" w:hAnsi="Cambria"/>
          <w:sz w:val="20"/>
          <w:szCs w:val="20"/>
          <w:lang w:val="es-CO"/>
        </w:rPr>
        <w:t xml:space="preserve"> general</w:t>
      </w:r>
      <w:r w:rsidRPr="006034A4">
        <w:rPr>
          <w:rFonts w:ascii="Cambria" w:hAnsi="Cambria"/>
          <w:sz w:val="20"/>
          <w:szCs w:val="20"/>
          <w:lang w:val="es-CO"/>
        </w:rPr>
        <w:t xml:space="preserve"> de la noticia publicada</w:t>
      </w:r>
      <w:r w:rsidR="005D477A" w:rsidRPr="006034A4">
        <w:rPr>
          <w:rFonts w:ascii="Cambria" w:hAnsi="Cambria"/>
          <w:sz w:val="20"/>
          <w:szCs w:val="20"/>
          <w:lang w:val="es-CO"/>
        </w:rPr>
        <w:t>;</w:t>
      </w:r>
      <w:r w:rsidRPr="006034A4">
        <w:rPr>
          <w:rFonts w:ascii="Cambria" w:hAnsi="Cambria"/>
          <w:sz w:val="20"/>
          <w:szCs w:val="20"/>
          <w:lang w:val="es-CO"/>
        </w:rPr>
        <w:t xml:space="preserve"> </w:t>
      </w:r>
      <w:r w:rsidR="00A35A88" w:rsidRPr="006034A4">
        <w:rPr>
          <w:rFonts w:ascii="Cambria" w:hAnsi="Cambria"/>
          <w:sz w:val="20"/>
          <w:szCs w:val="20"/>
          <w:lang w:val="es-CO"/>
        </w:rPr>
        <w:t xml:space="preserve">a </w:t>
      </w:r>
      <w:r w:rsidR="0028034B" w:rsidRPr="006034A4">
        <w:rPr>
          <w:rFonts w:ascii="Cambria" w:hAnsi="Cambria"/>
          <w:sz w:val="20"/>
          <w:szCs w:val="20"/>
          <w:lang w:val="es-VE"/>
        </w:rPr>
        <w:t>la naturaleza y s</w:t>
      </w:r>
      <w:r w:rsidR="004C1D39" w:rsidRPr="006034A4">
        <w:rPr>
          <w:rFonts w:ascii="Cambria" w:hAnsi="Cambria"/>
          <w:sz w:val="20"/>
          <w:szCs w:val="20"/>
          <w:lang w:val="es-VE"/>
        </w:rPr>
        <w:t>eriedad de la fuente consultada</w:t>
      </w:r>
      <w:r w:rsidR="00F922B9" w:rsidRPr="006034A4">
        <w:rPr>
          <w:rFonts w:ascii="Cambria" w:hAnsi="Cambria"/>
          <w:sz w:val="20"/>
          <w:szCs w:val="20"/>
          <w:lang w:val="es-VE"/>
        </w:rPr>
        <w:t xml:space="preserve"> para </w:t>
      </w:r>
      <w:r w:rsidR="00A35A88" w:rsidRPr="006034A4">
        <w:rPr>
          <w:rFonts w:ascii="Cambria" w:hAnsi="Cambria"/>
          <w:sz w:val="20"/>
          <w:szCs w:val="20"/>
          <w:lang w:val="es-VE"/>
        </w:rPr>
        <w:t>comprobar</w:t>
      </w:r>
      <w:r w:rsidR="00F922B9" w:rsidRPr="006034A4">
        <w:rPr>
          <w:rFonts w:ascii="Cambria" w:hAnsi="Cambria"/>
          <w:sz w:val="20"/>
          <w:szCs w:val="20"/>
          <w:lang w:val="es-VE"/>
        </w:rPr>
        <w:t xml:space="preserve"> la información</w:t>
      </w:r>
      <w:r w:rsidR="00A35A88" w:rsidRPr="006034A4">
        <w:rPr>
          <w:rFonts w:ascii="Cambria" w:hAnsi="Cambria"/>
          <w:sz w:val="20"/>
          <w:szCs w:val="20"/>
          <w:lang w:val="es-VE"/>
        </w:rPr>
        <w:t>; a</w:t>
      </w:r>
      <w:r w:rsidR="005D477A" w:rsidRPr="006034A4">
        <w:rPr>
          <w:rFonts w:ascii="Cambria" w:hAnsi="Cambria"/>
          <w:sz w:val="20"/>
          <w:szCs w:val="20"/>
          <w:lang w:val="es-VE"/>
        </w:rPr>
        <w:t xml:space="preserve">l hecho de </w:t>
      </w:r>
      <w:r w:rsidR="00F922B9" w:rsidRPr="006034A4">
        <w:rPr>
          <w:rFonts w:ascii="Cambria" w:hAnsi="Cambria"/>
          <w:sz w:val="20"/>
          <w:szCs w:val="20"/>
          <w:lang w:val="es-VE"/>
        </w:rPr>
        <w:t>que la propia fuente</w:t>
      </w:r>
      <w:r w:rsidR="00B66E4C" w:rsidRPr="006034A4">
        <w:rPr>
          <w:rFonts w:ascii="Cambria" w:hAnsi="Cambria"/>
          <w:sz w:val="20"/>
          <w:szCs w:val="20"/>
          <w:lang w:val="es-VE"/>
        </w:rPr>
        <w:t xml:space="preserve"> reconoció </w:t>
      </w:r>
      <w:r w:rsidR="00376F32" w:rsidRPr="006034A4">
        <w:rPr>
          <w:rFonts w:ascii="Cambria" w:hAnsi="Cambria"/>
          <w:sz w:val="20"/>
          <w:szCs w:val="20"/>
          <w:lang w:val="es-VE"/>
        </w:rPr>
        <w:t xml:space="preserve">en el juicio </w:t>
      </w:r>
      <w:r w:rsidR="00B66E4C" w:rsidRPr="006034A4">
        <w:rPr>
          <w:rFonts w:ascii="Cambria" w:hAnsi="Cambria"/>
          <w:sz w:val="20"/>
          <w:szCs w:val="20"/>
          <w:lang w:val="es-VE"/>
        </w:rPr>
        <w:t>que la información que transmitió</w:t>
      </w:r>
      <w:r w:rsidR="005D477A" w:rsidRPr="006034A4">
        <w:rPr>
          <w:rFonts w:ascii="Cambria" w:hAnsi="Cambria"/>
          <w:sz w:val="20"/>
          <w:szCs w:val="20"/>
          <w:lang w:val="es-VE"/>
        </w:rPr>
        <w:t xml:space="preserve"> a los periodistas</w:t>
      </w:r>
      <w:r w:rsidR="00B66E4C" w:rsidRPr="006034A4">
        <w:rPr>
          <w:rFonts w:ascii="Cambria" w:hAnsi="Cambria"/>
          <w:sz w:val="20"/>
          <w:szCs w:val="20"/>
          <w:lang w:val="es-VE"/>
        </w:rPr>
        <w:t xml:space="preserve"> conten</w:t>
      </w:r>
      <w:r w:rsidR="00A35A88" w:rsidRPr="006034A4">
        <w:rPr>
          <w:rFonts w:ascii="Cambria" w:hAnsi="Cambria"/>
          <w:sz w:val="20"/>
          <w:szCs w:val="20"/>
          <w:lang w:val="es-VE"/>
        </w:rPr>
        <w:t>í</w:t>
      </w:r>
      <w:r w:rsidR="00B66E4C" w:rsidRPr="006034A4">
        <w:rPr>
          <w:rFonts w:ascii="Cambria" w:hAnsi="Cambria"/>
          <w:sz w:val="20"/>
          <w:szCs w:val="20"/>
          <w:lang w:val="es-VE"/>
        </w:rPr>
        <w:t>a errores</w:t>
      </w:r>
      <w:r w:rsidR="00F922B9" w:rsidRPr="006034A4">
        <w:rPr>
          <w:rFonts w:ascii="Cambria" w:hAnsi="Cambria"/>
          <w:vanish/>
          <w:sz w:val="20"/>
          <w:szCs w:val="20"/>
          <w:lang w:val="es-VE"/>
        </w:rPr>
        <w:t>a fuente props transmit hechos rnte la publicacictuar con intencigo del sistema aduanero, se encontraban en curso y los hechos r</w:t>
      </w:r>
      <w:r w:rsidR="005D477A" w:rsidRPr="006034A4">
        <w:rPr>
          <w:rFonts w:ascii="Cambria" w:hAnsi="Cambria"/>
          <w:sz w:val="20"/>
          <w:szCs w:val="20"/>
          <w:lang w:val="es-CO"/>
        </w:rPr>
        <w:t xml:space="preserve">; </w:t>
      </w:r>
      <w:r w:rsidR="003F0CD3" w:rsidRPr="006034A4">
        <w:rPr>
          <w:rFonts w:ascii="Cambria" w:hAnsi="Cambria"/>
          <w:sz w:val="20"/>
          <w:szCs w:val="20"/>
          <w:lang w:val="es-CO"/>
        </w:rPr>
        <w:t xml:space="preserve">a </w:t>
      </w:r>
      <w:r w:rsidRPr="006034A4">
        <w:rPr>
          <w:rFonts w:ascii="Cambria" w:hAnsi="Cambria"/>
          <w:sz w:val="20"/>
          <w:szCs w:val="20"/>
          <w:lang w:val="es-CO"/>
        </w:rPr>
        <w:t>que los periodistas intentaron comunicarse con el funcionario po</w:t>
      </w:r>
      <w:r w:rsidR="00D514D4" w:rsidRPr="006034A4">
        <w:rPr>
          <w:rFonts w:ascii="Cambria" w:hAnsi="Cambria"/>
          <w:sz w:val="20"/>
          <w:szCs w:val="20"/>
          <w:lang w:val="es-CO"/>
        </w:rPr>
        <w:t xml:space="preserve">licial </w:t>
      </w:r>
      <w:r w:rsidR="00F922B9" w:rsidRPr="006034A4">
        <w:rPr>
          <w:rFonts w:ascii="Cambria" w:hAnsi="Cambria"/>
          <w:sz w:val="20"/>
          <w:szCs w:val="20"/>
          <w:lang w:val="es-CO"/>
        </w:rPr>
        <w:t xml:space="preserve">involucrado </w:t>
      </w:r>
      <w:r w:rsidR="00D514D4" w:rsidRPr="006034A4">
        <w:rPr>
          <w:rFonts w:ascii="Cambria" w:hAnsi="Cambria"/>
          <w:sz w:val="20"/>
          <w:szCs w:val="20"/>
          <w:lang w:val="es-CO"/>
        </w:rPr>
        <w:t xml:space="preserve">para </w:t>
      </w:r>
      <w:r w:rsidR="00F922B9" w:rsidRPr="006034A4">
        <w:rPr>
          <w:rFonts w:ascii="Cambria" w:hAnsi="Cambria"/>
          <w:sz w:val="20"/>
          <w:szCs w:val="20"/>
          <w:lang w:val="es-CO"/>
        </w:rPr>
        <w:t>conocer su versión</w:t>
      </w:r>
      <w:r w:rsidR="00B35552">
        <w:rPr>
          <w:rFonts w:ascii="Cambria" w:hAnsi="Cambria"/>
          <w:sz w:val="20"/>
          <w:szCs w:val="20"/>
          <w:lang w:val="es-CO"/>
        </w:rPr>
        <w:t>;</w:t>
      </w:r>
      <w:r w:rsidR="00A35A88" w:rsidRPr="006034A4">
        <w:rPr>
          <w:rFonts w:ascii="Cambria" w:hAnsi="Cambria"/>
          <w:sz w:val="20"/>
          <w:szCs w:val="20"/>
          <w:lang w:val="es-CO"/>
        </w:rPr>
        <w:t xml:space="preserve"> así como</w:t>
      </w:r>
      <w:r w:rsidR="00F922B9" w:rsidRPr="006034A4">
        <w:rPr>
          <w:rFonts w:ascii="Cambria" w:hAnsi="Cambria"/>
          <w:sz w:val="20"/>
          <w:szCs w:val="20"/>
          <w:lang w:val="es-CO"/>
        </w:rPr>
        <w:t xml:space="preserve"> </w:t>
      </w:r>
      <w:r w:rsidR="003F0CD3" w:rsidRPr="006034A4">
        <w:rPr>
          <w:rFonts w:ascii="Cambria" w:hAnsi="Cambria"/>
          <w:sz w:val="20"/>
          <w:szCs w:val="20"/>
          <w:lang w:val="es-CO"/>
        </w:rPr>
        <w:t xml:space="preserve">a </w:t>
      </w:r>
      <w:r w:rsidR="00F922B9" w:rsidRPr="006034A4">
        <w:rPr>
          <w:rFonts w:ascii="Cambria" w:hAnsi="Cambria"/>
          <w:sz w:val="20"/>
          <w:szCs w:val="20"/>
          <w:lang w:val="es-CO"/>
        </w:rPr>
        <w:t>la disposición</w:t>
      </w:r>
      <w:r w:rsidR="005D477A" w:rsidRPr="006034A4">
        <w:rPr>
          <w:rFonts w:ascii="Cambria" w:hAnsi="Cambria"/>
          <w:sz w:val="20"/>
          <w:szCs w:val="20"/>
          <w:lang w:val="es-CO"/>
        </w:rPr>
        <w:t xml:space="preserve"> que mostraron</w:t>
      </w:r>
      <w:r w:rsidR="00F922B9" w:rsidRPr="006034A4">
        <w:rPr>
          <w:rFonts w:ascii="Cambria" w:hAnsi="Cambria"/>
          <w:sz w:val="20"/>
          <w:szCs w:val="20"/>
          <w:lang w:val="es-CO"/>
        </w:rPr>
        <w:t xml:space="preserve"> a</w:t>
      </w:r>
      <w:r w:rsidR="005D477A" w:rsidRPr="006034A4">
        <w:rPr>
          <w:rFonts w:ascii="Cambria" w:hAnsi="Cambria"/>
          <w:sz w:val="20"/>
          <w:szCs w:val="20"/>
          <w:lang w:val="es-CO"/>
        </w:rPr>
        <w:t>l</w:t>
      </w:r>
      <w:r w:rsidR="00F922B9" w:rsidRPr="006034A4">
        <w:rPr>
          <w:rFonts w:ascii="Cambria" w:hAnsi="Cambria"/>
          <w:sz w:val="20"/>
          <w:szCs w:val="20"/>
          <w:lang w:val="es-CO"/>
        </w:rPr>
        <w:t xml:space="preserve"> rectificar de forma voluntaria</w:t>
      </w:r>
      <w:r w:rsidR="005D477A" w:rsidRPr="006034A4">
        <w:rPr>
          <w:rFonts w:ascii="Cambria" w:hAnsi="Cambria"/>
          <w:sz w:val="20"/>
          <w:szCs w:val="20"/>
          <w:lang w:val="es-CO"/>
        </w:rPr>
        <w:t xml:space="preserve"> parte de</w:t>
      </w:r>
      <w:r w:rsidR="00F922B9" w:rsidRPr="006034A4">
        <w:rPr>
          <w:rFonts w:ascii="Cambria" w:hAnsi="Cambria"/>
          <w:sz w:val="20"/>
          <w:szCs w:val="20"/>
          <w:lang w:val="es-CO"/>
        </w:rPr>
        <w:t xml:space="preserve"> la información errónea</w:t>
      </w:r>
      <w:r w:rsidR="005D477A" w:rsidRPr="006034A4">
        <w:rPr>
          <w:rFonts w:ascii="Cambria" w:hAnsi="Cambria"/>
          <w:sz w:val="20"/>
          <w:szCs w:val="20"/>
          <w:lang w:val="es-CO"/>
        </w:rPr>
        <w:t xml:space="preserve">. </w:t>
      </w:r>
      <w:r w:rsidR="00376F32" w:rsidRPr="006034A4">
        <w:rPr>
          <w:rFonts w:ascii="Cambria" w:hAnsi="Cambria"/>
          <w:sz w:val="20"/>
          <w:szCs w:val="20"/>
          <w:lang w:val="es-CO"/>
        </w:rPr>
        <w:t>Dicho en otras palabras, de</w:t>
      </w:r>
      <w:r w:rsidR="006302FE" w:rsidRPr="006034A4">
        <w:rPr>
          <w:rFonts w:ascii="Cambria" w:hAnsi="Cambria"/>
          <w:spacing w:val="-2"/>
          <w:sz w:val="20"/>
          <w:szCs w:val="20"/>
          <w:lang w:val="es-PE"/>
        </w:rPr>
        <w:t xml:space="preserve"> acuerdo </w:t>
      </w:r>
      <w:r w:rsidR="003F0CD3" w:rsidRPr="006034A4">
        <w:rPr>
          <w:rFonts w:ascii="Cambria" w:hAnsi="Cambria"/>
          <w:spacing w:val="-2"/>
          <w:sz w:val="20"/>
          <w:szCs w:val="20"/>
          <w:lang w:val="es-PE"/>
        </w:rPr>
        <w:t>con</w:t>
      </w:r>
      <w:r w:rsidR="006302FE" w:rsidRPr="006034A4">
        <w:rPr>
          <w:rFonts w:ascii="Cambria" w:hAnsi="Cambria"/>
          <w:spacing w:val="-2"/>
          <w:sz w:val="20"/>
          <w:szCs w:val="20"/>
          <w:lang w:val="es-PE"/>
        </w:rPr>
        <w:t xml:space="preserve"> las circunstancias del presente caso, los periodistas</w:t>
      </w:r>
      <w:r w:rsidR="006302FE" w:rsidRPr="006034A4">
        <w:rPr>
          <w:rFonts w:ascii="Cambria" w:hAnsi="Cambria"/>
          <w:sz w:val="20"/>
          <w:szCs w:val="20"/>
          <w:lang w:val="es-PE"/>
        </w:rPr>
        <w:t xml:space="preserve"> </w:t>
      </w:r>
      <w:r w:rsidR="006302FE" w:rsidRPr="006034A4">
        <w:rPr>
          <w:rFonts w:ascii="Cambria" w:hAnsi="Cambria"/>
          <w:spacing w:val="-2"/>
          <w:sz w:val="20"/>
          <w:szCs w:val="20"/>
          <w:lang w:val="es-PE"/>
        </w:rPr>
        <w:t xml:space="preserve">actuaron </w:t>
      </w:r>
      <w:r w:rsidR="00D514D4" w:rsidRPr="006034A4">
        <w:rPr>
          <w:rFonts w:ascii="Cambria" w:hAnsi="Cambria"/>
          <w:spacing w:val="-2"/>
          <w:sz w:val="20"/>
          <w:szCs w:val="20"/>
          <w:lang w:val="es-PE"/>
        </w:rPr>
        <w:t xml:space="preserve">de buena fe y </w:t>
      </w:r>
      <w:r w:rsidR="006302FE" w:rsidRPr="006034A4">
        <w:rPr>
          <w:rFonts w:ascii="Cambria" w:hAnsi="Cambria"/>
          <w:spacing w:val="-2"/>
          <w:sz w:val="20"/>
          <w:szCs w:val="20"/>
          <w:lang w:val="es-PE"/>
        </w:rPr>
        <w:t>con la diligencia razonable</w:t>
      </w:r>
      <w:r w:rsidR="00D514D4" w:rsidRPr="006034A4">
        <w:rPr>
          <w:rFonts w:ascii="Cambria" w:hAnsi="Cambria"/>
          <w:spacing w:val="-2"/>
          <w:sz w:val="20"/>
          <w:szCs w:val="20"/>
          <w:lang w:val="es-PE"/>
        </w:rPr>
        <w:t xml:space="preserve"> </w:t>
      </w:r>
      <w:r w:rsidR="006302FE" w:rsidRPr="006034A4">
        <w:rPr>
          <w:rFonts w:ascii="Cambria" w:hAnsi="Cambria"/>
          <w:spacing w:val="-2"/>
          <w:sz w:val="20"/>
          <w:szCs w:val="20"/>
          <w:lang w:val="es-PE"/>
        </w:rPr>
        <w:t>en la búsqueda de información</w:t>
      </w:r>
      <w:r w:rsidR="006302FE" w:rsidRPr="006034A4">
        <w:rPr>
          <w:rFonts w:ascii="Cambria" w:hAnsi="Cambria"/>
          <w:sz w:val="20"/>
          <w:szCs w:val="20"/>
          <w:lang w:val="es-PE"/>
        </w:rPr>
        <w:t>.</w:t>
      </w:r>
    </w:p>
    <w:p w14:paraId="756E4301" w14:textId="77777777" w:rsidR="005D477A" w:rsidRPr="006034A4" w:rsidRDefault="005D477A"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220D69DD" w14:textId="77777777" w:rsidR="00FB473A" w:rsidRPr="006034A4" w:rsidRDefault="00B66E4C"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6034A4">
        <w:rPr>
          <w:rFonts w:ascii="Cambria" w:hAnsi="Cambria"/>
          <w:sz w:val="20"/>
          <w:szCs w:val="20"/>
          <w:lang w:val="es-PE"/>
        </w:rPr>
        <w:t>L</w:t>
      </w:r>
      <w:r w:rsidR="006302FE" w:rsidRPr="006034A4">
        <w:rPr>
          <w:rFonts w:ascii="Cambria" w:hAnsi="Cambria" w:cstheme="minorHAnsi"/>
          <w:sz w:val="20"/>
          <w:szCs w:val="20"/>
          <w:lang w:val="es-AR"/>
        </w:rPr>
        <w:t xml:space="preserve">a Comisión concluye </w:t>
      </w:r>
      <w:r w:rsidR="00D514D4" w:rsidRPr="006034A4">
        <w:rPr>
          <w:rFonts w:ascii="Cambria" w:hAnsi="Cambria"/>
          <w:sz w:val="20"/>
          <w:szCs w:val="20"/>
          <w:lang w:val="es-ES"/>
        </w:rPr>
        <w:t xml:space="preserve">que el Estado no </w:t>
      </w:r>
      <w:r w:rsidR="00982D9C" w:rsidRPr="006034A4">
        <w:rPr>
          <w:rFonts w:ascii="Cambria" w:hAnsi="Cambria"/>
          <w:sz w:val="20"/>
          <w:szCs w:val="20"/>
          <w:lang w:val="es-ES"/>
        </w:rPr>
        <w:t>demostró</w:t>
      </w:r>
      <w:r w:rsidR="00D514D4" w:rsidRPr="006034A4">
        <w:rPr>
          <w:rFonts w:ascii="Cambria" w:hAnsi="Cambria"/>
          <w:sz w:val="20"/>
          <w:szCs w:val="20"/>
          <w:lang w:val="es-ES"/>
        </w:rPr>
        <w:t xml:space="preserve"> el cumplimiento del requisito de necesidad de la medida impuesta en este tipo de circunstancias</w:t>
      </w:r>
      <w:r w:rsidRPr="006034A4">
        <w:rPr>
          <w:rFonts w:ascii="Cambria" w:hAnsi="Cambria"/>
          <w:sz w:val="20"/>
          <w:szCs w:val="20"/>
          <w:lang w:val="es-ES"/>
        </w:rPr>
        <w:t>, debido a que los periodistas t</w:t>
      </w:r>
      <w:r w:rsidR="003F0CD3" w:rsidRPr="006034A4">
        <w:rPr>
          <w:rFonts w:ascii="Cambria" w:hAnsi="Cambria"/>
          <w:sz w:val="20"/>
          <w:szCs w:val="20"/>
          <w:lang w:val="es-ES"/>
        </w:rPr>
        <w:t>uviero</w:t>
      </w:r>
      <w:r w:rsidRPr="006034A4">
        <w:rPr>
          <w:rFonts w:ascii="Cambria" w:hAnsi="Cambria"/>
          <w:sz w:val="20"/>
          <w:szCs w:val="20"/>
          <w:lang w:val="es-ES"/>
        </w:rPr>
        <w:t>n a su disposición una serie de elementos y confirmacione</w:t>
      </w:r>
      <w:r w:rsidRPr="00B35552">
        <w:rPr>
          <w:rFonts w:ascii="Cambria" w:hAnsi="Cambria"/>
          <w:sz w:val="20"/>
          <w:szCs w:val="20"/>
          <w:lang w:val="es-ES"/>
        </w:rPr>
        <w:t>s que l</w:t>
      </w:r>
      <w:r w:rsidR="003F0CD3" w:rsidRPr="00B35552">
        <w:rPr>
          <w:rFonts w:ascii="Cambria" w:hAnsi="Cambria"/>
          <w:sz w:val="20"/>
          <w:szCs w:val="20"/>
          <w:lang w:val="es-ES"/>
        </w:rPr>
        <w:t>os llevaron,</w:t>
      </w:r>
      <w:r w:rsidRPr="00B35552">
        <w:rPr>
          <w:rFonts w:ascii="Cambria" w:hAnsi="Cambria"/>
          <w:sz w:val="20"/>
          <w:szCs w:val="20"/>
          <w:lang w:val="es-ES"/>
        </w:rPr>
        <w:t xml:space="preserve"> en forma razonable</w:t>
      </w:r>
      <w:r w:rsidR="003F0CD3" w:rsidRPr="00B35552">
        <w:rPr>
          <w:rFonts w:ascii="Cambria" w:hAnsi="Cambria"/>
          <w:sz w:val="20"/>
          <w:szCs w:val="20"/>
          <w:lang w:val="es-ES"/>
        </w:rPr>
        <w:t>,</w:t>
      </w:r>
      <w:r w:rsidRPr="00B35552">
        <w:rPr>
          <w:rFonts w:ascii="Cambria" w:hAnsi="Cambria"/>
          <w:sz w:val="20"/>
          <w:szCs w:val="20"/>
          <w:lang w:val="es-ES"/>
        </w:rPr>
        <w:t xml:space="preserve"> </w:t>
      </w:r>
      <w:r w:rsidR="003F0CD3" w:rsidRPr="00B35552">
        <w:rPr>
          <w:rFonts w:ascii="Cambria" w:hAnsi="Cambria"/>
          <w:sz w:val="20"/>
          <w:szCs w:val="20"/>
          <w:lang w:val="es-ES"/>
        </w:rPr>
        <w:t>a considerar</w:t>
      </w:r>
      <w:r w:rsidR="001F72F2" w:rsidRPr="00B35552">
        <w:rPr>
          <w:rFonts w:ascii="Cambria" w:hAnsi="Cambria"/>
          <w:sz w:val="20"/>
          <w:szCs w:val="20"/>
          <w:lang w:val="es-ES"/>
        </w:rPr>
        <w:t xml:space="preserve"> que sus afirmaciones no se encontraban desprovistas de fundamento y </w:t>
      </w:r>
      <w:r w:rsidRPr="00B35552">
        <w:rPr>
          <w:rFonts w:ascii="Cambria" w:hAnsi="Cambria"/>
          <w:sz w:val="20"/>
          <w:szCs w:val="20"/>
          <w:lang w:val="es-ES"/>
        </w:rPr>
        <w:t>veracidad</w:t>
      </w:r>
      <w:r w:rsidR="00DC7DB1" w:rsidRPr="00B35552">
        <w:rPr>
          <w:rFonts w:ascii="Cambria" w:hAnsi="Cambria"/>
          <w:sz w:val="20"/>
          <w:szCs w:val="20"/>
          <w:lang w:val="es-ES"/>
        </w:rPr>
        <w:t>.</w:t>
      </w:r>
    </w:p>
    <w:p w14:paraId="77A2F75B" w14:textId="77777777" w:rsidR="001917A4" w:rsidRPr="006034A4" w:rsidRDefault="001917A4"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41F8677A" w14:textId="77777777" w:rsidR="00EB0406" w:rsidRPr="006034A4" w:rsidRDefault="00FB473A"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6034A4">
        <w:rPr>
          <w:rFonts w:ascii="Cambria" w:hAnsi="Cambria"/>
          <w:sz w:val="20"/>
          <w:szCs w:val="20"/>
          <w:lang w:val="es-PE"/>
        </w:rPr>
        <w:t>Ahora bien,</w:t>
      </w:r>
      <w:r w:rsidR="00C708BF" w:rsidRPr="006034A4">
        <w:rPr>
          <w:rFonts w:ascii="Cambria" w:hAnsi="Cambria"/>
          <w:sz w:val="20"/>
          <w:szCs w:val="20"/>
          <w:lang w:val="es-PE"/>
        </w:rPr>
        <w:t xml:space="preserve"> </w:t>
      </w:r>
      <w:r w:rsidR="002D5F48" w:rsidRPr="006034A4">
        <w:rPr>
          <w:rFonts w:ascii="Cambria" w:hAnsi="Cambria"/>
          <w:sz w:val="20"/>
          <w:szCs w:val="20"/>
          <w:lang w:val="es-PE"/>
        </w:rPr>
        <w:t xml:space="preserve">si bien </w:t>
      </w:r>
      <w:r w:rsidR="001C1DD9" w:rsidRPr="006034A4">
        <w:rPr>
          <w:rFonts w:ascii="Cambria" w:hAnsi="Cambria"/>
          <w:sz w:val="20"/>
          <w:szCs w:val="20"/>
          <w:lang w:val="es-PE"/>
        </w:rPr>
        <w:t xml:space="preserve">en el presente caso </w:t>
      </w:r>
      <w:r w:rsidR="002D5F48" w:rsidRPr="006034A4">
        <w:rPr>
          <w:rFonts w:ascii="Cambria" w:hAnsi="Cambria"/>
          <w:sz w:val="20"/>
          <w:szCs w:val="20"/>
          <w:lang w:val="es-PE"/>
        </w:rPr>
        <w:t xml:space="preserve">se podría argumentar que </w:t>
      </w:r>
      <w:r w:rsidR="00E41A4F" w:rsidRPr="006034A4">
        <w:rPr>
          <w:rFonts w:ascii="Cambria" w:hAnsi="Cambria"/>
          <w:sz w:val="20"/>
          <w:szCs w:val="20"/>
          <w:lang w:val="es-PE"/>
        </w:rPr>
        <w:t>la</w:t>
      </w:r>
      <w:r w:rsidR="00193799">
        <w:rPr>
          <w:rFonts w:ascii="Cambria" w:hAnsi="Cambria"/>
          <w:sz w:val="20"/>
          <w:szCs w:val="20"/>
          <w:lang w:val="es-PE"/>
        </w:rPr>
        <w:t xml:space="preserve"> </w:t>
      </w:r>
      <w:r w:rsidR="00E41A4F" w:rsidRPr="006034A4">
        <w:rPr>
          <w:rFonts w:ascii="Cambria" w:hAnsi="Cambria"/>
          <w:sz w:val="20"/>
          <w:szCs w:val="20"/>
          <w:lang w:val="es-PE"/>
        </w:rPr>
        <w:t xml:space="preserve">sanción civil de </w:t>
      </w:r>
      <w:r w:rsidR="002D5F48" w:rsidRPr="006034A4">
        <w:rPr>
          <w:rFonts w:ascii="Cambria" w:hAnsi="Cambria"/>
          <w:sz w:val="20"/>
          <w:szCs w:val="20"/>
          <w:lang w:val="es-PE"/>
        </w:rPr>
        <w:t>cinco millones de colones ($9,585 aproximadamente en la época de los hechos)</w:t>
      </w:r>
      <w:r w:rsidR="00E41A4F" w:rsidRPr="006034A4">
        <w:rPr>
          <w:rFonts w:ascii="Cambria" w:hAnsi="Cambria"/>
          <w:sz w:val="20"/>
          <w:szCs w:val="20"/>
          <w:lang w:val="es-PE"/>
        </w:rPr>
        <w:t xml:space="preserve">, </w:t>
      </w:r>
      <w:r w:rsidRPr="006034A4">
        <w:rPr>
          <w:rFonts w:ascii="Cambria" w:hAnsi="Cambria"/>
          <w:sz w:val="20"/>
          <w:szCs w:val="20"/>
          <w:lang w:val="es-PE"/>
        </w:rPr>
        <w:t>cuyo pago fue ordenado de forma solidaria</w:t>
      </w:r>
      <w:r w:rsidR="00E41A4F" w:rsidRPr="006034A4">
        <w:rPr>
          <w:rFonts w:ascii="Cambria" w:hAnsi="Cambria"/>
          <w:sz w:val="20"/>
          <w:szCs w:val="20"/>
          <w:lang w:val="es-PE"/>
        </w:rPr>
        <w:t>,</w:t>
      </w:r>
      <w:r w:rsidRPr="006034A4">
        <w:rPr>
          <w:rFonts w:ascii="Cambria" w:hAnsi="Cambria"/>
          <w:sz w:val="20"/>
          <w:szCs w:val="20"/>
          <w:lang w:val="es-PE"/>
        </w:rPr>
        <w:t xml:space="preserve"> </w:t>
      </w:r>
      <w:r w:rsidR="002D5F48" w:rsidRPr="006034A4">
        <w:rPr>
          <w:rFonts w:ascii="Cambria" w:hAnsi="Cambria"/>
          <w:sz w:val="20"/>
          <w:szCs w:val="20"/>
          <w:lang w:val="es-PE"/>
        </w:rPr>
        <w:t>no aparece como excesiva</w:t>
      </w:r>
      <w:r w:rsidR="001C1DD9">
        <w:rPr>
          <w:rFonts w:ascii="Cambria" w:hAnsi="Cambria"/>
          <w:sz w:val="20"/>
          <w:szCs w:val="20"/>
          <w:lang w:val="es-PE"/>
        </w:rPr>
        <w:t xml:space="preserve"> o desproporcionada, </w:t>
      </w:r>
      <w:r w:rsidR="002A674D" w:rsidRPr="006034A4">
        <w:rPr>
          <w:rFonts w:ascii="Cambria" w:hAnsi="Cambria"/>
          <w:sz w:val="20"/>
          <w:szCs w:val="20"/>
          <w:lang w:val="es-PE"/>
        </w:rPr>
        <w:t>su imposición</w:t>
      </w:r>
      <w:r w:rsidR="002D5F48" w:rsidRPr="006034A4">
        <w:rPr>
          <w:rFonts w:ascii="Cambria" w:hAnsi="Cambria"/>
          <w:sz w:val="20"/>
          <w:szCs w:val="20"/>
          <w:lang w:val="es-PE"/>
        </w:rPr>
        <w:t xml:space="preserve"> como forma de responsabilidad ulterior </w:t>
      </w:r>
      <w:r w:rsidR="001C1DD9">
        <w:rPr>
          <w:rFonts w:ascii="Cambria" w:hAnsi="Cambria"/>
          <w:sz w:val="20"/>
          <w:szCs w:val="20"/>
          <w:lang w:val="es-PE"/>
        </w:rPr>
        <w:t>fue</w:t>
      </w:r>
      <w:r w:rsidR="001C1DD9" w:rsidRPr="006034A4">
        <w:rPr>
          <w:rFonts w:ascii="Cambria" w:hAnsi="Cambria"/>
          <w:sz w:val="20"/>
          <w:szCs w:val="20"/>
          <w:lang w:val="es-PE"/>
        </w:rPr>
        <w:t xml:space="preserve"> </w:t>
      </w:r>
      <w:r w:rsidRPr="006034A4">
        <w:rPr>
          <w:rFonts w:ascii="Cambria" w:hAnsi="Cambria"/>
          <w:sz w:val="20"/>
          <w:szCs w:val="20"/>
          <w:lang w:val="es-PE"/>
        </w:rPr>
        <w:t>innecesaria</w:t>
      </w:r>
      <w:r w:rsidR="00C708BF" w:rsidRPr="006034A4">
        <w:rPr>
          <w:rFonts w:ascii="Cambria" w:hAnsi="Cambria"/>
          <w:sz w:val="20"/>
          <w:szCs w:val="20"/>
          <w:lang w:val="es-PE"/>
        </w:rPr>
        <w:t xml:space="preserve">. </w:t>
      </w:r>
      <w:r w:rsidR="00EB0406" w:rsidRPr="006034A4">
        <w:rPr>
          <w:rFonts w:ascii="Cambria" w:hAnsi="Cambria"/>
          <w:sz w:val="20"/>
          <w:szCs w:val="20"/>
          <w:lang w:val="es-PE"/>
        </w:rPr>
        <w:t>Sin perjuicio de lo anterior, la CIDH estima oportuno reiterar que “el temor a una sanción civil desproporcionada puede ser a todas luces tan o más intimidante e inhibidor para el ejercicio de la libertad de expresión que una sanción penal, en tanto tiene la potencialidad de comprometer la vida personal y familiar de quien denuncia”</w:t>
      </w:r>
      <w:r w:rsidR="00EB0406" w:rsidRPr="006034A4">
        <w:rPr>
          <w:rStyle w:val="FootnoteReference"/>
          <w:rFonts w:ascii="Cambria" w:hAnsi="Cambria"/>
          <w:sz w:val="20"/>
          <w:szCs w:val="20"/>
          <w:lang w:val="es-PE"/>
        </w:rPr>
        <w:footnoteReference w:id="115"/>
      </w:r>
      <w:r w:rsidR="00EB0406" w:rsidRPr="006034A4">
        <w:rPr>
          <w:rFonts w:ascii="Cambria" w:hAnsi="Cambria"/>
          <w:sz w:val="20"/>
          <w:szCs w:val="20"/>
          <w:lang w:val="es-PE"/>
        </w:rPr>
        <w:t>.</w:t>
      </w:r>
    </w:p>
    <w:p w14:paraId="71A69240" w14:textId="77777777" w:rsidR="00B25E1A" w:rsidRPr="006034A4" w:rsidRDefault="00B25E1A"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1E45A6C6" w14:textId="77777777" w:rsidR="00C708BF" w:rsidRPr="00B35552" w:rsidRDefault="00C708BF" w:rsidP="00B35552">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6034A4">
        <w:rPr>
          <w:rFonts w:ascii="Cambria" w:hAnsi="Cambria"/>
          <w:sz w:val="20"/>
          <w:szCs w:val="20"/>
          <w:lang w:val="es-PE"/>
        </w:rPr>
        <w:t>E</w:t>
      </w:r>
      <w:r w:rsidR="00FB473A" w:rsidRPr="006034A4">
        <w:rPr>
          <w:rFonts w:ascii="Cambria" w:hAnsi="Cambria"/>
          <w:sz w:val="20"/>
          <w:szCs w:val="20"/>
          <w:lang w:val="es-PE"/>
        </w:rPr>
        <w:t>n todo caso, al haberse publicado una información errónea sin</w:t>
      </w:r>
      <w:r w:rsidR="001C1DD9">
        <w:rPr>
          <w:rFonts w:ascii="Cambria" w:hAnsi="Cambria"/>
          <w:sz w:val="20"/>
          <w:szCs w:val="20"/>
          <w:lang w:val="es-PE"/>
        </w:rPr>
        <w:t xml:space="preserve"> que ello haya significado</w:t>
      </w:r>
      <w:r w:rsidR="00FB473A" w:rsidRPr="006034A4">
        <w:rPr>
          <w:rFonts w:ascii="Cambria" w:hAnsi="Cambria"/>
          <w:sz w:val="20"/>
          <w:szCs w:val="20"/>
          <w:lang w:val="es-PE"/>
        </w:rPr>
        <w:t xml:space="preserve"> un ejercicio abusivo del derecho a la libertad de expresión, l</w:t>
      </w:r>
      <w:r w:rsidRPr="006034A4">
        <w:rPr>
          <w:rFonts w:ascii="Cambria" w:hAnsi="Cambria"/>
          <w:sz w:val="20"/>
          <w:szCs w:val="20"/>
          <w:lang w:val="es-PE"/>
        </w:rPr>
        <w:t xml:space="preserve">a CIDH estima que, de acuerdo a los criterios antes señalados, </w:t>
      </w:r>
      <w:r w:rsidR="00B35552">
        <w:rPr>
          <w:rFonts w:ascii="Cambria" w:hAnsi="Cambria"/>
          <w:sz w:val="20"/>
          <w:szCs w:val="20"/>
          <w:lang w:val="es-PE"/>
        </w:rPr>
        <w:t xml:space="preserve">la medida menos lesiva </w:t>
      </w:r>
      <w:r w:rsidR="00BD416C">
        <w:rPr>
          <w:rFonts w:ascii="Cambria" w:hAnsi="Cambria"/>
          <w:sz w:val="20"/>
          <w:szCs w:val="20"/>
          <w:lang w:val="es-PE"/>
        </w:rPr>
        <w:t xml:space="preserve">y proporcional que correspondía ordenar </w:t>
      </w:r>
      <w:r w:rsidR="00B35552">
        <w:rPr>
          <w:rFonts w:ascii="Cambria" w:hAnsi="Cambria"/>
          <w:sz w:val="20"/>
          <w:szCs w:val="20"/>
          <w:lang w:val="es-PE"/>
        </w:rPr>
        <w:t>para el</w:t>
      </w:r>
      <w:r w:rsidR="00BD416C">
        <w:rPr>
          <w:rFonts w:ascii="Cambria" w:hAnsi="Cambria"/>
          <w:sz w:val="20"/>
          <w:szCs w:val="20"/>
          <w:lang w:val="es-PE"/>
        </w:rPr>
        <w:t xml:space="preserve"> caso que nos ocupa,</w:t>
      </w:r>
      <w:r w:rsidR="00B35552">
        <w:rPr>
          <w:rFonts w:ascii="Cambria" w:hAnsi="Cambria"/>
          <w:sz w:val="20"/>
          <w:szCs w:val="20"/>
          <w:lang w:val="es-PE"/>
        </w:rPr>
        <w:t xml:space="preserve"> </w:t>
      </w:r>
      <w:r w:rsidR="00BD416C">
        <w:rPr>
          <w:rFonts w:ascii="Cambria" w:hAnsi="Cambria"/>
          <w:sz w:val="20"/>
          <w:szCs w:val="20"/>
          <w:lang w:val="es-PE"/>
        </w:rPr>
        <w:t>fue una orden de</w:t>
      </w:r>
      <w:r w:rsidR="00126915">
        <w:rPr>
          <w:rFonts w:ascii="Cambria" w:hAnsi="Cambria"/>
          <w:sz w:val="20"/>
          <w:szCs w:val="20"/>
          <w:lang w:val="es-PE"/>
        </w:rPr>
        <w:t xml:space="preserve"> </w:t>
      </w:r>
      <w:r w:rsidRPr="006034A4">
        <w:rPr>
          <w:rFonts w:ascii="Cambria" w:hAnsi="Cambria"/>
          <w:sz w:val="20"/>
          <w:szCs w:val="20"/>
          <w:lang w:val="es-PE"/>
        </w:rPr>
        <w:t>rectificación</w:t>
      </w:r>
      <w:r w:rsidR="00B35552">
        <w:rPr>
          <w:rFonts w:ascii="Cambria" w:hAnsi="Cambria"/>
          <w:sz w:val="20"/>
          <w:szCs w:val="20"/>
          <w:lang w:val="es-PE"/>
        </w:rPr>
        <w:t xml:space="preserve"> completa de la información que afectaba al señor Trejos Rodríguez</w:t>
      </w:r>
      <w:r w:rsidRPr="006034A4">
        <w:rPr>
          <w:rFonts w:ascii="Cambria" w:hAnsi="Cambria"/>
          <w:sz w:val="20"/>
          <w:szCs w:val="20"/>
          <w:lang w:val="es-PE"/>
        </w:rPr>
        <w:t xml:space="preserve">. </w:t>
      </w:r>
      <w:r w:rsidR="00B35552">
        <w:rPr>
          <w:rFonts w:ascii="Cambria" w:hAnsi="Cambria"/>
          <w:sz w:val="20"/>
          <w:szCs w:val="20"/>
          <w:lang w:val="es-PE"/>
        </w:rPr>
        <w:t xml:space="preserve">Por otra parte, la sentencia también ordenó al diario La Nación </w:t>
      </w:r>
      <w:r w:rsidR="00B35552" w:rsidRPr="00B35552">
        <w:rPr>
          <w:rFonts w:ascii="Cambria" w:hAnsi="Cambria"/>
          <w:sz w:val="20"/>
          <w:szCs w:val="20"/>
          <w:lang w:val="es-PE"/>
        </w:rPr>
        <w:t>y al Ministerio de Seguridad pagar una reparación</w:t>
      </w:r>
      <w:r w:rsidR="002B27C2">
        <w:rPr>
          <w:rFonts w:ascii="Cambria" w:hAnsi="Cambria"/>
          <w:sz w:val="20"/>
          <w:szCs w:val="20"/>
          <w:lang w:val="es-PE"/>
        </w:rPr>
        <w:t xml:space="preserve"> a </w:t>
      </w:r>
      <w:r w:rsidR="00BD416C">
        <w:rPr>
          <w:rFonts w:ascii="Cambria" w:hAnsi="Cambria"/>
          <w:sz w:val="20"/>
          <w:szCs w:val="20"/>
          <w:lang w:val="es-PE"/>
        </w:rPr>
        <w:t xml:space="preserve">dicho </w:t>
      </w:r>
      <w:r w:rsidR="002B27C2">
        <w:rPr>
          <w:rFonts w:ascii="Cambria" w:hAnsi="Cambria"/>
          <w:sz w:val="20"/>
          <w:szCs w:val="20"/>
          <w:lang w:val="es-PE"/>
        </w:rPr>
        <w:t xml:space="preserve">funcionario, </w:t>
      </w:r>
      <w:r w:rsidR="00126915">
        <w:rPr>
          <w:rFonts w:ascii="Cambria" w:hAnsi="Cambria"/>
          <w:sz w:val="20"/>
          <w:szCs w:val="20"/>
          <w:lang w:val="es-PE"/>
        </w:rPr>
        <w:t>lo cual fue cumplido por el diario.</w:t>
      </w:r>
    </w:p>
    <w:p w14:paraId="711BC7C7" w14:textId="77777777" w:rsidR="00962407" w:rsidRPr="006034A4" w:rsidRDefault="00962407" w:rsidP="006034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51CC12EE" w14:textId="77777777" w:rsidR="00961BAE" w:rsidRPr="006034A4" w:rsidRDefault="00C708BF" w:rsidP="006034A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CO"/>
        </w:rPr>
      </w:pPr>
      <w:r w:rsidRPr="006034A4">
        <w:rPr>
          <w:rFonts w:ascii="Cambria" w:hAnsi="Cambria"/>
          <w:sz w:val="20"/>
          <w:szCs w:val="20"/>
          <w:lang w:val="es-PE"/>
        </w:rPr>
        <w:t xml:space="preserve">Con base en lo </w:t>
      </w:r>
      <w:r w:rsidR="00982D9C" w:rsidRPr="006034A4">
        <w:rPr>
          <w:rFonts w:ascii="Cambria" w:hAnsi="Cambria"/>
          <w:sz w:val="20"/>
          <w:szCs w:val="20"/>
          <w:lang w:val="es-PE"/>
        </w:rPr>
        <w:t>desarrollado</w:t>
      </w:r>
      <w:r w:rsidRPr="006034A4">
        <w:rPr>
          <w:rFonts w:ascii="Cambria" w:hAnsi="Cambria"/>
          <w:sz w:val="20"/>
          <w:szCs w:val="20"/>
          <w:lang w:val="es-PE"/>
        </w:rPr>
        <w:t xml:space="preserve">, la CIDH </w:t>
      </w:r>
      <w:r w:rsidR="00126915" w:rsidRPr="006034A4">
        <w:rPr>
          <w:rFonts w:ascii="Cambria" w:hAnsi="Cambria"/>
          <w:sz w:val="20"/>
          <w:szCs w:val="20"/>
          <w:lang w:val="es-PE"/>
        </w:rPr>
        <w:t>con</w:t>
      </w:r>
      <w:r w:rsidR="00126915">
        <w:rPr>
          <w:rFonts w:ascii="Cambria" w:hAnsi="Cambria"/>
          <w:sz w:val="20"/>
          <w:szCs w:val="20"/>
          <w:lang w:val="es-PE"/>
        </w:rPr>
        <w:t>sidera</w:t>
      </w:r>
      <w:r w:rsidR="00126915" w:rsidRPr="006034A4">
        <w:rPr>
          <w:rFonts w:ascii="Cambria" w:hAnsi="Cambria"/>
          <w:sz w:val="20"/>
          <w:szCs w:val="20"/>
          <w:lang w:val="es-PE"/>
        </w:rPr>
        <w:t xml:space="preserve"> </w:t>
      </w:r>
      <w:r w:rsidRPr="006034A4">
        <w:rPr>
          <w:rFonts w:ascii="Cambria" w:hAnsi="Cambria"/>
          <w:sz w:val="20"/>
          <w:szCs w:val="20"/>
          <w:lang w:val="es-PE"/>
        </w:rPr>
        <w:t xml:space="preserve">que la </w:t>
      </w:r>
      <w:r w:rsidR="002B27C2">
        <w:rPr>
          <w:rFonts w:ascii="Cambria" w:hAnsi="Cambria"/>
          <w:sz w:val="20"/>
          <w:szCs w:val="20"/>
          <w:lang w:val="es-PE"/>
        </w:rPr>
        <w:t>actuación de los periodistas involucrados</w:t>
      </w:r>
      <w:r w:rsidR="004E2C91" w:rsidRPr="006034A4">
        <w:rPr>
          <w:rFonts w:ascii="Cambria" w:hAnsi="Cambria"/>
          <w:sz w:val="20"/>
          <w:szCs w:val="20"/>
          <w:lang w:val="es-PE"/>
        </w:rPr>
        <w:t xml:space="preserve"> </w:t>
      </w:r>
      <w:r w:rsidRPr="006034A4">
        <w:rPr>
          <w:rFonts w:ascii="Cambria" w:hAnsi="Cambria"/>
          <w:sz w:val="20"/>
          <w:szCs w:val="20"/>
          <w:lang w:val="es-PE"/>
        </w:rPr>
        <w:t>constituyó</w:t>
      </w:r>
      <w:r w:rsidR="004E2C91" w:rsidRPr="006034A4">
        <w:rPr>
          <w:rFonts w:ascii="Cambria" w:hAnsi="Cambria"/>
          <w:sz w:val="20"/>
          <w:szCs w:val="20"/>
          <w:lang w:val="es-PE"/>
        </w:rPr>
        <w:t xml:space="preserve"> un ejercicio legítimo del derecho a la libre expresión reconocido en el artículo 13 de </w:t>
      </w:r>
      <w:r w:rsidR="00126915">
        <w:rPr>
          <w:rFonts w:ascii="Cambria" w:hAnsi="Cambria"/>
          <w:sz w:val="20"/>
          <w:szCs w:val="20"/>
          <w:lang w:val="es-PE"/>
        </w:rPr>
        <w:t>la Convención Americana</w:t>
      </w:r>
      <w:r w:rsidR="004E2C91" w:rsidRPr="006034A4">
        <w:rPr>
          <w:rFonts w:ascii="Cambria" w:hAnsi="Cambria"/>
          <w:sz w:val="20"/>
          <w:szCs w:val="20"/>
          <w:lang w:val="es-PE"/>
        </w:rPr>
        <w:t xml:space="preserve">. En consecuencia, la </w:t>
      </w:r>
      <w:r w:rsidR="00982D9C" w:rsidRPr="006034A4">
        <w:rPr>
          <w:rFonts w:ascii="Cambria" w:hAnsi="Cambria"/>
          <w:sz w:val="20"/>
          <w:szCs w:val="20"/>
          <w:lang w:val="es-PE"/>
        </w:rPr>
        <w:t>CIDH</w:t>
      </w:r>
      <w:r w:rsidR="004E2C91" w:rsidRPr="006034A4">
        <w:rPr>
          <w:rFonts w:ascii="Cambria" w:hAnsi="Cambria"/>
          <w:sz w:val="20"/>
          <w:szCs w:val="20"/>
          <w:lang w:val="es-PE"/>
        </w:rPr>
        <w:t xml:space="preserve"> concluye que la medida de responsabilidad ulterior impuesta en el presente caso violó el derecho a la libertad de pensamiento y de expresión de los señores </w:t>
      </w:r>
      <w:r w:rsidR="00962407" w:rsidRPr="006034A4">
        <w:rPr>
          <w:rFonts w:ascii="Cambria" w:hAnsi="Cambria"/>
          <w:sz w:val="20"/>
          <w:szCs w:val="20"/>
          <w:lang w:val="es-PE"/>
        </w:rPr>
        <w:t>Ronald Moya Chacón y Freddy Parrales Chaves</w:t>
      </w:r>
      <w:r w:rsidR="004E2C91" w:rsidRPr="006034A4">
        <w:rPr>
          <w:rFonts w:ascii="Cambria" w:hAnsi="Cambria"/>
          <w:sz w:val="20"/>
          <w:szCs w:val="20"/>
          <w:lang w:val="es-PE"/>
        </w:rPr>
        <w:t>, reconocido en el artículo 13 de la Convención Americana, en relación con el artículo 1.1 del mismo instrumento.</w:t>
      </w:r>
      <w:r w:rsidR="00962407" w:rsidRPr="006034A4">
        <w:rPr>
          <w:rFonts w:ascii="Cambria" w:hAnsi="Cambria"/>
          <w:sz w:val="20"/>
          <w:szCs w:val="20"/>
          <w:lang w:val="es-PE"/>
        </w:rPr>
        <w:t xml:space="preserve"> Asimismo, concluye que el Estado violó los artículos 2 y 9 de la Convención Americana, en perjuicio de ambos periodistas.</w:t>
      </w:r>
    </w:p>
    <w:p w14:paraId="1CFF1532" w14:textId="77777777" w:rsidR="001F2D44" w:rsidRPr="00540E96" w:rsidRDefault="001F2D44" w:rsidP="00C5061E">
      <w:pPr>
        <w:pStyle w:val="Heading2"/>
        <w:numPr>
          <w:ilvl w:val="0"/>
          <w:numId w:val="0"/>
        </w:numPr>
        <w:spacing w:before="0" w:after="0"/>
        <w:jc w:val="both"/>
      </w:pPr>
      <w:bookmarkStart w:id="44" w:name="_Toc534905538"/>
      <w:bookmarkStart w:id="45" w:name="_Toc536024419"/>
      <w:bookmarkStart w:id="46" w:name="_Toc4417456"/>
    </w:p>
    <w:p w14:paraId="00DCE5C0" w14:textId="77777777" w:rsidR="00240F3F" w:rsidRPr="00540E96" w:rsidRDefault="00F15BDF" w:rsidP="00C5061E">
      <w:pPr>
        <w:pStyle w:val="Heading2"/>
        <w:numPr>
          <w:ilvl w:val="0"/>
          <w:numId w:val="57"/>
        </w:numPr>
        <w:spacing w:before="0" w:after="0"/>
        <w:ind w:left="0" w:firstLine="0"/>
        <w:jc w:val="both"/>
      </w:pPr>
      <w:bookmarkStart w:id="47" w:name="_Toc24542772"/>
      <w:r>
        <w:t>Derecho a las g</w:t>
      </w:r>
      <w:r w:rsidR="00240F3F" w:rsidRPr="00540E96">
        <w:t>arantías Judiciales (artículo 8)</w:t>
      </w:r>
      <w:bookmarkEnd w:id="44"/>
      <w:r w:rsidR="008E064C" w:rsidRPr="00540E96">
        <w:rPr>
          <w:rStyle w:val="FootnoteReference"/>
        </w:rPr>
        <w:footnoteReference w:id="116"/>
      </w:r>
      <w:bookmarkEnd w:id="45"/>
      <w:bookmarkEnd w:id="46"/>
      <w:r w:rsidR="00EA1496" w:rsidRPr="00540E96">
        <w:t xml:space="preserve"> y </w:t>
      </w:r>
      <w:r>
        <w:t xml:space="preserve">a la </w:t>
      </w:r>
      <w:r w:rsidR="00EA1496" w:rsidRPr="00540E96">
        <w:t>protección judicial</w:t>
      </w:r>
      <w:r w:rsidR="000E0243" w:rsidRPr="00540E96">
        <w:t xml:space="preserve"> </w:t>
      </w:r>
      <w:r w:rsidR="000E0243" w:rsidRPr="00540E96">
        <w:rPr>
          <w:lang w:val="es-PE"/>
        </w:rPr>
        <w:t>(artículo 25)</w:t>
      </w:r>
      <w:r w:rsidR="00DC417E" w:rsidRPr="00540E96">
        <w:rPr>
          <w:rStyle w:val="FootnoteReference"/>
        </w:rPr>
        <w:footnoteReference w:id="117"/>
      </w:r>
      <w:bookmarkEnd w:id="47"/>
    </w:p>
    <w:p w14:paraId="3566AE46" w14:textId="77777777" w:rsidR="00BC4F34" w:rsidRPr="00540E96" w:rsidRDefault="00BC4F34" w:rsidP="006D014B">
      <w:pPr>
        <w:jc w:val="both"/>
        <w:rPr>
          <w:rFonts w:ascii="Cambria" w:hAnsi="Cambria"/>
          <w:sz w:val="20"/>
          <w:szCs w:val="20"/>
          <w:lang w:val="es-ES_tradnl"/>
        </w:rPr>
      </w:pPr>
    </w:p>
    <w:p w14:paraId="3F387DC3" w14:textId="77777777" w:rsidR="00310709" w:rsidRPr="00540E96" w:rsidRDefault="006C12CF" w:rsidP="00404541">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US"/>
        </w:rPr>
      </w:pPr>
      <w:r w:rsidRPr="00540E96">
        <w:rPr>
          <w:rFonts w:ascii="Cambria" w:hAnsi="Cambria"/>
          <w:sz w:val="20"/>
          <w:szCs w:val="20"/>
          <w:lang w:val="es-ES_tradnl"/>
        </w:rPr>
        <w:t>La Comisión observa que los peticionarios no solicitaron a la CIDH que declare la</w:t>
      </w:r>
      <w:r w:rsidR="00E71AB6" w:rsidRPr="00540E96">
        <w:rPr>
          <w:rFonts w:ascii="Cambria" w:hAnsi="Cambria"/>
          <w:sz w:val="20"/>
          <w:szCs w:val="20"/>
          <w:lang w:val="es-ES_tradnl"/>
        </w:rPr>
        <w:t xml:space="preserve"> violación de los artículos 8 y</w:t>
      </w:r>
      <w:r w:rsidRPr="00540E96">
        <w:rPr>
          <w:rFonts w:ascii="Cambria" w:hAnsi="Cambria"/>
          <w:sz w:val="20"/>
          <w:szCs w:val="20"/>
          <w:lang w:val="es-ES_tradnl"/>
        </w:rPr>
        <w:t xml:space="preserve"> 25 de la Convención </w:t>
      </w:r>
      <w:r w:rsidR="00E71AB6" w:rsidRPr="00540E96">
        <w:rPr>
          <w:rFonts w:ascii="Cambria" w:hAnsi="Cambria"/>
          <w:sz w:val="20"/>
          <w:szCs w:val="20"/>
          <w:lang w:val="es-ES_tradnl"/>
        </w:rPr>
        <w:t>en su</w:t>
      </w:r>
      <w:r w:rsidRPr="00540E96">
        <w:rPr>
          <w:rFonts w:ascii="Cambria" w:hAnsi="Cambria"/>
          <w:sz w:val="20"/>
          <w:szCs w:val="20"/>
          <w:lang w:val="es-ES_tradnl"/>
        </w:rPr>
        <w:t xml:space="preserve"> petición inicial ni </w:t>
      </w:r>
      <w:r w:rsidR="00E71AB6" w:rsidRPr="00540E96">
        <w:rPr>
          <w:rFonts w:ascii="Cambria" w:hAnsi="Cambria"/>
          <w:sz w:val="20"/>
          <w:szCs w:val="20"/>
          <w:lang w:val="es-ES_tradnl"/>
        </w:rPr>
        <w:t xml:space="preserve">tampoco </w:t>
      </w:r>
      <w:r w:rsidRPr="00540E96">
        <w:rPr>
          <w:rFonts w:ascii="Cambria" w:hAnsi="Cambria"/>
          <w:sz w:val="20"/>
          <w:szCs w:val="20"/>
          <w:lang w:val="es-ES_tradnl"/>
        </w:rPr>
        <w:t xml:space="preserve">en escritos </w:t>
      </w:r>
      <w:r w:rsidR="00E71AB6" w:rsidRPr="00540E96">
        <w:rPr>
          <w:rFonts w:ascii="Cambria" w:hAnsi="Cambria"/>
          <w:sz w:val="20"/>
          <w:szCs w:val="20"/>
          <w:lang w:val="es-ES_tradnl"/>
        </w:rPr>
        <w:t>presentados posteriormente</w:t>
      </w:r>
      <w:r w:rsidR="00F15BDF">
        <w:rPr>
          <w:rFonts w:ascii="Cambria" w:hAnsi="Cambria"/>
          <w:sz w:val="20"/>
          <w:szCs w:val="20"/>
          <w:lang w:val="es-ES_tradnl"/>
        </w:rPr>
        <w:t xml:space="preserve"> durante la etapa de admisibilidad</w:t>
      </w:r>
      <w:r w:rsidRPr="00540E96">
        <w:rPr>
          <w:rFonts w:ascii="Cambria" w:hAnsi="Cambria"/>
          <w:sz w:val="20"/>
          <w:szCs w:val="20"/>
          <w:lang w:val="es-ES_tradnl"/>
        </w:rPr>
        <w:t xml:space="preserve">. Sin embargo, en el informe de admisibilidad la CIDH consideró </w:t>
      </w:r>
      <w:r w:rsidRPr="00540E96">
        <w:rPr>
          <w:rFonts w:ascii="Cambria" w:hAnsi="Cambria"/>
          <w:i/>
          <w:sz w:val="20"/>
          <w:szCs w:val="20"/>
          <w:lang w:val="es-ES_tradnl"/>
        </w:rPr>
        <w:t>prima facie</w:t>
      </w:r>
      <w:r w:rsidRPr="00540E96">
        <w:rPr>
          <w:rFonts w:ascii="Cambria" w:hAnsi="Cambria"/>
          <w:sz w:val="20"/>
          <w:szCs w:val="20"/>
          <w:lang w:val="es-ES_tradnl"/>
        </w:rPr>
        <w:t xml:space="preserve">, la caracterización de una posible violación de dichos derechos. </w:t>
      </w:r>
      <w:r w:rsidR="00F15BDF">
        <w:rPr>
          <w:rFonts w:ascii="Cambria" w:hAnsi="Cambria"/>
          <w:sz w:val="20"/>
          <w:szCs w:val="20"/>
          <w:lang w:val="es-ES_tradnl"/>
        </w:rPr>
        <w:t xml:space="preserve">Con base en ello, </w:t>
      </w:r>
      <w:r w:rsidR="00F15BDF" w:rsidRPr="00540E96">
        <w:rPr>
          <w:rFonts w:ascii="Cambria" w:hAnsi="Cambria"/>
          <w:sz w:val="20"/>
          <w:szCs w:val="20"/>
          <w:lang w:val="es-ES_tradnl"/>
        </w:rPr>
        <w:t>los peticionarios h</w:t>
      </w:r>
      <w:r w:rsidR="00F15BDF">
        <w:rPr>
          <w:rFonts w:ascii="Cambria" w:hAnsi="Cambria"/>
          <w:sz w:val="20"/>
          <w:szCs w:val="20"/>
          <w:lang w:val="es-ES_tradnl"/>
        </w:rPr>
        <w:t>i</w:t>
      </w:r>
      <w:r w:rsidR="00F15BDF" w:rsidRPr="00540E96">
        <w:rPr>
          <w:rFonts w:ascii="Cambria" w:hAnsi="Cambria"/>
          <w:sz w:val="20"/>
          <w:szCs w:val="20"/>
          <w:lang w:val="es-ES_tradnl"/>
        </w:rPr>
        <w:t>c</w:t>
      </w:r>
      <w:r w:rsidR="00F15BDF">
        <w:rPr>
          <w:rFonts w:ascii="Cambria" w:hAnsi="Cambria"/>
          <w:sz w:val="20"/>
          <w:szCs w:val="20"/>
          <w:lang w:val="es-ES_tradnl"/>
        </w:rPr>
        <w:t>ieron</w:t>
      </w:r>
      <w:r w:rsidR="00F15BDF" w:rsidRPr="00540E96">
        <w:rPr>
          <w:rFonts w:ascii="Cambria" w:hAnsi="Cambria"/>
          <w:sz w:val="20"/>
          <w:szCs w:val="20"/>
          <w:lang w:val="es-ES_tradnl"/>
        </w:rPr>
        <w:t xml:space="preserve"> una referencia genérica </w:t>
      </w:r>
      <w:r w:rsidR="00C53974">
        <w:rPr>
          <w:rFonts w:ascii="Cambria" w:hAnsi="Cambria"/>
          <w:sz w:val="20"/>
          <w:szCs w:val="20"/>
          <w:lang w:val="es-ES_tradnl"/>
        </w:rPr>
        <w:t>en sus</w:t>
      </w:r>
      <w:r w:rsidR="00C53974" w:rsidRPr="00540E96">
        <w:rPr>
          <w:rFonts w:ascii="Cambria" w:hAnsi="Cambria"/>
          <w:sz w:val="20"/>
          <w:szCs w:val="20"/>
          <w:lang w:val="es-ES_tradnl"/>
        </w:rPr>
        <w:t xml:space="preserve"> escritos de fondo</w:t>
      </w:r>
      <w:r w:rsidR="00C53974">
        <w:rPr>
          <w:rFonts w:ascii="Cambria" w:hAnsi="Cambria"/>
          <w:sz w:val="20"/>
          <w:szCs w:val="20"/>
          <w:lang w:val="es-ES_tradnl"/>
        </w:rPr>
        <w:t>,</w:t>
      </w:r>
      <w:r w:rsidR="00C53974" w:rsidRPr="00540E96">
        <w:rPr>
          <w:rFonts w:ascii="Cambria" w:hAnsi="Cambria"/>
          <w:sz w:val="20"/>
          <w:szCs w:val="20"/>
          <w:lang w:val="es-ES_tradnl"/>
        </w:rPr>
        <w:t xml:space="preserve"> </w:t>
      </w:r>
      <w:r w:rsidR="00F15BDF" w:rsidRPr="00540E96">
        <w:rPr>
          <w:rFonts w:ascii="Cambria" w:hAnsi="Cambria"/>
          <w:sz w:val="20"/>
          <w:szCs w:val="20"/>
          <w:lang w:val="es-ES_tradnl"/>
        </w:rPr>
        <w:t xml:space="preserve">a la Sentencia dictada por la Corte IDH en el </w:t>
      </w:r>
      <w:r w:rsidR="00F15BDF" w:rsidRPr="00540E96">
        <w:rPr>
          <w:rFonts w:ascii="Cambria" w:hAnsi="Cambria"/>
          <w:i/>
          <w:sz w:val="20"/>
          <w:szCs w:val="20"/>
          <w:lang w:val="es-US"/>
        </w:rPr>
        <w:t>caso</w:t>
      </w:r>
      <w:r w:rsidR="00F15BDF" w:rsidRPr="00540E96">
        <w:rPr>
          <w:rFonts w:ascii="Cambria" w:hAnsi="Cambria"/>
          <w:sz w:val="20"/>
          <w:szCs w:val="20"/>
          <w:lang w:val="es-US"/>
        </w:rPr>
        <w:t xml:space="preserve"> </w:t>
      </w:r>
      <w:r w:rsidR="00F15BDF" w:rsidRPr="00540E96">
        <w:rPr>
          <w:rFonts w:ascii="Cambria" w:hAnsi="Cambria"/>
          <w:i/>
          <w:sz w:val="20"/>
          <w:szCs w:val="20"/>
          <w:lang w:val="es-US"/>
        </w:rPr>
        <w:t xml:space="preserve">Herrera Ulloa Vs. </w:t>
      </w:r>
      <w:r w:rsidR="00F15BDF" w:rsidRPr="00540E96">
        <w:rPr>
          <w:rFonts w:ascii="Cambria" w:hAnsi="Cambria"/>
          <w:i/>
          <w:sz w:val="20"/>
          <w:szCs w:val="20"/>
          <w:lang w:val="es-US"/>
        </w:rPr>
        <w:lastRenderedPageBreak/>
        <w:t>Costa Rica</w:t>
      </w:r>
      <w:r w:rsidR="00F15BDF" w:rsidRPr="00540E96">
        <w:rPr>
          <w:rFonts w:ascii="Cambria" w:hAnsi="Cambria"/>
          <w:sz w:val="20"/>
          <w:szCs w:val="20"/>
          <w:lang w:val="es-US"/>
        </w:rPr>
        <w:t xml:space="preserve">, </w:t>
      </w:r>
      <w:r w:rsidR="00C53974">
        <w:rPr>
          <w:rFonts w:ascii="Cambria" w:hAnsi="Cambria"/>
          <w:sz w:val="20"/>
          <w:szCs w:val="20"/>
          <w:lang w:val="es-US"/>
        </w:rPr>
        <w:t>y consideraron</w:t>
      </w:r>
      <w:r w:rsidR="00F15BDF" w:rsidRPr="00540E96">
        <w:rPr>
          <w:rFonts w:ascii="Cambria" w:hAnsi="Cambria"/>
          <w:sz w:val="20"/>
          <w:szCs w:val="20"/>
          <w:lang w:val="es-US"/>
        </w:rPr>
        <w:t xml:space="preserve"> que la violación del artículo 8.2.h </w:t>
      </w:r>
      <w:r w:rsidR="00F15BDF">
        <w:rPr>
          <w:rFonts w:ascii="Cambria" w:hAnsi="Cambria"/>
          <w:sz w:val="20"/>
          <w:szCs w:val="20"/>
          <w:lang w:val="es-US"/>
        </w:rPr>
        <w:t>en este caso</w:t>
      </w:r>
      <w:r w:rsidR="00C53974">
        <w:rPr>
          <w:rFonts w:ascii="Cambria" w:hAnsi="Cambria"/>
          <w:sz w:val="20"/>
          <w:szCs w:val="20"/>
          <w:lang w:val="es-US"/>
        </w:rPr>
        <w:t xml:space="preserve">, </w:t>
      </w:r>
      <w:r w:rsidR="00F15BDF" w:rsidRPr="00540E96">
        <w:rPr>
          <w:rFonts w:ascii="Cambria" w:hAnsi="Cambria"/>
          <w:sz w:val="20"/>
          <w:szCs w:val="20"/>
          <w:lang w:val="es-US"/>
        </w:rPr>
        <w:t xml:space="preserve">se centró en </w:t>
      </w:r>
      <w:r w:rsidR="00C53974">
        <w:rPr>
          <w:rFonts w:ascii="Cambria" w:hAnsi="Cambria"/>
          <w:sz w:val="20"/>
          <w:szCs w:val="20"/>
          <w:lang w:val="es-US"/>
        </w:rPr>
        <w:t>que</w:t>
      </w:r>
      <w:r w:rsidR="00F15BDF" w:rsidRPr="00540E96">
        <w:rPr>
          <w:rFonts w:ascii="Cambria" w:hAnsi="Cambria"/>
          <w:sz w:val="20"/>
          <w:szCs w:val="20"/>
          <w:lang w:val="es-US"/>
        </w:rPr>
        <w:t xml:space="preserve"> en el momento de los hechos</w:t>
      </w:r>
      <w:r w:rsidR="00C53974">
        <w:rPr>
          <w:rFonts w:ascii="Cambria" w:hAnsi="Cambria"/>
          <w:sz w:val="20"/>
          <w:szCs w:val="20"/>
          <w:lang w:val="es-US"/>
        </w:rPr>
        <w:t>,</w:t>
      </w:r>
      <w:r w:rsidR="00F15BDF" w:rsidRPr="00540E96">
        <w:rPr>
          <w:rFonts w:ascii="Cambria" w:hAnsi="Cambria"/>
          <w:sz w:val="20"/>
          <w:szCs w:val="20"/>
          <w:lang w:val="es-US"/>
        </w:rPr>
        <w:t xml:space="preserve"> </w:t>
      </w:r>
      <w:r w:rsidR="00C53974">
        <w:rPr>
          <w:rFonts w:ascii="Cambria" w:hAnsi="Cambria"/>
          <w:sz w:val="20"/>
          <w:szCs w:val="20"/>
          <w:lang w:val="es-US"/>
        </w:rPr>
        <w:t xml:space="preserve">no existía un recurso de apelación en Costa Rica, sino </w:t>
      </w:r>
      <w:r w:rsidR="00F15BDF" w:rsidRPr="00540E96">
        <w:rPr>
          <w:rFonts w:ascii="Cambria" w:hAnsi="Cambria"/>
          <w:sz w:val="20"/>
          <w:szCs w:val="20"/>
          <w:lang w:val="es-US"/>
        </w:rPr>
        <w:t xml:space="preserve">solo </w:t>
      </w:r>
      <w:r w:rsidR="00C53974">
        <w:rPr>
          <w:rFonts w:ascii="Cambria" w:hAnsi="Cambria"/>
          <w:sz w:val="20"/>
          <w:szCs w:val="20"/>
          <w:lang w:val="es-US"/>
        </w:rPr>
        <w:t>un</w:t>
      </w:r>
      <w:r w:rsidR="00F15BDF" w:rsidRPr="00540E96">
        <w:rPr>
          <w:rFonts w:ascii="Cambria" w:hAnsi="Cambria"/>
          <w:sz w:val="20"/>
          <w:szCs w:val="20"/>
          <w:lang w:val="es-US"/>
        </w:rPr>
        <w:t xml:space="preserve"> recurso de casación</w:t>
      </w:r>
      <w:r w:rsidR="00C53974">
        <w:rPr>
          <w:rFonts w:ascii="Cambria" w:hAnsi="Cambria"/>
          <w:sz w:val="20"/>
          <w:szCs w:val="20"/>
          <w:lang w:val="es-US"/>
        </w:rPr>
        <w:t xml:space="preserve">. </w:t>
      </w:r>
      <w:r w:rsidR="00DF3385" w:rsidRPr="00540E96">
        <w:rPr>
          <w:rFonts w:ascii="Cambria" w:hAnsi="Cambria"/>
          <w:sz w:val="20"/>
          <w:szCs w:val="20"/>
          <w:lang w:val="es-US"/>
        </w:rPr>
        <w:t xml:space="preserve">La CIDH </w:t>
      </w:r>
      <w:r w:rsidR="007E4D03" w:rsidRPr="00540E96">
        <w:rPr>
          <w:rFonts w:ascii="Cambria" w:hAnsi="Cambria"/>
          <w:sz w:val="20"/>
          <w:szCs w:val="20"/>
          <w:lang w:val="es-US"/>
        </w:rPr>
        <w:t>considera</w:t>
      </w:r>
      <w:r w:rsidR="00C53974">
        <w:rPr>
          <w:rFonts w:ascii="Cambria" w:hAnsi="Cambria"/>
          <w:sz w:val="20"/>
          <w:szCs w:val="20"/>
          <w:lang w:val="es-US"/>
        </w:rPr>
        <w:t xml:space="preserve"> que </w:t>
      </w:r>
      <w:r w:rsidR="00C53974">
        <w:rPr>
          <w:rFonts w:ascii="Cambria" w:hAnsi="Cambria"/>
          <w:sz w:val="20"/>
          <w:szCs w:val="20"/>
          <w:lang w:val="es-ES_tradnl"/>
        </w:rPr>
        <w:t xml:space="preserve">los peticionarios no </w:t>
      </w:r>
      <w:r w:rsidR="00C53974" w:rsidRPr="00540E96">
        <w:rPr>
          <w:rFonts w:ascii="Cambria" w:hAnsi="Cambria"/>
          <w:sz w:val="20"/>
          <w:szCs w:val="20"/>
          <w:lang w:val="es-ES_tradnl"/>
        </w:rPr>
        <w:t xml:space="preserve">presentaron argumentos suficientes que permitan </w:t>
      </w:r>
      <w:r w:rsidR="00C53974">
        <w:rPr>
          <w:rFonts w:ascii="Cambria" w:hAnsi="Cambria"/>
          <w:sz w:val="20"/>
          <w:szCs w:val="20"/>
          <w:lang w:val="es-ES_tradnl"/>
        </w:rPr>
        <w:t xml:space="preserve">dilucidar </w:t>
      </w:r>
      <w:r w:rsidR="00C53974" w:rsidRPr="00540E96">
        <w:rPr>
          <w:rFonts w:ascii="Cambria" w:hAnsi="Cambria"/>
          <w:sz w:val="20"/>
          <w:szCs w:val="20"/>
          <w:lang w:val="es-ES_tradnl"/>
        </w:rPr>
        <w:t>en qué consistiría la violación de estos derechos</w:t>
      </w:r>
      <w:r w:rsidR="00C53974" w:rsidRPr="00303886">
        <w:rPr>
          <w:rFonts w:ascii="Cambria" w:hAnsi="Cambria"/>
          <w:sz w:val="20"/>
          <w:szCs w:val="20"/>
          <w:lang w:val="es-ES_tradnl"/>
        </w:rPr>
        <w:t>, ya que</w:t>
      </w:r>
      <w:r w:rsidR="00DF3385" w:rsidRPr="00303886">
        <w:rPr>
          <w:rFonts w:ascii="Cambria" w:hAnsi="Cambria"/>
          <w:sz w:val="20"/>
          <w:szCs w:val="20"/>
          <w:lang w:val="es-US"/>
        </w:rPr>
        <w:t xml:space="preserve"> dicha argumentación no sustent</w:t>
      </w:r>
      <w:r w:rsidR="00303886" w:rsidRPr="00CD5726">
        <w:rPr>
          <w:rFonts w:ascii="Cambria" w:hAnsi="Cambria"/>
          <w:sz w:val="20"/>
          <w:szCs w:val="20"/>
          <w:lang w:val="es-US"/>
        </w:rPr>
        <w:t>ó</w:t>
      </w:r>
      <w:r w:rsidR="00DF3385" w:rsidRPr="00303886">
        <w:rPr>
          <w:rFonts w:ascii="Cambria" w:hAnsi="Cambria"/>
          <w:sz w:val="20"/>
          <w:szCs w:val="20"/>
          <w:lang w:val="es-US"/>
        </w:rPr>
        <w:t xml:space="preserve"> de forma sólida de qué manera en este caso concreto, el recurso de casación </w:t>
      </w:r>
      <w:r w:rsidR="00726B9A" w:rsidRPr="00F21552">
        <w:rPr>
          <w:rFonts w:ascii="Cambria" w:hAnsi="Cambria"/>
          <w:sz w:val="20"/>
          <w:szCs w:val="20"/>
          <w:lang w:val="es-US"/>
        </w:rPr>
        <w:t xml:space="preserve">interpuesto de conformidad con la normativa vigente en aquel </w:t>
      </w:r>
      <w:r w:rsidR="000E3A6A" w:rsidRPr="00DD5036">
        <w:rPr>
          <w:rFonts w:ascii="Cambria" w:hAnsi="Cambria"/>
          <w:sz w:val="20"/>
          <w:szCs w:val="20"/>
          <w:lang w:val="es-US"/>
        </w:rPr>
        <w:t>momento</w:t>
      </w:r>
      <w:r w:rsidR="00726B9A" w:rsidRPr="00CD5726">
        <w:rPr>
          <w:rFonts w:ascii="Cambria" w:hAnsi="Cambria"/>
          <w:sz w:val="20"/>
          <w:szCs w:val="20"/>
          <w:lang w:val="es-US"/>
        </w:rPr>
        <w:t xml:space="preserve"> </w:t>
      </w:r>
      <w:r w:rsidR="00DF3385" w:rsidRPr="00CD5726">
        <w:rPr>
          <w:rFonts w:ascii="Cambria" w:hAnsi="Cambria"/>
          <w:sz w:val="20"/>
          <w:szCs w:val="20"/>
          <w:lang w:val="es-US"/>
        </w:rPr>
        <w:t>no garantizó el derecho de recurrir el fallo, máxime cuando la sentencia no estableció una condena penal sino</w:t>
      </w:r>
      <w:r w:rsidR="007E4D03" w:rsidRPr="00CD5726">
        <w:rPr>
          <w:rFonts w:ascii="Cambria" w:hAnsi="Cambria"/>
          <w:sz w:val="20"/>
          <w:szCs w:val="20"/>
          <w:lang w:val="es-US"/>
        </w:rPr>
        <w:t xml:space="preserve"> </w:t>
      </w:r>
      <w:r w:rsidR="00DF3385" w:rsidRPr="00CD5726">
        <w:rPr>
          <w:rFonts w:ascii="Cambria" w:hAnsi="Cambria"/>
          <w:sz w:val="20"/>
          <w:szCs w:val="20"/>
          <w:lang w:val="es-US"/>
        </w:rPr>
        <w:t>una sanción de contenido civil.</w:t>
      </w:r>
      <w:r w:rsidR="00303886" w:rsidRPr="00CD5726">
        <w:rPr>
          <w:rFonts w:ascii="Cambria" w:hAnsi="Cambria"/>
          <w:sz w:val="20"/>
          <w:szCs w:val="20"/>
          <w:lang w:val="es-US"/>
        </w:rPr>
        <w:t xml:space="preserve"> </w:t>
      </w:r>
      <w:r w:rsidR="00DF3385" w:rsidRPr="00CD5726">
        <w:rPr>
          <w:rFonts w:ascii="Cambria" w:hAnsi="Cambria"/>
          <w:sz w:val="20"/>
          <w:szCs w:val="20"/>
          <w:lang w:val="es-US"/>
        </w:rPr>
        <w:t>Los peticionarios</w:t>
      </w:r>
      <w:r w:rsidR="00DF3385" w:rsidRPr="00540E96">
        <w:rPr>
          <w:rFonts w:ascii="Cambria" w:hAnsi="Cambria"/>
          <w:sz w:val="20"/>
          <w:szCs w:val="20"/>
          <w:lang w:val="es-US"/>
        </w:rPr>
        <w:t xml:space="preserve"> tampoco </w:t>
      </w:r>
      <w:r w:rsidR="007E4D03" w:rsidRPr="00540E96">
        <w:rPr>
          <w:rFonts w:ascii="Cambria" w:hAnsi="Cambria"/>
          <w:sz w:val="20"/>
          <w:szCs w:val="20"/>
          <w:lang w:val="es-US"/>
        </w:rPr>
        <w:t>brindaron información respecto a si tuvieron la oportunidad de interponer el recurso de apelación creado en el año 2010 por el Estado</w:t>
      </w:r>
      <w:r w:rsidR="007A024C" w:rsidRPr="00540E96">
        <w:rPr>
          <w:rFonts w:ascii="Cambria" w:hAnsi="Cambria"/>
          <w:sz w:val="20"/>
          <w:szCs w:val="20"/>
          <w:lang w:val="es-US"/>
        </w:rPr>
        <w:t xml:space="preserve"> (vigente desde el 9 de diciembre de 2011)</w:t>
      </w:r>
      <w:r w:rsidR="007E4D03" w:rsidRPr="00540E96">
        <w:rPr>
          <w:rFonts w:ascii="Cambria" w:hAnsi="Cambria"/>
          <w:sz w:val="20"/>
          <w:szCs w:val="20"/>
          <w:lang w:val="es-US"/>
        </w:rPr>
        <w:t xml:space="preserve">, y si dicho recurso resultó efectivo en el caso concreto. Por otro lado, la Comisión nota </w:t>
      </w:r>
      <w:r w:rsidR="000E3A6A" w:rsidRPr="00540E96">
        <w:rPr>
          <w:rFonts w:ascii="Cambria" w:hAnsi="Cambria"/>
          <w:sz w:val="20"/>
          <w:szCs w:val="20"/>
          <w:lang w:val="es-US"/>
        </w:rPr>
        <w:t>que,</w:t>
      </w:r>
      <w:r w:rsidR="007E4D03" w:rsidRPr="00540E96">
        <w:rPr>
          <w:rFonts w:ascii="Cambria" w:hAnsi="Cambria"/>
          <w:sz w:val="20"/>
          <w:szCs w:val="20"/>
          <w:lang w:val="es-US"/>
        </w:rPr>
        <w:t xml:space="preserve"> de conformidad con la legislación interna, los jueces penales tenían la facultad de dictar una sanción de contenido civil en el marco de un proceso penal, y que el órgano competente en caso de la interposición de un recurso</w:t>
      </w:r>
      <w:r w:rsidR="003A7B30" w:rsidRPr="00540E96">
        <w:rPr>
          <w:rFonts w:ascii="Cambria" w:hAnsi="Cambria"/>
          <w:sz w:val="20"/>
          <w:szCs w:val="20"/>
          <w:lang w:val="es-US"/>
        </w:rPr>
        <w:t xml:space="preserve"> </w:t>
      </w:r>
      <w:r w:rsidR="007E4D03" w:rsidRPr="00540E96">
        <w:rPr>
          <w:rFonts w:ascii="Cambria" w:hAnsi="Cambria"/>
          <w:sz w:val="20"/>
          <w:szCs w:val="20"/>
          <w:lang w:val="es-US"/>
        </w:rPr>
        <w:t xml:space="preserve">era la </w:t>
      </w:r>
      <w:r w:rsidR="00366EB6" w:rsidRPr="00540E96">
        <w:rPr>
          <w:rFonts w:ascii="Cambria" w:hAnsi="Cambria"/>
          <w:sz w:val="20"/>
          <w:szCs w:val="20"/>
          <w:lang w:val="es-US"/>
        </w:rPr>
        <w:t>Sala de Casación Penal. A</w:t>
      </w:r>
      <w:r w:rsidR="003A7B30" w:rsidRPr="00540E96">
        <w:rPr>
          <w:rFonts w:ascii="Cambria" w:hAnsi="Cambria"/>
          <w:sz w:val="20"/>
          <w:szCs w:val="20"/>
          <w:lang w:val="es-US"/>
        </w:rPr>
        <w:t>l respecto, los peticionarios tampoco</w:t>
      </w:r>
      <w:r w:rsidR="00366EB6" w:rsidRPr="00540E96">
        <w:rPr>
          <w:rFonts w:ascii="Cambria" w:hAnsi="Cambria"/>
          <w:sz w:val="20"/>
          <w:szCs w:val="20"/>
          <w:lang w:val="es-US"/>
        </w:rPr>
        <w:t xml:space="preserve"> </w:t>
      </w:r>
      <w:r w:rsidR="00DF3385" w:rsidRPr="00540E96">
        <w:rPr>
          <w:rFonts w:ascii="Cambria" w:hAnsi="Cambria"/>
          <w:sz w:val="20"/>
          <w:szCs w:val="20"/>
          <w:lang w:val="es-US"/>
        </w:rPr>
        <w:t>argumentaron en qu</w:t>
      </w:r>
      <w:r w:rsidR="00366EB6" w:rsidRPr="00540E96">
        <w:rPr>
          <w:rFonts w:ascii="Cambria" w:hAnsi="Cambria"/>
          <w:sz w:val="20"/>
          <w:szCs w:val="20"/>
          <w:lang w:val="es-US"/>
        </w:rPr>
        <w:t>é sentido el hecho de que un órgano penal superior decid</w:t>
      </w:r>
      <w:r w:rsidR="00C53974">
        <w:rPr>
          <w:rFonts w:ascii="Cambria" w:hAnsi="Cambria"/>
          <w:sz w:val="20"/>
          <w:szCs w:val="20"/>
          <w:lang w:val="es-US"/>
        </w:rPr>
        <w:t>iera</w:t>
      </w:r>
      <w:r w:rsidR="00366EB6" w:rsidRPr="00540E96">
        <w:rPr>
          <w:rFonts w:ascii="Cambria" w:hAnsi="Cambria"/>
          <w:sz w:val="20"/>
          <w:szCs w:val="20"/>
          <w:lang w:val="es-US"/>
        </w:rPr>
        <w:t xml:space="preserve"> un recurso de casaci</w:t>
      </w:r>
      <w:r w:rsidR="003A7B30" w:rsidRPr="00540E96">
        <w:rPr>
          <w:rFonts w:ascii="Cambria" w:hAnsi="Cambria"/>
          <w:sz w:val="20"/>
          <w:szCs w:val="20"/>
          <w:lang w:val="es-US"/>
        </w:rPr>
        <w:t>ón interpuesto con motivo de</w:t>
      </w:r>
      <w:r w:rsidR="00366EB6" w:rsidRPr="00540E96">
        <w:rPr>
          <w:rFonts w:ascii="Cambria" w:hAnsi="Cambria"/>
          <w:sz w:val="20"/>
          <w:szCs w:val="20"/>
          <w:lang w:val="es-US"/>
        </w:rPr>
        <w:t xml:space="preserve"> una </w:t>
      </w:r>
      <w:r w:rsidR="003A7B30" w:rsidRPr="00540E96">
        <w:rPr>
          <w:rFonts w:ascii="Cambria" w:hAnsi="Cambria"/>
          <w:sz w:val="20"/>
          <w:szCs w:val="20"/>
          <w:lang w:val="es-US"/>
        </w:rPr>
        <w:t>sanción</w:t>
      </w:r>
      <w:r w:rsidR="00366EB6" w:rsidRPr="00540E96">
        <w:rPr>
          <w:rFonts w:ascii="Cambria" w:hAnsi="Cambria"/>
          <w:sz w:val="20"/>
          <w:szCs w:val="20"/>
          <w:lang w:val="es-US"/>
        </w:rPr>
        <w:t xml:space="preserve"> civil vulneró las garantías judiciales y protección judicial de los periodistas.</w:t>
      </w:r>
    </w:p>
    <w:p w14:paraId="753D67F8" w14:textId="77777777" w:rsidR="00366EB6" w:rsidRPr="00540E96" w:rsidRDefault="00366EB6" w:rsidP="006D014B">
      <w:pPr>
        <w:jc w:val="both"/>
        <w:rPr>
          <w:rFonts w:ascii="Cambria" w:hAnsi="Cambria"/>
          <w:sz w:val="20"/>
          <w:szCs w:val="20"/>
          <w:lang w:val="es-US"/>
        </w:rPr>
      </w:pPr>
    </w:p>
    <w:p w14:paraId="4FCA95E5" w14:textId="77777777" w:rsidR="00310709" w:rsidRPr="00540E96" w:rsidRDefault="00366EB6" w:rsidP="00404541">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_tradnl"/>
        </w:rPr>
      </w:pPr>
      <w:r w:rsidRPr="00540E96">
        <w:rPr>
          <w:rFonts w:ascii="Cambria" w:hAnsi="Cambria"/>
          <w:sz w:val="20"/>
          <w:szCs w:val="20"/>
          <w:lang w:val="es-US"/>
        </w:rPr>
        <w:t>Por lo antes señalado, l</w:t>
      </w:r>
      <w:r w:rsidR="00310709" w:rsidRPr="00540E96">
        <w:rPr>
          <w:rFonts w:ascii="Cambria" w:hAnsi="Cambria" w:cs="Arial"/>
          <w:bCs/>
          <w:sz w:val="20"/>
          <w:szCs w:val="20"/>
          <w:lang w:val="es-CO"/>
        </w:rPr>
        <w:t>a Comisión concluye que no cuenta con elementos suficientes para determinar que el Estado de Costa Rica violó los artículos 8.2.h (garantías judiciales) y 25.1 (protección judicial) de la Convención Americana</w:t>
      </w:r>
      <w:r w:rsidRPr="00540E96">
        <w:rPr>
          <w:rFonts w:ascii="Cambria" w:hAnsi="Cambria" w:cs="Arial"/>
          <w:bCs/>
          <w:sz w:val="20"/>
          <w:szCs w:val="20"/>
          <w:lang w:val="es-CO"/>
        </w:rPr>
        <w:t xml:space="preserve"> en perjuicio de Ronald Moya Chacón y Freddy Parrales Chaves.</w:t>
      </w:r>
    </w:p>
    <w:p w14:paraId="29E55553" w14:textId="77777777" w:rsidR="004F3357" w:rsidRPr="00540E96" w:rsidRDefault="004F3357" w:rsidP="006D014B">
      <w:pPr>
        <w:pStyle w:val="NoSpacing"/>
        <w:spacing w:before="0" w:after="0"/>
        <w:ind w:firstLine="0"/>
        <w:rPr>
          <w:szCs w:val="20"/>
          <w:lang w:val="es-VE"/>
        </w:rPr>
      </w:pPr>
    </w:p>
    <w:p w14:paraId="5E07108A" w14:textId="77777777" w:rsidR="00E464AC" w:rsidRPr="00540E96" w:rsidRDefault="00E464AC" w:rsidP="006D014B">
      <w:pPr>
        <w:pStyle w:val="Heading1"/>
        <w:rPr>
          <w:lang w:val="es-CO"/>
        </w:rPr>
      </w:pPr>
      <w:bookmarkStart w:id="48" w:name="_Toc534905542"/>
      <w:bookmarkStart w:id="49" w:name="_Toc4417464"/>
      <w:bookmarkStart w:id="50" w:name="_Toc24542773"/>
      <w:r w:rsidRPr="00540E96">
        <w:rPr>
          <w:lang w:val="es-CO"/>
        </w:rPr>
        <w:t>CONCLUSIONES</w:t>
      </w:r>
      <w:bookmarkEnd w:id="48"/>
      <w:bookmarkEnd w:id="49"/>
      <w:bookmarkEnd w:id="50"/>
    </w:p>
    <w:p w14:paraId="50127199" w14:textId="77777777" w:rsidR="004F3357" w:rsidRPr="00540E96" w:rsidRDefault="004F3357" w:rsidP="006D014B">
      <w:pPr>
        <w:jc w:val="both"/>
        <w:rPr>
          <w:rFonts w:ascii="Cambria" w:hAnsi="Cambria"/>
          <w:sz w:val="20"/>
          <w:szCs w:val="20"/>
          <w:lang w:val="es-CO"/>
        </w:rPr>
      </w:pPr>
    </w:p>
    <w:p w14:paraId="6E9CD0E6" w14:textId="77777777" w:rsidR="0024056B" w:rsidRPr="00540E96" w:rsidRDefault="00E464AC" w:rsidP="00404541">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r w:rsidRPr="00540E96">
        <w:rPr>
          <w:rFonts w:ascii="Cambria" w:hAnsi="Cambria"/>
          <w:sz w:val="20"/>
          <w:szCs w:val="20"/>
          <w:lang w:val="es-VE"/>
        </w:rPr>
        <w:t>Con</w:t>
      </w:r>
      <w:r w:rsidRPr="00540E96">
        <w:rPr>
          <w:rFonts w:ascii="Cambria" w:hAnsi="Cambria"/>
          <w:sz w:val="20"/>
          <w:szCs w:val="20"/>
          <w:lang w:val="es-CL"/>
        </w:rPr>
        <w:t xml:space="preserve"> base en las consideraciones de hecho y de derecho contenidas en el presente informe, l</w:t>
      </w:r>
      <w:r w:rsidRPr="00540E96">
        <w:rPr>
          <w:rFonts w:ascii="Cambria" w:hAnsi="Cambria"/>
          <w:sz w:val="20"/>
          <w:szCs w:val="20"/>
          <w:lang w:val="es-ES"/>
        </w:rPr>
        <w:t xml:space="preserve">a CIDH concluye que el Estado de </w:t>
      </w:r>
      <w:r w:rsidR="00C42AC3" w:rsidRPr="00540E96">
        <w:rPr>
          <w:rFonts w:ascii="Cambria" w:hAnsi="Cambria"/>
          <w:sz w:val="20"/>
          <w:szCs w:val="20"/>
          <w:lang w:val="es-ES"/>
        </w:rPr>
        <w:t>Costa Rica</w:t>
      </w:r>
      <w:r w:rsidR="0024056B" w:rsidRPr="00540E96">
        <w:rPr>
          <w:rFonts w:ascii="Cambria" w:hAnsi="Cambria"/>
          <w:sz w:val="20"/>
          <w:szCs w:val="20"/>
          <w:lang w:val="es-ES"/>
        </w:rPr>
        <w:t xml:space="preserve"> violó, en perjuicio de</w:t>
      </w:r>
      <w:r w:rsidR="000E1453" w:rsidRPr="00540E96">
        <w:rPr>
          <w:rFonts w:ascii="Cambria" w:hAnsi="Cambria"/>
          <w:sz w:val="20"/>
          <w:szCs w:val="20"/>
          <w:lang w:val="es-ES"/>
        </w:rPr>
        <w:t xml:space="preserve"> los periodistas Ronald Moya Chacón y Freddy Parrales Chaves</w:t>
      </w:r>
      <w:r w:rsidR="0024056B" w:rsidRPr="00540E96">
        <w:rPr>
          <w:rFonts w:ascii="Cambria" w:hAnsi="Cambria"/>
          <w:sz w:val="20"/>
          <w:szCs w:val="20"/>
          <w:lang w:val="es-ES"/>
        </w:rPr>
        <w:t>,</w:t>
      </w:r>
      <w:r w:rsidR="0024056B" w:rsidRPr="00540E96">
        <w:rPr>
          <w:rFonts w:ascii="Cambria" w:hAnsi="Cambria" w:cs="Arial"/>
          <w:bCs/>
          <w:sz w:val="20"/>
          <w:szCs w:val="20"/>
          <w:lang w:val="es-CO"/>
        </w:rPr>
        <w:t xml:space="preserve"> los derechos reconocidos en los artículos 13 (libertad de pensamiento y expresión)</w:t>
      </w:r>
      <w:r w:rsidR="00366EB6" w:rsidRPr="00540E96">
        <w:rPr>
          <w:rFonts w:ascii="Cambria" w:hAnsi="Cambria" w:cs="Arial"/>
          <w:bCs/>
          <w:sz w:val="20"/>
          <w:szCs w:val="20"/>
          <w:lang w:val="es-CO"/>
        </w:rPr>
        <w:t>, y</w:t>
      </w:r>
      <w:r w:rsidR="0024056B" w:rsidRPr="00540E96">
        <w:rPr>
          <w:rFonts w:ascii="Cambria" w:hAnsi="Cambria" w:cs="Arial"/>
          <w:bCs/>
          <w:sz w:val="20"/>
          <w:szCs w:val="20"/>
          <w:lang w:val="es-CO"/>
        </w:rPr>
        <w:t xml:space="preserve"> 9 (principio de legalidad y retroactividad) de la Convención Americana, en relación con los artículos 1.1 (obligación de respetar los derechos) y 2 (deber de adoptar disposiciones de derecho </w:t>
      </w:r>
      <w:r w:rsidR="00310709" w:rsidRPr="00540E96">
        <w:rPr>
          <w:rFonts w:ascii="Cambria" w:hAnsi="Cambria" w:cs="Arial"/>
          <w:bCs/>
          <w:sz w:val="20"/>
          <w:szCs w:val="20"/>
          <w:lang w:val="es-CO"/>
        </w:rPr>
        <w:t xml:space="preserve">interno) de dicho instrumento. </w:t>
      </w:r>
      <w:r w:rsidR="005C3A26" w:rsidRPr="00540E96">
        <w:rPr>
          <w:rFonts w:ascii="Cambria" w:hAnsi="Cambria" w:cs="Arial"/>
          <w:bCs/>
          <w:sz w:val="20"/>
          <w:szCs w:val="20"/>
          <w:lang w:val="es-CO"/>
        </w:rPr>
        <w:t xml:space="preserve">Asimismo, la Comisión </w:t>
      </w:r>
      <w:r w:rsidR="006E5A07" w:rsidRPr="00540E96">
        <w:rPr>
          <w:rFonts w:ascii="Cambria" w:hAnsi="Cambria" w:cs="Arial"/>
          <w:bCs/>
          <w:sz w:val="20"/>
          <w:szCs w:val="20"/>
          <w:lang w:val="es-CO"/>
        </w:rPr>
        <w:t xml:space="preserve">concluye </w:t>
      </w:r>
      <w:r w:rsidR="005C3A26" w:rsidRPr="00540E96">
        <w:rPr>
          <w:rFonts w:ascii="Cambria" w:hAnsi="Cambria" w:cs="Arial"/>
          <w:bCs/>
          <w:sz w:val="20"/>
          <w:szCs w:val="20"/>
          <w:lang w:val="es-CO"/>
        </w:rPr>
        <w:t xml:space="preserve">que no </w:t>
      </w:r>
      <w:r w:rsidR="00FF2D83" w:rsidRPr="00540E96">
        <w:rPr>
          <w:rFonts w:ascii="Cambria" w:hAnsi="Cambria" w:cs="Arial"/>
          <w:bCs/>
          <w:sz w:val="20"/>
          <w:szCs w:val="20"/>
          <w:lang w:val="es-CO"/>
        </w:rPr>
        <w:t>cuenta con elementos suficientes para determinar</w:t>
      </w:r>
      <w:r w:rsidR="00E344E8" w:rsidRPr="00540E96">
        <w:rPr>
          <w:rFonts w:ascii="Cambria" w:hAnsi="Cambria" w:cs="Arial"/>
          <w:bCs/>
          <w:sz w:val="20"/>
          <w:szCs w:val="20"/>
          <w:lang w:val="es-CO"/>
        </w:rPr>
        <w:t xml:space="preserve"> que el Estado de Costa Rica</w:t>
      </w:r>
      <w:r w:rsidR="00FF2D83" w:rsidRPr="00540E96">
        <w:rPr>
          <w:rFonts w:ascii="Cambria" w:hAnsi="Cambria" w:cs="Arial"/>
          <w:bCs/>
          <w:sz w:val="20"/>
          <w:szCs w:val="20"/>
          <w:lang w:val="es-CO"/>
        </w:rPr>
        <w:t xml:space="preserve"> </w:t>
      </w:r>
      <w:r w:rsidR="00E344E8" w:rsidRPr="00540E96">
        <w:rPr>
          <w:rFonts w:ascii="Cambria" w:hAnsi="Cambria" w:cs="Arial"/>
          <w:bCs/>
          <w:sz w:val="20"/>
          <w:szCs w:val="20"/>
          <w:lang w:val="es-CO"/>
        </w:rPr>
        <w:t>v</w:t>
      </w:r>
      <w:r w:rsidR="0086703F" w:rsidRPr="00540E96">
        <w:rPr>
          <w:rFonts w:ascii="Cambria" w:hAnsi="Cambria" w:cs="Arial"/>
          <w:bCs/>
          <w:sz w:val="20"/>
          <w:szCs w:val="20"/>
          <w:lang w:val="es-CO"/>
        </w:rPr>
        <w:t xml:space="preserve">ioló </w:t>
      </w:r>
      <w:r w:rsidR="00FF2D83" w:rsidRPr="00540E96">
        <w:rPr>
          <w:rFonts w:ascii="Cambria" w:hAnsi="Cambria" w:cs="Arial"/>
          <w:bCs/>
          <w:sz w:val="20"/>
          <w:szCs w:val="20"/>
          <w:lang w:val="es-CO"/>
        </w:rPr>
        <w:t>los artículos 8</w:t>
      </w:r>
      <w:r w:rsidR="00310709" w:rsidRPr="00540E96">
        <w:rPr>
          <w:rFonts w:ascii="Cambria" w:hAnsi="Cambria" w:cs="Arial"/>
          <w:bCs/>
          <w:sz w:val="20"/>
          <w:szCs w:val="20"/>
          <w:lang w:val="es-CO"/>
        </w:rPr>
        <w:t>.2.h</w:t>
      </w:r>
      <w:r w:rsidR="00FF2D83" w:rsidRPr="00540E96">
        <w:rPr>
          <w:rFonts w:ascii="Cambria" w:hAnsi="Cambria" w:cs="Arial"/>
          <w:bCs/>
          <w:sz w:val="20"/>
          <w:szCs w:val="20"/>
          <w:lang w:val="es-CO"/>
        </w:rPr>
        <w:t xml:space="preserve"> (garantías judiciales) y </w:t>
      </w:r>
      <w:r w:rsidR="006E5A07" w:rsidRPr="00540E96">
        <w:rPr>
          <w:rFonts w:ascii="Cambria" w:hAnsi="Cambria" w:cs="Arial"/>
          <w:bCs/>
          <w:sz w:val="20"/>
          <w:szCs w:val="20"/>
          <w:lang w:val="es-CO"/>
        </w:rPr>
        <w:t>25.1 (protección judicial) de la Convención Americana.</w:t>
      </w:r>
    </w:p>
    <w:p w14:paraId="1106EAFD" w14:textId="77777777" w:rsidR="004F3357" w:rsidRPr="00540E96" w:rsidRDefault="004F3357" w:rsidP="006D014B">
      <w:pPr>
        <w:pStyle w:val="NoSpacing"/>
        <w:spacing w:before="0" w:after="0"/>
        <w:ind w:firstLine="0"/>
        <w:rPr>
          <w:szCs w:val="20"/>
          <w:lang w:val="es-CO"/>
        </w:rPr>
      </w:pPr>
    </w:p>
    <w:p w14:paraId="5171A0E2" w14:textId="77777777" w:rsidR="00E464AC" w:rsidRPr="00540E96" w:rsidRDefault="00E464AC" w:rsidP="006D014B">
      <w:pPr>
        <w:pStyle w:val="Heading1"/>
        <w:rPr>
          <w:lang w:val="es-CO"/>
        </w:rPr>
      </w:pPr>
      <w:bookmarkStart w:id="51" w:name="_Toc534905543"/>
      <w:bookmarkStart w:id="52" w:name="_Toc4417465"/>
      <w:bookmarkStart w:id="53" w:name="_Toc24542774"/>
      <w:r w:rsidRPr="00540E96">
        <w:rPr>
          <w:lang w:val="es-CO"/>
        </w:rPr>
        <w:t>RECOMENDACIONES</w:t>
      </w:r>
      <w:bookmarkEnd w:id="51"/>
      <w:bookmarkEnd w:id="52"/>
      <w:bookmarkEnd w:id="53"/>
    </w:p>
    <w:p w14:paraId="0F35E80E" w14:textId="77777777" w:rsidR="00337F80" w:rsidRPr="00540E96" w:rsidRDefault="00337F80" w:rsidP="00337F80">
      <w:pPr>
        <w:rPr>
          <w:lang w:val="es-CO" w:eastAsia="es-ES"/>
        </w:rPr>
      </w:pPr>
    </w:p>
    <w:p w14:paraId="22140E6B" w14:textId="77777777" w:rsidR="00337F80" w:rsidRPr="00540E96" w:rsidRDefault="00337F80" w:rsidP="00337F8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540E96">
        <w:rPr>
          <w:rFonts w:ascii="Cambria" w:hAnsi="Cambria"/>
          <w:sz w:val="20"/>
          <w:szCs w:val="20"/>
          <w:lang w:val="es-VE"/>
        </w:rPr>
        <w:t>Con fundamento en el análisis y las conclusiones del presente informe,</w:t>
      </w:r>
    </w:p>
    <w:p w14:paraId="7679F496" w14:textId="77777777" w:rsidR="006540C3" w:rsidRDefault="006540C3" w:rsidP="00337F80">
      <w:pPr>
        <w:jc w:val="both"/>
        <w:rPr>
          <w:rFonts w:ascii="Cambria" w:hAnsi="Cambria"/>
          <w:b/>
          <w:bCs/>
          <w:sz w:val="20"/>
          <w:szCs w:val="20"/>
          <w:lang w:val="es-CL"/>
        </w:rPr>
      </w:pPr>
    </w:p>
    <w:p w14:paraId="3FA916E7" w14:textId="77777777" w:rsidR="00337F80" w:rsidRPr="00540E96" w:rsidRDefault="00337F80" w:rsidP="00337F80">
      <w:pPr>
        <w:jc w:val="both"/>
        <w:rPr>
          <w:rFonts w:ascii="Cambria" w:hAnsi="Cambria"/>
          <w:b/>
          <w:bCs/>
          <w:sz w:val="20"/>
          <w:szCs w:val="20"/>
          <w:lang w:val="es-CL"/>
        </w:rPr>
      </w:pPr>
      <w:r w:rsidRPr="00540E96">
        <w:rPr>
          <w:rFonts w:ascii="Cambria" w:hAnsi="Cambria"/>
          <w:b/>
          <w:bCs/>
          <w:sz w:val="20"/>
          <w:szCs w:val="20"/>
          <w:lang w:val="es-CL"/>
        </w:rPr>
        <w:t>LA COMISIÓN INTERAMERICANA DE DERECHOS HUMANOS RECOMIENDA AL ESTADO DE C</w:t>
      </w:r>
      <w:r w:rsidR="007F61D6" w:rsidRPr="00540E96">
        <w:rPr>
          <w:rFonts w:ascii="Cambria" w:hAnsi="Cambria"/>
          <w:b/>
          <w:bCs/>
          <w:sz w:val="20"/>
          <w:szCs w:val="20"/>
          <w:lang w:val="es-CL"/>
        </w:rPr>
        <w:t>OSTA RICA</w:t>
      </w:r>
      <w:r w:rsidRPr="00540E96">
        <w:rPr>
          <w:rFonts w:ascii="Cambria" w:hAnsi="Cambria"/>
          <w:b/>
          <w:bCs/>
          <w:sz w:val="20"/>
          <w:szCs w:val="20"/>
          <w:lang w:val="es-CL"/>
        </w:rPr>
        <w:t>:</w:t>
      </w:r>
    </w:p>
    <w:p w14:paraId="54E071DC" w14:textId="77777777" w:rsidR="00337F80" w:rsidRPr="00540E96" w:rsidRDefault="00337F80" w:rsidP="00337F80">
      <w:pPr>
        <w:jc w:val="both"/>
        <w:rPr>
          <w:rFonts w:ascii="Cambria" w:hAnsi="Cambria"/>
          <w:sz w:val="20"/>
          <w:szCs w:val="20"/>
          <w:lang w:val="es-ES"/>
        </w:rPr>
      </w:pPr>
    </w:p>
    <w:p w14:paraId="417CEBE0" w14:textId="77777777" w:rsidR="00337F80" w:rsidRPr="00540E96" w:rsidRDefault="00337F80" w:rsidP="00337F80">
      <w:pPr>
        <w:pStyle w:val="ListParagraph"/>
        <w:numPr>
          <w:ilvl w:val="0"/>
          <w:numId w:val="64"/>
        </w:numPr>
        <w:spacing w:before="0" w:after="0"/>
        <w:ind w:left="0" w:firstLine="0"/>
        <w:rPr>
          <w:sz w:val="20"/>
          <w:szCs w:val="20"/>
          <w:lang w:val="es-ES"/>
        </w:rPr>
      </w:pPr>
      <w:r w:rsidRPr="00540E96">
        <w:rPr>
          <w:sz w:val="20"/>
          <w:szCs w:val="20"/>
          <w:lang w:val="es-ES"/>
        </w:rPr>
        <w:t xml:space="preserve">Dejar sin efecto la </w:t>
      </w:r>
      <w:r w:rsidR="00DF3324" w:rsidRPr="00540E96">
        <w:rPr>
          <w:sz w:val="20"/>
          <w:szCs w:val="20"/>
          <w:lang w:val="es-PE"/>
        </w:rPr>
        <w:t xml:space="preserve">sanción civil </w:t>
      </w:r>
      <w:r w:rsidRPr="00540E96">
        <w:rPr>
          <w:sz w:val="20"/>
          <w:szCs w:val="20"/>
          <w:lang w:val="es-ES"/>
        </w:rPr>
        <w:t xml:space="preserve">impuesta a </w:t>
      </w:r>
      <w:r w:rsidR="00DF3324" w:rsidRPr="00540E96">
        <w:rPr>
          <w:sz w:val="20"/>
          <w:szCs w:val="20"/>
          <w:lang w:val="es-ES"/>
        </w:rPr>
        <w:t>los periodistas Ronal</w:t>
      </w:r>
      <w:r w:rsidR="000E1453" w:rsidRPr="00540E96">
        <w:rPr>
          <w:sz w:val="20"/>
          <w:szCs w:val="20"/>
          <w:lang w:val="es-ES"/>
        </w:rPr>
        <w:t>d</w:t>
      </w:r>
      <w:r w:rsidR="00DF3324" w:rsidRPr="00540E96">
        <w:rPr>
          <w:sz w:val="20"/>
          <w:szCs w:val="20"/>
          <w:lang w:val="es-ES"/>
        </w:rPr>
        <w:t xml:space="preserve"> Moya Chacón y </w:t>
      </w:r>
      <w:r w:rsidR="0040670F" w:rsidRPr="00540E96">
        <w:rPr>
          <w:sz w:val="20"/>
          <w:szCs w:val="20"/>
          <w:lang w:val="es-ES"/>
        </w:rPr>
        <w:t>Freddy Parrales Chaves.</w:t>
      </w:r>
    </w:p>
    <w:p w14:paraId="7071B9E1" w14:textId="77777777" w:rsidR="00E14500" w:rsidRPr="00540E96" w:rsidRDefault="00E14500" w:rsidP="00E14500">
      <w:pPr>
        <w:pStyle w:val="ListParagraph"/>
        <w:spacing w:before="0" w:after="0"/>
        <w:rPr>
          <w:sz w:val="20"/>
          <w:szCs w:val="20"/>
          <w:lang w:val="es-ES"/>
        </w:rPr>
      </w:pPr>
    </w:p>
    <w:p w14:paraId="55F4CDD8" w14:textId="77777777" w:rsidR="00303886" w:rsidRPr="00CD5726" w:rsidRDefault="00303886" w:rsidP="00303886">
      <w:pPr>
        <w:pStyle w:val="ListParagraph"/>
        <w:numPr>
          <w:ilvl w:val="0"/>
          <w:numId w:val="64"/>
        </w:numPr>
        <w:spacing w:before="0" w:after="0"/>
        <w:ind w:left="0" w:firstLine="0"/>
        <w:rPr>
          <w:sz w:val="20"/>
          <w:szCs w:val="20"/>
          <w:lang w:val="es-ES"/>
        </w:rPr>
      </w:pPr>
      <w:r w:rsidRPr="00DD13F8">
        <w:rPr>
          <w:color w:val="auto"/>
          <w:sz w:val="20"/>
          <w:szCs w:val="20"/>
          <w:lang w:val="es-UY"/>
        </w:rPr>
        <w:t>Adecuar el régimen de responsabilidades ulteriores en materia de libertad de expresión respecto de casos en que la persona ofendida sea un funcionario público o persona pública, o particular que se haya involucrado voluntariamente en asuntos de interés público, de conformidad con los estándares interamericanos. En particular, establecer que las indemnizaciones civiles que correspondan por el eventual ejercicio abusivo de la li</w:t>
      </w:r>
      <w:r>
        <w:rPr>
          <w:color w:val="auto"/>
          <w:sz w:val="20"/>
          <w:szCs w:val="20"/>
          <w:lang w:val="es-UY"/>
        </w:rPr>
        <w:t>bertad de expresión respondan a los</w:t>
      </w:r>
      <w:r w:rsidRPr="00DD13F8">
        <w:rPr>
          <w:color w:val="auto"/>
          <w:sz w:val="20"/>
          <w:szCs w:val="20"/>
          <w:lang w:val="es-UY"/>
        </w:rPr>
        <w:t xml:space="preserve"> estándares de intencionalidad, daño o manifiesta negligencia </w:t>
      </w:r>
      <w:r>
        <w:rPr>
          <w:color w:val="auto"/>
          <w:sz w:val="20"/>
          <w:szCs w:val="20"/>
          <w:lang w:val="es-UY"/>
        </w:rPr>
        <w:t>del emisor; así como</w:t>
      </w:r>
      <w:r w:rsidRPr="00DD13F8">
        <w:rPr>
          <w:color w:val="auto"/>
          <w:sz w:val="20"/>
          <w:szCs w:val="20"/>
          <w:lang w:val="es-UY"/>
        </w:rPr>
        <w:t xml:space="preserve"> a los principios de necesidad y proporcionalidad.</w:t>
      </w:r>
    </w:p>
    <w:p w14:paraId="2B89C0E5" w14:textId="77777777" w:rsidR="00303886" w:rsidRPr="00DD13F8" w:rsidRDefault="00303886" w:rsidP="00CD5726">
      <w:pPr>
        <w:pStyle w:val="ListParagraph"/>
        <w:spacing w:before="0" w:after="0"/>
        <w:rPr>
          <w:sz w:val="20"/>
          <w:szCs w:val="20"/>
          <w:lang w:val="es-ES"/>
        </w:rPr>
      </w:pPr>
    </w:p>
    <w:p w14:paraId="5EB9DA78" w14:textId="77777777" w:rsidR="00E14500" w:rsidRDefault="00E14500" w:rsidP="00E14500">
      <w:pPr>
        <w:pStyle w:val="ListParagraph"/>
        <w:numPr>
          <w:ilvl w:val="0"/>
          <w:numId w:val="64"/>
        </w:numPr>
        <w:spacing w:before="0" w:after="0"/>
        <w:ind w:left="0" w:firstLine="0"/>
        <w:rPr>
          <w:sz w:val="20"/>
          <w:szCs w:val="20"/>
          <w:lang w:val="es-ES"/>
        </w:rPr>
      </w:pPr>
      <w:r w:rsidRPr="00540E96">
        <w:rPr>
          <w:rFonts w:eastAsia="Times New Roman" w:cs="Tahoma"/>
          <w:sz w:val="20"/>
          <w:szCs w:val="20"/>
          <w:bdr w:val="none" w:sz="0" w:space="0" w:color="auto"/>
          <w:lang w:val="es-ES"/>
        </w:rPr>
        <w:t>Reparar integralmente las violaciones de derechos humanos declaradas en el presente informe tanto en el aspecto material como inmaterial. El Estado deberá adoptar las medidas de compensación económica y satisfacción.</w:t>
      </w:r>
    </w:p>
    <w:p w14:paraId="1AFF2029" w14:textId="77777777" w:rsidR="00E14500" w:rsidRPr="00540E96" w:rsidRDefault="00E14500" w:rsidP="00E14500">
      <w:pPr>
        <w:pStyle w:val="ListParagraph"/>
        <w:spacing w:before="0" w:after="0"/>
        <w:rPr>
          <w:color w:val="auto"/>
          <w:sz w:val="20"/>
          <w:szCs w:val="20"/>
          <w:lang w:val="es-ES"/>
        </w:rPr>
      </w:pPr>
    </w:p>
    <w:p w14:paraId="48819451" w14:textId="77777777" w:rsidR="00E14500" w:rsidRPr="00351505" w:rsidRDefault="00E14500" w:rsidP="00E14500">
      <w:pPr>
        <w:pStyle w:val="ListParagraph"/>
        <w:numPr>
          <w:ilvl w:val="0"/>
          <w:numId w:val="64"/>
        </w:numPr>
        <w:spacing w:before="0" w:after="0"/>
        <w:ind w:left="0" w:firstLine="0"/>
        <w:rPr>
          <w:sz w:val="20"/>
          <w:szCs w:val="20"/>
          <w:lang w:val="es-PE"/>
        </w:rPr>
      </w:pPr>
      <w:bookmarkStart w:id="54" w:name="_Hlk19538831"/>
      <w:r>
        <w:rPr>
          <w:sz w:val="20"/>
          <w:szCs w:val="20"/>
          <w:lang w:val="es-ES"/>
        </w:rPr>
        <w:t>Desarrollar capacitaciones a nivel</w:t>
      </w:r>
      <w:r w:rsidRPr="00351505">
        <w:rPr>
          <w:sz w:val="20"/>
          <w:szCs w:val="20"/>
          <w:lang w:val="es-ES"/>
        </w:rPr>
        <w:t xml:space="preserve"> del Poder Judicial de Costa Rica </w:t>
      </w:r>
      <w:r>
        <w:rPr>
          <w:sz w:val="20"/>
          <w:szCs w:val="20"/>
          <w:lang w:val="es-ES"/>
        </w:rPr>
        <w:t>que permitan la difusión de</w:t>
      </w:r>
      <w:r w:rsidRPr="00351505">
        <w:rPr>
          <w:sz w:val="20"/>
          <w:szCs w:val="20"/>
          <w:lang w:val="es-ES"/>
        </w:rPr>
        <w:t xml:space="preserve"> los estándares y criterios establecidos en el</w:t>
      </w:r>
      <w:r>
        <w:rPr>
          <w:sz w:val="20"/>
          <w:szCs w:val="20"/>
          <w:lang w:val="es-ES"/>
        </w:rPr>
        <w:t xml:space="preserve"> presente</w:t>
      </w:r>
      <w:r w:rsidRPr="00351505">
        <w:rPr>
          <w:sz w:val="20"/>
          <w:szCs w:val="20"/>
          <w:lang w:val="es-ES"/>
        </w:rPr>
        <w:t xml:space="preserve"> informe de fondo</w:t>
      </w:r>
      <w:r>
        <w:rPr>
          <w:sz w:val="20"/>
          <w:szCs w:val="20"/>
          <w:lang w:val="es-PE"/>
        </w:rPr>
        <w:t>.</w:t>
      </w:r>
    </w:p>
    <w:bookmarkEnd w:id="54"/>
    <w:p w14:paraId="2E23D5F2" w14:textId="77777777" w:rsidR="00351505" w:rsidRPr="00020445" w:rsidRDefault="00351505" w:rsidP="006D014B">
      <w:pPr>
        <w:keepNext/>
        <w:jc w:val="both"/>
        <w:rPr>
          <w:rFonts w:ascii="Cambria" w:hAnsi="Cambria"/>
          <w:sz w:val="20"/>
          <w:szCs w:val="20"/>
          <w:lang w:val="es-PE"/>
        </w:rPr>
      </w:pPr>
    </w:p>
    <w:p w14:paraId="2FD37BAF" w14:textId="77777777" w:rsidR="00020445" w:rsidRPr="00020445" w:rsidRDefault="00020445" w:rsidP="00020445">
      <w:pPr>
        <w:ind w:firstLine="720"/>
        <w:jc w:val="both"/>
        <w:rPr>
          <w:rFonts w:ascii="Cambria" w:hAnsi="Cambria" w:cs="Arial"/>
          <w:noProof/>
          <w:spacing w:val="-2"/>
          <w:sz w:val="20"/>
          <w:szCs w:val="20"/>
          <w:lang w:val="es-CL"/>
        </w:rPr>
      </w:pPr>
      <w:r w:rsidRPr="00020445">
        <w:rPr>
          <w:rFonts w:ascii="Cambria" w:hAnsi="Cambria" w:cs="Arial"/>
          <w:noProof/>
          <w:spacing w:val="-2"/>
          <w:sz w:val="20"/>
          <w:szCs w:val="20"/>
          <w:lang w:val="es-CL"/>
        </w:rPr>
        <w:t xml:space="preserve">Aprobado por la Comisión Interamericana de Derechos Humanos en la ciudad de Washington D.C., USA, a los 28 días del mes de septiembre de 2019.  (Firmado): Esmeralda E. Arosemena Bernal de Troitiño, Presidenta; </w:t>
      </w:r>
      <w:r w:rsidRPr="00020445">
        <w:rPr>
          <w:rFonts w:ascii="Cambria" w:hAnsi="Cambria" w:cs="Arial"/>
          <w:noProof/>
          <w:spacing w:val="-2"/>
          <w:sz w:val="20"/>
          <w:szCs w:val="20"/>
          <w:lang w:val="es-CL"/>
        </w:rPr>
        <w:lastRenderedPageBreak/>
        <w:t>Joel Hernández, Primer Vicepresidente; Antonia Urrejola, Segunda Vicepresidenta; Margarette May Macaulay, Francisco José Eguiguren y Flávia Piovesan, Miembros de la Comisión.</w:t>
      </w:r>
      <w:r w:rsidRPr="00020445">
        <w:rPr>
          <w:rFonts w:ascii="Cambria" w:hAnsi="Cambria" w:cs="Arial"/>
          <w:noProof/>
          <w:sz w:val="20"/>
          <w:szCs w:val="20"/>
          <w:lang w:val="es-CL"/>
        </w:rPr>
        <w:t xml:space="preserve"> </w:t>
      </w:r>
    </w:p>
    <w:p w14:paraId="5F3CA916" w14:textId="77777777" w:rsidR="00020445" w:rsidRPr="00020445" w:rsidRDefault="00020445" w:rsidP="00020445">
      <w:pPr>
        <w:suppressAutoHyphens/>
        <w:ind w:firstLine="720"/>
        <w:jc w:val="both"/>
        <w:rPr>
          <w:rFonts w:ascii="Cambria" w:hAnsi="Cambria" w:cs="Arial"/>
          <w:noProof/>
          <w:spacing w:val="-2"/>
          <w:sz w:val="20"/>
          <w:szCs w:val="20"/>
          <w:lang w:val="es-CL"/>
        </w:rPr>
      </w:pPr>
    </w:p>
    <w:p w14:paraId="352F99E5" w14:textId="77777777" w:rsidR="00020445" w:rsidRPr="006E0DF3" w:rsidRDefault="00020445" w:rsidP="00020445">
      <w:pPr>
        <w:ind w:firstLine="720"/>
        <w:jc w:val="both"/>
        <w:rPr>
          <w:rFonts w:ascii="Cambria" w:hAnsi="Cambria"/>
          <w:sz w:val="20"/>
          <w:szCs w:val="20"/>
          <w:lang w:val="es-CL"/>
        </w:rPr>
      </w:pPr>
      <w:r w:rsidRPr="006E0DF3">
        <w:rPr>
          <w:rFonts w:ascii="Cambria" w:hAnsi="Cambria"/>
          <w:sz w:val="20"/>
          <w:szCs w:val="20"/>
          <w:lang w:val="es-CL"/>
        </w:rPr>
        <w:t xml:space="preserve">El que suscribe, </w:t>
      </w:r>
      <w:r w:rsidRPr="006E0DF3">
        <w:rPr>
          <w:rFonts w:ascii="Cambria" w:hAnsi="Cambria" w:cs="Arial"/>
          <w:sz w:val="20"/>
          <w:szCs w:val="20"/>
          <w:lang w:val="es-US"/>
        </w:rPr>
        <w:t>Paulo Abrão</w:t>
      </w:r>
      <w:r w:rsidRPr="006E0DF3">
        <w:rPr>
          <w:rFonts w:ascii="Cambria" w:hAnsi="Cambria"/>
          <w:sz w:val="20"/>
          <w:szCs w:val="20"/>
          <w:lang w:val="es-CL"/>
        </w:rPr>
        <w:t>, Secretario Ejecutivo, de conformidad con el artículo 49 del Reglamento de la Comisión, certifica que es copia fiel del original depositado en los archivos de la Secretaría de la CIDH.</w:t>
      </w:r>
    </w:p>
    <w:p w14:paraId="7E2FA50E" w14:textId="77777777" w:rsidR="00020445" w:rsidRPr="006E0DF3" w:rsidRDefault="00020445" w:rsidP="00020445">
      <w:pPr>
        <w:ind w:left="4320" w:firstLine="720"/>
        <w:rPr>
          <w:rFonts w:ascii="Cambria" w:hAnsi="Cambria"/>
          <w:sz w:val="20"/>
          <w:szCs w:val="20"/>
          <w:lang w:val="es-US"/>
        </w:rPr>
      </w:pPr>
    </w:p>
    <w:p w14:paraId="04DBF324" w14:textId="77777777" w:rsidR="00020445" w:rsidRPr="006E0DF3" w:rsidRDefault="00020445" w:rsidP="00020445">
      <w:pPr>
        <w:ind w:left="2160" w:firstLine="720"/>
        <w:jc w:val="center"/>
        <w:rPr>
          <w:rFonts w:ascii="Cambria" w:hAnsi="Cambria"/>
          <w:sz w:val="20"/>
          <w:szCs w:val="20"/>
        </w:rPr>
      </w:pPr>
      <w:r w:rsidRPr="006E0DF3">
        <w:rPr>
          <w:rFonts w:ascii="Cambria" w:hAnsi="Cambria" w:cs="Arial"/>
          <w:sz w:val="20"/>
          <w:szCs w:val="20"/>
        </w:rPr>
        <w:t>Paulo Abrão</w:t>
      </w:r>
    </w:p>
    <w:p w14:paraId="050B52AC" w14:textId="77777777" w:rsidR="00020445" w:rsidRPr="006E0DF3" w:rsidRDefault="00020445" w:rsidP="00020445">
      <w:pPr>
        <w:ind w:left="2160" w:firstLine="720"/>
        <w:jc w:val="center"/>
        <w:rPr>
          <w:rFonts w:ascii="Cambria" w:hAnsi="Cambria"/>
          <w:b/>
          <w:sz w:val="20"/>
          <w:szCs w:val="20"/>
          <w:lang w:val="es-ES_tradnl"/>
        </w:rPr>
      </w:pPr>
      <w:r w:rsidRPr="006E0DF3">
        <w:rPr>
          <w:rFonts w:ascii="Cambria" w:hAnsi="Cambria"/>
          <w:sz w:val="20"/>
          <w:szCs w:val="20"/>
        </w:rPr>
        <w:t>Secretario Ejecutivo</w:t>
      </w:r>
    </w:p>
    <w:sectPr w:rsidR="00020445" w:rsidRPr="006E0DF3" w:rsidSect="00125DAD">
      <w:type w:val="oddPage"/>
      <w:pgSz w:w="12240" w:h="15840"/>
      <w:pgMar w:top="1440" w:right="1440" w:bottom="126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9482D" w14:textId="77777777" w:rsidR="00565D1F" w:rsidRDefault="00565D1F" w:rsidP="00610A15">
      <w:r>
        <w:separator/>
      </w:r>
    </w:p>
  </w:endnote>
  <w:endnote w:type="continuationSeparator" w:id="0">
    <w:p w14:paraId="67510688" w14:textId="77777777" w:rsidR="00565D1F" w:rsidRDefault="00565D1F" w:rsidP="0061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635294112"/>
      <w:docPartObj>
        <w:docPartGallery w:val="Page Numbers (Bottom of Page)"/>
        <w:docPartUnique/>
      </w:docPartObj>
    </w:sdtPr>
    <w:sdtEndPr>
      <w:rPr>
        <w:noProof/>
      </w:rPr>
    </w:sdtEndPr>
    <w:sdtContent>
      <w:p w14:paraId="0CCBB583" w14:textId="77777777" w:rsidR="008D4A0F" w:rsidRPr="00395F72" w:rsidRDefault="008D4A0F">
        <w:pPr>
          <w:pStyle w:val="Footer"/>
          <w:jc w:val="center"/>
          <w:rPr>
            <w:sz w:val="20"/>
            <w:szCs w:val="20"/>
          </w:rPr>
        </w:pPr>
        <w:r w:rsidRPr="00395F72">
          <w:rPr>
            <w:sz w:val="20"/>
            <w:szCs w:val="20"/>
          </w:rPr>
          <w:fldChar w:fldCharType="begin"/>
        </w:r>
        <w:r w:rsidRPr="00395F72">
          <w:rPr>
            <w:sz w:val="20"/>
            <w:szCs w:val="20"/>
          </w:rPr>
          <w:instrText xml:space="preserve"> PAGE   \* MERGEFORMAT </w:instrText>
        </w:r>
        <w:r w:rsidRPr="00395F72">
          <w:rPr>
            <w:sz w:val="20"/>
            <w:szCs w:val="20"/>
          </w:rPr>
          <w:fldChar w:fldCharType="separate"/>
        </w:r>
        <w:r w:rsidR="00E57BAC">
          <w:rPr>
            <w:noProof/>
            <w:sz w:val="20"/>
            <w:szCs w:val="20"/>
          </w:rPr>
          <w:t>28</w:t>
        </w:r>
        <w:r w:rsidRPr="00395F72">
          <w:rPr>
            <w:noProof/>
            <w:sz w:val="20"/>
            <w:szCs w:val="20"/>
          </w:rPr>
          <w:fldChar w:fldCharType="end"/>
        </w:r>
      </w:p>
    </w:sdtContent>
  </w:sdt>
  <w:p w14:paraId="7DFF1A1C" w14:textId="77777777" w:rsidR="008D4A0F" w:rsidRDefault="008D4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C352" w14:textId="77777777" w:rsidR="008D4A0F" w:rsidRPr="00934A2C" w:rsidRDefault="008D4A0F">
    <w:pPr>
      <w:pStyle w:val="Footer"/>
      <w:jc w:val="center"/>
      <w:rPr>
        <w:sz w:val="16"/>
        <w:szCs w:val="22"/>
      </w:rPr>
    </w:pPr>
  </w:p>
  <w:p w14:paraId="4381DCE2" w14:textId="77777777" w:rsidR="008D4A0F" w:rsidRDefault="008D4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3B8F9" w14:textId="77777777" w:rsidR="00565D1F" w:rsidRDefault="00565D1F" w:rsidP="00610A15">
      <w:r>
        <w:separator/>
      </w:r>
    </w:p>
  </w:footnote>
  <w:footnote w:type="continuationSeparator" w:id="0">
    <w:p w14:paraId="259C9606" w14:textId="77777777" w:rsidR="00565D1F" w:rsidRDefault="00565D1F" w:rsidP="00610A15">
      <w:r>
        <w:continuationSeparator/>
      </w:r>
    </w:p>
  </w:footnote>
  <w:footnote w:id="1">
    <w:p w14:paraId="6FE4BEB0"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color w:val="auto"/>
          <w:sz w:val="16"/>
          <w:szCs w:val="16"/>
          <w:lang w:val="es-MX"/>
        </w:rPr>
        <w:t xml:space="preserve">CIDH. </w:t>
      </w:r>
      <w:r w:rsidRPr="007F2326">
        <w:rPr>
          <w:rFonts w:ascii="Cambria" w:hAnsi="Cambria"/>
          <w:color w:val="auto"/>
          <w:sz w:val="16"/>
          <w:szCs w:val="16"/>
          <w:lang w:val="es-PE"/>
        </w:rPr>
        <w:t>Informe No. 75/14</w:t>
      </w:r>
      <w:r w:rsidRPr="007F2326">
        <w:rPr>
          <w:rFonts w:ascii="Cambria" w:hAnsi="Cambria"/>
          <w:color w:val="auto"/>
          <w:sz w:val="16"/>
          <w:szCs w:val="16"/>
          <w:lang w:val="es-MX"/>
        </w:rPr>
        <w:t>. Petición 1018-08. Admisibilidad. Ronald Moya Chacón y Freddy Parrales Chaves. Costa Rica. 15 de agosto de 2014. La CIDH declaró admisible la petición respecto de los artículos 13, 8 y 25, en relación con el artículo 1.1 de la Convención Americana.</w:t>
      </w:r>
    </w:p>
  </w:footnote>
  <w:footnote w:id="2">
    <w:p w14:paraId="35745116" w14:textId="77777777" w:rsidR="008D4A0F" w:rsidRPr="007F2326" w:rsidRDefault="008D4A0F" w:rsidP="007F2326">
      <w:pPr>
        <w:pStyle w:val="ListParagraph"/>
        <w:spacing w:before="0" w:after="0"/>
        <w:rPr>
          <w:szCs w:val="16"/>
          <w:lang w:val="es-MX"/>
        </w:rPr>
      </w:pPr>
      <w:r w:rsidRPr="007F2326">
        <w:rPr>
          <w:rStyle w:val="FootnoteReference"/>
          <w:szCs w:val="16"/>
        </w:rPr>
        <w:footnoteRef/>
      </w:r>
      <w:r w:rsidRPr="007F2326">
        <w:rPr>
          <w:szCs w:val="16"/>
          <w:lang w:val="es-MX"/>
        </w:rPr>
        <w:t xml:space="preserve"> Conforme a lo señalado por los peticionarios sobre lo cual el Estado señaló no tener constancia. Escrito de los peticionarios de 28 de febrero de 2015.</w:t>
      </w:r>
    </w:p>
  </w:footnote>
  <w:footnote w:id="3">
    <w:p w14:paraId="4A57893D" w14:textId="77777777" w:rsidR="008D4A0F" w:rsidRPr="007F2326" w:rsidRDefault="008D4A0F" w:rsidP="007F2326">
      <w:pPr>
        <w:pStyle w:val="ListParagraph"/>
        <w:spacing w:before="0" w:after="0"/>
        <w:rPr>
          <w:szCs w:val="16"/>
          <w:lang w:val="es-MX"/>
        </w:rPr>
      </w:pPr>
      <w:r w:rsidRPr="007F2326">
        <w:rPr>
          <w:rStyle w:val="FootnoteReference"/>
          <w:szCs w:val="16"/>
        </w:rPr>
        <w:footnoteRef/>
      </w:r>
      <w:r w:rsidRPr="007F2326">
        <w:rPr>
          <w:szCs w:val="16"/>
          <w:lang w:val="es-MX"/>
        </w:rPr>
        <w:t xml:space="preserve"> Conforme a lo señalado por los peticionarios sobre lo cual el Estado señaló no tener constancia. Escrito de los peticionarios de 28 de febrero de 2015.</w:t>
      </w:r>
    </w:p>
  </w:footnote>
  <w:footnote w:id="4">
    <w:p w14:paraId="1B38D79B" w14:textId="77777777" w:rsidR="008D4A0F" w:rsidRPr="007F2326" w:rsidRDefault="008D4A0F" w:rsidP="007F2326">
      <w:pPr>
        <w:pStyle w:val="ListParagraph"/>
        <w:spacing w:before="0" w:after="0"/>
        <w:rPr>
          <w:szCs w:val="16"/>
          <w:lang w:val="es-MX"/>
        </w:rPr>
      </w:pPr>
      <w:r w:rsidRPr="007F2326">
        <w:rPr>
          <w:rStyle w:val="FootnoteReference"/>
          <w:szCs w:val="16"/>
        </w:rPr>
        <w:footnoteRef/>
      </w:r>
      <w:r w:rsidRPr="007F2326">
        <w:rPr>
          <w:szCs w:val="16"/>
          <w:lang w:val="es-MX"/>
        </w:rPr>
        <w:t xml:space="preserve"> Anexo 1. </w:t>
      </w:r>
      <w:r w:rsidRPr="007F2326">
        <w:rPr>
          <w:color w:val="auto"/>
          <w:szCs w:val="16"/>
          <w:lang w:val="es-PE"/>
        </w:rPr>
        <w:t xml:space="preserve">Sentencia No. 02-2007 del Tribunal de Juicio del Segundo Circuito Judicial de San José. 10 de enero de 2007. </w:t>
      </w:r>
      <w:r w:rsidRPr="007F2326">
        <w:rPr>
          <w:szCs w:val="16"/>
          <w:lang w:val="es-MX"/>
        </w:rPr>
        <w:t>Anexo 4 a la petición inicial de 29 de agosto de 2008, folio 185.</w:t>
      </w:r>
    </w:p>
  </w:footnote>
  <w:footnote w:id="5">
    <w:p w14:paraId="6EB4251B" w14:textId="77777777" w:rsidR="008D4A0F" w:rsidRPr="007F2326" w:rsidRDefault="008D4A0F" w:rsidP="007F2326">
      <w:pPr>
        <w:pStyle w:val="ListParagraph"/>
        <w:spacing w:before="0" w:after="0"/>
        <w:rPr>
          <w:szCs w:val="16"/>
          <w:lang w:val="es-MX"/>
        </w:rPr>
      </w:pPr>
      <w:r w:rsidRPr="007F2326">
        <w:rPr>
          <w:rStyle w:val="FootnoteReference"/>
          <w:szCs w:val="16"/>
        </w:rPr>
        <w:footnoteRef/>
      </w:r>
      <w:r w:rsidRPr="007F2326">
        <w:rPr>
          <w:szCs w:val="16"/>
          <w:lang w:val="es-MX"/>
        </w:rPr>
        <w:t xml:space="preserve"> Anexo 1. Sentencia No. 02-2007 </w:t>
      </w:r>
      <w:r w:rsidRPr="007F2326">
        <w:rPr>
          <w:color w:val="auto"/>
          <w:szCs w:val="16"/>
          <w:lang w:val="es-PE"/>
        </w:rPr>
        <w:t xml:space="preserve">del Tribunal de Juicio del Segundo Circuito Judicial de San José. 10 de enero de 2007. </w:t>
      </w:r>
      <w:r w:rsidRPr="007F2326">
        <w:rPr>
          <w:szCs w:val="16"/>
          <w:lang w:val="es-MX"/>
        </w:rPr>
        <w:t>Anexo 4 a la petición inicial de 29 de agosto de 2008, folio 185.</w:t>
      </w:r>
    </w:p>
  </w:footnote>
  <w:footnote w:id="6">
    <w:p w14:paraId="100067CF"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MX"/>
        </w:rPr>
        <w:t xml:space="preserve"> Anexo 2. </w:t>
      </w:r>
      <w:r w:rsidRPr="007F2326">
        <w:rPr>
          <w:rFonts w:ascii="Cambria" w:hAnsi="Cambria"/>
          <w:color w:val="auto"/>
          <w:sz w:val="16"/>
          <w:szCs w:val="16"/>
          <w:lang w:val="es-PE"/>
        </w:rPr>
        <w:t>Nota de prensa publicada en el Diario “La Nación” el 17 de diciembre de 2005, titulada “</w:t>
      </w:r>
      <w:r w:rsidRPr="007F2326">
        <w:rPr>
          <w:rFonts w:ascii="Cambria" w:hAnsi="Cambria"/>
          <w:sz w:val="16"/>
          <w:szCs w:val="16"/>
          <w:lang w:val="es-VE"/>
        </w:rPr>
        <w:t>OIJ denunció a jefe policial por no detener camión con licores</w:t>
      </w:r>
      <w:r w:rsidRPr="007F2326">
        <w:rPr>
          <w:rFonts w:ascii="Cambria" w:hAnsi="Cambria"/>
          <w:color w:val="auto"/>
          <w:sz w:val="16"/>
          <w:szCs w:val="16"/>
          <w:lang w:val="es-PE"/>
        </w:rPr>
        <w:t xml:space="preserve">”. </w:t>
      </w:r>
      <w:r w:rsidRPr="007F2326">
        <w:rPr>
          <w:rFonts w:ascii="Cambria" w:hAnsi="Cambria"/>
          <w:sz w:val="16"/>
          <w:szCs w:val="16"/>
          <w:lang w:val="es-MX"/>
        </w:rPr>
        <w:t xml:space="preserve">Anexo 2 a la petición inicial de 29 de agosto de 2008. </w:t>
      </w:r>
      <w:r w:rsidRPr="007F2326">
        <w:rPr>
          <w:rFonts w:ascii="Cambria" w:hAnsi="Cambria"/>
          <w:sz w:val="16"/>
          <w:szCs w:val="16"/>
          <w:lang w:val="es-PE"/>
        </w:rPr>
        <w:t xml:space="preserve">La nota de prensa completa señalaba lo siguiente: </w:t>
      </w:r>
    </w:p>
    <w:p w14:paraId="7A9B325C" w14:textId="77777777" w:rsidR="008D4A0F" w:rsidRPr="007F2326" w:rsidRDefault="008D4A0F" w:rsidP="007F2326">
      <w:pPr>
        <w:pStyle w:val="ListParagraph"/>
        <w:spacing w:before="0" w:after="0"/>
        <w:rPr>
          <w:b/>
          <w:szCs w:val="16"/>
          <w:lang w:val="es-VE"/>
        </w:rPr>
      </w:pPr>
      <w:r w:rsidRPr="007F2326">
        <w:rPr>
          <w:b/>
          <w:szCs w:val="16"/>
          <w:lang w:val="es-VE"/>
        </w:rPr>
        <w:t>OIJ denunció a jefe policial por no detener camión con licores</w:t>
      </w:r>
    </w:p>
    <w:p w14:paraId="2EE7DC2C" w14:textId="77777777" w:rsidR="008D4A0F" w:rsidRPr="007F2326" w:rsidRDefault="008D4A0F" w:rsidP="007F2326">
      <w:pPr>
        <w:pStyle w:val="ListParagraph"/>
        <w:spacing w:before="0" w:after="0"/>
        <w:rPr>
          <w:szCs w:val="16"/>
          <w:lang w:val="es-VE"/>
        </w:rPr>
      </w:pPr>
      <w:r w:rsidRPr="007F2326">
        <w:rPr>
          <w:szCs w:val="16"/>
          <w:lang w:val="es-VE"/>
        </w:rPr>
        <w:t>Habría dado una contraorden para que vehículo no quedara detenido</w:t>
      </w:r>
    </w:p>
    <w:p w14:paraId="0FF65B6E" w14:textId="77777777" w:rsidR="008D4A0F" w:rsidRPr="007F2326" w:rsidRDefault="008D4A0F" w:rsidP="007F2326">
      <w:pPr>
        <w:pStyle w:val="ListParagraph"/>
        <w:spacing w:before="0" w:after="0"/>
        <w:rPr>
          <w:szCs w:val="16"/>
          <w:lang w:val="es-VE"/>
        </w:rPr>
      </w:pPr>
      <w:r w:rsidRPr="007F2326">
        <w:rPr>
          <w:szCs w:val="16"/>
          <w:lang w:val="es-VE"/>
        </w:rPr>
        <w:t>17 diciembre, 2005</w:t>
      </w:r>
    </w:p>
    <w:p w14:paraId="791E3D76" w14:textId="77777777" w:rsidR="008D4A0F" w:rsidRPr="007F2326" w:rsidRDefault="008D4A0F" w:rsidP="007F2326">
      <w:pPr>
        <w:pStyle w:val="ListParagraph"/>
        <w:spacing w:before="0" w:after="0"/>
        <w:rPr>
          <w:szCs w:val="16"/>
          <w:lang w:val="es-VE"/>
        </w:rPr>
      </w:pPr>
      <w:r w:rsidRPr="007F2326">
        <w:rPr>
          <w:szCs w:val="16"/>
          <w:lang w:val="es-VE"/>
        </w:rPr>
        <w:t>El 29 de junio de este año, un oficial de la Fuerza Pública detuvo en el puesto fronterizo de Paso Canoas, en Corredores, en la zona sur, un camión cargado con licores de contrabando procedente de Panamá.</w:t>
      </w:r>
    </w:p>
    <w:p w14:paraId="1828C20B" w14:textId="77777777" w:rsidR="008D4A0F" w:rsidRPr="007F2326" w:rsidRDefault="008D4A0F" w:rsidP="007F2326">
      <w:pPr>
        <w:pStyle w:val="ListParagraph"/>
        <w:spacing w:before="0" w:after="0"/>
        <w:rPr>
          <w:szCs w:val="16"/>
          <w:lang w:val="es-VE"/>
        </w:rPr>
      </w:pPr>
      <w:r w:rsidRPr="007F2326">
        <w:rPr>
          <w:szCs w:val="16"/>
          <w:lang w:val="es-VE"/>
        </w:rPr>
        <w:t>El vehículo es propiedad de unos empresarios residentes en la ciudad de Cartago, a quienes en otras oportunidades la policía judicial había detenido por las mismas razones.</w:t>
      </w:r>
    </w:p>
    <w:p w14:paraId="6EA8E24E" w14:textId="77777777" w:rsidR="008D4A0F" w:rsidRPr="007F2326" w:rsidRDefault="008D4A0F" w:rsidP="007F2326">
      <w:pPr>
        <w:pStyle w:val="ListParagraph"/>
        <w:spacing w:before="0" w:after="0"/>
        <w:rPr>
          <w:szCs w:val="16"/>
          <w:lang w:val="es-VE"/>
        </w:rPr>
      </w:pPr>
      <w:r w:rsidRPr="007F2326">
        <w:rPr>
          <w:szCs w:val="16"/>
          <w:lang w:val="es-VE"/>
        </w:rPr>
        <w:t>Sin embargo, aquel 29 de junio, el vehículo con la carga de licores no tardó mucho tiempo en ser liberado.</w:t>
      </w:r>
    </w:p>
    <w:p w14:paraId="5FFEC105" w14:textId="77777777" w:rsidR="008D4A0F" w:rsidRPr="007F2326" w:rsidRDefault="008D4A0F" w:rsidP="007F2326">
      <w:pPr>
        <w:pStyle w:val="ListParagraph"/>
        <w:spacing w:before="0" w:after="0"/>
        <w:rPr>
          <w:szCs w:val="16"/>
          <w:lang w:val="es-VE"/>
        </w:rPr>
      </w:pPr>
      <w:r w:rsidRPr="007F2326">
        <w:rPr>
          <w:szCs w:val="16"/>
          <w:lang w:val="es-VE"/>
        </w:rPr>
        <w:t>Al lugar llegó, en cuestión de minutos, el jefe regional de la Fuerza Pública, Luis Ortega, quien tras analizar el caso pidió al oficial, (subalterno suyo) liberar el vehículo con la mercadería.</w:t>
      </w:r>
    </w:p>
    <w:p w14:paraId="4B3FD23B" w14:textId="77777777" w:rsidR="008D4A0F" w:rsidRPr="007F2326" w:rsidRDefault="008D4A0F" w:rsidP="007F2326">
      <w:pPr>
        <w:pStyle w:val="ListParagraph"/>
        <w:spacing w:before="0" w:after="0"/>
        <w:rPr>
          <w:szCs w:val="16"/>
          <w:lang w:val="es-VE"/>
        </w:rPr>
      </w:pPr>
      <w:r w:rsidRPr="007F2326">
        <w:rPr>
          <w:szCs w:val="16"/>
          <w:lang w:val="es-VE"/>
        </w:rPr>
        <w:t>Este hecho llevó al Organismo de Investigación Judicial (OIJ) a presentar una denuncia contra el jefe policial bajo el cargo de incumplimiento de deberes. La denuncia se tramita en la Fiscalía de Corredores.</w:t>
      </w:r>
    </w:p>
    <w:p w14:paraId="6A70ED1C" w14:textId="77777777" w:rsidR="008D4A0F" w:rsidRPr="007F2326" w:rsidRDefault="008D4A0F" w:rsidP="007F2326">
      <w:pPr>
        <w:pStyle w:val="ListParagraph"/>
        <w:spacing w:before="0" w:after="0"/>
        <w:rPr>
          <w:szCs w:val="16"/>
          <w:lang w:val="es-VE"/>
        </w:rPr>
      </w:pPr>
      <w:r w:rsidRPr="007F2326">
        <w:rPr>
          <w:szCs w:val="16"/>
          <w:lang w:val="es-VE"/>
        </w:rPr>
        <w:t>De acuerdo con el OIJ, Ortega no tenía razones legales para liberar el vehículo. Además, ya la Fuerza Pública conocía bien que a los empresarios cartagineses se les investigaba por contrabando de licores.</w:t>
      </w:r>
    </w:p>
    <w:p w14:paraId="0945368C" w14:textId="77777777" w:rsidR="008D4A0F" w:rsidRPr="007F2326" w:rsidRDefault="008D4A0F" w:rsidP="007F2326">
      <w:pPr>
        <w:pStyle w:val="ListParagraph"/>
        <w:spacing w:before="0" w:after="0"/>
        <w:rPr>
          <w:szCs w:val="16"/>
          <w:lang w:val="es-VE"/>
        </w:rPr>
      </w:pPr>
      <w:r w:rsidRPr="007F2326">
        <w:rPr>
          <w:szCs w:val="16"/>
          <w:lang w:val="es-VE"/>
        </w:rPr>
        <w:t>El ministro de Seguridad Pública, Rogelio Ramos, confirmó ayer que la denuncia del OIJ, más otros hechos en investigación, motivaron el traslado de puesto de Ortega al Departamento de Apoyo Legal de ese ministerio. "Por ahora no podemos separarlo en forma definitiva; vamos a esperar el resultado de las pesquisas judiciales", dijo Ramos.</w:t>
      </w:r>
    </w:p>
    <w:p w14:paraId="3F4A5780" w14:textId="77777777" w:rsidR="008D4A0F" w:rsidRPr="007F2326" w:rsidRDefault="008D4A0F" w:rsidP="007F2326">
      <w:pPr>
        <w:pStyle w:val="ListParagraph"/>
        <w:spacing w:before="0" w:after="0"/>
        <w:rPr>
          <w:szCs w:val="16"/>
          <w:lang w:val="es-VE"/>
        </w:rPr>
      </w:pPr>
      <w:r w:rsidRPr="007F2326">
        <w:rPr>
          <w:szCs w:val="16"/>
          <w:lang w:val="es-VE"/>
        </w:rPr>
        <w:t>El sustituto de Ortega en la zona es el oficial Daniel Calderón, quien hasta ayer ocupó la subdirección de la Fuerza Pública de Alajuela.</w:t>
      </w:r>
    </w:p>
    <w:p w14:paraId="220B9DA6" w14:textId="77777777" w:rsidR="008D4A0F" w:rsidRPr="007F2326" w:rsidRDefault="008D4A0F" w:rsidP="007F2326">
      <w:pPr>
        <w:pStyle w:val="ListParagraph"/>
        <w:spacing w:before="0" w:after="0"/>
        <w:rPr>
          <w:b/>
          <w:szCs w:val="16"/>
          <w:lang w:val="es-VE"/>
        </w:rPr>
      </w:pPr>
      <w:r w:rsidRPr="007F2326">
        <w:rPr>
          <w:b/>
          <w:szCs w:val="16"/>
          <w:lang w:val="es-VE"/>
        </w:rPr>
        <w:t xml:space="preserve">Más casos. </w:t>
      </w:r>
      <w:r w:rsidRPr="007F2326">
        <w:rPr>
          <w:szCs w:val="16"/>
          <w:lang w:val="es-VE"/>
        </w:rPr>
        <w:t>Pero el caso de Ortega no es el único en la zona sur.</w:t>
      </w:r>
    </w:p>
    <w:p w14:paraId="32AB9C1B" w14:textId="77777777" w:rsidR="008D4A0F" w:rsidRPr="007F2326" w:rsidRDefault="008D4A0F" w:rsidP="007F2326">
      <w:pPr>
        <w:pStyle w:val="ListParagraph"/>
        <w:spacing w:before="0" w:after="0"/>
        <w:rPr>
          <w:szCs w:val="16"/>
          <w:lang w:val="es-VE"/>
        </w:rPr>
      </w:pPr>
      <w:r w:rsidRPr="007F2326">
        <w:rPr>
          <w:szCs w:val="16"/>
          <w:lang w:val="es-VE"/>
        </w:rPr>
        <w:t>Ramos también confirmó que el jefe policial de San Vito de Coto Brus, de apellido Cruz, y el de Ciudad Neily, de apellido Méndez, son objeto de una investigación y que posiblemente serán removidos.</w:t>
      </w:r>
    </w:p>
    <w:p w14:paraId="7C90977D" w14:textId="77777777" w:rsidR="008D4A0F" w:rsidRPr="007F2326" w:rsidRDefault="008D4A0F" w:rsidP="007F2326">
      <w:pPr>
        <w:pStyle w:val="ListParagraph"/>
        <w:spacing w:before="0" w:after="0"/>
        <w:rPr>
          <w:szCs w:val="16"/>
          <w:lang w:val="es-VE"/>
        </w:rPr>
      </w:pPr>
      <w:r w:rsidRPr="007F2326">
        <w:rPr>
          <w:szCs w:val="16"/>
          <w:lang w:val="es-VE"/>
        </w:rPr>
        <w:t>"Por ahora ambos disfrutarán de sus vacaciones", dijo.</w:t>
      </w:r>
    </w:p>
    <w:p w14:paraId="521094E3" w14:textId="77777777" w:rsidR="008D4A0F" w:rsidRPr="007F2326" w:rsidRDefault="008D4A0F" w:rsidP="007F2326">
      <w:pPr>
        <w:pStyle w:val="ListParagraph"/>
        <w:spacing w:before="0" w:after="0"/>
        <w:rPr>
          <w:szCs w:val="16"/>
          <w:lang w:val="es-VE"/>
        </w:rPr>
      </w:pPr>
      <w:r w:rsidRPr="007F2326">
        <w:rPr>
          <w:szCs w:val="16"/>
          <w:lang w:val="es-VE"/>
        </w:rPr>
        <w:t>A Cruz, con más de 16 años de laborar para la Fuerza Pública, se le sigue una causa en la Fiscalía de Corredores por una supuesta extorsión con trasiego de licores.</w:t>
      </w:r>
    </w:p>
    <w:p w14:paraId="612CB9AE" w14:textId="77777777" w:rsidR="008D4A0F" w:rsidRPr="007F2326" w:rsidRDefault="008D4A0F" w:rsidP="007F2326">
      <w:pPr>
        <w:pStyle w:val="ListParagraph"/>
        <w:spacing w:before="0" w:after="0"/>
        <w:rPr>
          <w:szCs w:val="16"/>
          <w:lang w:val="es-VE"/>
        </w:rPr>
      </w:pPr>
      <w:r w:rsidRPr="007F2326">
        <w:rPr>
          <w:szCs w:val="16"/>
          <w:lang w:val="es-VE"/>
        </w:rPr>
        <w:t>Una demanda similar enfrenta desde hace varias semanas el oficial Méndez, quien lleva varios años de laborar en la zona.</w:t>
      </w:r>
    </w:p>
    <w:p w14:paraId="0BDC33A9" w14:textId="77777777" w:rsidR="008D4A0F" w:rsidRPr="007F2326" w:rsidRDefault="008D4A0F" w:rsidP="007F2326">
      <w:pPr>
        <w:pStyle w:val="ListParagraph"/>
        <w:spacing w:before="0" w:after="0"/>
        <w:rPr>
          <w:szCs w:val="16"/>
          <w:lang w:val="es-MX"/>
        </w:rPr>
      </w:pPr>
      <w:r w:rsidRPr="007F2326">
        <w:rPr>
          <w:szCs w:val="16"/>
          <w:lang w:val="es-MX"/>
        </w:rPr>
        <w:t>Ayer no fue posible hablar con ambos jefes policiales pues se hallaban en reuniones.</w:t>
      </w:r>
    </w:p>
  </w:footnote>
  <w:footnote w:id="7">
    <w:p w14:paraId="19B6A001"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 xml:space="preserve">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 185.</w:t>
      </w:r>
    </w:p>
  </w:footnote>
  <w:footnote w:id="8">
    <w:p w14:paraId="0E251664"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 xml:space="preserve">Anexo 2. </w:t>
      </w:r>
      <w:r w:rsidRPr="007F2326">
        <w:rPr>
          <w:rFonts w:ascii="Cambria" w:hAnsi="Cambria"/>
          <w:color w:val="auto"/>
          <w:sz w:val="16"/>
          <w:szCs w:val="16"/>
          <w:lang w:val="es-PE"/>
        </w:rPr>
        <w:t>Nota de prensa publicada en el Diario “La Nación” el 17 de diciembre de 2005, titulada “</w:t>
      </w:r>
      <w:r w:rsidRPr="007F2326">
        <w:rPr>
          <w:rFonts w:ascii="Cambria" w:hAnsi="Cambria"/>
          <w:sz w:val="16"/>
          <w:szCs w:val="16"/>
          <w:lang w:val="es-VE"/>
        </w:rPr>
        <w:t>OIJ denunció a jefe policial por no detener camión con licores</w:t>
      </w:r>
      <w:r w:rsidRPr="007F2326">
        <w:rPr>
          <w:rFonts w:ascii="Cambria" w:hAnsi="Cambria"/>
          <w:color w:val="auto"/>
          <w:sz w:val="16"/>
          <w:szCs w:val="16"/>
          <w:lang w:val="es-PE"/>
        </w:rPr>
        <w:t xml:space="preserve">”. </w:t>
      </w:r>
      <w:r w:rsidRPr="007F2326">
        <w:rPr>
          <w:rFonts w:ascii="Cambria" w:hAnsi="Cambria"/>
          <w:sz w:val="16"/>
          <w:szCs w:val="16"/>
          <w:lang w:val="es-MX"/>
        </w:rPr>
        <w:t>Anexo 2 a la petición inicial de 29 de agosto de 2008.</w:t>
      </w:r>
    </w:p>
  </w:footnote>
  <w:footnote w:id="9">
    <w:p w14:paraId="3FD8AD81" w14:textId="77777777" w:rsidR="008D4A0F" w:rsidRPr="007F2326" w:rsidRDefault="008D4A0F" w:rsidP="007F2326">
      <w:pPr>
        <w:pStyle w:val="ListParagraph"/>
        <w:spacing w:before="0" w:after="0"/>
        <w:rPr>
          <w:szCs w:val="16"/>
          <w:lang w:val="es-MX"/>
        </w:rPr>
      </w:pPr>
      <w:r w:rsidRPr="007F2326">
        <w:rPr>
          <w:rStyle w:val="FootnoteReference"/>
          <w:szCs w:val="16"/>
        </w:rPr>
        <w:footnoteRef/>
      </w:r>
      <w:r w:rsidRPr="007F2326">
        <w:rPr>
          <w:szCs w:val="16"/>
          <w:lang w:val="es-MX"/>
        </w:rPr>
        <w:t xml:space="preserve"> Anexo 3. Carta notarial de </w:t>
      </w:r>
      <w:r w:rsidRPr="007F2326">
        <w:rPr>
          <w:szCs w:val="16"/>
          <w:lang w:val="es-VE"/>
        </w:rPr>
        <w:t xml:space="preserve">José Cruz Trejos Rodríguez remitida al Diario La Nación. 19 de diciembre de 2005. </w:t>
      </w:r>
      <w:r w:rsidRPr="007F2326">
        <w:rPr>
          <w:szCs w:val="16"/>
          <w:lang w:val="es-MX"/>
        </w:rPr>
        <w:t xml:space="preserve">Anexo 2 al escrito del Estado de 2 de diciembre de 2015. </w:t>
      </w:r>
    </w:p>
  </w:footnote>
  <w:footnote w:id="10">
    <w:p w14:paraId="76850A06" w14:textId="77777777" w:rsidR="008D4A0F" w:rsidRPr="007F2326" w:rsidRDefault="008D4A0F" w:rsidP="007F2326">
      <w:pPr>
        <w:pStyle w:val="ListParagraph"/>
        <w:spacing w:before="0" w:after="0"/>
        <w:rPr>
          <w:szCs w:val="16"/>
          <w:lang w:val="es-MX"/>
        </w:rPr>
      </w:pPr>
      <w:r w:rsidRPr="007F2326">
        <w:rPr>
          <w:rStyle w:val="FootnoteReference"/>
          <w:szCs w:val="16"/>
        </w:rPr>
        <w:footnoteRef/>
      </w:r>
      <w:r w:rsidRPr="007F2326">
        <w:rPr>
          <w:szCs w:val="16"/>
          <w:lang w:val="es-MX"/>
        </w:rPr>
        <w:t xml:space="preserve"> Anexo 4. Comunicación del </w:t>
      </w:r>
      <w:r w:rsidRPr="007F2326">
        <w:rPr>
          <w:szCs w:val="16"/>
          <w:lang w:val="es-VE"/>
        </w:rPr>
        <w:t>diario “La Nación”</w:t>
      </w:r>
      <w:r w:rsidRPr="007F2326">
        <w:rPr>
          <w:szCs w:val="16"/>
          <w:lang w:val="es-MX"/>
        </w:rPr>
        <w:t xml:space="preserve"> dirigida al señor </w:t>
      </w:r>
      <w:r w:rsidRPr="007F2326">
        <w:rPr>
          <w:szCs w:val="16"/>
          <w:lang w:val="es-VE"/>
        </w:rPr>
        <w:t xml:space="preserve">José Cruz Trejos Rodríguez. 21 de diciembre de 2005. </w:t>
      </w:r>
      <w:r w:rsidRPr="007F2326">
        <w:rPr>
          <w:szCs w:val="16"/>
          <w:lang w:val="es-MX"/>
        </w:rPr>
        <w:t xml:space="preserve">Anexo 3 al escrito del Estado de 2 de diciembre de 2015. </w:t>
      </w:r>
    </w:p>
  </w:footnote>
  <w:footnote w:id="11">
    <w:p w14:paraId="68DE720D" w14:textId="77777777" w:rsidR="008D4A0F" w:rsidRPr="007F2326" w:rsidRDefault="008D4A0F" w:rsidP="007F2326">
      <w:pPr>
        <w:pStyle w:val="ListParagraph"/>
        <w:spacing w:before="0" w:after="0"/>
        <w:rPr>
          <w:szCs w:val="16"/>
          <w:lang w:val="es-MX"/>
        </w:rPr>
      </w:pPr>
      <w:r w:rsidRPr="007F2326">
        <w:rPr>
          <w:rStyle w:val="FootnoteReference"/>
          <w:szCs w:val="16"/>
        </w:rPr>
        <w:footnoteRef/>
      </w:r>
      <w:r w:rsidRPr="007F2326">
        <w:rPr>
          <w:szCs w:val="16"/>
          <w:lang w:val="es-MX"/>
        </w:rPr>
        <w:t xml:space="preserve"> Anexo 5. </w:t>
      </w:r>
      <w:r w:rsidRPr="007F2326">
        <w:rPr>
          <w:color w:val="auto"/>
          <w:szCs w:val="16"/>
          <w:lang w:val="es-PE"/>
        </w:rPr>
        <w:t>Fe de erratas publicada en el Diario “La Nación” el 6 de febrero de 2006, titulada “</w:t>
      </w:r>
      <w:r w:rsidRPr="007F2326">
        <w:rPr>
          <w:szCs w:val="16"/>
          <w:lang w:val="es-PE"/>
        </w:rPr>
        <w:t>Error con fiscalía</w:t>
      </w:r>
      <w:r w:rsidRPr="007F2326">
        <w:rPr>
          <w:color w:val="auto"/>
          <w:szCs w:val="16"/>
          <w:lang w:val="es-PE"/>
        </w:rPr>
        <w:t xml:space="preserve">”. </w:t>
      </w:r>
      <w:r w:rsidRPr="007F2326">
        <w:rPr>
          <w:szCs w:val="16"/>
          <w:lang w:val="es-MX"/>
        </w:rPr>
        <w:t>Anexo 3 a la petición inicial de 29 de agosto de 2008.</w:t>
      </w:r>
    </w:p>
  </w:footnote>
  <w:footnote w:id="12">
    <w:p w14:paraId="38CA4FE3"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 xml:space="preserve">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folios 185 y 188.</w:t>
      </w:r>
    </w:p>
  </w:footnote>
  <w:footnote w:id="13">
    <w:p w14:paraId="44679846"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 xml:space="preserve">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folios 181 y 197.</w:t>
      </w:r>
    </w:p>
  </w:footnote>
  <w:footnote w:id="14">
    <w:p w14:paraId="554982FB"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MX"/>
        </w:rPr>
        <w:t xml:space="preserve"> 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folio182.</w:t>
      </w:r>
    </w:p>
  </w:footnote>
  <w:footnote w:id="15">
    <w:p w14:paraId="0032B0F4"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MX"/>
        </w:rPr>
        <w:t xml:space="preserve"> 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folio183.</w:t>
      </w:r>
    </w:p>
  </w:footnote>
  <w:footnote w:id="16">
    <w:p w14:paraId="33BB24FB"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 xml:space="preserve">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folios 183, 186 y 187.</w:t>
      </w:r>
    </w:p>
  </w:footnote>
  <w:footnote w:id="17">
    <w:p w14:paraId="2D868EB2"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MX"/>
        </w:rPr>
        <w:t xml:space="preserve">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 199.</w:t>
      </w:r>
    </w:p>
  </w:footnote>
  <w:footnote w:id="18">
    <w:p w14:paraId="1E1D1EE7"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MX"/>
        </w:rPr>
        <w:t xml:space="preserve"> 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 190.</w:t>
      </w:r>
    </w:p>
  </w:footnote>
  <w:footnote w:id="19">
    <w:p w14:paraId="5E374E65"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MX"/>
        </w:rPr>
        <w:t xml:space="preserve"> 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 190.</w:t>
      </w:r>
    </w:p>
  </w:footnote>
  <w:footnote w:id="20">
    <w:p w14:paraId="0AC767AA"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 xml:space="preserve">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 191.</w:t>
      </w:r>
    </w:p>
  </w:footnote>
  <w:footnote w:id="21">
    <w:p w14:paraId="1EE0989C"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MX"/>
        </w:rPr>
        <w:t xml:space="preserve"> 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 196.</w:t>
      </w:r>
    </w:p>
  </w:footnote>
  <w:footnote w:id="22">
    <w:p w14:paraId="294B66D3"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 xml:space="preserve">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 194.</w:t>
      </w:r>
    </w:p>
  </w:footnote>
  <w:footnote w:id="23">
    <w:p w14:paraId="4CB47170"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 xml:space="preserve">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folios 192 a 194.</w:t>
      </w:r>
    </w:p>
  </w:footnote>
  <w:footnote w:id="24">
    <w:p w14:paraId="4170A5C9"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MX"/>
        </w:rPr>
        <w:t xml:space="preserve"> 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folios 191 a 192.</w:t>
      </w:r>
    </w:p>
  </w:footnote>
  <w:footnote w:id="25">
    <w:p w14:paraId="1994F088" w14:textId="77777777" w:rsidR="008D4A0F" w:rsidRPr="007F2326" w:rsidRDefault="008D4A0F" w:rsidP="007F2326">
      <w:pPr>
        <w:pStyle w:val="FootnoteText"/>
        <w:jc w:val="both"/>
        <w:rPr>
          <w:rFonts w:ascii="Cambria" w:hAnsi="Cambria"/>
          <w:sz w:val="16"/>
          <w:szCs w:val="16"/>
          <w:lang w:val="es-VE"/>
        </w:rPr>
      </w:pPr>
      <w:r w:rsidRPr="007F2326">
        <w:rPr>
          <w:rStyle w:val="FootnoteReference"/>
          <w:rFonts w:ascii="Cambria" w:hAnsi="Cambria"/>
          <w:sz w:val="16"/>
          <w:szCs w:val="16"/>
        </w:rPr>
        <w:footnoteRef/>
      </w:r>
      <w:r w:rsidRPr="007F2326">
        <w:rPr>
          <w:rFonts w:ascii="Cambria" w:hAnsi="Cambria"/>
          <w:sz w:val="16"/>
          <w:szCs w:val="16"/>
          <w:lang w:val="es-MX"/>
        </w:rPr>
        <w:t xml:space="preserve"> 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 196.</w:t>
      </w:r>
    </w:p>
  </w:footnote>
  <w:footnote w:id="26">
    <w:p w14:paraId="01DC4316"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MX"/>
        </w:rPr>
        <w:t xml:space="preserve"> 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 197.</w:t>
      </w:r>
    </w:p>
  </w:footnote>
  <w:footnote w:id="27">
    <w:p w14:paraId="7A0666E0"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 xml:space="preserve">Anexo 1. Sentencia No. 02-2007 </w:t>
      </w:r>
      <w:r w:rsidRPr="007F2326">
        <w:rPr>
          <w:rFonts w:ascii="Cambria" w:hAnsi="Cambria"/>
          <w:color w:val="auto"/>
          <w:sz w:val="16"/>
          <w:szCs w:val="16"/>
          <w:lang w:val="es-PE"/>
        </w:rPr>
        <w:t xml:space="preserve">del Tribunal de Juicio del Segundo Circuito Judicial de San José. 10 de enero de 2007. </w:t>
      </w:r>
      <w:r w:rsidRPr="007F2326">
        <w:rPr>
          <w:rFonts w:ascii="Cambria" w:hAnsi="Cambria"/>
          <w:sz w:val="16"/>
          <w:szCs w:val="16"/>
          <w:lang w:val="es-MX"/>
        </w:rPr>
        <w:t>Anexo 4 a la petición inicial de 29 de agosto de 2008, folios 197 a 200.</w:t>
      </w:r>
    </w:p>
  </w:footnote>
  <w:footnote w:id="28">
    <w:p w14:paraId="62A58EF2"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 xml:space="preserve">Anexo 6. </w:t>
      </w:r>
      <w:r w:rsidRPr="007F2326">
        <w:rPr>
          <w:rFonts w:ascii="Cambria" w:hAnsi="Cambria"/>
          <w:color w:val="auto"/>
          <w:sz w:val="16"/>
          <w:szCs w:val="16"/>
          <w:lang w:val="es-PE"/>
        </w:rPr>
        <w:t xml:space="preserve">Resolución del Tribunal Penal del Segundo Circuito Judicial de San José. 28 de septiembre de 2009. </w:t>
      </w:r>
      <w:r w:rsidRPr="007F2326">
        <w:rPr>
          <w:rFonts w:ascii="Cambria" w:hAnsi="Cambria"/>
          <w:sz w:val="16"/>
          <w:szCs w:val="16"/>
          <w:lang w:val="es-MX"/>
        </w:rPr>
        <w:t>Anexo 5 al escrito del Estado de 2 de diciembre de 2015.</w:t>
      </w:r>
    </w:p>
  </w:footnote>
  <w:footnote w:id="29">
    <w:p w14:paraId="0469B628"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 xml:space="preserve">Anexo 7. </w:t>
      </w:r>
      <w:r w:rsidRPr="007F2326">
        <w:rPr>
          <w:rFonts w:ascii="Cambria" w:hAnsi="Cambria"/>
          <w:color w:val="auto"/>
          <w:sz w:val="16"/>
          <w:szCs w:val="16"/>
          <w:lang w:val="es-PE"/>
        </w:rPr>
        <w:t xml:space="preserve">Sentencia de Casación de la Sala Tercera de la Corte Suprema de Justicia. 20 de diciembre de 2007. </w:t>
      </w:r>
      <w:r w:rsidRPr="007F2326">
        <w:rPr>
          <w:rFonts w:ascii="Cambria" w:hAnsi="Cambria"/>
          <w:sz w:val="16"/>
          <w:szCs w:val="16"/>
          <w:lang w:val="es-MX"/>
        </w:rPr>
        <w:t>Anexo 5 a la petición inicial de 29 de agosto de 2008, folios 3 y 4.</w:t>
      </w:r>
    </w:p>
  </w:footnote>
  <w:footnote w:id="30">
    <w:p w14:paraId="667DC0A5"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 xml:space="preserve">Anexo 7. </w:t>
      </w:r>
      <w:r w:rsidRPr="007F2326">
        <w:rPr>
          <w:rFonts w:ascii="Cambria" w:hAnsi="Cambria"/>
          <w:color w:val="auto"/>
          <w:sz w:val="16"/>
          <w:szCs w:val="16"/>
          <w:lang w:val="es-PE"/>
        </w:rPr>
        <w:t xml:space="preserve">Sentencia de Casación de la Sala Tercera de la Corte Suprema de Justicia. 20 de diciembre de 2007. </w:t>
      </w:r>
      <w:r w:rsidRPr="007F2326">
        <w:rPr>
          <w:rFonts w:ascii="Cambria" w:hAnsi="Cambria"/>
          <w:sz w:val="16"/>
          <w:szCs w:val="16"/>
          <w:lang w:val="es-MX"/>
        </w:rPr>
        <w:t>Anexo 5 a la petición inicial de 29 de agosto de 2008, folios 3 y 4.</w:t>
      </w:r>
    </w:p>
  </w:footnote>
  <w:footnote w:id="31">
    <w:p w14:paraId="015468EA"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MX"/>
        </w:rPr>
        <w:t xml:space="preserve"> Anexo 7. </w:t>
      </w:r>
      <w:r w:rsidRPr="007F2326">
        <w:rPr>
          <w:rFonts w:ascii="Cambria" w:hAnsi="Cambria"/>
          <w:color w:val="auto"/>
          <w:sz w:val="16"/>
          <w:szCs w:val="16"/>
          <w:lang w:val="es-PE"/>
        </w:rPr>
        <w:t xml:space="preserve">Sentencia de Casación de la Sala Tercera de la Corte Suprema de Justicia. 20 de diciembre de 2007. </w:t>
      </w:r>
      <w:r w:rsidRPr="007F2326">
        <w:rPr>
          <w:rFonts w:ascii="Cambria" w:hAnsi="Cambria"/>
          <w:sz w:val="16"/>
          <w:szCs w:val="16"/>
          <w:lang w:val="es-MX"/>
        </w:rPr>
        <w:t>Anexo 5 a la petición inicial de 29 de agosto de 2008, folio 4.</w:t>
      </w:r>
    </w:p>
  </w:footnote>
  <w:footnote w:id="32">
    <w:p w14:paraId="1E498CDC"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MX"/>
        </w:rPr>
        <w:t xml:space="preserve"> Anexo 7. </w:t>
      </w:r>
      <w:r w:rsidRPr="007F2326">
        <w:rPr>
          <w:rFonts w:ascii="Cambria" w:hAnsi="Cambria"/>
          <w:color w:val="auto"/>
          <w:sz w:val="16"/>
          <w:szCs w:val="16"/>
          <w:lang w:val="es-PE"/>
        </w:rPr>
        <w:t xml:space="preserve">Sentencia de Casación de la Sala Tercera de la Corte Suprema de Justicia. 20 de diciembre de 2007. </w:t>
      </w:r>
      <w:r w:rsidRPr="007F2326">
        <w:rPr>
          <w:rFonts w:ascii="Cambria" w:hAnsi="Cambria"/>
          <w:sz w:val="16"/>
          <w:szCs w:val="16"/>
          <w:lang w:val="es-MX"/>
        </w:rPr>
        <w:t>Anexo 5 a la petición inicial de 29 de agosto de 2008, folio 4.</w:t>
      </w:r>
    </w:p>
  </w:footnote>
  <w:footnote w:id="33">
    <w:p w14:paraId="06ADA214"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MX"/>
        </w:rPr>
        <w:t xml:space="preserve"> Anexo 7. </w:t>
      </w:r>
      <w:r w:rsidRPr="007F2326">
        <w:rPr>
          <w:rFonts w:ascii="Cambria" w:hAnsi="Cambria"/>
          <w:color w:val="auto"/>
          <w:sz w:val="16"/>
          <w:szCs w:val="16"/>
          <w:lang w:val="es-PE"/>
        </w:rPr>
        <w:t xml:space="preserve">Sentencia de Casación de la Sala Tercera de la Corte Suprema de Justicia. 20 de diciembre de 2007. </w:t>
      </w:r>
      <w:r w:rsidRPr="007F2326">
        <w:rPr>
          <w:rFonts w:ascii="Cambria" w:hAnsi="Cambria"/>
          <w:sz w:val="16"/>
          <w:szCs w:val="16"/>
          <w:lang w:val="es-MX"/>
        </w:rPr>
        <w:t>Anexo 5 a la petición inicial de 29 de agosto de 2008, folio 4.</w:t>
      </w:r>
    </w:p>
  </w:footnote>
  <w:footnote w:id="34">
    <w:p w14:paraId="4E2F8330"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 xml:space="preserve">Anexo 7. </w:t>
      </w:r>
      <w:r w:rsidRPr="007F2326">
        <w:rPr>
          <w:rFonts w:ascii="Cambria" w:hAnsi="Cambria"/>
          <w:color w:val="auto"/>
          <w:sz w:val="16"/>
          <w:szCs w:val="16"/>
          <w:lang w:val="es-PE"/>
        </w:rPr>
        <w:t xml:space="preserve">Sentencia de Casación de la Sala Tercera de la Corte Suprema de Justicia. 20 de diciembre de 2007. </w:t>
      </w:r>
      <w:r w:rsidRPr="007F2326">
        <w:rPr>
          <w:rFonts w:ascii="Cambria" w:hAnsi="Cambria"/>
          <w:sz w:val="16"/>
          <w:szCs w:val="16"/>
          <w:lang w:val="es-MX"/>
        </w:rPr>
        <w:t>Anexo 5 a la petición inicial de 29 de agosto de 2008, folios 5 y 6.</w:t>
      </w:r>
    </w:p>
  </w:footnote>
  <w:footnote w:id="35">
    <w:p w14:paraId="0FC8A730" w14:textId="77777777" w:rsidR="008D4A0F" w:rsidRPr="007F2326" w:rsidRDefault="008D4A0F" w:rsidP="007F2326">
      <w:pPr>
        <w:pStyle w:val="FootnoteText"/>
        <w:jc w:val="both"/>
        <w:rPr>
          <w:rFonts w:ascii="Cambria" w:hAnsi="Cambria"/>
          <w:color w:val="auto"/>
          <w:sz w:val="16"/>
          <w:szCs w:val="16"/>
          <w:lang w:val="es-MX"/>
        </w:rPr>
      </w:pPr>
      <w:r w:rsidRPr="007F2326">
        <w:rPr>
          <w:rStyle w:val="FootnoteReference"/>
          <w:rFonts w:ascii="Cambria" w:hAnsi="Cambria"/>
          <w:color w:val="auto"/>
          <w:sz w:val="16"/>
          <w:szCs w:val="16"/>
        </w:rPr>
        <w:footnoteRef/>
      </w:r>
      <w:r w:rsidRPr="007F2326">
        <w:rPr>
          <w:rFonts w:ascii="Cambria" w:hAnsi="Cambria"/>
          <w:color w:val="auto"/>
          <w:sz w:val="16"/>
          <w:szCs w:val="16"/>
          <w:lang w:val="es-MX"/>
        </w:rPr>
        <w:t xml:space="preserve"> El artículo 13 de la Convención Americana dispone en lo pertinente que:</w:t>
      </w:r>
    </w:p>
    <w:p w14:paraId="1FC29709" w14:textId="77777777" w:rsidR="008D4A0F" w:rsidRPr="007F2326" w:rsidRDefault="008D4A0F" w:rsidP="007F2326">
      <w:pPr>
        <w:pStyle w:val="FootnoteText"/>
        <w:jc w:val="both"/>
        <w:rPr>
          <w:rFonts w:ascii="Cambria" w:hAnsi="Cambria"/>
          <w:color w:val="auto"/>
          <w:sz w:val="16"/>
          <w:szCs w:val="16"/>
          <w:lang w:val="es-MX"/>
        </w:rPr>
      </w:pPr>
      <w:r w:rsidRPr="007F2326">
        <w:rPr>
          <w:rFonts w:ascii="Cambria" w:hAnsi="Cambria"/>
          <w:color w:val="auto"/>
          <w:sz w:val="16"/>
          <w:szCs w:val="16"/>
          <w:lang w:val="es-MX"/>
        </w:rP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0728E966" w14:textId="77777777" w:rsidR="008D4A0F" w:rsidRPr="007F2326" w:rsidRDefault="008D4A0F" w:rsidP="007F2326">
      <w:pPr>
        <w:pStyle w:val="FootnoteText"/>
        <w:jc w:val="both"/>
        <w:rPr>
          <w:rFonts w:ascii="Cambria" w:hAnsi="Cambria"/>
          <w:color w:val="auto"/>
          <w:sz w:val="16"/>
          <w:szCs w:val="16"/>
          <w:lang w:val="es-MX"/>
        </w:rPr>
      </w:pPr>
      <w:r w:rsidRPr="007F2326">
        <w:rPr>
          <w:rFonts w:ascii="Cambria" w:hAnsi="Cambria"/>
          <w:color w:val="auto"/>
          <w:sz w:val="16"/>
          <w:szCs w:val="16"/>
          <w:lang w:val="es-MX"/>
        </w:rPr>
        <w:t>2. El ejercicio del derecho previsto en el inciso precedente no puede estar sujeto a previa censura sino a responsabilidades ulteriores, las que deben estar expresamente fijadas por la ley y ser necesarias para asegurar:</w:t>
      </w:r>
    </w:p>
    <w:p w14:paraId="478E9937" w14:textId="77777777" w:rsidR="008D4A0F" w:rsidRPr="007F2326" w:rsidRDefault="008D4A0F" w:rsidP="007F2326">
      <w:pPr>
        <w:pStyle w:val="FootnoteText"/>
        <w:jc w:val="both"/>
        <w:rPr>
          <w:rFonts w:ascii="Cambria" w:hAnsi="Cambria"/>
          <w:color w:val="auto"/>
          <w:sz w:val="16"/>
          <w:szCs w:val="16"/>
          <w:lang w:val="es-MX"/>
        </w:rPr>
      </w:pPr>
      <w:r w:rsidRPr="007F2326">
        <w:rPr>
          <w:rFonts w:ascii="Cambria" w:hAnsi="Cambria"/>
          <w:color w:val="auto"/>
          <w:sz w:val="16"/>
          <w:szCs w:val="16"/>
          <w:lang w:val="es-MX"/>
        </w:rPr>
        <w:t>a. el respeto a los derechos o a la reputación de los demás, o</w:t>
      </w:r>
    </w:p>
    <w:p w14:paraId="44989E6F" w14:textId="77777777" w:rsidR="008D4A0F" w:rsidRPr="007F2326" w:rsidRDefault="008D4A0F" w:rsidP="007F2326">
      <w:pPr>
        <w:pStyle w:val="FootnoteText"/>
        <w:jc w:val="both"/>
        <w:rPr>
          <w:rFonts w:ascii="Cambria" w:hAnsi="Cambria"/>
          <w:color w:val="auto"/>
          <w:sz w:val="16"/>
          <w:szCs w:val="16"/>
          <w:lang w:val="es-MX"/>
        </w:rPr>
      </w:pPr>
      <w:r w:rsidRPr="007F2326">
        <w:rPr>
          <w:rFonts w:ascii="Cambria" w:hAnsi="Cambria"/>
          <w:color w:val="auto"/>
          <w:sz w:val="16"/>
          <w:szCs w:val="16"/>
          <w:lang w:val="es-MX"/>
        </w:rPr>
        <w:t>b. la protección de la seguridad nacional, el orden público o la salud o la moral públicas.</w:t>
      </w:r>
    </w:p>
    <w:p w14:paraId="2E02DECB" w14:textId="77777777" w:rsidR="008D4A0F" w:rsidRPr="007F2326" w:rsidRDefault="008D4A0F" w:rsidP="007F2326">
      <w:pPr>
        <w:pStyle w:val="FootnoteText"/>
        <w:jc w:val="both"/>
        <w:rPr>
          <w:rFonts w:ascii="Cambria" w:hAnsi="Cambria"/>
          <w:color w:val="auto"/>
          <w:sz w:val="16"/>
          <w:szCs w:val="16"/>
          <w:lang w:val="es-MX"/>
        </w:rPr>
      </w:pPr>
      <w:r w:rsidRPr="007F2326">
        <w:rPr>
          <w:rFonts w:ascii="Cambria" w:hAnsi="Cambria"/>
          <w:color w:val="auto"/>
          <w:sz w:val="16"/>
          <w:szCs w:val="16"/>
          <w:lang w:val="es-MX"/>
        </w:rPr>
        <w:t>3.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14:paraId="3F29DCC0" w14:textId="77777777" w:rsidR="008D4A0F" w:rsidRPr="007F2326" w:rsidRDefault="008D4A0F" w:rsidP="007F2326">
      <w:pPr>
        <w:pStyle w:val="FootnoteText"/>
        <w:jc w:val="both"/>
        <w:rPr>
          <w:rFonts w:ascii="Cambria" w:hAnsi="Cambria"/>
          <w:color w:val="auto"/>
          <w:sz w:val="16"/>
          <w:szCs w:val="16"/>
          <w:lang w:val="es-MX"/>
        </w:rPr>
      </w:pPr>
      <w:r w:rsidRPr="007F2326">
        <w:rPr>
          <w:rFonts w:ascii="Cambria" w:hAnsi="Cambria"/>
          <w:color w:val="auto"/>
          <w:sz w:val="16"/>
          <w:szCs w:val="16"/>
          <w:lang w:val="es-MX"/>
        </w:rPr>
        <w:t>[…]</w:t>
      </w:r>
    </w:p>
  </w:footnote>
  <w:footnote w:id="36">
    <w:p w14:paraId="440684C5" w14:textId="77777777" w:rsidR="008D4A0F" w:rsidRPr="007F2326" w:rsidRDefault="008D4A0F" w:rsidP="007F2326">
      <w:pPr>
        <w:pStyle w:val="FootnoteText"/>
        <w:jc w:val="both"/>
        <w:rPr>
          <w:rFonts w:ascii="Cambria" w:hAnsi="Cambria"/>
          <w:color w:val="auto"/>
          <w:sz w:val="16"/>
          <w:szCs w:val="16"/>
          <w:lang w:val="es-PE"/>
        </w:rPr>
      </w:pPr>
      <w:r w:rsidRPr="007F2326">
        <w:rPr>
          <w:rStyle w:val="FootnoteReference"/>
          <w:rFonts w:ascii="Cambria" w:hAnsi="Cambria"/>
          <w:color w:val="auto"/>
          <w:sz w:val="16"/>
          <w:szCs w:val="16"/>
        </w:rPr>
        <w:footnoteRef/>
      </w:r>
      <w:r w:rsidRPr="007F2326">
        <w:rPr>
          <w:rFonts w:ascii="Cambria" w:hAnsi="Cambria"/>
          <w:color w:val="auto"/>
          <w:sz w:val="16"/>
          <w:szCs w:val="16"/>
          <w:lang w:val="es-PE"/>
        </w:rPr>
        <w:t xml:space="preserve"> El </w:t>
      </w:r>
      <w:r w:rsidRPr="007F2326">
        <w:rPr>
          <w:rFonts w:ascii="Cambria" w:hAnsi="Cambria"/>
          <w:color w:val="auto"/>
          <w:sz w:val="16"/>
          <w:szCs w:val="16"/>
          <w:bdr w:val="none" w:sz="0" w:space="0" w:color="auto" w:frame="1"/>
          <w:lang w:val="es-MX"/>
        </w:rPr>
        <w:t xml:space="preserve">artículo 1.1 </w:t>
      </w:r>
      <w:r w:rsidRPr="007F2326">
        <w:rPr>
          <w:rFonts w:ascii="Cambria" w:hAnsi="Cambria"/>
          <w:color w:val="auto"/>
          <w:sz w:val="16"/>
          <w:szCs w:val="16"/>
          <w:lang w:val="es-MX"/>
        </w:rPr>
        <w:t>de la Convención Americana dispone que</w:t>
      </w:r>
      <w:r w:rsidRPr="007F2326">
        <w:rPr>
          <w:rFonts w:ascii="Cambria" w:hAnsi="Cambria"/>
          <w:color w:val="auto"/>
          <w:sz w:val="16"/>
          <w:szCs w:val="16"/>
          <w:bdr w:val="none" w:sz="0" w:space="0" w:color="auto" w:frame="1"/>
          <w:lang w:val="es-MX"/>
        </w:rPr>
        <w:t xml:space="preserve">: </w:t>
      </w:r>
      <w:r w:rsidRPr="007F2326">
        <w:rPr>
          <w:rFonts w:ascii="Cambria" w:eastAsia="Batang" w:hAnsi="Cambria"/>
          <w:color w:val="auto"/>
          <w:sz w:val="16"/>
          <w:szCs w:val="16"/>
          <w:bdr w:val="none" w:sz="0" w:space="0" w:color="auto" w:frame="1"/>
          <w:lang w:val="es-ES_tradnl"/>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37">
    <w:p w14:paraId="49205D4C" w14:textId="77777777" w:rsidR="008D4A0F" w:rsidRPr="007F2326" w:rsidRDefault="008D4A0F" w:rsidP="007F2326">
      <w:pPr>
        <w:pStyle w:val="NormalWeb"/>
        <w:spacing w:before="0" w:beforeAutospacing="0" w:after="0" w:afterAutospacing="0"/>
        <w:jc w:val="both"/>
        <w:rPr>
          <w:rFonts w:ascii="Cambria" w:hAnsi="Cambria" w:cs="Tahoma"/>
          <w:color w:val="000000"/>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El </w:t>
      </w:r>
      <w:r w:rsidRPr="007F2326">
        <w:rPr>
          <w:rFonts w:ascii="Cambria" w:hAnsi="Cambria"/>
          <w:sz w:val="16"/>
          <w:szCs w:val="16"/>
          <w:bdr w:val="none" w:sz="0" w:space="0" w:color="auto" w:frame="1"/>
          <w:lang w:val="es-MX"/>
        </w:rPr>
        <w:t xml:space="preserve">artículo 2 </w:t>
      </w:r>
      <w:r w:rsidRPr="007F2326">
        <w:rPr>
          <w:rFonts w:ascii="Cambria" w:hAnsi="Cambria"/>
          <w:sz w:val="16"/>
          <w:szCs w:val="16"/>
          <w:lang w:val="es-MX"/>
        </w:rPr>
        <w:t>de la Convención Americana dispone que</w:t>
      </w:r>
      <w:r w:rsidRPr="007F2326">
        <w:rPr>
          <w:rFonts w:ascii="Cambria" w:hAnsi="Cambria"/>
          <w:sz w:val="16"/>
          <w:szCs w:val="16"/>
          <w:bdr w:val="none" w:sz="0" w:space="0" w:color="auto" w:frame="1"/>
          <w:lang w:val="es-MX"/>
        </w:rPr>
        <w:t xml:space="preserve">: </w:t>
      </w:r>
      <w:r w:rsidRPr="007F2326">
        <w:rPr>
          <w:rFonts w:ascii="Cambria" w:hAnsi="Cambria" w:cs="Tahoma"/>
          <w:color w:val="000000"/>
          <w:sz w:val="16"/>
          <w:szCs w:val="16"/>
          <w:lang w:val="es-PE"/>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38">
    <w:p w14:paraId="79A7FD61" w14:textId="77777777" w:rsidR="008D4A0F" w:rsidRPr="007F2326" w:rsidRDefault="008D4A0F" w:rsidP="007F2326">
      <w:pPr>
        <w:jc w:val="both"/>
        <w:rPr>
          <w:rFonts w:ascii="Cambria" w:hAnsi="Cambria"/>
          <w:sz w:val="16"/>
          <w:szCs w:val="16"/>
          <w:lang w:val="es-ES"/>
        </w:rPr>
      </w:pPr>
      <w:r w:rsidRPr="007F2326">
        <w:rPr>
          <w:rStyle w:val="FootnoteReference"/>
          <w:rFonts w:ascii="Cambria" w:hAnsi="Cambria"/>
          <w:sz w:val="16"/>
          <w:szCs w:val="16"/>
        </w:rPr>
        <w:footnoteRef/>
      </w:r>
      <w:r w:rsidRPr="007F2326">
        <w:rPr>
          <w:rFonts w:ascii="Cambria" w:hAnsi="Cambria"/>
          <w:sz w:val="16"/>
          <w:szCs w:val="16"/>
          <w:lang w:val="es-ES"/>
        </w:rPr>
        <w:t xml:space="preserve"> Corte IDH. </w:t>
      </w:r>
      <w:r w:rsidRPr="007F2326">
        <w:rPr>
          <w:rFonts w:ascii="Cambria" w:hAnsi="Cambria"/>
          <w:i/>
          <w:sz w:val="16"/>
          <w:szCs w:val="16"/>
          <w:lang w:val="es-ES"/>
        </w:rPr>
        <w:t>La Colegiación Obligatoria de Periodistas (arts. 13 y 29 Convención Americana sobre Derechos Humanos).</w:t>
      </w:r>
      <w:r w:rsidRPr="007F2326">
        <w:rPr>
          <w:rFonts w:ascii="Cambria" w:hAnsi="Cambria"/>
          <w:sz w:val="16"/>
          <w:szCs w:val="16"/>
          <w:lang w:val="es-ES"/>
        </w:rPr>
        <w:t xml:space="preserve"> Opinión Consultiva OC-5/85 de 13 de noviembre de 1985. Serie A No. 5. Párr. 30, y </w:t>
      </w:r>
      <w:r w:rsidRPr="007F2326">
        <w:rPr>
          <w:rFonts w:ascii="Cambria" w:hAnsi="Cambria"/>
          <w:i/>
          <w:sz w:val="16"/>
          <w:szCs w:val="16"/>
          <w:lang w:val="es-ES"/>
        </w:rPr>
        <w:t>Caso Mémoli Vs. Argentina.</w:t>
      </w:r>
      <w:r w:rsidRPr="007F2326">
        <w:rPr>
          <w:rFonts w:ascii="Cambria" w:hAnsi="Cambria"/>
          <w:sz w:val="16"/>
          <w:szCs w:val="16"/>
          <w:lang w:val="es-ES"/>
        </w:rPr>
        <w:t xml:space="preserve"> Excepciones Preliminares, </w:t>
      </w:r>
      <w:r w:rsidRPr="007F2326">
        <w:rPr>
          <w:rFonts w:ascii="Cambria" w:hAnsi="Cambria"/>
          <w:spacing w:val="-2"/>
          <w:sz w:val="16"/>
          <w:szCs w:val="16"/>
          <w:lang w:val="es-PE"/>
        </w:rPr>
        <w:t>Fondo, Reparaciones y Costas. Sentencia de 22 de agosto de 2013. Serie C No. 265</w:t>
      </w:r>
      <w:r w:rsidRPr="007F2326">
        <w:rPr>
          <w:rFonts w:ascii="Cambria" w:hAnsi="Cambria"/>
          <w:sz w:val="16"/>
          <w:szCs w:val="16"/>
          <w:lang w:val="es-PE"/>
        </w:rPr>
        <w:t>. Párr. 119</w:t>
      </w:r>
      <w:r w:rsidRPr="007F2326">
        <w:rPr>
          <w:rFonts w:ascii="Cambria" w:hAnsi="Cambria"/>
          <w:sz w:val="16"/>
          <w:szCs w:val="16"/>
          <w:lang w:val="es-ES"/>
        </w:rPr>
        <w:t xml:space="preserve">. CIDH. Informe No. 82/10 Caso 12.524 Fondo. Jorge Fontevecchia y Hector d’Amico. Argentina. 13 de julio de 2010. Párr. 86. </w:t>
      </w:r>
    </w:p>
  </w:footnote>
  <w:footnote w:id="39">
    <w:p w14:paraId="3CB06B19" w14:textId="77777777" w:rsidR="008D4A0F" w:rsidRPr="007F2326" w:rsidRDefault="008D4A0F" w:rsidP="007F2326">
      <w:pPr>
        <w:pStyle w:val="FootnoteText"/>
        <w:tabs>
          <w:tab w:val="left" w:pos="567"/>
        </w:tabs>
        <w:jc w:val="both"/>
        <w:rPr>
          <w:rFonts w:ascii="Cambria" w:hAnsi="Cambria" w:cs="Times New Roman"/>
          <w:color w:val="auto"/>
          <w:spacing w:val="-2"/>
          <w:sz w:val="16"/>
          <w:szCs w:val="16"/>
          <w:lang w:val="es-PE"/>
        </w:rPr>
      </w:pPr>
      <w:r w:rsidRPr="007F2326">
        <w:rPr>
          <w:rStyle w:val="FootnoteReference"/>
          <w:rFonts w:ascii="Cambria" w:eastAsia="Batang" w:hAnsi="Cambria" w:cs="Times New Roman"/>
          <w:color w:val="auto"/>
          <w:spacing w:val="-2"/>
          <w:sz w:val="16"/>
          <w:szCs w:val="16"/>
        </w:rPr>
        <w:footnoteRef/>
      </w:r>
      <w:r w:rsidRPr="007F2326">
        <w:rPr>
          <w:rFonts w:ascii="Cambria" w:hAnsi="Cambria"/>
          <w:color w:val="auto"/>
          <w:spacing w:val="-2"/>
          <w:sz w:val="16"/>
          <w:szCs w:val="16"/>
          <w:lang w:val="es-PE"/>
        </w:rPr>
        <w:t xml:space="preserve"> Corte IDH.</w:t>
      </w:r>
      <w:r w:rsidRPr="007F2326">
        <w:rPr>
          <w:rFonts w:ascii="Cambria" w:hAnsi="Cambria"/>
          <w:i/>
          <w:iCs/>
          <w:color w:val="auto"/>
          <w:spacing w:val="-2"/>
          <w:sz w:val="16"/>
          <w:szCs w:val="16"/>
          <w:lang w:val="es-ES"/>
        </w:rPr>
        <w:t xml:space="preserve"> La Colegiación Obligatoria de Periodistas (Arts. 13 y 29 de la Convención Americana sobre Derechos Humanos), supra</w:t>
      </w:r>
      <w:r w:rsidRPr="007F2326">
        <w:rPr>
          <w:rFonts w:ascii="Cambria" w:hAnsi="Cambria"/>
          <w:color w:val="auto"/>
          <w:spacing w:val="-2"/>
          <w:sz w:val="16"/>
          <w:szCs w:val="16"/>
          <w:lang w:val="es-ES"/>
        </w:rPr>
        <w:t xml:space="preserve">. Párrs. 30 al 33, y </w:t>
      </w:r>
      <w:r w:rsidRPr="007F2326">
        <w:rPr>
          <w:rFonts w:ascii="Cambria" w:hAnsi="Cambria"/>
          <w:i/>
          <w:color w:val="auto"/>
          <w:spacing w:val="-2"/>
          <w:sz w:val="16"/>
          <w:szCs w:val="16"/>
          <w:lang w:val="es-ES"/>
        </w:rPr>
        <w:t>Caso Vélez Restrepo y familiares Vs. Colombia</w:t>
      </w:r>
      <w:r w:rsidRPr="007F2326">
        <w:rPr>
          <w:rFonts w:ascii="Cambria" w:hAnsi="Cambria"/>
          <w:color w:val="auto"/>
          <w:spacing w:val="-2"/>
          <w:sz w:val="16"/>
          <w:szCs w:val="16"/>
          <w:lang w:val="es-ES"/>
        </w:rPr>
        <w:t xml:space="preserve">. </w:t>
      </w:r>
      <w:r w:rsidRPr="007F2326">
        <w:rPr>
          <w:rFonts w:ascii="Cambria" w:hAnsi="Cambria"/>
          <w:sz w:val="16"/>
          <w:szCs w:val="16"/>
          <w:lang w:val="es-ES"/>
        </w:rPr>
        <w:t xml:space="preserve">Excepción Preliminar, </w:t>
      </w:r>
      <w:r w:rsidRPr="007F2326">
        <w:rPr>
          <w:rFonts w:ascii="Cambria" w:hAnsi="Cambria"/>
          <w:spacing w:val="-2"/>
          <w:sz w:val="16"/>
          <w:szCs w:val="16"/>
          <w:lang w:val="es-PE"/>
        </w:rPr>
        <w:t>Fondo, Reparaciones y Costas. Sentencia de 3 de septiembre de 2012. Serie C No. 248</w:t>
      </w:r>
      <w:r w:rsidRPr="007F2326">
        <w:rPr>
          <w:rFonts w:ascii="Cambria" w:hAnsi="Cambria"/>
          <w:sz w:val="16"/>
          <w:szCs w:val="16"/>
          <w:lang w:val="es-PE"/>
        </w:rPr>
        <w:t xml:space="preserve">. </w:t>
      </w:r>
      <w:r w:rsidRPr="007F2326">
        <w:rPr>
          <w:rFonts w:ascii="Cambria" w:hAnsi="Cambria"/>
          <w:color w:val="auto"/>
          <w:spacing w:val="-2"/>
          <w:sz w:val="16"/>
          <w:szCs w:val="16"/>
          <w:lang w:val="es-ES"/>
        </w:rPr>
        <w:t>Párr. 137.</w:t>
      </w:r>
    </w:p>
  </w:footnote>
  <w:footnote w:id="40">
    <w:p w14:paraId="57097778" w14:textId="77777777" w:rsidR="008D4A0F" w:rsidRPr="007F2326" w:rsidRDefault="008D4A0F" w:rsidP="007F2326">
      <w:pPr>
        <w:pStyle w:val="FootnoteText"/>
        <w:tabs>
          <w:tab w:val="left" w:pos="567"/>
        </w:tabs>
        <w:jc w:val="both"/>
        <w:rPr>
          <w:rFonts w:ascii="Cambria" w:hAnsi="Cambria" w:cs="Times New Roman"/>
          <w:color w:val="auto"/>
          <w:spacing w:val="-2"/>
          <w:sz w:val="16"/>
          <w:szCs w:val="16"/>
          <w:lang w:val="es-PE"/>
        </w:rPr>
      </w:pPr>
      <w:r w:rsidRPr="007F2326">
        <w:rPr>
          <w:rStyle w:val="FootnoteReference"/>
          <w:rFonts w:ascii="Cambria" w:eastAsia="Batang" w:hAnsi="Cambria" w:cs="Times New Roman"/>
          <w:color w:val="auto"/>
          <w:spacing w:val="-2"/>
          <w:sz w:val="16"/>
          <w:szCs w:val="16"/>
        </w:rPr>
        <w:footnoteRef/>
      </w:r>
      <w:r w:rsidRPr="007F2326">
        <w:rPr>
          <w:rFonts w:ascii="Cambria" w:hAnsi="Cambria"/>
          <w:i/>
          <w:iCs/>
          <w:color w:val="auto"/>
          <w:spacing w:val="-2"/>
          <w:sz w:val="16"/>
          <w:szCs w:val="16"/>
          <w:lang w:val="es-ES"/>
        </w:rPr>
        <w:t xml:space="preserve"> </w:t>
      </w:r>
      <w:r w:rsidRPr="007F2326">
        <w:rPr>
          <w:rFonts w:ascii="Cambria" w:hAnsi="Cambria"/>
          <w:iCs/>
          <w:color w:val="auto"/>
          <w:spacing w:val="-2"/>
          <w:sz w:val="16"/>
          <w:szCs w:val="16"/>
          <w:lang w:val="es-ES"/>
        </w:rPr>
        <w:t>Corte</w:t>
      </w:r>
      <w:r w:rsidRPr="007F2326">
        <w:rPr>
          <w:rFonts w:ascii="Cambria" w:hAnsi="Cambria"/>
          <w:i/>
          <w:iCs/>
          <w:color w:val="auto"/>
          <w:spacing w:val="-2"/>
          <w:sz w:val="16"/>
          <w:szCs w:val="16"/>
          <w:lang w:val="es-ES"/>
        </w:rPr>
        <w:t xml:space="preserve"> </w:t>
      </w:r>
      <w:r w:rsidRPr="007F2326">
        <w:rPr>
          <w:rFonts w:ascii="Cambria" w:hAnsi="Cambria"/>
          <w:iCs/>
          <w:color w:val="auto"/>
          <w:spacing w:val="-2"/>
          <w:sz w:val="16"/>
          <w:szCs w:val="16"/>
          <w:lang w:val="es-ES"/>
        </w:rPr>
        <w:t>IDH</w:t>
      </w:r>
      <w:r w:rsidRPr="007F2326">
        <w:rPr>
          <w:rFonts w:ascii="Cambria" w:hAnsi="Cambria"/>
          <w:i/>
          <w:iCs/>
          <w:color w:val="auto"/>
          <w:spacing w:val="-2"/>
          <w:sz w:val="16"/>
          <w:szCs w:val="16"/>
          <w:lang w:val="es-ES"/>
        </w:rPr>
        <w:t>. La Colegiación Obligatoria de Periodistas (Arts. 13 y 29 de la Convención Americana sobre Derechos Humanos), supra</w:t>
      </w:r>
      <w:r w:rsidRPr="007F2326">
        <w:rPr>
          <w:rFonts w:ascii="Cambria" w:hAnsi="Cambria"/>
          <w:color w:val="auto"/>
          <w:spacing w:val="-2"/>
          <w:sz w:val="16"/>
          <w:szCs w:val="16"/>
          <w:lang w:val="es-ES"/>
        </w:rPr>
        <w:t xml:space="preserve">. Párr. 33, y </w:t>
      </w:r>
      <w:r w:rsidRPr="007F2326">
        <w:rPr>
          <w:rFonts w:ascii="Cambria" w:hAnsi="Cambria"/>
          <w:i/>
          <w:color w:val="auto"/>
          <w:spacing w:val="-2"/>
          <w:sz w:val="16"/>
          <w:szCs w:val="16"/>
          <w:lang w:val="es-ES"/>
        </w:rPr>
        <w:t>Caso Vélez Restrepo y familiares Vs. Colombia, supra</w:t>
      </w:r>
      <w:r w:rsidRPr="007F2326">
        <w:rPr>
          <w:rFonts w:ascii="Cambria" w:hAnsi="Cambria"/>
          <w:color w:val="auto"/>
          <w:spacing w:val="-2"/>
          <w:sz w:val="16"/>
          <w:szCs w:val="16"/>
          <w:lang w:val="es-ES"/>
        </w:rPr>
        <w:t xml:space="preserve">. Párr. 137. </w:t>
      </w:r>
    </w:p>
  </w:footnote>
  <w:footnote w:id="41">
    <w:p w14:paraId="21392B2F" w14:textId="77777777" w:rsidR="008D4A0F" w:rsidRPr="007F2326" w:rsidRDefault="008D4A0F" w:rsidP="007F2326">
      <w:pPr>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ES"/>
        </w:rPr>
        <w:t xml:space="preserve">Corte IDH. </w:t>
      </w:r>
      <w:r w:rsidRPr="007F2326">
        <w:rPr>
          <w:rFonts w:ascii="Cambria" w:hAnsi="Cambria"/>
          <w:i/>
          <w:sz w:val="16"/>
          <w:szCs w:val="16"/>
          <w:lang w:val="es-ES"/>
        </w:rPr>
        <w:t>La Colegiación Obligatoria de Periodistas (arts. 13 y 29 Convención Americana sobre Derechos Humanos)</w:t>
      </w:r>
      <w:r w:rsidRPr="007F2326">
        <w:rPr>
          <w:rFonts w:ascii="Cambria" w:hAnsi="Cambria"/>
          <w:sz w:val="16"/>
          <w:szCs w:val="16"/>
          <w:lang w:val="es-ES"/>
        </w:rPr>
        <w:t>, s</w:t>
      </w:r>
      <w:r w:rsidRPr="007F2326">
        <w:rPr>
          <w:rFonts w:ascii="Cambria" w:hAnsi="Cambria"/>
          <w:i/>
          <w:sz w:val="16"/>
          <w:szCs w:val="16"/>
          <w:lang w:val="es-ES"/>
        </w:rPr>
        <w:t>upra</w:t>
      </w:r>
      <w:r w:rsidRPr="007F2326">
        <w:rPr>
          <w:rFonts w:ascii="Cambria" w:hAnsi="Cambria"/>
          <w:sz w:val="16"/>
          <w:szCs w:val="16"/>
          <w:lang w:val="es-ES"/>
        </w:rPr>
        <w:t>. Párr. 31.</w:t>
      </w:r>
    </w:p>
  </w:footnote>
  <w:footnote w:id="42">
    <w:p w14:paraId="293A75D4" w14:textId="77777777" w:rsidR="008D4A0F" w:rsidRPr="007F2326" w:rsidRDefault="008D4A0F" w:rsidP="007F2326">
      <w:pPr>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Corte IDH. </w:t>
      </w:r>
      <w:r w:rsidRPr="007F2326">
        <w:rPr>
          <w:rFonts w:ascii="Cambria" w:hAnsi="Cambria"/>
          <w:i/>
          <w:sz w:val="16"/>
          <w:szCs w:val="16"/>
          <w:lang w:val="es-PE"/>
        </w:rPr>
        <w:t xml:space="preserve">La Colegiación Obligatoria de Periodistas (arts. 13 y 29 Convención Americana sobre Derechos </w:t>
      </w:r>
      <w:r w:rsidRPr="007F2326">
        <w:rPr>
          <w:rFonts w:ascii="Cambria" w:hAnsi="Cambria"/>
          <w:i/>
          <w:sz w:val="16"/>
          <w:szCs w:val="16"/>
          <w:lang w:val="es-ES"/>
        </w:rPr>
        <w:t>Humanos)</w:t>
      </w:r>
      <w:r w:rsidRPr="007F2326">
        <w:rPr>
          <w:rFonts w:ascii="Cambria" w:hAnsi="Cambria"/>
          <w:sz w:val="16"/>
          <w:szCs w:val="16"/>
          <w:lang w:val="es-ES"/>
        </w:rPr>
        <w:t>, s</w:t>
      </w:r>
      <w:r w:rsidRPr="007F2326">
        <w:rPr>
          <w:rFonts w:ascii="Cambria" w:hAnsi="Cambria"/>
          <w:i/>
          <w:sz w:val="16"/>
          <w:szCs w:val="16"/>
          <w:lang w:val="es-ES"/>
        </w:rPr>
        <w:t>upra</w:t>
      </w:r>
      <w:r w:rsidRPr="007F2326">
        <w:rPr>
          <w:rFonts w:ascii="Cambria" w:hAnsi="Cambria"/>
          <w:sz w:val="16"/>
          <w:szCs w:val="16"/>
          <w:lang w:val="es-ES"/>
        </w:rPr>
        <w:t xml:space="preserve">. </w:t>
      </w:r>
      <w:r w:rsidRPr="007F2326">
        <w:rPr>
          <w:rFonts w:ascii="Cambria" w:hAnsi="Cambria"/>
          <w:sz w:val="16"/>
          <w:szCs w:val="16"/>
          <w:lang w:val="es-PE"/>
        </w:rPr>
        <w:t xml:space="preserve">Párr. 30, y </w:t>
      </w:r>
      <w:r w:rsidRPr="007F2326">
        <w:rPr>
          <w:rFonts w:ascii="Cambria" w:hAnsi="Cambria"/>
          <w:i/>
          <w:sz w:val="16"/>
          <w:szCs w:val="16"/>
          <w:lang w:val="es-PE"/>
        </w:rPr>
        <w:t xml:space="preserve">Caso Kimel Vs. </w:t>
      </w:r>
      <w:r w:rsidRPr="007F2326">
        <w:rPr>
          <w:rFonts w:ascii="Cambria" w:hAnsi="Cambria"/>
          <w:i/>
          <w:sz w:val="16"/>
          <w:szCs w:val="16"/>
          <w:lang w:val="es-VE"/>
        </w:rPr>
        <w:t>Argentina.</w:t>
      </w:r>
      <w:r w:rsidRPr="007F2326">
        <w:rPr>
          <w:rFonts w:ascii="Cambria" w:hAnsi="Cambria"/>
          <w:sz w:val="16"/>
          <w:szCs w:val="16"/>
          <w:lang w:val="es-VE"/>
        </w:rPr>
        <w:t xml:space="preserve"> </w:t>
      </w:r>
      <w:r w:rsidRPr="007F2326">
        <w:rPr>
          <w:rFonts w:ascii="Cambria" w:hAnsi="Cambria"/>
          <w:sz w:val="16"/>
          <w:szCs w:val="16"/>
          <w:lang w:val="es-PE"/>
        </w:rPr>
        <w:t xml:space="preserve">Fondo, Reparaciones y Costas. Sentencia de 2 de mayo de 2008. Serie C No. 177. Párr. 53. CIDH Informe No. 130/99. Caso No. 11.740. Fondo. Víctor Manuel Oropeza. México. 19 de noviembre de 1999. Párr. 51, e Informe No. 11/96. Caso No. 11.230. Fondo. Francisco Martorell. Chile. 3 de mayo de 1996. </w:t>
      </w:r>
      <w:r w:rsidRPr="007F2326">
        <w:rPr>
          <w:rFonts w:ascii="Cambria" w:hAnsi="Cambria"/>
          <w:sz w:val="16"/>
          <w:szCs w:val="16"/>
          <w:lang w:val="es-ES"/>
        </w:rPr>
        <w:t>Párr. 53.</w:t>
      </w:r>
    </w:p>
  </w:footnote>
  <w:footnote w:id="43">
    <w:p w14:paraId="42C711FE" w14:textId="77777777" w:rsidR="008D4A0F" w:rsidRPr="007F2326" w:rsidRDefault="008D4A0F" w:rsidP="007F2326">
      <w:pPr>
        <w:jc w:val="both"/>
        <w:rPr>
          <w:rFonts w:ascii="Cambria" w:hAnsi="Cambria"/>
          <w:sz w:val="16"/>
          <w:szCs w:val="16"/>
          <w:lang w:val="pt-BR"/>
        </w:rPr>
      </w:pPr>
      <w:r w:rsidRPr="007F2326">
        <w:rPr>
          <w:rStyle w:val="FootnoteReference"/>
          <w:rFonts w:ascii="Cambria" w:hAnsi="Cambria"/>
          <w:sz w:val="16"/>
          <w:szCs w:val="16"/>
        </w:rPr>
        <w:footnoteRef/>
      </w:r>
      <w:r w:rsidRPr="007F2326">
        <w:rPr>
          <w:rFonts w:ascii="Cambria" w:hAnsi="Cambria"/>
          <w:sz w:val="16"/>
          <w:szCs w:val="16"/>
          <w:lang w:val="es-PE"/>
        </w:rPr>
        <w:t xml:space="preserve"> Corte IDH. </w:t>
      </w:r>
      <w:r w:rsidRPr="007F2326">
        <w:rPr>
          <w:rFonts w:ascii="Cambria" w:hAnsi="Cambria"/>
          <w:i/>
          <w:iCs/>
          <w:sz w:val="16"/>
          <w:szCs w:val="16"/>
          <w:lang w:val="es-PE"/>
        </w:rPr>
        <w:t xml:space="preserve">Caso Herrera Ulloa Vs. Costa Rica. </w:t>
      </w:r>
      <w:r w:rsidRPr="007F2326">
        <w:rPr>
          <w:rFonts w:ascii="Cambria" w:hAnsi="Cambria"/>
          <w:sz w:val="16"/>
          <w:szCs w:val="16"/>
          <w:lang w:val="es-PE"/>
        </w:rPr>
        <w:t>Sentencia de 2 de julio de 2004. Serie C No. 107</w:t>
      </w:r>
      <w:r w:rsidRPr="007F2326">
        <w:rPr>
          <w:rFonts w:ascii="Cambria" w:hAnsi="Cambria"/>
          <w:i/>
          <w:iCs/>
          <w:sz w:val="16"/>
          <w:szCs w:val="16"/>
          <w:lang w:val="es-MX"/>
        </w:rPr>
        <w:t xml:space="preserve">. </w:t>
      </w:r>
      <w:r w:rsidRPr="007F2326">
        <w:rPr>
          <w:rFonts w:ascii="Cambria" w:hAnsi="Cambria"/>
          <w:sz w:val="16"/>
          <w:szCs w:val="16"/>
          <w:lang w:val="es-ES"/>
        </w:rPr>
        <w:t xml:space="preserve">Párr. 110, y </w:t>
      </w:r>
      <w:r w:rsidRPr="007F2326">
        <w:rPr>
          <w:rFonts w:ascii="Cambria" w:hAnsi="Cambria"/>
          <w:i/>
          <w:sz w:val="16"/>
          <w:szCs w:val="16"/>
          <w:lang w:val="es-PE"/>
        </w:rPr>
        <w:t xml:space="preserve">Caso Ricardo Canese Vs. </w:t>
      </w:r>
      <w:r w:rsidRPr="007F2326">
        <w:rPr>
          <w:rFonts w:ascii="Cambria" w:hAnsi="Cambria"/>
          <w:i/>
          <w:sz w:val="16"/>
          <w:szCs w:val="16"/>
          <w:lang w:val="pt-BR"/>
        </w:rPr>
        <w:t>Paraguay.</w:t>
      </w:r>
      <w:r w:rsidRPr="007F2326">
        <w:rPr>
          <w:rFonts w:ascii="Cambria" w:hAnsi="Cambria"/>
          <w:sz w:val="16"/>
          <w:szCs w:val="16"/>
          <w:lang w:val="pt-BR"/>
        </w:rPr>
        <w:t xml:space="preserve"> Sentencia de 31 de agosto de 2004. Serie C No. 111. Párr. 79.</w:t>
      </w:r>
    </w:p>
  </w:footnote>
  <w:footnote w:id="44">
    <w:p w14:paraId="6A0A1E27" w14:textId="77777777" w:rsidR="008D4A0F" w:rsidRPr="007F2326" w:rsidRDefault="008D4A0F" w:rsidP="007F2326">
      <w:pPr>
        <w:pStyle w:val="FootnoteText"/>
        <w:tabs>
          <w:tab w:val="left" w:pos="567"/>
        </w:tabs>
        <w:jc w:val="both"/>
        <w:rPr>
          <w:rFonts w:ascii="Cambria" w:hAnsi="Cambria" w:cs="Times New Roman"/>
          <w:color w:val="auto"/>
          <w:spacing w:val="-2"/>
          <w:sz w:val="16"/>
          <w:szCs w:val="16"/>
          <w:lang w:val="es-PE"/>
        </w:rPr>
      </w:pPr>
      <w:r w:rsidRPr="007F2326">
        <w:rPr>
          <w:rStyle w:val="FootnoteReference"/>
          <w:rFonts w:ascii="Cambria" w:eastAsia="Batang" w:hAnsi="Cambria" w:cs="Times New Roman"/>
          <w:color w:val="auto"/>
          <w:spacing w:val="-2"/>
          <w:sz w:val="16"/>
          <w:szCs w:val="16"/>
        </w:rPr>
        <w:footnoteRef/>
      </w:r>
      <w:r w:rsidRPr="007F2326">
        <w:rPr>
          <w:rFonts w:ascii="Cambria" w:hAnsi="Cambria"/>
          <w:color w:val="auto"/>
          <w:spacing w:val="-2"/>
          <w:sz w:val="16"/>
          <w:szCs w:val="16"/>
          <w:lang w:val="pt-BR"/>
        </w:rPr>
        <w:t xml:space="preserve"> Corte IDH. </w:t>
      </w:r>
      <w:r w:rsidRPr="007F2326">
        <w:rPr>
          <w:rFonts w:ascii="Cambria" w:hAnsi="Cambria"/>
          <w:i/>
          <w:iCs/>
          <w:color w:val="auto"/>
          <w:spacing w:val="-2"/>
          <w:sz w:val="16"/>
          <w:szCs w:val="16"/>
          <w:lang w:val="es-ES"/>
        </w:rPr>
        <w:t>La Colegiación Obligatoria de Periodistas (Arts. 13 y 29 de la Convención Americana sobre Derechos Humanos), supra</w:t>
      </w:r>
      <w:r w:rsidRPr="007F2326">
        <w:rPr>
          <w:rFonts w:ascii="Cambria" w:hAnsi="Cambria"/>
          <w:i/>
          <w:color w:val="auto"/>
          <w:spacing w:val="-2"/>
          <w:sz w:val="16"/>
          <w:szCs w:val="16"/>
          <w:lang w:val="es-ES"/>
        </w:rPr>
        <w:t>.</w:t>
      </w:r>
      <w:r w:rsidRPr="007F2326">
        <w:rPr>
          <w:rFonts w:ascii="Cambria" w:hAnsi="Cambria"/>
          <w:color w:val="auto"/>
          <w:spacing w:val="-2"/>
          <w:sz w:val="16"/>
          <w:szCs w:val="16"/>
          <w:lang w:val="es-ES"/>
        </w:rPr>
        <w:t xml:space="preserve"> Párr. 32, y </w:t>
      </w:r>
      <w:r w:rsidRPr="007F2326">
        <w:rPr>
          <w:rFonts w:ascii="Cambria" w:hAnsi="Cambria"/>
          <w:i/>
          <w:color w:val="auto"/>
          <w:spacing w:val="-2"/>
          <w:sz w:val="16"/>
          <w:szCs w:val="16"/>
          <w:lang w:val="es-ES"/>
        </w:rPr>
        <w:t>Caso Vélez Restrepo y familiares Vs. Colombia, supra</w:t>
      </w:r>
      <w:r w:rsidRPr="007F2326">
        <w:rPr>
          <w:rFonts w:ascii="Cambria" w:hAnsi="Cambria"/>
          <w:color w:val="auto"/>
          <w:spacing w:val="-2"/>
          <w:sz w:val="16"/>
          <w:szCs w:val="16"/>
          <w:lang w:val="es-ES"/>
        </w:rPr>
        <w:t>. Párr. 138.</w:t>
      </w:r>
    </w:p>
  </w:footnote>
  <w:footnote w:id="45">
    <w:p w14:paraId="2133B90D" w14:textId="77777777" w:rsidR="008D4A0F" w:rsidRPr="007F2326" w:rsidRDefault="008D4A0F" w:rsidP="007F2326">
      <w:pPr>
        <w:pStyle w:val="FootnoteText"/>
        <w:tabs>
          <w:tab w:val="left" w:pos="567"/>
        </w:tabs>
        <w:jc w:val="both"/>
        <w:rPr>
          <w:rFonts w:ascii="Cambria" w:hAnsi="Cambria" w:cs="Verdana"/>
          <w:color w:val="auto"/>
          <w:spacing w:val="-2"/>
          <w:sz w:val="16"/>
          <w:szCs w:val="16"/>
          <w:lang w:val="es-ES"/>
        </w:rPr>
      </w:pPr>
      <w:r w:rsidRPr="007F2326">
        <w:rPr>
          <w:rStyle w:val="FootnoteReference"/>
          <w:rFonts w:ascii="Cambria" w:eastAsia="Batang" w:hAnsi="Cambria" w:cs="Times New Roman"/>
          <w:color w:val="auto"/>
          <w:spacing w:val="-2"/>
          <w:sz w:val="16"/>
          <w:szCs w:val="16"/>
        </w:rPr>
        <w:footnoteRef/>
      </w:r>
      <w:r w:rsidRPr="007F2326">
        <w:rPr>
          <w:rFonts w:ascii="Cambria" w:hAnsi="Cambria"/>
          <w:color w:val="auto"/>
          <w:spacing w:val="-2"/>
          <w:sz w:val="16"/>
          <w:szCs w:val="16"/>
          <w:lang w:val="es-PE"/>
        </w:rPr>
        <w:t xml:space="preserve"> </w:t>
      </w:r>
      <w:r w:rsidRPr="007F2326">
        <w:rPr>
          <w:rFonts w:ascii="Cambria" w:hAnsi="Cambria"/>
          <w:iCs/>
          <w:color w:val="auto"/>
          <w:spacing w:val="-2"/>
          <w:sz w:val="16"/>
          <w:szCs w:val="16"/>
          <w:lang w:val="es-ES"/>
        </w:rPr>
        <w:t xml:space="preserve">Corte IDH. </w:t>
      </w:r>
      <w:r w:rsidRPr="007F2326">
        <w:rPr>
          <w:rFonts w:ascii="Cambria" w:hAnsi="Cambria"/>
          <w:i/>
          <w:iCs/>
          <w:color w:val="auto"/>
          <w:spacing w:val="-2"/>
          <w:sz w:val="16"/>
          <w:szCs w:val="16"/>
          <w:lang w:val="es-ES"/>
        </w:rPr>
        <w:t>La Colegiación Obligatoria de Periodistas (Arts. 13 y 29 de la Convención Americana sobre Derechos Humanos), supra</w:t>
      </w:r>
      <w:r w:rsidRPr="007F2326">
        <w:rPr>
          <w:rFonts w:ascii="Cambria" w:hAnsi="Cambria"/>
          <w:i/>
          <w:color w:val="auto"/>
          <w:spacing w:val="-2"/>
          <w:sz w:val="16"/>
          <w:szCs w:val="16"/>
          <w:lang w:val="es-ES"/>
        </w:rPr>
        <w:t>.</w:t>
      </w:r>
      <w:r w:rsidRPr="007F2326">
        <w:rPr>
          <w:rFonts w:ascii="Cambria" w:hAnsi="Cambria"/>
          <w:color w:val="auto"/>
          <w:spacing w:val="-2"/>
          <w:sz w:val="16"/>
          <w:szCs w:val="16"/>
          <w:lang w:val="es-ES"/>
        </w:rPr>
        <w:t xml:space="preserve"> Párr. 30, y </w:t>
      </w:r>
      <w:r w:rsidRPr="007F2326">
        <w:rPr>
          <w:rFonts w:ascii="Cambria" w:hAnsi="Cambria"/>
          <w:i/>
          <w:color w:val="auto"/>
          <w:spacing w:val="-2"/>
          <w:sz w:val="16"/>
          <w:szCs w:val="16"/>
          <w:lang w:val="es-ES"/>
        </w:rPr>
        <w:t>Caso Vélez Restrepo y familiares Vs. Colombia, supra.</w:t>
      </w:r>
      <w:r w:rsidRPr="007F2326">
        <w:rPr>
          <w:rFonts w:ascii="Cambria" w:hAnsi="Cambria"/>
          <w:color w:val="auto"/>
          <w:spacing w:val="-2"/>
          <w:sz w:val="16"/>
          <w:szCs w:val="16"/>
          <w:lang w:val="es-ES"/>
        </w:rPr>
        <w:t xml:space="preserve"> Párr. 138.</w:t>
      </w:r>
    </w:p>
  </w:footnote>
  <w:footnote w:id="46">
    <w:p w14:paraId="584EFD5D" w14:textId="77777777" w:rsidR="008D4A0F" w:rsidRPr="007F2326" w:rsidRDefault="008D4A0F" w:rsidP="007F2326">
      <w:pPr>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CIDH. Alegatos ante la Corte Interamericana en el </w:t>
      </w:r>
      <w:r w:rsidRPr="007F2326">
        <w:rPr>
          <w:rFonts w:ascii="Cambria" w:hAnsi="Cambria"/>
          <w:i/>
          <w:sz w:val="16"/>
          <w:szCs w:val="16"/>
          <w:lang w:val="es-PE"/>
        </w:rPr>
        <w:t>Caso "La Última Tentación de Cristo" (Olmedo Bustos y otros) Vs. Chile.</w:t>
      </w:r>
      <w:r w:rsidRPr="007F2326">
        <w:rPr>
          <w:rFonts w:ascii="Cambria" w:hAnsi="Cambria"/>
          <w:sz w:val="16"/>
          <w:szCs w:val="16"/>
          <w:lang w:val="es-PE"/>
        </w:rPr>
        <w:t xml:space="preserve"> Transcritos en: Corte IDH. </w:t>
      </w:r>
      <w:r w:rsidRPr="007F2326">
        <w:rPr>
          <w:rFonts w:ascii="Cambria" w:hAnsi="Cambria"/>
          <w:i/>
          <w:sz w:val="16"/>
          <w:szCs w:val="16"/>
          <w:lang w:val="es-PE"/>
        </w:rPr>
        <w:t xml:space="preserve">Caso "La Última Tentación de Cristo" (Olmedo Bustos y otros) Vs. Chile. </w:t>
      </w:r>
      <w:r w:rsidRPr="007F2326">
        <w:rPr>
          <w:rFonts w:ascii="Cambria" w:hAnsi="Cambria"/>
          <w:sz w:val="16"/>
          <w:szCs w:val="16"/>
          <w:lang w:val="es-PE"/>
        </w:rPr>
        <w:t xml:space="preserve">Sentencia de 5 de febrero de 2001. Serie C No. 73. Párr. 61. b). </w:t>
      </w:r>
      <w:r w:rsidRPr="007F2326">
        <w:rPr>
          <w:rFonts w:ascii="Cambria" w:hAnsi="Cambria"/>
          <w:sz w:val="16"/>
          <w:szCs w:val="16"/>
          <w:lang w:val="es-CO"/>
        </w:rPr>
        <w:t xml:space="preserve">Esto ha sido reconocido también por la Corte Europea de Derechos Humanos, el Comité de Derechos Humanos de Naciones Unidas, la Comisión Africana y la Corte Africana Derechos Humanos y de los Pueblos. Véase, </w:t>
      </w:r>
      <w:r w:rsidRPr="007F2326">
        <w:rPr>
          <w:rFonts w:ascii="Cambria" w:hAnsi="Cambria"/>
          <w:sz w:val="16"/>
          <w:szCs w:val="16"/>
          <w:lang w:val="es-PE"/>
        </w:rPr>
        <w:t xml:space="preserve">TEDH. </w:t>
      </w:r>
      <w:r w:rsidRPr="007F2326">
        <w:rPr>
          <w:rFonts w:ascii="Cambria" w:hAnsi="Cambria"/>
          <w:i/>
          <w:iCs/>
          <w:sz w:val="16"/>
          <w:szCs w:val="16"/>
          <w:lang w:val="es-PE"/>
        </w:rPr>
        <w:t>Caso Handyside Vs. Reino Unido.</w:t>
      </w:r>
      <w:r w:rsidRPr="007F2326">
        <w:rPr>
          <w:rFonts w:ascii="Cambria" w:hAnsi="Cambria"/>
          <w:iCs/>
          <w:sz w:val="16"/>
          <w:szCs w:val="16"/>
          <w:lang w:val="es-PE"/>
        </w:rPr>
        <w:t xml:space="preserve"> </w:t>
      </w:r>
      <w:r w:rsidRPr="007F2326">
        <w:rPr>
          <w:rFonts w:ascii="Cambria" w:hAnsi="Cambria"/>
          <w:sz w:val="16"/>
          <w:szCs w:val="16"/>
          <w:lang w:val="es-PE"/>
        </w:rPr>
        <w:t xml:space="preserve">Sentencia de 7 de diciembre de 1976. Párr. 49 y </w:t>
      </w:r>
      <w:r w:rsidRPr="007F2326">
        <w:rPr>
          <w:rFonts w:ascii="Cambria" w:hAnsi="Cambria"/>
          <w:i/>
          <w:sz w:val="16"/>
          <w:szCs w:val="16"/>
          <w:lang w:val="es-PE"/>
        </w:rPr>
        <w:t xml:space="preserve">Caso </w:t>
      </w:r>
      <w:r w:rsidRPr="007F2326">
        <w:rPr>
          <w:rFonts w:ascii="Cambria" w:hAnsi="Cambria"/>
          <w:i/>
          <w:iCs/>
          <w:sz w:val="16"/>
          <w:szCs w:val="16"/>
          <w:lang w:val="es-PE"/>
        </w:rPr>
        <w:t>Scharsach</w:t>
      </w:r>
      <w:r w:rsidRPr="007F2326">
        <w:rPr>
          <w:rFonts w:ascii="Cambria" w:hAnsi="Cambria"/>
          <w:i/>
          <w:sz w:val="16"/>
          <w:szCs w:val="16"/>
          <w:lang w:val="es-PE"/>
        </w:rPr>
        <w:t xml:space="preserve"> </w:t>
      </w:r>
      <w:r w:rsidRPr="007F2326">
        <w:rPr>
          <w:rFonts w:ascii="Cambria" w:hAnsi="Cambria"/>
          <w:i/>
          <w:iCs/>
          <w:sz w:val="16"/>
          <w:szCs w:val="16"/>
          <w:lang w:val="es-PE"/>
        </w:rPr>
        <w:t>y News Verlagsgesellschaft Vs. Austria</w:t>
      </w:r>
      <w:r w:rsidRPr="007F2326">
        <w:rPr>
          <w:rFonts w:ascii="Cambria" w:hAnsi="Cambria"/>
          <w:sz w:val="16"/>
          <w:szCs w:val="16"/>
          <w:lang w:val="es-PE"/>
        </w:rPr>
        <w:t xml:space="preserve">. No. 39394/98. Sentencia de 13 de noviembre de 2003. Párr. 29; ONU. Comité de Derechos Humanos. </w:t>
      </w:r>
      <w:r w:rsidRPr="007F2326">
        <w:rPr>
          <w:rFonts w:ascii="Cambria" w:hAnsi="Cambria"/>
          <w:i/>
          <w:iCs/>
          <w:sz w:val="16"/>
          <w:szCs w:val="16"/>
          <w:lang w:val="es-PE"/>
        </w:rPr>
        <w:t>Aduayom y otros c. Togo</w:t>
      </w:r>
      <w:r w:rsidRPr="007F2326">
        <w:rPr>
          <w:rFonts w:ascii="Cambria" w:hAnsi="Cambria"/>
          <w:sz w:val="16"/>
          <w:szCs w:val="16"/>
          <w:lang w:val="es-PE"/>
        </w:rPr>
        <w:t xml:space="preserve">. Comunicaciones Nos. 422/1990, 423/1990 y 424/1990. Dictamen de 12 de julio de 1996. Párr. </w:t>
      </w:r>
      <w:r w:rsidRPr="007F2326">
        <w:rPr>
          <w:rFonts w:ascii="Cambria" w:hAnsi="Cambria"/>
          <w:sz w:val="16"/>
          <w:szCs w:val="16"/>
          <w:lang w:val="es-ES"/>
        </w:rPr>
        <w:t xml:space="preserve">7.4, y Observación General Nº 34: Artículo 19 Libertad de opinión y libertad de expresión. </w:t>
      </w:r>
      <w:r w:rsidRPr="007F2326">
        <w:rPr>
          <w:rFonts w:ascii="Cambria" w:hAnsi="Cambria"/>
          <w:sz w:val="16"/>
          <w:szCs w:val="16"/>
          <w:lang w:val="es-PE"/>
        </w:rPr>
        <w:t xml:space="preserve">12 de septiembre de 2011, y Comisión Africana de Derechos Humanos y de los Pueblos. </w:t>
      </w:r>
      <w:r w:rsidRPr="007F2326">
        <w:rPr>
          <w:rFonts w:ascii="Cambria" w:hAnsi="Cambria"/>
          <w:i/>
          <w:sz w:val="16"/>
          <w:szCs w:val="16"/>
          <w:lang w:val="es-PE"/>
        </w:rPr>
        <w:t>Media Rights Agenda y Constitutional Rights Project Vs. Nigeria</w:t>
      </w:r>
      <w:r w:rsidRPr="007F2326">
        <w:rPr>
          <w:rFonts w:ascii="Cambria" w:hAnsi="Cambria"/>
          <w:sz w:val="16"/>
          <w:szCs w:val="16"/>
          <w:lang w:val="es-PE"/>
        </w:rPr>
        <w:t xml:space="preserve">. Comunicaciones Nos. 105/93, 128/94, 130/94 y 152/96. Decisión de 31 de octubre de 1998. Párr. 54; Declaración de Principios sobre Libertad de Expresión en África, adoptada por la Comisión Africana de Derechos Humanos y de los Pueblos en su 32 sesión, celebrada del 17-23 de octubre de 2002, y Corte Africana de Derechos Humanos y de los Pueblos. </w:t>
      </w:r>
      <w:r w:rsidRPr="007F2326">
        <w:rPr>
          <w:rFonts w:ascii="Cambria" w:hAnsi="Cambria"/>
          <w:i/>
          <w:sz w:val="16"/>
          <w:szCs w:val="16"/>
          <w:lang w:val="es-PE"/>
        </w:rPr>
        <w:t>Lohé Issa Konaté Vs. Burkina Faso.</w:t>
      </w:r>
      <w:r w:rsidRPr="007F2326">
        <w:rPr>
          <w:rFonts w:ascii="Cambria" w:hAnsi="Cambria"/>
          <w:sz w:val="16"/>
          <w:szCs w:val="16"/>
          <w:lang w:val="es-PE"/>
        </w:rPr>
        <w:t xml:space="preserve"> Aplicación No. 004/2013. Sentencia de 5 de diciembre de 2014. Párr. 164.</w:t>
      </w:r>
    </w:p>
  </w:footnote>
  <w:footnote w:id="47">
    <w:p w14:paraId="695ACA39" w14:textId="77777777" w:rsidR="008D4A0F" w:rsidRPr="007F2326" w:rsidRDefault="008D4A0F" w:rsidP="007F2326">
      <w:pPr>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ES"/>
        </w:rPr>
        <w:t xml:space="preserve"> Artículo 4, Carta Democrá</w:t>
      </w:r>
      <w:r w:rsidRPr="007F2326">
        <w:rPr>
          <w:rFonts w:ascii="Cambria" w:hAnsi="Cambria"/>
          <w:sz w:val="16"/>
          <w:szCs w:val="16"/>
          <w:lang w:val="es-PE"/>
        </w:rPr>
        <w:t xml:space="preserve">tica Interamericana, aprobada 11 de septiembre de 2001. </w:t>
      </w:r>
    </w:p>
  </w:footnote>
  <w:footnote w:id="48">
    <w:p w14:paraId="5B0CED0F" w14:textId="77777777" w:rsidR="008D4A0F" w:rsidRPr="007F2326" w:rsidRDefault="008D4A0F" w:rsidP="007F2326">
      <w:pPr>
        <w:pStyle w:val="FootnoteText"/>
        <w:tabs>
          <w:tab w:val="left" w:pos="567"/>
        </w:tabs>
        <w:jc w:val="both"/>
        <w:rPr>
          <w:rFonts w:ascii="Cambria" w:hAnsi="Cambria" w:cs="Times New Roman"/>
          <w:color w:val="auto"/>
          <w:spacing w:val="-2"/>
          <w:sz w:val="16"/>
          <w:szCs w:val="16"/>
          <w:lang w:val="es-ES_tradnl"/>
        </w:rPr>
      </w:pPr>
      <w:r w:rsidRPr="007F2326">
        <w:rPr>
          <w:rStyle w:val="FootnoteReference"/>
          <w:rFonts w:ascii="Cambria" w:eastAsia="Batang" w:hAnsi="Cambria" w:cs="Times New Roman"/>
          <w:color w:val="auto"/>
          <w:spacing w:val="-2"/>
          <w:sz w:val="16"/>
          <w:szCs w:val="16"/>
        </w:rPr>
        <w:footnoteRef/>
      </w:r>
      <w:r w:rsidRPr="007F2326">
        <w:rPr>
          <w:rFonts w:ascii="Cambria" w:hAnsi="Cambria"/>
          <w:color w:val="auto"/>
          <w:spacing w:val="-2"/>
          <w:sz w:val="16"/>
          <w:szCs w:val="16"/>
          <w:lang w:val="es-PE"/>
        </w:rPr>
        <w:t xml:space="preserve"> Corte IDH. </w:t>
      </w:r>
      <w:r w:rsidRPr="007F2326">
        <w:rPr>
          <w:rFonts w:ascii="Cambria" w:hAnsi="Cambria"/>
          <w:i/>
          <w:iCs/>
          <w:color w:val="auto"/>
          <w:spacing w:val="-2"/>
          <w:sz w:val="16"/>
          <w:szCs w:val="16"/>
          <w:lang w:val="es-ES"/>
        </w:rPr>
        <w:t>La Colegiación Obligatoria de Periodistas (Arts. 13 y 29 de la Convención Americana sobre Derechos Humanos), supra</w:t>
      </w:r>
      <w:r w:rsidRPr="007F2326">
        <w:rPr>
          <w:rFonts w:ascii="Cambria" w:hAnsi="Cambria"/>
          <w:i/>
          <w:color w:val="auto"/>
          <w:spacing w:val="-2"/>
          <w:sz w:val="16"/>
          <w:szCs w:val="16"/>
          <w:lang w:val="es-ES"/>
        </w:rPr>
        <w:t>.</w:t>
      </w:r>
      <w:r w:rsidRPr="007F2326">
        <w:rPr>
          <w:rFonts w:ascii="Cambria" w:hAnsi="Cambria"/>
          <w:color w:val="auto"/>
          <w:spacing w:val="-2"/>
          <w:sz w:val="16"/>
          <w:szCs w:val="16"/>
          <w:lang w:val="es-ES"/>
        </w:rPr>
        <w:t xml:space="preserve"> Párr. 36</w:t>
      </w:r>
      <w:r w:rsidRPr="007F2326">
        <w:rPr>
          <w:rFonts w:ascii="Cambria" w:hAnsi="Cambria"/>
          <w:color w:val="auto"/>
          <w:spacing w:val="-2"/>
          <w:sz w:val="16"/>
          <w:szCs w:val="16"/>
          <w:lang w:val="es-PE"/>
        </w:rPr>
        <w:t xml:space="preserve">, y </w:t>
      </w:r>
      <w:r w:rsidRPr="007F2326">
        <w:rPr>
          <w:rFonts w:ascii="Cambria" w:hAnsi="Cambria"/>
          <w:i/>
          <w:color w:val="auto"/>
          <w:spacing w:val="-2"/>
          <w:sz w:val="16"/>
          <w:szCs w:val="16"/>
          <w:lang w:val="es-PE"/>
        </w:rPr>
        <w:t>Caso Fontevecchia y D’Amico Vs. Argentina</w:t>
      </w:r>
      <w:r w:rsidRPr="007F2326">
        <w:rPr>
          <w:rFonts w:ascii="Cambria" w:hAnsi="Cambria"/>
          <w:color w:val="auto"/>
          <w:spacing w:val="-2"/>
          <w:sz w:val="16"/>
          <w:szCs w:val="16"/>
          <w:lang w:val="es-PE"/>
        </w:rPr>
        <w:t>. Fondo, Reparaciones y Costas. Sentencia de 29 de noviembre de 2011. Serie C No. 238</w:t>
      </w:r>
      <w:r w:rsidRPr="007F2326">
        <w:rPr>
          <w:rFonts w:ascii="Cambria" w:hAnsi="Cambria"/>
          <w:color w:val="auto"/>
          <w:sz w:val="16"/>
          <w:szCs w:val="16"/>
          <w:lang w:val="es-PE"/>
        </w:rPr>
        <w:t>. Párr. 43.</w:t>
      </w:r>
    </w:p>
  </w:footnote>
  <w:footnote w:id="49">
    <w:p w14:paraId="19EF380F" w14:textId="77777777" w:rsidR="008D4A0F" w:rsidRPr="007F2326" w:rsidRDefault="008D4A0F" w:rsidP="007F2326">
      <w:pPr>
        <w:pStyle w:val="FootnoteText"/>
        <w:tabs>
          <w:tab w:val="left" w:pos="567"/>
        </w:tabs>
        <w:jc w:val="both"/>
        <w:rPr>
          <w:rFonts w:ascii="Cambria" w:hAnsi="Cambria" w:cs="Times New Roman"/>
          <w:color w:val="auto"/>
          <w:spacing w:val="-2"/>
          <w:sz w:val="16"/>
          <w:szCs w:val="16"/>
          <w:lang w:val="es-PE"/>
        </w:rPr>
      </w:pPr>
      <w:r w:rsidRPr="007F2326">
        <w:rPr>
          <w:rStyle w:val="FootnoteReference"/>
          <w:rFonts w:ascii="Cambria" w:eastAsia="Batang" w:hAnsi="Cambria" w:cs="Times New Roman"/>
          <w:color w:val="auto"/>
          <w:spacing w:val="-2"/>
          <w:sz w:val="16"/>
          <w:szCs w:val="16"/>
        </w:rPr>
        <w:footnoteRef/>
      </w:r>
      <w:r w:rsidRPr="007F2326">
        <w:rPr>
          <w:rFonts w:ascii="Cambria" w:hAnsi="Cambria"/>
          <w:color w:val="auto"/>
          <w:spacing w:val="-2"/>
          <w:sz w:val="16"/>
          <w:szCs w:val="16"/>
          <w:lang w:val="es-PE"/>
        </w:rPr>
        <w:t xml:space="preserve"> Corte IDH. </w:t>
      </w:r>
      <w:r w:rsidRPr="007F2326">
        <w:rPr>
          <w:rFonts w:ascii="Cambria" w:hAnsi="Cambria"/>
          <w:i/>
          <w:iCs/>
          <w:color w:val="auto"/>
          <w:spacing w:val="-2"/>
          <w:sz w:val="16"/>
          <w:szCs w:val="16"/>
          <w:lang w:val="es-PE"/>
        </w:rPr>
        <w:t>Caso Kimel Vs. Argentina, supra</w:t>
      </w:r>
      <w:r w:rsidRPr="007F2326">
        <w:rPr>
          <w:rFonts w:ascii="Cambria" w:hAnsi="Cambria"/>
          <w:i/>
          <w:color w:val="auto"/>
          <w:spacing w:val="-2"/>
          <w:sz w:val="16"/>
          <w:szCs w:val="16"/>
          <w:lang w:val="es-PE"/>
        </w:rPr>
        <w:t>.</w:t>
      </w:r>
      <w:r w:rsidRPr="007F2326">
        <w:rPr>
          <w:rFonts w:ascii="Cambria" w:hAnsi="Cambria"/>
          <w:color w:val="auto"/>
          <w:spacing w:val="-2"/>
          <w:sz w:val="16"/>
          <w:szCs w:val="16"/>
          <w:lang w:val="es-PE"/>
        </w:rPr>
        <w:t xml:space="preserve"> Párr. 56, y </w:t>
      </w:r>
      <w:r w:rsidRPr="007F2326">
        <w:rPr>
          <w:rFonts w:ascii="Cambria" w:hAnsi="Cambria"/>
          <w:i/>
          <w:iCs/>
          <w:color w:val="auto"/>
          <w:spacing w:val="-2"/>
          <w:sz w:val="16"/>
          <w:szCs w:val="16"/>
          <w:lang w:val="es-PE"/>
        </w:rPr>
        <w:t>Caso Usón Ramírez Vs. Venezuela</w:t>
      </w:r>
      <w:r w:rsidRPr="007F2326">
        <w:rPr>
          <w:rFonts w:ascii="Cambria" w:hAnsi="Cambria"/>
          <w:i/>
          <w:color w:val="auto"/>
          <w:spacing w:val="-2"/>
          <w:sz w:val="16"/>
          <w:szCs w:val="16"/>
          <w:lang w:val="es-PE"/>
        </w:rPr>
        <w:t>.</w:t>
      </w:r>
      <w:r w:rsidRPr="007F2326">
        <w:rPr>
          <w:rFonts w:ascii="Cambria" w:hAnsi="Cambria"/>
          <w:color w:val="auto"/>
          <w:spacing w:val="-2"/>
          <w:sz w:val="16"/>
          <w:szCs w:val="16"/>
          <w:lang w:val="es-PE"/>
        </w:rPr>
        <w:t xml:space="preserve"> Excepción Preliminar, Fondo, Reparaciones y Costas. Sentencia de 20 de noviembre de 2009. Serie C No. 207. Párr. 48.</w:t>
      </w:r>
    </w:p>
  </w:footnote>
  <w:footnote w:id="50">
    <w:p w14:paraId="0946689A" w14:textId="77777777" w:rsidR="008D4A0F" w:rsidRPr="007F2326" w:rsidRDefault="008D4A0F" w:rsidP="007F2326">
      <w:pPr>
        <w:jc w:val="both"/>
        <w:rPr>
          <w:rFonts w:ascii="Cambria" w:hAnsi="Cambria"/>
          <w:sz w:val="16"/>
          <w:szCs w:val="16"/>
          <w:lang w:val="es-ES"/>
        </w:rPr>
      </w:pPr>
      <w:r w:rsidRPr="007F2326">
        <w:rPr>
          <w:rStyle w:val="FootnoteReference"/>
          <w:rFonts w:ascii="Cambria" w:hAnsi="Cambria"/>
          <w:sz w:val="16"/>
          <w:szCs w:val="16"/>
        </w:rPr>
        <w:footnoteRef/>
      </w:r>
      <w:r w:rsidRPr="007F2326">
        <w:rPr>
          <w:rFonts w:ascii="Cambria" w:hAnsi="Cambria"/>
          <w:sz w:val="16"/>
          <w:szCs w:val="16"/>
          <w:lang w:val="es-PE"/>
        </w:rPr>
        <w:t xml:space="preserve"> Corte IDH. </w:t>
      </w:r>
      <w:r w:rsidRPr="007F2326">
        <w:rPr>
          <w:rFonts w:ascii="Cambria" w:hAnsi="Cambria"/>
          <w:i/>
          <w:iCs/>
          <w:sz w:val="16"/>
          <w:szCs w:val="16"/>
          <w:lang w:val="es-PE"/>
        </w:rPr>
        <w:t>Caso Herrera Ulloa Vs. Costa Rica</w:t>
      </w:r>
      <w:r w:rsidRPr="007F2326">
        <w:rPr>
          <w:rFonts w:ascii="Cambria" w:hAnsi="Cambria"/>
          <w:sz w:val="16"/>
          <w:szCs w:val="16"/>
          <w:lang w:val="es-PE"/>
        </w:rPr>
        <w:t xml:space="preserve">, </w:t>
      </w:r>
      <w:r w:rsidRPr="007F2326">
        <w:rPr>
          <w:rFonts w:ascii="Cambria" w:hAnsi="Cambria"/>
          <w:i/>
          <w:sz w:val="16"/>
          <w:szCs w:val="16"/>
          <w:lang w:val="es-PE"/>
        </w:rPr>
        <w:t>supra</w:t>
      </w:r>
      <w:r w:rsidRPr="007F2326">
        <w:rPr>
          <w:rFonts w:ascii="Cambria" w:hAnsi="Cambria"/>
          <w:sz w:val="16"/>
          <w:szCs w:val="16"/>
          <w:lang w:val="es-PE"/>
        </w:rPr>
        <w:t>. Párr. 120</w:t>
      </w:r>
      <w:r w:rsidRPr="007F2326">
        <w:rPr>
          <w:rFonts w:ascii="Cambria" w:hAnsi="Cambria"/>
          <w:sz w:val="16"/>
          <w:szCs w:val="16"/>
          <w:lang w:val="es-ES"/>
        </w:rPr>
        <w:t xml:space="preserve">, y </w:t>
      </w:r>
      <w:r w:rsidRPr="007F2326">
        <w:rPr>
          <w:rFonts w:ascii="Cambria" w:hAnsi="Cambria"/>
          <w:bCs/>
          <w:i/>
          <w:sz w:val="16"/>
          <w:szCs w:val="16"/>
          <w:lang w:val="es-ES"/>
        </w:rPr>
        <w:t>Caso Kimel Vs. Argentina</w:t>
      </w:r>
      <w:r w:rsidRPr="007F2326">
        <w:rPr>
          <w:rFonts w:ascii="Cambria" w:hAnsi="Cambria"/>
          <w:sz w:val="16"/>
          <w:szCs w:val="16"/>
          <w:lang w:val="es-ES"/>
        </w:rPr>
        <w:t xml:space="preserve">, </w:t>
      </w:r>
      <w:r w:rsidRPr="007F2326">
        <w:rPr>
          <w:rFonts w:ascii="Cambria" w:hAnsi="Cambria"/>
          <w:i/>
          <w:sz w:val="16"/>
          <w:szCs w:val="16"/>
          <w:lang w:val="es-ES"/>
        </w:rPr>
        <w:t>supra.</w:t>
      </w:r>
      <w:r w:rsidRPr="007F2326">
        <w:rPr>
          <w:rFonts w:ascii="Cambria" w:hAnsi="Cambria"/>
          <w:sz w:val="16"/>
          <w:szCs w:val="16"/>
          <w:lang w:val="es-ES"/>
        </w:rPr>
        <w:t xml:space="preserve"> Párr. 54. </w:t>
      </w:r>
    </w:p>
  </w:footnote>
  <w:footnote w:id="51">
    <w:p w14:paraId="6D27848E" w14:textId="77777777" w:rsidR="008D4A0F" w:rsidRPr="007F2326" w:rsidRDefault="008D4A0F" w:rsidP="007F2326">
      <w:pPr>
        <w:pStyle w:val="FootnoteText"/>
        <w:tabs>
          <w:tab w:val="left" w:pos="567"/>
        </w:tabs>
        <w:jc w:val="both"/>
        <w:rPr>
          <w:rFonts w:ascii="Cambria" w:hAnsi="Cambria" w:cs="Times New Roman"/>
          <w:color w:val="auto"/>
          <w:spacing w:val="-2"/>
          <w:sz w:val="16"/>
          <w:szCs w:val="16"/>
          <w:lang w:val="es-PE"/>
        </w:rPr>
      </w:pPr>
      <w:r w:rsidRPr="007F2326">
        <w:rPr>
          <w:rStyle w:val="FootnoteReference"/>
          <w:rFonts w:ascii="Cambria" w:eastAsia="Batang" w:hAnsi="Cambria" w:cs="Times New Roman"/>
          <w:color w:val="auto"/>
          <w:spacing w:val="-2"/>
          <w:sz w:val="16"/>
          <w:szCs w:val="16"/>
        </w:rPr>
        <w:footnoteRef/>
      </w:r>
      <w:r w:rsidRPr="007F2326">
        <w:rPr>
          <w:rFonts w:ascii="Cambria" w:hAnsi="Cambria"/>
          <w:color w:val="auto"/>
          <w:spacing w:val="-2"/>
          <w:sz w:val="16"/>
          <w:szCs w:val="16"/>
          <w:lang w:val="es-ES"/>
        </w:rPr>
        <w:t xml:space="preserve"> Corte IDH. </w:t>
      </w:r>
      <w:r w:rsidRPr="007F2326">
        <w:rPr>
          <w:rFonts w:ascii="Cambria" w:hAnsi="Cambria"/>
          <w:i/>
          <w:iCs/>
          <w:color w:val="auto"/>
          <w:spacing w:val="-2"/>
          <w:sz w:val="16"/>
          <w:szCs w:val="16"/>
          <w:lang w:val="es-ES"/>
        </w:rPr>
        <w:t xml:space="preserve">Caso Herrera Ulloa Vs. </w:t>
      </w:r>
      <w:r w:rsidRPr="007F2326">
        <w:rPr>
          <w:rFonts w:ascii="Cambria" w:hAnsi="Cambria"/>
          <w:i/>
          <w:iCs/>
          <w:color w:val="auto"/>
          <w:spacing w:val="-2"/>
          <w:sz w:val="16"/>
          <w:szCs w:val="16"/>
          <w:lang w:val="es-PE"/>
        </w:rPr>
        <w:t>Costa Rica, supra</w:t>
      </w:r>
      <w:r w:rsidRPr="007F2326">
        <w:rPr>
          <w:rFonts w:ascii="Cambria" w:hAnsi="Cambria"/>
          <w:i/>
          <w:color w:val="auto"/>
          <w:spacing w:val="-2"/>
          <w:sz w:val="16"/>
          <w:szCs w:val="16"/>
          <w:lang w:val="es-CR"/>
        </w:rPr>
        <w:t>.</w:t>
      </w:r>
      <w:r w:rsidRPr="007F2326">
        <w:rPr>
          <w:rFonts w:ascii="Cambria" w:hAnsi="Cambria"/>
          <w:color w:val="auto"/>
          <w:spacing w:val="-2"/>
          <w:sz w:val="16"/>
          <w:szCs w:val="16"/>
          <w:lang w:val="es-CR"/>
        </w:rPr>
        <w:t xml:space="preserve"> Párr. 120, </w:t>
      </w:r>
      <w:r w:rsidRPr="007F2326">
        <w:rPr>
          <w:rFonts w:ascii="Cambria" w:hAnsi="Cambria"/>
          <w:color w:val="auto"/>
          <w:spacing w:val="-2"/>
          <w:sz w:val="16"/>
          <w:szCs w:val="16"/>
          <w:lang w:val="es-PE"/>
        </w:rPr>
        <w:t xml:space="preserve">y </w:t>
      </w:r>
      <w:r w:rsidRPr="007F2326">
        <w:rPr>
          <w:rFonts w:ascii="Cambria" w:hAnsi="Cambria"/>
          <w:i/>
          <w:iCs/>
          <w:color w:val="auto"/>
          <w:spacing w:val="-2"/>
          <w:sz w:val="16"/>
          <w:szCs w:val="16"/>
          <w:lang w:val="es-PE"/>
        </w:rPr>
        <w:t>Caso Fontevecchia y D’Amico Vs. Argentina, supra</w:t>
      </w:r>
      <w:r w:rsidRPr="007F2326">
        <w:rPr>
          <w:rFonts w:ascii="Cambria" w:hAnsi="Cambria"/>
          <w:color w:val="auto"/>
          <w:spacing w:val="-2"/>
          <w:sz w:val="16"/>
          <w:szCs w:val="16"/>
          <w:lang w:val="es-PE"/>
        </w:rPr>
        <w:t>. Párr. 43.</w:t>
      </w:r>
    </w:p>
  </w:footnote>
  <w:footnote w:id="52">
    <w:p w14:paraId="201526A9" w14:textId="77777777" w:rsidR="008D4A0F" w:rsidRPr="007F2326" w:rsidRDefault="008D4A0F" w:rsidP="007F2326">
      <w:pPr>
        <w:pStyle w:val="FootnoteText"/>
        <w:tabs>
          <w:tab w:val="left" w:pos="567"/>
        </w:tabs>
        <w:jc w:val="both"/>
        <w:rPr>
          <w:rFonts w:ascii="Cambria" w:hAnsi="Cambria" w:cs="Times New Roman"/>
          <w:color w:val="auto"/>
          <w:spacing w:val="-2"/>
          <w:sz w:val="16"/>
          <w:szCs w:val="16"/>
          <w:lang w:val="es-PE"/>
        </w:rPr>
      </w:pPr>
      <w:r w:rsidRPr="007F2326">
        <w:rPr>
          <w:rStyle w:val="FootnoteReference"/>
          <w:rFonts w:ascii="Cambria" w:eastAsia="Batang" w:hAnsi="Cambria" w:cs="Times New Roman"/>
          <w:color w:val="auto"/>
          <w:spacing w:val="-2"/>
          <w:sz w:val="16"/>
          <w:szCs w:val="16"/>
        </w:rPr>
        <w:footnoteRef/>
      </w:r>
      <w:r w:rsidRPr="007F2326">
        <w:rPr>
          <w:rFonts w:ascii="Cambria" w:hAnsi="Cambria"/>
          <w:color w:val="auto"/>
          <w:spacing w:val="-2"/>
          <w:sz w:val="16"/>
          <w:szCs w:val="16"/>
          <w:lang w:val="es-PE"/>
        </w:rPr>
        <w:t xml:space="preserve"> </w:t>
      </w:r>
      <w:r w:rsidRPr="007F2326">
        <w:rPr>
          <w:rFonts w:ascii="Cambria" w:hAnsi="Cambria"/>
          <w:color w:val="auto"/>
          <w:spacing w:val="-2"/>
          <w:sz w:val="16"/>
          <w:szCs w:val="16"/>
          <w:lang w:val="es-CR"/>
        </w:rPr>
        <w:t xml:space="preserve">En el mismo sentido se ha pronunciado el Relator Especial de Naciones Unidas sobre la promoción y protección del derecho a la libertad de opinión y expresión. </w:t>
      </w:r>
      <w:r w:rsidRPr="007F2326">
        <w:rPr>
          <w:rFonts w:ascii="Cambria" w:hAnsi="Cambria"/>
          <w:iCs/>
          <w:color w:val="auto"/>
          <w:spacing w:val="-2"/>
          <w:sz w:val="16"/>
          <w:szCs w:val="16"/>
          <w:lang w:val="es-PE"/>
        </w:rPr>
        <w:t>Véase, por ejemplo</w:t>
      </w:r>
      <w:r w:rsidRPr="007F2326">
        <w:rPr>
          <w:rFonts w:ascii="Cambria" w:hAnsi="Cambria"/>
          <w:i/>
          <w:iCs/>
          <w:color w:val="auto"/>
          <w:spacing w:val="-2"/>
          <w:sz w:val="16"/>
          <w:szCs w:val="16"/>
          <w:lang w:val="es-PE"/>
        </w:rPr>
        <w:t>, I</w:t>
      </w:r>
      <w:r w:rsidRPr="007F2326">
        <w:rPr>
          <w:rFonts w:ascii="Cambria" w:hAnsi="Cambria"/>
          <w:i/>
          <w:color w:val="auto"/>
          <w:spacing w:val="-2"/>
          <w:sz w:val="16"/>
          <w:szCs w:val="16"/>
          <w:lang w:val="es-PE"/>
        </w:rPr>
        <w:t>nforme del Relator Especial sobre la promoción y protección del derecho a la libertad de opinión y expresión, señor Frank La Rue.</w:t>
      </w:r>
      <w:r w:rsidRPr="007F2326">
        <w:rPr>
          <w:rFonts w:ascii="Cambria" w:hAnsi="Cambria"/>
          <w:color w:val="auto"/>
          <w:spacing w:val="-2"/>
          <w:sz w:val="16"/>
          <w:szCs w:val="16"/>
          <w:lang w:val="es-PE"/>
        </w:rPr>
        <w:t xml:space="preserve"> A/HRC/14/23. 4 de junio de 2012. Párr. 80; </w:t>
      </w:r>
      <w:r w:rsidRPr="007F2326">
        <w:rPr>
          <w:rFonts w:ascii="Cambria" w:hAnsi="Cambria"/>
          <w:i/>
          <w:color w:val="auto"/>
          <w:spacing w:val="-2"/>
          <w:sz w:val="16"/>
          <w:szCs w:val="16"/>
          <w:lang w:val="es-PE"/>
        </w:rPr>
        <w:t>Informe del Relator Especial sobre la promoción y protección del derecho a la libertad de opinión y expresión, señor Ambeyi Ligabo.</w:t>
      </w:r>
      <w:r w:rsidRPr="007F2326">
        <w:rPr>
          <w:rFonts w:ascii="Cambria" w:hAnsi="Cambria"/>
          <w:color w:val="auto"/>
          <w:spacing w:val="-2"/>
          <w:sz w:val="16"/>
          <w:szCs w:val="16"/>
          <w:lang w:val="es-PE"/>
        </w:rPr>
        <w:t xml:space="preserve"> </w:t>
      </w:r>
      <w:r w:rsidRPr="007F2326">
        <w:rPr>
          <w:rFonts w:ascii="Cambria" w:hAnsi="Cambria"/>
          <w:i/>
          <w:color w:val="auto"/>
          <w:spacing w:val="-2"/>
          <w:sz w:val="16"/>
          <w:szCs w:val="16"/>
          <w:lang w:val="es-PE"/>
        </w:rPr>
        <w:t>Promoción y protección de todos los derechos humanos, civiles, políticos, económicos, sociales y culturales, incluido el derecho al desarrollo</w:t>
      </w:r>
      <w:r w:rsidRPr="007F2326">
        <w:rPr>
          <w:rFonts w:ascii="Cambria" w:hAnsi="Cambria"/>
          <w:color w:val="auto"/>
          <w:spacing w:val="-2"/>
          <w:sz w:val="16"/>
          <w:szCs w:val="16"/>
          <w:lang w:val="es-PE"/>
        </w:rPr>
        <w:t xml:space="preserve">. A/HRC/7/14. 28 de febrero de 2008. Párr. 39, e </w:t>
      </w:r>
      <w:r w:rsidRPr="007F2326">
        <w:rPr>
          <w:rFonts w:ascii="Cambria" w:hAnsi="Cambria"/>
          <w:i/>
          <w:color w:val="auto"/>
          <w:spacing w:val="-2"/>
          <w:sz w:val="16"/>
          <w:szCs w:val="16"/>
          <w:lang w:val="es-PE"/>
        </w:rPr>
        <w:t>Informe del Relator Especial sobre la promoción y protección del derecho a la libertad de opinión y expresión, señor Ambeyi Ligabo</w:t>
      </w:r>
      <w:r w:rsidRPr="007F2326">
        <w:rPr>
          <w:rFonts w:ascii="Cambria" w:hAnsi="Cambria"/>
          <w:color w:val="auto"/>
          <w:spacing w:val="-2"/>
          <w:sz w:val="16"/>
          <w:szCs w:val="16"/>
          <w:lang w:val="es-PE"/>
        </w:rPr>
        <w:t>, Aplicación de la Resolución 60/251 de la Asamblea General, de 15 de marzo de 2006, titulada “Consejo de Derechos Humanos”. A/HRC/4/27. 2 de enero de 2007. Párr. 46.</w:t>
      </w:r>
    </w:p>
  </w:footnote>
  <w:footnote w:id="53">
    <w:p w14:paraId="6678EA99" w14:textId="77777777" w:rsidR="008D4A0F" w:rsidRPr="007F2326" w:rsidRDefault="008D4A0F" w:rsidP="007F2326">
      <w:pPr>
        <w:pStyle w:val="FootnoteText"/>
        <w:tabs>
          <w:tab w:val="left" w:pos="567"/>
        </w:tabs>
        <w:jc w:val="both"/>
        <w:rPr>
          <w:rFonts w:ascii="Cambria" w:hAnsi="Cambria" w:cs="Times New Roman"/>
          <w:color w:val="auto"/>
          <w:spacing w:val="-2"/>
          <w:sz w:val="16"/>
          <w:szCs w:val="16"/>
          <w:lang w:val="pt-BR"/>
        </w:rPr>
      </w:pPr>
      <w:r w:rsidRPr="007F2326">
        <w:rPr>
          <w:rStyle w:val="FootnoteReference"/>
          <w:rFonts w:ascii="Cambria" w:eastAsia="Batang" w:hAnsi="Cambria" w:cs="Times New Roman"/>
          <w:color w:val="auto"/>
          <w:spacing w:val="-2"/>
          <w:sz w:val="16"/>
          <w:szCs w:val="16"/>
        </w:rPr>
        <w:footnoteRef/>
      </w:r>
      <w:r w:rsidRPr="007F2326">
        <w:rPr>
          <w:rFonts w:ascii="Cambria" w:hAnsi="Cambria"/>
          <w:color w:val="auto"/>
          <w:spacing w:val="-2"/>
          <w:sz w:val="16"/>
          <w:szCs w:val="16"/>
          <w:lang w:val="es-PE"/>
        </w:rPr>
        <w:t xml:space="preserve"> Corte IDH. </w:t>
      </w:r>
      <w:r w:rsidRPr="007F2326">
        <w:rPr>
          <w:rFonts w:ascii="Cambria" w:hAnsi="Cambria"/>
          <w:i/>
          <w:color w:val="auto"/>
          <w:spacing w:val="-2"/>
          <w:sz w:val="16"/>
          <w:szCs w:val="16"/>
          <w:lang w:val="es-PE"/>
        </w:rPr>
        <w:t>Caso Ricardo Canese Vs. Paraguay</w:t>
      </w:r>
      <w:r w:rsidRPr="007F2326">
        <w:rPr>
          <w:rFonts w:ascii="Cambria" w:hAnsi="Cambria"/>
          <w:bCs/>
          <w:color w:val="auto"/>
          <w:spacing w:val="-2"/>
          <w:sz w:val="16"/>
          <w:szCs w:val="16"/>
          <w:lang w:val="es-PE"/>
        </w:rPr>
        <w:t>,</w:t>
      </w:r>
      <w:r w:rsidRPr="007F2326">
        <w:rPr>
          <w:rFonts w:ascii="Cambria" w:hAnsi="Cambria"/>
          <w:b/>
          <w:bCs/>
          <w:color w:val="auto"/>
          <w:spacing w:val="-2"/>
          <w:sz w:val="16"/>
          <w:szCs w:val="16"/>
          <w:lang w:val="es-PE"/>
        </w:rPr>
        <w:t xml:space="preserve"> </w:t>
      </w:r>
      <w:r w:rsidRPr="007F2326">
        <w:rPr>
          <w:rFonts w:ascii="Cambria" w:hAnsi="Cambria"/>
          <w:bCs/>
          <w:i/>
          <w:color w:val="auto"/>
          <w:spacing w:val="-2"/>
          <w:sz w:val="16"/>
          <w:szCs w:val="16"/>
          <w:lang w:val="es-PE"/>
        </w:rPr>
        <w:t>supra.</w:t>
      </w:r>
      <w:r w:rsidRPr="007F2326">
        <w:rPr>
          <w:rFonts w:ascii="Cambria" w:hAnsi="Cambria"/>
          <w:b/>
          <w:bCs/>
          <w:color w:val="auto"/>
          <w:spacing w:val="-2"/>
          <w:sz w:val="16"/>
          <w:szCs w:val="16"/>
          <w:lang w:val="es-PE"/>
        </w:rPr>
        <w:t xml:space="preserve"> </w:t>
      </w:r>
      <w:r w:rsidRPr="007F2326">
        <w:rPr>
          <w:rFonts w:ascii="Cambria" w:hAnsi="Cambria"/>
          <w:color w:val="auto"/>
          <w:spacing w:val="-2"/>
          <w:sz w:val="16"/>
          <w:szCs w:val="16"/>
          <w:lang w:val="es-PE"/>
        </w:rPr>
        <w:t>Párr. 101, y</w:t>
      </w:r>
      <w:r w:rsidRPr="007F2326">
        <w:rPr>
          <w:rFonts w:ascii="Cambria" w:hAnsi="Cambria"/>
          <w:iCs/>
          <w:color w:val="auto"/>
          <w:spacing w:val="-2"/>
          <w:sz w:val="16"/>
          <w:szCs w:val="16"/>
          <w:lang w:val="es-PE"/>
        </w:rPr>
        <w:t xml:space="preserve"> </w:t>
      </w:r>
      <w:r w:rsidRPr="007F2326">
        <w:rPr>
          <w:rFonts w:ascii="Cambria" w:hAnsi="Cambria"/>
          <w:i/>
          <w:iCs/>
          <w:color w:val="auto"/>
          <w:spacing w:val="-2"/>
          <w:sz w:val="16"/>
          <w:szCs w:val="16"/>
          <w:lang w:val="es-PE"/>
        </w:rPr>
        <w:t xml:space="preserve">Caso Usón Ramírez Vs. </w:t>
      </w:r>
      <w:r w:rsidRPr="007F2326">
        <w:rPr>
          <w:rFonts w:ascii="Cambria" w:hAnsi="Cambria"/>
          <w:i/>
          <w:iCs/>
          <w:color w:val="auto"/>
          <w:spacing w:val="-2"/>
          <w:sz w:val="16"/>
          <w:szCs w:val="16"/>
          <w:lang w:val="pt-BR"/>
        </w:rPr>
        <w:t>Venezuela</w:t>
      </w:r>
      <w:r w:rsidRPr="007F2326">
        <w:rPr>
          <w:rFonts w:ascii="Cambria" w:hAnsi="Cambria"/>
          <w:i/>
          <w:color w:val="auto"/>
          <w:spacing w:val="-2"/>
          <w:sz w:val="16"/>
          <w:szCs w:val="16"/>
          <w:lang w:val="pt-BR"/>
        </w:rPr>
        <w:t>, supra.</w:t>
      </w:r>
      <w:r w:rsidRPr="007F2326">
        <w:rPr>
          <w:rFonts w:ascii="Cambria" w:hAnsi="Cambria"/>
          <w:color w:val="auto"/>
          <w:spacing w:val="-2"/>
          <w:sz w:val="16"/>
          <w:szCs w:val="16"/>
          <w:lang w:val="pt-BR"/>
        </w:rPr>
        <w:t xml:space="preserve"> Párr. 46.</w:t>
      </w:r>
    </w:p>
  </w:footnote>
  <w:footnote w:id="54">
    <w:p w14:paraId="47CCDB2E" w14:textId="77777777" w:rsidR="008D4A0F" w:rsidRPr="007F2326" w:rsidRDefault="008D4A0F" w:rsidP="007F2326">
      <w:pPr>
        <w:pStyle w:val="FootnoteText"/>
        <w:tabs>
          <w:tab w:val="left" w:pos="567"/>
        </w:tabs>
        <w:jc w:val="both"/>
        <w:rPr>
          <w:rFonts w:ascii="Cambria" w:hAnsi="Cambria" w:cs="Times New Roman"/>
          <w:color w:val="auto"/>
          <w:spacing w:val="-2"/>
          <w:sz w:val="16"/>
          <w:szCs w:val="16"/>
          <w:lang w:val="pt-BR"/>
        </w:rPr>
      </w:pPr>
      <w:r w:rsidRPr="007F2326">
        <w:rPr>
          <w:rStyle w:val="FootnoteReference"/>
          <w:rFonts w:ascii="Cambria" w:eastAsia="Batang" w:hAnsi="Cambria" w:cs="Times New Roman"/>
          <w:color w:val="auto"/>
          <w:spacing w:val="-2"/>
          <w:sz w:val="16"/>
          <w:szCs w:val="16"/>
        </w:rPr>
        <w:footnoteRef/>
      </w:r>
      <w:r w:rsidRPr="007F2326">
        <w:rPr>
          <w:rFonts w:ascii="Cambria" w:hAnsi="Cambria"/>
          <w:color w:val="auto"/>
          <w:spacing w:val="-2"/>
          <w:sz w:val="16"/>
          <w:szCs w:val="16"/>
          <w:lang w:val="pt-BR"/>
        </w:rPr>
        <w:t xml:space="preserve"> Corte IDH. </w:t>
      </w:r>
      <w:r w:rsidRPr="007F2326">
        <w:rPr>
          <w:rFonts w:ascii="Cambria" w:hAnsi="Cambria"/>
          <w:i/>
          <w:iCs/>
          <w:color w:val="auto"/>
          <w:spacing w:val="-2"/>
          <w:sz w:val="16"/>
          <w:szCs w:val="16"/>
          <w:lang w:val="pt-BR"/>
        </w:rPr>
        <w:t>Caso Fontevecchia y D’Amico Vs. Argentina, supra</w:t>
      </w:r>
      <w:r w:rsidRPr="007F2326">
        <w:rPr>
          <w:rFonts w:ascii="Cambria" w:hAnsi="Cambria"/>
          <w:i/>
          <w:color w:val="auto"/>
          <w:spacing w:val="-2"/>
          <w:sz w:val="16"/>
          <w:szCs w:val="16"/>
          <w:lang w:val="pt-BR"/>
        </w:rPr>
        <w:t>.</w:t>
      </w:r>
      <w:r w:rsidRPr="007F2326">
        <w:rPr>
          <w:rFonts w:ascii="Cambria" w:hAnsi="Cambria"/>
          <w:color w:val="auto"/>
          <w:spacing w:val="-2"/>
          <w:sz w:val="16"/>
          <w:szCs w:val="16"/>
          <w:lang w:val="pt-BR"/>
        </w:rPr>
        <w:t xml:space="preserve"> Párr. 49. </w:t>
      </w:r>
    </w:p>
  </w:footnote>
  <w:footnote w:id="55">
    <w:p w14:paraId="19014742" w14:textId="77777777" w:rsidR="008D4A0F" w:rsidRPr="007F2326" w:rsidRDefault="008D4A0F" w:rsidP="007F2326">
      <w:pPr>
        <w:jc w:val="both"/>
        <w:rPr>
          <w:rFonts w:ascii="Cambria" w:hAnsi="Cambria"/>
          <w:sz w:val="16"/>
          <w:szCs w:val="16"/>
          <w:lang w:val="es-US"/>
        </w:rPr>
      </w:pPr>
      <w:r w:rsidRPr="007F2326">
        <w:rPr>
          <w:rStyle w:val="FootnoteReference"/>
          <w:rFonts w:ascii="Cambria" w:hAnsi="Cambria"/>
          <w:sz w:val="16"/>
          <w:szCs w:val="16"/>
        </w:rPr>
        <w:footnoteRef/>
      </w:r>
      <w:r w:rsidRPr="007F2326">
        <w:rPr>
          <w:rFonts w:ascii="Cambria" w:hAnsi="Cambria"/>
          <w:sz w:val="16"/>
          <w:szCs w:val="16"/>
          <w:lang w:val="pt-BR"/>
        </w:rPr>
        <w:t xml:space="preserve"> CIDH. Informe Anual 1994. </w:t>
      </w:r>
      <w:r w:rsidRPr="007F2326">
        <w:rPr>
          <w:rFonts w:ascii="Cambria" w:hAnsi="Cambria"/>
          <w:sz w:val="16"/>
          <w:szCs w:val="16"/>
          <w:lang w:val="es-ES"/>
        </w:rPr>
        <w:t xml:space="preserve">Capítulo V: Informe sobre la Compatibilidad entre las Leyes de Desacato y la Convención Americana sobre Derechos Humanos.  </w:t>
      </w:r>
      <w:r w:rsidRPr="007F2326">
        <w:rPr>
          <w:rFonts w:ascii="Cambria" w:hAnsi="Cambria"/>
          <w:sz w:val="16"/>
          <w:szCs w:val="16"/>
          <w:lang w:val="pt-BR"/>
        </w:rPr>
        <w:t xml:space="preserve">OEA/Ser. L/V/II.88. doc. 9 rev. 17 de febrero de 1995, e </w:t>
      </w:r>
      <w:hyperlink r:id="rId1" w:history="1">
        <w:r w:rsidRPr="007F2326">
          <w:rPr>
            <w:rStyle w:val="Hyperlink"/>
            <w:rFonts w:ascii="Cambria" w:hAnsi="Cambria"/>
            <w:sz w:val="16"/>
            <w:szCs w:val="16"/>
            <w:u w:val="none"/>
            <w:lang w:val="pt-BR"/>
          </w:rPr>
          <w:t xml:space="preserve">Informe Anual 2009. </w:t>
        </w:r>
        <w:r w:rsidRPr="007F2326">
          <w:rPr>
            <w:rStyle w:val="Hyperlink"/>
            <w:rFonts w:ascii="Cambria" w:hAnsi="Cambria"/>
            <w:sz w:val="16"/>
            <w:szCs w:val="16"/>
            <w:u w:val="none"/>
            <w:lang w:val="es-UY"/>
          </w:rPr>
          <w:t>Informe de la Relatoría Especial para la Libertad de Expresión</w:t>
        </w:r>
      </w:hyperlink>
      <w:r w:rsidRPr="007F2326">
        <w:rPr>
          <w:rFonts w:ascii="Cambria" w:hAnsi="Cambria"/>
          <w:sz w:val="16"/>
          <w:szCs w:val="16"/>
          <w:lang w:val="es-UY"/>
        </w:rPr>
        <w:t xml:space="preserve">. </w:t>
      </w:r>
      <w:r w:rsidRPr="007F2326">
        <w:rPr>
          <w:rFonts w:ascii="Cambria" w:hAnsi="Cambria"/>
          <w:sz w:val="16"/>
          <w:szCs w:val="16"/>
          <w:lang w:val="es-ES_tradnl"/>
        </w:rPr>
        <w:t xml:space="preserve">Capítulo III (Marco Jurídico Interamericano del Derecho a la Libertad de Expresión). OEA/Ser.L/V/II. Doc. 51. 30 de diciembre de 2009. Párr </w:t>
      </w:r>
      <w:r w:rsidRPr="007F2326">
        <w:rPr>
          <w:rFonts w:ascii="Cambria" w:hAnsi="Cambria"/>
          <w:sz w:val="16"/>
          <w:szCs w:val="16"/>
          <w:lang w:val="es-ES"/>
        </w:rPr>
        <w:t>101.</w:t>
      </w:r>
    </w:p>
  </w:footnote>
  <w:footnote w:id="56">
    <w:p w14:paraId="611776C2" w14:textId="77777777" w:rsidR="008D4A0F" w:rsidRPr="007F2326" w:rsidRDefault="008D4A0F" w:rsidP="007F2326">
      <w:pPr>
        <w:jc w:val="both"/>
        <w:rPr>
          <w:rFonts w:ascii="Cambria" w:hAnsi="Cambria"/>
          <w:sz w:val="16"/>
          <w:szCs w:val="16"/>
          <w:lang w:val="es-US"/>
        </w:rPr>
      </w:pPr>
      <w:r w:rsidRPr="007F2326">
        <w:rPr>
          <w:rStyle w:val="FootnoteReference"/>
          <w:rFonts w:ascii="Cambria" w:hAnsi="Cambria"/>
          <w:sz w:val="16"/>
          <w:szCs w:val="16"/>
        </w:rPr>
        <w:footnoteRef/>
      </w:r>
      <w:r w:rsidRPr="007F2326">
        <w:rPr>
          <w:rFonts w:ascii="Cambria" w:hAnsi="Cambria"/>
          <w:sz w:val="16"/>
          <w:szCs w:val="16"/>
          <w:lang w:val="es-VE"/>
        </w:rPr>
        <w:t xml:space="preserve"> CIDH. Informe Anual 2009. Informe de la Relatoría Especial para la Libertad de Expresión. Capítulo III (Marco Jurídico Interamericano del Derecho a la Libertad de Expresión). OEA/Ser.L/V/II. Doc. 51. 30 de diciembre de 2009. Párr. 41. </w:t>
      </w:r>
      <w:r w:rsidRPr="007F2326">
        <w:rPr>
          <w:rFonts w:ascii="Cambria" w:hAnsi="Cambria"/>
          <w:sz w:val="16"/>
          <w:szCs w:val="16"/>
          <w:lang w:val="es-ES"/>
        </w:rPr>
        <w:t xml:space="preserve">Véase también, </w:t>
      </w:r>
      <w:r w:rsidRPr="007F2326">
        <w:rPr>
          <w:rFonts w:ascii="Cambria" w:hAnsi="Cambria"/>
          <w:sz w:val="16"/>
          <w:szCs w:val="16"/>
          <w:lang w:val="es-US"/>
        </w:rPr>
        <w:t xml:space="preserve">Corte IDH. </w:t>
      </w:r>
      <w:r w:rsidRPr="007F2326">
        <w:rPr>
          <w:rFonts w:ascii="Cambria" w:hAnsi="Cambria"/>
          <w:i/>
          <w:sz w:val="16"/>
          <w:szCs w:val="16"/>
          <w:lang w:val="es-US"/>
        </w:rPr>
        <w:t xml:space="preserve">Caso Kimel Vs. </w:t>
      </w:r>
      <w:r w:rsidRPr="007F2326">
        <w:rPr>
          <w:rFonts w:ascii="Cambria" w:hAnsi="Cambria"/>
          <w:i/>
          <w:sz w:val="16"/>
          <w:szCs w:val="16"/>
          <w:lang w:val="es-ES"/>
        </w:rPr>
        <w:t xml:space="preserve">Argentina, supra. </w:t>
      </w:r>
      <w:r w:rsidRPr="007F2326">
        <w:rPr>
          <w:rFonts w:ascii="Cambria" w:hAnsi="Cambria"/>
          <w:sz w:val="16"/>
          <w:szCs w:val="16"/>
          <w:lang w:val="es-ES"/>
        </w:rPr>
        <w:t>Párr. 86.</w:t>
      </w:r>
    </w:p>
  </w:footnote>
  <w:footnote w:id="57">
    <w:p w14:paraId="5C33CAC4" w14:textId="77777777" w:rsidR="008D4A0F" w:rsidRPr="007F2326" w:rsidRDefault="008D4A0F" w:rsidP="007F2326">
      <w:pPr>
        <w:jc w:val="both"/>
        <w:rPr>
          <w:rFonts w:ascii="Cambria" w:hAnsi="Cambria"/>
          <w:sz w:val="16"/>
          <w:szCs w:val="16"/>
          <w:lang w:val="pt-BR"/>
        </w:rPr>
      </w:pPr>
      <w:r w:rsidRPr="007F2326">
        <w:rPr>
          <w:rStyle w:val="FootnoteReference"/>
          <w:rFonts w:ascii="Cambria" w:hAnsi="Cambria"/>
          <w:sz w:val="16"/>
          <w:szCs w:val="16"/>
        </w:rPr>
        <w:footnoteRef/>
      </w:r>
      <w:r w:rsidRPr="007F2326">
        <w:rPr>
          <w:rFonts w:ascii="Cambria" w:hAnsi="Cambria"/>
          <w:sz w:val="16"/>
          <w:szCs w:val="16"/>
          <w:lang w:val="es-VE"/>
        </w:rPr>
        <w:t xml:space="preserve"> CIDH. Informe Anual 1994. Capítulo V: Informe sobre la Compatibilidad entre las Leyes de Desacato y la Convención Americana sobre Derechos Humanos. </w:t>
      </w:r>
      <w:r w:rsidRPr="007F2326">
        <w:rPr>
          <w:rFonts w:ascii="Cambria" w:hAnsi="Cambria"/>
          <w:sz w:val="16"/>
          <w:szCs w:val="16"/>
          <w:lang w:val="pt-BR"/>
        </w:rPr>
        <w:t xml:space="preserve">Título III Apartado B. OEA/Ser. L/V/II.88. doc. 9 rev. 17 de febrero de 1995, e Informe Anual 2009. </w:t>
      </w:r>
      <w:r w:rsidRPr="007F2326">
        <w:rPr>
          <w:rFonts w:ascii="Cambria" w:hAnsi="Cambria"/>
          <w:sz w:val="16"/>
          <w:szCs w:val="16"/>
          <w:lang w:val="es-VE"/>
        </w:rPr>
        <w:t>Informe de la Relatoría Especial para la Libertad de Expresión. Capítulo III (Marco Jurídico Interamericano del Derecho a la Libertad de Expresión). OEA/Ser.L/V/II. Doc. 51. 30 de diciembre de 2009. Párr. 42.</w:t>
      </w:r>
    </w:p>
  </w:footnote>
  <w:footnote w:id="58">
    <w:p w14:paraId="49F69652" w14:textId="77777777" w:rsidR="008D4A0F" w:rsidRPr="007F2326" w:rsidRDefault="008D4A0F" w:rsidP="007F2326">
      <w:pPr>
        <w:jc w:val="both"/>
        <w:rPr>
          <w:rFonts w:ascii="Cambria" w:hAnsi="Cambria"/>
          <w:sz w:val="16"/>
          <w:szCs w:val="16"/>
          <w:lang w:val="es-US"/>
        </w:rPr>
      </w:pPr>
      <w:r w:rsidRPr="007F2326">
        <w:rPr>
          <w:rStyle w:val="FootnoteReference"/>
          <w:rFonts w:ascii="Cambria" w:hAnsi="Cambria" w:cs="Univers"/>
          <w:sz w:val="16"/>
          <w:szCs w:val="16"/>
        </w:rPr>
        <w:footnoteRef/>
      </w:r>
      <w:r w:rsidRPr="007F2326">
        <w:rPr>
          <w:rFonts w:ascii="Cambria" w:hAnsi="Cambria"/>
          <w:sz w:val="16"/>
          <w:szCs w:val="16"/>
          <w:lang w:val="es-PE"/>
        </w:rPr>
        <w:t xml:space="preserve"> CIDH. </w:t>
      </w:r>
      <w:hyperlink r:id="rId2" w:history="1">
        <w:r w:rsidRPr="007F2326">
          <w:rPr>
            <w:rStyle w:val="Hyperlink"/>
            <w:rFonts w:ascii="Cambria" w:hAnsi="Cambria" w:cs="Univers"/>
            <w:iCs/>
            <w:sz w:val="16"/>
            <w:szCs w:val="16"/>
            <w:u w:val="none"/>
            <w:lang w:val="es-PE"/>
          </w:rPr>
          <w:t>Informe Anual 1994</w:t>
        </w:r>
      </w:hyperlink>
      <w:r w:rsidRPr="007F2326">
        <w:rPr>
          <w:rFonts w:ascii="Cambria" w:hAnsi="Cambria"/>
          <w:sz w:val="16"/>
          <w:szCs w:val="16"/>
          <w:lang w:val="es-PE"/>
        </w:rPr>
        <w:t xml:space="preserve">. </w:t>
      </w:r>
      <w:r w:rsidRPr="007F2326">
        <w:rPr>
          <w:rFonts w:ascii="Cambria" w:hAnsi="Cambria"/>
          <w:sz w:val="16"/>
          <w:szCs w:val="16"/>
          <w:lang w:val="es-ES"/>
        </w:rPr>
        <w:t xml:space="preserve">Capítulo V: Informe sobre la Compatibilidad entre las Leyes de Desacato y la Convención Americana sobre Derechos Humanos. OEA/Ser. L/V/II.88. doc. 9 rev. 17 de febrero de 1995; </w:t>
      </w:r>
      <w:hyperlink r:id="rId3" w:history="1">
        <w:r w:rsidRPr="007F2326">
          <w:rPr>
            <w:rStyle w:val="Hyperlink"/>
            <w:rFonts w:ascii="Cambria" w:hAnsi="Cambria"/>
            <w:sz w:val="16"/>
            <w:szCs w:val="16"/>
            <w:u w:val="none"/>
            <w:lang w:val="es-UY"/>
          </w:rPr>
          <w:t>Informe Anual 2004. Informe de la Relatoría Especial para la Libertad de Expresión</w:t>
        </w:r>
      </w:hyperlink>
      <w:r w:rsidRPr="007F2326">
        <w:rPr>
          <w:rFonts w:ascii="Cambria" w:hAnsi="Cambria"/>
          <w:sz w:val="16"/>
          <w:szCs w:val="16"/>
          <w:lang w:val="es-ES"/>
        </w:rPr>
        <w:t>. Capítulo VI (Leyes de Desacato y Difamación criminal). OEA/Ser.L/V/II.122. Doc. 5 rev. 1. 23 febrero 2005. Párr. 155 y ss;</w:t>
      </w:r>
      <w:r w:rsidRPr="007F2326">
        <w:rPr>
          <w:rFonts w:ascii="Cambria" w:hAnsi="Cambria"/>
          <w:sz w:val="16"/>
          <w:szCs w:val="16"/>
          <w:lang w:val="es-UY"/>
        </w:rPr>
        <w:t xml:space="preserve"> </w:t>
      </w:r>
      <w:hyperlink r:id="rId4" w:history="1">
        <w:r w:rsidRPr="007F2326">
          <w:rPr>
            <w:rStyle w:val="Hyperlink"/>
            <w:rFonts w:ascii="Cambria" w:hAnsi="Cambria"/>
            <w:sz w:val="16"/>
            <w:szCs w:val="16"/>
            <w:u w:val="none"/>
            <w:lang w:val="es-UY"/>
          </w:rPr>
          <w:t>Informe Anual 2009. Informe de la Relatoría Especial para la Libertad de Expresión</w:t>
        </w:r>
      </w:hyperlink>
      <w:r w:rsidRPr="007F2326">
        <w:rPr>
          <w:rFonts w:ascii="Cambria" w:hAnsi="Cambria"/>
          <w:sz w:val="16"/>
          <w:szCs w:val="16"/>
          <w:lang w:val="es-UY"/>
        </w:rPr>
        <w:t xml:space="preserve">. </w:t>
      </w:r>
      <w:r w:rsidRPr="007F2326">
        <w:rPr>
          <w:rFonts w:ascii="Cambria" w:hAnsi="Cambria"/>
          <w:sz w:val="16"/>
          <w:szCs w:val="16"/>
          <w:lang w:val="es-ES"/>
        </w:rPr>
        <w:t xml:space="preserve">Capítulo III (Marco Jurídico interamericano del Derecho a la Libertad de Expresión). OEA/Ser.L/V/II. Doc. 51. 30 de diciembre de 2009. Párr. 106. Véase también, </w:t>
      </w:r>
      <w:r w:rsidRPr="007F2326">
        <w:rPr>
          <w:rFonts w:ascii="Cambria" w:hAnsi="Cambria"/>
          <w:sz w:val="16"/>
          <w:szCs w:val="16"/>
          <w:lang w:val="es-US"/>
        </w:rPr>
        <w:t xml:space="preserve">Corte IDH. </w:t>
      </w:r>
      <w:r w:rsidRPr="007F2326">
        <w:rPr>
          <w:rFonts w:ascii="Cambria" w:hAnsi="Cambria"/>
          <w:i/>
          <w:sz w:val="16"/>
          <w:szCs w:val="16"/>
          <w:lang w:val="es-ES"/>
        </w:rPr>
        <w:t>Caso Herrera Ulloa Vs. Costa Rica</w:t>
      </w:r>
      <w:r w:rsidRPr="007F2326">
        <w:rPr>
          <w:rFonts w:ascii="Cambria" w:hAnsi="Cambria"/>
          <w:sz w:val="16"/>
          <w:szCs w:val="16"/>
          <w:lang w:val="es-ES"/>
        </w:rPr>
        <w:t xml:space="preserve">, </w:t>
      </w:r>
      <w:r w:rsidRPr="007F2326">
        <w:rPr>
          <w:rFonts w:ascii="Cambria" w:hAnsi="Cambria"/>
          <w:i/>
          <w:sz w:val="16"/>
          <w:szCs w:val="16"/>
          <w:lang w:val="es-ES"/>
        </w:rPr>
        <w:t xml:space="preserve">supra. </w:t>
      </w:r>
      <w:r w:rsidRPr="007F2326">
        <w:rPr>
          <w:rFonts w:ascii="Cambria" w:hAnsi="Cambria"/>
          <w:sz w:val="16"/>
          <w:szCs w:val="16"/>
          <w:lang w:val="es-ES"/>
        </w:rPr>
        <w:t>Párr. 128;</w:t>
      </w:r>
      <w:r w:rsidRPr="007F2326">
        <w:rPr>
          <w:rFonts w:ascii="Cambria" w:hAnsi="Cambria"/>
          <w:i/>
          <w:sz w:val="16"/>
          <w:szCs w:val="16"/>
          <w:lang w:val="es-ES"/>
        </w:rPr>
        <w:t xml:space="preserve"> Caso Ricardo Canese Vs. </w:t>
      </w:r>
      <w:r w:rsidRPr="007F2326">
        <w:rPr>
          <w:rFonts w:ascii="Cambria" w:hAnsi="Cambria"/>
          <w:i/>
          <w:sz w:val="16"/>
          <w:szCs w:val="16"/>
          <w:lang w:val="es-US"/>
        </w:rPr>
        <w:t xml:space="preserve">Paraguay, supra. </w:t>
      </w:r>
      <w:r w:rsidRPr="007F2326">
        <w:rPr>
          <w:rFonts w:ascii="Cambria" w:hAnsi="Cambria"/>
          <w:sz w:val="16"/>
          <w:szCs w:val="16"/>
          <w:lang w:val="es-US"/>
        </w:rPr>
        <w:t xml:space="preserve">Párr. 103, y </w:t>
      </w:r>
      <w:r w:rsidRPr="007F2326">
        <w:rPr>
          <w:rFonts w:ascii="Cambria" w:hAnsi="Cambria"/>
          <w:i/>
          <w:sz w:val="16"/>
          <w:szCs w:val="16"/>
          <w:lang w:val="es-US"/>
        </w:rPr>
        <w:t xml:space="preserve">Caso Kimel Vs. </w:t>
      </w:r>
      <w:r w:rsidRPr="007F2326">
        <w:rPr>
          <w:rFonts w:ascii="Cambria" w:hAnsi="Cambria"/>
          <w:i/>
          <w:sz w:val="16"/>
          <w:szCs w:val="16"/>
          <w:lang w:val="es-ES"/>
        </w:rPr>
        <w:t>Argentina, supra.</w:t>
      </w:r>
      <w:r w:rsidRPr="007F2326">
        <w:rPr>
          <w:rFonts w:ascii="Cambria" w:hAnsi="Cambria"/>
          <w:sz w:val="16"/>
          <w:szCs w:val="16"/>
          <w:lang w:val="es-ES"/>
        </w:rPr>
        <w:t xml:space="preserve"> Párr. 86.</w:t>
      </w:r>
    </w:p>
  </w:footnote>
  <w:footnote w:id="59">
    <w:p w14:paraId="13F1AED2" w14:textId="77777777" w:rsidR="008D4A0F" w:rsidRPr="007F2326" w:rsidRDefault="008D4A0F" w:rsidP="007F2326">
      <w:pPr>
        <w:pStyle w:val="footnote"/>
        <w:spacing w:after="0"/>
        <w:rPr>
          <w:rFonts w:ascii="Cambria" w:hAnsi="Cambria"/>
        </w:rPr>
      </w:pPr>
      <w:r w:rsidRPr="007F2326">
        <w:rPr>
          <w:rStyle w:val="FootnoteReference"/>
          <w:rFonts w:ascii="Cambria" w:hAnsi="Cambria"/>
        </w:rPr>
        <w:footnoteRef/>
      </w:r>
      <w:r w:rsidRPr="007F2326">
        <w:rPr>
          <w:rFonts w:ascii="Cambria" w:hAnsi="Cambria"/>
          <w:lang w:val="es-US"/>
        </w:rPr>
        <w:t xml:space="preserve"> Corte IDH. </w:t>
      </w:r>
      <w:r w:rsidRPr="007F2326">
        <w:rPr>
          <w:rFonts w:ascii="Cambria" w:hAnsi="Cambria"/>
          <w:i/>
        </w:rPr>
        <w:t>Caso Tristán Donoso Vs. Panamá</w:t>
      </w:r>
      <w:r w:rsidRPr="007F2326">
        <w:rPr>
          <w:rFonts w:ascii="Cambria" w:hAnsi="Cambria"/>
        </w:rPr>
        <w:t>. Excepción Preliminar, Fondo, Reparaciones y Costas. Sentencia de 27 de enero de 2009 Serie C No. 193. Párr. 122.</w:t>
      </w:r>
    </w:p>
  </w:footnote>
  <w:footnote w:id="60">
    <w:p w14:paraId="39CC5866" w14:textId="77777777" w:rsidR="008D4A0F" w:rsidRPr="007F2326" w:rsidRDefault="008D4A0F" w:rsidP="007F2326">
      <w:pPr>
        <w:pStyle w:val="footnote"/>
        <w:spacing w:after="0"/>
        <w:rPr>
          <w:rFonts w:ascii="Cambria" w:hAnsi="Cambria"/>
        </w:rPr>
      </w:pPr>
      <w:r w:rsidRPr="007F2326">
        <w:rPr>
          <w:rStyle w:val="FootnoteReference"/>
          <w:rFonts w:ascii="Cambria" w:hAnsi="Cambria"/>
          <w:lang w:val="es-CO"/>
        </w:rPr>
        <w:footnoteRef/>
      </w:r>
      <w:r w:rsidRPr="007F2326">
        <w:rPr>
          <w:rFonts w:ascii="Cambria" w:hAnsi="Cambria"/>
        </w:rPr>
        <w:t xml:space="preserve"> CIDH. Alegatos ante la Corte Interamericana en el </w:t>
      </w:r>
      <w:r w:rsidRPr="007F2326">
        <w:rPr>
          <w:rFonts w:ascii="Cambria" w:hAnsi="Cambria"/>
          <w:i/>
        </w:rPr>
        <w:t>Caso Herrera Ulloa Vs. Costa Rica</w:t>
      </w:r>
      <w:r w:rsidRPr="007F2326">
        <w:rPr>
          <w:rFonts w:ascii="Cambria" w:hAnsi="Cambria"/>
        </w:rPr>
        <w:t xml:space="preserve">. Transcritos en: Corte IDH. </w:t>
      </w:r>
      <w:r w:rsidRPr="007F2326">
        <w:rPr>
          <w:rFonts w:ascii="Cambria" w:hAnsi="Cambria"/>
          <w:i/>
        </w:rPr>
        <w:t>Caso Herrera Ulloa Vs. Costa Rica</w:t>
      </w:r>
      <w:r w:rsidRPr="007F2326">
        <w:rPr>
          <w:rFonts w:ascii="Cambria" w:hAnsi="Cambria"/>
        </w:rPr>
        <w:t xml:space="preserve">. Sentencia de 2 de julio de 2004. Serie C No. 107. Párr. 101.2), y Alegatos ante la Corte Interamericana en el </w:t>
      </w:r>
      <w:r w:rsidRPr="007F2326">
        <w:rPr>
          <w:rFonts w:ascii="Cambria" w:hAnsi="Cambria"/>
          <w:i/>
        </w:rPr>
        <w:t>Caso Ricardo Canese Vs. Paraguay</w:t>
      </w:r>
      <w:r w:rsidRPr="007F2326">
        <w:rPr>
          <w:rFonts w:ascii="Cambria" w:hAnsi="Cambria"/>
        </w:rPr>
        <w:t xml:space="preserve">. Transcritos en: Corte IDH. </w:t>
      </w:r>
      <w:r w:rsidRPr="007F2326">
        <w:rPr>
          <w:rFonts w:ascii="Cambria" w:hAnsi="Cambria"/>
          <w:i/>
        </w:rPr>
        <w:t>Caso Ricardo Canese Vs. Paraguay</w:t>
      </w:r>
      <w:r w:rsidRPr="007F2326">
        <w:rPr>
          <w:rFonts w:ascii="Cambria" w:hAnsi="Cambria"/>
        </w:rPr>
        <w:t xml:space="preserve">. </w:t>
      </w:r>
      <w:r w:rsidRPr="007F2326">
        <w:rPr>
          <w:rFonts w:ascii="Cambria" w:hAnsi="Cambria"/>
          <w:lang w:val="pt-BR"/>
        </w:rPr>
        <w:t xml:space="preserve">Sentencia de 31 de agosto de 2004. Serie C No. 111. Párr. 72.h). CIDH. </w:t>
      </w:r>
      <w:hyperlink r:id="rId5" w:history="1">
        <w:r w:rsidRPr="007F2326">
          <w:rPr>
            <w:rStyle w:val="Hyperlink"/>
            <w:rFonts w:ascii="Cambria" w:hAnsi="Cambria"/>
            <w:u w:val="none"/>
            <w:lang w:val="es-UY"/>
          </w:rPr>
          <w:t>Informe Anual 2009. Informe de la Relatoría Especial para la Libertad de Expresión</w:t>
        </w:r>
      </w:hyperlink>
      <w:r w:rsidRPr="007F2326">
        <w:rPr>
          <w:rFonts w:ascii="Cambria" w:hAnsi="Cambria"/>
          <w:lang w:val="es-UY"/>
        </w:rPr>
        <w:t xml:space="preserve">. </w:t>
      </w:r>
      <w:r w:rsidRPr="007F2326">
        <w:rPr>
          <w:rFonts w:ascii="Cambria" w:hAnsi="Cambria"/>
          <w:lang w:val="es-ES"/>
        </w:rPr>
        <w:t>Capítulo III (Marco Jurídico interamericano del Derecho a la Libertad de Expresión). OEA/Ser.L/V/II. Doc. 51. 30 de diciembre de 2009. Párr. 115.</w:t>
      </w:r>
    </w:p>
  </w:footnote>
  <w:footnote w:id="61">
    <w:p w14:paraId="6F681E0A" w14:textId="77777777" w:rsidR="008D4A0F" w:rsidRPr="007F2326" w:rsidRDefault="008D4A0F" w:rsidP="007F2326">
      <w:pPr>
        <w:pStyle w:val="footnote"/>
        <w:spacing w:after="0"/>
        <w:rPr>
          <w:rFonts w:ascii="Cambria" w:hAnsi="Cambria"/>
        </w:rPr>
      </w:pPr>
      <w:r w:rsidRPr="007F2326">
        <w:rPr>
          <w:rStyle w:val="FootnoteReference"/>
          <w:rFonts w:ascii="Cambria" w:hAnsi="Cambria"/>
          <w:lang w:val="es-CO"/>
        </w:rPr>
        <w:footnoteRef/>
      </w:r>
      <w:r w:rsidRPr="007F2326">
        <w:rPr>
          <w:rFonts w:ascii="Cambria" w:hAnsi="Cambria"/>
        </w:rPr>
        <w:t xml:space="preserve"> Al respecto, el Principio 10 de la Declaración de Principios sobre Libertad de Expresión adoptada por la CIDH dispone que “[l]as leyes de privacidad no deben inhibir ni restringir la investigación y difusión de información de interés público. La protección a la reputación debe estar garantizada sólo a través de sanciones civiles, en los casos en que la persona ofendida sea un funcionario público o persona pública o particular que se haya involucrado voluntariamente en asuntos de interés público. Además, en estos casos, debe probarse que en la difusión de las noticias el comunicador tuvo intención de infligir daño o pleno conocimiento de que se estaba difundiendo noticias falsas o se condujo con manifiesta negligencia en la búsqueda de la verdad o falsedad de las mismas”. CIDH, Declaración de Principios sobre Libertad de Expresión, 2000. Disponible en: </w:t>
      </w:r>
      <w:hyperlink r:id="rId6" w:history="1">
        <w:r w:rsidRPr="007F2326">
          <w:rPr>
            <w:rStyle w:val="Hyperlink"/>
            <w:rFonts w:ascii="Cambria" w:eastAsiaTheme="majorEastAsia" w:hAnsi="Cambria"/>
            <w:u w:color="A6A6A6" w:themeColor="background1" w:themeShade="A6"/>
            <w:lang w:val="es-CO"/>
          </w:rPr>
          <w:t>http://www.cidh.oas.org/basicos/basicos13.htm</w:t>
        </w:r>
      </w:hyperlink>
      <w:r w:rsidRPr="007F2326">
        <w:rPr>
          <w:rFonts w:ascii="Cambria" w:hAnsi="Cambria"/>
        </w:rPr>
        <w:t>.</w:t>
      </w:r>
    </w:p>
  </w:footnote>
  <w:footnote w:id="62">
    <w:p w14:paraId="08554F6F" w14:textId="77777777" w:rsidR="008D4A0F" w:rsidRPr="007F2326" w:rsidRDefault="008D4A0F" w:rsidP="007F2326">
      <w:pPr>
        <w:jc w:val="both"/>
        <w:rPr>
          <w:rFonts w:ascii="Cambria" w:hAnsi="Cambria"/>
          <w:sz w:val="16"/>
          <w:szCs w:val="16"/>
          <w:lang w:val="pt-BR"/>
        </w:rPr>
      </w:pPr>
      <w:r w:rsidRPr="007F2326">
        <w:rPr>
          <w:rStyle w:val="FootnoteReference"/>
          <w:rFonts w:ascii="Cambria" w:hAnsi="Cambria"/>
          <w:sz w:val="16"/>
          <w:szCs w:val="16"/>
          <w:lang w:val="es-CO"/>
        </w:rPr>
        <w:footnoteRef/>
      </w:r>
      <w:r w:rsidRPr="007F2326">
        <w:rPr>
          <w:rFonts w:ascii="Cambria" w:hAnsi="Cambria"/>
          <w:sz w:val="16"/>
          <w:szCs w:val="16"/>
          <w:lang w:val="es-PE"/>
        </w:rPr>
        <w:t xml:space="preserve"> Corte IDH, </w:t>
      </w:r>
      <w:r w:rsidRPr="007F2326">
        <w:rPr>
          <w:rFonts w:ascii="Cambria" w:hAnsi="Cambria"/>
          <w:i/>
          <w:sz w:val="16"/>
          <w:szCs w:val="16"/>
          <w:lang w:val="es-PE"/>
        </w:rPr>
        <w:t xml:space="preserve">Caso Herrera Ulloa Vs. </w:t>
      </w:r>
      <w:r w:rsidRPr="007F2326">
        <w:rPr>
          <w:rFonts w:ascii="Cambria" w:hAnsi="Cambria"/>
          <w:i/>
          <w:sz w:val="16"/>
          <w:szCs w:val="16"/>
          <w:lang w:val="pt-BR"/>
        </w:rPr>
        <w:t xml:space="preserve">Costa Rica, supra. </w:t>
      </w:r>
      <w:r w:rsidRPr="007F2326">
        <w:rPr>
          <w:rFonts w:ascii="Cambria" w:hAnsi="Cambria"/>
          <w:sz w:val="16"/>
          <w:szCs w:val="16"/>
          <w:lang w:val="pt-BR"/>
        </w:rPr>
        <w:t>Párr. 128.</w:t>
      </w:r>
    </w:p>
  </w:footnote>
  <w:footnote w:id="63">
    <w:p w14:paraId="4BD51B15" w14:textId="77777777" w:rsidR="008D4A0F" w:rsidRPr="007F2326" w:rsidRDefault="008D4A0F" w:rsidP="007F2326">
      <w:pPr>
        <w:jc w:val="both"/>
        <w:rPr>
          <w:rFonts w:ascii="Cambria" w:hAnsi="Cambria"/>
          <w:sz w:val="16"/>
          <w:szCs w:val="16"/>
          <w:lang w:val="es-CO"/>
        </w:rPr>
      </w:pPr>
      <w:r w:rsidRPr="007F2326">
        <w:rPr>
          <w:rStyle w:val="FootnoteReference"/>
          <w:rFonts w:ascii="Cambria" w:hAnsi="Cambria"/>
          <w:sz w:val="16"/>
          <w:szCs w:val="16"/>
          <w:lang w:val="es-CO"/>
        </w:rPr>
        <w:footnoteRef/>
      </w:r>
      <w:r w:rsidRPr="007F2326">
        <w:rPr>
          <w:rFonts w:ascii="Cambria" w:hAnsi="Cambria"/>
          <w:sz w:val="16"/>
          <w:szCs w:val="16"/>
          <w:lang w:val="pt-BR"/>
        </w:rPr>
        <w:t xml:space="preserve"> CIDH. </w:t>
      </w:r>
      <w:r w:rsidRPr="007F2326">
        <w:rPr>
          <w:rFonts w:ascii="Cambria" w:hAnsi="Cambria"/>
          <w:sz w:val="16"/>
          <w:szCs w:val="16"/>
          <w:lang w:val="es-CO"/>
        </w:rPr>
        <w:t xml:space="preserve">Alegatos ante la Corte Interamericana en el </w:t>
      </w:r>
      <w:r w:rsidRPr="007F2326">
        <w:rPr>
          <w:rFonts w:ascii="Cambria" w:hAnsi="Cambria"/>
          <w:i/>
          <w:sz w:val="16"/>
          <w:szCs w:val="16"/>
          <w:lang w:val="es-CO"/>
        </w:rPr>
        <w:t>Caso Herrera Ulloa Vs. Costa Rica</w:t>
      </w:r>
      <w:r w:rsidRPr="007F2326">
        <w:rPr>
          <w:rFonts w:ascii="Cambria" w:hAnsi="Cambria"/>
          <w:sz w:val="16"/>
          <w:szCs w:val="16"/>
          <w:lang w:val="es-CO"/>
        </w:rPr>
        <w:t xml:space="preserve">, </w:t>
      </w:r>
      <w:r w:rsidRPr="007F2326">
        <w:rPr>
          <w:rFonts w:ascii="Cambria" w:hAnsi="Cambria"/>
          <w:i/>
          <w:sz w:val="16"/>
          <w:szCs w:val="16"/>
          <w:lang w:val="es-CO"/>
        </w:rPr>
        <w:t>supra</w:t>
      </w:r>
      <w:r w:rsidRPr="007F2326">
        <w:rPr>
          <w:rFonts w:ascii="Cambria" w:hAnsi="Cambria"/>
          <w:sz w:val="16"/>
          <w:szCs w:val="16"/>
          <w:lang w:val="es-CO"/>
        </w:rPr>
        <w:t xml:space="preserve">. Párr. 101.2), y Alegatos ante la Corte Interamericana en el </w:t>
      </w:r>
      <w:r w:rsidRPr="007F2326">
        <w:rPr>
          <w:rFonts w:ascii="Cambria" w:hAnsi="Cambria"/>
          <w:i/>
          <w:sz w:val="16"/>
          <w:szCs w:val="16"/>
          <w:lang w:val="es-CO"/>
        </w:rPr>
        <w:t>Caso Ricardo Canese Vs. Paraguay, supra.</w:t>
      </w:r>
      <w:r w:rsidRPr="007F2326">
        <w:rPr>
          <w:rFonts w:ascii="Cambria" w:hAnsi="Cambria"/>
          <w:sz w:val="16"/>
          <w:szCs w:val="16"/>
          <w:lang w:val="es-CO"/>
        </w:rPr>
        <w:t xml:space="preserve"> Párr. 72.h).</w:t>
      </w:r>
    </w:p>
  </w:footnote>
  <w:footnote w:id="64">
    <w:p w14:paraId="497CD297"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El </w:t>
      </w:r>
      <w:r w:rsidRPr="007F2326">
        <w:rPr>
          <w:rFonts w:ascii="Cambria" w:hAnsi="Cambria"/>
          <w:sz w:val="16"/>
          <w:szCs w:val="16"/>
          <w:lang w:val="es-ES"/>
        </w:rPr>
        <w:t>Comité de Derechos Humanos de Naciones Unidas indicó que</w:t>
      </w:r>
      <w:r w:rsidRPr="007F2326">
        <w:rPr>
          <w:rFonts w:ascii="Cambria" w:hAnsi="Cambria"/>
          <w:i/>
          <w:sz w:val="16"/>
          <w:szCs w:val="16"/>
          <w:lang w:val="es-ES"/>
        </w:rPr>
        <w:t xml:space="preserve"> “</w:t>
      </w:r>
      <w:r w:rsidRPr="007F2326">
        <w:rPr>
          <w:rFonts w:ascii="Cambria" w:hAnsi="Cambria"/>
          <w:sz w:val="16"/>
          <w:szCs w:val="16"/>
          <w:lang w:val="es-ES"/>
        </w:rPr>
        <w:t>[l]os Estados partes deberían considerar la posibilidad de despenalizar la difamación y, en todo caso, la normativa penal solo debería aplicarse en los casos más graves, y la pena de prisión no es nunca adecuada”. ONU. Comité de Derechos Humanos. Observación General Nº 34: Artículo 19 Libertad de opinión y libertad de expresión. 12 de septiembre de 2011. Párr. 47.</w:t>
      </w:r>
    </w:p>
  </w:footnote>
  <w:footnote w:id="65">
    <w:p w14:paraId="54A7BC27" w14:textId="77777777" w:rsidR="008D4A0F" w:rsidRPr="007F2326" w:rsidRDefault="008D4A0F" w:rsidP="007F2326">
      <w:pPr>
        <w:jc w:val="both"/>
        <w:rPr>
          <w:rFonts w:ascii="Cambria" w:hAnsi="Cambria"/>
          <w:sz w:val="16"/>
          <w:szCs w:val="16"/>
          <w:lang w:val="es-ES"/>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ES"/>
        </w:rPr>
        <w:t xml:space="preserve">La Corte Europea de Derechos Humanos reiteradamente ha considerado innecesaria y/o desproporcionada, y por tanto incompatible con el derecho a la libertad de expresión consagrado por el artículo 10 del Convenio Europeo, la imposición de sanciones penales (incluso cuando las mismas no han sido efectivas) con relación a expresiones sobre asuntos de interés público. Ver, por ejemplo, TEDH. </w:t>
      </w:r>
      <w:r w:rsidRPr="007F2326">
        <w:rPr>
          <w:rFonts w:ascii="Cambria" w:hAnsi="Cambria"/>
          <w:i/>
          <w:sz w:val="16"/>
          <w:szCs w:val="16"/>
          <w:lang w:val="es-ES"/>
        </w:rPr>
        <w:t>Castells Vs. España.</w:t>
      </w:r>
      <w:r w:rsidRPr="007F2326">
        <w:rPr>
          <w:rFonts w:ascii="Cambria" w:hAnsi="Cambria"/>
          <w:sz w:val="16"/>
          <w:szCs w:val="16"/>
          <w:lang w:val="es-ES"/>
        </w:rPr>
        <w:t xml:space="preserve"> No. 11798/85. Sentencia de 23 de abril de 1992, y </w:t>
      </w:r>
      <w:r w:rsidRPr="007F2326">
        <w:rPr>
          <w:rFonts w:ascii="Cambria" w:hAnsi="Cambria"/>
          <w:i/>
          <w:sz w:val="16"/>
          <w:szCs w:val="16"/>
          <w:lang w:val="es-ES"/>
        </w:rPr>
        <w:t>Gutiérrez Suarez Vs. España.</w:t>
      </w:r>
      <w:r w:rsidRPr="007F2326">
        <w:rPr>
          <w:rFonts w:ascii="Cambria" w:hAnsi="Cambria"/>
          <w:sz w:val="16"/>
          <w:szCs w:val="16"/>
          <w:lang w:val="es-ES"/>
        </w:rPr>
        <w:t xml:space="preserve"> No. 16023/07. Sentencia de 1 de junio de 2010. Por otro lado, en la última década, la Corte Europea ha desarrollado una regla general sobre la naturaleza excepcional que deben tener las sanciones penales cuando se trata de expresiones sobre asuntos de interés público y ha establecido que “una pena de prisión impuesta por una infracción cometida en el ámbito del discurso político sólo es compatible con la libertad de expresión garantizada por el artículo 10 del Convenio en circunstancias excepcionales, en particular, cuando se hayan afectado seriamente otros derechos fundamentales, como en la hipótesis, por ejemplo, de la difusión de un discurso de odio o incitación a la violencia”. TEDH. </w:t>
      </w:r>
      <w:r w:rsidRPr="007F2326">
        <w:rPr>
          <w:rFonts w:ascii="Cambria" w:hAnsi="Cambria"/>
          <w:i/>
          <w:iCs/>
          <w:sz w:val="16"/>
          <w:szCs w:val="16"/>
          <w:lang w:val="es-ES"/>
        </w:rPr>
        <w:t>Cumpănă y Mazăre Vs. Rumania</w:t>
      </w:r>
      <w:r w:rsidRPr="007F2326">
        <w:rPr>
          <w:rFonts w:ascii="Cambria" w:hAnsi="Cambria"/>
          <w:sz w:val="16"/>
          <w:szCs w:val="16"/>
          <w:lang w:val="es-ES"/>
        </w:rPr>
        <w:t xml:space="preserve"> </w:t>
      </w:r>
      <w:r w:rsidRPr="007F2326">
        <w:rPr>
          <w:rFonts w:ascii="Cambria" w:hAnsi="Cambria"/>
          <w:sz w:val="16"/>
          <w:szCs w:val="16"/>
          <w:lang w:val="es-PE"/>
        </w:rPr>
        <w:t xml:space="preserve">[GS]. </w:t>
      </w:r>
      <w:r w:rsidRPr="007F2326">
        <w:rPr>
          <w:rFonts w:ascii="Cambria" w:hAnsi="Cambria"/>
          <w:sz w:val="16"/>
          <w:szCs w:val="16"/>
          <w:lang w:val="es-ES"/>
        </w:rPr>
        <w:t xml:space="preserve">No. 33348/96. Sentencia de 17 de diciembre de 2004. Párr. 115; </w:t>
      </w:r>
      <w:r w:rsidRPr="007F2326">
        <w:rPr>
          <w:rFonts w:ascii="Cambria" w:hAnsi="Cambria"/>
          <w:i/>
          <w:sz w:val="16"/>
          <w:szCs w:val="16"/>
          <w:lang w:val="es-ES"/>
        </w:rPr>
        <w:t>Fatullayev Vs. Azerbaijan.</w:t>
      </w:r>
      <w:r w:rsidRPr="007F2326">
        <w:rPr>
          <w:rFonts w:ascii="Cambria" w:hAnsi="Cambria"/>
          <w:sz w:val="16"/>
          <w:szCs w:val="16"/>
          <w:lang w:val="es-ES"/>
        </w:rPr>
        <w:t xml:space="preserve"> No. 40984/07. Sentencia de 22 de abril de 2010. Párr. 103, y </w:t>
      </w:r>
      <w:r w:rsidRPr="007F2326">
        <w:rPr>
          <w:rFonts w:ascii="Cambria" w:hAnsi="Cambria"/>
          <w:i/>
          <w:sz w:val="16"/>
          <w:szCs w:val="16"/>
          <w:lang w:val="es-ES"/>
        </w:rPr>
        <w:t xml:space="preserve">Otegi Mondragón Vs. España. </w:t>
      </w:r>
      <w:r w:rsidRPr="007F2326">
        <w:rPr>
          <w:rFonts w:ascii="Cambria" w:hAnsi="Cambria"/>
          <w:sz w:val="16"/>
          <w:szCs w:val="16"/>
          <w:lang w:val="es-ES"/>
        </w:rPr>
        <w:t>No. 2034/07. Sentencia de 15 de septiembre de 2011. Párr. 59.</w:t>
      </w:r>
    </w:p>
  </w:footnote>
  <w:footnote w:id="66">
    <w:p w14:paraId="41EA0114"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CO"/>
        </w:rPr>
        <w:t xml:space="preserve">La Corte Africana sostuvo que “salvo en casos graves y muy excepcionales, como, por ejemplo, la incitación a crímenes internacionales, la incitación pública al odio, la discriminación o la violencia o las amenazas contra una persona o un grupo de personas, debido a criterios específicos como la raza, el color, la religión o la nacionalidad, las infracciones a las leyes sobre la libertad de expresión y la prensa no pueden ser sancionadas con penas privativas de libertad”. </w:t>
      </w:r>
      <w:r w:rsidRPr="007F2326">
        <w:rPr>
          <w:rFonts w:ascii="Cambria" w:hAnsi="Cambria"/>
          <w:sz w:val="16"/>
          <w:szCs w:val="16"/>
          <w:lang w:val="es-PE"/>
        </w:rPr>
        <w:t xml:space="preserve">Corte Africana de Derechos Humanos y de los Pueblos. </w:t>
      </w:r>
      <w:r w:rsidRPr="007F2326">
        <w:rPr>
          <w:rFonts w:ascii="Cambria" w:hAnsi="Cambria"/>
          <w:i/>
          <w:sz w:val="16"/>
          <w:szCs w:val="16"/>
          <w:lang w:val="es-PE"/>
        </w:rPr>
        <w:t>Lohé Issa Konaté Vs. Burkina Faso.</w:t>
      </w:r>
      <w:r w:rsidRPr="007F2326">
        <w:rPr>
          <w:rFonts w:ascii="Cambria" w:hAnsi="Cambria"/>
          <w:sz w:val="16"/>
          <w:szCs w:val="16"/>
          <w:lang w:val="es-PE"/>
        </w:rPr>
        <w:t xml:space="preserve"> Aplicación No. 004/2013. Sentencia de 5 de diciembre de 2014. </w:t>
      </w:r>
      <w:r w:rsidRPr="007F2326">
        <w:rPr>
          <w:rFonts w:ascii="Cambria" w:hAnsi="Cambria"/>
          <w:sz w:val="16"/>
          <w:szCs w:val="16"/>
          <w:lang w:val="es-ES"/>
        </w:rPr>
        <w:t>Párr. 165.</w:t>
      </w:r>
    </w:p>
  </w:footnote>
  <w:footnote w:id="67">
    <w:p w14:paraId="49383F19" w14:textId="77777777" w:rsidR="008D4A0F" w:rsidRPr="007F2326" w:rsidRDefault="008D4A0F" w:rsidP="007F2326">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16"/>
          <w:szCs w:val="16"/>
          <w:lang w:val="es-V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AR"/>
        </w:rPr>
        <w:t>CIDH</w:t>
      </w:r>
      <w:r w:rsidRPr="007F2326">
        <w:rPr>
          <w:rFonts w:ascii="Cambria" w:hAnsi="Cambria"/>
          <w:sz w:val="16"/>
          <w:szCs w:val="16"/>
          <w:lang w:val="es-UY"/>
        </w:rPr>
        <w:t xml:space="preserve">. </w:t>
      </w:r>
      <w:hyperlink r:id="rId7" w:history="1">
        <w:r w:rsidRPr="007F2326">
          <w:rPr>
            <w:rStyle w:val="Hyperlink"/>
            <w:rFonts w:ascii="Cambria" w:hAnsi="Cambria"/>
            <w:sz w:val="16"/>
            <w:szCs w:val="16"/>
            <w:u w:val="none"/>
            <w:lang w:val="es-UY"/>
          </w:rPr>
          <w:t>Informe de la Relatoría Especial para la Libertad de Expresión</w:t>
        </w:r>
      </w:hyperlink>
      <w:r w:rsidRPr="007F2326">
        <w:rPr>
          <w:rFonts w:ascii="Cambria" w:hAnsi="Cambria"/>
          <w:sz w:val="16"/>
          <w:szCs w:val="16"/>
          <w:lang w:val="es-UY"/>
        </w:rPr>
        <w:t xml:space="preserve">. </w:t>
      </w:r>
      <w:r w:rsidRPr="007F2326">
        <w:rPr>
          <w:rFonts w:ascii="Cambria" w:hAnsi="Cambria"/>
          <w:sz w:val="16"/>
          <w:szCs w:val="16"/>
          <w:lang w:val="es-ES_tradnl"/>
        </w:rPr>
        <w:t xml:space="preserve">Marco Jurídico Interamericano del Derecho a la Libertad de Expresión Capítulo III. </w:t>
      </w:r>
      <w:r w:rsidRPr="007F2326">
        <w:rPr>
          <w:rFonts w:ascii="Cambria" w:hAnsi="Cambria"/>
          <w:sz w:val="16"/>
          <w:szCs w:val="16"/>
          <w:lang w:val="es-VE"/>
        </w:rPr>
        <w:t xml:space="preserve">OEA/Ser.L/V/II CIDH/RELE/INF. 2/09. </w:t>
      </w:r>
      <w:r w:rsidRPr="007F2326">
        <w:rPr>
          <w:rFonts w:ascii="Cambria" w:hAnsi="Cambria"/>
          <w:sz w:val="16"/>
          <w:szCs w:val="16"/>
          <w:lang w:val="es-ES_tradnl"/>
        </w:rPr>
        <w:t xml:space="preserve">30 de diciembre de 2009. Párr. </w:t>
      </w:r>
      <w:r w:rsidRPr="007F2326">
        <w:rPr>
          <w:rFonts w:ascii="Cambria" w:hAnsi="Cambria"/>
          <w:sz w:val="16"/>
          <w:szCs w:val="16"/>
          <w:lang w:val="es-ES"/>
        </w:rPr>
        <w:t>79.</w:t>
      </w:r>
    </w:p>
  </w:footnote>
  <w:footnote w:id="68">
    <w:p w14:paraId="0DD96BF7" w14:textId="77777777" w:rsidR="008D4A0F" w:rsidRPr="007F2326" w:rsidRDefault="008D4A0F" w:rsidP="007F2326">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16"/>
          <w:szCs w:val="16"/>
          <w:lang w:val="es-V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AR"/>
        </w:rPr>
        <w:t>CIDH</w:t>
      </w:r>
      <w:r w:rsidRPr="007F2326">
        <w:rPr>
          <w:rFonts w:ascii="Cambria" w:hAnsi="Cambria"/>
          <w:sz w:val="16"/>
          <w:szCs w:val="16"/>
          <w:lang w:val="es-UY"/>
        </w:rPr>
        <w:t xml:space="preserve">. </w:t>
      </w:r>
      <w:hyperlink r:id="rId8" w:history="1">
        <w:r w:rsidRPr="007F2326">
          <w:rPr>
            <w:rStyle w:val="Hyperlink"/>
            <w:rFonts w:ascii="Cambria" w:hAnsi="Cambria"/>
            <w:sz w:val="16"/>
            <w:szCs w:val="16"/>
            <w:u w:val="none"/>
            <w:lang w:val="es-UY"/>
          </w:rPr>
          <w:t>Informe de la Relatoría Especial para la Libertad de Expresión</w:t>
        </w:r>
      </w:hyperlink>
      <w:r w:rsidRPr="007F2326">
        <w:rPr>
          <w:rFonts w:ascii="Cambria" w:hAnsi="Cambria"/>
          <w:sz w:val="16"/>
          <w:szCs w:val="16"/>
          <w:lang w:val="es-UY"/>
        </w:rPr>
        <w:t xml:space="preserve">. </w:t>
      </w:r>
      <w:r w:rsidRPr="007F2326">
        <w:rPr>
          <w:rFonts w:ascii="Cambria" w:hAnsi="Cambria"/>
          <w:sz w:val="16"/>
          <w:szCs w:val="16"/>
          <w:lang w:val="es-ES_tradnl"/>
        </w:rPr>
        <w:t xml:space="preserve">Marco Jurídico Interamericano del Derecho a la Libertad de Expresión Capítulo III. </w:t>
      </w:r>
      <w:r w:rsidRPr="007F2326">
        <w:rPr>
          <w:rFonts w:ascii="Cambria" w:hAnsi="Cambria"/>
          <w:sz w:val="16"/>
          <w:szCs w:val="16"/>
          <w:lang w:val="es-VE"/>
        </w:rPr>
        <w:t xml:space="preserve">OEA/Ser.L/V/II CIDH/RELE/INF. 2/09. </w:t>
      </w:r>
      <w:r w:rsidRPr="007F2326">
        <w:rPr>
          <w:rFonts w:ascii="Cambria" w:hAnsi="Cambria"/>
          <w:sz w:val="16"/>
          <w:szCs w:val="16"/>
          <w:lang w:val="es-ES_tradnl"/>
        </w:rPr>
        <w:t xml:space="preserve">30 de diciembre de 2009. Párrs. 79, 109 y </w:t>
      </w:r>
      <w:r w:rsidRPr="007F2326">
        <w:rPr>
          <w:rFonts w:ascii="Cambria" w:hAnsi="Cambria"/>
          <w:sz w:val="16"/>
          <w:szCs w:val="16"/>
          <w:lang w:val="es-ES"/>
        </w:rPr>
        <w:t>110.</w:t>
      </w:r>
    </w:p>
  </w:footnote>
  <w:footnote w:id="69">
    <w:p w14:paraId="690F99F3"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color w:val="auto"/>
          <w:sz w:val="16"/>
          <w:szCs w:val="16"/>
        </w:rPr>
        <w:footnoteRef/>
      </w:r>
      <w:r w:rsidRPr="007F2326">
        <w:rPr>
          <w:rFonts w:ascii="Cambria" w:hAnsi="Cambria"/>
          <w:color w:val="auto"/>
          <w:sz w:val="16"/>
          <w:szCs w:val="16"/>
          <w:lang w:val="es-PE"/>
        </w:rPr>
        <w:t xml:space="preserve"> Declaración Conjunta sobre censura a través del asesinato y difamación. Declaración Conjunta de 2000 del </w:t>
      </w:r>
      <w:r w:rsidRPr="007F2326">
        <w:rPr>
          <w:rFonts w:ascii="Cambria" w:hAnsi="Cambria"/>
          <w:color w:val="auto"/>
          <w:sz w:val="16"/>
          <w:szCs w:val="16"/>
          <w:shd w:val="clear" w:color="auto" w:fill="FFFFFF"/>
          <w:lang w:val="es-PE"/>
        </w:rPr>
        <w:t>Relator Especial de las Naciones Unidas sobre Libertad de Opinión y Expresión, el Representante de la OSCE sobre Libertad de los Medios y el Relator Especial de la OEA para la Libertad de Expresión.</w:t>
      </w:r>
    </w:p>
  </w:footnote>
  <w:footnote w:id="70">
    <w:p w14:paraId="1691FA76" w14:textId="77777777" w:rsidR="008D4A0F" w:rsidRPr="007F2326" w:rsidRDefault="008D4A0F" w:rsidP="007F2326">
      <w:pPr>
        <w:jc w:val="both"/>
        <w:rPr>
          <w:rFonts w:ascii="Cambria" w:hAnsi="Cambria"/>
          <w:sz w:val="16"/>
          <w:szCs w:val="16"/>
          <w:lang w:val="es-ES"/>
        </w:rPr>
      </w:pPr>
      <w:r w:rsidRPr="007F2326">
        <w:rPr>
          <w:rStyle w:val="FootnoteReference"/>
          <w:rFonts w:ascii="Cambria" w:hAnsi="Cambria"/>
          <w:sz w:val="16"/>
          <w:szCs w:val="16"/>
          <w:lang w:val="es-ES"/>
        </w:rPr>
        <w:footnoteRef/>
      </w:r>
      <w:r w:rsidRPr="007F2326">
        <w:rPr>
          <w:rFonts w:ascii="Cambria" w:hAnsi="Cambria"/>
          <w:sz w:val="16"/>
          <w:szCs w:val="16"/>
          <w:lang w:val="es-PE"/>
        </w:rPr>
        <w:t xml:space="preserve"> </w:t>
      </w:r>
      <w:r w:rsidRPr="007F2326">
        <w:rPr>
          <w:rFonts w:ascii="Cambria" w:hAnsi="Cambria"/>
          <w:sz w:val="16"/>
          <w:szCs w:val="16"/>
          <w:lang w:val="es-ES"/>
        </w:rPr>
        <w:t xml:space="preserve">CIDH. Informe No. 4/17. Caso 12.663. Fondo. </w:t>
      </w:r>
      <w:r w:rsidRPr="007F2326">
        <w:rPr>
          <w:rFonts w:ascii="Cambria" w:hAnsi="Cambria"/>
          <w:sz w:val="16"/>
          <w:szCs w:val="16"/>
          <w:lang w:val="es-PE"/>
        </w:rPr>
        <w:t>Tulio Alberto Álvarez. Venezuela</w:t>
      </w:r>
      <w:r w:rsidRPr="007F2326">
        <w:rPr>
          <w:rFonts w:ascii="Cambria" w:hAnsi="Cambria"/>
          <w:sz w:val="16"/>
          <w:szCs w:val="16"/>
          <w:lang w:val="es-ES"/>
        </w:rPr>
        <w:t>. 26 de enero de 2017. Párr. 88, e</w:t>
      </w:r>
      <w:r w:rsidRPr="007F2326">
        <w:rPr>
          <w:rFonts w:ascii="Cambria" w:hAnsi="Cambria"/>
          <w:sz w:val="16"/>
          <w:szCs w:val="16"/>
          <w:lang w:val="es-UY"/>
        </w:rPr>
        <w:t xml:space="preserve"> </w:t>
      </w:r>
      <w:hyperlink r:id="rId9" w:history="1">
        <w:r w:rsidRPr="007F2326">
          <w:rPr>
            <w:rStyle w:val="Hyperlink"/>
            <w:rFonts w:ascii="Cambria" w:hAnsi="Cambria"/>
            <w:sz w:val="16"/>
            <w:szCs w:val="16"/>
            <w:u w:val="none"/>
            <w:lang w:val="es-UY"/>
          </w:rPr>
          <w:t>Informe de la Relatoría Especial para la Libertad de Expresión</w:t>
        </w:r>
      </w:hyperlink>
      <w:r w:rsidRPr="007F2326">
        <w:rPr>
          <w:rFonts w:ascii="Cambria" w:hAnsi="Cambria"/>
          <w:sz w:val="16"/>
          <w:szCs w:val="16"/>
          <w:lang w:val="es-UY"/>
        </w:rPr>
        <w:t xml:space="preserve">. </w:t>
      </w:r>
      <w:r w:rsidRPr="007F2326">
        <w:rPr>
          <w:rFonts w:ascii="Cambria" w:hAnsi="Cambria"/>
          <w:sz w:val="16"/>
          <w:szCs w:val="16"/>
          <w:lang w:val="es-ES_tradnl"/>
        </w:rPr>
        <w:t xml:space="preserve">Marco Jurídico Interamericano del Derecho a la Libertad de Expresión Capítulo III. </w:t>
      </w:r>
      <w:r w:rsidRPr="007F2326">
        <w:rPr>
          <w:rFonts w:ascii="Cambria" w:hAnsi="Cambria"/>
          <w:sz w:val="16"/>
          <w:szCs w:val="16"/>
          <w:lang w:val="es-VE"/>
        </w:rPr>
        <w:t xml:space="preserve">OEA/Ser.L/V/II CIDH/RELE/INF. 2/09. </w:t>
      </w:r>
      <w:r w:rsidRPr="007F2326">
        <w:rPr>
          <w:rFonts w:ascii="Cambria" w:hAnsi="Cambria"/>
          <w:sz w:val="16"/>
          <w:szCs w:val="16"/>
          <w:lang w:val="es-ES_tradnl"/>
        </w:rPr>
        <w:t xml:space="preserve">30 de diciembre de 2009. Párr. </w:t>
      </w:r>
      <w:r w:rsidRPr="007F2326">
        <w:rPr>
          <w:rFonts w:ascii="Cambria" w:hAnsi="Cambria"/>
          <w:sz w:val="16"/>
          <w:szCs w:val="16"/>
          <w:lang w:val="es-ES"/>
        </w:rPr>
        <w:t>91.</w:t>
      </w:r>
    </w:p>
  </w:footnote>
  <w:footnote w:id="71">
    <w:p w14:paraId="79424C04" w14:textId="77777777" w:rsidR="008D4A0F" w:rsidRPr="007F2326" w:rsidRDefault="008D4A0F" w:rsidP="007F2326">
      <w:pPr>
        <w:pStyle w:val="FootnoteText"/>
        <w:tabs>
          <w:tab w:val="left" w:pos="567"/>
        </w:tabs>
        <w:jc w:val="both"/>
        <w:rPr>
          <w:rFonts w:ascii="Cambria" w:hAnsi="Cambria" w:cs="Times New Roman"/>
          <w:color w:val="auto"/>
          <w:spacing w:val="-2"/>
          <w:sz w:val="16"/>
          <w:szCs w:val="16"/>
          <w:lang w:val="pt-BR"/>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US"/>
        </w:rPr>
        <w:t xml:space="preserve">Corte IDH. </w:t>
      </w:r>
      <w:r w:rsidRPr="007F2326">
        <w:rPr>
          <w:rFonts w:ascii="Cambria" w:hAnsi="Cambria"/>
          <w:i/>
          <w:sz w:val="16"/>
          <w:szCs w:val="16"/>
          <w:lang w:val="es-PE"/>
        </w:rPr>
        <w:t>Caso Tristán Donoso Vs. Panamá</w:t>
      </w:r>
      <w:r w:rsidRPr="007F2326">
        <w:rPr>
          <w:rFonts w:ascii="Cambria" w:hAnsi="Cambria"/>
          <w:sz w:val="16"/>
          <w:szCs w:val="16"/>
          <w:lang w:val="es-PE"/>
        </w:rPr>
        <w:t xml:space="preserve">, </w:t>
      </w:r>
      <w:r w:rsidRPr="007F2326">
        <w:rPr>
          <w:rFonts w:ascii="Cambria" w:hAnsi="Cambria"/>
          <w:i/>
          <w:iCs/>
          <w:sz w:val="16"/>
          <w:szCs w:val="16"/>
          <w:lang w:val="es-PE"/>
        </w:rPr>
        <w:t>supra.</w:t>
      </w:r>
      <w:r w:rsidRPr="007F2326">
        <w:rPr>
          <w:rFonts w:ascii="Cambria" w:hAnsi="Cambria"/>
          <w:sz w:val="16"/>
          <w:szCs w:val="16"/>
          <w:lang w:val="es-PE"/>
        </w:rPr>
        <w:t xml:space="preserve"> Párr. 129, y </w:t>
      </w:r>
      <w:r w:rsidRPr="007F2326">
        <w:rPr>
          <w:rFonts w:ascii="Cambria" w:hAnsi="Cambria"/>
          <w:i/>
          <w:iCs/>
          <w:color w:val="auto"/>
          <w:spacing w:val="-2"/>
          <w:sz w:val="16"/>
          <w:szCs w:val="16"/>
          <w:lang w:val="es-PE"/>
        </w:rPr>
        <w:t xml:space="preserve">Caso Fontevecchia y D’Amico Vs. </w:t>
      </w:r>
      <w:r w:rsidRPr="007F2326">
        <w:rPr>
          <w:rFonts w:ascii="Cambria" w:hAnsi="Cambria"/>
          <w:i/>
          <w:iCs/>
          <w:color w:val="auto"/>
          <w:spacing w:val="-2"/>
          <w:sz w:val="16"/>
          <w:szCs w:val="16"/>
          <w:lang w:val="pt-BR"/>
        </w:rPr>
        <w:t>Argentina, supra</w:t>
      </w:r>
      <w:r w:rsidRPr="007F2326">
        <w:rPr>
          <w:rFonts w:ascii="Cambria" w:hAnsi="Cambria"/>
          <w:color w:val="auto"/>
          <w:spacing w:val="-2"/>
          <w:sz w:val="16"/>
          <w:szCs w:val="16"/>
          <w:lang w:val="pt-BR"/>
        </w:rPr>
        <w:t>. Párr. 74.</w:t>
      </w:r>
    </w:p>
  </w:footnote>
  <w:footnote w:id="72">
    <w:p w14:paraId="7F6B3CC5" w14:textId="77777777" w:rsidR="008D4A0F" w:rsidRPr="007F2326" w:rsidRDefault="008D4A0F" w:rsidP="007F2326">
      <w:pPr>
        <w:pStyle w:val="FootnoteText"/>
        <w:tabs>
          <w:tab w:val="center" w:pos="4680"/>
        </w:tabs>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pt-BR"/>
        </w:rPr>
        <w:t xml:space="preserve"> </w:t>
      </w:r>
      <w:r w:rsidRPr="007F2326">
        <w:rPr>
          <w:rFonts w:ascii="Cambria" w:hAnsi="Cambria"/>
          <w:color w:val="auto"/>
          <w:spacing w:val="-2"/>
          <w:sz w:val="16"/>
          <w:szCs w:val="16"/>
          <w:lang w:val="pt-BR"/>
        </w:rPr>
        <w:t xml:space="preserve">Corte IDH. </w:t>
      </w:r>
      <w:r w:rsidRPr="007F2326">
        <w:rPr>
          <w:rFonts w:ascii="Cambria" w:hAnsi="Cambria"/>
          <w:i/>
          <w:iCs/>
          <w:color w:val="auto"/>
          <w:spacing w:val="-2"/>
          <w:sz w:val="16"/>
          <w:szCs w:val="16"/>
          <w:lang w:val="pt-BR"/>
        </w:rPr>
        <w:t>Caso Kimel Vs. Argentina, supra</w:t>
      </w:r>
      <w:r w:rsidRPr="007F2326">
        <w:rPr>
          <w:rFonts w:ascii="Cambria" w:hAnsi="Cambria"/>
          <w:i/>
          <w:color w:val="auto"/>
          <w:spacing w:val="-2"/>
          <w:sz w:val="16"/>
          <w:szCs w:val="16"/>
          <w:lang w:val="pt-BR"/>
        </w:rPr>
        <w:t>.</w:t>
      </w:r>
      <w:r w:rsidRPr="007F2326">
        <w:rPr>
          <w:rFonts w:ascii="Cambria" w:hAnsi="Cambria"/>
          <w:color w:val="auto"/>
          <w:spacing w:val="-2"/>
          <w:sz w:val="16"/>
          <w:szCs w:val="16"/>
          <w:lang w:val="pt-BR"/>
        </w:rPr>
        <w:t xml:space="preserve"> </w:t>
      </w:r>
      <w:r w:rsidRPr="007F2326">
        <w:rPr>
          <w:rFonts w:ascii="Cambria" w:hAnsi="Cambria"/>
          <w:color w:val="auto"/>
          <w:spacing w:val="-2"/>
          <w:sz w:val="16"/>
          <w:szCs w:val="16"/>
          <w:lang w:val="es-PE"/>
        </w:rPr>
        <w:t xml:space="preserve">Párr. 93, y </w:t>
      </w:r>
      <w:r w:rsidRPr="007F2326">
        <w:rPr>
          <w:rFonts w:ascii="Cambria" w:hAnsi="Cambria"/>
          <w:i/>
          <w:sz w:val="16"/>
          <w:szCs w:val="16"/>
          <w:lang w:val="es-PE"/>
        </w:rPr>
        <w:t>Caso Tristán Donoso Vs. Panamá</w:t>
      </w:r>
      <w:r w:rsidRPr="007F2326">
        <w:rPr>
          <w:rFonts w:ascii="Cambria" w:hAnsi="Cambria"/>
          <w:sz w:val="16"/>
          <w:szCs w:val="16"/>
          <w:lang w:val="es-PE"/>
        </w:rPr>
        <w:t xml:space="preserve">, </w:t>
      </w:r>
      <w:r w:rsidRPr="007F2326">
        <w:rPr>
          <w:rFonts w:ascii="Cambria" w:hAnsi="Cambria"/>
          <w:i/>
          <w:iCs/>
          <w:sz w:val="16"/>
          <w:szCs w:val="16"/>
          <w:lang w:val="es-PE"/>
        </w:rPr>
        <w:t>supra.</w:t>
      </w:r>
      <w:r w:rsidRPr="007F2326">
        <w:rPr>
          <w:rFonts w:ascii="Cambria" w:hAnsi="Cambria"/>
          <w:sz w:val="16"/>
          <w:szCs w:val="16"/>
          <w:lang w:val="es-PE"/>
        </w:rPr>
        <w:t xml:space="preserve"> Párr. 124.</w:t>
      </w:r>
      <w:r w:rsidRPr="007F2326">
        <w:rPr>
          <w:rFonts w:ascii="Cambria" w:hAnsi="Cambria"/>
          <w:sz w:val="16"/>
          <w:szCs w:val="16"/>
          <w:lang w:val="es-PE"/>
        </w:rPr>
        <w:tab/>
      </w:r>
    </w:p>
  </w:footnote>
  <w:footnote w:id="73">
    <w:p w14:paraId="50075391"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VE"/>
        </w:rPr>
        <w:t xml:space="preserve">CIDH. Informe Anual 1999. Informe de la Relatoría Especial para la Libertad de Expresión. Capítulo II (Evaluación sobre el estado de la Libertad de Expresión en el Hemisferio). </w:t>
      </w:r>
      <w:r w:rsidRPr="007F2326">
        <w:rPr>
          <w:rFonts w:ascii="Cambria" w:hAnsi="Cambria"/>
          <w:sz w:val="16"/>
          <w:szCs w:val="16"/>
          <w:lang w:val="pt-BR"/>
        </w:rPr>
        <w:t xml:space="preserve">OEA/Ser.L/V/II. 106. Doc. 3. 13 de abril de 2000. Párr. 36. </w:t>
      </w:r>
      <w:r w:rsidRPr="007F2326">
        <w:rPr>
          <w:rFonts w:ascii="Cambria" w:hAnsi="Cambria"/>
          <w:i/>
          <w:sz w:val="16"/>
          <w:szCs w:val="16"/>
          <w:lang w:val="pt-BR"/>
        </w:rPr>
        <w:t>Mutatis mutandi</w:t>
      </w:r>
      <w:r w:rsidRPr="007F2326">
        <w:rPr>
          <w:rFonts w:ascii="Cambria" w:hAnsi="Cambria"/>
          <w:sz w:val="16"/>
          <w:szCs w:val="16"/>
          <w:lang w:val="pt-BR"/>
        </w:rPr>
        <w:t xml:space="preserve">, Corte IDH. </w:t>
      </w:r>
      <w:r w:rsidRPr="007F2326">
        <w:rPr>
          <w:rFonts w:ascii="Cambria" w:hAnsi="Cambria"/>
          <w:i/>
          <w:sz w:val="16"/>
          <w:szCs w:val="16"/>
          <w:lang w:val="es-PE"/>
        </w:rPr>
        <w:t>Caso Tristán Donoso Vs. Panamá</w:t>
      </w:r>
      <w:r w:rsidRPr="007F2326">
        <w:rPr>
          <w:rFonts w:ascii="Cambria" w:hAnsi="Cambria"/>
          <w:sz w:val="16"/>
          <w:szCs w:val="16"/>
          <w:lang w:val="es-PE"/>
        </w:rPr>
        <w:t xml:space="preserve">, </w:t>
      </w:r>
      <w:r w:rsidRPr="007F2326">
        <w:rPr>
          <w:rFonts w:ascii="Cambria" w:hAnsi="Cambria"/>
          <w:i/>
          <w:iCs/>
          <w:sz w:val="16"/>
          <w:szCs w:val="16"/>
          <w:lang w:val="es-PE"/>
        </w:rPr>
        <w:t>supra.</w:t>
      </w:r>
      <w:r w:rsidRPr="007F2326">
        <w:rPr>
          <w:rFonts w:ascii="Cambria" w:hAnsi="Cambria"/>
          <w:sz w:val="16"/>
          <w:szCs w:val="16"/>
          <w:lang w:val="es-PE"/>
        </w:rPr>
        <w:t xml:space="preserve"> Párrs. 124 a 128.</w:t>
      </w:r>
    </w:p>
  </w:footnote>
  <w:footnote w:id="74">
    <w:p w14:paraId="441DC136"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iCs/>
          <w:color w:val="auto"/>
          <w:spacing w:val="-2"/>
          <w:sz w:val="16"/>
          <w:szCs w:val="16"/>
          <w:lang w:val="es-ES"/>
        </w:rPr>
        <w:t>Corte</w:t>
      </w:r>
      <w:r w:rsidRPr="007F2326">
        <w:rPr>
          <w:rFonts w:ascii="Cambria" w:hAnsi="Cambria"/>
          <w:i/>
          <w:iCs/>
          <w:color w:val="auto"/>
          <w:spacing w:val="-2"/>
          <w:sz w:val="16"/>
          <w:szCs w:val="16"/>
          <w:lang w:val="es-ES"/>
        </w:rPr>
        <w:t xml:space="preserve"> </w:t>
      </w:r>
      <w:r w:rsidRPr="007F2326">
        <w:rPr>
          <w:rFonts w:ascii="Cambria" w:hAnsi="Cambria"/>
          <w:iCs/>
          <w:color w:val="auto"/>
          <w:spacing w:val="-2"/>
          <w:sz w:val="16"/>
          <w:szCs w:val="16"/>
          <w:lang w:val="es-ES"/>
        </w:rPr>
        <w:t>IDH</w:t>
      </w:r>
      <w:r w:rsidRPr="007F2326">
        <w:rPr>
          <w:rFonts w:ascii="Cambria" w:hAnsi="Cambria"/>
          <w:i/>
          <w:iCs/>
          <w:color w:val="auto"/>
          <w:spacing w:val="-2"/>
          <w:sz w:val="16"/>
          <w:szCs w:val="16"/>
          <w:lang w:val="es-ES"/>
        </w:rPr>
        <w:t>. La Colegiación Obligatoria de Periodistas (Arts. 13 y 29 de la Convención Americana sobre Derechos Humanos), supra</w:t>
      </w:r>
      <w:r w:rsidRPr="007F2326">
        <w:rPr>
          <w:rFonts w:ascii="Cambria" w:hAnsi="Cambria"/>
          <w:color w:val="auto"/>
          <w:spacing w:val="-2"/>
          <w:sz w:val="16"/>
          <w:szCs w:val="16"/>
          <w:lang w:val="es-ES"/>
        </w:rPr>
        <w:t>. Párr. 77.</w:t>
      </w:r>
    </w:p>
  </w:footnote>
  <w:footnote w:id="75">
    <w:p w14:paraId="4489FECC"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VE"/>
        </w:rPr>
        <w:t>CIDH. Informe Anual 2001. Informe de la Relatoría Especial para la Libertad de Expresión. Capítulo IV (Ética en los Medios de Difusión). OEA/Ser.L/V/II. 114. Doc. 5. Rev. 16 de abril de 2002. Párrs. 13 y 14.</w:t>
      </w:r>
    </w:p>
  </w:footnote>
  <w:footnote w:id="76">
    <w:p w14:paraId="7D00AB34" w14:textId="77777777" w:rsidR="008D4A0F" w:rsidRPr="007F2326" w:rsidRDefault="008D4A0F" w:rsidP="007F2326">
      <w:pPr>
        <w:pStyle w:val="footnote"/>
        <w:spacing w:after="0"/>
        <w:rPr>
          <w:rFonts w:ascii="Cambria" w:hAnsi="Cambria"/>
        </w:rPr>
      </w:pPr>
      <w:r w:rsidRPr="007F2326">
        <w:rPr>
          <w:rStyle w:val="FootnoteReference"/>
          <w:rFonts w:ascii="Cambria" w:hAnsi="Cambria"/>
        </w:rPr>
        <w:footnoteRef/>
      </w:r>
      <w:r w:rsidRPr="007F2326">
        <w:rPr>
          <w:rFonts w:ascii="Cambria" w:hAnsi="Cambria"/>
        </w:rPr>
        <w:t xml:space="preserve"> CIDH. Declaración de Principios sobre Libertad de Expresión, 2000. Principio 7. </w:t>
      </w:r>
    </w:p>
  </w:footnote>
  <w:footnote w:id="77">
    <w:p w14:paraId="1DB4D497"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pt-BR"/>
        </w:rPr>
        <w:t xml:space="preserve"> </w:t>
      </w:r>
      <w:r w:rsidRPr="007F2326">
        <w:rPr>
          <w:rFonts w:ascii="Cambria" w:hAnsi="Cambria"/>
          <w:iCs/>
          <w:color w:val="auto"/>
          <w:spacing w:val="-2"/>
          <w:sz w:val="16"/>
          <w:szCs w:val="16"/>
          <w:lang w:val="pt-BR"/>
        </w:rPr>
        <w:t>Corte</w:t>
      </w:r>
      <w:r w:rsidRPr="007F2326">
        <w:rPr>
          <w:rFonts w:ascii="Cambria" w:hAnsi="Cambria"/>
          <w:i/>
          <w:iCs/>
          <w:color w:val="auto"/>
          <w:spacing w:val="-2"/>
          <w:sz w:val="16"/>
          <w:szCs w:val="16"/>
          <w:lang w:val="pt-BR"/>
        </w:rPr>
        <w:t xml:space="preserve"> </w:t>
      </w:r>
      <w:r w:rsidRPr="007F2326">
        <w:rPr>
          <w:rFonts w:ascii="Cambria" w:hAnsi="Cambria"/>
          <w:iCs/>
          <w:color w:val="auto"/>
          <w:spacing w:val="-2"/>
          <w:sz w:val="16"/>
          <w:szCs w:val="16"/>
          <w:lang w:val="pt-BR"/>
        </w:rPr>
        <w:t>IDH</w:t>
      </w:r>
      <w:r w:rsidRPr="007F2326">
        <w:rPr>
          <w:rFonts w:ascii="Cambria" w:hAnsi="Cambria"/>
          <w:i/>
          <w:iCs/>
          <w:color w:val="auto"/>
          <w:spacing w:val="-2"/>
          <w:sz w:val="16"/>
          <w:szCs w:val="16"/>
          <w:lang w:val="pt-BR"/>
        </w:rPr>
        <w:t xml:space="preserve">. </w:t>
      </w:r>
      <w:r w:rsidRPr="007F2326">
        <w:rPr>
          <w:rFonts w:ascii="Cambria" w:hAnsi="Cambria"/>
          <w:sz w:val="16"/>
          <w:szCs w:val="16"/>
          <w:lang w:val="pt-BR" w:eastAsia="es-CR"/>
        </w:rPr>
        <w:t xml:space="preserve"> </w:t>
      </w:r>
      <w:r w:rsidRPr="007F2326">
        <w:rPr>
          <w:rFonts w:ascii="Cambria" w:hAnsi="Cambria"/>
          <w:i/>
          <w:sz w:val="16"/>
          <w:szCs w:val="16"/>
          <w:lang w:val="pt-BR" w:eastAsia="es-CR"/>
        </w:rPr>
        <w:t xml:space="preserve">Caso Kimel Vs. </w:t>
      </w:r>
      <w:r w:rsidRPr="007F2326">
        <w:rPr>
          <w:rFonts w:ascii="Cambria" w:hAnsi="Cambria"/>
          <w:i/>
          <w:sz w:val="16"/>
          <w:szCs w:val="16"/>
          <w:lang w:val="es-CR" w:eastAsia="es-CR"/>
        </w:rPr>
        <w:t>Argentina</w:t>
      </w:r>
      <w:r w:rsidRPr="007F2326">
        <w:rPr>
          <w:rFonts w:ascii="Cambria" w:hAnsi="Cambria"/>
          <w:sz w:val="16"/>
          <w:szCs w:val="16"/>
          <w:lang w:val="es-CR" w:eastAsia="es-CR"/>
        </w:rPr>
        <w:t xml:space="preserve">, </w:t>
      </w:r>
      <w:r w:rsidRPr="007F2326">
        <w:rPr>
          <w:rFonts w:ascii="Cambria" w:hAnsi="Cambria"/>
          <w:i/>
          <w:sz w:val="16"/>
          <w:szCs w:val="16"/>
          <w:lang w:val="es-CR" w:eastAsia="es-CR"/>
        </w:rPr>
        <w:t>supra.</w:t>
      </w:r>
      <w:r w:rsidRPr="007F2326">
        <w:rPr>
          <w:rFonts w:ascii="Cambria" w:hAnsi="Cambria"/>
          <w:sz w:val="16"/>
          <w:szCs w:val="16"/>
          <w:lang w:val="es-CR" w:eastAsia="es-CR"/>
        </w:rPr>
        <w:t xml:space="preserve"> Párr. 79, y </w:t>
      </w:r>
      <w:r w:rsidRPr="007F2326">
        <w:rPr>
          <w:rFonts w:ascii="Cambria" w:hAnsi="Cambria"/>
          <w:i/>
          <w:sz w:val="16"/>
          <w:szCs w:val="16"/>
          <w:lang w:val="es-CR" w:eastAsia="es-CR"/>
        </w:rPr>
        <w:t xml:space="preserve">Caso </w:t>
      </w:r>
      <w:r w:rsidRPr="007F2326">
        <w:rPr>
          <w:rFonts w:ascii="Cambria" w:hAnsi="Cambria"/>
          <w:i/>
          <w:sz w:val="16"/>
          <w:szCs w:val="16"/>
          <w:lang w:val="es-UY"/>
        </w:rPr>
        <w:t>Caso Granier y otros (Radio Caracas Televisión) Vs. Venezuela</w:t>
      </w:r>
      <w:r w:rsidRPr="007F2326">
        <w:rPr>
          <w:rFonts w:ascii="Cambria" w:hAnsi="Cambria"/>
          <w:sz w:val="16"/>
          <w:szCs w:val="16"/>
          <w:lang w:val="es-UY"/>
        </w:rPr>
        <w:t>. Excepciones Preliminares, Fondo, Reparaciones y Costas. Sentencia de 22 de junio de 2015. Serie C No. 293. Párr. 139.</w:t>
      </w:r>
    </w:p>
  </w:footnote>
  <w:footnote w:id="78">
    <w:p w14:paraId="3D4C7182"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iCs/>
          <w:color w:val="auto"/>
          <w:spacing w:val="-2"/>
          <w:sz w:val="16"/>
          <w:szCs w:val="16"/>
          <w:lang w:val="es-PE"/>
        </w:rPr>
        <w:t>Corte</w:t>
      </w:r>
      <w:r w:rsidRPr="007F2326">
        <w:rPr>
          <w:rFonts w:ascii="Cambria" w:hAnsi="Cambria"/>
          <w:i/>
          <w:iCs/>
          <w:color w:val="auto"/>
          <w:spacing w:val="-2"/>
          <w:sz w:val="16"/>
          <w:szCs w:val="16"/>
          <w:lang w:val="es-PE"/>
        </w:rPr>
        <w:t xml:space="preserve"> </w:t>
      </w:r>
      <w:r w:rsidRPr="007F2326">
        <w:rPr>
          <w:rFonts w:ascii="Cambria" w:hAnsi="Cambria"/>
          <w:iCs/>
          <w:color w:val="auto"/>
          <w:spacing w:val="-2"/>
          <w:sz w:val="16"/>
          <w:szCs w:val="16"/>
          <w:lang w:val="es-PE"/>
        </w:rPr>
        <w:t>IDH</w:t>
      </w:r>
      <w:r w:rsidRPr="007F2326">
        <w:rPr>
          <w:rFonts w:ascii="Cambria" w:hAnsi="Cambria"/>
          <w:i/>
          <w:iCs/>
          <w:color w:val="auto"/>
          <w:spacing w:val="-2"/>
          <w:sz w:val="16"/>
          <w:szCs w:val="16"/>
          <w:lang w:val="es-PE"/>
        </w:rPr>
        <w:t xml:space="preserve">. </w:t>
      </w:r>
      <w:r w:rsidRPr="007F2326">
        <w:rPr>
          <w:rFonts w:ascii="Cambria" w:hAnsi="Cambria"/>
          <w:sz w:val="16"/>
          <w:szCs w:val="16"/>
          <w:lang w:val="es-PE" w:eastAsia="es-CR"/>
        </w:rPr>
        <w:t xml:space="preserve"> </w:t>
      </w:r>
      <w:r w:rsidRPr="007F2326">
        <w:rPr>
          <w:rFonts w:ascii="Cambria" w:hAnsi="Cambria"/>
          <w:i/>
          <w:sz w:val="16"/>
          <w:szCs w:val="16"/>
          <w:lang w:val="es-PE" w:eastAsia="es-CR"/>
        </w:rPr>
        <w:t xml:space="preserve">Caso Kimel Vs. </w:t>
      </w:r>
      <w:r w:rsidRPr="007F2326">
        <w:rPr>
          <w:rFonts w:ascii="Cambria" w:hAnsi="Cambria"/>
          <w:i/>
          <w:sz w:val="16"/>
          <w:szCs w:val="16"/>
          <w:lang w:val="es-CR" w:eastAsia="es-CR"/>
        </w:rPr>
        <w:t>Argentina</w:t>
      </w:r>
      <w:r w:rsidRPr="007F2326">
        <w:rPr>
          <w:rFonts w:ascii="Cambria" w:hAnsi="Cambria"/>
          <w:sz w:val="16"/>
          <w:szCs w:val="16"/>
          <w:lang w:val="es-CR" w:eastAsia="es-CR"/>
        </w:rPr>
        <w:t xml:space="preserve">, </w:t>
      </w:r>
      <w:r w:rsidRPr="007F2326">
        <w:rPr>
          <w:rFonts w:ascii="Cambria" w:hAnsi="Cambria"/>
          <w:i/>
          <w:sz w:val="16"/>
          <w:szCs w:val="16"/>
          <w:lang w:val="es-CR" w:eastAsia="es-CR"/>
        </w:rPr>
        <w:t>supra.</w:t>
      </w:r>
      <w:r w:rsidRPr="007F2326">
        <w:rPr>
          <w:rFonts w:ascii="Cambria" w:hAnsi="Cambria"/>
          <w:sz w:val="16"/>
          <w:szCs w:val="16"/>
          <w:lang w:val="es-CR" w:eastAsia="es-CR"/>
        </w:rPr>
        <w:t xml:space="preserve"> Párr. 79, y </w:t>
      </w:r>
      <w:r w:rsidRPr="007F2326">
        <w:rPr>
          <w:rFonts w:ascii="Cambria" w:hAnsi="Cambria"/>
          <w:i/>
          <w:sz w:val="16"/>
          <w:szCs w:val="16"/>
          <w:lang w:val="es-CR" w:eastAsia="es-CR"/>
        </w:rPr>
        <w:t xml:space="preserve">Caso </w:t>
      </w:r>
      <w:r w:rsidRPr="007F2326">
        <w:rPr>
          <w:rFonts w:ascii="Cambria" w:hAnsi="Cambria"/>
          <w:i/>
          <w:sz w:val="16"/>
          <w:szCs w:val="16"/>
          <w:lang w:val="es-UY"/>
        </w:rPr>
        <w:t>Caso Granier y otros (Radio Caracas Televisión) Vs. Venezuela, supra</w:t>
      </w:r>
      <w:r w:rsidRPr="007F2326">
        <w:rPr>
          <w:rFonts w:ascii="Cambria" w:hAnsi="Cambria"/>
          <w:sz w:val="16"/>
          <w:szCs w:val="16"/>
          <w:lang w:val="es-UY"/>
        </w:rPr>
        <w:t>. Párr. 139.</w:t>
      </w:r>
    </w:p>
  </w:footnote>
  <w:footnote w:id="79">
    <w:p w14:paraId="38AB5B19"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pacing w:val="-2"/>
          <w:sz w:val="16"/>
          <w:szCs w:val="16"/>
        </w:rPr>
        <w:footnoteRef/>
      </w:r>
      <w:r w:rsidRPr="007F2326">
        <w:rPr>
          <w:rFonts w:ascii="Cambria" w:hAnsi="Cambria"/>
          <w:spacing w:val="-2"/>
          <w:sz w:val="16"/>
          <w:szCs w:val="16"/>
          <w:lang w:val="es-PE"/>
        </w:rPr>
        <w:t xml:space="preserve"> </w:t>
      </w:r>
      <w:r w:rsidRPr="007F2326">
        <w:rPr>
          <w:rFonts w:ascii="Cambria" w:hAnsi="Cambria"/>
          <w:iCs/>
          <w:color w:val="auto"/>
          <w:spacing w:val="-2"/>
          <w:sz w:val="16"/>
          <w:szCs w:val="16"/>
          <w:lang w:val="es-PE"/>
        </w:rPr>
        <w:t>Corte</w:t>
      </w:r>
      <w:r w:rsidRPr="007F2326">
        <w:rPr>
          <w:rFonts w:ascii="Cambria" w:hAnsi="Cambria"/>
          <w:i/>
          <w:iCs/>
          <w:color w:val="auto"/>
          <w:spacing w:val="-2"/>
          <w:sz w:val="16"/>
          <w:szCs w:val="16"/>
          <w:lang w:val="es-PE"/>
        </w:rPr>
        <w:t xml:space="preserve"> </w:t>
      </w:r>
      <w:r w:rsidRPr="007F2326">
        <w:rPr>
          <w:rFonts w:ascii="Cambria" w:hAnsi="Cambria"/>
          <w:iCs/>
          <w:color w:val="auto"/>
          <w:spacing w:val="-2"/>
          <w:sz w:val="16"/>
          <w:szCs w:val="16"/>
          <w:lang w:val="es-PE"/>
        </w:rPr>
        <w:t>IDH</w:t>
      </w:r>
      <w:r w:rsidRPr="007F2326">
        <w:rPr>
          <w:rFonts w:ascii="Cambria" w:hAnsi="Cambria"/>
          <w:i/>
          <w:iCs/>
          <w:color w:val="auto"/>
          <w:spacing w:val="-2"/>
          <w:sz w:val="16"/>
          <w:szCs w:val="16"/>
          <w:lang w:val="es-PE"/>
        </w:rPr>
        <w:t xml:space="preserve">. </w:t>
      </w:r>
      <w:r w:rsidRPr="007F2326">
        <w:rPr>
          <w:rFonts w:ascii="Cambria" w:hAnsi="Cambria"/>
          <w:sz w:val="16"/>
          <w:szCs w:val="16"/>
          <w:lang w:val="es-PE" w:eastAsia="es-CR"/>
        </w:rPr>
        <w:t xml:space="preserve"> </w:t>
      </w:r>
      <w:r w:rsidRPr="007F2326">
        <w:rPr>
          <w:rFonts w:ascii="Cambria" w:hAnsi="Cambria"/>
          <w:i/>
          <w:sz w:val="16"/>
          <w:szCs w:val="16"/>
          <w:lang w:val="es-PE" w:eastAsia="es-CR"/>
        </w:rPr>
        <w:t xml:space="preserve">Caso </w:t>
      </w:r>
      <w:r w:rsidRPr="007F2326">
        <w:rPr>
          <w:rFonts w:ascii="Cambria" w:hAnsi="Cambria"/>
          <w:i/>
          <w:sz w:val="16"/>
          <w:szCs w:val="16"/>
          <w:lang w:val="es-UY"/>
        </w:rPr>
        <w:t>Caso Granier y otros (Radio Caracas Televisión) Vs. Venezuela, supra</w:t>
      </w:r>
      <w:r w:rsidRPr="007F2326">
        <w:rPr>
          <w:rFonts w:ascii="Cambria" w:hAnsi="Cambria"/>
          <w:sz w:val="16"/>
          <w:szCs w:val="16"/>
          <w:lang w:val="es-UY"/>
        </w:rPr>
        <w:t xml:space="preserve">. Párr. 139, citando al </w:t>
      </w:r>
      <w:r w:rsidRPr="007F2326">
        <w:rPr>
          <w:rFonts w:ascii="Cambria" w:hAnsi="Cambria"/>
          <w:spacing w:val="-2"/>
          <w:sz w:val="16"/>
          <w:szCs w:val="16"/>
          <w:lang w:val="es-PE"/>
        </w:rPr>
        <w:t xml:space="preserve">TEDH, </w:t>
      </w:r>
      <w:r w:rsidRPr="007F2326">
        <w:rPr>
          <w:rFonts w:ascii="Cambria" w:hAnsi="Cambria"/>
          <w:i/>
          <w:spacing w:val="-2"/>
          <w:sz w:val="16"/>
          <w:szCs w:val="16"/>
          <w:lang w:val="es-PE"/>
        </w:rPr>
        <w:t xml:space="preserve">Novaya Gazeta y Borodyanskiy Vs. </w:t>
      </w:r>
      <w:r w:rsidRPr="007F2326">
        <w:rPr>
          <w:rFonts w:ascii="Cambria" w:hAnsi="Cambria"/>
          <w:i/>
          <w:spacing w:val="-2"/>
          <w:sz w:val="16"/>
          <w:szCs w:val="16"/>
        </w:rPr>
        <w:t>Rusia</w:t>
      </w:r>
      <w:r w:rsidRPr="007F2326">
        <w:rPr>
          <w:rFonts w:ascii="Cambria" w:hAnsi="Cambria"/>
          <w:spacing w:val="-2"/>
          <w:sz w:val="16"/>
          <w:szCs w:val="16"/>
        </w:rPr>
        <w:t xml:space="preserve">. No. 14087/08. Sentencia de 28 de marzo de 2013. Párr. 37. En el original de dicha decisión el Tribunal Europeo señaló lo siguiente: “[i]n this respect the Court reiterates that Article 10 does not guarantee wholly unrestricted freedom of expression to the press, even with respect to coverage of matters of serious public concern. While enjoying the protection afforded by the Convention, journalists must, when exercising their duties, abide by the principles of responsible journalism, namely to act in good faith, provide accurate and reliable information, objectively reflect the opinions of those involved in a public debate, and refrain from pure sensationalism”. </w:t>
      </w:r>
      <w:r w:rsidRPr="007F2326">
        <w:rPr>
          <w:rFonts w:ascii="Cambria" w:hAnsi="Cambria"/>
          <w:spacing w:val="-2"/>
          <w:sz w:val="16"/>
          <w:szCs w:val="16"/>
          <w:lang w:val="es-ES"/>
        </w:rPr>
        <w:t xml:space="preserve">En sentido similar ver: </w:t>
      </w:r>
      <w:r w:rsidRPr="007F2326">
        <w:rPr>
          <w:rFonts w:ascii="Cambria" w:hAnsi="Cambria"/>
          <w:spacing w:val="-2"/>
          <w:sz w:val="16"/>
          <w:szCs w:val="16"/>
          <w:lang w:val="es-PE"/>
        </w:rPr>
        <w:t xml:space="preserve">TEDH, </w:t>
      </w:r>
      <w:r w:rsidRPr="007F2326">
        <w:rPr>
          <w:rFonts w:ascii="Cambria" w:hAnsi="Cambria"/>
          <w:i/>
          <w:spacing w:val="-2"/>
          <w:sz w:val="16"/>
          <w:szCs w:val="16"/>
          <w:lang w:val="es-ES"/>
        </w:rPr>
        <w:t>Pedersen y Baadsgaard Vs. Dinamarca</w:t>
      </w:r>
      <w:r w:rsidRPr="007F2326">
        <w:rPr>
          <w:rFonts w:ascii="Cambria" w:hAnsi="Cambria"/>
          <w:spacing w:val="-2"/>
          <w:sz w:val="16"/>
          <w:szCs w:val="16"/>
          <w:lang w:val="es-ES"/>
        </w:rPr>
        <w:t xml:space="preserve"> [GS]. </w:t>
      </w:r>
      <w:r w:rsidRPr="007F2326">
        <w:rPr>
          <w:rFonts w:ascii="Cambria" w:hAnsi="Cambria"/>
          <w:spacing w:val="-2"/>
          <w:sz w:val="16"/>
          <w:szCs w:val="16"/>
          <w:lang w:val="es-PE"/>
        </w:rPr>
        <w:t>No</w:t>
      </w:r>
      <w:r w:rsidRPr="007F2326">
        <w:rPr>
          <w:rFonts w:ascii="Cambria" w:hAnsi="Cambria"/>
          <w:spacing w:val="-2"/>
          <w:sz w:val="16"/>
          <w:szCs w:val="16"/>
          <w:lang w:val="es-ES"/>
        </w:rPr>
        <w:t xml:space="preserve">. 49017/99. </w:t>
      </w:r>
      <w:r w:rsidRPr="007F2326">
        <w:rPr>
          <w:rFonts w:ascii="Cambria" w:hAnsi="Cambria"/>
          <w:spacing w:val="-2"/>
          <w:sz w:val="16"/>
          <w:szCs w:val="16"/>
          <w:lang w:val="es-PE"/>
        </w:rPr>
        <w:t>Sentencia de 17 de diciembre de 2004. Párr.</w:t>
      </w:r>
      <w:r w:rsidRPr="007F2326">
        <w:rPr>
          <w:rFonts w:ascii="Cambria" w:hAnsi="Cambria"/>
          <w:spacing w:val="-2"/>
          <w:sz w:val="16"/>
          <w:szCs w:val="16"/>
          <w:lang w:val="es-ES"/>
        </w:rPr>
        <w:t xml:space="preserve"> 78, y </w:t>
      </w:r>
      <w:r w:rsidRPr="007F2326">
        <w:rPr>
          <w:rFonts w:ascii="Cambria" w:hAnsi="Cambria"/>
          <w:spacing w:val="-2"/>
          <w:sz w:val="16"/>
          <w:szCs w:val="16"/>
          <w:lang w:val="es-PE"/>
        </w:rPr>
        <w:t xml:space="preserve">TEDH, </w:t>
      </w:r>
      <w:r w:rsidRPr="007F2326">
        <w:rPr>
          <w:rFonts w:ascii="Cambria" w:hAnsi="Cambria"/>
          <w:i/>
          <w:spacing w:val="-2"/>
          <w:sz w:val="16"/>
          <w:szCs w:val="16"/>
          <w:lang w:val="es-ES"/>
        </w:rPr>
        <w:t xml:space="preserve">Stoll Vs. Suiza </w:t>
      </w:r>
      <w:r w:rsidRPr="007F2326">
        <w:rPr>
          <w:rFonts w:ascii="Cambria" w:hAnsi="Cambria"/>
          <w:spacing w:val="-2"/>
          <w:sz w:val="16"/>
          <w:szCs w:val="16"/>
          <w:lang w:val="es-ES"/>
        </w:rPr>
        <w:t xml:space="preserve">[GS]. </w:t>
      </w:r>
      <w:r w:rsidRPr="007F2326">
        <w:rPr>
          <w:rFonts w:ascii="Cambria" w:hAnsi="Cambria"/>
          <w:spacing w:val="-2"/>
          <w:sz w:val="16"/>
          <w:szCs w:val="16"/>
          <w:lang w:val="es-PE"/>
        </w:rPr>
        <w:t>No</w:t>
      </w:r>
      <w:r w:rsidRPr="007F2326">
        <w:rPr>
          <w:rFonts w:ascii="Cambria" w:hAnsi="Cambria"/>
          <w:spacing w:val="-2"/>
          <w:sz w:val="16"/>
          <w:szCs w:val="16"/>
          <w:lang w:val="es-ES"/>
        </w:rPr>
        <w:t xml:space="preserve">. 69698/01. </w:t>
      </w:r>
      <w:r w:rsidRPr="007F2326">
        <w:rPr>
          <w:rFonts w:ascii="Cambria" w:hAnsi="Cambria"/>
          <w:spacing w:val="-2"/>
          <w:sz w:val="16"/>
          <w:szCs w:val="16"/>
          <w:lang w:val="es-PE"/>
        </w:rPr>
        <w:t>Sentencia de 10 de diciembre de 2007. Párr.</w:t>
      </w:r>
      <w:r w:rsidRPr="007F2326">
        <w:rPr>
          <w:rFonts w:ascii="Cambria" w:hAnsi="Cambria"/>
          <w:spacing w:val="-2"/>
          <w:sz w:val="16"/>
          <w:szCs w:val="16"/>
          <w:lang w:val="es-ES"/>
        </w:rPr>
        <w:t xml:space="preserve"> 103. Véase también, </w:t>
      </w:r>
      <w:r w:rsidRPr="007F2326">
        <w:rPr>
          <w:rFonts w:ascii="Cambria" w:hAnsi="Cambria"/>
          <w:iCs/>
          <w:color w:val="auto"/>
          <w:spacing w:val="-2"/>
          <w:sz w:val="16"/>
          <w:szCs w:val="16"/>
          <w:lang w:val="es-PE"/>
        </w:rPr>
        <w:t>Corte</w:t>
      </w:r>
      <w:r w:rsidRPr="007F2326">
        <w:rPr>
          <w:rFonts w:ascii="Cambria" w:hAnsi="Cambria"/>
          <w:i/>
          <w:iCs/>
          <w:color w:val="auto"/>
          <w:spacing w:val="-2"/>
          <w:sz w:val="16"/>
          <w:szCs w:val="16"/>
          <w:lang w:val="es-PE"/>
        </w:rPr>
        <w:t xml:space="preserve"> </w:t>
      </w:r>
      <w:r w:rsidRPr="007F2326">
        <w:rPr>
          <w:rFonts w:ascii="Cambria" w:hAnsi="Cambria"/>
          <w:iCs/>
          <w:color w:val="auto"/>
          <w:spacing w:val="-2"/>
          <w:sz w:val="16"/>
          <w:szCs w:val="16"/>
          <w:lang w:val="es-PE"/>
        </w:rPr>
        <w:t>IDH</w:t>
      </w:r>
      <w:r w:rsidRPr="007F2326">
        <w:rPr>
          <w:rFonts w:ascii="Cambria" w:hAnsi="Cambria"/>
          <w:i/>
          <w:iCs/>
          <w:color w:val="auto"/>
          <w:spacing w:val="-2"/>
          <w:sz w:val="16"/>
          <w:szCs w:val="16"/>
          <w:lang w:val="es-PE"/>
        </w:rPr>
        <w:t xml:space="preserve">. </w:t>
      </w:r>
      <w:r w:rsidRPr="007F2326">
        <w:rPr>
          <w:rFonts w:ascii="Cambria" w:hAnsi="Cambria"/>
          <w:sz w:val="16"/>
          <w:szCs w:val="16"/>
          <w:lang w:val="es-PE" w:eastAsia="es-CR"/>
        </w:rPr>
        <w:t xml:space="preserve"> </w:t>
      </w:r>
      <w:r w:rsidRPr="007F2326">
        <w:rPr>
          <w:rFonts w:ascii="Cambria" w:hAnsi="Cambria"/>
          <w:i/>
          <w:sz w:val="16"/>
          <w:szCs w:val="16"/>
          <w:lang w:val="es-ES"/>
        </w:rPr>
        <w:t xml:space="preserve">Caso Mémoli Vs. Argentina, supra. </w:t>
      </w:r>
      <w:r w:rsidRPr="007F2326">
        <w:rPr>
          <w:rFonts w:ascii="Cambria" w:hAnsi="Cambria"/>
          <w:sz w:val="16"/>
          <w:szCs w:val="16"/>
          <w:lang w:val="es-ES"/>
        </w:rPr>
        <w:t>Párr. 122.</w:t>
      </w:r>
    </w:p>
  </w:footnote>
  <w:footnote w:id="80">
    <w:p w14:paraId="20D2A3E1"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US"/>
        </w:rPr>
        <w:t xml:space="preserve">Corte IDH. </w:t>
      </w:r>
      <w:r w:rsidRPr="007F2326">
        <w:rPr>
          <w:rFonts w:ascii="Cambria" w:hAnsi="Cambria"/>
          <w:i/>
          <w:sz w:val="16"/>
          <w:szCs w:val="16"/>
          <w:lang w:val="es-PE"/>
        </w:rPr>
        <w:t>Caso Tristán Donoso Vs. Panamá</w:t>
      </w:r>
      <w:r w:rsidRPr="007F2326">
        <w:rPr>
          <w:rFonts w:ascii="Cambria" w:hAnsi="Cambria"/>
          <w:sz w:val="16"/>
          <w:szCs w:val="16"/>
          <w:lang w:val="es-PE"/>
        </w:rPr>
        <w:t xml:space="preserve">, </w:t>
      </w:r>
      <w:r w:rsidRPr="007F2326">
        <w:rPr>
          <w:rFonts w:ascii="Cambria" w:hAnsi="Cambria"/>
          <w:i/>
          <w:iCs/>
          <w:sz w:val="16"/>
          <w:szCs w:val="16"/>
          <w:lang w:val="es-PE"/>
        </w:rPr>
        <w:t>supra.</w:t>
      </w:r>
      <w:r w:rsidRPr="007F2326">
        <w:rPr>
          <w:rFonts w:ascii="Cambria" w:hAnsi="Cambria"/>
          <w:sz w:val="16"/>
          <w:szCs w:val="16"/>
          <w:lang w:val="es-PE"/>
        </w:rPr>
        <w:t xml:space="preserve"> Párrs. 123 a 126.</w:t>
      </w:r>
    </w:p>
  </w:footnote>
  <w:footnote w:id="81">
    <w:p w14:paraId="4BE5A164" w14:textId="77777777" w:rsidR="008D4A0F" w:rsidRPr="007F2326" w:rsidRDefault="008D4A0F" w:rsidP="007F2326">
      <w:pPr>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iCs/>
          <w:sz w:val="16"/>
          <w:szCs w:val="16"/>
          <w:lang w:val="es-PE"/>
        </w:rPr>
        <w:t>TEDH.</w:t>
      </w:r>
      <w:r w:rsidRPr="007F2326">
        <w:rPr>
          <w:rFonts w:ascii="Cambria" w:hAnsi="Cambria"/>
          <w:i/>
          <w:iCs/>
          <w:sz w:val="16"/>
          <w:szCs w:val="16"/>
          <w:lang w:val="es-PE"/>
        </w:rPr>
        <w:t xml:space="preserve"> Lingens Vs. Austria</w:t>
      </w:r>
      <w:r w:rsidRPr="007F2326">
        <w:rPr>
          <w:rFonts w:ascii="Cambria" w:hAnsi="Cambria"/>
          <w:i/>
          <w:sz w:val="16"/>
          <w:szCs w:val="16"/>
          <w:lang w:val="es-PE"/>
        </w:rPr>
        <w:t>.</w:t>
      </w:r>
      <w:r w:rsidRPr="007F2326">
        <w:rPr>
          <w:rFonts w:ascii="Cambria" w:hAnsi="Cambria"/>
          <w:sz w:val="16"/>
          <w:szCs w:val="16"/>
          <w:lang w:val="es-PE"/>
        </w:rPr>
        <w:t xml:space="preserve"> No. 9815/82. Sentencia de 8 de julio de 1986. Párr. 46; </w:t>
      </w:r>
      <w:r w:rsidRPr="007F2326">
        <w:rPr>
          <w:rFonts w:ascii="Cambria" w:hAnsi="Cambria"/>
          <w:i/>
          <w:iCs/>
          <w:sz w:val="16"/>
          <w:szCs w:val="16"/>
          <w:lang w:val="es-PE"/>
        </w:rPr>
        <w:t xml:space="preserve">Mihaiu Vs. Rumania. </w:t>
      </w:r>
      <w:r w:rsidRPr="007F2326">
        <w:rPr>
          <w:rFonts w:ascii="Cambria" w:hAnsi="Cambria"/>
          <w:sz w:val="16"/>
          <w:szCs w:val="16"/>
          <w:lang w:val="es-PE"/>
        </w:rPr>
        <w:t xml:space="preserve">No. 42512/02. Sentencia de 4 de noviembre de 2008. Párrs. 57 y 66; </w:t>
      </w:r>
      <w:r w:rsidRPr="007F2326">
        <w:rPr>
          <w:rFonts w:ascii="Cambria" w:hAnsi="Cambria"/>
          <w:i/>
          <w:iCs/>
          <w:sz w:val="16"/>
          <w:szCs w:val="16"/>
          <w:lang w:val="es-PE"/>
        </w:rPr>
        <w:t xml:space="preserve">Brunet Lecomte y Lyon Mag Vs. Francia. </w:t>
      </w:r>
      <w:r w:rsidRPr="007F2326">
        <w:rPr>
          <w:rFonts w:ascii="Cambria" w:hAnsi="Cambria"/>
          <w:sz w:val="16"/>
          <w:szCs w:val="16"/>
          <w:lang w:val="es-PE"/>
        </w:rPr>
        <w:t xml:space="preserve">No. 17265/05. </w:t>
      </w:r>
      <w:r w:rsidRPr="007F2326">
        <w:rPr>
          <w:rFonts w:ascii="Cambria" w:hAnsi="Cambria"/>
          <w:sz w:val="16"/>
          <w:szCs w:val="16"/>
          <w:lang w:val="es-ES"/>
        </w:rPr>
        <w:t xml:space="preserve">Sentencia de </w:t>
      </w:r>
      <w:r w:rsidRPr="007F2326">
        <w:rPr>
          <w:rFonts w:ascii="Cambria" w:hAnsi="Cambria"/>
          <w:sz w:val="16"/>
          <w:szCs w:val="16"/>
          <w:lang w:val="es-PE"/>
        </w:rPr>
        <w:t xml:space="preserve">6 de mayo de 2010. Párr. 47; </w:t>
      </w:r>
      <w:r w:rsidRPr="007F2326">
        <w:rPr>
          <w:rFonts w:ascii="Cambria" w:hAnsi="Cambria"/>
          <w:i/>
          <w:iCs/>
          <w:sz w:val="16"/>
          <w:szCs w:val="16"/>
          <w:lang w:val="es-PE"/>
        </w:rPr>
        <w:t>Ileana Constantinescu Vs. Rumania</w:t>
      </w:r>
      <w:r w:rsidRPr="007F2326">
        <w:rPr>
          <w:rFonts w:ascii="Cambria" w:hAnsi="Cambria"/>
          <w:sz w:val="16"/>
          <w:szCs w:val="16"/>
          <w:lang w:val="es-PE"/>
        </w:rPr>
        <w:t xml:space="preserve">. No. 32563/04. Sentencia de 11 de diciembre de 2012. Párrs. 45 a 47, y </w:t>
      </w:r>
      <w:r w:rsidRPr="007F2326">
        <w:rPr>
          <w:rFonts w:ascii="Cambria" w:hAnsi="Cambria"/>
          <w:i/>
          <w:iCs/>
          <w:sz w:val="16"/>
          <w:szCs w:val="16"/>
          <w:lang w:val="es-PE"/>
        </w:rPr>
        <w:t xml:space="preserve">Medžlis Islamske Zajednice Brčko y otros Vs. Bosnia y Herzegovina [GS]. </w:t>
      </w:r>
      <w:r w:rsidRPr="007F2326">
        <w:rPr>
          <w:rFonts w:ascii="Cambria" w:hAnsi="Cambria"/>
          <w:iCs/>
          <w:sz w:val="16"/>
          <w:szCs w:val="16"/>
          <w:lang w:val="es-PE"/>
        </w:rPr>
        <w:t>No.17224/11. Sentencia de</w:t>
      </w:r>
      <w:r w:rsidRPr="007F2326">
        <w:rPr>
          <w:rFonts w:ascii="Cambria" w:hAnsi="Cambria"/>
          <w:sz w:val="16"/>
          <w:szCs w:val="16"/>
          <w:lang w:val="es-PE"/>
        </w:rPr>
        <w:t xml:space="preserve"> 27 de junio de 2017. Párr. 87.</w:t>
      </w:r>
    </w:p>
  </w:footnote>
  <w:footnote w:id="82">
    <w:p w14:paraId="436D4B13"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TEDH. </w:t>
      </w:r>
      <w:r w:rsidRPr="007F2326">
        <w:rPr>
          <w:rFonts w:ascii="Cambria" w:hAnsi="Cambria"/>
          <w:i/>
          <w:iCs/>
          <w:sz w:val="16"/>
          <w:szCs w:val="16"/>
          <w:lang w:val="es-PE"/>
        </w:rPr>
        <w:t>Cumpănă y Mazăre Vs. Rumania</w:t>
      </w:r>
      <w:r w:rsidRPr="007F2326">
        <w:rPr>
          <w:rFonts w:ascii="Cambria" w:hAnsi="Cambria"/>
          <w:sz w:val="16"/>
          <w:szCs w:val="16"/>
          <w:lang w:val="es-PE"/>
        </w:rPr>
        <w:t xml:space="preserve"> [GS].  No. 33348/96. Sentencia de 17 de diciembre de 2004. Párr. 102.</w:t>
      </w:r>
    </w:p>
  </w:footnote>
  <w:footnote w:id="83">
    <w:p w14:paraId="52E5F842" w14:textId="77777777" w:rsidR="008D4A0F" w:rsidRPr="007F2326" w:rsidRDefault="008D4A0F" w:rsidP="007F2326">
      <w:pPr>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TEDH. </w:t>
      </w:r>
      <w:r w:rsidRPr="007F2326">
        <w:rPr>
          <w:rFonts w:ascii="Cambria" w:hAnsi="Cambria"/>
          <w:i/>
          <w:iCs/>
          <w:sz w:val="16"/>
          <w:szCs w:val="16"/>
          <w:lang w:val="es-PE"/>
        </w:rPr>
        <w:t xml:space="preserve">Brunet Lecomte y Lyon Mag Vs. Francia. </w:t>
      </w:r>
      <w:r w:rsidRPr="007F2326">
        <w:rPr>
          <w:rFonts w:ascii="Cambria" w:hAnsi="Cambria"/>
          <w:sz w:val="16"/>
          <w:szCs w:val="16"/>
          <w:lang w:val="es-PE"/>
        </w:rPr>
        <w:t xml:space="preserve">No. 17265/05. </w:t>
      </w:r>
      <w:r w:rsidRPr="007F2326">
        <w:rPr>
          <w:rFonts w:ascii="Cambria" w:hAnsi="Cambria"/>
          <w:sz w:val="16"/>
          <w:szCs w:val="16"/>
          <w:lang w:val="es-ES"/>
        </w:rPr>
        <w:t xml:space="preserve">Sentencia de </w:t>
      </w:r>
      <w:r w:rsidRPr="007F2326">
        <w:rPr>
          <w:rFonts w:ascii="Cambria" w:hAnsi="Cambria"/>
          <w:sz w:val="16"/>
          <w:szCs w:val="16"/>
          <w:lang w:val="es-PE"/>
        </w:rPr>
        <w:t>6 de mayo de 2010. Párr. 47.</w:t>
      </w:r>
    </w:p>
  </w:footnote>
  <w:footnote w:id="84">
    <w:p w14:paraId="5B71EC71" w14:textId="77777777" w:rsidR="008D4A0F" w:rsidRPr="007F2326" w:rsidRDefault="008D4A0F" w:rsidP="007F2326">
      <w:pPr>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Suprema Corte de Justicia de la Nación. México. </w:t>
      </w:r>
      <w:r w:rsidRPr="007F2326">
        <w:rPr>
          <w:rFonts w:ascii="Cambria" w:hAnsi="Cambria"/>
          <w:i/>
          <w:sz w:val="16"/>
          <w:szCs w:val="16"/>
          <w:lang w:val="es-PE"/>
        </w:rPr>
        <w:t>Carmen Aristegui Vs Tribunal Colegiado</w:t>
      </w:r>
      <w:r w:rsidRPr="007F2326">
        <w:rPr>
          <w:rFonts w:ascii="Cambria" w:hAnsi="Cambria"/>
          <w:sz w:val="16"/>
          <w:szCs w:val="16"/>
          <w:lang w:val="es-PE"/>
        </w:rPr>
        <w:t>. Caso No. ADR 6175/2018. 20 de febrero de 2019. Pág. 19; Sala Tercera de la Corte Suprema de Justicia. Costa Rica. Resolución No. 880-2007. 12 de agosto de 2005; Tribunal Constitucional de España. STC 6/1988. 21 de enero de 1988; STC 160/2003. 15 de septiembre de 2003, y STC 68/2008. 23 de junio de 2008. Es importante destacar que estos tribunales hacen una diferenciación entre “veracidad” y “verdad” e interpretan el término “veracidad” como un requisito que exige un deber de diligencia sobre el informador que se cumple cuando este ha realizado, de forma previa a la difusión de la noticia, una labor de averiguación de los hechos sobre los que versa la información, a pesar de que su exactitud sea controvertible. Según dichos tribunales, la veracidad no es sinónimo de información verdadera e incontrovertible, sino que significa que las entrevistas y las notas periodísticas destinadas a influir en la opinión pública tienen atrás un razonable ejercicio de investigación y comprobación encaminado a determinar que lo que quiere difundirse tiene suficiente asiento en la realidad.</w:t>
      </w:r>
    </w:p>
  </w:footnote>
  <w:footnote w:id="85">
    <w:p w14:paraId="3C889D8B"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TEDH. </w:t>
      </w:r>
      <w:r w:rsidRPr="007F2326">
        <w:rPr>
          <w:rFonts w:ascii="Cambria" w:hAnsi="Cambria"/>
          <w:i/>
          <w:iCs/>
          <w:sz w:val="16"/>
          <w:szCs w:val="16"/>
          <w:lang w:val="es-PE"/>
        </w:rPr>
        <w:t xml:space="preserve">Caso Gutiérrez Suárez Vs. </w:t>
      </w:r>
      <w:r w:rsidRPr="007F2326">
        <w:rPr>
          <w:rFonts w:ascii="Cambria" w:hAnsi="Cambria"/>
          <w:i/>
          <w:sz w:val="16"/>
          <w:szCs w:val="16"/>
          <w:lang w:val="es-PE"/>
        </w:rPr>
        <w:t>España.</w:t>
      </w:r>
      <w:r w:rsidRPr="007F2326">
        <w:rPr>
          <w:rFonts w:ascii="Cambria" w:hAnsi="Cambria"/>
          <w:sz w:val="16"/>
          <w:szCs w:val="16"/>
          <w:lang w:val="es-PE"/>
        </w:rPr>
        <w:t xml:space="preserve"> No. 16023/07. Sentencia de 1 de junio de 2010. Párr. 38.</w:t>
      </w:r>
    </w:p>
  </w:footnote>
  <w:footnote w:id="86">
    <w:p w14:paraId="6010A5F3"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TEDH. </w:t>
      </w:r>
      <w:r w:rsidRPr="007F2326">
        <w:rPr>
          <w:rFonts w:ascii="Cambria" w:hAnsi="Cambria"/>
          <w:i/>
          <w:iCs/>
          <w:sz w:val="16"/>
          <w:szCs w:val="16"/>
          <w:lang w:val="es-PE"/>
        </w:rPr>
        <w:t xml:space="preserve">Cumpănă y Mazăre Vs. Rumania </w:t>
      </w:r>
      <w:r w:rsidRPr="007F2326">
        <w:rPr>
          <w:rFonts w:ascii="Cambria" w:hAnsi="Cambria"/>
          <w:sz w:val="16"/>
          <w:szCs w:val="16"/>
          <w:lang w:val="es-PE"/>
        </w:rPr>
        <w:t xml:space="preserve">[GS]. No. 33348/96. </w:t>
      </w:r>
      <w:r w:rsidRPr="007F2326">
        <w:rPr>
          <w:rFonts w:ascii="Cambria" w:hAnsi="Cambria"/>
          <w:sz w:val="16"/>
          <w:szCs w:val="16"/>
          <w:lang w:val="es-ES"/>
        </w:rPr>
        <w:t xml:space="preserve">Sentencia de </w:t>
      </w:r>
      <w:r w:rsidRPr="007F2326">
        <w:rPr>
          <w:rFonts w:ascii="Cambria" w:hAnsi="Cambria"/>
          <w:sz w:val="16"/>
          <w:szCs w:val="16"/>
          <w:lang w:val="es-PE"/>
        </w:rPr>
        <w:t>17 de diciembre de 2004.</w:t>
      </w:r>
    </w:p>
  </w:footnote>
  <w:footnote w:id="87">
    <w:p w14:paraId="79BB4DEA"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rPr>
        <w:t xml:space="preserve"> TEDH. </w:t>
      </w:r>
      <w:r w:rsidRPr="007F2326">
        <w:rPr>
          <w:rFonts w:ascii="Cambria" w:hAnsi="Cambria"/>
          <w:iCs/>
          <w:sz w:val="16"/>
          <w:szCs w:val="16"/>
        </w:rPr>
        <w:t xml:space="preserve">H.R. </w:t>
      </w:r>
      <w:r w:rsidRPr="007F2326">
        <w:rPr>
          <w:rFonts w:ascii="Cambria" w:hAnsi="Cambria"/>
          <w:i/>
          <w:iCs/>
          <w:sz w:val="16"/>
          <w:szCs w:val="16"/>
        </w:rPr>
        <w:t xml:space="preserve">Observer and Guardian Vs. </w:t>
      </w:r>
      <w:r w:rsidRPr="007F2326">
        <w:rPr>
          <w:rFonts w:ascii="Cambria" w:hAnsi="Cambria"/>
          <w:i/>
          <w:sz w:val="16"/>
          <w:szCs w:val="16"/>
          <w:lang w:val="es-PE"/>
        </w:rPr>
        <w:t>Reino Unido.</w:t>
      </w:r>
      <w:r w:rsidRPr="007F2326">
        <w:rPr>
          <w:rFonts w:ascii="Cambria" w:hAnsi="Cambria"/>
          <w:sz w:val="16"/>
          <w:szCs w:val="16"/>
          <w:lang w:val="es-PE"/>
        </w:rPr>
        <w:t xml:space="preserve"> No. 13585/88. Sentencia de 26 de noviembre de 1991. Párr 60.</w:t>
      </w:r>
    </w:p>
  </w:footnote>
  <w:footnote w:id="88">
    <w:p w14:paraId="21A906C4"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TEDH. </w:t>
      </w:r>
      <w:r w:rsidRPr="007F2326">
        <w:rPr>
          <w:rFonts w:ascii="Cambria" w:hAnsi="Cambria"/>
          <w:i/>
          <w:iCs/>
          <w:sz w:val="16"/>
          <w:szCs w:val="16"/>
          <w:lang w:val="es-PE"/>
        </w:rPr>
        <w:t xml:space="preserve">Caso Gutiérrez Suárez Vs. </w:t>
      </w:r>
      <w:r w:rsidRPr="007F2326">
        <w:rPr>
          <w:rFonts w:ascii="Cambria" w:hAnsi="Cambria"/>
          <w:i/>
          <w:sz w:val="16"/>
          <w:szCs w:val="16"/>
          <w:lang w:val="es-PE"/>
        </w:rPr>
        <w:t>España.</w:t>
      </w:r>
      <w:r w:rsidRPr="007F2326">
        <w:rPr>
          <w:rFonts w:ascii="Cambria" w:hAnsi="Cambria"/>
          <w:sz w:val="16"/>
          <w:szCs w:val="16"/>
          <w:lang w:val="es-PE"/>
        </w:rPr>
        <w:t xml:space="preserve"> No. 16023/07. Sentencia de 1 de junio de 2010. Párr. 38, y </w:t>
      </w:r>
      <w:r w:rsidRPr="007F2326">
        <w:rPr>
          <w:rFonts w:ascii="Cambria" w:hAnsi="Cambria"/>
          <w:i/>
          <w:iCs/>
          <w:sz w:val="16"/>
          <w:szCs w:val="16"/>
          <w:lang w:val="es-PE"/>
        </w:rPr>
        <w:t>Colombani y otros Vs. Francia.</w:t>
      </w:r>
      <w:r w:rsidRPr="007F2326">
        <w:rPr>
          <w:rFonts w:ascii="Cambria" w:hAnsi="Cambria"/>
          <w:sz w:val="16"/>
          <w:szCs w:val="16"/>
          <w:lang w:val="es-PE"/>
        </w:rPr>
        <w:t xml:space="preserve"> No. 51279/99. Sentencia de 25 de junio de 2002. Párr 65.</w:t>
      </w:r>
    </w:p>
  </w:footnote>
  <w:footnote w:id="89">
    <w:p w14:paraId="6C755150"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Corte Suprema de los Estados Unidos de Norteamérica. </w:t>
      </w:r>
      <w:r w:rsidRPr="007F2326">
        <w:rPr>
          <w:rFonts w:ascii="Cambria" w:hAnsi="Cambria"/>
          <w:i/>
          <w:iCs/>
          <w:sz w:val="16"/>
          <w:szCs w:val="16"/>
          <w:lang w:val="es-PE"/>
        </w:rPr>
        <w:t>New York Times Vs. Sullivan</w:t>
      </w:r>
      <w:r w:rsidRPr="007F2326">
        <w:rPr>
          <w:rFonts w:ascii="Cambria" w:hAnsi="Cambria"/>
          <w:sz w:val="16"/>
          <w:szCs w:val="16"/>
          <w:lang w:val="es-PE"/>
        </w:rPr>
        <w:t>. 376 U.S. 254, 280 (1964).</w:t>
      </w:r>
    </w:p>
  </w:footnote>
  <w:footnote w:id="90">
    <w:p w14:paraId="6BBD482C"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Corte Suprema de los Estados Unidos de Norteamérica. </w:t>
      </w:r>
      <w:r w:rsidRPr="007F2326">
        <w:rPr>
          <w:rFonts w:ascii="Cambria" w:hAnsi="Cambria"/>
          <w:i/>
          <w:iCs/>
          <w:sz w:val="16"/>
          <w:szCs w:val="16"/>
          <w:lang w:val="es-PE"/>
        </w:rPr>
        <w:t>New York Times Vs. Sullivan</w:t>
      </w:r>
      <w:r w:rsidRPr="007F2326">
        <w:rPr>
          <w:rFonts w:ascii="Cambria" w:hAnsi="Cambria"/>
          <w:sz w:val="16"/>
          <w:szCs w:val="16"/>
          <w:lang w:val="es-PE"/>
        </w:rPr>
        <w:t>. 376 U.S. 254, 271-272 (1964).</w:t>
      </w:r>
    </w:p>
  </w:footnote>
  <w:footnote w:id="91">
    <w:p w14:paraId="57869F38"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Corte Suprema de los Estados Unidos de Norteamérica. </w:t>
      </w:r>
      <w:r w:rsidRPr="007F2326">
        <w:rPr>
          <w:rFonts w:ascii="Cambria" w:hAnsi="Cambria"/>
          <w:i/>
          <w:iCs/>
          <w:sz w:val="16"/>
          <w:szCs w:val="16"/>
        </w:rPr>
        <w:t>Garrison Vs. Lousiana</w:t>
      </w:r>
      <w:r w:rsidRPr="007F2326">
        <w:rPr>
          <w:rFonts w:ascii="Cambria" w:hAnsi="Cambria"/>
          <w:sz w:val="16"/>
          <w:szCs w:val="16"/>
        </w:rPr>
        <w:t xml:space="preserve">. </w:t>
      </w:r>
      <w:r w:rsidRPr="007F2326">
        <w:rPr>
          <w:rFonts w:ascii="Cambria" w:hAnsi="Cambria"/>
          <w:sz w:val="16"/>
          <w:szCs w:val="16"/>
          <w:lang w:val="es-PE"/>
        </w:rPr>
        <w:t>379 U.S. 64 (1964).</w:t>
      </w:r>
    </w:p>
  </w:footnote>
  <w:footnote w:id="92">
    <w:p w14:paraId="6296FC16" w14:textId="77777777" w:rsidR="008D4A0F" w:rsidRPr="007F2326" w:rsidRDefault="008D4A0F" w:rsidP="007F2326">
      <w:pPr>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Corte Suprema de la República de Argentina. </w:t>
      </w:r>
      <w:r w:rsidRPr="007F2326">
        <w:rPr>
          <w:rFonts w:ascii="Cambria" w:hAnsi="Cambria"/>
          <w:i/>
          <w:sz w:val="16"/>
          <w:szCs w:val="16"/>
          <w:lang w:val="es-PE"/>
        </w:rPr>
        <w:t>Caso José Antonio Vago c/ Ediciones de La Urraca S.A. y otros.</w:t>
      </w:r>
      <w:r w:rsidRPr="007F2326">
        <w:rPr>
          <w:rFonts w:ascii="Cambria" w:hAnsi="Cambria"/>
          <w:sz w:val="16"/>
          <w:szCs w:val="16"/>
          <w:lang w:val="es-PE"/>
        </w:rPr>
        <w:t xml:space="preserve"> Sentencia de 19 de noviembre de 1991, y </w:t>
      </w:r>
      <w:r w:rsidRPr="007F2326">
        <w:rPr>
          <w:rFonts w:ascii="Cambria" w:hAnsi="Cambria"/>
          <w:i/>
          <w:sz w:val="16"/>
          <w:szCs w:val="16"/>
          <w:lang w:val="es-PE"/>
        </w:rPr>
        <w:t>Caso Dante Giadone c/ Joaquín Morales Solá</w:t>
      </w:r>
      <w:r w:rsidRPr="007F2326">
        <w:rPr>
          <w:rFonts w:ascii="Cambria" w:hAnsi="Cambria"/>
          <w:sz w:val="16"/>
          <w:szCs w:val="16"/>
          <w:lang w:val="es-PE"/>
        </w:rPr>
        <w:t xml:space="preserve">. Sentencia de 12 de noviembre de 1996. La Suprema Corte de Justicia de Argentina señaló que “quienes se sienten afectados por una información falsa o inexacta deberán demostrar que el autor de la noticia procedió con malicia”. Este análisis también se aplicó a casos de responsabilidad civil. Véase </w:t>
      </w:r>
      <w:r w:rsidRPr="007F2326">
        <w:rPr>
          <w:rFonts w:ascii="Cambria" w:hAnsi="Cambria"/>
          <w:i/>
          <w:sz w:val="16"/>
          <w:szCs w:val="16"/>
          <w:lang w:val="es-PE"/>
        </w:rPr>
        <w:t>Caso Patitó, José Angel y otro c/ Diario La Nación y otros</w:t>
      </w:r>
      <w:r w:rsidRPr="007F2326">
        <w:rPr>
          <w:rFonts w:ascii="Cambria" w:hAnsi="Cambria"/>
          <w:sz w:val="16"/>
          <w:szCs w:val="16"/>
          <w:lang w:val="es-PE"/>
        </w:rPr>
        <w:t xml:space="preserve">. Sentencia de 24 de junio de 2008. Por su parte, el artículo 4 de la Ley No. 18.515 de Uruguay, que modifica el artículo 336 del CP, establece: “Artículo 4º.- Sustitúyase el artículo 336 del Código Penal por el siguiente: "ARTÍCULO 336. (Exención de responsabilidad y prueba de la verdad).- Estará exento de responsabilidad el que: A) efectuare o difundiere cualquier clase de manifestación sobre asuntos de interés público, referida tanto a funcionarios públicos como a personas que, por su profesión u oficio, tengan una exposición social de relevancia, o a toda persona que se haya involucrado voluntariamente en asuntos de interés público; B) reprodujere cualquier clase de manifestación sobre asuntos de interés público, cuando el autor de las mismas se encuentre identificado; C) efectuare o difundiere cualquier clase de manifestación humorística o artística, siempre que refiera a alguna de las hipótesis precedentes. La exención de responsabilidad no procederá cuando resulte probada la real malicia del autor de agraviar a las personas o vulnerar su vida privada. Los acusados de los delitos previstos en el artículo 333 y aun en el 334, cuando mediare imputación, tendrán derecho a probar la verdad de los hechos y la verosimilitud de las calidades atribuidas a la persona, excepto que el caso se refiera a la vida privada de la persona o cuando no sea de interés público la divulgación de los hechos. Si se probase la verdad o la verosimilitud, el autor de la imputación se verá exento de pena, salvo que hubiese empleado real malicia". Véase Ley No. 18.515. Medios de Comunicación. Modificación de varias disposiciones. Publicado en el diario oficial el 15 de julio de 2009. </w:t>
      </w:r>
    </w:p>
  </w:footnote>
  <w:footnote w:id="93">
    <w:p w14:paraId="5551C28A"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Corte Suprema de los Estados Unidos de Norteamérica. </w:t>
      </w:r>
      <w:r w:rsidRPr="007F2326">
        <w:rPr>
          <w:rFonts w:ascii="Cambria" w:hAnsi="Cambria"/>
          <w:i/>
          <w:iCs/>
          <w:sz w:val="16"/>
          <w:szCs w:val="16"/>
        </w:rPr>
        <w:t>St. Amant Vs. Thompson.</w:t>
      </w:r>
      <w:r w:rsidRPr="007F2326">
        <w:rPr>
          <w:rFonts w:ascii="Cambria" w:hAnsi="Cambria"/>
          <w:sz w:val="16"/>
          <w:szCs w:val="16"/>
        </w:rPr>
        <w:t xml:space="preserve"> 390 U.S. 727, 731 (1968) y </w:t>
      </w:r>
      <w:r w:rsidRPr="007F2326">
        <w:rPr>
          <w:rFonts w:ascii="Cambria" w:hAnsi="Cambria"/>
          <w:i/>
          <w:iCs/>
          <w:sz w:val="16"/>
          <w:szCs w:val="16"/>
        </w:rPr>
        <w:t xml:space="preserve">Harte-Hanks Communications Inc. Vs. </w:t>
      </w:r>
      <w:r w:rsidRPr="007F2326">
        <w:rPr>
          <w:rFonts w:ascii="Cambria" w:hAnsi="Cambria"/>
          <w:i/>
          <w:iCs/>
          <w:sz w:val="16"/>
          <w:szCs w:val="16"/>
          <w:lang w:val="es-PE"/>
        </w:rPr>
        <w:t>Connaughton.</w:t>
      </w:r>
      <w:r w:rsidRPr="007F2326">
        <w:rPr>
          <w:rFonts w:ascii="Cambria" w:hAnsi="Cambria"/>
          <w:sz w:val="16"/>
          <w:szCs w:val="16"/>
          <w:lang w:val="es-PE"/>
        </w:rPr>
        <w:t xml:space="preserve"> 491 U.S. 657 (1989).</w:t>
      </w:r>
    </w:p>
  </w:footnote>
  <w:footnote w:id="94">
    <w:p w14:paraId="3CA10D36" w14:textId="77777777" w:rsidR="008D4A0F" w:rsidRPr="007F2326" w:rsidRDefault="008D4A0F" w:rsidP="007F2326">
      <w:pPr>
        <w:pStyle w:val="ListParagraph"/>
        <w:spacing w:before="0" w:after="0"/>
        <w:rPr>
          <w:szCs w:val="16"/>
          <w:lang w:val="es-MX"/>
        </w:rPr>
      </w:pPr>
      <w:r w:rsidRPr="007F2326">
        <w:rPr>
          <w:rStyle w:val="FootnoteReference"/>
          <w:szCs w:val="16"/>
        </w:rPr>
        <w:footnoteRef/>
      </w:r>
      <w:r w:rsidRPr="007F2326">
        <w:rPr>
          <w:szCs w:val="16"/>
          <w:lang w:val="es-PE"/>
        </w:rPr>
        <w:t xml:space="preserve"> CIDH. </w:t>
      </w:r>
      <w:r w:rsidRPr="007F2326">
        <w:rPr>
          <w:szCs w:val="16"/>
          <w:lang w:val="es-MX"/>
        </w:rPr>
        <w:t>Declaración de Principios sobre Libertad de Expresión, 2000. Principio 10.</w:t>
      </w:r>
    </w:p>
  </w:footnote>
  <w:footnote w:id="95">
    <w:p w14:paraId="0984ABBC" w14:textId="77777777" w:rsidR="008D4A0F" w:rsidRPr="007F2326" w:rsidRDefault="008D4A0F" w:rsidP="007F2326">
      <w:pPr>
        <w:pStyle w:val="ListParagraph"/>
        <w:spacing w:before="0" w:after="0"/>
        <w:rPr>
          <w:szCs w:val="16"/>
          <w:lang w:val="es-MX"/>
        </w:rPr>
      </w:pPr>
      <w:r w:rsidRPr="007F2326">
        <w:rPr>
          <w:rStyle w:val="FootnoteReference"/>
          <w:szCs w:val="16"/>
        </w:rPr>
        <w:footnoteRef/>
      </w:r>
      <w:r w:rsidRPr="007F2326">
        <w:rPr>
          <w:szCs w:val="16"/>
          <w:lang w:val="es-MX"/>
        </w:rPr>
        <w:t xml:space="preserve"> CIDH. Declaración de Principios sobre Libertad de Expresión, 2000. Principio 10.</w:t>
      </w:r>
    </w:p>
  </w:footnote>
  <w:footnote w:id="96">
    <w:p w14:paraId="41BCF9FA" w14:textId="77777777" w:rsidR="008D4A0F" w:rsidRPr="007F2326" w:rsidRDefault="008D4A0F" w:rsidP="007F2326">
      <w:pPr>
        <w:pStyle w:val="FootnoteText"/>
        <w:jc w:val="both"/>
        <w:rPr>
          <w:rFonts w:ascii="Cambria" w:hAnsi="Cambria"/>
          <w:sz w:val="16"/>
          <w:szCs w:val="16"/>
          <w:lang w:val="es-AR"/>
        </w:rPr>
      </w:pPr>
      <w:r w:rsidRPr="007F2326">
        <w:rPr>
          <w:rStyle w:val="FootnoteReference"/>
          <w:rFonts w:ascii="Cambria" w:hAnsi="Cambria"/>
          <w:sz w:val="16"/>
          <w:szCs w:val="16"/>
        </w:rPr>
        <w:footnoteRef/>
      </w:r>
      <w:r w:rsidRPr="007F2326">
        <w:rPr>
          <w:rFonts w:ascii="Cambria" w:hAnsi="Cambria"/>
          <w:sz w:val="16"/>
          <w:szCs w:val="16"/>
          <w:lang w:val="es-AR"/>
        </w:rPr>
        <w:t xml:space="preserve"> CIDH</w:t>
      </w:r>
      <w:r w:rsidRPr="007F2326">
        <w:rPr>
          <w:rFonts w:ascii="Cambria" w:hAnsi="Cambria"/>
          <w:sz w:val="16"/>
          <w:szCs w:val="16"/>
          <w:lang w:val="es-UY"/>
        </w:rPr>
        <w:t xml:space="preserve">. </w:t>
      </w:r>
      <w:r w:rsidRPr="007F2326">
        <w:rPr>
          <w:rFonts w:ascii="Cambria" w:hAnsi="Cambria"/>
          <w:sz w:val="16"/>
          <w:szCs w:val="16"/>
          <w:lang w:val="es-VE"/>
        </w:rPr>
        <w:t xml:space="preserve">Informe Anual 1999. Informe de la Relatoría Especial para la Libertad de Expresión. Capítulo II (Evaluación sobre el estado de la Libertad de Expresión en el Hemisferio). </w:t>
      </w:r>
      <w:r w:rsidRPr="007F2326">
        <w:rPr>
          <w:rFonts w:ascii="Cambria" w:hAnsi="Cambria"/>
          <w:sz w:val="16"/>
          <w:szCs w:val="16"/>
          <w:lang w:val="pt-BR"/>
        </w:rPr>
        <w:t xml:space="preserve">OEA/Ser.L/V/II. 106. Doc. 3. 13 de abril de 2000. Pág. 22; </w:t>
      </w:r>
      <w:hyperlink r:id="rId10" w:history="1">
        <w:r w:rsidRPr="007F2326">
          <w:rPr>
            <w:rStyle w:val="Hyperlink"/>
            <w:rFonts w:ascii="Cambria" w:hAnsi="Cambria"/>
            <w:sz w:val="16"/>
            <w:szCs w:val="16"/>
            <w:u w:val="none"/>
            <w:lang w:val="pt-BR"/>
          </w:rPr>
          <w:t xml:space="preserve">Informe Anual 2002. </w:t>
        </w:r>
        <w:r w:rsidRPr="007F2326">
          <w:rPr>
            <w:rStyle w:val="Hyperlink"/>
            <w:rFonts w:ascii="Cambria" w:hAnsi="Cambria"/>
            <w:sz w:val="16"/>
            <w:szCs w:val="16"/>
            <w:u w:val="none"/>
            <w:lang w:val="es-UY"/>
          </w:rPr>
          <w:t>Informe de la Relatoría Especial para la Libertad de Expresión</w:t>
        </w:r>
      </w:hyperlink>
      <w:r w:rsidRPr="007F2326">
        <w:rPr>
          <w:rFonts w:ascii="Cambria" w:hAnsi="Cambria"/>
          <w:sz w:val="16"/>
          <w:szCs w:val="16"/>
          <w:lang w:val="es-ES"/>
        </w:rPr>
        <w:t xml:space="preserve">. Capítulo V (Leyes de Desacato y Difamación criminal). OEA/Ser.L/V/II.117. Doc. 1 rev. 1. 7 de marzo de 2003. Párr. 18; </w:t>
      </w:r>
      <w:hyperlink r:id="rId11" w:history="1">
        <w:r w:rsidRPr="007F2326">
          <w:rPr>
            <w:rStyle w:val="Hyperlink"/>
            <w:rFonts w:ascii="Cambria" w:hAnsi="Cambria"/>
            <w:sz w:val="16"/>
            <w:szCs w:val="16"/>
            <w:u w:val="none"/>
            <w:lang w:val="es-UY"/>
          </w:rPr>
          <w:t>Informe Anual 2009. Informe de la Relatoría Especial para la Libertad de Expresión</w:t>
        </w:r>
      </w:hyperlink>
      <w:r w:rsidRPr="007F2326">
        <w:rPr>
          <w:rFonts w:ascii="Cambria" w:hAnsi="Cambria"/>
          <w:sz w:val="16"/>
          <w:szCs w:val="16"/>
          <w:lang w:val="es-UY"/>
        </w:rPr>
        <w:t xml:space="preserve">. </w:t>
      </w:r>
      <w:r w:rsidRPr="007F2326">
        <w:rPr>
          <w:rFonts w:ascii="Cambria" w:hAnsi="Cambria"/>
          <w:sz w:val="16"/>
          <w:szCs w:val="16"/>
          <w:lang w:val="es-ES_tradnl"/>
        </w:rPr>
        <w:t xml:space="preserve">Capítulo III (Marco Jurídico Interamericano del Derecho a la Libertad de Expresión). OEA/Ser.L/V/II. Doc. 51. 30 de diciembre de 2009. Párr. 109, </w:t>
      </w:r>
      <w:r w:rsidRPr="007F2326">
        <w:rPr>
          <w:rFonts w:ascii="Cambria" w:hAnsi="Cambria"/>
          <w:sz w:val="16"/>
          <w:szCs w:val="16"/>
          <w:lang w:val="es-AR"/>
        </w:rPr>
        <w:t>e Informe Anual 2013. Informe de la Relatoría Especial para la Libertad de Expresión. Capítulo IV (Libertad de Expresión e Internet). OEA/Ser.L/V/II.149. Doc. 50. 31 de diciembre de 2013. Párr. 72.</w:t>
      </w:r>
    </w:p>
  </w:footnote>
  <w:footnote w:id="97">
    <w:p w14:paraId="09CECBE2" w14:textId="77777777" w:rsidR="008D4A0F" w:rsidRPr="007F2326" w:rsidRDefault="008D4A0F" w:rsidP="007F23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cstheme="minorHAnsi"/>
          <w:sz w:val="16"/>
          <w:szCs w:val="16"/>
          <w:lang w:val="es-AR"/>
        </w:rPr>
        <w:t xml:space="preserve">Por otra parte, la Corte Interamericana en el </w:t>
      </w:r>
      <w:r w:rsidRPr="007F2326">
        <w:rPr>
          <w:rFonts w:ascii="Cambria" w:hAnsi="Cambria" w:cstheme="minorHAnsi"/>
          <w:i/>
          <w:sz w:val="16"/>
          <w:szCs w:val="16"/>
          <w:lang w:val="es-AR"/>
        </w:rPr>
        <w:t>caso</w:t>
      </w:r>
      <w:r w:rsidRPr="007F2326">
        <w:rPr>
          <w:rFonts w:ascii="Cambria" w:hAnsi="Cambria" w:cstheme="minorHAnsi"/>
          <w:sz w:val="16"/>
          <w:szCs w:val="16"/>
          <w:lang w:val="es-AR"/>
        </w:rPr>
        <w:t xml:space="preserve"> </w:t>
      </w:r>
      <w:r w:rsidRPr="007F2326">
        <w:rPr>
          <w:rFonts w:ascii="Cambria" w:hAnsi="Cambria" w:cstheme="minorHAnsi"/>
          <w:i/>
          <w:iCs/>
          <w:sz w:val="16"/>
          <w:szCs w:val="16"/>
          <w:lang w:val="es-AR"/>
        </w:rPr>
        <w:t xml:space="preserve">Herrera Ulloa Vs. Costa Rica </w:t>
      </w:r>
      <w:r w:rsidRPr="007F2326">
        <w:rPr>
          <w:rFonts w:ascii="Cambria" w:hAnsi="Cambria" w:cstheme="minorHAnsi"/>
          <w:sz w:val="16"/>
          <w:szCs w:val="16"/>
          <w:lang w:val="es-AR"/>
        </w:rPr>
        <w:t xml:space="preserve">explicó que, exigir a quien se expresa que demuestre judicialmente la veracidad de los hechos que sustentan sus afirmaciones, y correlativamente, no admitir la </w:t>
      </w:r>
      <w:r w:rsidRPr="007F2326">
        <w:rPr>
          <w:rFonts w:ascii="Cambria" w:hAnsi="Cambria" w:cstheme="minorHAnsi"/>
          <w:i/>
          <w:iCs/>
          <w:sz w:val="16"/>
          <w:szCs w:val="16"/>
          <w:lang w:val="es-AR"/>
        </w:rPr>
        <w:t xml:space="preserve">exceptio veritatis </w:t>
      </w:r>
      <w:r w:rsidRPr="007F2326">
        <w:rPr>
          <w:rFonts w:ascii="Cambria" w:hAnsi="Cambria" w:cstheme="minorHAnsi"/>
          <w:sz w:val="16"/>
          <w:szCs w:val="16"/>
          <w:lang w:val="es-AR"/>
        </w:rPr>
        <w:t xml:space="preserve">a su favor, “entraña una limitación excesiva a la libertad de expresión, de manera inconsecuente con lo previsto en el artículo 13.2 de la Convención [Americana]”. En todo caso, a este respecto, como acaba de explicarse, si bien la </w:t>
      </w:r>
      <w:r w:rsidRPr="007F2326">
        <w:rPr>
          <w:rFonts w:ascii="Cambria" w:hAnsi="Cambria" w:cstheme="minorHAnsi"/>
          <w:i/>
          <w:iCs/>
          <w:sz w:val="16"/>
          <w:szCs w:val="16"/>
          <w:lang w:val="es-AR"/>
        </w:rPr>
        <w:t xml:space="preserve">exceptio veritatis </w:t>
      </w:r>
      <w:r w:rsidRPr="007F2326">
        <w:rPr>
          <w:rFonts w:ascii="Cambria" w:hAnsi="Cambria" w:cstheme="minorHAnsi"/>
          <w:sz w:val="16"/>
          <w:szCs w:val="16"/>
          <w:lang w:val="es-AR"/>
        </w:rPr>
        <w:t>debe ser una causal justificativa de cualquier tipo de responsabilidad, lo cierto es que no puede ser la única causal de exclusión pues, como se vio</w:t>
      </w:r>
      <w:r w:rsidRPr="007F2326">
        <w:rPr>
          <w:rFonts w:ascii="Cambria" w:hAnsi="Cambria" w:cstheme="minorHAnsi"/>
          <w:b/>
          <w:sz w:val="16"/>
          <w:szCs w:val="16"/>
          <w:lang w:val="es-AR"/>
        </w:rPr>
        <w:t xml:space="preserve">, </w:t>
      </w:r>
      <w:r w:rsidRPr="007F2326">
        <w:rPr>
          <w:rFonts w:ascii="Cambria" w:hAnsi="Cambria" w:cstheme="minorHAnsi"/>
          <w:sz w:val="16"/>
          <w:szCs w:val="16"/>
          <w:lang w:val="es-AR"/>
        </w:rPr>
        <w:t xml:space="preserve">basta con que las aseveraciones cuestionadas resulten razonables, para excluir la responsabilidad frente a afirmaciones que revisten un interés público actual.  </w:t>
      </w:r>
      <w:r w:rsidRPr="007F2326">
        <w:rPr>
          <w:rFonts w:ascii="Cambria" w:hAnsi="Cambria"/>
          <w:sz w:val="16"/>
          <w:szCs w:val="16"/>
          <w:lang w:val="es-AR"/>
        </w:rPr>
        <w:t>CIDH</w:t>
      </w:r>
      <w:r w:rsidRPr="007F2326">
        <w:rPr>
          <w:rFonts w:ascii="Cambria" w:hAnsi="Cambria"/>
          <w:sz w:val="16"/>
          <w:szCs w:val="16"/>
          <w:lang w:val="es-UY"/>
        </w:rPr>
        <w:t xml:space="preserve">. </w:t>
      </w:r>
      <w:hyperlink r:id="rId12" w:history="1">
        <w:r w:rsidRPr="007F2326">
          <w:rPr>
            <w:rStyle w:val="Hyperlink"/>
            <w:rFonts w:ascii="Cambria" w:hAnsi="Cambria"/>
            <w:sz w:val="16"/>
            <w:szCs w:val="16"/>
            <w:u w:val="none"/>
            <w:lang w:val="es-UY"/>
          </w:rPr>
          <w:t>Informe de la Relatoría Especial para la Libertad de Expresión</w:t>
        </w:r>
      </w:hyperlink>
      <w:r w:rsidRPr="007F2326">
        <w:rPr>
          <w:rFonts w:ascii="Cambria" w:hAnsi="Cambria"/>
          <w:sz w:val="16"/>
          <w:szCs w:val="16"/>
          <w:lang w:val="es-UY"/>
        </w:rPr>
        <w:t xml:space="preserve">. </w:t>
      </w:r>
      <w:r w:rsidRPr="007F2326">
        <w:rPr>
          <w:rFonts w:ascii="Cambria" w:hAnsi="Cambria"/>
          <w:sz w:val="16"/>
          <w:szCs w:val="16"/>
          <w:lang w:val="es-ES_tradnl"/>
        </w:rPr>
        <w:t xml:space="preserve">Marco Jurídico Interamericano del Derecho a la Libertad de Expresión Capítulo III. </w:t>
      </w:r>
      <w:r w:rsidRPr="007F2326">
        <w:rPr>
          <w:rFonts w:ascii="Cambria" w:hAnsi="Cambria"/>
          <w:sz w:val="16"/>
          <w:szCs w:val="16"/>
          <w:lang w:val="es-VE"/>
        </w:rPr>
        <w:t xml:space="preserve">OEA/Ser.L/V/II CIDH/RELE/INF. 2/09. </w:t>
      </w:r>
      <w:r w:rsidRPr="007F2326">
        <w:rPr>
          <w:rFonts w:ascii="Cambria" w:hAnsi="Cambria"/>
          <w:sz w:val="16"/>
          <w:szCs w:val="16"/>
          <w:lang w:val="es-ES_tradnl"/>
        </w:rPr>
        <w:t xml:space="preserve">30 de diciembre de 2009. Párr. </w:t>
      </w:r>
      <w:r w:rsidRPr="007F2326">
        <w:rPr>
          <w:rFonts w:ascii="Cambria" w:hAnsi="Cambria"/>
          <w:sz w:val="16"/>
          <w:szCs w:val="16"/>
          <w:lang w:val="es-ES"/>
        </w:rPr>
        <w:t xml:space="preserve">109. Véase también, </w:t>
      </w:r>
      <w:r w:rsidRPr="007F2326">
        <w:rPr>
          <w:rFonts w:ascii="Cambria" w:hAnsi="Cambria"/>
          <w:sz w:val="16"/>
          <w:szCs w:val="16"/>
          <w:lang w:val="es-MX"/>
        </w:rPr>
        <w:t xml:space="preserve">Corte IDH. </w:t>
      </w:r>
      <w:r w:rsidRPr="007F2326">
        <w:rPr>
          <w:rFonts w:ascii="Cambria" w:hAnsi="Cambria"/>
          <w:i/>
          <w:sz w:val="16"/>
          <w:szCs w:val="16"/>
          <w:lang w:val="es-MX"/>
        </w:rPr>
        <w:t xml:space="preserve">Caso Kimel Vs. </w:t>
      </w:r>
      <w:r w:rsidRPr="007F2326">
        <w:rPr>
          <w:rFonts w:ascii="Cambria" w:hAnsi="Cambria"/>
          <w:i/>
          <w:sz w:val="16"/>
          <w:szCs w:val="16"/>
          <w:lang w:val="es-VE"/>
        </w:rPr>
        <w:t>Argentina, supra.</w:t>
      </w:r>
      <w:r w:rsidRPr="007F2326">
        <w:rPr>
          <w:rFonts w:ascii="Cambria" w:hAnsi="Cambria"/>
          <w:sz w:val="16"/>
          <w:szCs w:val="16"/>
          <w:lang w:val="es-PE"/>
        </w:rPr>
        <w:t xml:space="preserve"> Párr. 78, y </w:t>
      </w:r>
      <w:r w:rsidRPr="007F2326">
        <w:rPr>
          <w:rFonts w:ascii="Cambria" w:hAnsi="Cambria" w:cstheme="minorHAnsi"/>
          <w:i/>
          <w:sz w:val="16"/>
          <w:szCs w:val="16"/>
          <w:lang w:val="es-AR"/>
        </w:rPr>
        <w:t>Caso Tristán Donoso Vs. Panamá</w:t>
      </w:r>
      <w:r w:rsidRPr="007F2326">
        <w:rPr>
          <w:rFonts w:ascii="Cambria" w:hAnsi="Cambria" w:cstheme="minorHAnsi"/>
          <w:sz w:val="16"/>
          <w:szCs w:val="16"/>
          <w:lang w:val="es-AR"/>
        </w:rPr>
        <w:t xml:space="preserve">, </w:t>
      </w:r>
      <w:r w:rsidRPr="007F2326">
        <w:rPr>
          <w:rFonts w:ascii="Cambria" w:hAnsi="Cambria" w:cstheme="minorHAnsi"/>
          <w:i/>
          <w:sz w:val="16"/>
          <w:szCs w:val="16"/>
          <w:lang w:val="es-AR"/>
        </w:rPr>
        <w:t>supra</w:t>
      </w:r>
      <w:r w:rsidRPr="007F2326">
        <w:rPr>
          <w:rFonts w:ascii="Cambria" w:hAnsi="Cambria" w:cstheme="minorHAnsi"/>
          <w:sz w:val="16"/>
          <w:szCs w:val="16"/>
          <w:lang w:val="es-AR"/>
        </w:rPr>
        <w:t>. Párr. 120.</w:t>
      </w:r>
    </w:p>
  </w:footnote>
  <w:footnote w:id="98">
    <w:p w14:paraId="5D704B55"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AR"/>
        </w:rPr>
        <w:t>CIDH</w:t>
      </w:r>
      <w:r w:rsidRPr="007F2326">
        <w:rPr>
          <w:rFonts w:ascii="Cambria" w:hAnsi="Cambria"/>
          <w:sz w:val="16"/>
          <w:szCs w:val="16"/>
          <w:lang w:val="es-UY"/>
        </w:rPr>
        <w:t xml:space="preserve">. </w:t>
      </w:r>
      <w:hyperlink r:id="rId13" w:history="1">
        <w:r w:rsidRPr="007F2326">
          <w:rPr>
            <w:rStyle w:val="Hyperlink"/>
            <w:rFonts w:ascii="Cambria" w:hAnsi="Cambria"/>
            <w:sz w:val="16"/>
            <w:szCs w:val="16"/>
            <w:u w:val="none"/>
            <w:lang w:val="es-UY"/>
          </w:rPr>
          <w:t>Informe de la Relatoría Especial para la Libertad de Expresión</w:t>
        </w:r>
      </w:hyperlink>
      <w:r w:rsidRPr="007F2326">
        <w:rPr>
          <w:rFonts w:ascii="Cambria" w:hAnsi="Cambria"/>
          <w:sz w:val="16"/>
          <w:szCs w:val="16"/>
          <w:lang w:val="es-UY"/>
        </w:rPr>
        <w:t xml:space="preserve">. </w:t>
      </w:r>
      <w:r w:rsidRPr="007F2326">
        <w:rPr>
          <w:rFonts w:ascii="Cambria" w:hAnsi="Cambria"/>
          <w:sz w:val="16"/>
          <w:szCs w:val="16"/>
          <w:lang w:val="es-ES_tradnl"/>
        </w:rPr>
        <w:t xml:space="preserve">Marco Jurídico Interamericano del Derecho a la Libertad de Expresión Capítulo III. </w:t>
      </w:r>
      <w:r w:rsidRPr="007F2326">
        <w:rPr>
          <w:rFonts w:ascii="Cambria" w:hAnsi="Cambria"/>
          <w:sz w:val="16"/>
          <w:szCs w:val="16"/>
          <w:lang w:val="es-VE"/>
        </w:rPr>
        <w:t xml:space="preserve">OEA/Ser.L/V/II CIDH/RELE/INF. 2/09. </w:t>
      </w:r>
      <w:r w:rsidRPr="007F2326">
        <w:rPr>
          <w:rFonts w:ascii="Cambria" w:hAnsi="Cambria"/>
          <w:sz w:val="16"/>
          <w:szCs w:val="16"/>
          <w:lang w:val="es-ES_tradnl"/>
        </w:rPr>
        <w:t xml:space="preserve">30 de diciembre de 2009. Párr. </w:t>
      </w:r>
      <w:r w:rsidRPr="007F2326">
        <w:rPr>
          <w:rFonts w:ascii="Cambria" w:hAnsi="Cambria"/>
          <w:sz w:val="16"/>
          <w:szCs w:val="16"/>
          <w:lang w:val="es-ES"/>
        </w:rPr>
        <w:t xml:space="preserve">109. </w:t>
      </w:r>
      <w:r w:rsidRPr="007F2326">
        <w:rPr>
          <w:rFonts w:ascii="Cambria" w:hAnsi="Cambria"/>
          <w:sz w:val="16"/>
          <w:szCs w:val="16"/>
          <w:lang w:val="es-PE"/>
        </w:rPr>
        <w:t xml:space="preserve">Corte IDH. </w:t>
      </w:r>
      <w:r w:rsidRPr="007F2326">
        <w:rPr>
          <w:rFonts w:ascii="Cambria" w:hAnsi="Cambria" w:cstheme="minorHAnsi"/>
          <w:i/>
          <w:sz w:val="16"/>
          <w:szCs w:val="16"/>
          <w:lang w:val="es-AR"/>
        </w:rPr>
        <w:t>Caso Tristán Donoso Vs. Panamá</w:t>
      </w:r>
      <w:r w:rsidRPr="007F2326">
        <w:rPr>
          <w:rFonts w:ascii="Cambria" w:hAnsi="Cambria" w:cstheme="minorHAnsi"/>
          <w:sz w:val="16"/>
          <w:szCs w:val="16"/>
          <w:lang w:val="es-AR"/>
        </w:rPr>
        <w:t xml:space="preserve">, </w:t>
      </w:r>
      <w:r w:rsidRPr="007F2326">
        <w:rPr>
          <w:rFonts w:ascii="Cambria" w:hAnsi="Cambria" w:cstheme="minorHAnsi"/>
          <w:i/>
          <w:sz w:val="16"/>
          <w:szCs w:val="16"/>
          <w:lang w:val="es-AR"/>
        </w:rPr>
        <w:t>supra</w:t>
      </w:r>
      <w:r w:rsidRPr="007F2326">
        <w:rPr>
          <w:rFonts w:ascii="Cambria" w:hAnsi="Cambria" w:cstheme="minorHAnsi"/>
          <w:sz w:val="16"/>
          <w:szCs w:val="16"/>
          <w:lang w:val="es-AR"/>
        </w:rPr>
        <w:t>. Párrs. 125 a 126.</w:t>
      </w:r>
    </w:p>
  </w:footnote>
  <w:footnote w:id="99">
    <w:p w14:paraId="3806D87E" w14:textId="77777777" w:rsidR="008D4A0F" w:rsidRPr="007F2326" w:rsidRDefault="008D4A0F" w:rsidP="007F2326">
      <w:pPr>
        <w:pStyle w:val="FootnoteText"/>
        <w:tabs>
          <w:tab w:val="left" w:pos="567"/>
        </w:tabs>
        <w:jc w:val="both"/>
        <w:rPr>
          <w:rFonts w:ascii="Cambria" w:hAnsi="Cambria" w:cs="Times New Roman"/>
          <w:spacing w:val="-2"/>
          <w:sz w:val="16"/>
          <w:szCs w:val="16"/>
          <w:lang w:val="es-PE"/>
        </w:rPr>
      </w:pPr>
      <w:r w:rsidRPr="007F2326">
        <w:rPr>
          <w:rStyle w:val="FootnoteReference"/>
          <w:rFonts w:ascii="Cambria" w:hAnsi="Cambria" w:cs="Times New Roman"/>
          <w:spacing w:val="-2"/>
          <w:sz w:val="16"/>
          <w:szCs w:val="16"/>
        </w:rPr>
        <w:footnoteRef/>
      </w:r>
      <w:r w:rsidRPr="007F2326">
        <w:rPr>
          <w:rFonts w:ascii="Cambria" w:hAnsi="Cambria"/>
          <w:spacing w:val="-2"/>
          <w:sz w:val="16"/>
          <w:szCs w:val="16"/>
          <w:lang w:val="es-PE"/>
        </w:rPr>
        <w:t xml:space="preserve"> </w:t>
      </w:r>
      <w:r w:rsidRPr="007F2326">
        <w:rPr>
          <w:rFonts w:ascii="Cambria" w:hAnsi="Cambria"/>
          <w:sz w:val="16"/>
          <w:szCs w:val="16"/>
          <w:lang w:val="es-VE"/>
        </w:rPr>
        <w:t xml:space="preserve">Corte IDH. </w:t>
      </w:r>
      <w:r w:rsidRPr="007F2326">
        <w:rPr>
          <w:rFonts w:ascii="Cambria" w:hAnsi="Cambria"/>
          <w:i/>
          <w:iCs/>
          <w:spacing w:val="-2"/>
          <w:sz w:val="16"/>
          <w:szCs w:val="16"/>
          <w:lang w:val="es-PE"/>
        </w:rPr>
        <w:t xml:space="preserve">La Expresión "Leyes" en el Artículo 30 de la Convención Americana sobre Derechos Humanos. </w:t>
      </w:r>
      <w:r w:rsidRPr="007F2326">
        <w:rPr>
          <w:rFonts w:ascii="Cambria" w:hAnsi="Cambria"/>
          <w:spacing w:val="-2"/>
          <w:sz w:val="16"/>
          <w:szCs w:val="16"/>
          <w:lang w:val="es-PE"/>
        </w:rPr>
        <w:t xml:space="preserve">Opinión Consultiva OC-6/86 de 9 de mayo de 1986. Serie A No. 6. Párrs. 35 y 37, y </w:t>
      </w:r>
      <w:r w:rsidRPr="007F2326">
        <w:rPr>
          <w:rFonts w:ascii="Cambria" w:hAnsi="Cambria"/>
          <w:i/>
          <w:sz w:val="16"/>
          <w:szCs w:val="16"/>
          <w:lang w:val="es-ES"/>
        </w:rPr>
        <w:t xml:space="preserve">Caso Mémoli Vs. Argentina, supra. </w:t>
      </w:r>
      <w:r w:rsidRPr="007F2326">
        <w:rPr>
          <w:rFonts w:ascii="Cambria" w:hAnsi="Cambria"/>
          <w:color w:val="auto"/>
          <w:sz w:val="16"/>
          <w:szCs w:val="16"/>
          <w:lang w:val="es-PE"/>
        </w:rPr>
        <w:t xml:space="preserve">Párr. </w:t>
      </w:r>
      <w:r w:rsidRPr="007F2326">
        <w:rPr>
          <w:rFonts w:ascii="Cambria" w:hAnsi="Cambria"/>
          <w:sz w:val="16"/>
          <w:szCs w:val="16"/>
          <w:lang w:val="es-PE"/>
        </w:rPr>
        <w:t>130.</w:t>
      </w:r>
    </w:p>
  </w:footnote>
  <w:footnote w:id="100">
    <w:p w14:paraId="79AC20BA" w14:textId="77777777" w:rsidR="008D4A0F" w:rsidRPr="007F2326" w:rsidRDefault="008D4A0F" w:rsidP="007F2326">
      <w:pPr>
        <w:pStyle w:val="FootnoteText"/>
        <w:tabs>
          <w:tab w:val="left" w:pos="426"/>
          <w:tab w:val="left" w:pos="567"/>
        </w:tabs>
        <w:jc w:val="both"/>
        <w:rPr>
          <w:rFonts w:ascii="Cambria" w:hAnsi="Cambria"/>
          <w:spacing w:val="-2"/>
          <w:sz w:val="16"/>
          <w:szCs w:val="16"/>
          <w:lang w:val="es-PE"/>
        </w:rPr>
      </w:pPr>
      <w:r w:rsidRPr="007F2326">
        <w:rPr>
          <w:rStyle w:val="FootnoteReference"/>
          <w:rFonts w:ascii="Cambria" w:hAnsi="Cambria" w:cs="Times New Roman"/>
          <w:spacing w:val="-2"/>
          <w:sz w:val="16"/>
          <w:szCs w:val="16"/>
        </w:rPr>
        <w:footnoteRef/>
      </w:r>
      <w:r w:rsidRPr="007F2326">
        <w:rPr>
          <w:rFonts w:ascii="Cambria" w:hAnsi="Cambria"/>
          <w:spacing w:val="-2"/>
          <w:sz w:val="16"/>
          <w:szCs w:val="16"/>
          <w:lang w:val="es-PE"/>
        </w:rPr>
        <w:t xml:space="preserve"> </w:t>
      </w:r>
      <w:r w:rsidRPr="007F2326">
        <w:rPr>
          <w:rFonts w:ascii="Cambria" w:hAnsi="Cambria"/>
          <w:sz w:val="16"/>
          <w:szCs w:val="16"/>
          <w:lang w:val="es-VE"/>
        </w:rPr>
        <w:t xml:space="preserve">Corte IDH. </w:t>
      </w:r>
      <w:r w:rsidRPr="007F2326">
        <w:rPr>
          <w:rFonts w:ascii="Cambria" w:hAnsi="Cambria"/>
          <w:i/>
          <w:iCs/>
          <w:spacing w:val="-2"/>
          <w:sz w:val="16"/>
          <w:szCs w:val="16"/>
          <w:lang w:val="es-CO"/>
        </w:rPr>
        <w:t>Caso Tristán Donoso</w:t>
      </w:r>
      <w:r w:rsidRPr="007F2326">
        <w:rPr>
          <w:rFonts w:ascii="Cambria" w:hAnsi="Cambria"/>
          <w:spacing w:val="-2"/>
          <w:sz w:val="16"/>
          <w:szCs w:val="16"/>
          <w:lang w:val="es-CO"/>
        </w:rPr>
        <w:t xml:space="preserve"> </w:t>
      </w:r>
      <w:r w:rsidRPr="007F2326">
        <w:rPr>
          <w:rFonts w:ascii="Cambria" w:hAnsi="Cambria"/>
          <w:i/>
          <w:iCs/>
          <w:spacing w:val="-2"/>
          <w:sz w:val="16"/>
          <w:szCs w:val="16"/>
          <w:lang w:val="es-CO"/>
        </w:rPr>
        <w:t>Vs. Panamá, supra</w:t>
      </w:r>
      <w:r w:rsidRPr="007F2326">
        <w:rPr>
          <w:rFonts w:ascii="Cambria" w:hAnsi="Cambria"/>
          <w:spacing w:val="-2"/>
          <w:sz w:val="16"/>
          <w:szCs w:val="16"/>
          <w:lang w:val="es-CO"/>
        </w:rPr>
        <w:t>. Párr. 56</w:t>
      </w:r>
      <w:r w:rsidRPr="007F2326">
        <w:rPr>
          <w:rFonts w:ascii="Cambria" w:hAnsi="Cambria"/>
          <w:spacing w:val="-2"/>
          <w:sz w:val="16"/>
          <w:szCs w:val="16"/>
          <w:lang w:val="es-PE"/>
        </w:rPr>
        <w:t xml:space="preserve">, y </w:t>
      </w:r>
      <w:r w:rsidRPr="007F2326">
        <w:rPr>
          <w:rFonts w:ascii="Cambria" w:hAnsi="Cambria"/>
          <w:i/>
          <w:color w:val="auto"/>
          <w:sz w:val="16"/>
          <w:szCs w:val="16"/>
          <w:lang w:val="es-ES"/>
        </w:rPr>
        <w:t xml:space="preserve">Caso </w:t>
      </w:r>
      <w:r w:rsidRPr="007F2326">
        <w:rPr>
          <w:rFonts w:ascii="Cambria" w:hAnsi="Cambria"/>
          <w:i/>
          <w:sz w:val="16"/>
          <w:szCs w:val="16"/>
          <w:lang w:val="es-ES"/>
        </w:rPr>
        <w:t xml:space="preserve">Mémoli Vs. Argentina, supra. </w:t>
      </w:r>
      <w:r w:rsidRPr="007F2326">
        <w:rPr>
          <w:rFonts w:ascii="Cambria" w:hAnsi="Cambria"/>
          <w:color w:val="auto"/>
          <w:sz w:val="16"/>
          <w:szCs w:val="16"/>
          <w:lang w:val="es-PE"/>
        </w:rPr>
        <w:t xml:space="preserve">Párr. </w:t>
      </w:r>
      <w:r w:rsidRPr="007F2326">
        <w:rPr>
          <w:rFonts w:ascii="Cambria" w:hAnsi="Cambria"/>
          <w:sz w:val="16"/>
          <w:szCs w:val="16"/>
          <w:lang w:val="es-PE"/>
        </w:rPr>
        <w:t>130.</w:t>
      </w:r>
    </w:p>
  </w:footnote>
  <w:footnote w:id="101">
    <w:p w14:paraId="5B70804C" w14:textId="77777777" w:rsidR="008D4A0F" w:rsidRPr="007F2326" w:rsidRDefault="008D4A0F" w:rsidP="007F2326">
      <w:pPr>
        <w:jc w:val="both"/>
        <w:rPr>
          <w:rFonts w:ascii="Cambria" w:hAnsi="Cambria"/>
          <w:sz w:val="16"/>
          <w:szCs w:val="16"/>
          <w:lang w:val="es-PE"/>
        </w:rPr>
      </w:pPr>
      <w:r w:rsidRPr="007F2326">
        <w:rPr>
          <w:rStyle w:val="FootnoteReference"/>
          <w:rFonts w:ascii="Cambria" w:hAnsi="Cambria"/>
          <w:sz w:val="16"/>
          <w:szCs w:val="16"/>
          <w:lang w:val="es-CO"/>
        </w:rPr>
        <w:footnoteRef/>
      </w:r>
      <w:r w:rsidRPr="007F2326">
        <w:rPr>
          <w:rFonts w:ascii="Cambria" w:hAnsi="Cambria"/>
          <w:sz w:val="16"/>
          <w:szCs w:val="16"/>
          <w:lang w:val="es-MX"/>
        </w:rPr>
        <w:t xml:space="preserve"> </w:t>
      </w:r>
      <w:r w:rsidRPr="007F2326">
        <w:rPr>
          <w:rFonts w:ascii="Cambria" w:hAnsi="Cambria"/>
          <w:sz w:val="16"/>
          <w:szCs w:val="16"/>
          <w:lang w:val="es-VE"/>
        </w:rPr>
        <w:t xml:space="preserve">CIDH. Informe No. 4/17. Caso 12.663. Fondo. Tulio Alberto Álvarez. Venezuela. 26 de enero de 2017. Párr. 65. </w:t>
      </w:r>
    </w:p>
  </w:footnote>
  <w:footnote w:id="102">
    <w:p w14:paraId="05F6BFDA" w14:textId="77777777" w:rsidR="008D4A0F" w:rsidRPr="007F2326" w:rsidRDefault="008D4A0F" w:rsidP="007F2326">
      <w:pPr>
        <w:jc w:val="both"/>
        <w:rPr>
          <w:rFonts w:ascii="Cambria" w:hAnsi="Cambria"/>
          <w:sz w:val="16"/>
          <w:szCs w:val="16"/>
          <w:lang w:val="pt-BR"/>
        </w:rPr>
      </w:pPr>
      <w:r w:rsidRPr="007F2326">
        <w:rPr>
          <w:rStyle w:val="FootnoteReference"/>
          <w:rFonts w:ascii="Cambria" w:hAnsi="Cambria"/>
          <w:sz w:val="16"/>
          <w:szCs w:val="16"/>
          <w:lang w:val="es-CO"/>
        </w:rPr>
        <w:footnoteRef/>
      </w:r>
      <w:r w:rsidRPr="007F2326">
        <w:rPr>
          <w:rFonts w:ascii="Cambria" w:hAnsi="Cambria"/>
          <w:sz w:val="16"/>
          <w:szCs w:val="16"/>
          <w:lang w:val="es-MX"/>
        </w:rPr>
        <w:t xml:space="preserve"> </w:t>
      </w:r>
      <w:r w:rsidRPr="007F2326">
        <w:rPr>
          <w:rFonts w:ascii="Cambria" w:hAnsi="Cambria"/>
          <w:sz w:val="16"/>
          <w:szCs w:val="16"/>
          <w:lang w:val="es-VE"/>
        </w:rPr>
        <w:t xml:space="preserve">CIDH. Informe No. 4/17. Caso 12.663. Fondo. Tulio Alberto Álvarez. Venezuela. 26 de enero de 2017. Párr. 65. </w:t>
      </w:r>
      <w:r w:rsidRPr="007F2326">
        <w:rPr>
          <w:rStyle w:val="Hyperlink"/>
          <w:rFonts w:ascii="Cambria" w:hAnsi="Cambria"/>
          <w:sz w:val="16"/>
          <w:szCs w:val="16"/>
          <w:u w:val="none"/>
          <w:lang w:val="es-VE"/>
        </w:rPr>
        <w:t xml:space="preserve">Véase también, Corte IDH. </w:t>
      </w:r>
      <w:r w:rsidRPr="007F2326">
        <w:rPr>
          <w:rStyle w:val="Hyperlink"/>
          <w:rFonts w:ascii="Cambria" w:hAnsi="Cambria"/>
          <w:i/>
          <w:sz w:val="16"/>
          <w:szCs w:val="16"/>
          <w:u w:val="none"/>
          <w:lang w:val="es-VE"/>
        </w:rPr>
        <w:t xml:space="preserve">Caso Kimel Vs. </w:t>
      </w:r>
      <w:r w:rsidRPr="007F2326">
        <w:rPr>
          <w:rStyle w:val="Hyperlink"/>
          <w:rFonts w:ascii="Cambria" w:hAnsi="Cambria"/>
          <w:i/>
          <w:sz w:val="16"/>
          <w:szCs w:val="16"/>
          <w:u w:val="none"/>
          <w:lang w:val="pt-BR"/>
        </w:rPr>
        <w:t xml:space="preserve">Argentina, supra. </w:t>
      </w:r>
      <w:r w:rsidRPr="007F2326">
        <w:rPr>
          <w:rStyle w:val="Hyperlink"/>
          <w:rFonts w:ascii="Cambria" w:hAnsi="Cambria"/>
          <w:sz w:val="16"/>
          <w:szCs w:val="16"/>
          <w:u w:val="none"/>
          <w:lang w:val="pt-BR"/>
        </w:rPr>
        <w:t>Párr 63.</w:t>
      </w:r>
    </w:p>
  </w:footnote>
  <w:footnote w:id="103">
    <w:p w14:paraId="662AB24F" w14:textId="77777777" w:rsidR="008D4A0F" w:rsidRPr="007F2326" w:rsidRDefault="008D4A0F" w:rsidP="007F2326">
      <w:pPr>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pt-BR"/>
        </w:rPr>
        <w:t xml:space="preserve"> </w:t>
      </w:r>
      <w:r w:rsidRPr="007F2326">
        <w:rPr>
          <w:rStyle w:val="Hyperlink"/>
          <w:rFonts w:ascii="Cambria" w:hAnsi="Cambria"/>
          <w:sz w:val="16"/>
          <w:szCs w:val="16"/>
          <w:u w:val="none"/>
          <w:lang w:val="pt-BR"/>
        </w:rPr>
        <w:t xml:space="preserve">Corte IDH. </w:t>
      </w:r>
      <w:r w:rsidRPr="007F2326">
        <w:rPr>
          <w:rFonts w:ascii="Cambria" w:hAnsi="Cambria"/>
          <w:i/>
          <w:sz w:val="16"/>
          <w:szCs w:val="16"/>
          <w:lang w:val="pt-BR"/>
        </w:rPr>
        <w:t>Caso Ricardo Canese</w:t>
      </w:r>
      <w:r w:rsidRPr="007F2326">
        <w:rPr>
          <w:rFonts w:ascii="Cambria" w:hAnsi="Cambria"/>
          <w:sz w:val="16"/>
          <w:szCs w:val="16"/>
          <w:lang w:val="pt-BR"/>
        </w:rPr>
        <w:t xml:space="preserve"> Vs. Paraguay, </w:t>
      </w:r>
      <w:r w:rsidRPr="007F2326">
        <w:rPr>
          <w:rFonts w:ascii="Cambria" w:hAnsi="Cambria"/>
          <w:i/>
          <w:sz w:val="16"/>
          <w:szCs w:val="16"/>
          <w:lang w:val="pt-BR"/>
        </w:rPr>
        <w:t>supra</w:t>
      </w:r>
      <w:r w:rsidRPr="007F2326">
        <w:rPr>
          <w:rFonts w:ascii="Cambria" w:hAnsi="Cambria"/>
          <w:sz w:val="16"/>
          <w:szCs w:val="16"/>
          <w:lang w:val="pt-BR"/>
        </w:rPr>
        <w:t xml:space="preserve">. </w:t>
      </w:r>
      <w:r w:rsidRPr="007F2326">
        <w:rPr>
          <w:rFonts w:ascii="Cambria" w:hAnsi="Cambria"/>
          <w:sz w:val="16"/>
          <w:szCs w:val="16"/>
          <w:lang w:val="es-PE"/>
        </w:rPr>
        <w:t xml:space="preserve">Párr. 124, y </w:t>
      </w:r>
      <w:r w:rsidRPr="007F2326">
        <w:rPr>
          <w:rStyle w:val="Hyperlink"/>
          <w:rFonts w:ascii="Cambria" w:hAnsi="Cambria"/>
          <w:i/>
          <w:sz w:val="16"/>
          <w:szCs w:val="16"/>
          <w:u w:val="none"/>
          <w:lang w:val="es-VE"/>
        </w:rPr>
        <w:t xml:space="preserve">Caso Kimel Vs. Argentina, supra. </w:t>
      </w:r>
      <w:r w:rsidRPr="007F2326">
        <w:rPr>
          <w:rStyle w:val="Hyperlink"/>
          <w:rFonts w:ascii="Cambria" w:hAnsi="Cambria"/>
          <w:sz w:val="16"/>
          <w:szCs w:val="16"/>
          <w:u w:val="none"/>
          <w:lang w:val="es-VE"/>
        </w:rPr>
        <w:t>Párr 63.</w:t>
      </w:r>
    </w:p>
  </w:footnote>
  <w:footnote w:id="104">
    <w:p w14:paraId="0F076FAC" w14:textId="77777777" w:rsidR="008D4A0F" w:rsidRPr="007F2326" w:rsidRDefault="008D4A0F" w:rsidP="007F2326">
      <w:pPr>
        <w:pStyle w:val="FootnoteText"/>
        <w:jc w:val="both"/>
        <w:rPr>
          <w:rFonts w:ascii="Cambria" w:hAnsi="Cambria"/>
          <w:sz w:val="16"/>
          <w:szCs w:val="16"/>
          <w:lang w:val="es-VE"/>
        </w:rPr>
      </w:pPr>
      <w:r w:rsidRPr="007F2326">
        <w:rPr>
          <w:rStyle w:val="FootnoteReference"/>
          <w:rFonts w:ascii="Cambria" w:hAnsi="Cambria"/>
          <w:sz w:val="16"/>
          <w:szCs w:val="16"/>
        </w:rPr>
        <w:footnoteRef/>
      </w:r>
      <w:r w:rsidRPr="007F2326">
        <w:rPr>
          <w:rFonts w:ascii="Cambria" w:hAnsi="Cambria"/>
          <w:sz w:val="16"/>
          <w:szCs w:val="16"/>
          <w:lang w:val="es-PE"/>
        </w:rPr>
        <w:t xml:space="preserve"> Corte Suprema de los Estados Unidos de Norteamérica. </w:t>
      </w:r>
      <w:r w:rsidRPr="007F2326">
        <w:rPr>
          <w:rFonts w:ascii="Cambria" w:hAnsi="Cambria"/>
          <w:i/>
          <w:iCs/>
          <w:sz w:val="16"/>
          <w:szCs w:val="16"/>
          <w:lang w:val="es-VE"/>
        </w:rPr>
        <w:t>Ashton Vs. Kentucky</w:t>
      </w:r>
      <w:r w:rsidRPr="007F2326">
        <w:rPr>
          <w:rFonts w:ascii="Cambria" w:hAnsi="Cambria"/>
          <w:sz w:val="16"/>
          <w:szCs w:val="16"/>
          <w:lang w:val="es-VE"/>
        </w:rPr>
        <w:t>. 384 U.S. 195 (1966).</w:t>
      </w:r>
    </w:p>
  </w:footnote>
  <w:footnote w:id="105">
    <w:p w14:paraId="2B53CD56" w14:textId="77777777" w:rsidR="008D4A0F" w:rsidRPr="007F2326" w:rsidRDefault="008D4A0F" w:rsidP="007F2326">
      <w:pPr>
        <w:pStyle w:val="FootnoteText"/>
        <w:jc w:val="both"/>
        <w:rPr>
          <w:rFonts w:ascii="Cambria" w:hAnsi="Cambria"/>
          <w:sz w:val="16"/>
          <w:szCs w:val="16"/>
        </w:rPr>
      </w:pPr>
      <w:r w:rsidRPr="007F2326">
        <w:rPr>
          <w:rStyle w:val="FootnoteReference"/>
          <w:rFonts w:ascii="Cambria" w:hAnsi="Cambria"/>
          <w:sz w:val="16"/>
          <w:szCs w:val="16"/>
        </w:rPr>
        <w:footnoteRef/>
      </w:r>
      <w:r w:rsidRPr="007F2326">
        <w:rPr>
          <w:rFonts w:ascii="Cambria" w:hAnsi="Cambria"/>
          <w:sz w:val="16"/>
          <w:szCs w:val="16"/>
          <w:lang w:val="es-PE"/>
        </w:rPr>
        <w:t xml:space="preserve"> Corte Suprema del Estado de Alaska. </w:t>
      </w:r>
      <w:r w:rsidRPr="007F2326">
        <w:rPr>
          <w:rFonts w:ascii="Cambria" w:hAnsi="Cambria"/>
          <w:i/>
          <w:iCs/>
          <w:sz w:val="16"/>
          <w:szCs w:val="16"/>
        </w:rPr>
        <w:t>Gottschalk Vs. State</w:t>
      </w:r>
      <w:r w:rsidRPr="007F2326">
        <w:rPr>
          <w:rFonts w:ascii="Cambria" w:hAnsi="Cambria"/>
          <w:sz w:val="16"/>
          <w:szCs w:val="16"/>
        </w:rPr>
        <w:t>. 575 P.2d 289 (Alaska 1978).</w:t>
      </w:r>
    </w:p>
  </w:footnote>
  <w:footnote w:id="106">
    <w:p w14:paraId="48F92A64" w14:textId="77777777" w:rsidR="008D4A0F" w:rsidRPr="007F2326" w:rsidRDefault="008D4A0F" w:rsidP="007F2326">
      <w:pPr>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CIDH. </w:t>
      </w:r>
      <w:r w:rsidRPr="007F2326">
        <w:rPr>
          <w:rFonts w:ascii="Cambria" w:hAnsi="Cambria"/>
          <w:iCs/>
          <w:sz w:val="16"/>
          <w:szCs w:val="16"/>
          <w:lang w:val="es-PE"/>
        </w:rPr>
        <w:t xml:space="preserve">Informe No. 88/10. </w:t>
      </w:r>
      <w:r w:rsidRPr="007F2326">
        <w:rPr>
          <w:rFonts w:ascii="Cambria" w:hAnsi="Cambria"/>
          <w:iCs/>
          <w:sz w:val="16"/>
          <w:szCs w:val="16"/>
          <w:lang w:val="es-CO"/>
        </w:rPr>
        <w:t>Caso 12.661.</w:t>
      </w:r>
      <w:r w:rsidRPr="007F2326">
        <w:rPr>
          <w:rFonts w:ascii="Cambria" w:hAnsi="Cambria"/>
          <w:sz w:val="16"/>
          <w:szCs w:val="16"/>
          <w:lang w:val="es-CO"/>
        </w:rPr>
        <w:t xml:space="preserve"> Fondo. Néstor José y Luís Uzcátegui y otros. Venezuela. 14 de julio de 2010. </w:t>
      </w:r>
      <w:r w:rsidRPr="007F2326">
        <w:rPr>
          <w:rFonts w:ascii="Cambria" w:hAnsi="Cambria"/>
          <w:sz w:val="16"/>
          <w:szCs w:val="16"/>
          <w:lang w:val="es-PE"/>
        </w:rPr>
        <w:t>Párr. 279.</w:t>
      </w:r>
    </w:p>
  </w:footnote>
  <w:footnote w:id="107">
    <w:p w14:paraId="19DC297A" w14:textId="77777777" w:rsidR="008D4A0F" w:rsidRPr="007F2326" w:rsidRDefault="008D4A0F" w:rsidP="007F2326">
      <w:pPr>
        <w:pStyle w:val="FootnoteText"/>
        <w:tabs>
          <w:tab w:val="left" w:pos="567"/>
        </w:tabs>
        <w:jc w:val="both"/>
        <w:rPr>
          <w:rFonts w:ascii="Cambria" w:hAnsi="Cambria" w:cs="Times New Roman"/>
          <w:color w:val="auto"/>
          <w:spacing w:val="-2"/>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color w:val="auto"/>
          <w:spacing w:val="-2"/>
          <w:sz w:val="16"/>
          <w:szCs w:val="16"/>
          <w:lang w:val="es-PE"/>
        </w:rPr>
        <w:t xml:space="preserve">Corte IDH. </w:t>
      </w:r>
      <w:r w:rsidRPr="007F2326">
        <w:rPr>
          <w:rFonts w:ascii="Cambria" w:hAnsi="Cambria"/>
          <w:i/>
          <w:iCs/>
          <w:color w:val="auto"/>
          <w:spacing w:val="-2"/>
          <w:sz w:val="16"/>
          <w:szCs w:val="16"/>
          <w:lang w:val="es-PE"/>
        </w:rPr>
        <w:t>Caso Fontevecchia y D’Amico Vs. Argentina, supra</w:t>
      </w:r>
      <w:r w:rsidRPr="007F2326">
        <w:rPr>
          <w:rFonts w:ascii="Cambria" w:hAnsi="Cambria"/>
          <w:color w:val="auto"/>
          <w:spacing w:val="-2"/>
          <w:sz w:val="16"/>
          <w:szCs w:val="16"/>
          <w:lang w:val="es-PE"/>
        </w:rPr>
        <w:t>. Párrs. 89 y 90.</w:t>
      </w:r>
    </w:p>
  </w:footnote>
  <w:footnote w:id="108">
    <w:p w14:paraId="2E2FFD6C" w14:textId="77777777" w:rsidR="008D4A0F" w:rsidRPr="007F2326" w:rsidRDefault="008D4A0F" w:rsidP="007F2326">
      <w:pPr>
        <w:pStyle w:val="ListParagraph"/>
        <w:spacing w:before="0" w:after="0"/>
        <w:rPr>
          <w:szCs w:val="16"/>
          <w:lang w:val="es-MX"/>
        </w:rPr>
      </w:pPr>
      <w:r w:rsidRPr="007F2326">
        <w:rPr>
          <w:rStyle w:val="FootnoteReference"/>
          <w:szCs w:val="16"/>
        </w:rPr>
        <w:footnoteRef/>
      </w:r>
      <w:r w:rsidRPr="007F2326">
        <w:rPr>
          <w:szCs w:val="16"/>
          <w:lang w:val="es-MX"/>
        </w:rPr>
        <w:t xml:space="preserve"> CIDH. </w:t>
      </w:r>
      <w:hyperlink r:id="rId14" w:history="1">
        <w:r w:rsidRPr="007F2326">
          <w:rPr>
            <w:rStyle w:val="Hyperlink"/>
            <w:szCs w:val="16"/>
            <w:u w:val="none"/>
            <w:lang w:val="es-UY"/>
          </w:rPr>
          <w:t>Informe de la Relatoría Especial para la Libertad de Expresión</w:t>
        </w:r>
      </w:hyperlink>
      <w:r w:rsidRPr="007F2326">
        <w:rPr>
          <w:szCs w:val="16"/>
          <w:lang w:val="es-UY"/>
        </w:rPr>
        <w:t xml:space="preserve">. </w:t>
      </w:r>
      <w:r w:rsidRPr="007F2326">
        <w:rPr>
          <w:szCs w:val="16"/>
          <w:lang w:val="es-ES_tradnl"/>
        </w:rPr>
        <w:t xml:space="preserve">Marco Jurídico Interamericano del Derecho a la Libertad de Expresión Capítulo III. </w:t>
      </w:r>
      <w:r w:rsidRPr="007F2326">
        <w:rPr>
          <w:szCs w:val="16"/>
          <w:lang w:val="es-VE"/>
        </w:rPr>
        <w:t xml:space="preserve">OEA/Ser.L/V/II CIDH/RELE/INF. 2/09. </w:t>
      </w:r>
      <w:r w:rsidRPr="007F2326">
        <w:rPr>
          <w:szCs w:val="16"/>
          <w:lang w:val="es-ES_tradnl"/>
        </w:rPr>
        <w:t xml:space="preserve">30 de diciembre de 2009. Párr. </w:t>
      </w:r>
      <w:r w:rsidRPr="007F2326">
        <w:rPr>
          <w:szCs w:val="16"/>
          <w:lang w:val="es-ES"/>
        </w:rPr>
        <w:t xml:space="preserve">109 y </w:t>
      </w:r>
      <w:r w:rsidRPr="007F2326">
        <w:rPr>
          <w:szCs w:val="16"/>
          <w:lang w:val="es-MX"/>
        </w:rPr>
        <w:t>Declaración de Principios sobre Libertad de Expresión, 2000. Principio 10.</w:t>
      </w:r>
    </w:p>
  </w:footnote>
  <w:footnote w:id="109">
    <w:p w14:paraId="0219D262" w14:textId="77777777" w:rsidR="008D4A0F" w:rsidRPr="007F2326" w:rsidRDefault="008D4A0F" w:rsidP="007F2326">
      <w:pPr>
        <w:jc w:val="both"/>
        <w:rPr>
          <w:rFonts w:ascii="Cambria" w:hAnsi="Cambria"/>
          <w:sz w:val="16"/>
          <w:szCs w:val="16"/>
          <w:lang w:val="pt-BR"/>
        </w:rPr>
      </w:pPr>
      <w:r w:rsidRPr="007F2326">
        <w:rPr>
          <w:rStyle w:val="FootnoteReference"/>
          <w:rFonts w:ascii="Cambria" w:hAnsi="Cambria"/>
          <w:sz w:val="16"/>
          <w:szCs w:val="16"/>
          <w:lang w:val="es-CO"/>
        </w:rPr>
        <w:footnoteRef/>
      </w:r>
      <w:r w:rsidRPr="007F2326">
        <w:rPr>
          <w:rFonts w:ascii="Cambria" w:hAnsi="Cambria"/>
          <w:sz w:val="16"/>
          <w:szCs w:val="16"/>
          <w:lang w:val="pt-BR"/>
        </w:rPr>
        <w:t xml:space="preserve"> Corte IDH. </w:t>
      </w:r>
      <w:r w:rsidRPr="007F2326">
        <w:rPr>
          <w:rFonts w:ascii="Cambria" w:hAnsi="Cambria"/>
          <w:i/>
          <w:sz w:val="16"/>
          <w:szCs w:val="16"/>
          <w:lang w:val="pt-BR"/>
        </w:rPr>
        <w:t xml:space="preserve">Caso Kimel Vs. </w:t>
      </w:r>
      <w:r w:rsidRPr="007F2326">
        <w:rPr>
          <w:rFonts w:ascii="Cambria" w:hAnsi="Cambria"/>
          <w:i/>
          <w:sz w:val="16"/>
          <w:szCs w:val="16"/>
          <w:lang w:val="es-VE"/>
        </w:rPr>
        <w:t>Argentina, supra.</w:t>
      </w:r>
      <w:r w:rsidRPr="007F2326">
        <w:rPr>
          <w:rFonts w:ascii="Cambria" w:hAnsi="Cambria"/>
          <w:sz w:val="16"/>
          <w:szCs w:val="16"/>
          <w:lang w:val="es-VE"/>
        </w:rPr>
        <w:t xml:space="preserve"> </w:t>
      </w:r>
      <w:r w:rsidRPr="007F2326">
        <w:rPr>
          <w:rFonts w:ascii="Cambria" w:hAnsi="Cambria"/>
          <w:sz w:val="16"/>
          <w:szCs w:val="16"/>
          <w:lang w:val="es-CO"/>
        </w:rPr>
        <w:t xml:space="preserve">Párr.71, y </w:t>
      </w:r>
      <w:r w:rsidRPr="007F2326">
        <w:rPr>
          <w:rFonts w:ascii="Cambria" w:hAnsi="Cambria"/>
          <w:i/>
          <w:sz w:val="16"/>
          <w:szCs w:val="16"/>
          <w:lang w:val="es-CO"/>
        </w:rPr>
        <w:t xml:space="preserve">Caso Tristán Donoso Vs. </w:t>
      </w:r>
      <w:r w:rsidRPr="007F2326">
        <w:rPr>
          <w:rFonts w:ascii="Cambria" w:hAnsi="Cambria"/>
          <w:i/>
          <w:sz w:val="16"/>
          <w:szCs w:val="16"/>
          <w:lang w:val="pt-BR"/>
        </w:rPr>
        <w:t>Panamá, supra</w:t>
      </w:r>
      <w:r w:rsidRPr="007F2326">
        <w:rPr>
          <w:rFonts w:ascii="Cambria" w:hAnsi="Cambria"/>
          <w:sz w:val="16"/>
          <w:szCs w:val="16"/>
          <w:lang w:val="pt-BR"/>
        </w:rPr>
        <w:t>. Párr. 118.</w:t>
      </w:r>
    </w:p>
  </w:footnote>
  <w:footnote w:id="110">
    <w:p w14:paraId="33A8AB48" w14:textId="77777777" w:rsidR="008D4A0F" w:rsidRPr="007F2326" w:rsidRDefault="008D4A0F" w:rsidP="007F2326">
      <w:pPr>
        <w:jc w:val="both"/>
        <w:rPr>
          <w:rFonts w:ascii="Cambria" w:hAnsi="Cambria"/>
          <w:sz w:val="16"/>
          <w:szCs w:val="16"/>
          <w:lang w:val="es-PE"/>
        </w:rPr>
      </w:pPr>
      <w:r w:rsidRPr="007F2326">
        <w:rPr>
          <w:rStyle w:val="FootnoteReference"/>
          <w:rFonts w:ascii="Cambria" w:hAnsi="Cambria"/>
          <w:sz w:val="16"/>
          <w:szCs w:val="16"/>
          <w:lang w:val="es-CO"/>
        </w:rPr>
        <w:footnoteRef/>
      </w:r>
      <w:r w:rsidRPr="007F2326">
        <w:rPr>
          <w:rFonts w:ascii="Cambria" w:hAnsi="Cambria"/>
          <w:sz w:val="16"/>
          <w:szCs w:val="16"/>
          <w:lang w:val="pt-BR"/>
        </w:rPr>
        <w:t xml:space="preserve"> Corte IDH, </w:t>
      </w:r>
      <w:r w:rsidRPr="007F2326">
        <w:rPr>
          <w:rFonts w:ascii="Cambria" w:hAnsi="Cambria"/>
          <w:i/>
          <w:sz w:val="16"/>
          <w:szCs w:val="16"/>
          <w:lang w:val="pt-BR"/>
        </w:rPr>
        <w:t xml:space="preserve">Caso Ricardo Canese Vs. Paraguay, supra. </w:t>
      </w:r>
      <w:r w:rsidRPr="007F2326">
        <w:rPr>
          <w:rFonts w:ascii="Cambria" w:hAnsi="Cambria"/>
          <w:sz w:val="16"/>
          <w:szCs w:val="16"/>
          <w:lang w:val="es-PE"/>
        </w:rPr>
        <w:t xml:space="preserve">Párr. 101, y </w:t>
      </w:r>
      <w:r w:rsidRPr="007F2326">
        <w:rPr>
          <w:rFonts w:ascii="Cambria" w:hAnsi="Cambria"/>
          <w:i/>
          <w:sz w:val="16"/>
          <w:szCs w:val="16"/>
          <w:lang w:val="es-PE"/>
        </w:rPr>
        <w:t xml:space="preserve">Caso Kimel Vs. Argentina, supra. </w:t>
      </w:r>
      <w:r w:rsidRPr="007F2326">
        <w:rPr>
          <w:rFonts w:ascii="Cambria" w:hAnsi="Cambria"/>
          <w:sz w:val="16"/>
          <w:szCs w:val="16"/>
          <w:lang w:val="es-PE"/>
        </w:rPr>
        <w:t>Párr. 55.</w:t>
      </w:r>
    </w:p>
  </w:footnote>
  <w:footnote w:id="111">
    <w:p w14:paraId="68BFAD0B"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iCs/>
          <w:color w:val="auto"/>
          <w:spacing w:val="-2"/>
          <w:sz w:val="16"/>
          <w:szCs w:val="16"/>
          <w:lang w:val="es-ES"/>
        </w:rPr>
        <w:t>Corte</w:t>
      </w:r>
      <w:r w:rsidRPr="007F2326">
        <w:rPr>
          <w:rFonts w:ascii="Cambria" w:hAnsi="Cambria"/>
          <w:i/>
          <w:iCs/>
          <w:color w:val="auto"/>
          <w:spacing w:val="-2"/>
          <w:sz w:val="16"/>
          <w:szCs w:val="16"/>
          <w:lang w:val="es-ES"/>
        </w:rPr>
        <w:t xml:space="preserve"> </w:t>
      </w:r>
      <w:r w:rsidRPr="007F2326">
        <w:rPr>
          <w:rFonts w:ascii="Cambria" w:hAnsi="Cambria"/>
          <w:iCs/>
          <w:color w:val="auto"/>
          <w:spacing w:val="-2"/>
          <w:sz w:val="16"/>
          <w:szCs w:val="16"/>
          <w:lang w:val="es-ES"/>
        </w:rPr>
        <w:t>IDH</w:t>
      </w:r>
      <w:r w:rsidRPr="007F2326">
        <w:rPr>
          <w:rFonts w:ascii="Cambria" w:hAnsi="Cambria"/>
          <w:i/>
          <w:iCs/>
          <w:color w:val="auto"/>
          <w:spacing w:val="-2"/>
          <w:sz w:val="16"/>
          <w:szCs w:val="16"/>
          <w:lang w:val="es-ES"/>
        </w:rPr>
        <w:t>. La Colegiación Obligatoria de Periodistas (Arts. 13 y 29 de la Convención Americana sobre Derechos Humanos), supra</w:t>
      </w:r>
      <w:r w:rsidRPr="007F2326">
        <w:rPr>
          <w:rFonts w:ascii="Cambria" w:hAnsi="Cambria"/>
          <w:color w:val="auto"/>
          <w:spacing w:val="-2"/>
          <w:sz w:val="16"/>
          <w:szCs w:val="16"/>
          <w:lang w:val="es-ES"/>
        </w:rPr>
        <w:t xml:space="preserve">. Párr. 70, y </w:t>
      </w:r>
      <w:r w:rsidRPr="007F2326">
        <w:rPr>
          <w:rFonts w:ascii="Cambria" w:hAnsi="Cambria"/>
          <w:i/>
          <w:color w:val="auto"/>
          <w:spacing w:val="-2"/>
          <w:sz w:val="16"/>
          <w:szCs w:val="16"/>
          <w:lang w:val="es-ES"/>
        </w:rPr>
        <w:t>Caso Vélez Restrepo y familiares Vs. Colombia, supra</w:t>
      </w:r>
      <w:r w:rsidRPr="007F2326">
        <w:rPr>
          <w:rFonts w:ascii="Cambria" w:hAnsi="Cambria"/>
          <w:color w:val="auto"/>
          <w:spacing w:val="-2"/>
          <w:sz w:val="16"/>
          <w:szCs w:val="16"/>
          <w:lang w:val="es-ES"/>
        </w:rPr>
        <w:t>. Párr. 141.</w:t>
      </w:r>
    </w:p>
  </w:footnote>
  <w:footnote w:id="112">
    <w:p w14:paraId="1C5E5F35" w14:textId="77777777" w:rsidR="008D4A0F" w:rsidRPr="007F2326" w:rsidRDefault="008D4A0F" w:rsidP="007F2326">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16"/>
          <w:szCs w:val="16"/>
          <w:lang w:val="es-V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AR"/>
        </w:rPr>
        <w:t>CIDH</w:t>
      </w:r>
      <w:r w:rsidRPr="007F2326">
        <w:rPr>
          <w:rFonts w:ascii="Cambria" w:hAnsi="Cambria"/>
          <w:sz w:val="16"/>
          <w:szCs w:val="16"/>
          <w:lang w:val="es-UY"/>
        </w:rPr>
        <w:t xml:space="preserve">. </w:t>
      </w:r>
      <w:hyperlink r:id="rId15" w:history="1">
        <w:r w:rsidRPr="007F2326">
          <w:rPr>
            <w:rStyle w:val="Hyperlink"/>
            <w:rFonts w:ascii="Cambria" w:hAnsi="Cambria"/>
            <w:sz w:val="16"/>
            <w:szCs w:val="16"/>
            <w:u w:val="none"/>
            <w:lang w:val="es-UY"/>
          </w:rPr>
          <w:t>Informe de la Relatoría Especial para la Libertad de Expresión</w:t>
        </w:r>
      </w:hyperlink>
      <w:r w:rsidRPr="007F2326">
        <w:rPr>
          <w:rFonts w:ascii="Cambria" w:hAnsi="Cambria"/>
          <w:sz w:val="16"/>
          <w:szCs w:val="16"/>
          <w:lang w:val="es-UY"/>
        </w:rPr>
        <w:t xml:space="preserve">. </w:t>
      </w:r>
      <w:r w:rsidRPr="007F2326">
        <w:rPr>
          <w:rFonts w:ascii="Cambria" w:hAnsi="Cambria"/>
          <w:sz w:val="16"/>
          <w:szCs w:val="16"/>
          <w:lang w:val="es-ES_tradnl"/>
        </w:rPr>
        <w:t xml:space="preserve">Marco Jurídico Interamericano del Derecho a la Libertad de Expresión Capítulo III. </w:t>
      </w:r>
      <w:r w:rsidRPr="007F2326">
        <w:rPr>
          <w:rFonts w:ascii="Cambria" w:hAnsi="Cambria"/>
          <w:sz w:val="16"/>
          <w:szCs w:val="16"/>
          <w:lang w:val="es-VE"/>
        </w:rPr>
        <w:t xml:space="preserve">OEA/Ser.L/V/II CIDH/RELE/INF. 2/09. </w:t>
      </w:r>
      <w:r w:rsidRPr="007F2326">
        <w:rPr>
          <w:rFonts w:ascii="Cambria" w:hAnsi="Cambria"/>
          <w:sz w:val="16"/>
          <w:szCs w:val="16"/>
          <w:lang w:val="es-ES_tradnl"/>
        </w:rPr>
        <w:t xml:space="preserve">30 de diciembre de 2009. Párr. </w:t>
      </w:r>
      <w:r w:rsidRPr="007F2326">
        <w:rPr>
          <w:rFonts w:ascii="Cambria" w:hAnsi="Cambria"/>
          <w:sz w:val="16"/>
          <w:szCs w:val="16"/>
          <w:lang w:val="es-ES"/>
        </w:rPr>
        <w:t>79.</w:t>
      </w:r>
    </w:p>
  </w:footnote>
  <w:footnote w:id="113">
    <w:p w14:paraId="6B77306B" w14:textId="77777777" w:rsidR="008D4A0F" w:rsidRPr="007F2326" w:rsidRDefault="008D4A0F" w:rsidP="007F2326">
      <w:pPr>
        <w:pStyle w:val="footnote"/>
        <w:spacing w:after="0"/>
        <w:rPr>
          <w:rFonts w:ascii="Cambria" w:hAnsi="Cambria"/>
          <w:lang w:val="es-CR"/>
        </w:rPr>
      </w:pPr>
      <w:r w:rsidRPr="007F2326">
        <w:rPr>
          <w:rStyle w:val="FootnoteReference"/>
          <w:rFonts w:ascii="Cambria" w:hAnsi="Cambria"/>
        </w:rPr>
        <w:footnoteRef/>
      </w:r>
      <w:r w:rsidRPr="007F2326">
        <w:rPr>
          <w:rFonts w:ascii="Cambria" w:hAnsi="Cambria"/>
        </w:rPr>
        <w:t xml:space="preserve"> CIDH. </w:t>
      </w:r>
      <w:hyperlink r:id="rId16" w:history="1">
        <w:r w:rsidRPr="007F2326">
          <w:rPr>
            <w:rStyle w:val="Hyperlink"/>
            <w:rFonts w:ascii="Cambria" w:eastAsiaTheme="majorEastAsia" w:hAnsi="Cambria"/>
            <w:u w:val="none"/>
            <w:lang w:val="es-UY"/>
          </w:rPr>
          <w:t>Informe Anual 2004. Informe de la Relatoría Especial para la Libertad de Expresión</w:t>
        </w:r>
      </w:hyperlink>
      <w:r w:rsidRPr="007F2326">
        <w:rPr>
          <w:rFonts w:ascii="Cambria" w:hAnsi="Cambria"/>
          <w:lang w:val="es-ES_tradnl"/>
        </w:rPr>
        <w:t xml:space="preserve">. Capítulo </w:t>
      </w:r>
      <w:r w:rsidRPr="007F2326">
        <w:rPr>
          <w:rFonts w:ascii="Cambria" w:hAnsi="Cambria"/>
        </w:rPr>
        <w:t>VI</w:t>
      </w:r>
      <w:r w:rsidRPr="007F2326">
        <w:rPr>
          <w:rFonts w:ascii="Cambria" w:hAnsi="Cambria"/>
          <w:lang w:val="es-ES_tradnl"/>
        </w:rPr>
        <w:t xml:space="preserve"> (</w:t>
      </w:r>
      <w:r w:rsidRPr="007F2326">
        <w:rPr>
          <w:rFonts w:ascii="Cambria" w:hAnsi="Cambria"/>
        </w:rPr>
        <w:t xml:space="preserve">Leyes de Desacato y </w:t>
      </w:r>
      <w:r w:rsidRPr="007F2326">
        <w:rPr>
          <w:rFonts w:ascii="Cambria" w:hAnsi="Cambria"/>
          <w:lang w:val="es-CR"/>
        </w:rPr>
        <w:t>Difamación criminal). OEA/Ser.L/V/II.122. Doc. 5 rev. 1. 23 febrero 2005. Párr. 11.</w:t>
      </w:r>
    </w:p>
  </w:footnote>
  <w:footnote w:id="114">
    <w:p w14:paraId="5689739A"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color w:val="auto"/>
          <w:spacing w:val="-2"/>
          <w:sz w:val="16"/>
          <w:szCs w:val="16"/>
          <w:lang w:val="es-PE"/>
        </w:rPr>
        <w:t xml:space="preserve">Corte IDH. </w:t>
      </w:r>
      <w:r w:rsidRPr="007F2326">
        <w:rPr>
          <w:rFonts w:ascii="Cambria" w:hAnsi="Cambria" w:cs="Verdana"/>
          <w:sz w:val="16"/>
          <w:szCs w:val="16"/>
          <w:lang w:val="es-PE"/>
        </w:rPr>
        <w:t>C</w:t>
      </w:r>
      <w:r w:rsidRPr="007F2326">
        <w:rPr>
          <w:rFonts w:ascii="Cambria" w:hAnsi="Cambria" w:cs="Verdana"/>
          <w:i/>
          <w:iCs/>
          <w:sz w:val="16"/>
          <w:szCs w:val="16"/>
          <w:lang w:val="es-PE"/>
        </w:rPr>
        <w:t>aso Ricardo Canese, supra</w:t>
      </w:r>
      <w:r w:rsidRPr="007F2326">
        <w:rPr>
          <w:rFonts w:ascii="Cambria" w:hAnsi="Cambria" w:cs="Verdana"/>
          <w:sz w:val="16"/>
          <w:szCs w:val="16"/>
          <w:lang w:val="es-PE"/>
        </w:rPr>
        <w:t>. Párr. 105</w:t>
      </w:r>
      <w:r w:rsidRPr="007F2326">
        <w:rPr>
          <w:rFonts w:ascii="Cambria" w:hAnsi="Cambria"/>
          <w:color w:val="auto"/>
          <w:spacing w:val="-2"/>
          <w:sz w:val="16"/>
          <w:szCs w:val="16"/>
          <w:lang w:val="es-PE"/>
        </w:rPr>
        <w:t xml:space="preserve">, y </w:t>
      </w:r>
      <w:r w:rsidRPr="007F2326">
        <w:rPr>
          <w:rFonts w:ascii="Cambria" w:hAnsi="Cambria"/>
          <w:i/>
          <w:sz w:val="16"/>
          <w:szCs w:val="16"/>
          <w:lang w:val="es-PE"/>
        </w:rPr>
        <w:t>Caso Tristán Donoso Vs. Panamá</w:t>
      </w:r>
      <w:r w:rsidRPr="007F2326">
        <w:rPr>
          <w:rFonts w:ascii="Cambria" w:hAnsi="Cambria"/>
          <w:sz w:val="16"/>
          <w:szCs w:val="16"/>
          <w:lang w:val="es-PE"/>
        </w:rPr>
        <w:t xml:space="preserve">, </w:t>
      </w:r>
      <w:r w:rsidRPr="007F2326">
        <w:rPr>
          <w:rFonts w:ascii="Cambria" w:hAnsi="Cambria"/>
          <w:i/>
          <w:iCs/>
          <w:sz w:val="16"/>
          <w:szCs w:val="16"/>
          <w:lang w:val="es-PE"/>
        </w:rPr>
        <w:t>supra.</w:t>
      </w:r>
      <w:r w:rsidRPr="007F2326">
        <w:rPr>
          <w:rFonts w:ascii="Cambria" w:hAnsi="Cambria"/>
          <w:sz w:val="16"/>
          <w:szCs w:val="16"/>
          <w:lang w:val="es-PE"/>
        </w:rPr>
        <w:t xml:space="preserve"> Párr. 123.</w:t>
      </w:r>
    </w:p>
  </w:footnote>
  <w:footnote w:id="115">
    <w:p w14:paraId="7224C929" w14:textId="77777777" w:rsidR="008D4A0F" w:rsidRPr="007F2326" w:rsidRDefault="008D4A0F" w:rsidP="007F2326">
      <w:pPr>
        <w:pStyle w:val="FootnoteText"/>
        <w:jc w:val="both"/>
        <w:rPr>
          <w:rFonts w:ascii="Cambria" w:hAnsi="Cambria"/>
          <w:sz w:val="16"/>
          <w:szCs w:val="16"/>
          <w:lang w:val="es-PE"/>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US"/>
        </w:rPr>
        <w:t xml:space="preserve">Corte IDH. </w:t>
      </w:r>
      <w:r w:rsidRPr="007F2326">
        <w:rPr>
          <w:rFonts w:ascii="Cambria" w:hAnsi="Cambria"/>
          <w:i/>
          <w:sz w:val="16"/>
          <w:szCs w:val="16"/>
          <w:lang w:val="es-PE"/>
        </w:rPr>
        <w:t>Caso Tristán Donoso Vs. Panamá</w:t>
      </w:r>
      <w:r w:rsidRPr="007F2326">
        <w:rPr>
          <w:rFonts w:ascii="Cambria" w:hAnsi="Cambria"/>
          <w:sz w:val="16"/>
          <w:szCs w:val="16"/>
          <w:lang w:val="es-PE"/>
        </w:rPr>
        <w:t xml:space="preserve">, </w:t>
      </w:r>
      <w:r w:rsidRPr="007F2326">
        <w:rPr>
          <w:rFonts w:ascii="Cambria" w:hAnsi="Cambria"/>
          <w:i/>
          <w:iCs/>
          <w:sz w:val="16"/>
          <w:szCs w:val="16"/>
          <w:lang w:val="es-PE"/>
        </w:rPr>
        <w:t>supra.</w:t>
      </w:r>
      <w:r w:rsidRPr="007F2326">
        <w:rPr>
          <w:rFonts w:ascii="Cambria" w:hAnsi="Cambria"/>
          <w:sz w:val="16"/>
          <w:szCs w:val="16"/>
          <w:lang w:val="es-PE"/>
        </w:rPr>
        <w:t xml:space="preserve"> Párr. 129, y </w:t>
      </w:r>
      <w:r w:rsidRPr="007F2326">
        <w:rPr>
          <w:rFonts w:ascii="Cambria" w:hAnsi="Cambria"/>
          <w:i/>
          <w:iCs/>
          <w:color w:val="auto"/>
          <w:spacing w:val="-2"/>
          <w:sz w:val="16"/>
          <w:szCs w:val="16"/>
          <w:lang w:val="es-PE"/>
        </w:rPr>
        <w:t>Caso Fontevecchia y D’Amico Vs. Argentina, supra</w:t>
      </w:r>
      <w:r w:rsidRPr="007F2326">
        <w:rPr>
          <w:rFonts w:ascii="Cambria" w:hAnsi="Cambria"/>
          <w:color w:val="auto"/>
          <w:spacing w:val="-2"/>
          <w:sz w:val="16"/>
          <w:szCs w:val="16"/>
          <w:lang w:val="es-PE"/>
        </w:rPr>
        <w:t>. Párr. 74.</w:t>
      </w:r>
    </w:p>
  </w:footnote>
  <w:footnote w:id="116">
    <w:p w14:paraId="08463185"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El artículo 8 de la Convención estipula, en lo pertinente, que:</w:t>
      </w:r>
    </w:p>
    <w:p w14:paraId="07E6661B" w14:textId="77777777" w:rsidR="008D4A0F" w:rsidRPr="007F2326" w:rsidRDefault="008D4A0F" w:rsidP="007F2326">
      <w:pPr>
        <w:pStyle w:val="FootnoteText"/>
        <w:jc w:val="both"/>
        <w:rPr>
          <w:rFonts w:ascii="Cambria" w:hAnsi="Cambria"/>
          <w:sz w:val="16"/>
          <w:szCs w:val="16"/>
          <w:lang w:val="es-MX"/>
        </w:rPr>
      </w:pPr>
      <w:r w:rsidRPr="007F2326">
        <w:rPr>
          <w:rFonts w:ascii="Cambria" w:hAnsi="Cambria"/>
          <w:sz w:val="16"/>
          <w:szCs w:val="16"/>
          <w:lang w:val="es-MX"/>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2CE7C26C" w14:textId="77777777" w:rsidR="008D4A0F" w:rsidRPr="007F2326" w:rsidRDefault="008D4A0F" w:rsidP="007F2326">
      <w:pPr>
        <w:pStyle w:val="FootnoteText"/>
        <w:jc w:val="both"/>
        <w:rPr>
          <w:rFonts w:ascii="Cambria" w:hAnsi="Cambria"/>
          <w:sz w:val="16"/>
          <w:szCs w:val="16"/>
          <w:lang w:val="es-MX"/>
        </w:rPr>
      </w:pPr>
      <w:r w:rsidRPr="007F2326">
        <w:rPr>
          <w:rFonts w:ascii="Cambria" w:hAnsi="Cambria"/>
          <w:sz w:val="16"/>
          <w:szCs w:val="16"/>
          <w:lang w:val="es-MX"/>
        </w:rPr>
        <w:t>2. Toda persona inculpada de delito tiene derecho a que se presuma su inocencia mientras no se establezca legalmente su culpabilidad. Durante el proceso, toda persona tiene derecho, en plena igualdad, a las siguientes garantías mínimas: […] h) derecho de recurrir el fallo ante juez o tribunal superior.</w:t>
      </w:r>
    </w:p>
  </w:footnote>
  <w:footnote w:id="117">
    <w:p w14:paraId="521A6DF1" w14:textId="77777777" w:rsidR="008D4A0F" w:rsidRPr="007F2326" w:rsidRDefault="008D4A0F" w:rsidP="007F2326">
      <w:pPr>
        <w:pStyle w:val="FootnoteText"/>
        <w:jc w:val="both"/>
        <w:rPr>
          <w:rFonts w:ascii="Cambria" w:hAnsi="Cambria"/>
          <w:sz w:val="16"/>
          <w:szCs w:val="16"/>
          <w:lang w:val="es-MX"/>
        </w:rPr>
      </w:pPr>
      <w:r w:rsidRPr="007F2326">
        <w:rPr>
          <w:rStyle w:val="FootnoteReference"/>
          <w:rFonts w:ascii="Cambria" w:hAnsi="Cambria"/>
          <w:sz w:val="16"/>
          <w:szCs w:val="16"/>
        </w:rPr>
        <w:footnoteRef/>
      </w:r>
      <w:r w:rsidRPr="007F2326">
        <w:rPr>
          <w:rFonts w:ascii="Cambria" w:hAnsi="Cambria"/>
          <w:sz w:val="16"/>
          <w:szCs w:val="16"/>
          <w:lang w:val="es-PE"/>
        </w:rPr>
        <w:t xml:space="preserve"> </w:t>
      </w:r>
      <w:r w:rsidRPr="007F2326">
        <w:rPr>
          <w:rFonts w:ascii="Cambria" w:hAnsi="Cambria"/>
          <w:sz w:val="16"/>
          <w:szCs w:val="16"/>
          <w:lang w:val="es-MX"/>
        </w:rPr>
        <w:t>El artículo 25 de la Convención estipula, en lo pertinente, que: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A6FF3" w14:textId="77777777" w:rsidR="008D4A0F" w:rsidRDefault="008D4A0F" w:rsidP="0043034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8358F54" w14:textId="77777777" w:rsidR="008D4A0F" w:rsidRDefault="008D4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054CC" w14:textId="77777777" w:rsidR="008D4A0F" w:rsidRDefault="008D4A0F" w:rsidP="00430348">
    <w:pPr>
      <w:pStyle w:val="Header"/>
      <w:tabs>
        <w:tab w:val="clear" w:pos="4320"/>
        <w:tab w:val="clear" w:pos="8640"/>
      </w:tabs>
      <w:jc w:val="center"/>
      <w:rPr>
        <w:sz w:val="22"/>
        <w:szCs w:val="22"/>
      </w:rPr>
    </w:pPr>
    <w:r>
      <w:rPr>
        <w:noProof/>
        <w:sz w:val="22"/>
        <w:szCs w:val="22"/>
      </w:rPr>
      <w:drawing>
        <wp:inline distT="0" distB="0" distL="0" distR="0" wp14:anchorId="34DF883F" wp14:editId="7E7AB5B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C020A19" w14:textId="77777777" w:rsidR="008D4A0F" w:rsidRPr="00EC7D62" w:rsidRDefault="00D20AA1" w:rsidP="00430348">
    <w:pPr>
      <w:pStyle w:val="Header"/>
      <w:tabs>
        <w:tab w:val="clear" w:pos="4320"/>
        <w:tab w:val="clear" w:pos="8640"/>
      </w:tabs>
      <w:jc w:val="center"/>
      <w:rPr>
        <w:sz w:val="22"/>
        <w:szCs w:val="22"/>
      </w:rPr>
    </w:pPr>
    <w:r>
      <w:rPr>
        <w:sz w:val="22"/>
        <w:szCs w:val="22"/>
      </w:rPr>
      <w:pict w14:anchorId="449A561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EA000D"/>
    <w:multiLevelType w:val="hybridMultilevel"/>
    <w:tmpl w:val="7F6CBBBC"/>
    <w:lvl w:ilvl="0" w:tplc="8C844A0A">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99D531D"/>
    <w:multiLevelType w:val="hybridMultilevel"/>
    <w:tmpl w:val="BE54259E"/>
    <w:lvl w:ilvl="0" w:tplc="2CDA200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FD593B"/>
    <w:multiLevelType w:val="multilevel"/>
    <w:tmpl w:val="E2C89D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E21F0D"/>
    <w:multiLevelType w:val="hybridMultilevel"/>
    <w:tmpl w:val="027A4F3C"/>
    <w:lvl w:ilvl="0" w:tplc="3E4AF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5195813"/>
    <w:multiLevelType w:val="hybridMultilevel"/>
    <w:tmpl w:val="E00CCBDA"/>
    <w:lvl w:ilvl="0" w:tplc="EA4604FE">
      <w:start w:val="1"/>
      <w:numFmt w:val="decimal"/>
      <w:lvlText w:val="%1."/>
      <w:lvlJc w:val="left"/>
      <w:pPr>
        <w:ind w:left="117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D50E99"/>
    <w:multiLevelType w:val="multilevel"/>
    <w:tmpl w:val="09EC1734"/>
    <w:lvl w:ilvl="0">
      <w:start w:val="1"/>
      <w:numFmt w:val="decimal"/>
      <w:pStyle w:val="Heading3"/>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582E303E"/>
    <w:multiLevelType w:val="multilevel"/>
    <w:tmpl w:val="158AA4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D7D4B9D"/>
    <w:multiLevelType w:val="hybridMultilevel"/>
    <w:tmpl w:val="2E92F732"/>
    <w:lvl w:ilvl="0" w:tplc="E082608A">
      <w:start w:val="1"/>
      <w:numFmt w:val="decimal"/>
      <w:lvlText w:val="%1."/>
      <w:lvlJc w:val="left"/>
      <w:pPr>
        <w:ind w:left="360" w:hanging="360"/>
      </w:pPr>
      <w:rPr>
        <w:rFonts w:ascii="Cambria" w:hAnsi="Cambria" w:hint="default"/>
        <w:b w:val="0"/>
        <w:i w:val="0"/>
        <w:sz w:val="20"/>
        <w:szCs w:val="20"/>
        <w:lang w:val="es-C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842327A"/>
    <w:lvl w:ilvl="0" w:tplc="E9DC5756">
      <w:start w:val="1"/>
      <w:numFmt w:val="upperRoman"/>
      <w:pStyle w:val="Heading1"/>
      <w:lvlText w:val="%1."/>
      <w:lvlJc w:val="left"/>
      <w:pPr>
        <w:ind w:left="720" w:hanging="360"/>
      </w:pPr>
      <w:rPr>
        <w:rFonts w:hint="default"/>
        <w:lang w:val="es-VE"/>
      </w:rPr>
    </w:lvl>
    <w:lvl w:ilvl="1" w:tplc="5D9A6BAE">
      <w:start w:val="4"/>
      <w:numFmt w:val="upp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6A1E81"/>
    <w:multiLevelType w:val="hybridMultilevel"/>
    <w:tmpl w:val="C0704448"/>
    <w:lvl w:ilvl="0" w:tplc="1332A3B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E64D32"/>
    <w:multiLevelType w:val="hybridMultilevel"/>
    <w:tmpl w:val="1E248EDA"/>
    <w:lvl w:ilvl="0" w:tplc="C55A862A">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es-CR"/>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pStyle w:val="Heading6"/>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7D3B02C8"/>
    <w:multiLevelType w:val="hybridMultilevel"/>
    <w:tmpl w:val="DB8E95C6"/>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1"/>
  </w:num>
  <w:num w:numId="5">
    <w:abstractNumId w:val="47"/>
  </w:num>
  <w:num w:numId="6">
    <w:abstractNumId w:val="26"/>
  </w:num>
  <w:num w:numId="7">
    <w:abstractNumId w:val="7"/>
  </w:num>
  <w:num w:numId="8">
    <w:abstractNumId w:val="18"/>
  </w:num>
  <w:num w:numId="9">
    <w:abstractNumId w:val="40"/>
  </w:num>
  <w:num w:numId="10">
    <w:abstractNumId w:val="0"/>
  </w:num>
  <w:num w:numId="11">
    <w:abstractNumId w:val="36"/>
  </w:num>
  <w:num w:numId="12">
    <w:abstractNumId w:val="37"/>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4"/>
  </w:num>
  <w:num w:numId="38">
    <w:abstractNumId w:val="35"/>
  </w:num>
  <w:num w:numId="39">
    <w:abstractNumId w:val="38"/>
  </w:num>
  <w:num w:numId="40">
    <w:abstractNumId w:val="39"/>
  </w:num>
  <w:num w:numId="41">
    <w:abstractNumId w:val="46"/>
  </w:num>
  <w:num w:numId="42">
    <w:abstractNumId w:val="48"/>
  </w:num>
  <w:num w:numId="43">
    <w:abstractNumId w:val="49"/>
  </w:num>
  <w:num w:numId="44">
    <w:abstractNumId w:val="52"/>
  </w:num>
  <w:num w:numId="45">
    <w:abstractNumId w:val="54"/>
  </w:num>
  <w:num w:numId="46">
    <w:abstractNumId w:val="55"/>
  </w:num>
  <w:num w:numId="47">
    <w:abstractNumId w:val="56"/>
  </w:num>
  <w:num w:numId="48">
    <w:abstractNumId w:val="59"/>
  </w:num>
  <w:num w:numId="49">
    <w:abstractNumId w:val="60"/>
  </w:num>
  <w:num w:numId="50">
    <w:abstractNumId w:val="50"/>
  </w:num>
  <w:num w:numId="51">
    <w:abstractNumId w:val="58"/>
  </w:num>
  <w:num w:numId="52">
    <w:abstractNumId w:val="43"/>
  </w:num>
  <w:num w:numId="53">
    <w:abstractNumId w:val="13"/>
  </w:num>
  <w:num w:numId="54">
    <w:abstractNumId w:val="45"/>
  </w:num>
  <w:num w:numId="55">
    <w:abstractNumId w:val="51"/>
  </w:num>
  <w:num w:numId="56">
    <w:abstractNumId w:val="51"/>
    <w:lvlOverride w:ilvl="0">
      <w:startOverride w:val="1"/>
    </w:lvlOverride>
  </w:num>
  <w:num w:numId="57">
    <w:abstractNumId w:val="3"/>
    <w:lvlOverride w:ilvl="0">
      <w:startOverride w:val="1"/>
    </w:lvlOverride>
  </w:num>
  <w:num w:numId="58">
    <w:abstractNumId w:val="33"/>
  </w:num>
  <w:num w:numId="59">
    <w:abstractNumId w:val="42"/>
  </w:num>
  <w:num w:numId="60">
    <w:abstractNumId w:val="42"/>
    <w:lvlOverride w:ilvl="0">
      <w:startOverride w:val="1"/>
    </w:lvlOverride>
  </w:num>
  <w:num w:numId="61">
    <w:abstractNumId w:val="6"/>
  </w:num>
  <w:num w:numId="62">
    <w:abstractNumId w:val="3"/>
  </w:num>
  <w:num w:numId="63">
    <w:abstractNumId w:val="57"/>
  </w:num>
  <w:num w:numId="64">
    <w:abstractNumId w:val="41"/>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15"/>
    <w:rsid w:val="00000A09"/>
    <w:rsid w:val="00000CC2"/>
    <w:rsid w:val="000012E6"/>
    <w:rsid w:val="00001CC5"/>
    <w:rsid w:val="00001D82"/>
    <w:rsid w:val="000024DE"/>
    <w:rsid w:val="0000307D"/>
    <w:rsid w:val="00005B87"/>
    <w:rsid w:val="00007841"/>
    <w:rsid w:val="00010B5D"/>
    <w:rsid w:val="000113AE"/>
    <w:rsid w:val="00012B59"/>
    <w:rsid w:val="0001328B"/>
    <w:rsid w:val="00013B83"/>
    <w:rsid w:val="000142AE"/>
    <w:rsid w:val="00014889"/>
    <w:rsid w:val="000148B8"/>
    <w:rsid w:val="00015603"/>
    <w:rsid w:val="000162BA"/>
    <w:rsid w:val="0001672D"/>
    <w:rsid w:val="00016ABB"/>
    <w:rsid w:val="00016C86"/>
    <w:rsid w:val="00016D2A"/>
    <w:rsid w:val="00016D9E"/>
    <w:rsid w:val="00017406"/>
    <w:rsid w:val="00017D6D"/>
    <w:rsid w:val="00017D85"/>
    <w:rsid w:val="00017DD6"/>
    <w:rsid w:val="00020445"/>
    <w:rsid w:val="00021471"/>
    <w:rsid w:val="000217D6"/>
    <w:rsid w:val="00022056"/>
    <w:rsid w:val="000222F4"/>
    <w:rsid w:val="0002233A"/>
    <w:rsid w:val="00022AA3"/>
    <w:rsid w:val="00023C14"/>
    <w:rsid w:val="0002403F"/>
    <w:rsid w:val="00025BC8"/>
    <w:rsid w:val="00026A10"/>
    <w:rsid w:val="00027A2D"/>
    <w:rsid w:val="00027E00"/>
    <w:rsid w:val="000303EE"/>
    <w:rsid w:val="000306A8"/>
    <w:rsid w:val="00030BFA"/>
    <w:rsid w:val="00030FE8"/>
    <w:rsid w:val="0003171F"/>
    <w:rsid w:val="00032355"/>
    <w:rsid w:val="00032F38"/>
    <w:rsid w:val="00032F3F"/>
    <w:rsid w:val="000332F7"/>
    <w:rsid w:val="000346EB"/>
    <w:rsid w:val="000348A6"/>
    <w:rsid w:val="00034A5C"/>
    <w:rsid w:val="0003512F"/>
    <w:rsid w:val="0003573C"/>
    <w:rsid w:val="00036EA7"/>
    <w:rsid w:val="0003703A"/>
    <w:rsid w:val="0003727E"/>
    <w:rsid w:val="00037EC1"/>
    <w:rsid w:val="00040277"/>
    <w:rsid w:val="000403D5"/>
    <w:rsid w:val="000405C4"/>
    <w:rsid w:val="00040BB9"/>
    <w:rsid w:val="0004111F"/>
    <w:rsid w:val="00041547"/>
    <w:rsid w:val="00041DC7"/>
    <w:rsid w:val="0004289A"/>
    <w:rsid w:val="0004386B"/>
    <w:rsid w:val="000445D8"/>
    <w:rsid w:val="000446EB"/>
    <w:rsid w:val="00044D5E"/>
    <w:rsid w:val="00045672"/>
    <w:rsid w:val="00045B6C"/>
    <w:rsid w:val="000464BD"/>
    <w:rsid w:val="0004678E"/>
    <w:rsid w:val="00050A3A"/>
    <w:rsid w:val="0005101E"/>
    <w:rsid w:val="00051300"/>
    <w:rsid w:val="00051A15"/>
    <w:rsid w:val="000528DB"/>
    <w:rsid w:val="000528E2"/>
    <w:rsid w:val="00052C00"/>
    <w:rsid w:val="000534FE"/>
    <w:rsid w:val="00053717"/>
    <w:rsid w:val="00054511"/>
    <w:rsid w:val="0005551A"/>
    <w:rsid w:val="00055573"/>
    <w:rsid w:val="00055963"/>
    <w:rsid w:val="00055DB2"/>
    <w:rsid w:val="000561E3"/>
    <w:rsid w:val="00060F6A"/>
    <w:rsid w:val="000622F0"/>
    <w:rsid w:val="000629E4"/>
    <w:rsid w:val="00062C4F"/>
    <w:rsid w:val="00062D3F"/>
    <w:rsid w:val="00062E07"/>
    <w:rsid w:val="00063642"/>
    <w:rsid w:val="00063738"/>
    <w:rsid w:val="00064968"/>
    <w:rsid w:val="00064CCB"/>
    <w:rsid w:val="000658EF"/>
    <w:rsid w:val="00065E4A"/>
    <w:rsid w:val="00066471"/>
    <w:rsid w:val="00066C93"/>
    <w:rsid w:val="0006708D"/>
    <w:rsid w:val="000678C9"/>
    <w:rsid w:val="00067DC3"/>
    <w:rsid w:val="000700F5"/>
    <w:rsid w:val="00070474"/>
    <w:rsid w:val="00070807"/>
    <w:rsid w:val="0007095D"/>
    <w:rsid w:val="00070ABC"/>
    <w:rsid w:val="00071078"/>
    <w:rsid w:val="0007269B"/>
    <w:rsid w:val="00072A44"/>
    <w:rsid w:val="000738B7"/>
    <w:rsid w:val="00073B44"/>
    <w:rsid w:val="00073CEA"/>
    <w:rsid w:val="000742AC"/>
    <w:rsid w:val="00074748"/>
    <w:rsid w:val="000750D5"/>
    <w:rsid w:val="000766FC"/>
    <w:rsid w:val="00076930"/>
    <w:rsid w:val="000774D5"/>
    <w:rsid w:val="00077517"/>
    <w:rsid w:val="000776D1"/>
    <w:rsid w:val="000800B3"/>
    <w:rsid w:val="00082221"/>
    <w:rsid w:val="00083A4B"/>
    <w:rsid w:val="0008400F"/>
    <w:rsid w:val="00085AC0"/>
    <w:rsid w:val="00085C63"/>
    <w:rsid w:val="00085D0C"/>
    <w:rsid w:val="00085FAD"/>
    <w:rsid w:val="000862BE"/>
    <w:rsid w:val="00086D6B"/>
    <w:rsid w:val="000904DE"/>
    <w:rsid w:val="000909BA"/>
    <w:rsid w:val="000909F3"/>
    <w:rsid w:val="00090BFB"/>
    <w:rsid w:val="0009137A"/>
    <w:rsid w:val="00091479"/>
    <w:rsid w:val="00092171"/>
    <w:rsid w:val="000922FF"/>
    <w:rsid w:val="00092543"/>
    <w:rsid w:val="00093C1A"/>
    <w:rsid w:val="00093F48"/>
    <w:rsid w:val="000947BD"/>
    <w:rsid w:val="00094EAF"/>
    <w:rsid w:val="00095D8E"/>
    <w:rsid w:val="00096104"/>
    <w:rsid w:val="00096255"/>
    <w:rsid w:val="000965F4"/>
    <w:rsid w:val="00097288"/>
    <w:rsid w:val="00097BA8"/>
    <w:rsid w:val="00097F1C"/>
    <w:rsid w:val="000A0564"/>
    <w:rsid w:val="000A123D"/>
    <w:rsid w:val="000A388F"/>
    <w:rsid w:val="000A5DFE"/>
    <w:rsid w:val="000A6127"/>
    <w:rsid w:val="000A643D"/>
    <w:rsid w:val="000A64C2"/>
    <w:rsid w:val="000A6859"/>
    <w:rsid w:val="000A6F57"/>
    <w:rsid w:val="000A702B"/>
    <w:rsid w:val="000B07F5"/>
    <w:rsid w:val="000B1F78"/>
    <w:rsid w:val="000B25CA"/>
    <w:rsid w:val="000B269D"/>
    <w:rsid w:val="000B36E8"/>
    <w:rsid w:val="000B3F97"/>
    <w:rsid w:val="000B48D6"/>
    <w:rsid w:val="000B5AC0"/>
    <w:rsid w:val="000B5B30"/>
    <w:rsid w:val="000B6018"/>
    <w:rsid w:val="000B6632"/>
    <w:rsid w:val="000B6F3C"/>
    <w:rsid w:val="000B726B"/>
    <w:rsid w:val="000B7DD2"/>
    <w:rsid w:val="000C0308"/>
    <w:rsid w:val="000C034A"/>
    <w:rsid w:val="000C0CC7"/>
    <w:rsid w:val="000C1778"/>
    <w:rsid w:val="000C1B97"/>
    <w:rsid w:val="000C1CEE"/>
    <w:rsid w:val="000C2575"/>
    <w:rsid w:val="000C35A7"/>
    <w:rsid w:val="000C3879"/>
    <w:rsid w:val="000C3FC7"/>
    <w:rsid w:val="000C437A"/>
    <w:rsid w:val="000C44C2"/>
    <w:rsid w:val="000C50A5"/>
    <w:rsid w:val="000C572C"/>
    <w:rsid w:val="000C5D70"/>
    <w:rsid w:val="000C5FFD"/>
    <w:rsid w:val="000C63F5"/>
    <w:rsid w:val="000C67DE"/>
    <w:rsid w:val="000C7168"/>
    <w:rsid w:val="000C7605"/>
    <w:rsid w:val="000D0673"/>
    <w:rsid w:val="000D0F2E"/>
    <w:rsid w:val="000D1730"/>
    <w:rsid w:val="000D232F"/>
    <w:rsid w:val="000D2755"/>
    <w:rsid w:val="000D2940"/>
    <w:rsid w:val="000D2D99"/>
    <w:rsid w:val="000D30B1"/>
    <w:rsid w:val="000D3118"/>
    <w:rsid w:val="000D43BE"/>
    <w:rsid w:val="000D47AD"/>
    <w:rsid w:val="000D4BA6"/>
    <w:rsid w:val="000D4BF9"/>
    <w:rsid w:val="000D50A2"/>
    <w:rsid w:val="000D5262"/>
    <w:rsid w:val="000D659E"/>
    <w:rsid w:val="000D6FFE"/>
    <w:rsid w:val="000D72D0"/>
    <w:rsid w:val="000D7CF0"/>
    <w:rsid w:val="000D7EC9"/>
    <w:rsid w:val="000E0131"/>
    <w:rsid w:val="000E0243"/>
    <w:rsid w:val="000E0877"/>
    <w:rsid w:val="000E0A78"/>
    <w:rsid w:val="000E0C1C"/>
    <w:rsid w:val="000E1453"/>
    <w:rsid w:val="000E1954"/>
    <w:rsid w:val="000E1F32"/>
    <w:rsid w:val="000E209F"/>
    <w:rsid w:val="000E2E21"/>
    <w:rsid w:val="000E3433"/>
    <w:rsid w:val="000E3A6A"/>
    <w:rsid w:val="000E4097"/>
    <w:rsid w:val="000E40FE"/>
    <w:rsid w:val="000E4324"/>
    <w:rsid w:val="000E53CC"/>
    <w:rsid w:val="000E556A"/>
    <w:rsid w:val="000E5983"/>
    <w:rsid w:val="000E5ADB"/>
    <w:rsid w:val="000E6257"/>
    <w:rsid w:val="000E627A"/>
    <w:rsid w:val="000E6A9D"/>
    <w:rsid w:val="000E6ADD"/>
    <w:rsid w:val="000E753F"/>
    <w:rsid w:val="000F2267"/>
    <w:rsid w:val="000F2611"/>
    <w:rsid w:val="000F2EAA"/>
    <w:rsid w:val="000F4651"/>
    <w:rsid w:val="000F4ACC"/>
    <w:rsid w:val="000F4E4A"/>
    <w:rsid w:val="000F4F4E"/>
    <w:rsid w:val="000F5CC5"/>
    <w:rsid w:val="000F62D6"/>
    <w:rsid w:val="000F6AC3"/>
    <w:rsid w:val="000F6BD4"/>
    <w:rsid w:val="000F6C18"/>
    <w:rsid w:val="000F6D35"/>
    <w:rsid w:val="000F7218"/>
    <w:rsid w:val="000F7C0B"/>
    <w:rsid w:val="000F7D42"/>
    <w:rsid w:val="00100163"/>
    <w:rsid w:val="00100D4B"/>
    <w:rsid w:val="00101E3D"/>
    <w:rsid w:val="00102122"/>
    <w:rsid w:val="00102288"/>
    <w:rsid w:val="00102C99"/>
    <w:rsid w:val="00103EC5"/>
    <w:rsid w:val="001043E5"/>
    <w:rsid w:val="00105111"/>
    <w:rsid w:val="0010627C"/>
    <w:rsid w:val="001063BE"/>
    <w:rsid w:val="00107E45"/>
    <w:rsid w:val="001106D5"/>
    <w:rsid w:val="00110CDA"/>
    <w:rsid w:val="001117C0"/>
    <w:rsid w:val="00111EB9"/>
    <w:rsid w:val="00111F81"/>
    <w:rsid w:val="0011203E"/>
    <w:rsid w:val="001123BE"/>
    <w:rsid w:val="00113043"/>
    <w:rsid w:val="001131F3"/>
    <w:rsid w:val="00113B31"/>
    <w:rsid w:val="00113D99"/>
    <w:rsid w:val="0011410B"/>
    <w:rsid w:val="0011410C"/>
    <w:rsid w:val="00114C10"/>
    <w:rsid w:val="00115DFD"/>
    <w:rsid w:val="00117FB3"/>
    <w:rsid w:val="001200FB"/>
    <w:rsid w:val="001222C1"/>
    <w:rsid w:val="001228B3"/>
    <w:rsid w:val="00123BCA"/>
    <w:rsid w:val="00123DDD"/>
    <w:rsid w:val="001243E4"/>
    <w:rsid w:val="001245C9"/>
    <w:rsid w:val="001248F2"/>
    <w:rsid w:val="00124F6E"/>
    <w:rsid w:val="001253B4"/>
    <w:rsid w:val="00125DAD"/>
    <w:rsid w:val="00125F19"/>
    <w:rsid w:val="00126797"/>
    <w:rsid w:val="00126915"/>
    <w:rsid w:val="001271A9"/>
    <w:rsid w:val="001301BA"/>
    <w:rsid w:val="0013051F"/>
    <w:rsid w:val="00131031"/>
    <w:rsid w:val="001314FF"/>
    <w:rsid w:val="00131E6D"/>
    <w:rsid w:val="00132771"/>
    <w:rsid w:val="00132773"/>
    <w:rsid w:val="001337D0"/>
    <w:rsid w:val="00134104"/>
    <w:rsid w:val="001344D9"/>
    <w:rsid w:val="001355C2"/>
    <w:rsid w:val="00135BF8"/>
    <w:rsid w:val="0013630C"/>
    <w:rsid w:val="0013646C"/>
    <w:rsid w:val="00137570"/>
    <w:rsid w:val="00137C28"/>
    <w:rsid w:val="00140A4E"/>
    <w:rsid w:val="00141024"/>
    <w:rsid w:val="001416C7"/>
    <w:rsid w:val="001419F4"/>
    <w:rsid w:val="00141A5A"/>
    <w:rsid w:val="0014205D"/>
    <w:rsid w:val="001427B3"/>
    <w:rsid w:val="00142DF1"/>
    <w:rsid w:val="00143A5A"/>
    <w:rsid w:val="0014450F"/>
    <w:rsid w:val="00144BC0"/>
    <w:rsid w:val="00144F68"/>
    <w:rsid w:val="00145699"/>
    <w:rsid w:val="00146C5D"/>
    <w:rsid w:val="001508A7"/>
    <w:rsid w:val="00151204"/>
    <w:rsid w:val="00151564"/>
    <w:rsid w:val="001521EA"/>
    <w:rsid w:val="001526D0"/>
    <w:rsid w:val="00152AE5"/>
    <w:rsid w:val="001549CF"/>
    <w:rsid w:val="00154B26"/>
    <w:rsid w:val="00154ED3"/>
    <w:rsid w:val="00155302"/>
    <w:rsid w:val="001560B0"/>
    <w:rsid w:val="00157B31"/>
    <w:rsid w:val="0016030A"/>
    <w:rsid w:val="00160E5D"/>
    <w:rsid w:val="00161544"/>
    <w:rsid w:val="00161BC3"/>
    <w:rsid w:val="00161EE8"/>
    <w:rsid w:val="00162322"/>
    <w:rsid w:val="00162933"/>
    <w:rsid w:val="00162AD4"/>
    <w:rsid w:val="00162FB1"/>
    <w:rsid w:val="00163A33"/>
    <w:rsid w:val="001644C3"/>
    <w:rsid w:val="001645C4"/>
    <w:rsid w:val="0016762C"/>
    <w:rsid w:val="001706FF"/>
    <w:rsid w:val="00170DF2"/>
    <w:rsid w:val="0017114C"/>
    <w:rsid w:val="00171900"/>
    <w:rsid w:val="0017199C"/>
    <w:rsid w:val="0017199E"/>
    <w:rsid w:val="00171BA6"/>
    <w:rsid w:val="00171E0A"/>
    <w:rsid w:val="00171E73"/>
    <w:rsid w:val="0017300F"/>
    <w:rsid w:val="001734E0"/>
    <w:rsid w:val="001736C0"/>
    <w:rsid w:val="00174CA8"/>
    <w:rsid w:val="00175C44"/>
    <w:rsid w:val="00175F24"/>
    <w:rsid w:val="00176469"/>
    <w:rsid w:val="00176900"/>
    <w:rsid w:val="00177413"/>
    <w:rsid w:val="001776E5"/>
    <w:rsid w:val="001806C3"/>
    <w:rsid w:val="00180ECF"/>
    <w:rsid w:val="0018119F"/>
    <w:rsid w:val="00181755"/>
    <w:rsid w:val="00181AEA"/>
    <w:rsid w:val="00181B79"/>
    <w:rsid w:val="00182615"/>
    <w:rsid w:val="00183032"/>
    <w:rsid w:val="00183A12"/>
    <w:rsid w:val="00183B94"/>
    <w:rsid w:val="00183F68"/>
    <w:rsid w:val="00184D2E"/>
    <w:rsid w:val="001855F6"/>
    <w:rsid w:val="00185AB1"/>
    <w:rsid w:val="00185F48"/>
    <w:rsid w:val="00186061"/>
    <w:rsid w:val="001860EA"/>
    <w:rsid w:val="0018762C"/>
    <w:rsid w:val="00187B32"/>
    <w:rsid w:val="00187B9E"/>
    <w:rsid w:val="00187C8E"/>
    <w:rsid w:val="00190855"/>
    <w:rsid w:val="00190C02"/>
    <w:rsid w:val="0019142A"/>
    <w:rsid w:val="001915DC"/>
    <w:rsid w:val="001917A4"/>
    <w:rsid w:val="001917E2"/>
    <w:rsid w:val="00191FCF"/>
    <w:rsid w:val="001922D8"/>
    <w:rsid w:val="00192C26"/>
    <w:rsid w:val="001934E8"/>
    <w:rsid w:val="001935BB"/>
    <w:rsid w:val="00193799"/>
    <w:rsid w:val="0019408B"/>
    <w:rsid w:val="001941A8"/>
    <w:rsid w:val="00194824"/>
    <w:rsid w:val="001A0717"/>
    <w:rsid w:val="001A09B6"/>
    <w:rsid w:val="001A0EDC"/>
    <w:rsid w:val="001A12A5"/>
    <w:rsid w:val="001A172A"/>
    <w:rsid w:val="001A187D"/>
    <w:rsid w:val="001A18C1"/>
    <w:rsid w:val="001A1AE4"/>
    <w:rsid w:val="001A1C36"/>
    <w:rsid w:val="001A20F1"/>
    <w:rsid w:val="001A2154"/>
    <w:rsid w:val="001A2507"/>
    <w:rsid w:val="001A2590"/>
    <w:rsid w:val="001A3060"/>
    <w:rsid w:val="001A3646"/>
    <w:rsid w:val="001A3FA2"/>
    <w:rsid w:val="001A4914"/>
    <w:rsid w:val="001A4C4A"/>
    <w:rsid w:val="001A4F7A"/>
    <w:rsid w:val="001A53B8"/>
    <w:rsid w:val="001A55A7"/>
    <w:rsid w:val="001A584A"/>
    <w:rsid w:val="001A5FDB"/>
    <w:rsid w:val="001A602C"/>
    <w:rsid w:val="001A61B4"/>
    <w:rsid w:val="001A6B02"/>
    <w:rsid w:val="001A74FA"/>
    <w:rsid w:val="001B087B"/>
    <w:rsid w:val="001B0EE9"/>
    <w:rsid w:val="001B100F"/>
    <w:rsid w:val="001B14D4"/>
    <w:rsid w:val="001B14D6"/>
    <w:rsid w:val="001B167F"/>
    <w:rsid w:val="001B182A"/>
    <w:rsid w:val="001B1832"/>
    <w:rsid w:val="001B18A6"/>
    <w:rsid w:val="001B24A7"/>
    <w:rsid w:val="001B2830"/>
    <w:rsid w:val="001B29F1"/>
    <w:rsid w:val="001B3A7A"/>
    <w:rsid w:val="001B40C6"/>
    <w:rsid w:val="001B4723"/>
    <w:rsid w:val="001B5895"/>
    <w:rsid w:val="001B675B"/>
    <w:rsid w:val="001B6B03"/>
    <w:rsid w:val="001B788C"/>
    <w:rsid w:val="001C01D3"/>
    <w:rsid w:val="001C0705"/>
    <w:rsid w:val="001C0A6C"/>
    <w:rsid w:val="001C1360"/>
    <w:rsid w:val="001C1680"/>
    <w:rsid w:val="001C1DD9"/>
    <w:rsid w:val="001C1FE5"/>
    <w:rsid w:val="001C291D"/>
    <w:rsid w:val="001C2E45"/>
    <w:rsid w:val="001C3A89"/>
    <w:rsid w:val="001C3FFF"/>
    <w:rsid w:val="001C58B2"/>
    <w:rsid w:val="001C59CF"/>
    <w:rsid w:val="001C62C5"/>
    <w:rsid w:val="001C6533"/>
    <w:rsid w:val="001C6BA4"/>
    <w:rsid w:val="001C6F4D"/>
    <w:rsid w:val="001C6FC4"/>
    <w:rsid w:val="001C7482"/>
    <w:rsid w:val="001C7632"/>
    <w:rsid w:val="001C76DA"/>
    <w:rsid w:val="001D0846"/>
    <w:rsid w:val="001D085B"/>
    <w:rsid w:val="001D0ECE"/>
    <w:rsid w:val="001D22DF"/>
    <w:rsid w:val="001D27CD"/>
    <w:rsid w:val="001D3487"/>
    <w:rsid w:val="001D3D74"/>
    <w:rsid w:val="001D3ECE"/>
    <w:rsid w:val="001D44D0"/>
    <w:rsid w:val="001D4550"/>
    <w:rsid w:val="001D4A21"/>
    <w:rsid w:val="001D4C5E"/>
    <w:rsid w:val="001D5F64"/>
    <w:rsid w:val="001D710F"/>
    <w:rsid w:val="001D770D"/>
    <w:rsid w:val="001D78C1"/>
    <w:rsid w:val="001D7926"/>
    <w:rsid w:val="001E0265"/>
    <w:rsid w:val="001E0430"/>
    <w:rsid w:val="001E0EE5"/>
    <w:rsid w:val="001E15A2"/>
    <w:rsid w:val="001E17C1"/>
    <w:rsid w:val="001E188A"/>
    <w:rsid w:val="001E1B0B"/>
    <w:rsid w:val="001E1F4E"/>
    <w:rsid w:val="001E3078"/>
    <w:rsid w:val="001E3559"/>
    <w:rsid w:val="001E3A1F"/>
    <w:rsid w:val="001E3D60"/>
    <w:rsid w:val="001E46BE"/>
    <w:rsid w:val="001E498B"/>
    <w:rsid w:val="001E4A8B"/>
    <w:rsid w:val="001E4C88"/>
    <w:rsid w:val="001E6D70"/>
    <w:rsid w:val="001E6FD6"/>
    <w:rsid w:val="001E736D"/>
    <w:rsid w:val="001E751A"/>
    <w:rsid w:val="001E7792"/>
    <w:rsid w:val="001E7AD3"/>
    <w:rsid w:val="001E7B6D"/>
    <w:rsid w:val="001F053F"/>
    <w:rsid w:val="001F1013"/>
    <w:rsid w:val="001F1578"/>
    <w:rsid w:val="001F1800"/>
    <w:rsid w:val="001F1E2C"/>
    <w:rsid w:val="001F2AF1"/>
    <w:rsid w:val="001F2D44"/>
    <w:rsid w:val="001F3289"/>
    <w:rsid w:val="001F37E8"/>
    <w:rsid w:val="001F47FE"/>
    <w:rsid w:val="001F53D1"/>
    <w:rsid w:val="001F5529"/>
    <w:rsid w:val="001F5B47"/>
    <w:rsid w:val="001F6C65"/>
    <w:rsid w:val="001F6D98"/>
    <w:rsid w:val="001F72F2"/>
    <w:rsid w:val="001F753B"/>
    <w:rsid w:val="001F7BF0"/>
    <w:rsid w:val="0020086B"/>
    <w:rsid w:val="00201A5E"/>
    <w:rsid w:val="00201B45"/>
    <w:rsid w:val="00201F0D"/>
    <w:rsid w:val="00201F5E"/>
    <w:rsid w:val="00203167"/>
    <w:rsid w:val="002032D3"/>
    <w:rsid w:val="0020486C"/>
    <w:rsid w:val="00206601"/>
    <w:rsid w:val="00207E0A"/>
    <w:rsid w:val="002101EB"/>
    <w:rsid w:val="00210810"/>
    <w:rsid w:val="00211704"/>
    <w:rsid w:val="00211D94"/>
    <w:rsid w:val="00211EA5"/>
    <w:rsid w:val="00212544"/>
    <w:rsid w:val="00212AFB"/>
    <w:rsid w:val="00213A95"/>
    <w:rsid w:val="00214097"/>
    <w:rsid w:val="00214B9D"/>
    <w:rsid w:val="00214DB0"/>
    <w:rsid w:val="00214E2C"/>
    <w:rsid w:val="00215419"/>
    <w:rsid w:val="002158CD"/>
    <w:rsid w:val="0021687B"/>
    <w:rsid w:val="00216B73"/>
    <w:rsid w:val="00217221"/>
    <w:rsid w:val="00217FE8"/>
    <w:rsid w:val="002212E2"/>
    <w:rsid w:val="00221306"/>
    <w:rsid w:val="00221388"/>
    <w:rsid w:val="002217A5"/>
    <w:rsid w:val="002226DE"/>
    <w:rsid w:val="00222775"/>
    <w:rsid w:val="002227F5"/>
    <w:rsid w:val="00224629"/>
    <w:rsid w:val="00224998"/>
    <w:rsid w:val="00225A6F"/>
    <w:rsid w:val="00226453"/>
    <w:rsid w:val="00226E3B"/>
    <w:rsid w:val="002278F5"/>
    <w:rsid w:val="00230401"/>
    <w:rsid w:val="002304BB"/>
    <w:rsid w:val="0023076F"/>
    <w:rsid w:val="0023208C"/>
    <w:rsid w:val="00232199"/>
    <w:rsid w:val="002321FE"/>
    <w:rsid w:val="00232F61"/>
    <w:rsid w:val="0023326F"/>
    <w:rsid w:val="00233856"/>
    <w:rsid w:val="00233B3D"/>
    <w:rsid w:val="0023433A"/>
    <w:rsid w:val="002343EF"/>
    <w:rsid w:val="002345EE"/>
    <w:rsid w:val="00235156"/>
    <w:rsid w:val="00235F84"/>
    <w:rsid w:val="002369F8"/>
    <w:rsid w:val="00236C0B"/>
    <w:rsid w:val="00237243"/>
    <w:rsid w:val="00237263"/>
    <w:rsid w:val="002401C4"/>
    <w:rsid w:val="0024056B"/>
    <w:rsid w:val="00240F3F"/>
    <w:rsid w:val="002413ED"/>
    <w:rsid w:val="002414D1"/>
    <w:rsid w:val="0024252A"/>
    <w:rsid w:val="002425F2"/>
    <w:rsid w:val="00242A9A"/>
    <w:rsid w:val="00242BDE"/>
    <w:rsid w:val="00242F79"/>
    <w:rsid w:val="00242FC9"/>
    <w:rsid w:val="00243588"/>
    <w:rsid w:val="00247063"/>
    <w:rsid w:val="00250466"/>
    <w:rsid w:val="00250560"/>
    <w:rsid w:val="002513BE"/>
    <w:rsid w:val="00251D3C"/>
    <w:rsid w:val="002529D2"/>
    <w:rsid w:val="00252C31"/>
    <w:rsid w:val="00254071"/>
    <w:rsid w:val="00254A3B"/>
    <w:rsid w:val="00254DE3"/>
    <w:rsid w:val="00256493"/>
    <w:rsid w:val="002566D0"/>
    <w:rsid w:val="00256FDC"/>
    <w:rsid w:val="0025719D"/>
    <w:rsid w:val="0025722D"/>
    <w:rsid w:val="00257719"/>
    <w:rsid w:val="00260537"/>
    <w:rsid w:val="0026110B"/>
    <w:rsid w:val="00262BA4"/>
    <w:rsid w:val="0026312E"/>
    <w:rsid w:val="00263B13"/>
    <w:rsid w:val="00263B40"/>
    <w:rsid w:val="00263F7B"/>
    <w:rsid w:val="0026490D"/>
    <w:rsid w:val="00264EDC"/>
    <w:rsid w:val="00265628"/>
    <w:rsid w:val="00265949"/>
    <w:rsid w:val="00265B2B"/>
    <w:rsid w:val="00265D48"/>
    <w:rsid w:val="00266550"/>
    <w:rsid w:val="0026748D"/>
    <w:rsid w:val="00267649"/>
    <w:rsid w:val="00267BEA"/>
    <w:rsid w:val="0027039F"/>
    <w:rsid w:val="002707B5"/>
    <w:rsid w:val="00270954"/>
    <w:rsid w:val="00270C0F"/>
    <w:rsid w:val="0027138C"/>
    <w:rsid w:val="0027159B"/>
    <w:rsid w:val="00271888"/>
    <w:rsid w:val="00271FE3"/>
    <w:rsid w:val="002720D1"/>
    <w:rsid w:val="00272234"/>
    <w:rsid w:val="00272983"/>
    <w:rsid w:val="00273037"/>
    <w:rsid w:val="00273E50"/>
    <w:rsid w:val="002748E9"/>
    <w:rsid w:val="00274CF3"/>
    <w:rsid w:val="00275093"/>
    <w:rsid w:val="00275F67"/>
    <w:rsid w:val="0027611D"/>
    <w:rsid w:val="00276787"/>
    <w:rsid w:val="0027683B"/>
    <w:rsid w:val="00276921"/>
    <w:rsid w:val="00277115"/>
    <w:rsid w:val="00277A03"/>
    <w:rsid w:val="0028034B"/>
    <w:rsid w:val="00280437"/>
    <w:rsid w:val="00280EDF"/>
    <w:rsid w:val="00281995"/>
    <w:rsid w:val="00282144"/>
    <w:rsid w:val="002843C1"/>
    <w:rsid w:val="002847D8"/>
    <w:rsid w:val="00284E49"/>
    <w:rsid w:val="0028526B"/>
    <w:rsid w:val="00285A22"/>
    <w:rsid w:val="00286E6F"/>
    <w:rsid w:val="00287104"/>
    <w:rsid w:val="0028720F"/>
    <w:rsid w:val="0028771D"/>
    <w:rsid w:val="002877AC"/>
    <w:rsid w:val="00290228"/>
    <w:rsid w:val="00290247"/>
    <w:rsid w:val="00290A2B"/>
    <w:rsid w:val="0029106D"/>
    <w:rsid w:val="00291602"/>
    <w:rsid w:val="00291B1D"/>
    <w:rsid w:val="00291E50"/>
    <w:rsid w:val="0029219C"/>
    <w:rsid w:val="00292721"/>
    <w:rsid w:val="002928DC"/>
    <w:rsid w:val="00293443"/>
    <w:rsid w:val="00293532"/>
    <w:rsid w:val="0029470E"/>
    <w:rsid w:val="00294887"/>
    <w:rsid w:val="002948AA"/>
    <w:rsid w:val="00296179"/>
    <w:rsid w:val="0029646A"/>
    <w:rsid w:val="00296553"/>
    <w:rsid w:val="0029726D"/>
    <w:rsid w:val="0029761A"/>
    <w:rsid w:val="00297774"/>
    <w:rsid w:val="002977AF"/>
    <w:rsid w:val="00297ED2"/>
    <w:rsid w:val="002A0584"/>
    <w:rsid w:val="002A0C6D"/>
    <w:rsid w:val="002A1609"/>
    <w:rsid w:val="002A2A6B"/>
    <w:rsid w:val="002A3681"/>
    <w:rsid w:val="002A4884"/>
    <w:rsid w:val="002A4FCC"/>
    <w:rsid w:val="002A5180"/>
    <w:rsid w:val="002A62BA"/>
    <w:rsid w:val="002A674D"/>
    <w:rsid w:val="002A70C4"/>
    <w:rsid w:val="002A7194"/>
    <w:rsid w:val="002A78A8"/>
    <w:rsid w:val="002B04FC"/>
    <w:rsid w:val="002B05CC"/>
    <w:rsid w:val="002B1017"/>
    <w:rsid w:val="002B101D"/>
    <w:rsid w:val="002B1D2F"/>
    <w:rsid w:val="002B27C2"/>
    <w:rsid w:val="002B2EC4"/>
    <w:rsid w:val="002B34B1"/>
    <w:rsid w:val="002B386F"/>
    <w:rsid w:val="002B3A6E"/>
    <w:rsid w:val="002B41C6"/>
    <w:rsid w:val="002B443C"/>
    <w:rsid w:val="002B4891"/>
    <w:rsid w:val="002B4D1C"/>
    <w:rsid w:val="002B4FAA"/>
    <w:rsid w:val="002B57C4"/>
    <w:rsid w:val="002B58BA"/>
    <w:rsid w:val="002B596B"/>
    <w:rsid w:val="002B5CC5"/>
    <w:rsid w:val="002B5FD2"/>
    <w:rsid w:val="002B6246"/>
    <w:rsid w:val="002B65DF"/>
    <w:rsid w:val="002B667F"/>
    <w:rsid w:val="002B6B50"/>
    <w:rsid w:val="002B7150"/>
    <w:rsid w:val="002B7E65"/>
    <w:rsid w:val="002C019D"/>
    <w:rsid w:val="002C02DD"/>
    <w:rsid w:val="002C0928"/>
    <w:rsid w:val="002C1DBB"/>
    <w:rsid w:val="002C1E26"/>
    <w:rsid w:val="002C1E4B"/>
    <w:rsid w:val="002C208C"/>
    <w:rsid w:val="002C254B"/>
    <w:rsid w:val="002C25E2"/>
    <w:rsid w:val="002C32DD"/>
    <w:rsid w:val="002C41EC"/>
    <w:rsid w:val="002C45D9"/>
    <w:rsid w:val="002C45FE"/>
    <w:rsid w:val="002C4798"/>
    <w:rsid w:val="002C56B4"/>
    <w:rsid w:val="002C59D7"/>
    <w:rsid w:val="002C6D25"/>
    <w:rsid w:val="002C6D7F"/>
    <w:rsid w:val="002C79D8"/>
    <w:rsid w:val="002C7F94"/>
    <w:rsid w:val="002D1440"/>
    <w:rsid w:val="002D160A"/>
    <w:rsid w:val="002D1E78"/>
    <w:rsid w:val="002D25E9"/>
    <w:rsid w:val="002D2CC4"/>
    <w:rsid w:val="002D2F2F"/>
    <w:rsid w:val="002D322C"/>
    <w:rsid w:val="002D3658"/>
    <w:rsid w:val="002D3D1D"/>
    <w:rsid w:val="002D5073"/>
    <w:rsid w:val="002D5A43"/>
    <w:rsid w:val="002D5F48"/>
    <w:rsid w:val="002D6496"/>
    <w:rsid w:val="002D7331"/>
    <w:rsid w:val="002D7595"/>
    <w:rsid w:val="002D78C1"/>
    <w:rsid w:val="002E0C23"/>
    <w:rsid w:val="002E0F2F"/>
    <w:rsid w:val="002E1675"/>
    <w:rsid w:val="002E17A4"/>
    <w:rsid w:val="002E1D68"/>
    <w:rsid w:val="002E2438"/>
    <w:rsid w:val="002E24BC"/>
    <w:rsid w:val="002E293E"/>
    <w:rsid w:val="002E2EE3"/>
    <w:rsid w:val="002E455F"/>
    <w:rsid w:val="002E456C"/>
    <w:rsid w:val="002E5E1E"/>
    <w:rsid w:val="002E5E79"/>
    <w:rsid w:val="002E6334"/>
    <w:rsid w:val="002E6955"/>
    <w:rsid w:val="002E69BE"/>
    <w:rsid w:val="002E6C13"/>
    <w:rsid w:val="002E7622"/>
    <w:rsid w:val="002E793D"/>
    <w:rsid w:val="002F03C1"/>
    <w:rsid w:val="002F0415"/>
    <w:rsid w:val="002F13DA"/>
    <w:rsid w:val="002F1846"/>
    <w:rsid w:val="002F1915"/>
    <w:rsid w:val="002F210F"/>
    <w:rsid w:val="002F2481"/>
    <w:rsid w:val="002F25AA"/>
    <w:rsid w:val="002F2AF1"/>
    <w:rsid w:val="002F325F"/>
    <w:rsid w:val="002F3A20"/>
    <w:rsid w:val="002F3AE6"/>
    <w:rsid w:val="002F3B9D"/>
    <w:rsid w:val="002F3F1B"/>
    <w:rsid w:val="002F4B6E"/>
    <w:rsid w:val="002F4E11"/>
    <w:rsid w:val="002F52FF"/>
    <w:rsid w:val="002F63F9"/>
    <w:rsid w:val="002F683E"/>
    <w:rsid w:val="002F787B"/>
    <w:rsid w:val="00300AAD"/>
    <w:rsid w:val="0030158B"/>
    <w:rsid w:val="00301818"/>
    <w:rsid w:val="00301A61"/>
    <w:rsid w:val="00301DC1"/>
    <w:rsid w:val="00302095"/>
    <w:rsid w:val="00302C3A"/>
    <w:rsid w:val="00303884"/>
    <w:rsid w:val="00303886"/>
    <w:rsid w:val="00305464"/>
    <w:rsid w:val="003055D4"/>
    <w:rsid w:val="00305CB0"/>
    <w:rsid w:val="00306409"/>
    <w:rsid w:val="00306518"/>
    <w:rsid w:val="00306563"/>
    <w:rsid w:val="00306566"/>
    <w:rsid w:val="00306F82"/>
    <w:rsid w:val="00307026"/>
    <w:rsid w:val="0030744E"/>
    <w:rsid w:val="00307571"/>
    <w:rsid w:val="00307F11"/>
    <w:rsid w:val="00310709"/>
    <w:rsid w:val="00310947"/>
    <w:rsid w:val="003109FD"/>
    <w:rsid w:val="00310C1A"/>
    <w:rsid w:val="0031159A"/>
    <w:rsid w:val="00312499"/>
    <w:rsid w:val="00313006"/>
    <w:rsid w:val="00313806"/>
    <w:rsid w:val="00313827"/>
    <w:rsid w:val="00314C32"/>
    <w:rsid w:val="00315238"/>
    <w:rsid w:val="003157E3"/>
    <w:rsid w:val="00315FFF"/>
    <w:rsid w:val="003201EF"/>
    <w:rsid w:val="003202B3"/>
    <w:rsid w:val="00320A31"/>
    <w:rsid w:val="00321622"/>
    <w:rsid w:val="003228C5"/>
    <w:rsid w:val="00322E09"/>
    <w:rsid w:val="00323040"/>
    <w:rsid w:val="00323325"/>
    <w:rsid w:val="003233F7"/>
    <w:rsid w:val="0032388C"/>
    <w:rsid w:val="003238CB"/>
    <w:rsid w:val="00323B1F"/>
    <w:rsid w:val="003240CF"/>
    <w:rsid w:val="0032411F"/>
    <w:rsid w:val="003249DA"/>
    <w:rsid w:val="00324EE8"/>
    <w:rsid w:val="0032608A"/>
    <w:rsid w:val="00326B93"/>
    <w:rsid w:val="00327014"/>
    <w:rsid w:val="00327103"/>
    <w:rsid w:val="00327BEA"/>
    <w:rsid w:val="003310DB"/>
    <w:rsid w:val="003314BC"/>
    <w:rsid w:val="00331610"/>
    <w:rsid w:val="00331AFD"/>
    <w:rsid w:val="00331F86"/>
    <w:rsid w:val="0033275C"/>
    <w:rsid w:val="00332844"/>
    <w:rsid w:val="00332B15"/>
    <w:rsid w:val="00332FA9"/>
    <w:rsid w:val="00333E58"/>
    <w:rsid w:val="00334B73"/>
    <w:rsid w:val="003357E9"/>
    <w:rsid w:val="0033679C"/>
    <w:rsid w:val="00336EBD"/>
    <w:rsid w:val="003376D6"/>
    <w:rsid w:val="003377B8"/>
    <w:rsid w:val="0033796A"/>
    <w:rsid w:val="00337EEE"/>
    <w:rsid w:val="00337F80"/>
    <w:rsid w:val="00340CF3"/>
    <w:rsid w:val="00340E84"/>
    <w:rsid w:val="0034234C"/>
    <w:rsid w:val="003425C3"/>
    <w:rsid w:val="00342B20"/>
    <w:rsid w:val="00343B09"/>
    <w:rsid w:val="00345282"/>
    <w:rsid w:val="00346575"/>
    <w:rsid w:val="003470A3"/>
    <w:rsid w:val="003471CF"/>
    <w:rsid w:val="00347D3E"/>
    <w:rsid w:val="00350D4F"/>
    <w:rsid w:val="00351505"/>
    <w:rsid w:val="003515BD"/>
    <w:rsid w:val="003521A9"/>
    <w:rsid w:val="003523D8"/>
    <w:rsid w:val="00352559"/>
    <w:rsid w:val="003526C3"/>
    <w:rsid w:val="00353A2F"/>
    <w:rsid w:val="00353B89"/>
    <w:rsid w:val="00354085"/>
    <w:rsid w:val="003549A5"/>
    <w:rsid w:val="00354AB9"/>
    <w:rsid w:val="003551A3"/>
    <w:rsid w:val="00355688"/>
    <w:rsid w:val="00355BF4"/>
    <w:rsid w:val="00355E94"/>
    <w:rsid w:val="00356B34"/>
    <w:rsid w:val="00357940"/>
    <w:rsid w:val="00357A02"/>
    <w:rsid w:val="00357D4F"/>
    <w:rsid w:val="00357F6E"/>
    <w:rsid w:val="0036033F"/>
    <w:rsid w:val="00360EE7"/>
    <w:rsid w:val="00361016"/>
    <w:rsid w:val="003612C9"/>
    <w:rsid w:val="00361528"/>
    <w:rsid w:val="003617DF"/>
    <w:rsid w:val="00361F7C"/>
    <w:rsid w:val="0036281D"/>
    <w:rsid w:val="00362901"/>
    <w:rsid w:val="00362943"/>
    <w:rsid w:val="00362EE0"/>
    <w:rsid w:val="00362FB2"/>
    <w:rsid w:val="00363308"/>
    <w:rsid w:val="00363957"/>
    <w:rsid w:val="003645DF"/>
    <w:rsid w:val="003654F3"/>
    <w:rsid w:val="003657E0"/>
    <w:rsid w:val="00365D32"/>
    <w:rsid w:val="003661C1"/>
    <w:rsid w:val="00366616"/>
    <w:rsid w:val="003666CF"/>
    <w:rsid w:val="00366CA1"/>
    <w:rsid w:val="00366EB6"/>
    <w:rsid w:val="003675D0"/>
    <w:rsid w:val="00367F6A"/>
    <w:rsid w:val="00370EE8"/>
    <w:rsid w:val="003710E4"/>
    <w:rsid w:val="0037126C"/>
    <w:rsid w:val="00371733"/>
    <w:rsid w:val="00371D7F"/>
    <w:rsid w:val="00372BDF"/>
    <w:rsid w:val="0037375D"/>
    <w:rsid w:val="003738C3"/>
    <w:rsid w:val="00374191"/>
    <w:rsid w:val="00374CCE"/>
    <w:rsid w:val="00375019"/>
    <w:rsid w:val="003750A1"/>
    <w:rsid w:val="00376F32"/>
    <w:rsid w:val="003778FA"/>
    <w:rsid w:val="00377E97"/>
    <w:rsid w:val="00381E37"/>
    <w:rsid w:val="00382074"/>
    <w:rsid w:val="003828E6"/>
    <w:rsid w:val="00382A04"/>
    <w:rsid w:val="00382DF2"/>
    <w:rsid w:val="00384677"/>
    <w:rsid w:val="00384841"/>
    <w:rsid w:val="00384A21"/>
    <w:rsid w:val="00384D4D"/>
    <w:rsid w:val="0038507F"/>
    <w:rsid w:val="00385D11"/>
    <w:rsid w:val="00385EBB"/>
    <w:rsid w:val="00385F48"/>
    <w:rsid w:val="00386546"/>
    <w:rsid w:val="0038692F"/>
    <w:rsid w:val="00386AAB"/>
    <w:rsid w:val="00387CEF"/>
    <w:rsid w:val="00390653"/>
    <w:rsid w:val="00390721"/>
    <w:rsid w:val="00390A0A"/>
    <w:rsid w:val="00390C27"/>
    <w:rsid w:val="00390CD1"/>
    <w:rsid w:val="00390F88"/>
    <w:rsid w:val="00392344"/>
    <w:rsid w:val="0039256F"/>
    <w:rsid w:val="00392DD9"/>
    <w:rsid w:val="00393794"/>
    <w:rsid w:val="0039387D"/>
    <w:rsid w:val="00393A0C"/>
    <w:rsid w:val="00393A7D"/>
    <w:rsid w:val="003941B3"/>
    <w:rsid w:val="00394E49"/>
    <w:rsid w:val="003955F6"/>
    <w:rsid w:val="00395BCE"/>
    <w:rsid w:val="00395F72"/>
    <w:rsid w:val="0039689D"/>
    <w:rsid w:val="00397211"/>
    <w:rsid w:val="0039769D"/>
    <w:rsid w:val="00397BA2"/>
    <w:rsid w:val="003A02C0"/>
    <w:rsid w:val="003A02DF"/>
    <w:rsid w:val="003A0320"/>
    <w:rsid w:val="003A0322"/>
    <w:rsid w:val="003A0387"/>
    <w:rsid w:val="003A050A"/>
    <w:rsid w:val="003A0F18"/>
    <w:rsid w:val="003A1624"/>
    <w:rsid w:val="003A18D6"/>
    <w:rsid w:val="003A1CD5"/>
    <w:rsid w:val="003A2069"/>
    <w:rsid w:val="003A29A3"/>
    <w:rsid w:val="003A2AAE"/>
    <w:rsid w:val="003A3CDF"/>
    <w:rsid w:val="003A3F07"/>
    <w:rsid w:val="003A42DD"/>
    <w:rsid w:val="003A43B3"/>
    <w:rsid w:val="003A5091"/>
    <w:rsid w:val="003A51F3"/>
    <w:rsid w:val="003A5EA2"/>
    <w:rsid w:val="003A64F6"/>
    <w:rsid w:val="003A6DAD"/>
    <w:rsid w:val="003A7B30"/>
    <w:rsid w:val="003A7B98"/>
    <w:rsid w:val="003A7C89"/>
    <w:rsid w:val="003A7D64"/>
    <w:rsid w:val="003B003D"/>
    <w:rsid w:val="003B0407"/>
    <w:rsid w:val="003B05BF"/>
    <w:rsid w:val="003B0D09"/>
    <w:rsid w:val="003B0DF3"/>
    <w:rsid w:val="003B1E18"/>
    <w:rsid w:val="003B1EC6"/>
    <w:rsid w:val="003B2B64"/>
    <w:rsid w:val="003B2C3B"/>
    <w:rsid w:val="003B376C"/>
    <w:rsid w:val="003B3A7B"/>
    <w:rsid w:val="003B4614"/>
    <w:rsid w:val="003B4C4C"/>
    <w:rsid w:val="003B5197"/>
    <w:rsid w:val="003B5761"/>
    <w:rsid w:val="003B6B74"/>
    <w:rsid w:val="003B7324"/>
    <w:rsid w:val="003B7769"/>
    <w:rsid w:val="003B7B82"/>
    <w:rsid w:val="003C0694"/>
    <w:rsid w:val="003C0AF6"/>
    <w:rsid w:val="003C0E7F"/>
    <w:rsid w:val="003C16A7"/>
    <w:rsid w:val="003C1CE6"/>
    <w:rsid w:val="003C1F75"/>
    <w:rsid w:val="003C2314"/>
    <w:rsid w:val="003C2B62"/>
    <w:rsid w:val="003C31A5"/>
    <w:rsid w:val="003C42FE"/>
    <w:rsid w:val="003C44D7"/>
    <w:rsid w:val="003C4CE7"/>
    <w:rsid w:val="003C519B"/>
    <w:rsid w:val="003C5299"/>
    <w:rsid w:val="003C52DB"/>
    <w:rsid w:val="003C652C"/>
    <w:rsid w:val="003C6790"/>
    <w:rsid w:val="003C6CDA"/>
    <w:rsid w:val="003C6D24"/>
    <w:rsid w:val="003C742F"/>
    <w:rsid w:val="003D085A"/>
    <w:rsid w:val="003D1314"/>
    <w:rsid w:val="003D1730"/>
    <w:rsid w:val="003D26AC"/>
    <w:rsid w:val="003D2A3D"/>
    <w:rsid w:val="003D33EC"/>
    <w:rsid w:val="003D34BB"/>
    <w:rsid w:val="003D3A8A"/>
    <w:rsid w:val="003D3EED"/>
    <w:rsid w:val="003D42E5"/>
    <w:rsid w:val="003D4903"/>
    <w:rsid w:val="003D53EB"/>
    <w:rsid w:val="003D59E2"/>
    <w:rsid w:val="003D5B39"/>
    <w:rsid w:val="003D5FFE"/>
    <w:rsid w:val="003D75E3"/>
    <w:rsid w:val="003D7811"/>
    <w:rsid w:val="003D7BED"/>
    <w:rsid w:val="003D7D98"/>
    <w:rsid w:val="003E0111"/>
    <w:rsid w:val="003E07D5"/>
    <w:rsid w:val="003E117B"/>
    <w:rsid w:val="003E29BB"/>
    <w:rsid w:val="003E2EE5"/>
    <w:rsid w:val="003E35E8"/>
    <w:rsid w:val="003E3637"/>
    <w:rsid w:val="003E38F5"/>
    <w:rsid w:val="003E3D57"/>
    <w:rsid w:val="003E3D7F"/>
    <w:rsid w:val="003E3F83"/>
    <w:rsid w:val="003E5853"/>
    <w:rsid w:val="003E5CFD"/>
    <w:rsid w:val="003E5DAC"/>
    <w:rsid w:val="003E6CE0"/>
    <w:rsid w:val="003E6E6D"/>
    <w:rsid w:val="003E752C"/>
    <w:rsid w:val="003E7DCA"/>
    <w:rsid w:val="003F09A4"/>
    <w:rsid w:val="003F0A7B"/>
    <w:rsid w:val="003F0ABA"/>
    <w:rsid w:val="003F0CD3"/>
    <w:rsid w:val="003F1B4C"/>
    <w:rsid w:val="003F1C3C"/>
    <w:rsid w:val="003F1C6E"/>
    <w:rsid w:val="003F1F14"/>
    <w:rsid w:val="003F2050"/>
    <w:rsid w:val="003F216A"/>
    <w:rsid w:val="003F2388"/>
    <w:rsid w:val="003F24CF"/>
    <w:rsid w:val="003F2C93"/>
    <w:rsid w:val="003F384F"/>
    <w:rsid w:val="003F421D"/>
    <w:rsid w:val="003F450A"/>
    <w:rsid w:val="003F517E"/>
    <w:rsid w:val="003F5B5C"/>
    <w:rsid w:val="003F6474"/>
    <w:rsid w:val="003F745C"/>
    <w:rsid w:val="00400BE3"/>
    <w:rsid w:val="00402C53"/>
    <w:rsid w:val="00402CA4"/>
    <w:rsid w:val="00402EF9"/>
    <w:rsid w:val="00403FF3"/>
    <w:rsid w:val="00404541"/>
    <w:rsid w:val="00404580"/>
    <w:rsid w:val="0040491D"/>
    <w:rsid w:val="00404A35"/>
    <w:rsid w:val="00404EDE"/>
    <w:rsid w:val="00404FC1"/>
    <w:rsid w:val="00405056"/>
    <w:rsid w:val="004055FD"/>
    <w:rsid w:val="00405CB0"/>
    <w:rsid w:val="00406413"/>
    <w:rsid w:val="0040670F"/>
    <w:rsid w:val="00406B0C"/>
    <w:rsid w:val="00406E60"/>
    <w:rsid w:val="004070E0"/>
    <w:rsid w:val="004101D8"/>
    <w:rsid w:val="0041069F"/>
    <w:rsid w:val="0041123D"/>
    <w:rsid w:val="0041155E"/>
    <w:rsid w:val="0041172A"/>
    <w:rsid w:val="004118F7"/>
    <w:rsid w:val="00411AFE"/>
    <w:rsid w:val="00412ABF"/>
    <w:rsid w:val="00414CF1"/>
    <w:rsid w:val="00415497"/>
    <w:rsid w:val="0041569F"/>
    <w:rsid w:val="004158B6"/>
    <w:rsid w:val="00415D66"/>
    <w:rsid w:val="0041623C"/>
    <w:rsid w:val="00420194"/>
    <w:rsid w:val="004216F8"/>
    <w:rsid w:val="0042236C"/>
    <w:rsid w:val="004226AA"/>
    <w:rsid w:val="00423F48"/>
    <w:rsid w:val="00423F4D"/>
    <w:rsid w:val="00425E89"/>
    <w:rsid w:val="00425EC1"/>
    <w:rsid w:val="0042608E"/>
    <w:rsid w:val="0042621C"/>
    <w:rsid w:val="004268E5"/>
    <w:rsid w:val="0042758D"/>
    <w:rsid w:val="00427999"/>
    <w:rsid w:val="00427C30"/>
    <w:rsid w:val="00430348"/>
    <w:rsid w:val="004307AB"/>
    <w:rsid w:val="00431D37"/>
    <w:rsid w:val="00431D55"/>
    <w:rsid w:val="004324B4"/>
    <w:rsid w:val="00432924"/>
    <w:rsid w:val="00432A12"/>
    <w:rsid w:val="004331CC"/>
    <w:rsid w:val="0043425F"/>
    <w:rsid w:val="00434DDF"/>
    <w:rsid w:val="004350BB"/>
    <w:rsid w:val="00435534"/>
    <w:rsid w:val="0043594F"/>
    <w:rsid w:val="004359DF"/>
    <w:rsid w:val="00435C8B"/>
    <w:rsid w:val="00435DF7"/>
    <w:rsid w:val="00435EA0"/>
    <w:rsid w:val="00437796"/>
    <w:rsid w:val="0043798A"/>
    <w:rsid w:val="00437AE4"/>
    <w:rsid w:val="00437D17"/>
    <w:rsid w:val="004407F2"/>
    <w:rsid w:val="004412FE"/>
    <w:rsid w:val="00441354"/>
    <w:rsid w:val="0044174E"/>
    <w:rsid w:val="00441988"/>
    <w:rsid w:val="00441A39"/>
    <w:rsid w:val="0044204F"/>
    <w:rsid w:val="00442762"/>
    <w:rsid w:val="00442B93"/>
    <w:rsid w:val="004434AF"/>
    <w:rsid w:val="0044351D"/>
    <w:rsid w:val="00443532"/>
    <w:rsid w:val="004435B3"/>
    <w:rsid w:val="00444029"/>
    <w:rsid w:val="00444859"/>
    <w:rsid w:val="00444B33"/>
    <w:rsid w:val="00445336"/>
    <w:rsid w:val="00445986"/>
    <w:rsid w:val="00445D31"/>
    <w:rsid w:val="00445DC5"/>
    <w:rsid w:val="00445EBE"/>
    <w:rsid w:val="004463DB"/>
    <w:rsid w:val="00446A07"/>
    <w:rsid w:val="00446EB6"/>
    <w:rsid w:val="00447DAF"/>
    <w:rsid w:val="0045033B"/>
    <w:rsid w:val="00450709"/>
    <w:rsid w:val="00452156"/>
    <w:rsid w:val="004525BE"/>
    <w:rsid w:val="00452903"/>
    <w:rsid w:val="004530E2"/>
    <w:rsid w:val="00454FF5"/>
    <w:rsid w:val="00455E46"/>
    <w:rsid w:val="00455E55"/>
    <w:rsid w:val="00455E58"/>
    <w:rsid w:val="00455E6B"/>
    <w:rsid w:val="004564DD"/>
    <w:rsid w:val="00456B50"/>
    <w:rsid w:val="00456D94"/>
    <w:rsid w:val="0045738F"/>
    <w:rsid w:val="00457E7B"/>
    <w:rsid w:val="00457F8B"/>
    <w:rsid w:val="004604F9"/>
    <w:rsid w:val="00460D9C"/>
    <w:rsid w:val="0046103B"/>
    <w:rsid w:val="00461602"/>
    <w:rsid w:val="004618A0"/>
    <w:rsid w:val="004626C4"/>
    <w:rsid w:val="004635CE"/>
    <w:rsid w:val="00463C2F"/>
    <w:rsid w:val="004642E9"/>
    <w:rsid w:val="0046522B"/>
    <w:rsid w:val="0046565B"/>
    <w:rsid w:val="00465838"/>
    <w:rsid w:val="00465931"/>
    <w:rsid w:val="00466871"/>
    <w:rsid w:val="00467834"/>
    <w:rsid w:val="004678FC"/>
    <w:rsid w:val="00470428"/>
    <w:rsid w:val="0047048D"/>
    <w:rsid w:val="00471693"/>
    <w:rsid w:val="00471BA2"/>
    <w:rsid w:val="004721E1"/>
    <w:rsid w:val="00472587"/>
    <w:rsid w:val="00472C48"/>
    <w:rsid w:val="00473197"/>
    <w:rsid w:val="00473DA7"/>
    <w:rsid w:val="004745DC"/>
    <w:rsid w:val="00474A5B"/>
    <w:rsid w:val="0047583E"/>
    <w:rsid w:val="00476132"/>
    <w:rsid w:val="00476417"/>
    <w:rsid w:val="00476ED9"/>
    <w:rsid w:val="0047721A"/>
    <w:rsid w:val="00477F42"/>
    <w:rsid w:val="004809E7"/>
    <w:rsid w:val="00480C46"/>
    <w:rsid w:val="004811CC"/>
    <w:rsid w:val="00481823"/>
    <w:rsid w:val="00481EFD"/>
    <w:rsid w:val="004828E1"/>
    <w:rsid w:val="004836FF"/>
    <w:rsid w:val="00483BA0"/>
    <w:rsid w:val="00484044"/>
    <w:rsid w:val="004841D2"/>
    <w:rsid w:val="004841E9"/>
    <w:rsid w:val="00484786"/>
    <w:rsid w:val="004848FF"/>
    <w:rsid w:val="004849E7"/>
    <w:rsid w:val="00484C10"/>
    <w:rsid w:val="00484E38"/>
    <w:rsid w:val="004862C3"/>
    <w:rsid w:val="004867F9"/>
    <w:rsid w:val="00486857"/>
    <w:rsid w:val="00486871"/>
    <w:rsid w:val="004869ED"/>
    <w:rsid w:val="004900D2"/>
    <w:rsid w:val="004904DF"/>
    <w:rsid w:val="00491B21"/>
    <w:rsid w:val="00491D71"/>
    <w:rsid w:val="0049220C"/>
    <w:rsid w:val="00492709"/>
    <w:rsid w:val="004929EB"/>
    <w:rsid w:val="00492F90"/>
    <w:rsid w:val="004937E7"/>
    <w:rsid w:val="00493CD4"/>
    <w:rsid w:val="0049413A"/>
    <w:rsid w:val="004943EB"/>
    <w:rsid w:val="00495107"/>
    <w:rsid w:val="004954AC"/>
    <w:rsid w:val="004956E3"/>
    <w:rsid w:val="00495BBF"/>
    <w:rsid w:val="00495FFC"/>
    <w:rsid w:val="00496500"/>
    <w:rsid w:val="00496A3E"/>
    <w:rsid w:val="00497BD3"/>
    <w:rsid w:val="00497C83"/>
    <w:rsid w:val="00497EDD"/>
    <w:rsid w:val="00497FFB"/>
    <w:rsid w:val="004A0A69"/>
    <w:rsid w:val="004A116B"/>
    <w:rsid w:val="004A1889"/>
    <w:rsid w:val="004A1A31"/>
    <w:rsid w:val="004A1DE6"/>
    <w:rsid w:val="004A1EE2"/>
    <w:rsid w:val="004A2096"/>
    <w:rsid w:val="004A2424"/>
    <w:rsid w:val="004A3C90"/>
    <w:rsid w:val="004A3F45"/>
    <w:rsid w:val="004A4339"/>
    <w:rsid w:val="004A4531"/>
    <w:rsid w:val="004A4ACC"/>
    <w:rsid w:val="004A5071"/>
    <w:rsid w:val="004A5231"/>
    <w:rsid w:val="004A5484"/>
    <w:rsid w:val="004A5B6D"/>
    <w:rsid w:val="004A637A"/>
    <w:rsid w:val="004A6910"/>
    <w:rsid w:val="004A6B8F"/>
    <w:rsid w:val="004A71DF"/>
    <w:rsid w:val="004B0285"/>
    <w:rsid w:val="004B0411"/>
    <w:rsid w:val="004B0582"/>
    <w:rsid w:val="004B0927"/>
    <w:rsid w:val="004B160A"/>
    <w:rsid w:val="004B19DF"/>
    <w:rsid w:val="004B2766"/>
    <w:rsid w:val="004B281F"/>
    <w:rsid w:val="004B3610"/>
    <w:rsid w:val="004B3AF6"/>
    <w:rsid w:val="004B3C1E"/>
    <w:rsid w:val="004B5064"/>
    <w:rsid w:val="004B570C"/>
    <w:rsid w:val="004B59D5"/>
    <w:rsid w:val="004B6032"/>
    <w:rsid w:val="004B6168"/>
    <w:rsid w:val="004B635D"/>
    <w:rsid w:val="004B6A8F"/>
    <w:rsid w:val="004B6B3C"/>
    <w:rsid w:val="004B7769"/>
    <w:rsid w:val="004B7A49"/>
    <w:rsid w:val="004B7FBF"/>
    <w:rsid w:val="004C0048"/>
    <w:rsid w:val="004C0C7D"/>
    <w:rsid w:val="004C0FC2"/>
    <w:rsid w:val="004C1102"/>
    <w:rsid w:val="004C1D39"/>
    <w:rsid w:val="004C2FFE"/>
    <w:rsid w:val="004C32C9"/>
    <w:rsid w:val="004C32F8"/>
    <w:rsid w:val="004C343B"/>
    <w:rsid w:val="004C35E8"/>
    <w:rsid w:val="004C3FEC"/>
    <w:rsid w:val="004C4472"/>
    <w:rsid w:val="004C461A"/>
    <w:rsid w:val="004C49AF"/>
    <w:rsid w:val="004C5CF1"/>
    <w:rsid w:val="004C614E"/>
    <w:rsid w:val="004C6D2C"/>
    <w:rsid w:val="004C70C9"/>
    <w:rsid w:val="004C7FD7"/>
    <w:rsid w:val="004D03A3"/>
    <w:rsid w:val="004D0BB9"/>
    <w:rsid w:val="004D0D4D"/>
    <w:rsid w:val="004D24EF"/>
    <w:rsid w:val="004D26C8"/>
    <w:rsid w:val="004D50EC"/>
    <w:rsid w:val="004D567F"/>
    <w:rsid w:val="004D5C84"/>
    <w:rsid w:val="004D6F82"/>
    <w:rsid w:val="004D79AF"/>
    <w:rsid w:val="004E019B"/>
    <w:rsid w:val="004E0C0D"/>
    <w:rsid w:val="004E0D5A"/>
    <w:rsid w:val="004E13DD"/>
    <w:rsid w:val="004E2C91"/>
    <w:rsid w:val="004E34B2"/>
    <w:rsid w:val="004E3691"/>
    <w:rsid w:val="004E40CD"/>
    <w:rsid w:val="004E525D"/>
    <w:rsid w:val="004E5B82"/>
    <w:rsid w:val="004E5C67"/>
    <w:rsid w:val="004E6191"/>
    <w:rsid w:val="004E631C"/>
    <w:rsid w:val="004E6BBA"/>
    <w:rsid w:val="004E703B"/>
    <w:rsid w:val="004E71D3"/>
    <w:rsid w:val="004E71FB"/>
    <w:rsid w:val="004E7626"/>
    <w:rsid w:val="004F07A2"/>
    <w:rsid w:val="004F08FA"/>
    <w:rsid w:val="004F093F"/>
    <w:rsid w:val="004F09A4"/>
    <w:rsid w:val="004F09E0"/>
    <w:rsid w:val="004F11E9"/>
    <w:rsid w:val="004F1B61"/>
    <w:rsid w:val="004F1CAF"/>
    <w:rsid w:val="004F1F57"/>
    <w:rsid w:val="004F2A05"/>
    <w:rsid w:val="004F3357"/>
    <w:rsid w:val="004F38BB"/>
    <w:rsid w:val="004F3E3E"/>
    <w:rsid w:val="004F424A"/>
    <w:rsid w:val="004F4336"/>
    <w:rsid w:val="004F4608"/>
    <w:rsid w:val="004F55F3"/>
    <w:rsid w:val="004F5DD1"/>
    <w:rsid w:val="004F5FBD"/>
    <w:rsid w:val="004F623F"/>
    <w:rsid w:val="004F634D"/>
    <w:rsid w:val="004F6E19"/>
    <w:rsid w:val="004F737D"/>
    <w:rsid w:val="004F74CB"/>
    <w:rsid w:val="004F7E8A"/>
    <w:rsid w:val="00500CAC"/>
    <w:rsid w:val="005010DE"/>
    <w:rsid w:val="00501438"/>
    <w:rsid w:val="005016EF"/>
    <w:rsid w:val="005019C4"/>
    <w:rsid w:val="005020EA"/>
    <w:rsid w:val="005029CA"/>
    <w:rsid w:val="00503202"/>
    <w:rsid w:val="00503FFC"/>
    <w:rsid w:val="005044A2"/>
    <w:rsid w:val="00504ABC"/>
    <w:rsid w:val="00504B76"/>
    <w:rsid w:val="0050523F"/>
    <w:rsid w:val="00505AE0"/>
    <w:rsid w:val="005063CB"/>
    <w:rsid w:val="00506DF3"/>
    <w:rsid w:val="00507167"/>
    <w:rsid w:val="00510482"/>
    <w:rsid w:val="005106F3"/>
    <w:rsid w:val="00510F43"/>
    <w:rsid w:val="00511652"/>
    <w:rsid w:val="005117CD"/>
    <w:rsid w:val="00511C91"/>
    <w:rsid w:val="0051270F"/>
    <w:rsid w:val="00512D33"/>
    <w:rsid w:val="00512E34"/>
    <w:rsid w:val="00513282"/>
    <w:rsid w:val="005136F2"/>
    <w:rsid w:val="005138AD"/>
    <w:rsid w:val="00513918"/>
    <w:rsid w:val="00513A36"/>
    <w:rsid w:val="00513C36"/>
    <w:rsid w:val="00514527"/>
    <w:rsid w:val="00514C36"/>
    <w:rsid w:val="00515203"/>
    <w:rsid w:val="00515306"/>
    <w:rsid w:val="0051572B"/>
    <w:rsid w:val="00515E9B"/>
    <w:rsid w:val="00515F85"/>
    <w:rsid w:val="005162B5"/>
    <w:rsid w:val="00516C63"/>
    <w:rsid w:val="00516CAA"/>
    <w:rsid w:val="00517ABA"/>
    <w:rsid w:val="00517DD6"/>
    <w:rsid w:val="0052013C"/>
    <w:rsid w:val="00520849"/>
    <w:rsid w:val="005211CD"/>
    <w:rsid w:val="0052151F"/>
    <w:rsid w:val="00521B2A"/>
    <w:rsid w:val="00521B7B"/>
    <w:rsid w:val="00522516"/>
    <w:rsid w:val="00522688"/>
    <w:rsid w:val="005228B0"/>
    <w:rsid w:val="00522CA6"/>
    <w:rsid w:val="005234B1"/>
    <w:rsid w:val="00523685"/>
    <w:rsid w:val="005239EC"/>
    <w:rsid w:val="00523A2F"/>
    <w:rsid w:val="00524DB0"/>
    <w:rsid w:val="00525135"/>
    <w:rsid w:val="00525470"/>
    <w:rsid w:val="00525F7F"/>
    <w:rsid w:val="005267E9"/>
    <w:rsid w:val="00526DFC"/>
    <w:rsid w:val="0052716E"/>
    <w:rsid w:val="00527B2F"/>
    <w:rsid w:val="00527CAB"/>
    <w:rsid w:val="00527DEB"/>
    <w:rsid w:val="00527F84"/>
    <w:rsid w:val="00530012"/>
    <w:rsid w:val="005300EA"/>
    <w:rsid w:val="0053065B"/>
    <w:rsid w:val="00531130"/>
    <w:rsid w:val="00531582"/>
    <w:rsid w:val="0053209C"/>
    <w:rsid w:val="00532135"/>
    <w:rsid w:val="00533179"/>
    <w:rsid w:val="00534BFF"/>
    <w:rsid w:val="00534F5D"/>
    <w:rsid w:val="0053513A"/>
    <w:rsid w:val="00535C0D"/>
    <w:rsid w:val="00536162"/>
    <w:rsid w:val="00536377"/>
    <w:rsid w:val="00536642"/>
    <w:rsid w:val="0053671A"/>
    <w:rsid w:val="005369A4"/>
    <w:rsid w:val="00536ECC"/>
    <w:rsid w:val="00537017"/>
    <w:rsid w:val="0053746C"/>
    <w:rsid w:val="005375F7"/>
    <w:rsid w:val="00540760"/>
    <w:rsid w:val="00540E5F"/>
    <w:rsid w:val="00540E96"/>
    <w:rsid w:val="0054132A"/>
    <w:rsid w:val="005415F6"/>
    <w:rsid w:val="00541FB9"/>
    <w:rsid w:val="0054241C"/>
    <w:rsid w:val="005425CC"/>
    <w:rsid w:val="0054278B"/>
    <w:rsid w:val="00543B15"/>
    <w:rsid w:val="00544BF8"/>
    <w:rsid w:val="005450F5"/>
    <w:rsid w:val="00545B9D"/>
    <w:rsid w:val="00546CC0"/>
    <w:rsid w:val="00547293"/>
    <w:rsid w:val="00547D11"/>
    <w:rsid w:val="00547DAE"/>
    <w:rsid w:val="00550034"/>
    <w:rsid w:val="00550730"/>
    <w:rsid w:val="00550969"/>
    <w:rsid w:val="00550AAE"/>
    <w:rsid w:val="00550CDE"/>
    <w:rsid w:val="00550F5C"/>
    <w:rsid w:val="005516B2"/>
    <w:rsid w:val="00551DF7"/>
    <w:rsid w:val="005522E8"/>
    <w:rsid w:val="00552946"/>
    <w:rsid w:val="0055431F"/>
    <w:rsid w:val="00554791"/>
    <w:rsid w:val="00554A23"/>
    <w:rsid w:val="00554B6F"/>
    <w:rsid w:val="005557F8"/>
    <w:rsid w:val="005565B6"/>
    <w:rsid w:val="005601CF"/>
    <w:rsid w:val="00560281"/>
    <w:rsid w:val="00560296"/>
    <w:rsid w:val="00560302"/>
    <w:rsid w:val="00560AB4"/>
    <w:rsid w:val="00560D78"/>
    <w:rsid w:val="00560F24"/>
    <w:rsid w:val="00561144"/>
    <w:rsid w:val="00562223"/>
    <w:rsid w:val="00562649"/>
    <w:rsid w:val="00562F15"/>
    <w:rsid w:val="00563CB5"/>
    <w:rsid w:val="005658CC"/>
    <w:rsid w:val="00565B67"/>
    <w:rsid w:val="00565D1F"/>
    <w:rsid w:val="00565EB6"/>
    <w:rsid w:val="005660B7"/>
    <w:rsid w:val="00567121"/>
    <w:rsid w:val="00567149"/>
    <w:rsid w:val="00567763"/>
    <w:rsid w:val="00570D63"/>
    <w:rsid w:val="005710BF"/>
    <w:rsid w:val="0057233D"/>
    <w:rsid w:val="005723D1"/>
    <w:rsid w:val="0057241F"/>
    <w:rsid w:val="00572F02"/>
    <w:rsid w:val="005736B7"/>
    <w:rsid w:val="00573789"/>
    <w:rsid w:val="00573A70"/>
    <w:rsid w:val="00574340"/>
    <w:rsid w:val="00574378"/>
    <w:rsid w:val="00574544"/>
    <w:rsid w:val="00574B03"/>
    <w:rsid w:val="00575982"/>
    <w:rsid w:val="00576A83"/>
    <w:rsid w:val="0058012A"/>
    <w:rsid w:val="005806D2"/>
    <w:rsid w:val="00581850"/>
    <w:rsid w:val="00582A10"/>
    <w:rsid w:val="00582BD7"/>
    <w:rsid w:val="00583810"/>
    <w:rsid w:val="00583872"/>
    <w:rsid w:val="005840EE"/>
    <w:rsid w:val="00584354"/>
    <w:rsid w:val="005844E0"/>
    <w:rsid w:val="00584788"/>
    <w:rsid w:val="00584A1F"/>
    <w:rsid w:val="00584BDE"/>
    <w:rsid w:val="00584C46"/>
    <w:rsid w:val="0058537D"/>
    <w:rsid w:val="005853A7"/>
    <w:rsid w:val="005854C3"/>
    <w:rsid w:val="0058583B"/>
    <w:rsid w:val="00585B20"/>
    <w:rsid w:val="00585C54"/>
    <w:rsid w:val="0058617D"/>
    <w:rsid w:val="00586A63"/>
    <w:rsid w:val="00586E34"/>
    <w:rsid w:val="005903C4"/>
    <w:rsid w:val="005909CD"/>
    <w:rsid w:val="00590ACA"/>
    <w:rsid w:val="00591371"/>
    <w:rsid w:val="0059157A"/>
    <w:rsid w:val="005917AB"/>
    <w:rsid w:val="00591DAE"/>
    <w:rsid w:val="005920D3"/>
    <w:rsid w:val="0059210D"/>
    <w:rsid w:val="005923D5"/>
    <w:rsid w:val="00592859"/>
    <w:rsid w:val="00592C02"/>
    <w:rsid w:val="00592C5B"/>
    <w:rsid w:val="00592E86"/>
    <w:rsid w:val="0059357A"/>
    <w:rsid w:val="00593900"/>
    <w:rsid w:val="00593C22"/>
    <w:rsid w:val="00594065"/>
    <w:rsid w:val="005944E0"/>
    <w:rsid w:val="005947B9"/>
    <w:rsid w:val="00594807"/>
    <w:rsid w:val="00594A11"/>
    <w:rsid w:val="005955E8"/>
    <w:rsid w:val="005956E5"/>
    <w:rsid w:val="00595B15"/>
    <w:rsid w:val="00595CAB"/>
    <w:rsid w:val="0059600E"/>
    <w:rsid w:val="005960E8"/>
    <w:rsid w:val="005961DE"/>
    <w:rsid w:val="005968E6"/>
    <w:rsid w:val="005968F7"/>
    <w:rsid w:val="00597A74"/>
    <w:rsid w:val="005A0F2A"/>
    <w:rsid w:val="005A11E5"/>
    <w:rsid w:val="005A196F"/>
    <w:rsid w:val="005A2C50"/>
    <w:rsid w:val="005A307B"/>
    <w:rsid w:val="005A3DFA"/>
    <w:rsid w:val="005A45F6"/>
    <w:rsid w:val="005A4879"/>
    <w:rsid w:val="005A4BBB"/>
    <w:rsid w:val="005A550E"/>
    <w:rsid w:val="005A5D31"/>
    <w:rsid w:val="005A6C96"/>
    <w:rsid w:val="005A6D5C"/>
    <w:rsid w:val="005A756E"/>
    <w:rsid w:val="005A77E6"/>
    <w:rsid w:val="005A7BCC"/>
    <w:rsid w:val="005B0147"/>
    <w:rsid w:val="005B022B"/>
    <w:rsid w:val="005B09FA"/>
    <w:rsid w:val="005B0FDC"/>
    <w:rsid w:val="005B1DF2"/>
    <w:rsid w:val="005B2784"/>
    <w:rsid w:val="005B2F25"/>
    <w:rsid w:val="005B2F65"/>
    <w:rsid w:val="005B3264"/>
    <w:rsid w:val="005B3341"/>
    <w:rsid w:val="005B36DA"/>
    <w:rsid w:val="005B4089"/>
    <w:rsid w:val="005B44F6"/>
    <w:rsid w:val="005B4A7B"/>
    <w:rsid w:val="005B57C3"/>
    <w:rsid w:val="005B5A32"/>
    <w:rsid w:val="005B6642"/>
    <w:rsid w:val="005B7225"/>
    <w:rsid w:val="005B727C"/>
    <w:rsid w:val="005B73EF"/>
    <w:rsid w:val="005B7660"/>
    <w:rsid w:val="005B7D55"/>
    <w:rsid w:val="005C03AB"/>
    <w:rsid w:val="005C0ED0"/>
    <w:rsid w:val="005C119D"/>
    <w:rsid w:val="005C20CB"/>
    <w:rsid w:val="005C2805"/>
    <w:rsid w:val="005C288D"/>
    <w:rsid w:val="005C29FC"/>
    <w:rsid w:val="005C317F"/>
    <w:rsid w:val="005C3A26"/>
    <w:rsid w:val="005C3E72"/>
    <w:rsid w:val="005C40A0"/>
    <w:rsid w:val="005C43AF"/>
    <w:rsid w:val="005C4FC4"/>
    <w:rsid w:val="005C5248"/>
    <w:rsid w:val="005C549A"/>
    <w:rsid w:val="005C67C9"/>
    <w:rsid w:val="005C698A"/>
    <w:rsid w:val="005C6BB5"/>
    <w:rsid w:val="005C705D"/>
    <w:rsid w:val="005C7461"/>
    <w:rsid w:val="005C7507"/>
    <w:rsid w:val="005C76CE"/>
    <w:rsid w:val="005C7879"/>
    <w:rsid w:val="005D0674"/>
    <w:rsid w:val="005D0E60"/>
    <w:rsid w:val="005D1694"/>
    <w:rsid w:val="005D19DE"/>
    <w:rsid w:val="005D26BC"/>
    <w:rsid w:val="005D2FF9"/>
    <w:rsid w:val="005D3632"/>
    <w:rsid w:val="005D3AE1"/>
    <w:rsid w:val="005D42FC"/>
    <w:rsid w:val="005D477A"/>
    <w:rsid w:val="005D48CA"/>
    <w:rsid w:val="005D5143"/>
    <w:rsid w:val="005D5C76"/>
    <w:rsid w:val="005D5D1B"/>
    <w:rsid w:val="005D626F"/>
    <w:rsid w:val="005D6736"/>
    <w:rsid w:val="005D713B"/>
    <w:rsid w:val="005E0660"/>
    <w:rsid w:val="005E09CF"/>
    <w:rsid w:val="005E0ED8"/>
    <w:rsid w:val="005E125C"/>
    <w:rsid w:val="005E14EE"/>
    <w:rsid w:val="005E1B34"/>
    <w:rsid w:val="005E23EE"/>
    <w:rsid w:val="005E2616"/>
    <w:rsid w:val="005E2908"/>
    <w:rsid w:val="005E301D"/>
    <w:rsid w:val="005E331B"/>
    <w:rsid w:val="005E34AF"/>
    <w:rsid w:val="005E5648"/>
    <w:rsid w:val="005E60CB"/>
    <w:rsid w:val="005E657E"/>
    <w:rsid w:val="005E6717"/>
    <w:rsid w:val="005E6EDB"/>
    <w:rsid w:val="005E78AB"/>
    <w:rsid w:val="005E7CB0"/>
    <w:rsid w:val="005F0F67"/>
    <w:rsid w:val="005F1AB5"/>
    <w:rsid w:val="005F201C"/>
    <w:rsid w:val="005F217D"/>
    <w:rsid w:val="005F320C"/>
    <w:rsid w:val="005F3408"/>
    <w:rsid w:val="005F3532"/>
    <w:rsid w:val="005F3BAF"/>
    <w:rsid w:val="005F4025"/>
    <w:rsid w:val="005F41BE"/>
    <w:rsid w:val="005F43FB"/>
    <w:rsid w:val="005F4C9A"/>
    <w:rsid w:val="005F5BE5"/>
    <w:rsid w:val="005F5C22"/>
    <w:rsid w:val="005F66E0"/>
    <w:rsid w:val="005F68F7"/>
    <w:rsid w:val="005F725D"/>
    <w:rsid w:val="005F756B"/>
    <w:rsid w:val="005F7C93"/>
    <w:rsid w:val="005F7F24"/>
    <w:rsid w:val="0060081F"/>
    <w:rsid w:val="0060097B"/>
    <w:rsid w:val="00600AFA"/>
    <w:rsid w:val="006015F4"/>
    <w:rsid w:val="00601731"/>
    <w:rsid w:val="00601A72"/>
    <w:rsid w:val="00601ED6"/>
    <w:rsid w:val="00601FEF"/>
    <w:rsid w:val="00602108"/>
    <w:rsid w:val="00602FB7"/>
    <w:rsid w:val="006030DB"/>
    <w:rsid w:val="00603308"/>
    <w:rsid w:val="006034A4"/>
    <w:rsid w:val="00604843"/>
    <w:rsid w:val="00604B7D"/>
    <w:rsid w:val="006054CC"/>
    <w:rsid w:val="0060632E"/>
    <w:rsid w:val="00606454"/>
    <w:rsid w:val="0060709C"/>
    <w:rsid w:val="00607249"/>
    <w:rsid w:val="006107E3"/>
    <w:rsid w:val="006108FD"/>
    <w:rsid w:val="00610A15"/>
    <w:rsid w:val="00610ADF"/>
    <w:rsid w:val="00611DBD"/>
    <w:rsid w:val="00612B43"/>
    <w:rsid w:val="00612D3C"/>
    <w:rsid w:val="00612ECF"/>
    <w:rsid w:val="0061347F"/>
    <w:rsid w:val="0061349B"/>
    <w:rsid w:val="00613A57"/>
    <w:rsid w:val="00614131"/>
    <w:rsid w:val="00615A70"/>
    <w:rsid w:val="00615DF2"/>
    <w:rsid w:val="006163B3"/>
    <w:rsid w:val="00616B34"/>
    <w:rsid w:val="00616CBD"/>
    <w:rsid w:val="00616FAB"/>
    <w:rsid w:val="00617630"/>
    <w:rsid w:val="0061769A"/>
    <w:rsid w:val="00617FFD"/>
    <w:rsid w:val="006204DC"/>
    <w:rsid w:val="00620657"/>
    <w:rsid w:val="006207CE"/>
    <w:rsid w:val="00620F05"/>
    <w:rsid w:val="00621A87"/>
    <w:rsid w:val="00621BB5"/>
    <w:rsid w:val="00621C39"/>
    <w:rsid w:val="00621E7B"/>
    <w:rsid w:val="00622131"/>
    <w:rsid w:val="00622E5D"/>
    <w:rsid w:val="00622F74"/>
    <w:rsid w:val="00623201"/>
    <w:rsid w:val="006232F4"/>
    <w:rsid w:val="00624069"/>
    <w:rsid w:val="006244E2"/>
    <w:rsid w:val="006249BA"/>
    <w:rsid w:val="0062554D"/>
    <w:rsid w:val="00625E4C"/>
    <w:rsid w:val="006267EC"/>
    <w:rsid w:val="00626CA0"/>
    <w:rsid w:val="006271A7"/>
    <w:rsid w:val="00627FA8"/>
    <w:rsid w:val="006302FE"/>
    <w:rsid w:val="006303E6"/>
    <w:rsid w:val="00630DA0"/>
    <w:rsid w:val="00630DB8"/>
    <w:rsid w:val="00631C83"/>
    <w:rsid w:val="00631FF1"/>
    <w:rsid w:val="006324B1"/>
    <w:rsid w:val="00632807"/>
    <w:rsid w:val="00632B27"/>
    <w:rsid w:val="00632E80"/>
    <w:rsid w:val="00633373"/>
    <w:rsid w:val="00633C48"/>
    <w:rsid w:val="00634468"/>
    <w:rsid w:val="0063471B"/>
    <w:rsid w:val="00636BE5"/>
    <w:rsid w:val="00636EAA"/>
    <w:rsid w:val="00637730"/>
    <w:rsid w:val="00640078"/>
    <w:rsid w:val="006402C6"/>
    <w:rsid w:val="00640628"/>
    <w:rsid w:val="00640791"/>
    <w:rsid w:val="00640A32"/>
    <w:rsid w:val="00641C56"/>
    <w:rsid w:val="00641FA4"/>
    <w:rsid w:val="006424E4"/>
    <w:rsid w:val="00642CD0"/>
    <w:rsid w:val="00642D1B"/>
    <w:rsid w:val="00643779"/>
    <w:rsid w:val="0064521C"/>
    <w:rsid w:val="006456AE"/>
    <w:rsid w:val="006468DC"/>
    <w:rsid w:val="00647572"/>
    <w:rsid w:val="00647B9F"/>
    <w:rsid w:val="00647BCC"/>
    <w:rsid w:val="00647EC5"/>
    <w:rsid w:val="00651DB2"/>
    <w:rsid w:val="00651E06"/>
    <w:rsid w:val="0065221B"/>
    <w:rsid w:val="00652695"/>
    <w:rsid w:val="00653271"/>
    <w:rsid w:val="006532C9"/>
    <w:rsid w:val="00653474"/>
    <w:rsid w:val="006540C3"/>
    <w:rsid w:val="00654229"/>
    <w:rsid w:val="00654612"/>
    <w:rsid w:val="006569F8"/>
    <w:rsid w:val="00656B94"/>
    <w:rsid w:val="00656BEA"/>
    <w:rsid w:val="00656E48"/>
    <w:rsid w:val="006571A7"/>
    <w:rsid w:val="006604D0"/>
    <w:rsid w:val="00661170"/>
    <w:rsid w:val="00661385"/>
    <w:rsid w:val="0066189B"/>
    <w:rsid w:val="006625F4"/>
    <w:rsid w:val="006635F2"/>
    <w:rsid w:val="00663D71"/>
    <w:rsid w:val="006648EB"/>
    <w:rsid w:val="00664F4A"/>
    <w:rsid w:val="0066546F"/>
    <w:rsid w:val="00665600"/>
    <w:rsid w:val="00665C89"/>
    <w:rsid w:val="00666F6B"/>
    <w:rsid w:val="006676E9"/>
    <w:rsid w:val="0066797B"/>
    <w:rsid w:val="00667A86"/>
    <w:rsid w:val="00670136"/>
    <w:rsid w:val="00671D71"/>
    <w:rsid w:val="00672450"/>
    <w:rsid w:val="0067305D"/>
    <w:rsid w:val="00674265"/>
    <w:rsid w:val="006745BF"/>
    <w:rsid w:val="0067494D"/>
    <w:rsid w:val="00674E68"/>
    <w:rsid w:val="00674EF8"/>
    <w:rsid w:val="00675750"/>
    <w:rsid w:val="0067631A"/>
    <w:rsid w:val="006766F4"/>
    <w:rsid w:val="006777D1"/>
    <w:rsid w:val="006806BA"/>
    <w:rsid w:val="00680F7B"/>
    <w:rsid w:val="00681516"/>
    <w:rsid w:val="006831CE"/>
    <w:rsid w:val="006841F0"/>
    <w:rsid w:val="00685028"/>
    <w:rsid w:val="006852D7"/>
    <w:rsid w:val="006859B5"/>
    <w:rsid w:val="00685E9B"/>
    <w:rsid w:val="006860DE"/>
    <w:rsid w:val="00686600"/>
    <w:rsid w:val="0068678C"/>
    <w:rsid w:val="00686CBE"/>
    <w:rsid w:val="00686D0F"/>
    <w:rsid w:val="00687AD1"/>
    <w:rsid w:val="0069034F"/>
    <w:rsid w:val="006908AA"/>
    <w:rsid w:val="0069108E"/>
    <w:rsid w:val="00691232"/>
    <w:rsid w:val="00691E53"/>
    <w:rsid w:val="00692815"/>
    <w:rsid w:val="00692A59"/>
    <w:rsid w:val="00692C41"/>
    <w:rsid w:val="006935F7"/>
    <w:rsid w:val="00694149"/>
    <w:rsid w:val="00694527"/>
    <w:rsid w:val="00695964"/>
    <w:rsid w:val="00696847"/>
    <w:rsid w:val="0069694E"/>
    <w:rsid w:val="00696B68"/>
    <w:rsid w:val="00696E87"/>
    <w:rsid w:val="00697726"/>
    <w:rsid w:val="00697B3E"/>
    <w:rsid w:val="00697F7D"/>
    <w:rsid w:val="006A0098"/>
    <w:rsid w:val="006A02F1"/>
    <w:rsid w:val="006A09FB"/>
    <w:rsid w:val="006A1F34"/>
    <w:rsid w:val="006A2053"/>
    <w:rsid w:val="006A394A"/>
    <w:rsid w:val="006A3955"/>
    <w:rsid w:val="006A4B06"/>
    <w:rsid w:val="006A4D36"/>
    <w:rsid w:val="006A5551"/>
    <w:rsid w:val="006A5969"/>
    <w:rsid w:val="006A6813"/>
    <w:rsid w:val="006A6993"/>
    <w:rsid w:val="006A710B"/>
    <w:rsid w:val="006A710D"/>
    <w:rsid w:val="006A721F"/>
    <w:rsid w:val="006A7501"/>
    <w:rsid w:val="006A75EE"/>
    <w:rsid w:val="006A7688"/>
    <w:rsid w:val="006A76A7"/>
    <w:rsid w:val="006B1BE6"/>
    <w:rsid w:val="006B1D66"/>
    <w:rsid w:val="006B2DE0"/>
    <w:rsid w:val="006B3854"/>
    <w:rsid w:val="006B3C58"/>
    <w:rsid w:val="006B3EC1"/>
    <w:rsid w:val="006B481D"/>
    <w:rsid w:val="006B5189"/>
    <w:rsid w:val="006B52C9"/>
    <w:rsid w:val="006B547A"/>
    <w:rsid w:val="006B54AD"/>
    <w:rsid w:val="006B56B2"/>
    <w:rsid w:val="006B5AAA"/>
    <w:rsid w:val="006B5BC5"/>
    <w:rsid w:val="006B5D34"/>
    <w:rsid w:val="006B5D4A"/>
    <w:rsid w:val="006B6044"/>
    <w:rsid w:val="006B6E80"/>
    <w:rsid w:val="006C12CF"/>
    <w:rsid w:val="006C1C6E"/>
    <w:rsid w:val="006C252B"/>
    <w:rsid w:val="006C2B0F"/>
    <w:rsid w:val="006C31E4"/>
    <w:rsid w:val="006C3238"/>
    <w:rsid w:val="006C4B2D"/>
    <w:rsid w:val="006C4D85"/>
    <w:rsid w:val="006C4EA7"/>
    <w:rsid w:val="006C53FC"/>
    <w:rsid w:val="006C5CEC"/>
    <w:rsid w:val="006C633F"/>
    <w:rsid w:val="006C79AB"/>
    <w:rsid w:val="006C7B09"/>
    <w:rsid w:val="006D014B"/>
    <w:rsid w:val="006D02DA"/>
    <w:rsid w:val="006D0C31"/>
    <w:rsid w:val="006D0C46"/>
    <w:rsid w:val="006D191F"/>
    <w:rsid w:val="006D1968"/>
    <w:rsid w:val="006D1CD3"/>
    <w:rsid w:val="006D28B5"/>
    <w:rsid w:val="006D3135"/>
    <w:rsid w:val="006D320B"/>
    <w:rsid w:val="006D3225"/>
    <w:rsid w:val="006D369C"/>
    <w:rsid w:val="006D3B0C"/>
    <w:rsid w:val="006D4007"/>
    <w:rsid w:val="006D447C"/>
    <w:rsid w:val="006D4AE6"/>
    <w:rsid w:val="006D53D2"/>
    <w:rsid w:val="006D5BD3"/>
    <w:rsid w:val="006D5EAA"/>
    <w:rsid w:val="006D621A"/>
    <w:rsid w:val="006D6455"/>
    <w:rsid w:val="006D692D"/>
    <w:rsid w:val="006D6A00"/>
    <w:rsid w:val="006D6FFB"/>
    <w:rsid w:val="006D7687"/>
    <w:rsid w:val="006D7782"/>
    <w:rsid w:val="006E0DFF"/>
    <w:rsid w:val="006E1025"/>
    <w:rsid w:val="006E1278"/>
    <w:rsid w:val="006E19C8"/>
    <w:rsid w:val="006E1B72"/>
    <w:rsid w:val="006E22A6"/>
    <w:rsid w:val="006E24AF"/>
    <w:rsid w:val="006E2575"/>
    <w:rsid w:val="006E2752"/>
    <w:rsid w:val="006E2E54"/>
    <w:rsid w:val="006E3409"/>
    <w:rsid w:val="006E3673"/>
    <w:rsid w:val="006E3AE2"/>
    <w:rsid w:val="006E3B4D"/>
    <w:rsid w:val="006E3F50"/>
    <w:rsid w:val="006E4303"/>
    <w:rsid w:val="006E436D"/>
    <w:rsid w:val="006E4ABC"/>
    <w:rsid w:val="006E4B72"/>
    <w:rsid w:val="006E5726"/>
    <w:rsid w:val="006E58F4"/>
    <w:rsid w:val="006E5A07"/>
    <w:rsid w:val="006E62BD"/>
    <w:rsid w:val="006E643C"/>
    <w:rsid w:val="006E64C4"/>
    <w:rsid w:val="006E6766"/>
    <w:rsid w:val="006E677B"/>
    <w:rsid w:val="006E753D"/>
    <w:rsid w:val="006E755C"/>
    <w:rsid w:val="006E7883"/>
    <w:rsid w:val="006F0677"/>
    <w:rsid w:val="006F071B"/>
    <w:rsid w:val="006F0FA6"/>
    <w:rsid w:val="006F1862"/>
    <w:rsid w:val="006F1B0A"/>
    <w:rsid w:val="006F25EC"/>
    <w:rsid w:val="006F2D90"/>
    <w:rsid w:val="006F3521"/>
    <w:rsid w:val="006F36D4"/>
    <w:rsid w:val="006F380A"/>
    <w:rsid w:val="006F39EA"/>
    <w:rsid w:val="006F403C"/>
    <w:rsid w:val="006F46D5"/>
    <w:rsid w:val="006F4CC1"/>
    <w:rsid w:val="006F66E5"/>
    <w:rsid w:val="006F75EF"/>
    <w:rsid w:val="007011B3"/>
    <w:rsid w:val="00701B69"/>
    <w:rsid w:val="00701C86"/>
    <w:rsid w:val="00701DAF"/>
    <w:rsid w:val="00701E40"/>
    <w:rsid w:val="00702092"/>
    <w:rsid w:val="00702CAB"/>
    <w:rsid w:val="00702FC6"/>
    <w:rsid w:val="00703549"/>
    <w:rsid w:val="00703A75"/>
    <w:rsid w:val="0070419B"/>
    <w:rsid w:val="00704248"/>
    <w:rsid w:val="00704C0A"/>
    <w:rsid w:val="00704D06"/>
    <w:rsid w:val="0070612F"/>
    <w:rsid w:val="007064C5"/>
    <w:rsid w:val="00706917"/>
    <w:rsid w:val="00707171"/>
    <w:rsid w:val="0070743E"/>
    <w:rsid w:val="00707594"/>
    <w:rsid w:val="0070788C"/>
    <w:rsid w:val="00707C15"/>
    <w:rsid w:val="0071034D"/>
    <w:rsid w:val="007105BE"/>
    <w:rsid w:val="007105D0"/>
    <w:rsid w:val="0071072E"/>
    <w:rsid w:val="007107E3"/>
    <w:rsid w:val="007108F3"/>
    <w:rsid w:val="00710C04"/>
    <w:rsid w:val="00712068"/>
    <w:rsid w:val="007120C4"/>
    <w:rsid w:val="00712431"/>
    <w:rsid w:val="00712B36"/>
    <w:rsid w:val="007134DB"/>
    <w:rsid w:val="007138CB"/>
    <w:rsid w:val="00713DBE"/>
    <w:rsid w:val="00713FB7"/>
    <w:rsid w:val="00714ADB"/>
    <w:rsid w:val="007167FA"/>
    <w:rsid w:val="00716E90"/>
    <w:rsid w:val="0071741F"/>
    <w:rsid w:val="00717468"/>
    <w:rsid w:val="00717C83"/>
    <w:rsid w:val="00720018"/>
    <w:rsid w:val="0072144C"/>
    <w:rsid w:val="00721C83"/>
    <w:rsid w:val="007220C9"/>
    <w:rsid w:val="0072252E"/>
    <w:rsid w:val="00723AE3"/>
    <w:rsid w:val="00724F85"/>
    <w:rsid w:val="00725198"/>
    <w:rsid w:val="00725FB5"/>
    <w:rsid w:val="00726B9A"/>
    <w:rsid w:val="0072703A"/>
    <w:rsid w:val="00727B4A"/>
    <w:rsid w:val="00730B65"/>
    <w:rsid w:val="00730C89"/>
    <w:rsid w:val="00730EA7"/>
    <w:rsid w:val="007336AA"/>
    <w:rsid w:val="00733E48"/>
    <w:rsid w:val="00734184"/>
    <w:rsid w:val="007347A1"/>
    <w:rsid w:val="00734817"/>
    <w:rsid w:val="00734F0E"/>
    <w:rsid w:val="00734F96"/>
    <w:rsid w:val="007353BD"/>
    <w:rsid w:val="00735A17"/>
    <w:rsid w:val="00735FF3"/>
    <w:rsid w:val="00736290"/>
    <w:rsid w:val="0073671C"/>
    <w:rsid w:val="0073710D"/>
    <w:rsid w:val="00737A1F"/>
    <w:rsid w:val="00740230"/>
    <w:rsid w:val="007408A6"/>
    <w:rsid w:val="00740F94"/>
    <w:rsid w:val="0074253E"/>
    <w:rsid w:val="00742D26"/>
    <w:rsid w:val="00743814"/>
    <w:rsid w:val="00743856"/>
    <w:rsid w:val="007440D7"/>
    <w:rsid w:val="007447C7"/>
    <w:rsid w:val="007448A8"/>
    <w:rsid w:val="00744DAB"/>
    <w:rsid w:val="00744F61"/>
    <w:rsid w:val="007450A8"/>
    <w:rsid w:val="00745168"/>
    <w:rsid w:val="007465B6"/>
    <w:rsid w:val="00746632"/>
    <w:rsid w:val="00746A8B"/>
    <w:rsid w:val="00746A99"/>
    <w:rsid w:val="00746B52"/>
    <w:rsid w:val="00746CA9"/>
    <w:rsid w:val="00747367"/>
    <w:rsid w:val="00747576"/>
    <w:rsid w:val="00747880"/>
    <w:rsid w:val="00747FA3"/>
    <w:rsid w:val="0075083B"/>
    <w:rsid w:val="007514FA"/>
    <w:rsid w:val="007516DC"/>
    <w:rsid w:val="00751EF8"/>
    <w:rsid w:val="00752471"/>
    <w:rsid w:val="00752952"/>
    <w:rsid w:val="00752D4B"/>
    <w:rsid w:val="00753C00"/>
    <w:rsid w:val="007545F2"/>
    <w:rsid w:val="00754BBE"/>
    <w:rsid w:val="00755994"/>
    <w:rsid w:val="00755ECA"/>
    <w:rsid w:val="00756F07"/>
    <w:rsid w:val="00756F94"/>
    <w:rsid w:val="0075745B"/>
    <w:rsid w:val="00757564"/>
    <w:rsid w:val="00757836"/>
    <w:rsid w:val="00757CEF"/>
    <w:rsid w:val="00757E17"/>
    <w:rsid w:val="00760472"/>
    <w:rsid w:val="0076049A"/>
    <w:rsid w:val="007609BE"/>
    <w:rsid w:val="00760D3D"/>
    <w:rsid w:val="00761A05"/>
    <w:rsid w:val="00761BC7"/>
    <w:rsid w:val="00762F38"/>
    <w:rsid w:val="00763010"/>
    <w:rsid w:val="0076382A"/>
    <w:rsid w:val="007639DA"/>
    <w:rsid w:val="00764C58"/>
    <w:rsid w:val="00764F22"/>
    <w:rsid w:val="00765216"/>
    <w:rsid w:val="00765259"/>
    <w:rsid w:val="00765AA3"/>
    <w:rsid w:val="00765C6C"/>
    <w:rsid w:val="0076644C"/>
    <w:rsid w:val="00766454"/>
    <w:rsid w:val="0076788D"/>
    <w:rsid w:val="007679E4"/>
    <w:rsid w:val="00767A9E"/>
    <w:rsid w:val="00770645"/>
    <w:rsid w:val="00770A45"/>
    <w:rsid w:val="00771F9A"/>
    <w:rsid w:val="00771FA3"/>
    <w:rsid w:val="00772723"/>
    <w:rsid w:val="007729B9"/>
    <w:rsid w:val="0077493A"/>
    <w:rsid w:val="00774CDD"/>
    <w:rsid w:val="00774F7C"/>
    <w:rsid w:val="007761BE"/>
    <w:rsid w:val="007768AF"/>
    <w:rsid w:val="007773D2"/>
    <w:rsid w:val="00777B02"/>
    <w:rsid w:val="00777ECD"/>
    <w:rsid w:val="007807E9"/>
    <w:rsid w:val="00781146"/>
    <w:rsid w:val="00781A85"/>
    <w:rsid w:val="00781CE1"/>
    <w:rsid w:val="00782410"/>
    <w:rsid w:val="00783DCB"/>
    <w:rsid w:val="00784266"/>
    <w:rsid w:val="00784A62"/>
    <w:rsid w:val="00785DD5"/>
    <w:rsid w:val="007863C7"/>
    <w:rsid w:val="00786606"/>
    <w:rsid w:val="00787643"/>
    <w:rsid w:val="00787BCD"/>
    <w:rsid w:val="00787D6B"/>
    <w:rsid w:val="00787E34"/>
    <w:rsid w:val="00790D80"/>
    <w:rsid w:val="0079111C"/>
    <w:rsid w:val="007917B3"/>
    <w:rsid w:val="00791A98"/>
    <w:rsid w:val="007921D5"/>
    <w:rsid w:val="00792A43"/>
    <w:rsid w:val="00792F78"/>
    <w:rsid w:val="007935FA"/>
    <w:rsid w:val="00793711"/>
    <w:rsid w:val="00793B9B"/>
    <w:rsid w:val="00794373"/>
    <w:rsid w:val="0079452C"/>
    <w:rsid w:val="00794CF8"/>
    <w:rsid w:val="007950FB"/>
    <w:rsid w:val="0079526D"/>
    <w:rsid w:val="0079572E"/>
    <w:rsid w:val="00796F6F"/>
    <w:rsid w:val="0079704B"/>
    <w:rsid w:val="0079792F"/>
    <w:rsid w:val="00797A2B"/>
    <w:rsid w:val="00797E6D"/>
    <w:rsid w:val="007A024C"/>
    <w:rsid w:val="007A1194"/>
    <w:rsid w:val="007A1B8A"/>
    <w:rsid w:val="007A20DB"/>
    <w:rsid w:val="007A2161"/>
    <w:rsid w:val="007A23CF"/>
    <w:rsid w:val="007A2B3A"/>
    <w:rsid w:val="007A319C"/>
    <w:rsid w:val="007A352F"/>
    <w:rsid w:val="007A3871"/>
    <w:rsid w:val="007A38D5"/>
    <w:rsid w:val="007A3F94"/>
    <w:rsid w:val="007A3FEF"/>
    <w:rsid w:val="007A4023"/>
    <w:rsid w:val="007A43BA"/>
    <w:rsid w:val="007A43DA"/>
    <w:rsid w:val="007A4F81"/>
    <w:rsid w:val="007A5AF8"/>
    <w:rsid w:val="007A5CF1"/>
    <w:rsid w:val="007A6210"/>
    <w:rsid w:val="007A7018"/>
    <w:rsid w:val="007A737A"/>
    <w:rsid w:val="007A7DB5"/>
    <w:rsid w:val="007B05B4"/>
    <w:rsid w:val="007B0A61"/>
    <w:rsid w:val="007B0D2D"/>
    <w:rsid w:val="007B1229"/>
    <w:rsid w:val="007B1873"/>
    <w:rsid w:val="007B19EB"/>
    <w:rsid w:val="007B1F63"/>
    <w:rsid w:val="007B225A"/>
    <w:rsid w:val="007B3072"/>
    <w:rsid w:val="007B3792"/>
    <w:rsid w:val="007B3C0C"/>
    <w:rsid w:val="007B45AE"/>
    <w:rsid w:val="007B534E"/>
    <w:rsid w:val="007B5671"/>
    <w:rsid w:val="007B62C4"/>
    <w:rsid w:val="007B6784"/>
    <w:rsid w:val="007B721E"/>
    <w:rsid w:val="007B7DCB"/>
    <w:rsid w:val="007C0CEB"/>
    <w:rsid w:val="007C1371"/>
    <w:rsid w:val="007C1DA6"/>
    <w:rsid w:val="007C200F"/>
    <w:rsid w:val="007C2AF2"/>
    <w:rsid w:val="007C2EE3"/>
    <w:rsid w:val="007C35EA"/>
    <w:rsid w:val="007C3784"/>
    <w:rsid w:val="007C3D00"/>
    <w:rsid w:val="007C445B"/>
    <w:rsid w:val="007C4A2B"/>
    <w:rsid w:val="007C51A3"/>
    <w:rsid w:val="007C5B50"/>
    <w:rsid w:val="007C68AD"/>
    <w:rsid w:val="007C6CDA"/>
    <w:rsid w:val="007C6EA5"/>
    <w:rsid w:val="007C6F88"/>
    <w:rsid w:val="007C710D"/>
    <w:rsid w:val="007C7978"/>
    <w:rsid w:val="007C7B23"/>
    <w:rsid w:val="007C7F60"/>
    <w:rsid w:val="007D0191"/>
    <w:rsid w:val="007D174D"/>
    <w:rsid w:val="007D1802"/>
    <w:rsid w:val="007D19EF"/>
    <w:rsid w:val="007D250B"/>
    <w:rsid w:val="007D27D2"/>
    <w:rsid w:val="007D351D"/>
    <w:rsid w:val="007D35BD"/>
    <w:rsid w:val="007D378B"/>
    <w:rsid w:val="007D3980"/>
    <w:rsid w:val="007D3AAD"/>
    <w:rsid w:val="007D3ABC"/>
    <w:rsid w:val="007D3C0B"/>
    <w:rsid w:val="007D591E"/>
    <w:rsid w:val="007D5B25"/>
    <w:rsid w:val="007D6C54"/>
    <w:rsid w:val="007D7209"/>
    <w:rsid w:val="007D7AF0"/>
    <w:rsid w:val="007D7C58"/>
    <w:rsid w:val="007E0D56"/>
    <w:rsid w:val="007E1643"/>
    <w:rsid w:val="007E1928"/>
    <w:rsid w:val="007E267F"/>
    <w:rsid w:val="007E2BA7"/>
    <w:rsid w:val="007E2E32"/>
    <w:rsid w:val="007E3C15"/>
    <w:rsid w:val="007E485C"/>
    <w:rsid w:val="007E4A19"/>
    <w:rsid w:val="007E4D03"/>
    <w:rsid w:val="007E53E6"/>
    <w:rsid w:val="007E5AF0"/>
    <w:rsid w:val="007E60E4"/>
    <w:rsid w:val="007E61E5"/>
    <w:rsid w:val="007E63D7"/>
    <w:rsid w:val="007E779B"/>
    <w:rsid w:val="007F09B3"/>
    <w:rsid w:val="007F203C"/>
    <w:rsid w:val="007F20EE"/>
    <w:rsid w:val="007F2326"/>
    <w:rsid w:val="007F2341"/>
    <w:rsid w:val="007F2583"/>
    <w:rsid w:val="007F4207"/>
    <w:rsid w:val="007F4318"/>
    <w:rsid w:val="007F437D"/>
    <w:rsid w:val="007F4B11"/>
    <w:rsid w:val="007F4E51"/>
    <w:rsid w:val="007F51D1"/>
    <w:rsid w:val="007F5764"/>
    <w:rsid w:val="007F5CF8"/>
    <w:rsid w:val="007F61D6"/>
    <w:rsid w:val="007F628A"/>
    <w:rsid w:val="007F632F"/>
    <w:rsid w:val="007F63C6"/>
    <w:rsid w:val="007F685E"/>
    <w:rsid w:val="007F6982"/>
    <w:rsid w:val="007F6C62"/>
    <w:rsid w:val="007F6C76"/>
    <w:rsid w:val="007F6CD6"/>
    <w:rsid w:val="007F6FD5"/>
    <w:rsid w:val="007F70C7"/>
    <w:rsid w:val="007F77F3"/>
    <w:rsid w:val="007F78D0"/>
    <w:rsid w:val="007F7BC8"/>
    <w:rsid w:val="008002FE"/>
    <w:rsid w:val="008009F7"/>
    <w:rsid w:val="00800E85"/>
    <w:rsid w:val="008011C5"/>
    <w:rsid w:val="0080121F"/>
    <w:rsid w:val="00801394"/>
    <w:rsid w:val="0080182C"/>
    <w:rsid w:val="00801C60"/>
    <w:rsid w:val="008020D2"/>
    <w:rsid w:val="008022C1"/>
    <w:rsid w:val="00802BC6"/>
    <w:rsid w:val="008037EA"/>
    <w:rsid w:val="00803B0D"/>
    <w:rsid w:val="00805083"/>
    <w:rsid w:val="00805447"/>
    <w:rsid w:val="00805A6A"/>
    <w:rsid w:val="00805C72"/>
    <w:rsid w:val="00806896"/>
    <w:rsid w:val="00806D93"/>
    <w:rsid w:val="008072F1"/>
    <w:rsid w:val="008073B7"/>
    <w:rsid w:val="00807C76"/>
    <w:rsid w:val="0081003E"/>
    <w:rsid w:val="008102EB"/>
    <w:rsid w:val="008116AC"/>
    <w:rsid w:val="00811AE2"/>
    <w:rsid w:val="00811F42"/>
    <w:rsid w:val="008130E6"/>
    <w:rsid w:val="008140E4"/>
    <w:rsid w:val="00814213"/>
    <w:rsid w:val="008147FA"/>
    <w:rsid w:val="00814859"/>
    <w:rsid w:val="00814954"/>
    <w:rsid w:val="00814E60"/>
    <w:rsid w:val="008156E5"/>
    <w:rsid w:val="008164DD"/>
    <w:rsid w:val="00817559"/>
    <w:rsid w:val="008209A9"/>
    <w:rsid w:val="00821056"/>
    <w:rsid w:val="008218F6"/>
    <w:rsid w:val="00821E9B"/>
    <w:rsid w:val="0082214B"/>
    <w:rsid w:val="00822324"/>
    <w:rsid w:val="0082295C"/>
    <w:rsid w:val="00823426"/>
    <w:rsid w:val="00823D5E"/>
    <w:rsid w:val="00823F3B"/>
    <w:rsid w:val="008242DA"/>
    <w:rsid w:val="00825847"/>
    <w:rsid w:val="00825A99"/>
    <w:rsid w:val="00825B4F"/>
    <w:rsid w:val="00826A59"/>
    <w:rsid w:val="00826B16"/>
    <w:rsid w:val="00827166"/>
    <w:rsid w:val="00830E6C"/>
    <w:rsid w:val="0083124F"/>
    <w:rsid w:val="00832D69"/>
    <w:rsid w:val="00832D91"/>
    <w:rsid w:val="0083391B"/>
    <w:rsid w:val="00833C7C"/>
    <w:rsid w:val="008342A0"/>
    <w:rsid w:val="008345A4"/>
    <w:rsid w:val="0083492E"/>
    <w:rsid w:val="00834FC6"/>
    <w:rsid w:val="00835371"/>
    <w:rsid w:val="0083586F"/>
    <w:rsid w:val="00835A04"/>
    <w:rsid w:val="00835F94"/>
    <w:rsid w:val="00836274"/>
    <w:rsid w:val="00836E2A"/>
    <w:rsid w:val="008371DC"/>
    <w:rsid w:val="00837913"/>
    <w:rsid w:val="00837934"/>
    <w:rsid w:val="00837FC9"/>
    <w:rsid w:val="008403FF"/>
    <w:rsid w:val="00840D00"/>
    <w:rsid w:val="00841BC8"/>
    <w:rsid w:val="00841DDD"/>
    <w:rsid w:val="00842594"/>
    <w:rsid w:val="00842E4A"/>
    <w:rsid w:val="008432F3"/>
    <w:rsid w:val="008438AA"/>
    <w:rsid w:val="00843A79"/>
    <w:rsid w:val="00843FCD"/>
    <w:rsid w:val="008448FC"/>
    <w:rsid w:val="00844CEA"/>
    <w:rsid w:val="008459EB"/>
    <w:rsid w:val="00847893"/>
    <w:rsid w:val="00847B48"/>
    <w:rsid w:val="00847C08"/>
    <w:rsid w:val="00847FDB"/>
    <w:rsid w:val="00850B9A"/>
    <w:rsid w:val="008510C4"/>
    <w:rsid w:val="00851814"/>
    <w:rsid w:val="00851F9F"/>
    <w:rsid w:val="0085203E"/>
    <w:rsid w:val="0085365D"/>
    <w:rsid w:val="0085373B"/>
    <w:rsid w:val="00853886"/>
    <w:rsid w:val="0085463C"/>
    <w:rsid w:val="00854A67"/>
    <w:rsid w:val="008552F3"/>
    <w:rsid w:val="0085619D"/>
    <w:rsid w:val="0085636E"/>
    <w:rsid w:val="008566A8"/>
    <w:rsid w:val="00856728"/>
    <w:rsid w:val="00857863"/>
    <w:rsid w:val="00860400"/>
    <w:rsid w:val="008605FB"/>
    <w:rsid w:val="008626F2"/>
    <w:rsid w:val="00862CB3"/>
    <w:rsid w:val="00863062"/>
    <w:rsid w:val="0086320B"/>
    <w:rsid w:val="00863D9E"/>
    <w:rsid w:val="00863F94"/>
    <w:rsid w:val="00866298"/>
    <w:rsid w:val="00866331"/>
    <w:rsid w:val="00866832"/>
    <w:rsid w:val="0086703F"/>
    <w:rsid w:val="0086761E"/>
    <w:rsid w:val="008678FF"/>
    <w:rsid w:val="00867A75"/>
    <w:rsid w:val="008705A2"/>
    <w:rsid w:val="008715CB"/>
    <w:rsid w:val="00871B0E"/>
    <w:rsid w:val="008728F5"/>
    <w:rsid w:val="00872AEB"/>
    <w:rsid w:val="00872B69"/>
    <w:rsid w:val="00873226"/>
    <w:rsid w:val="00873F99"/>
    <w:rsid w:val="00875809"/>
    <w:rsid w:val="00875BDC"/>
    <w:rsid w:val="00875D85"/>
    <w:rsid w:val="00875DE0"/>
    <w:rsid w:val="0087778D"/>
    <w:rsid w:val="00877A1F"/>
    <w:rsid w:val="008800D0"/>
    <w:rsid w:val="00880C82"/>
    <w:rsid w:val="00881279"/>
    <w:rsid w:val="0088162C"/>
    <w:rsid w:val="008818B7"/>
    <w:rsid w:val="00881CC7"/>
    <w:rsid w:val="00881CF2"/>
    <w:rsid w:val="00882134"/>
    <w:rsid w:val="0088302B"/>
    <w:rsid w:val="008835A9"/>
    <w:rsid w:val="00883D91"/>
    <w:rsid w:val="008841CB"/>
    <w:rsid w:val="008844BB"/>
    <w:rsid w:val="0088493A"/>
    <w:rsid w:val="008852AF"/>
    <w:rsid w:val="00885355"/>
    <w:rsid w:val="008853A0"/>
    <w:rsid w:val="0088553A"/>
    <w:rsid w:val="008859BD"/>
    <w:rsid w:val="00885BD7"/>
    <w:rsid w:val="00885C4F"/>
    <w:rsid w:val="00885CD0"/>
    <w:rsid w:val="00886DB2"/>
    <w:rsid w:val="00886DCF"/>
    <w:rsid w:val="00886F10"/>
    <w:rsid w:val="00887066"/>
    <w:rsid w:val="00887097"/>
    <w:rsid w:val="00887343"/>
    <w:rsid w:val="00890415"/>
    <w:rsid w:val="00890836"/>
    <w:rsid w:val="00890F34"/>
    <w:rsid w:val="008913E4"/>
    <w:rsid w:val="008926B0"/>
    <w:rsid w:val="008927B9"/>
    <w:rsid w:val="00892CD1"/>
    <w:rsid w:val="00892D6E"/>
    <w:rsid w:val="00893146"/>
    <w:rsid w:val="00893247"/>
    <w:rsid w:val="00893280"/>
    <w:rsid w:val="008935E2"/>
    <w:rsid w:val="0089400E"/>
    <w:rsid w:val="008944F5"/>
    <w:rsid w:val="008947F6"/>
    <w:rsid w:val="00896980"/>
    <w:rsid w:val="00896AE1"/>
    <w:rsid w:val="00897667"/>
    <w:rsid w:val="008A041C"/>
    <w:rsid w:val="008A04BD"/>
    <w:rsid w:val="008A0657"/>
    <w:rsid w:val="008A0C71"/>
    <w:rsid w:val="008A0E64"/>
    <w:rsid w:val="008A0F72"/>
    <w:rsid w:val="008A2A13"/>
    <w:rsid w:val="008A3B72"/>
    <w:rsid w:val="008A574E"/>
    <w:rsid w:val="008A5779"/>
    <w:rsid w:val="008A6040"/>
    <w:rsid w:val="008A6BBE"/>
    <w:rsid w:val="008A6C44"/>
    <w:rsid w:val="008A7B55"/>
    <w:rsid w:val="008B03C0"/>
    <w:rsid w:val="008B043B"/>
    <w:rsid w:val="008B09E8"/>
    <w:rsid w:val="008B152E"/>
    <w:rsid w:val="008B201D"/>
    <w:rsid w:val="008B2281"/>
    <w:rsid w:val="008B28F4"/>
    <w:rsid w:val="008B29C5"/>
    <w:rsid w:val="008B2BBB"/>
    <w:rsid w:val="008B2EEE"/>
    <w:rsid w:val="008B2F6E"/>
    <w:rsid w:val="008B36DE"/>
    <w:rsid w:val="008B40B6"/>
    <w:rsid w:val="008B4336"/>
    <w:rsid w:val="008B4628"/>
    <w:rsid w:val="008B476D"/>
    <w:rsid w:val="008B5CE7"/>
    <w:rsid w:val="008B6D28"/>
    <w:rsid w:val="008B7B4C"/>
    <w:rsid w:val="008B7E20"/>
    <w:rsid w:val="008C14DE"/>
    <w:rsid w:val="008C3A48"/>
    <w:rsid w:val="008C564B"/>
    <w:rsid w:val="008C594A"/>
    <w:rsid w:val="008C618B"/>
    <w:rsid w:val="008C6CC1"/>
    <w:rsid w:val="008C710E"/>
    <w:rsid w:val="008C7168"/>
    <w:rsid w:val="008C7706"/>
    <w:rsid w:val="008D06DE"/>
    <w:rsid w:val="008D0F4E"/>
    <w:rsid w:val="008D129A"/>
    <w:rsid w:val="008D34F3"/>
    <w:rsid w:val="008D43B1"/>
    <w:rsid w:val="008D4A0F"/>
    <w:rsid w:val="008D4B87"/>
    <w:rsid w:val="008D4B98"/>
    <w:rsid w:val="008D4CC6"/>
    <w:rsid w:val="008D4DC9"/>
    <w:rsid w:val="008D6CFD"/>
    <w:rsid w:val="008D75F0"/>
    <w:rsid w:val="008D79BC"/>
    <w:rsid w:val="008E0058"/>
    <w:rsid w:val="008E064C"/>
    <w:rsid w:val="008E0B70"/>
    <w:rsid w:val="008E0CA1"/>
    <w:rsid w:val="008E15B5"/>
    <w:rsid w:val="008E2027"/>
    <w:rsid w:val="008E31AE"/>
    <w:rsid w:val="008E34CB"/>
    <w:rsid w:val="008E3544"/>
    <w:rsid w:val="008E4CB4"/>
    <w:rsid w:val="008E51B2"/>
    <w:rsid w:val="008E5C3D"/>
    <w:rsid w:val="008E61CE"/>
    <w:rsid w:val="008E687B"/>
    <w:rsid w:val="008E6D97"/>
    <w:rsid w:val="008E6EBF"/>
    <w:rsid w:val="008E78CC"/>
    <w:rsid w:val="008E7B56"/>
    <w:rsid w:val="008E7D7D"/>
    <w:rsid w:val="008F0E9F"/>
    <w:rsid w:val="008F0FA1"/>
    <w:rsid w:val="008F18BF"/>
    <w:rsid w:val="008F208A"/>
    <w:rsid w:val="008F2483"/>
    <w:rsid w:val="008F2924"/>
    <w:rsid w:val="008F2BBE"/>
    <w:rsid w:val="008F3190"/>
    <w:rsid w:val="008F3D3D"/>
    <w:rsid w:val="008F4653"/>
    <w:rsid w:val="008F4B8D"/>
    <w:rsid w:val="008F5A48"/>
    <w:rsid w:val="008F623A"/>
    <w:rsid w:val="008F74F3"/>
    <w:rsid w:val="00900457"/>
    <w:rsid w:val="009007E3"/>
    <w:rsid w:val="00900A29"/>
    <w:rsid w:val="00900C8E"/>
    <w:rsid w:val="00900CF7"/>
    <w:rsid w:val="00900EBA"/>
    <w:rsid w:val="00901050"/>
    <w:rsid w:val="0090155E"/>
    <w:rsid w:val="009018B9"/>
    <w:rsid w:val="0090197D"/>
    <w:rsid w:val="00902438"/>
    <w:rsid w:val="009036BA"/>
    <w:rsid w:val="009037C7"/>
    <w:rsid w:val="00904A36"/>
    <w:rsid w:val="00905238"/>
    <w:rsid w:val="00905725"/>
    <w:rsid w:val="009063F2"/>
    <w:rsid w:val="00907410"/>
    <w:rsid w:val="009110C1"/>
    <w:rsid w:val="00911514"/>
    <w:rsid w:val="009117C6"/>
    <w:rsid w:val="00911F8E"/>
    <w:rsid w:val="0091275D"/>
    <w:rsid w:val="00912B5D"/>
    <w:rsid w:val="00914227"/>
    <w:rsid w:val="00914321"/>
    <w:rsid w:val="00914841"/>
    <w:rsid w:val="009148CE"/>
    <w:rsid w:val="009151A3"/>
    <w:rsid w:val="0091561C"/>
    <w:rsid w:val="00915874"/>
    <w:rsid w:val="009158B7"/>
    <w:rsid w:val="0091599C"/>
    <w:rsid w:val="0091635C"/>
    <w:rsid w:val="009164CE"/>
    <w:rsid w:val="00916655"/>
    <w:rsid w:val="00917775"/>
    <w:rsid w:val="00917959"/>
    <w:rsid w:val="00920126"/>
    <w:rsid w:val="00920DC7"/>
    <w:rsid w:val="009217FA"/>
    <w:rsid w:val="00922961"/>
    <w:rsid w:val="00923078"/>
    <w:rsid w:val="00923CBB"/>
    <w:rsid w:val="00924231"/>
    <w:rsid w:val="00924733"/>
    <w:rsid w:val="00924852"/>
    <w:rsid w:val="00925B7E"/>
    <w:rsid w:val="009262AE"/>
    <w:rsid w:val="00926ACF"/>
    <w:rsid w:val="00926B9C"/>
    <w:rsid w:val="00926EAD"/>
    <w:rsid w:val="0092779C"/>
    <w:rsid w:val="00927BBF"/>
    <w:rsid w:val="00927C9D"/>
    <w:rsid w:val="00930E2B"/>
    <w:rsid w:val="00931D3E"/>
    <w:rsid w:val="00931F8A"/>
    <w:rsid w:val="0093220E"/>
    <w:rsid w:val="009332EF"/>
    <w:rsid w:val="00933424"/>
    <w:rsid w:val="00933991"/>
    <w:rsid w:val="00934799"/>
    <w:rsid w:val="00934B23"/>
    <w:rsid w:val="00935C07"/>
    <w:rsid w:val="00935FA6"/>
    <w:rsid w:val="0093696C"/>
    <w:rsid w:val="00936A5C"/>
    <w:rsid w:val="009371CD"/>
    <w:rsid w:val="00937B73"/>
    <w:rsid w:val="00937F98"/>
    <w:rsid w:val="009401AC"/>
    <w:rsid w:val="00940694"/>
    <w:rsid w:val="00940749"/>
    <w:rsid w:val="0094098B"/>
    <w:rsid w:val="00941630"/>
    <w:rsid w:val="00941D58"/>
    <w:rsid w:val="009425F0"/>
    <w:rsid w:val="00942646"/>
    <w:rsid w:val="0094382C"/>
    <w:rsid w:val="00943A07"/>
    <w:rsid w:val="00944420"/>
    <w:rsid w:val="009448F3"/>
    <w:rsid w:val="00944A9F"/>
    <w:rsid w:val="00944E8E"/>
    <w:rsid w:val="00944F2A"/>
    <w:rsid w:val="00945090"/>
    <w:rsid w:val="00945189"/>
    <w:rsid w:val="00945288"/>
    <w:rsid w:val="00945B40"/>
    <w:rsid w:val="00945EF2"/>
    <w:rsid w:val="009469D5"/>
    <w:rsid w:val="009470EE"/>
    <w:rsid w:val="009475B7"/>
    <w:rsid w:val="0095003E"/>
    <w:rsid w:val="009503D9"/>
    <w:rsid w:val="00950F0D"/>
    <w:rsid w:val="00951348"/>
    <w:rsid w:val="00951A53"/>
    <w:rsid w:val="00953778"/>
    <w:rsid w:val="00953882"/>
    <w:rsid w:val="00953B11"/>
    <w:rsid w:val="00953FEC"/>
    <w:rsid w:val="009540F1"/>
    <w:rsid w:val="00954AAE"/>
    <w:rsid w:val="00954E52"/>
    <w:rsid w:val="0095557E"/>
    <w:rsid w:val="00955FA5"/>
    <w:rsid w:val="009560FB"/>
    <w:rsid w:val="009563B9"/>
    <w:rsid w:val="00956841"/>
    <w:rsid w:val="009568BB"/>
    <w:rsid w:val="009569FA"/>
    <w:rsid w:val="00956A77"/>
    <w:rsid w:val="00957E1D"/>
    <w:rsid w:val="0096011A"/>
    <w:rsid w:val="00960464"/>
    <w:rsid w:val="009604BF"/>
    <w:rsid w:val="00960662"/>
    <w:rsid w:val="009616DC"/>
    <w:rsid w:val="00961BAE"/>
    <w:rsid w:val="00962407"/>
    <w:rsid w:val="00962DF5"/>
    <w:rsid w:val="00964157"/>
    <w:rsid w:val="00964187"/>
    <w:rsid w:val="00964EE0"/>
    <w:rsid w:val="00965A52"/>
    <w:rsid w:val="00965DE5"/>
    <w:rsid w:val="009663DF"/>
    <w:rsid w:val="00966CC7"/>
    <w:rsid w:val="00966F36"/>
    <w:rsid w:val="00966F7F"/>
    <w:rsid w:val="00967672"/>
    <w:rsid w:val="00967996"/>
    <w:rsid w:val="00967B28"/>
    <w:rsid w:val="00970447"/>
    <w:rsid w:val="00970890"/>
    <w:rsid w:val="00970953"/>
    <w:rsid w:val="00970C27"/>
    <w:rsid w:val="00970D76"/>
    <w:rsid w:val="00973432"/>
    <w:rsid w:val="009735ED"/>
    <w:rsid w:val="00973C1B"/>
    <w:rsid w:val="00973D70"/>
    <w:rsid w:val="00973F1D"/>
    <w:rsid w:val="00974403"/>
    <w:rsid w:val="00974435"/>
    <w:rsid w:val="00974DB8"/>
    <w:rsid w:val="00974F3F"/>
    <w:rsid w:val="0097507E"/>
    <w:rsid w:val="0097586E"/>
    <w:rsid w:val="00975B86"/>
    <w:rsid w:val="009768D8"/>
    <w:rsid w:val="00976D91"/>
    <w:rsid w:val="00976E6D"/>
    <w:rsid w:val="0097725A"/>
    <w:rsid w:val="009772D9"/>
    <w:rsid w:val="00977E16"/>
    <w:rsid w:val="009802BC"/>
    <w:rsid w:val="009804A9"/>
    <w:rsid w:val="00980BE4"/>
    <w:rsid w:val="009816EE"/>
    <w:rsid w:val="00981E73"/>
    <w:rsid w:val="009821E3"/>
    <w:rsid w:val="00982D9C"/>
    <w:rsid w:val="0098300E"/>
    <w:rsid w:val="009835BD"/>
    <w:rsid w:val="00983E9A"/>
    <w:rsid w:val="00983EE2"/>
    <w:rsid w:val="00984558"/>
    <w:rsid w:val="0098493C"/>
    <w:rsid w:val="00984E97"/>
    <w:rsid w:val="00985565"/>
    <w:rsid w:val="00985892"/>
    <w:rsid w:val="00985EC9"/>
    <w:rsid w:val="0098612E"/>
    <w:rsid w:val="00987190"/>
    <w:rsid w:val="00987932"/>
    <w:rsid w:val="00987999"/>
    <w:rsid w:val="00987C43"/>
    <w:rsid w:val="00990A71"/>
    <w:rsid w:val="00990ACC"/>
    <w:rsid w:val="0099166E"/>
    <w:rsid w:val="009920F2"/>
    <w:rsid w:val="00992B58"/>
    <w:rsid w:val="009933FB"/>
    <w:rsid w:val="00994313"/>
    <w:rsid w:val="0099477E"/>
    <w:rsid w:val="00994B99"/>
    <w:rsid w:val="0099508A"/>
    <w:rsid w:val="00995668"/>
    <w:rsid w:val="00995837"/>
    <w:rsid w:val="0099604D"/>
    <w:rsid w:val="0099620B"/>
    <w:rsid w:val="00996F49"/>
    <w:rsid w:val="00997B0E"/>
    <w:rsid w:val="00997FB0"/>
    <w:rsid w:val="009A1594"/>
    <w:rsid w:val="009A15C5"/>
    <w:rsid w:val="009A1C2F"/>
    <w:rsid w:val="009A2A70"/>
    <w:rsid w:val="009A2ACB"/>
    <w:rsid w:val="009A33A0"/>
    <w:rsid w:val="009A3DAC"/>
    <w:rsid w:val="009A4E9C"/>
    <w:rsid w:val="009A4EFE"/>
    <w:rsid w:val="009A548D"/>
    <w:rsid w:val="009A63B9"/>
    <w:rsid w:val="009A6752"/>
    <w:rsid w:val="009A67D4"/>
    <w:rsid w:val="009A6CFF"/>
    <w:rsid w:val="009A70DA"/>
    <w:rsid w:val="009A7E18"/>
    <w:rsid w:val="009B05DD"/>
    <w:rsid w:val="009B0A33"/>
    <w:rsid w:val="009B108B"/>
    <w:rsid w:val="009B11CC"/>
    <w:rsid w:val="009B12D6"/>
    <w:rsid w:val="009B1F03"/>
    <w:rsid w:val="009B28A8"/>
    <w:rsid w:val="009B3A03"/>
    <w:rsid w:val="009B3DD0"/>
    <w:rsid w:val="009B4034"/>
    <w:rsid w:val="009B49A5"/>
    <w:rsid w:val="009B4A06"/>
    <w:rsid w:val="009B5E14"/>
    <w:rsid w:val="009B6FA2"/>
    <w:rsid w:val="009B726F"/>
    <w:rsid w:val="009B7603"/>
    <w:rsid w:val="009B7A61"/>
    <w:rsid w:val="009B7B99"/>
    <w:rsid w:val="009B7C97"/>
    <w:rsid w:val="009C0375"/>
    <w:rsid w:val="009C0524"/>
    <w:rsid w:val="009C0FF9"/>
    <w:rsid w:val="009C154A"/>
    <w:rsid w:val="009C15AB"/>
    <w:rsid w:val="009C1C0C"/>
    <w:rsid w:val="009C1CC1"/>
    <w:rsid w:val="009C1ED7"/>
    <w:rsid w:val="009C2173"/>
    <w:rsid w:val="009C297C"/>
    <w:rsid w:val="009C2A1F"/>
    <w:rsid w:val="009C3186"/>
    <w:rsid w:val="009C3DA6"/>
    <w:rsid w:val="009C4694"/>
    <w:rsid w:val="009C4CCC"/>
    <w:rsid w:val="009C526C"/>
    <w:rsid w:val="009C5C19"/>
    <w:rsid w:val="009C5FD9"/>
    <w:rsid w:val="009C60C3"/>
    <w:rsid w:val="009C650E"/>
    <w:rsid w:val="009C6B8F"/>
    <w:rsid w:val="009C7044"/>
    <w:rsid w:val="009C7992"/>
    <w:rsid w:val="009C7EE5"/>
    <w:rsid w:val="009D017B"/>
    <w:rsid w:val="009D0C0C"/>
    <w:rsid w:val="009D18C7"/>
    <w:rsid w:val="009D1A8C"/>
    <w:rsid w:val="009D1C8E"/>
    <w:rsid w:val="009D2407"/>
    <w:rsid w:val="009D26D3"/>
    <w:rsid w:val="009D366C"/>
    <w:rsid w:val="009D4192"/>
    <w:rsid w:val="009D4795"/>
    <w:rsid w:val="009D486B"/>
    <w:rsid w:val="009D529F"/>
    <w:rsid w:val="009D598E"/>
    <w:rsid w:val="009D5FAA"/>
    <w:rsid w:val="009D6449"/>
    <w:rsid w:val="009D64E4"/>
    <w:rsid w:val="009D6DB0"/>
    <w:rsid w:val="009D6ED2"/>
    <w:rsid w:val="009D70A3"/>
    <w:rsid w:val="009D7104"/>
    <w:rsid w:val="009D7677"/>
    <w:rsid w:val="009D799B"/>
    <w:rsid w:val="009E01F0"/>
    <w:rsid w:val="009E09EF"/>
    <w:rsid w:val="009E09F5"/>
    <w:rsid w:val="009E12CD"/>
    <w:rsid w:val="009E145E"/>
    <w:rsid w:val="009E1596"/>
    <w:rsid w:val="009E1CE9"/>
    <w:rsid w:val="009E1EC4"/>
    <w:rsid w:val="009E1F96"/>
    <w:rsid w:val="009E2259"/>
    <w:rsid w:val="009E274B"/>
    <w:rsid w:val="009E2C27"/>
    <w:rsid w:val="009E3103"/>
    <w:rsid w:val="009E3BAE"/>
    <w:rsid w:val="009E4248"/>
    <w:rsid w:val="009E48A5"/>
    <w:rsid w:val="009E530B"/>
    <w:rsid w:val="009E54A9"/>
    <w:rsid w:val="009E581B"/>
    <w:rsid w:val="009E5953"/>
    <w:rsid w:val="009E5E19"/>
    <w:rsid w:val="009E69B5"/>
    <w:rsid w:val="009E7874"/>
    <w:rsid w:val="009E7EA9"/>
    <w:rsid w:val="009F0092"/>
    <w:rsid w:val="009F0204"/>
    <w:rsid w:val="009F02C3"/>
    <w:rsid w:val="009F0934"/>
    <w:rsid w:val="009F0EEB"/>
    <w:rsid w:val="009F1D54"/>
    <w:rsid w:val="009F21FC"/>
    <w:rsid w:val="009F2985"/>
    <w:rsid w:val="009F2E22"/>
    <w:rsid w:val="009F331D"/>
    <w:rsid w:val="009F3520"/>
    <w:rsid w:val="009F3586"/>
    <w:rsid w:val="009F3A0E"/>
    <w:rsid w:val="009F3E2A"/>
    <w:rsid w:val="009F3ED1"/>
    <w:rsid w:val="009F4B1A"/>
    <w:rsid w:val="009F4DF1"/>
    <w:rsid w:val="009F5038"/>
    <w:rsid w:val="009F5413"/>
    <w:rsid w:val="009F5F2F"/>
    <w:rsid w:val="009F5FA0"/>
    <w:rsid w:val="009F7629"/>
    <w:rsid w:val="009F78E4"/>
    <w:rsid w:val="00A007F3"/>
    <w:rsid w:val="00A00EB1"/>
    <w:rsid w:val="00A017F7"/>
    <w:rsid w:val="00A02B19"/>
    <w:rsid w:val="00A0337B"/>
    <w:rsid w:val="00A0337F"/>
    <w:rsid w:val="00A036E5"/>
    <w:rsid w:val="00A052F6"/>
    <w:rsid w:val="00A05318"/>
    <w:rsid w:val="00A05AF3"/>
    <w:rsid w:val="00A05E80"/>
    <w:rsid w:val="00A05FD5"/>
    <w:rsid w:val="00A063A2"/>
    <w:rsid w:val="00A07543"/>
    <w:rsid w:val="00A103B7"/>
    <w:rsid w:val="00A10555"/>
    <w:rsid w:val="00A109F3"/>
    <w:rsid w:val="00A10C6B"/>
    <w:rsid w:val="00A11243"/>
    <w:rsid w:val="00A1191D"/>
    <w:rsid w:val="00A11B7B"/>
    <w:rsid w:val="00A1280E"/>
    <w:rsid w:val="00A15C4F"/>
    <w:rsid w:val="00A16E82"/>
    <w:rsid w:val="00A172A8"/>
    <w:rsid w:val="00A17499"/>
    <w:rsid w:val="00A17729"/>
    <w:rsid w:val="00A17BF4"/>
    <w:rsid w:val="00A2021B"/>
    <w:rsid w:val="00A21B41"/>
    <w:rsid w:val="00A21ED9"/>
    <w:rsid w:val="00A21F00"/>
    <w:rsid w:val="00A2227B"/>
    <w:rsid w:val="00A2357A"/>
    <w:rsid w:val="00A23A2B"/>
    <w:rsid w:val="00A24159"/>
    <w:rsid w:val="00A241A0"/>
    <w:rsid w:val="00A242A1"/>
    <w:rsid w:val="00A24BF8"/>
    <w:rsid w:val="00A2506A"/>
    <w:rsid w:val="00A251B7"/>
    <w:rsid w:val="00A25EF7"/>
    <w:rsid w:val="00A26660"/>
    <w:rsid w:val="00A26F14"/>
    <w:rsid w:val="00A27016"/>
    <w:rsid w:val="00A272FC"/>
    <w:rsid w:val="00A27C5C"/>
    <w:rsid w:val="00A27FF9"/>
    <w:rsid w:val="00A302D0"/>
    <w:rsid w:val="00A30DB3"/>
    <w:rsid w:val="00A30EDC"/>
    <w:rsid w:val="00A311F3"/>
    <w:rsid w:val="00A3141C"/>
    <w:rsid w:val="00A31B1D"/>
    <w:rsid w:val="00A31B71"/>
    <w:rsid w:val="00A31E05"/>
    <w:rsid w:val="00A31E66"/>
    <w:rsid w:val="00A33D9E"/>
    <w:rsid w:val="00A34169"/>
    <w:rsid w:val="00A34287"/>
    <w:rsid w:val="00A34C7E"/>
    <w:rsid w:val="00A352A8"/>
    <w:rsid w:val="00A35A88"/>
    <w:rsid w:val="00A35A8B"/>
    <w:rsid w:val="00A363AC"/>
    <w:rsid w:val="00A37115"/>
    <w:rsid w:val="00A37D15"/>
    <w:rsid w:val="00A40124"/>
    <w:rsid w:val="00A406CD"/>
    <w:rsid w:val="00A406ED"/>
    <w:rsid w:val="00A4087B"/>
    <w:rsid w:val="00A40B23"/>
    <w:rsid w:val="00A4174E"/>
    <w:rsid w:val="00A42081"/>
    <w:rsid w:val="00A4239F"/>
    <w:rsid w:val="00A42C3B"/>
    <w:rsid w:val="00A42D5E"/>
    <w:rsid w:val="00A435B6"/>
    <w:rsid w:val="00A43C9F"/>
    <w:rsid w:val="00A43CF3"/>
    <w:rsid w:val="00A44914"/>
    <w:rsid w:val="00A4578F"/>
    <w:rsid w:val="00A45AAF"/>
    <w:rsid w:val="00A45E2A"/>
    <w:rsid w:val="00A4645E"/>
    <w:rsid w:val="00A46DC1"/>
    <w:rsid w:val="00A46E42"/>
    <w:rsid w:val="00A46FED"/>
    <w:rsid w:val="00A47000"/>
    <w:rsid w:val="00A4716A"/>
    <w:rsid w:val="00A47804"/>
    <w:rsid w:val="00A5021B"/>
    <w:rsid w:val="00A5065A"/>
    <w:rsid w:val="00A50675"/>
    <w:rsid w:val="00A513A9"/>
    <w:rsid w:val="00A5167A"/>
    <w:rsid w:val="00A523CF"/>
    <w:rsid w:val="00A52BC2"/>
    <w:rsid w:val="00A52CAA"/>
    <w:rsid w:val="00A53D05"/>
    <w:rsid w:val="00A54550"/>
    <w:rsid w:val="00A5504C"/>
    <w:rsid w:val="00A55FF0"/>
    <w:rsid w:val="00A56264"/>
    <w:rsid w:val="00A5647B"/>
    <w:rsid w:val="00A5677A"/>
    <w:rsid w:val="00A57639"/>
    <w:rsid w:val="00A578D8"/>
    <w:rsid w:val="00A57A6D"/>
    <w:rsid w:val="00A57C5F"/>
    <w:rsid w:val="00A57C7E"/>
    <w:rsid w:val="00A60352"/>
    <w:rsid w:val="00A609A9"/>
    <w:rsid w:val="00A60E64"/>
    <w:rsid w:val="00A60EBB"/>
    <w:rsid w:val="00A610DA"/>
    <w:rsid w:val="00A61215"/>
    <w:rsid w:val="00A615DC"/>
    <w:rsid w:val="00A6264F"/>
    <w:rsid w:val="00A62BBA"/>
    <w:rsid w:val="00A645FF"/>
    <w:rsid w:val="00A6490A"/>
    <w:rsid w:val="00A65263"/>
    <w:rsid w:val="00A654FF"/>
    <w:rsid w:val="00A65560"/>
    <w:rsid w:val="00A65812"/>
    <w:rsid w:val="00A667AE"/>
    <w:rsid w:val="00A67626"/>
    <w:rsid w:val="00A67B42"/>
    <w:rsid w:val="00A70252"/>
    <w:rsid w:val="00A7068E"/>
    <w:rsid w:val="00A73625"/>
    <w:rsid w:val="00A73FD4"/>
    <w:rsid w:val="00A7435D"/>
    <w:rsid w:val="00A74516"/>
    <w:rsid w:val="00A74C27"/>
    <w:rsid w:val="00A753D6"/>
    <w:rsid w:val="00A75F49"/>
    <w:rsid w:val="00A76192"/>
    <w:rsid w:val="00A7659D"/>
    <w:rsid w:val="00A76F6E"/>
    <w:rsid w:val="00A777B1"/>
    <w:rsid w:val="00A77FAF"/>
    <w:rsid w:val="00A800F9"/>
    <w:rsid w:val="00A80B03"/>
    <w:rsid w:val="00A81EE5"/>
    <w:rsid w:val="00A823A9"/>
    <w:rsid w:val="00A83008"/>
    <w:rsid w:val="00A832F3"/>
    <w:rsid w:val="00A8336E"/>
    <w:rsid w:val="00A835CF"/>
    <w:rsid w:val="00A835FB"/>
    <w:rsid w:val="00A83DDB"/>
    <w:rsid w:val="00A85097"/>
    <w:rsid w:val="00A850AE"/>
    <w:rsid w:val="00A8535C"/>
    <w:rsid w:val="00A85543"/>
    <w:rsid w:val="00A856DE"/>
    <w:rsid w:val="00A86ABB"/>
    <w:rsid w:val="00A90644"/>
    <w:rsid w:val="00A907EC"/>
    <w:rsid w:val="00A91F8F"/>
    <w:rsid w:val="00A91FA9"/>
    <w:rsid w:val="00A92D3C"/>
    <w:rsid w:val="00A92E4A"/>
    <w:rsid w:val="00A932A0"/>
    <w:rsid w:val="00A94551"/>
    <w:rsid w:val="00A94667"/>
    <w:rsid w:val="00A947A5"/>
    <w:rsid w:val="00A94C66"/>
    <w:rsid w:val="00A94D27"/>
    <w:rsid w:val="00A957DE"/>
    <w:rsid w:val="00A9602C"/>
    <w:rsid w:val="00A9692C"/>
    <w:rsid w:val="00A97BC1"/>
    <w:rsid w:val="00AA0184"/>
    <w:rsid w:val="00AA1133"/>
    <w:rsid w:val="00AA1432"/>
    <w:rsid w:val="00AA1699"/>
    <w:rsid w:val="00AA2087"/>
    <w:rsid w:val="00AA247A"/>
    <w:rsid w:val="00AA2640"/>
    <w:rsid w:val="00AA271B"/>
    <w:rsid w:val="00AA2CA9"/>
    <w:rsid w:val="00AA305C"/>
    <w:rsid w:val="00AA3942"/>
    <w:rsid w:val="00AA3CCB"/>
    <w:rsid w:val="00AA3DBA"/>
    <w:rsid w:val="00AA4B83"/>
    <w:rsid w:val="00AA5DBB"/>
    <w:rsid w:val="00AA6BE8"/>
    <w:rsid w:val="00AA6F85"/>
    <w:rsid w:val="00AA6FC2"/>
    <w:rsid w:val="00AA71EF"/>
    <w:rsid w:val="00AA774A"/>
    <w:rsid w:val="00AA7A2A"/>
    <w:rsid w:val="00AB0C09"/>
    <w:rsid w:val="00AB12B9"/>
    <w:rsid w:val="00AB22DE"/>
    <w:rsid w:val="00AB28F3"/>
    <w:rsid w:val="00AB2E5F"/>
    <w:rsid w:val="00AB32BC"/>
    <w:rsid w:val="00AB4536"/>
    <w:rsid w:val="00AB4596"/>
    <w:rsid w:val="00AB473D"/>
    <w:rsid w:val="00AB4A63"/>
    <w:rsid w:val="00AB4C1B"/>
    <w:rsid w:val="00AB4D53"/>
    <w:rsid w:val="00AB6698"/>
    <w:rsid w:val="00AB7969"/>
    <w:rsid w:val="00AB7F1F"/>
    <w:rsid w:val="00AC0196"/>
    <w:rsid w:val="00AC0485"/>
    <w:rsid w:val="00AC0524"/>
    <w:rsid w:val="00AC0CAA"/>
    <w:rsid w:val="00AC1260"/>
    <w:rsid w:val="00AC147D"/>
    <w:rsid w:val="00AC272E"/>
    <w:rsid w:val="00AC2EDB"/>
    <w:rsid w:val="00AC3D4E"/>
    <w:rsid w:val="00AC42E5"/>
    <w:rsid w:val="00AC4559"/>
    <w:rsid w:val="00AC4D9B"/>
    <w:rsid w:val="00AC4F3E"/>
    <w:rsid w:val="00AC57D4"/>
    <w:rsid w:val="00AC6B7B"/>
    <w:rsid w:val="00AC73D5"/>
    <w:rsid w:val="00AC7DF4"/>
    <w:rsid w:val="00AC7FE7"/>
    <w:rsid w:val="00AD0306"/>
    <w:rsid w:val="00AD06A1"/>
    <w:rsid w:val="00AD112F"/>
    <w:rsid w:val="00AD199E"/>
    <w:rsid w:val="00AD2D2B"/>
    <w:rsid w:val="00AD380E"/>
    <w:rsid w:val="00AD3BDC"/>
    <w:rsid w:val="00AD4559"/>
    <w:rsid w:val="00AD527E"/>
    <w:rsid w:val="00AD5AF3"/>
    <w:rsid w:val="00AD5FC1"/>
    <w:rsid w:val="00AD65E1"/>
    <w:rsid w:val="00AD67F5"/>
    <w:rsid w:val="00AD6B32"/>
    <w:rsid w:val="00AE0348"/>
    <w:rsid w:val="00AE04BB"/>
    <w:rsid w:val="00AE051C"/>
    <w:rsid w:val="00AE10F8"/>
    <w:rsid w:val="00AE2094"/>
    <w:rsid w:val="00AE25F3"/>
    <w:rsid w:val="00AE2893"/>
    <w:rsid w:val="00AE2B3E"/>
    <w:rsid w:val="00AE2DC5"/>
    <w:rsid w:val="00AE38CA"/>
    <w:rsid w:val="00AE3EBA"/>
    <w:rsid w:val="00AE557B"/>
    <w:rsid w:val="00AE5F52"/>
    <w:rsid w:val="00AE60E5"/>
    <w:rsid w:val="00AE6650"/>
    <w:rsid w:val="00AE6A6A"/>
    <w:rsid w:val="00AE7058"/>
    <w:rsid w:val="00AE7BD8"/>
    <w:rsid w:val="00AF1ED3"/>
    <w:rsid w:val="00AF1FE7"/>
    <w:rsid w:val="00AF2454"/>
    <w:rsid w:val="00AF27D6"/>
    <w:rsid w:val="00AF3373"/>
    <w:rsid w:val="00AF3656"/>
    <w:rsid w:val="00AF37AC"/>
    <w:rsid w:val="00AF4080"/>
    <w:rsid w:val="00AF40C0"/>
    <w:rsid w:val="00AF40D7"/>
    <w:rsid w:val="00AF49BB"/>
    <w:rsid w:val="00AF50EE"/>
    <w:rsid w:val="00AF64C0"/>
    <w:rsid w:val="00AF7579"/>
    <w:rsid w:val="00B008EF"/>
    <w:rsid w:val="00B009F8"/>
    <w:rsid w:val="00B010E9"/>
    <w:rsid w:val="00B01664"/>
    <w:rsid w:val="00B01733"/>
    <w:rsid w:val="00B01A7A"/>
    <w:rsid w:val="00B025C9"/>
    <w:rsid w:val="00B02C4A"/>
    <w:rsid w:val="00B02ECC"/>
    <w:rsid w:val="00B03635"/>
    <w:rsid w:val="00B0416F"/>
    <w:rsid w:val="00B0423F"/>
    <w:rsid w:val="00B050BB"/>
    <w:rsid w:val="00B05D86"/>
    <w:rsid w:val="00B0643F"/>
    <w:rsid w:val="00B06A13"/>
    <w:rsid w:val="00B06C31"/>
    <w:rsid w:val="00B07010"/>
    <w:rsid w:val="00B07244"/>
    <w:rsid w:val="00B07838"/>
    <w:rsid w:val="00B10383"/>
    <w:rsid w:val="00B11530"/>
    <w:rsid w:val="00B11C27"/>
    <w:rsid w:val="00B11E42"/>
    <w:rsid w:val="00B12211"/>
    <w:rsid w:val="00B1256A"/>
    <w:rsid w:val="00B12CAC"/>
    <w:rsid w:val="00B12EFA"/>
    <w:rsid w:val="00B1382F"/>
    <w:rsid w:val="00B13950"/>
    <w:rsid w:val="00B13A6C"/>
    <w:rsid w:val="00B13BB3"/>
    <w:rsid w:val="00B1460D"/>
    <w:rsid w:val="00B14703"/>
    <w:rsid w:val="00B14766"/>
    <w:rsid w:val="00B14934"/>
    <w:rsid w:val="00B14E62"/>
    <w:rsid w:val="00B15CF2"/>
    <w:rsid w:val="00B15E43"/>
    <w:rsid w:val="00B1614D"/>
    <w:rsid w:val="00B1614F"/>
    <w:rsid w:val="00B16402"/>
    <w:rsid w:val="00B16F2E"/>
    <w:rsid w:val="00B17B12"/>
    <w:rsid w:val="00B203B8"/>
    <w:rsid w:val="00B20CE3"/>
    <w:rsid w:val="00B20F52"/>
    <w:rsid w:val="00B21C2C"/>
    <w:rsid w:val="00B21E43"/>
    <w:rsid w:val="00B220EF"/>
    <w:rsid w:val="00B229EF"/>
    <w:rsid w:val="00B22F4D"/>
    <w:rsid w:val="00B235BE"/>
    <w:rsid w:val="00B23600"/>
    <w:rsid w:val="00B23C02"/>
    <w:rsid w:val="00B24C26"/>
    <w:rsid w:val="00B251EC"/>
    <w:rsid w:val="00B25CDB"/>
    <w:rsid w:val="00B25E1A"/>
    <w:rsid w:val="00B25ED6"/>
    <w:rsid w:val="00B25FEB"/>
    <w:rsid w:val="00B26A93"/>
    <w:rsid w:val="00B26F07"/>
    <w:rsid w:val="00B27774"/>
    <w:rsid w:val="00B278D0"/>
    <w:rsid w:val="00B27978"/>
    <w:rsid w:val="00B30166"/>
    <w:rsid w:val="00B305CC"/>
    <w:rsid w:val="00B306BE"/>
    <w:rsid w:val="00B30F48"/>
    <w:rsid w:val="00B31701"/>
    <w:rsid w:val="00B31820"/>
    <w:rsid w:val="00B3238F"/>
    <w:rsid w:val="00B32E6A"/>
    <w:rsid w:val="00B337BB"/>
    <w:rsid w:val="00B34414"/>
    <w:rsid w:val="00B349D2"/>
    <w:rsid w:val="00B34B33"/>
    <w:rsid w:val="00B35552"/>
    <w:rsid w:val="00B3584D"/>
    <w:rsid w:val="00B36728"/>
    <w:rsid w:val="00B372F0"/>
    <w:rsid w:val="00B40181"/>
    <w:rsid w:val="00B404C5"/>
    <w:rsid w:val="00B41FF4"/>
    <w:rsid w:val="00B42113"/>
    <w:rsid w:val="00B43D57"/>
    <w:rsid w:val="00B444AF"/>
    <w:rsid w:val="00B458DA"/>
    <w:rsid w:val="00B46385"/>
    <w:rsid w:val="00B46430"/>
    <w:rsid w:val="00B467A0"/>
    <w:rsid w:val="00B469E6"/>
    <w:rsid w:val="00B47124"/>
    <w:rsid w:val="00B476E8"/>
    <w:rsid w:val="00B50D3E"/>
    <w:rsid w:val="00B50DEA"/>
    <w:rsid w:val="00B51CAE"/>
    <w:rsid w:val="00B51F6F"/>
    <w:rsid w:val="00B52298"/>
    <w:rsid w:val="00B5314F"/>
    <w:rsid w:val="00B538DD"/>
    <w:rsid w:val="00B53945"/>
    <w:rsid w:val="00B53F00"/>
    <w:rsid w:val="00B54FBC"/>
    <w:rsid w:val="00B55465"/>
    <w:rsid w:val="00B5688D"/>
    <w:rsid w:val="00B578ED"/>
    <w:rsid w:val="00B57A48"/>
    <w:rsid w:val="00B601C4"/>
    <w:rsid w:val="00B6072C"/>
    <w:rsid w:val="00B611E9"/>
    <w:rsid w:val="00B61A9A"/>
    <w:rsid w:val="00B62242"/>
    <w:rsid w:val="00B6353A"/>
    <w:rsid w:val="00B6386E"/>
    <w:rsid w:val="00B63D18"/>
    <w:rsid w:val="00B64048"/>
    <w:rsid w:val="00B64A43"/>
    <w:rsid w:val="00B64AC4"/>
    <w:rsid w:val="00B64EB0"/>
    <w:rsid w:val="00B6518A"/>
    <w:rsid w:val="00B65370"/>
    <w:rsid w:val="00B6537C"/>
    <w:rsid w:val="00B653E7"/>
    <w:rsid w:val="00B65718"/>
    <w:rsid w:val="00B65C40"/>
    <w:rsid w:val="00B66622"/>
    <w:rsid w:val="00B66B20"/>
    <w:rsid w:val="00B66E4C"/>
    <w:rsid w:val="00B67095"/>
    <w:rsid w:val="00B67652"/>
    <w:rsid w:val="00B6771B"/>
    <w:rsid w:val="00B67892"/>
    <w:rsid w:val="00B7141F"/>
    <w:rsid w:val="00B71CE7"/>
    <w:rsid w:val="00B71E3A"/>
    <w:rsid w:val="00B7228F"/>
    <w:rsid w:val="00B7232A"/>
    <w:rsid w:val="00B72D9D"/>
    <w:rsid w:val="00B72ECB"/>
    <w:rsid w:val="00B73EC1"/>
    <w:rsid w:val="00B73FC6"/>
    <w:rsid w:val="00B74177"/>
    <w:rsid w:val="00B76C69"/>
    <w:rsid w:val="00B76F2B"/>
    <w:rsid w:val="00B77A7C"/>
    <w:rsid w:val="00B77BD4"/>
    <w:rsid w:val="00B800E8"/>
    <w:rsid w:val="00B8048C"/>
    <w:rsid w:val="00B80CDC"/>
    <w:rsid w:val="00B80DDF"/>
    <w:rsid w:val="00B8157A"/>
    <w:rsid w:val="00B81A14"/>
    <w:rsid w:val="00B82E06"/>
    <w:rsid w:val="00B82EFE"/>
    <w:rsid w:val="00B833D1"/>
    <w:rsid w:val="00B83422"/>
    <w:rsid w:val="00B8348D"/>
    <w:rsid w:val="00B83AD3"/>
    <w:rsid w:val="00B83DE6"/>
    <w:rsid w:val="00B843BC"/>
    <w:rsid w:val="00B84771"/>
    <w:rsid w:val="00B853A2"/>
    <w:rsid w:val="00B85425"/>
    <w:rsid w:val="00B85FBD"/>
    <w:rsid w:val="00B86A35"/>
    <w:rsid w:val="00B86AAB"/>
    <w:rsid w:val="00B86EDC"/>
    <w:rsid w:val="00B87BD8"/>
    <w:rsid w:val="00B90F03"/>
    <w:rsid w:val="00B91989"/>
    <w:rsid w:val="00B919E8"/>
    <w:rsid w:val="00B91CEF"/>
    <w:rsid w:val="00B92A36"/>
    <w:rsid w:val="00B9310C"/>
    <w:rsid w:val="00B9315F"/>
    <w:rsid w:val="00B93857"/>
    <w:rsid w:val="00B93C6E"/>
    <w:rsid w:val="00B941F4"/>
    <w:rsid w:val="00B94BF1"/>
    <w:rsid w:val="00B958AF"/>
    <w:rsid w:val="00B95C34"/>
    <w:rsid w:val="00B9617B"/>
    <w:rsid w:val="00B968D2"/>
    <w:rsid w:val="00B97E47"/>
    <w:rsid w:val="00BA0DAB"/>
    <w:rsid w:val="00BA0F91"/>
    <w:rsid w:val="00BA2029"/>
    <w:rsid w:val="00BA21AB"/>
    <w:rsid w:val="00BA2280"/>
    <w:rsid w:val="00BA25BF"/>
    <w:rsid w:val="00BA3929"/>
    <w:rsid w:val="00BA3CEA"/>
    <w:rsid w:val="00BA44BB"/>
    <w:rsid w:val="00BA4503"/>
    <w:rsid w:val="00BA49C1"/>
    <w:rsid w:val="00BA4B2A"/>
    <w:rsid w:val="00BA5173"/>
    <w:rsid w:val="00BA52BB"/>
    <w:rsid w:val="00BA5F24"/>
    <w:rsid w:val="00BA612D"/>
    <w:rsid w:val="00BA685A"/>
    <w:rsid w:val="00BA7668"/>
    <w:rsid w:val="00BB0323"/>
    <w:rsid w:val="00BB07BD"/>
    <w:rsid w:val="00BB07ED"/>
    <w:rsid w:val="00BB0B1D"/>
    <w:rsid w:val="00BB1566"/>
    <w:rsid w:val="00BB1BF5"/>
    <w:rsid w:val="00BB1EBD"/>
    <w:rsid w:val="00BB2183"/>
    <w:rsid w:val="00BB2289"/>
    <w:rsid w:val="00BB2697"/>
    <w:rsid w:val="00BB2728"/>
    <w:rsid w:val="00BB39E0"/>
    <w:rsid w:val="00BB3AAE"/>
    <w:rsid w:val="00BB4950"/>
    <w:rsid w:val="00BB5ACC"/>
    <w:rsid w:val="00BB5FDE"/>
    <w:rsid w:val="00BB6A64"/>
    <w:rsid w:val="00BB6FF9"/>
    <w:rsid w:val="00BB7F2E"/>
    <w:rsid w:val="00BC0445"/>
    <w:rsid w:val="00BC0A9C"/>
    <w:rsid w:val="00BC0F2E"/>
    <w:rsid w:val="00BC2215"/>
    <w:rsid w:val="00BC2E36"/>
    <w:rsid w:val="00BC2FF8"/>
    <w:rsid w:val="00BC47A3"/>
    <w:rsid w:val="00BC4A81"/>
    <w:rsid w:val="00BC4B35"/>
    <w:rsid w:val="00BC4F34"/>
    <w:rsid w:val="00BC508C"/>
    <w:rsid w:val="00BC5CDD"/>
    <w:rsid w:val="00BC601C"/>
    <w:rsid w:val="00BC71D0"/>
    <w:rsid w:val="00BC79B6"/>
    <w:rsid w:val="00BC7E4F"/>
    <w:rsid w:val="00BD00AE"/>
    <w:rsid w:val="00BD038C"/>
    <w:rsid w:val="00BD0935"/>
    <w:rsid w:val="00BD1349"/>
    <w:rsid w:val="00BD1451"/>
    <w:rsid w:val="00BD14AA"/>
    <w:rsid w:val="00BD18BB"/>
    <w:rsid w:val="00BD1E5F"/>
    <w:rsid w:val="00BD231F"/>
    <w:rsid w:val="00BD2DD4"/>
    <w:rsid w:val="00BD3893"/>
    <w:rsid w:val="00BD416C"/>
    <w:rsid w:val="00BD4456"/>
    <w:rsid w:val="00BD45A6"/>
    <w:rsid w:val="00BD5901"/>
    <w:rsid w:val="00BD5A85"/>
    <w:rsid w:val="00BD60CC"/>
    <w:rsid w:val="00BD61BB"/>
    <w:rsid w:val="00BD7B14"/>
    <w:rsid w:val="00BD7DAB"/>
    <w:rsid w:val="00BE198A"/>
    <w:rsid w:val="00BE1D1E"/>
    <w:rsid w:val="00BE228A"/>
    <w:rsid w:val="00BE2702"/>
    <w:rsid w:val="00BE29B3"/>
    <w:rsid w:val="00BE2C89"/>
    <w:rsid w:val="00BE32D8"/>
    <w:rsid w:val="00BE3E8D"/>
    <w:rsid w:val="00BE404A"/>
    <w:rsid w:val="00BE4127"/>
    <w:rsid w:val="00BE4168"/>
    <w:rsid w:val="00BE41D3"/>
    <w:rsid w:val="00BE4899"/>
    <w:rsid w:val="00BE585C"/>
    <w:rsid w:val="00BE6014"/>
    <w:rsid w:val="00BE639C"/>
    <w:rsid w:val="00BE6D8F"/>
    <w:rsid w:val="00BE7076"/>
    <w:rsid w:val="00BE74A8"/>
    <w:rsid w:val="00BE7687"/>
    <w:rsid w:val="00BE794B"/>
    <w:rsid w:val="00BF052B"/>
    <w:rsid w:val="00BF076F"/>
    <w:rsid w:val="00BF0AD6"/>
    <w:rsid w:val="00BF184C"/>
    <w:rsid w:val="00BF1D8A"/>
    <w:rsid w:val="00BF268E"/>
    <w:rsid w:val="00BF300E"/>
    <w:rsid w:val="00BF318B"/>
    <w:rsid w:val="00BF3223"/>
    <w:rsid w:val="00BF361A"/>
    <w:rsid w:val="00BF376E"/>
    <w:rsid w:val="00BF3A3F"/>
    <w:rsid w:val="00BF44F2"/>
    <w:rsid w:val="00BF5301"/>
    <w:rsid w:val="00BF5317"/>
    <w:rsid w:val="00BF66CC"/>
    <w:rsid w:val="00BF66D6"/>
    <w:rsid w:val="00BF7BDF"/>
    <w:rsid w:val="00BF7E2A"/>
    <w:rsid w:val="00C006D1"/>
    <w:rsid w:val="00C00712"/>
    <w:rsid w:val="00C00B38"/>
    <w:rsid w:val="00C00D16"/>
    <w:rsid w:val="00C0204A"/>
    <w:rsid w:val="00C02346"/>
    <w:rsid w:val="00C024AD"/>
    <w:rsid w:val="00C02BBD"/>
    <w:rsid w:val="00C03A07"/>
    <w:rsid w:val="00C03D80"/>
    <w:rsid w:val="00C04673"/>
    <w:rsid w:val="00C04D97"/>
    <w:rsid w:val="00C04F8F"/>
    <w:rsid w:val="00C05013"/>
    <w:rsid w:val="00C0628C"/>
    <w:rsid w:val="00C06305"/>
    <w:rsid w:val="00C069FE"/>
    <w:rsid w:val="00C070E0"/>
    <w:rsid w:val="00C07155"/>
    <w:rsid w:val="00C071C2"/>
    <w:rsid w:val="00C07607"/>
    <w:rsid w:val="00C07A9D"/>
    <w:rsid w:val="00C10093"/>
    <w:rsid w:val="00C110FE"/>
    <w:rsid w:val="00C1115A"/>
    <w:rsid w:val="00C11AFB"/>
    <w:rsid w:val="00C11D4B"/>
    <w:rsid w:val="00C12807"/>
    <w:rsid w:val="00C149B8"/>
    <w:rsid w:val="00C14CF2"/>
    <w:rsid w:val="00C14CF8"/>
    <w:rsid w:val="00C154C6"/>
    <w:rsid w:val="00C15DA4"/>
    <w:rsid w:val="00C1609A"/>
    <w:rsid w:val="00C1672E"/>
    <w:rsid w:val="00C172D2"/>
    <w:rsid w:val="00C20182"/>
    <w:rsid w:val="00C20522"/>
    <w:rsid w:val="00C213BF"/>
    <w:rsid w:val="00C21E42"/>
    <w:rsid w:val="00C22245"/>
    <w:rsid w:val="00C22E55"/>
    <w:rsid w:val="00C238C4"/>
    <w:rsid w:val="00C23D82"/>
    <w:rsid w:val="00C2411C"/>
    <w:rsid w:val="00C24462"/>
    <w:rsid w:val="00C2505D"/>
    <w:rsid w:val="00C27082"/>
    <w:rsid w:val="00C27743"/>
    <w:rsid w:val="00C27E93"/>
    <w:rsid w:val="00C27FE8"/>
    <w:rsid w:val="00C305DC"/>
    <w:rsid w:val="00C30FBA"/>
    <w:rsid w:val="00C310DB"/>
    <w:rsid w:val="00C317D0"/>
    <w:rsid w:val="00C31CC9"/>
    <w:rsid w:val="00C33786"/>
    <w:rsid w:val="00C33D42"/>
    <w:rsid w:val="00C340E8"/>
    <w:rsid w:val="00C34235"/>
    <w:rsid w:val="00C3448F"/>
    <w:rsid w:val="00C34970"/>
    <w:rsid w:val="00C34B6C"/>
    <w:rsid w:val="00C36668"/>
    <w:rsid w:val="00C36669"/>
    <w:rsid w:val="00C366F0"/>
    <w:rsid w:val="00C36E74"/>
    <w:rsid w:val="00C3719E"/>
    <w:rsid w:val="00C37666"/>
    <w:rsid w:val="00C4039B"/>
    <w:rsid w:val="00C40E93"/>
    <w:rsid w:val="00C40EDA"/>
    <w:rsid w:val="00C411FC"/>
    <w:rsid w:val="00C4214C"/>
    <w:rsid w:val="00C42AC3"/>
    <w:rsid w:val="00C430B2"/>
    <w:rsid w:val="00C43917"/>
    <w:rsid w:val="00C45158"/>
    <w:rsid w:val="00C45543"/>
    <w:rsid w:val="00C462AC"/>
    <w:rsid w:val="00C46376"/>
    <w:rsid w:val="00C47184"/>
    <w:rsid w:val="00C471CD"/>
    <w:rsid w:val="00C47399"/>
    <w:rsid w:val="00C47544"/>
    <w:rsid w:val="00C5019B"/>
    <w:rsid w:val="00C502DB"/>
    <w:rsid w:val="00C504D4"/>
    <w:rsid w:val="00C5061E"/>
    <w:rsid w:val="00C50B98"/>
    <w:rsid w:val="00C50D77"/>
    <w:rsid w:val="00C514E0"/>
    <w:rsid w:val="00C51F67"/>
    <w:rsid w:val="00C521D1"/>
    <w:rsid w:val="00C5226B"/>
    <w:rsid w:val="00C52D86"/>
    <w:rsid w:val="00C537CC"/>
    <w:rsid w:val="00C53974"/>
    <w:rsid w:val="00C54444"/>
    <w:rsid w:val="00C54954"/>
    <w:rsid w:val="00C54C47"/>
    <w:rsid w:val="00C55924"/>
    <w:rsid w:val="00C562B7"/>
    <w:rsid w:val="00C56947"/>
    <w:rsid w:val="00C56EE4"/>
    <w:rsid w:val="00C57010"/>
    <w:rsid w:val="00C57D74"/>
    <w:rsid w:val="00C57E9D"/>
    <w:rsid w:val="00C60085"/>
    <w:rsid w:val="00C6013B"/>
    <w:rsid w:val="00C60199"/>
    <w:rsid w:val="00C6096D"/>
    <w:rsid w:val="00C61107"/>
    <w:rsid w:val="00C61705"/>
    <w:rsid w:val="00C622AF"/>
    <w:rsid w:val="00C62A6A"/>
    <w:rsid w:val="00C62EE9"/>
    <w:rsid w:val="00C63068"/>
    <w:rsid w:val="00C635CF"/>
    <w:rsid w:val="00C63BE1"/>
    <w:rsid w:val="00C63E13"/>
    <w:rsid w:val="00C63F48"/>
    <w:rsid w:val="00C64194"/>
    <w:rsid w:val="00C64E55"/>
    <w:rsid w:val="00C657DD"/>
    <w:rsid w:val="00C65AC0"/>
    <w:rsid w:val="00C65BCC"/>
    <w:rsid w:val="00C65F98"/>
    <w:rsid w:val="00C6633E"/>
    <w:rsid w:val="00C66B1D"/>
    <w:rsid w:val="00C66BF8"/>
    <w:rsid w:val="00C66E9D"/>
    <w:rsid w:val="00C67527"/>
    <w:rsid w:val="00C701A7"/>
    <w:rsid w:val="00C70392"/>
    <w:rsid w:val="00C708BF"/>
    <w:rsid w:val="00C70FB4"/>
    <w:rsid w:val="00C72E15"/>
    <w:rsid w:val="00C732BA"/>
    <w:rsid w:val="00C7339D"/>
    <w:rsid w:val="00C73665"/>
    <w:rsid w:val="00C738F8"/>
    <w:rsid w:val="00C73E47"/>
    <w:rsid w:val="00C751E4"/>
    <w:rsid w:val="00C759E6"/>
    <w:rsid w:val="00C76168"/>
    <w:rsid w:val="00C761D2"/>
    <w:rsid w:val="00C76713"/>
    <w:rsid w:val="00C77514"/>
    <w:rsid w:val="00C7771E"/>
    <w:rsid w:val="00C77967"/>
    <w:rsid w:val="00C807B7"/>
    <w:rsid w:val="00C80DBB"/>
    <w:rsid w:val="00C80E8E"/>
    <w:rsid w:val="00C81201"/>
    <w:rsid w:val="00C819C6"/>
    <w:rsid w:val="00C81AFC"/>
    <w:rsid w:val="00C82533"/>
    <w:rsid w:val="00C82E3D"/>
    <w:rsid w:val="00C82FA5"/>
    <w:rsid w:val="00C8348C"/>
    <w:rsid w:val="00C83BC5"/>
    <w:rsid w:val="00C8469C"/>
    <w:rsid w:val="00C84B8E"/>
    <w:rsid w:val="00C857A0"/>
    <w:rsid w:val="00C85ABA"/>
    <w:rsid w:val="00C8602B"/>
    <w:rsid w:val="00C86509"/>
    <w:rsid w:val="00C86808"/>
    <w:rsid w:val="00C87148"/>
    <w:rsid w:val="00C87204"/>
    <w:rsid w:val="00C87B0D"/>
    <w:rsid w:val="00C902B3"/>
    <w:rsid w:val="00C90344"/>
    <w:rsid w:val="00C912E1"/>
    <w:rsid w:val="00C91474"/>
    <w:rsid w:val="00C91721"/>
    <w:rsid w:val="00C91D12"/>
    <w:rsid w:val="00C91F21"/>
    <w:rsid w:val="00C91F66"/>
    <w:rsid w:val="00C921AC"/>
    <w:rsid w:val="00C92B99"/>
    <w:rsid w:val="00C93141"/>
    <w:rsid w:val="00C94300"/>
    <w:rsid w:val="00C944E1"/>
    <w:rsid w:val="00CA029F"/>
    <w:rsid w:val="00CA08AB"/>
    <w:rsid w:val="00CA108A"/>
    <w:rsid w:val="00CA1A90"/>
    <w:rsid w:val="00CA1B83"/>
    <w:rsid w:val="00CA1F8B"/>
    <w:rsid w:val="00CA238E"/>
    <w:rsid w:val="00CA243E"/>
    <w:rsid w:val="00CA2FD8"/>
    <w:rsid w:val="00CA3198"/>
    <w:rsid w:val="00CA3236"/>
    <w:rsid w:val="00CA397F"/>
    <w:rsid w:val="00CA3B3A"/>
    <w:rsid w:val="00CA3F3B"/>
    <w:rsid w:val="00CA3F8D"/>
    <w:rsid w:val="00CA4089"/>
    <w:rsid w:val="00CA41DF"/>
    <w:rsid w:val="00CA5A2F"/>
    <w:rsid w:val="00CA5D0D"/>
    <w:rsid w:val="00CA6706"/>
    <w:rsid w:val="00CA6B48"/>
    <w:rsid w:val="00CA6D31"/>
    <w:rsid w:val="00CA6F24"/>
    <w:rsid w:val="00CA78A5"/>
    <w:rsid w:val="00CA7E6C"/>
    <w:rsid w:val="00CB0221"/>
    <w:rsid w:val="00CB02A8"/>
    <w:rsid w:val="00CB10E3"/>
    <w:rsid w:val="00CB1470"/>
    <w:rsid w:val="00CB1B6D"/>
    <w:rsid w:val="00CB32ED"/>
    <w:rsid w:val="00CB34B5"/>
    <w:rsid w:val="00CB37D9"/>
    <w:rsid w:val="00CB38C3"/>
    <w:rsid w:val="00CB3AE5"/>
    <w:rsid w:val="00CB3F41"/>
    <w:rsid w:val="00CB4707"/>
    <w:rsid w:val="00CB4909"/>
    <w:rsid w:val="00CB4D9B"/>
    <w:rsid w:val="00CB5FF8"/>
    <w:rsid w:val="00CB6355"/>
    <w:rsid w:val="00CB67BC"/>
    <w:rsid w:val="00CB71E8"/>
    <w:rsid w:val="00CB7661"/>
    <w:rsid w:val="00CB7B69"/>
    <w:rsid w:val="00CC0184"/>
    <w:rsid w:val="00CC0B3C"/>
    <w:rsid w:val="00CC0CBD"/>
    <w:rsid w:val="00CC0FC1"/>
    <w:rsid w:val="00CC16EF"/>
    <w:rsid w:val="00CC19FE"/>
    <w:rsid w:val="00CC1FA0"/>
    <w:rsid w:val="00CC2504"/>
    <w:rsid w:val="00CC250A"/>
    <w:rsid w:val="00CC2ADC"/>
    <w:rsid w:val="00CC2F6B"/>
    <w:rsid w:val="00CC34B2"/>
    <w:rsid w:val="00CC3824"/>
    <w:rsid w:val="00CC52BA"/>
    <w:rsid w:val="00CC5732"/>
    <w:rsid w:val="00CC5777"/>
    <w:rsid w:val="00CC5797"/>
    <w:rsid w:val="00CC57DB"/>
    <w:rsid w:val="00CC66C7"/>
    <w:rsid w:val="00CC677D"/>
    <w:rsid w:val="00CC6DC0"/>
    <w:rsid w:val="00CC71C9"/>
    <w:rsid w:val="00CC7D76"/>
    <w:rsid w:val="00CD0828"/>
    <w:rsid w:val="00CD0F31"/>
    <w:rsid w:val="00CD14B3"/>
    <w:rsid w:val="00CD1DAE"/>
    <w:rsid w:val="00CD1DDC"/>
    <w:rsid w:val="00CD217A"/>
    <w:rsid w:val="00CD2619"/>
    <w:rsid w:val="00CD2FF4"/>
    <w:rsid w:val="00CD315D"/>
    <w:rsid w:val="00CD3395"/>
    <w:rsid w:val="00CD39BA"/>
    <w:rsid w:val="00CD4088"/>
    <w:rsid w:val="00CD4089"/>
    <w:rsid w:val="00CD418E"/>
    <w:rsid w:val="00CD4616"/>
    <w:rsid w:val="00CD4D7F"/>
    <w:rsid w:val="00CD5726"/>
    <w:rsid w:val="00CD577D"/>
    <w:rsid w:val="00CD5C68"/>
    <w:rsid w:val="00CD624B"/>
    <w:rsid w:val="00CD6509"/>
    <w:rsid w:val="00CD654C"/>
    <w:rsid w:val="00CD657E"/>
    <w:rsid w:val="00CD698C"/>
    <w:rsid w:val="00CD6F79"/>
    <w:rsid w:val="00CD7143"/>
    <w:rsid w:val="00CD7916"/>
    <w:rsid w:val="00CD7A2C"/>
    <w:rsid w:val="00CE06AB"/>
    <w:rsid w:val="00CE0AF6"/>
    <w:rsid w:val="00CE137D"/>
    <w:rsid w:val="00CE184C"/>
    <w:rsid w:val="00CE1EB2"/>
    <w:rsid w:val="00CE1EEB"/>
    <w:rsid w:val="00CE2D37"/>
    <w:rsid w:val="00CE3D94"/>
    <w:rsid w:val="00CE4053"/>
    <w:rsid w:val="00CE4A1B"/>
    <w:rsid w:val="00CE51B0"/>
    <w:rsid w:val="00CE534B"/>
    <w:rsid w:val="00CE53F1"/>
    <w:rsid w:val="00CE63E9"/>
    <w:rsid w:val="00CE6A4A"/>
    <w:rsid w:val="00CE73B9"/>
    <w:rsid w:val="00CE7956"/>
    <w:rsid w:val="00CF02F4"/>
    <w:rsid w:val="00CF16C1"/>
    <w:rsid w:val="00CF2B76"/>
    <w:rsid w:val="00CF2CE8"/>
    <w:rsid w:val="00CF36CC"/>
    <w:rsid w:val="00CF3A0B"/>
    <w:rsid w:val="00CF3F97"/>
    <w:rsid w:val="00CF436D"/>
    <w:rsid w:val="00CF508A"/>
    <w:rsid w:val="00CF695B"/>
    <w:rsid w:val="00CF6F05"/>
    <w:rsid w:val="00CF7FD6"/>
    <w:rsid w:val="00D011F5"/>
    <w:rsid w:val="00D014CB"/>
    <w:rsid w:val="00D01FC0"/>
    <w:rsid w:val="00D02335"/>
    <w:rsid w:val="00D02933"/>
    <w:rsid w:val="00D02DD7"/>
    <w:rsid w:val="00D02E7C"/>
    <w:rsid w:val="00D03253"/>
    <w:rsid w:val="00D03458"/>
    <w:rsid w:val="00D03BB0"/>
    <w:rsid w:val="00D03DF7"/>
    <w:rsid w:val="00D03E23"/>
    <w:rsid w:val="00D042E7"/>
    <w:rsid w:val="00D0542D"/>
    <w:rsid w:val="00D05690"/>
    <w:rsid w:val="00D0574E"/>
    <w:rsid w:val="00D05B38"/>
    <w:rsid w:val="00D060FB"/>
    <w:rsid w:val="00D06426"/>
    <w:rsid w:val="00D068E8"/>
    <w:rsid w:val="00D0756E"/>
    <w:rsid w:val="00D0780A"/>
    <w:rsid w:val="00D07A6C"/>
    <w:rsid w:val="00D07B42"/>
    <w:rsid w:val="00D1044E"/>
    <w:rsid w:val="00D10524"/>
    <w:rsid w:val="00D10DC7"/>
    <w:rsid w:val="00D11434"/>
    <w:rsid w:val="00D1179C"/>
    <w:rsid w:val="00D1189C"/>
    <w:rsid w:val="00D11C24"/>
    <w:rsid w:val="00D11CEC"/>
    <w:rsid w:val="00D11FCE"/>
    <w:rsid w:val="00D144BF"/>
    <w:rsid w:val="00D149D9"/>
    <w:rsid w:val="00D14D3B"/>
    <w:rsid w:val="00D14E4F"/>
    <w:rsid w:val="00D153CE"/>
    <w:rsid w:val="00D15DA5"/>
    <w:rsid w:val="00D1684F"/>
    <w:rsid w:val="00D171B9"/>
    <w:rsid w:val="00D17EEE"/>
    <w:rsid w:val="00D202F1"/>
    <w:rsid w:val="00D208F8"/>
    <w:rsid w:val="00D20AA1"/>
    <w:rsid w:val="00D2158A"/>
    <w:rsid w:val="00D219A3"/>
    <w:rsid w:val="00D21A27"/>
    <w:rsid w:val="00D21F08"/>
    <w:rsid w:val="00D22589"/>
    <w:rsid w:val="00D22BAB"/>
    <w:rsid w:val="00D23977"/>
    <w:rsid w:val="00D2435C"/>
    <w:rsid w:val="00D245E8"/>
    <w:rsid w:val="00D26B2C"/>
    <w:rsid w:val="00D26B46"/>
    <w:rsid w:val="00D3058D"/>
    <w:rsid w:val="00D3083D"/>
    <w:rsid w:val="00D30C50"/>
    <w:rsid w:val="00D31837"/>
    <w:rsid w:val="00D318C1"/>
    <w:rsid w:val="00D319DF"/>
    <w:rsid w:val="00D3219A"/>
    <w:rsid w:val="00D321CC"/>
    <w:rsid w:val="00D322C3"/>
    <w:rsid w:val="00D330C6"/>
    <w:rsid w:val="00D337C5"/>
    <w:rsid w:val="00D338FD"/>
    <w:rsid w:val="00D349F4"/>
    <w:rsid w:val="00D35306"/>
    <w:rsid w:val="00D35DA1"/>
    <w:rsid w:val="00D36474"/>
    <w:rsid w:val="00D36A0E"/>
    <w:rsid w:val="00D36CAA"/>
    <w:rsid w:val="00D37BDD"/>
    <w:rsid w:val="00D4051C"/>
    <w:rsid w:val="00D4053C"/>
    <w:rsid w:val="00D4098F"/>
    <w:rsid w:val="00D40F9B"/>
    <w:rsid w:val="00D41142"/>
    <w:rsid w:val="00D41B4B"/>
    <w:rsid w:val="00D41DCC"/>
    <w:rsid w:val="00D42C74"/>
    <w:rsid w:val="00D43691"/>
    <w:rsid w:val="00D4468F"/>
    <w:rsid w:val="00D45187"/>
    <w:rsid w:val="00D465CF"/>
    <w:rsid w:val="00D46FDB"/>
    <w:rsid w:val="00D50032"/>
    <w:rsid w:val="00D50386"/>
    <w:rsid w:val="00D50BD6"/>
    <w:rsid w:val="00D50D43"/>
    <w:rsid w:val="00D514D4"/>
    <w:rsid w:val="00D52472"/>
    <w:rsid w:val="00D52CFD"/>
    <w:rsid w:val="00D53421"/>
    <w:rsid w:val="00D542F0"/>
    <w:rsid w:val="00D550AD"/>
    <w:rsid w:val="00D552A0"/>
    <w:rsid w:val="00D5572F"/>
    <w:rsid w:val="00D55A71"/>
    <w:rsid w:val="00D55C04"/>
    <w:rsid w:val="00D565EC"/>
    <w:rsid w:val="00D56FD5"/>
    <w:rsid w:val="00D57A35"/>
    <w:rsid w:val="00D57E8E"/>
    <w:rsid w:val="00D60144"/>
    <w:rsid w:val="00D60C8C"/>
    <w:rsid w:val="00D62041"/>
    <w:rsid w:val="00D63580"/>
    <w:rsid w:val="00D637D6"/>
    <w:rsid w:val="00D63A81"/>
    <w:rsid w:val="00D63D16"/>
    <w:rsid w:val="00D63DE0"/>
    <w:rsid w:val="00D64C64"/>
    <w:rsid w:val="00D65400"/>
    <w:rsid w:val="00D65B30"/>
    <w:rsid w:val="00D6745F"/>
    <w:rsid w:val="00D7025F"/>
    <w:rsid w:val="00D712C5"/>
    <w:rsid w:val="00D7172B"/>
    <w:rsid w:val="00D7187D"/>
    <w:rsid w:val="00D71A00"/>
    <w:rsid w:val="00D72429"/>
    <w:rsid w:val="00D72867"/>
    <w:rsid w:val="00D72DE6"/>
    <w:rsid w:val="00D73112"/>
    <w:rsid w:val="00D73A7D"/>
    <w:rsid w:val="00D742C4"/>
    <w:rsid w:val="00D74DD2"/>
    <w:rsid w:val="00D74F3A"/>
    <w:rsid w:val="00D752CF"/>
    <w:rsid w:val="00D752E9"/>
    <w:rsid w:val="00D75466"/>
    <w:rsid w:val="00D75A05"/>
    <w:rsid w:val="00D75ABC"/>
    <w:rsid w:val="00D75C6D"/>
    <w:rsid w:val="00D76C51"/>
    <w:rsid w:val="00D774EE"/>
    <w:rsid w:val="00D804CF"/>
    <w:rsid w:val="00D805EA"/>
    <w:rsid w:val="00D80650"/>
    <w:rsid w:val="00D807F3"/>
    <w:rsid w:val="00D80857"/>
    <w:rsid w:val="00D809A0"/>
    <w:rsid w:val="00D80C31"/>
    <w:rsid w:val="00D8131B"/>
    <w:rsid w:val="00D813FB"/>
    <w:rsid w:val="00D81B36"/>
    <w:rsid w:val="00D81F4B"/>
    <w:rsid w:val="00D823C1"/>
    <w:rsid w:val="00D82A32"/>
    <w:rsid w:val="00D8318E"/>
    <w:rsid w:val="00D847D7"/>
    <w:rsid w:val="00D85CBD"/>
    <w:rsid w:val="00D86B15"/>
    <w:rsid w:val="00D86C8B"/>
    <w:rsid w:val="00D86EF1"/>
    <w:rsid w:val="00D8716C"/>
    <w:rsid w:val="00D8778C"/>
    <w:rsid w:val="00D8792B"/>
    <w:rsid w:val="00D901DA"/>
    <w:rsid w:val="00D90262"/>
    <w:rsid w:val="00D91A21"/>
    <w:rsid w:val="00D91F14"/>
    <w:rsid w:val="00D923DB"/>
    <w:rsid w:val="00D92E06"/>
    <w:rsid w:val="00D9302B"/>
    <w:rsid w:val="00D932F0"/>
    <w:rsid w:val="00D93D55"/>
    <w:rsid w:val="00D944D5"/>
    <w:rsid w:val="00D9503E"/>
    <w:rsid w:val="00D95380"/>
    <w:rsid w:val="00D95528"/>
    <w:rsid w:val="00D95CBF"/>
    <w:rsid w:val="00D95E4D"/>
    <w:rsid w:val="00D95E6F"/>
    <w:rsid w:val="00D97500"/>
    <w:rsid w:val="00DA027B"/>
    <w:rsid w:val="00DA04E7"/>
    <w:rsid w:val="00DA0A5F"/>
    <w:rsid w:val="00DA1187"/>
    <w:rsid w:val="00DA1E83"/>
    <w:rsid w:val="00DA2008"/>
    <w:rsid w:val="00DA235C"/>
    <w:rsid w:val="00DA26C5"/>
    <w:rsid w:val="00DA2B1E"/>
    <w:rsid w:val="00DA3514"/>
    <w:rsid w:val="00DA394C"/>
    <w:rsid w:val="00DA398A"/>
    <w:rsid w:val="00DA3E78"/>
    <w:rsid w:val="00DA4EF2"/>
    <w:rsid w:val="00DA59CA"/>
    <w:rsid w:val="00DA66B8"/>
    <w:rsid w:val="00DA6946"/>
    <w:rsid w:val="00DA7654"/>
    <w:rsid w:val="00DB0602"/>
    <w:rsid w:val="00DB0884"/>
    <w:rsid w:val="00DB0BDD"/>
    <w:rsid w:val="00DB0BFB"/>
    <w:rsid w:val="00DB2111"/>
    <w:rsid w:val="00DB229E"/>
    <w:rsid w:val="00DB2338"/>
    <w:rsid w:val="00DB27A8"/>
    <w:rsid w:val="00DB2E07"/>
    <w:rsid w:val="00DB39CC"/>
    <w:rsid w:val="00DB3D5F"/>
    <w:rsid w:val="00DB3E97"/>
    <w:rsid w:val="00DB40ED"/>
    <w:rsid w:val="00DB412C"/>
    <w:rsid w:val="00DB43C0"/>
    <w:rsid w:val="00DB5E33"/>
    <w:rsid w:val="00DB62D0"/>
    <w:rsid w:val="00DB65A4"/>
    <w:rsid w:val="00DB7B53"/>
    <w:rsid w:val="00DC097B"/>
    <w:rsid w:val="00DC1450"/>
    <w:rsid w:val="00DC1F32"/>
    <w:rsid w:val="00DC2432"/>
    <w:rsid w:val="00DC262E"/>
    <w:rsid w:val="00DC26AF"/>
    <w:rsid w:val="00DC3754"/>
    <w:rsid w:val="00DC3C97"/>
    <w:rsid w:val="00DC400C"/>
    <w:rsid w:val="00DC40FA"/>
    <w:rsid w:val="00DC417E"/>
    <w:rsid w:val="00DC4419"/>
    <w:rsid w:val="00DC480D"/>
    <w:rsid w:val="00DC48AB"/>
    <w:rsid w:val="00DC4D3A"/>
    <w:rsid w:val="00DC59A3"/>
    <w:rsid w:val="00DC644E"/>
    <w:rsid w:val="00DC6903"/>
    <w:rsid w:val="00DC7188"/>
    <w:rsid w:val="00DC784F"/>
    <w:rsid w:val="00DC79D1"/>
    <w:rsid w:val="00DC7DB1"/>
    <w:rsid w:val="00DD06AB"/>
    <w:rsid w:val="00DD0E88"/>
    <w:rsid w:val="00DD0F24"/>
    <w:rsid w:val="00DD1145"/>
    <w:rsid w:val="00DD114C"/>
    <w:rsid w:val="00DD14F9"/>
    <w:rsid w:val="00DD1EAF"/>
    <w:rsid w:val="00DD2752"/>
    <w:rsid w:val="00DD28D4"/>
    <w:rsid w:val="00DD2ECF"/>
    <w:rsid w:val="00DD2EE3"/>
    <w:rsid w:val="00DD3015"/>
    <w:rsid w:val="00DD316A"/>
    <w:rsid w:val="00DD4233"/>
    <w:rsid w:val="00DD45B7"/>
    <w:rsid w:val="00DD4953"/>
    <w:rsid w:val="00DD4C4E"/>
    <w:rsid w:val="00DD5036"/>
    <w:rsid w:val="00DD54FF"/>
    <w:rsid w:val="00DD55B3"/>
    <w:rsid w:val="00DD62EF"/>
    <w:rsid w:val="00DE0061"/>
    <w:rsid w:val="00DE0AC8"/>
    <w:rsid w:val="00DE0D75"/>
    <w:rsid w:val="00DE1567"/>
    <w:rsid w:val="00DE38F3"/>
    <w:rsid w:val="00DE497F"/>
    <w:rsid w:val="00DE4C63"/>
    <w:rsid w:val="00DE4E27"/>
    <w:rsid w:val="00DE5314"/>
    <w:rsid w:val="00DE5758"/>
    <w:rsid w:val="00DE5E76"/>
    <w:rsid w:val="00DE60F0"/>
    <w:rsid w:val="00DE7AAF"/>
    <w:rsid w:val="00DF0015"/>
    <w:rsid w:val="00DF0186"/>
    <w:rsid w:val="00DF0318"/>
    <w:rsid w:val="00DF04EC"/>
    <w:rsid w:val="00DF10EF"/>
    <w:rsid w:val="00DF203A"/>
    <w:rsid w:val="00DF20CE"/>
    <w:rsid w:val="00DF24D5"/>
    <w:rsid w:val="00DF32E7"/>
    <w:rsid w:val="00DF3324"/>
    <w:rsid w:val="00DF3385"/>
    <w:rsid w:val="00DF3393"/>
    <w:rsid w:val="00DF3AC2"/>
    <w:rsid w:val="00DF5456"/>
    <w:rsid w:val="00DF5C39"/>
    <w:rsid w:val="00DF6543"/>
    <w:rsid w:val="00DF7C17"/>
    <w:rsid w:val="00E00461"/>
    <w:rsid w:val="00E00B0E"/>
    <w:rsid w:val="00E01345"/>
    <w:rsid w:val="00E019AE"/>
    <w:rsid w:val="00E01A9D"/>
    <w:rsid w:val="00E01B8C"/>
    <w:rsid w:val="00E0359A"/>
    <w:rsid w:val="00E03B1A"/>
    <w:rsid w:val="00E03DC7"/>
    <w:rsid w:val="00E044CD"/>
    <w:rsid w:val="00E04C62"/>
    <w:rsid w:val="00E05792"/>
    <w:rsid w:val="00E0631E"/>
    <w:rsid w:val="00E066C8"/>
    <w:rsid w:val="00E066DA"/>
    <w:rsid w:val="00E06B4A"/>
    <w:rsid w:val="00E06C8D"/>
    <w:rsid w:val="00E07005"/>
    <w:rsid w:val="00E0790F"/>
    <w:rsid w:val="00E07E53"/>
    <w:rsid w:val="00E1002C"/>
    <w:rsid w:val="00E10650"/>
    <w:rsid w:val="00E11E0D"/>
    <w:rsid w:val="00E12F0F"/>
    <w:rsid w:val="00E1320A"/>
    <w:rsid w:val="00E13964"/>
    <w:rsid w:val="00E1449A"/>
    <w:rsid w:val="00E14500"/>
    <w:rsid w:val="00E1480C"/>
    <w:rsid w:val="00E14B10"/>
    <w:rsid w:val="00E156CC"/>
    <w:rsid w:val="00E15B81"/>
    <w:rsid w:val="00E15F47"/>
    <w:rsid w:val="00E16016"/>
    <w:rsid w:val="00E16BE3"/>
    <w:rsid w:val="00E16EAF"/>
    <w:rsid w:val="00E1703D"/>
    <w:rsid w:val="00E21A39"/>
    <w:rsid w:val="00E21D0A"/>
    <w:rsid w:val="00E21F76"/>
    <w:rsid w:val="00E223AD"/>
    <w:rsid w:val="00E22D16"/>
    <w:rsid w:val="00E22EA0"/>
    <w:rsid w:val="00E232DC"/>
    <w:rsid w:val="00E23403"/>
    <w:rsid w:val="00E239D8"/>
    <w:rsid w:val="00E2401D"/>
    <w:rsid w:val="00E2406F"/>
    <w:rsid w:val="00E240E4"/>
    <w:rsid w:val="00E250E9"/>
    <w:rsid w:val="00E253A8"/>
    <w:rsid w:val="00E25553"/>
    <w:rsid w:val="00E2653A"/>
    <w:rsid w:val="00E267DD"/>
    <w:rsid w:val="00E268F5"/>
    <w:rsid w:val="00E2718D"/>
    <w:rsid w:val="00E27E05"/>
    <w:rsid w:val="00E27E6F"/>
    <w:rsid w:val="00E30092"/>
    <w:rsid w:val="00E3089A"/>
    <w:rsid w:val="00E30D61"/>
    <w:rsid w:val="00E31731"/>
    <w:rsid w:val="00E31761"/>
    <w:rsid w:val="00E31CE3"/>
    <w:rsid w:val="00E32289"/>
    <w:rsid w:val="00E32E0C"/>
    <w:rsid w:val="00E332F7"/>
    <w:rsid w:val="00E33B22"/>
    <w:rsid w:val="00E34372"/>
    <w:rsid w:val="00E344E8"/>
    <w:rsid w:val="00E3490C"/>
    <w:rsid w:val="00E34FCC"/>
    <w:rsid w:val="00E35501"/>
    <w:rsid w:val="00E369B9"/>
    <w:rsid w:val="00E37A98"/>
    <w:rsid w:val="00E40915"/>
    <w:rsid w:val="00E40B3C"/>
    <w:rsid w:val="00E416A1"/>
    <w:rsid w:val="00E41A4F"/>
    <w:rsid w:val="00E41FD0"/>
    <w:rsid w:val="00E42002"/>
    <w:rsid w:val="00E4266A"/>
    <w:rsid w:val="00E43F32"/>
    <w:rsid w:val="00E44225"/>
    <w:rsid w:val="00E447D7"/>
    <w:rsid w:val="00E45D28"/>
    <w:rsid w:val="00E45E52"/>
    <w:rsid w:val="00E464AC"/>
    <w:rsid w:val="00E46801"/>
    <w:rsid w:val="00E46963"/>
    <w:rsid w:val="00E469CC"/>
    <w:rsid w:val="00E47350"/>
    <w:rsid w:val="00E47C8F"/>
    <w:rsid w:val="00E47F49"/>
    <w:rsid w:val="00E50DE7"/>
    <w:rsid w:val="00E510C0"/>
    <w:rsid w:val="00E51871"/>
    <w:rsid w:val="00E52097"/>
    <w:rsid w:val="00E525C7"/>
    <w:rsid w:val="00E53530"/>
    <w:rsid w:val="00E5353B"/>
    <w:rsid w:val="00E53A2E"/>
    <w:rsid w:val="00E541AF"/>
    <w:rsid w:val="00E544A0"/>
    <w:rsid w:val="00E54AAA"/>
    <w:rsid w:val="00E56832"/>
    <w:rsid w:val="00E5781F"/>
    <w:rsid w:val="00E57ABF"/>
    <w:rsid w:val="00E57B06"/>
    <w:rsid w:val="00E57BAC"/>
    <w:rsid w:val="00E57EB8"/>
    <w:rsid w:val="00E6160F"/>
    <w:rsid w:val="00E6274C"/>
    <w:rsid w:val="00E62834"/>
    <w:rsid w:val="00E62878"/>
    <w:rsid w:val="00E62C3B"/>
    <w:rsid w:val="00E62CB5"/>
    <w:rsid w:val="00E636D7"/>
    <w:rsid w:val="00E6384A"/>
    <w:rsid w:val="00E63AFE"/>
    <w:rsid w:val="00E6403B"/>
    <w:rsid w:val="00E64143"/>
    <w:rsid w:val="00E645FF"/>
    <w:rsid w:val="00E64C7E"/>
    <w:rsid w:val="00E6533E"/>
    <w:rsid w:val="00E65707"/>
    <w:rsid w:val="00E670BC"/>
    <w:rsid w:val="00E6749B"/>
    <w:rsid w:val="00E6786C"/>
    <w:rsid w:val="00E67F98"/>
    <w:rsid w:val="00E70121"/>
    <w:rsid w:val="00E70C8D"/>
    <w:rsid w:val="00E70D74"/>
    <w:rsid w:val="00E7152A"/>
    <w:rsid w:val="00E71A86"/>
    <w:rsid w:val="00E71AB6"/>
    <w:rsid w:val="00E724D3"/>
    <w:rsid w:val="00E72B79"/>
    <w:rsid w:val="00E731BB"/>
    <w:rsid w:val="00E73564"/>
    <w:rsid w:val="00E735DA"/>
    <w:rsid w:val="00E74134"/>
    <w:rsid w:val="00E74174"/>
    <w:rsid w:val="00E74BB0"/>
    <w:rsid w:val="00E75143"/>
    <w:rsid w:val="00E75301"/>
    <w:rsid w:val="00E753D5"/>
    <w:rsid w:val="00E75794"/>
    <w:rsid w:val="00E758DE"/>
    <w:rsid w:val="00E75C92"/>
    <w:rsid w:val="00E76363"/>
    <w:rsid w:val="00E76D04"/>
    <w:rsid w:val="00E76FC1"/>
    <w:rsid w:val="00E77EDF"/>
    <w:rsid w:val="00E80FD7"/>
    <w:rsid w:val="00E82031"/>
    <w:rsid w:val="00E822E1"/>
    <w:rsid w:val="00E831C7"/>
    <w:rsid w:val="00E832EB"/>
    <w:rsid w:val="00E83304"/>
    <w:rsid w:val="00E8353C"/>
    <w:rsid w:val="00E83D1A"/>
    <w:rsid w:val="00E84410"/>
    <w:rsid w:val="00E86E5A"/>
    <w:rsid w:val="00E8790D"/>
    <w:rsid w:val="00E87B0D"/>
    <w:rsid w:val="00E926A7"/>
    <w:rsid w:val="00E92D03"/>
    <w:rsid w:val="00E932B0"/>
    <w:rsid w:val="00E9330E"/>
    <w:rsid w:val="00E9365E"/>
    <w:rsid w:val="00E93795"/>
    <w:rsid w:val="00E938C9"/>
    <w:rsid w:val="00E94AB7"/>
    <w:rsid w:val="00E94B2A"/>
    <w:rsid w:val="00E951DA"/>
    <w:rsid w:val="00E95483"/>
    <w:rsid w:val="00E95823"/>
    <w:rsid w:val="00E95A66"/>
    <w:rsid w:val="00E96381"/>
    <w:rsid w:val="00E963F2"/>
    <w:rsid w:val="00E966D9"/>
    <w:rsid w:val="00E96B62"/>
    <w:rsid w:val="00E97144"/>
    <w:rsid w:val="00E972A7"/>
    <w:rsid w:val="00EA02A0"/>
    <w:rsid w:val="00EA073D"/>
    <w:rsid w:val="00EA0A86"/>
    <w:rsid w:val="00EA1496"/>
    <w:rsid w:val="00EA192A"/>
    <w:rsid w:val="00EA2411"/>
    <w:rsid w:val="00EA259B"/>
    <w:rsid w:val="00EA2763"/>
    <w:rsid w:val="00EA3223"/>
    <w:rsid w:val="00EA5614"/>
    <w:rsid w:val="00EA5859"/>
    <w:rsid w:val="00EA598C"/>
    <w:rsid w:val="00EA5A38"/>
    <w:rsid w:val="00EA68D6"/>
    <w:rsid w:val="00EA6D22"/>
    <w:rsid w:val="00EA7204"/>
    <w:rsid w:val="00EB0406"/>
    <w:rsid w:val="00EB0842"/>
    <w:rsid w:val="00EB0932"/>
    <w:rsid w:val="00EB0951"/>
    <w:rsid w:val="00EB09D7"/>
    <w:rsid w:val="00EB1A60"/>
    <w:rsid w:val="00EB1ACF"/>
    <w:rsid w:val="00EB24D0"/>
    <w:rsid w:val="00EB25CD"/>
    <w:rsid w:val="00EB3038"/>
    <w:rsid w:val="00EB3AD1"/>
    <w:rsid w:val="00EB3EED"/>
    <w:rsid w:val="00EB4621"/>
    <w:rsid w:val="00EB4A80"/>
    <w:rsid w:val="00EB54E4"/>
    <w:rsid w:val="00EB5533"/>
    <w:rsid w:val="00EB5610"/>
    <w:rsid w:val="00EB5AE7"/>
    <w:rsid w:val="00EB6E88"/>
    <w:rsid w:val="00EC0EA7"/>
    <w:rsid w:val="00EC18D4"/>
    <w:rsid w:val="00EC214E"/>
    <w:rsid w:val="00EC2A26"/>
    <w:rsid w:val="00EC3A39"/>
    <w:rsid w:val="00EC4895"/>
    <w:rsid w:val="00EC4F01"/>
    <w:rsid w:val="00EC5179"/>
    <w:rsid w:val="00EC540C"/>
    <w:rsid w:val="00EC5573"/>
    <w:rsid w:val="00EC5588"/>
    <w:rsid w:val="00EC664E"/>
    <w:rsid w:val="00EC6701"/>
    <w:rsid w:val="00EC6D08"/>
    <w:rsid w:val="00EC71BC"/>
    <w:rsid w:val="00ED052B"/>
    <w:rsid w:val="00ED0F1D"/>
    <w:rsid w:val="00ED104C"/>
    <w:rsid w:val="00ED1400"/>
    <w:rsid w:val="00ED1E30"/>
    <w:rsid w:val="00ED207D"/>
    <w:rsid w:val="00ED23CE"/>
    <w:rsid w:val="00ED2A8B"/>
    <w:rsid w:val="00ED32DF"/>
    <w:rsid w:val="00ED32E0"/>
    <w:rsid w:val="00ED42AD"/>
    <w:rsid w:val="00ED44B7"/>
    <w:rsid w:val="00ED4679"/>
    <w:rsid w:val="00ED47E1"/>
    <w:rsid w:val="00ED4E1D"/>
    <w:rsid w:val="00ED6F2C"/>
    <w:rsid w:val="00ED791F"/>
    <w:rsid w:val="00ED79EC"/>
    <w:rsid w:val="00ED7B7E"/>
    <w:rsid w:val="00EE0211"/>
    <w:rsid w:val="00EE0C66"/>
    <w:rsid w:val="00EE0D8A"/>
    <w:rsid w:val="00EE1E8F"/>
    <w:rsid w:val="00EE235D"/>
    <w:rsid w:val="00EE2DEB"/>
    <w:rsid w:val="00EE3011"/>
    <w:rsid w:val="00EE3C41"/>
    <w:rsid w:val="00EE3F54"/>
    <w:rsid w:val="00EE470D"/>
    <w:rsid w:val="00EE56CD"/>
    <w:rsid w:val="00EE57F7"/>
    <w:rsid w:val="00EE6431"/>
    <w:rsid w:val="00EE645F"/>
    <w:rsid w:val="00EE6B95"/>
    <w:rsid w:val="00EE6BEE"/>
    <w:rsid w:val="00EE6E0B"/>
    <w:rsid w:val="00EE7D35"/>
    <w:rsid w:val="00EF07A2"/>
    <w:rsid w:val="00EF17E0"/>
    <w:rsid w:val="00EF1D76"/>
    <w:rsid w:val="00EF1EF0"/>
    <w:rsid w:val="00EF2D8D"/>
    <w:rsid w:val="00EF33D5"/>
    <w:rsid w:val="00EF3662"/>
    <w:rsid w:val="00EF4304"/>
    <w:rsid w:val="00EF4F38"/>
    <w:rsid w:val="00EF4F76"/>
    <w:rsid w:val="00EF5081"/>
    <w:rsid w:val="00EF5685"/>
    <w:rsid w:val="00EF5A28"/>
    <w:rsid w:val="00EF608C"/>
    <w:rsid w:val="00EF65A1"/>
    <w:rsid w:val="00EF698D"/>
    <w:rsid w:val="00EF6A8C"/>
    <w:rsid w:val="00EF6D96"/>
    <w:rsid w:val="00EF73C6"/>
    <w:rsid w:val="00EF7D82"/>
    <w:rsid w:val="00F00463"/>
    <w:rsid w:val="00F009A7"/>
    <w:rsid w:val="00F00FF2"/>
    <w:rsid w:val="00F0169B"/>
    <w:rsid w:val="00F0228E"/>
    <w:rsid w:val="00F0255A"/>
    <w:rsid w:val="00F03F79"/>
    <w:rsid w:val="00F05856"/>
    <w:rsid w:val="00F05A02"/>
    <w:rsid w:val="00F06031"/>
    <w:rsid w:val="00F062CA"/>
    <w:rsid w:val="00F06779"/>
    <w:rsid w:val="00F067F5"/>
    <w:rsid w:val="00F0748A"/>
    <w:rsid w:val="00F075FC"/>
    <w:rsid w:val="00F07709"/>
    <w:rsid w:val="00F07C75"/>
    <w:rsid w:val="00F10093"/>
    <w:rsid w:val="00F10733"/>
    <w:rsid w:val="00F10A10"/>
    <w:rsid w:val="00F10B67"/>
    <w:rsid w:val="00F10BFD"/>
    <w:rsid w:val="00F119F4"/>
    <w:rsid w:val="00F120D1"/>
    <w:rsid w:val="00F1222D"/>
    <w:rsid w:val="00F13151"/>
    <w:rsid w:val="00F1414F"/>
    <w:rsid w:val="00F142F8"/>
    <w:rsid w:val="00F14C25"/>
    <w:rsid w:val="00F14D3E"/>
    <w:rsid w:val="00F14D56"/>
    <w:rsid w:val="00F159FF"/>
    <w:rsid w:val="00F15BDF"/>
    <w:rsid w:val="00F16421"/>
    <w:rsid w:val="00F16FBB"/>
    <w:rsid w:val="00F17150"/>
    <w:rsid w:val="00F17192"/>
    <w:rsid w:val="00F173B9"/>
    <w:rsid w:val="00F17674"/>
    <w:rsid w:val="00F178D4"/>
    <w:rsid w:val="00F20A11"/>
    <w:rsid w:val="00F20EB9"/>
    <w:rsid w:val="00F21273"/>
    <w:rsid w:val="00F21517"/>
    <w:rsid w:val="00F21552"/>
    <w:rsid w:val="00F22B08"/>
    <w:rsid w:val="00F22FC6"/>
    <w:rsid w:val="00F232F6"/>
    <w:rsid w:val="00F23A99"/>
    <w:rsid w:val="00F23DA7"/>
    <w:rsid w:val="00F2403C"/>
    <w:rsid w:val="00F242CD"/>
    <w:rsid w:val="00F268FB"/>
    <w:rsid w:val="00F26D88"/>
    <w:rsid w:val="00F26E5E"/>
    <w:rsid w:val="00F275F1"/>
    <w:rsid w:val="00F27740"/>
    <w:rsid w:val="00F30DDB"/>
    <w:rsid w:val="00F31641"/>
    <w:rsid w:val="00F31E30"/>
    <w:rsid w:val="00F320B9"/>
    <w:rsid w:val="00F322F7"/>
    <w:rsid w:val="00F33206"/>
    <w:rsid w:val="00F33402"/>
    <w:rsid w:val="00F334CF"/>
    <w:rsid w:val="00F3500D"/>
    <w:rsid w:val="00F3582A"/>
    <w:rsid w:val="00F363FE"/>
    <w:rsid w:val="00F3749C"/>
    <w:rsid w:val="00F37E45"/>
    <w:rsid w:val="00F40218"/>
    <w:rsid w:val="00F41020"/>
    <w:rsid w:val="00F42E2C"/>
    <w:rsid w:val="00F43C2C"/>
    <w:rsid w:val="00F445CF"/>
    <w:rsid w:val="00F44B06"/>
    <w:rsid w:val="00F450EA"/>
    <w:rsid w:val="00F45A72"/>
    <w:rsid w:val="00F45A9D"/>
    <w:rsid w:val="00F465EE"/>
    <w:rsid w:val="00F477CA"/>
    <w:rsid w:val="00F479FD"/>
    <w:rsid w:val="00F47BE0"/>
    <w:rsid w:val="00F47D63"/>
    <w:rsid w:val="00F504AD"/>
    <w:rsid w:val="00F50AAD"/>
    <w:rsid w:val="00F51068"/>
    <w:rsid w:val="00F5168B"/>
    <w:rsid w:val="00F51868"/>
    <w:rsid w:val="00F52AB0"/>
    <w:rsid w:val="00F52F9D"/>
    <w:rsid w:val="00F5301F"/>
    <w:rsid w:val="00F535D2"/>
    <w:rsid w:val="00F536C1"/>
    <w:rsid w:val="00F53A7A"/>
    <w:rsid w:val="00F552C5"/>
    <w:rsid w:val="00F55879"/>
    <w:rsid w:val="00F55AC4"/>
    <w:rsid w:val="00F5644C"/>
    <w:rsid w:val="00F569FB"/>
    <w:rsid w:val="00F56D2E"/>
    <w:rsid w:val="00F57888"/>
    <w:rsid w:val="00F57CC3"/>
    <w:rsid w:val="00F57FA9"/>
    <w:rsid w:val="00F6189C"/>
    <w:rsid w:val="00F6198B"/>
    <w:rsid w:val="00F6293C"/>
    <w:rsid w:val="00F63070"/>
    <w:rsid w:val="00F636C0"/>
    <w:rsid w:val="00F64FDF"/>
    <w:rsid w:val="00F65174"/>
    <w:rsid w:val="00F657AD"/>
    <w:rsid w:val="00F65829"/>
    <w:rsid w:val="00F65B04"/>
    <w:rsid w:val="00F65DEF"/>
    <w:rsid w:val="00F66934"/>
    <w:rsid w:val="00F67DDC"/>
    <w:rsid w:val="00F705B1"/>
    <w:rsid w:val="00F70679"/>
    <w:rsid w:val="00F712A4"/>
    <w:rsid w:val="00F71685"/>
    <w:rsid w:val="00F717A3"/>
    <w:rsid w:val="00F722A2"/>
    <w:rsid w:val="00F72FDE"/>
    <w:rsid w:val="00F73268"/>
    <w:rsid w:val="00F73497"/>
    <w:rsid w:val="00F73BB2"/>
    <w:rsid w:val="00F744ED"/>
    <w:rsid w:val="00F745E5"/>
    <w:rsid w:val="00F74B82"/>
    <w:rsid w:val="00F74BA6"/>
    <w:rsid w:val="00F750B5"/>
    <w:rsid w:val="00F75855"/>
    <w:rsid w:val="00F75CAC"/>
    <w:rsid w:val="00F75EBE"/>
    <w:rsid w:val="00F763E7"/>
    <w:rsid w:val="00F7666B"/>
    <w:rsid w:val="00F766F5"/>
    <w:rsid w:val="00F773FE"/>
    <w:rsid w:val="00F805E7"/>
    <w:rsid w:val="00F80D6B"/>
    <w:rsid w:val="00F80DF0"/>
    <w:rsid w:val="00F810B4"/>
    <w:rsid w:val="00F8208C"/>
    <w:rsid w:val="00F82580"/>
    <w:rsid w:val="00F82C37"/>
    <w:rsid w:val="00F83751"/>
    <w:rsid w:val="00F83871"/>
    <w:rsid w:val="00F83EAA"/>
    <w:rsid w:val="00F84343"/>
    <w:rsid w:val="00F857EE"/>
    <w:rsid w:val="00F85DB2"/>
    <w:rsid w:val="00F85E8E"/>
    <w:rsid w:val="00F863D3"/>
    <w:rsid w:val="00F869D5"/>
    <w:rsid w:val="00F870C2"/>
    <w:rsid w:val="00F87377"/>
    <w:rsid w:val="00F87B53"/>
    <w:rsid w:val="00F87D45"/>
    <w:rsid w:val="00F9030E"/>
    <w:rsid w:val="00F90C2E"/>
    <w:rsid w:val="00F90F87"/>
    <w:rsid w:val="00F910BA"/>
    <w:rsid w:val="00F910C7"/>
    <w:rsid w:val="00F913F4"/>
    <w:rsid w:val="00F922B9"/>
    <w:rsid w:val="00F929FC"/>
    <w:rsid w:val="00F92D11"/>
    <w:rsid w:val="00F93065"/>
    <w:rsid w:val="00F93268"/>
    <w:rsid w:val="00F9359C"/>
    <w:rsid w:val="00F93D01"/>
    <w:rsid w:val="00F941E4"/>
    <w:rsid w:val="00F94464"/>
    <w:rsid w:val="00F94667"/>
    <w:rsid w:val="00F94CAC"/>
    <w:rsid w:val="00F951A2"/>
    <w:rsid w:val="00F95D78"/>
    <w:rsid w:val="00F95FCA"/>
    <w:rsid w:val="00F96620"/>
    <w:rsid w:val="00F966F3"/>
    <w:rsid w:val="00F96A5C"/>
    <w:rsid w:val="00F96AAB"/>
    <w:rsid w:val="00F975DA"/>
    <w:rsid w:val="00F97881"/>
    <w:rsid w:val="00F97911"/>
    <w:rsid w:val="00FA04BC"/>
    <w:rsid w:val="00FA06FE"/>
    <w:rsid w:val="00FA166B"/>
    <w:rsid w:val="00FA1A4F"/>
    <w:rsid w:val="00FA2469"/>
    <w:rsid w:val="00FA3777"/>
    <w:rsid w:val="00FA3A7D"/>
    <w:rsid w:val="00FA4E93"/>
    <w:rsid w:val="00FA5211"/>
    <w:rsid w:val="00FA64BC"/>
    <w:rsid w:val="00FA674F"/>
    <w:rsid w:val="00FA6889"/>
    <w:rsid w:val="00FA6F93"/>
    <w:rsid w:val="00FA7394"/>
    <w:rsid w:val="00FB0249"/>
    <w:rsid w:val="00FB10E1"/>
    <w:rsid w:val="00FB113F"/>
    <w:rsid w:val="00FB1475"/>
    <w:rsid w:val="00FB1A8E"/>
    <w:rsid w:val="00FB226A"/>
    <w:rsid w:val="00FB28DE"/>
    <w:rsid w:val="00FB4174"/>
    <w:rsid w:val="00FB45BB"/>
    <w:rsid w:val="00FB473A"/>
    <w:rsid w:val="00FB629F"/>
    <w:rsid w:val="00FB6394"/>
    <w:rsid w:val="00FB6A4E"/>
    <w:rsid w:val="00FB6DB3"/>
    <w:rsid w:val="00FB6FF1"/>
    <w:rsid w:val="00FB757A"/>
    <w:rsid w:val="00FB7609"/>
    <w:rsid w:val="00FB7705"/>
    <w:rsid w:val="00FC019B"/>
    <w:rsid w:val="00FC0396"/>
    <w:rsid w:val="00FC0DF7"/>
    <w:rsid w:val="00FC1BE1"/>
    <w:rsid w:val="00FC2272"/>
    <w:rsid w:val="00FC2BB9"/>
    <w:rsid w:val="00FC37BC"/>
    <w:rsid w:val="00FC37DA"/>
    <w:rsid w:val="00FC45DA"/>
    <w:rsid w:val="00FC4634"/>
    <w:rsid w:val="00FC4822"/>
    <w:rsid w:val="00FC67A5"/>
    <w:rsid w:val="00FC69DB"/>
    <w:rsid w:val="00FC7D6A"/>
    <w:rsid w:val="00FC7DCE"/>
    <w:rsid w:val="00FC7DD6"/>
    <w:rsid w:val="00FC7E2B"/>
    <w:rsid w:val="00FD0E61"/>
    <w:rsid w:val="00FD22E5"/>
    <w:rsid w:val="00FD2FAE"/>
    <w:rsid w:val="00FD36DB"/>
    <w:rsid w:val="00FD384D"/>
    <w:rsid w:val="00FD3A76"/>
    <w:rsid w:val="00FD43CC"/>
    <w:rsid w:val="00FD504D"/>
    <w:rsid w:val="00FD5AB7"/>
    <w:rsid w:val="00FD5AF7"/>
    <w:rsid w:val="00FD65ED"/>
    <w:rsid w:val="00FD787C"/>
    <w:rsid w:val="00FD7F3E"/>
    <w:rsid w:val="00FD7F50"/>
    <w:rsid w:val="00FE0423"/>
    <w:rsid w:val="00FE0466"/>
    <w:rsid w:val="00FE0A4C"/>
    <w:rsid w:val="00FE1261"/>
    <w:rsid w:val="00FE2675"/>
    <w:rsid w:val="00FE4168"/>
    <w:rsid w:val="00FE4639"/>
    <w:rsid w:val="00FE48E4"/>
    <w:rsid w:val="00FE5236"/>
    <w:rsid w:val="00FE5CF1"/>
    <w:rsid w:val="00FE60E8"/>
    <w:rsid w:val="00FF0138"/>
    <w:rsid w:val="00FF0F3D"/>
    <w:rsid w:val="00FF0F42"/>
    <w:rsid w:val="00FF13EF"/>
    <w:rsid w:val="00FF27F0"/>
    <w:rsid w:val="00FF2D83"/>
    <w:rsid w:val="00FF3369"/>
    <w:rsid w:val="00FF3949"/>
    <w:rsid w:val="00FF3C5D"/>
    <w:rsid w:val="00FF3C74"/>
    <w:rsid w:val="00FF426E"/>
    <w:rsid w:val="00FF4B7E"/>
    <w:rsid w:val="00FF4CF2"/>
    <w:rsid w:val="00FF5444"/>
    <w:rsid w:val="00FF54A3"/>
    <w:rsid w:val="00FF54AB"/>
    <w:rsid w:val="00FF7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78CA104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1400"/>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E1480C"/>
    <w:pPr>
      <w:numPr>
        <w:numId w:val="50"/>
      </w:numPr>
      <w:suppressAutoHyphens/>
      <w:ind w:left="0" w:firstLine="0"/>
      <w:jc w:val="both"/>
      <w:outlineLvl w:val="0"/>
    </w:pPr>
    <w:rPr>
      <w:rFonts w:ascii="Cambria" w:eastAsiaTheme="majorEastAsia" w:hAnsi="Cambria" w:cstheme="majorBidi"/>
      <w:b/>
      <w:bCs/>
      <w:sz w:val="20"/>
      <w:szCs w:val="20"/>
    </w:rPr>
  </w:style>
  <w:style w:type="paragraph" w:styleId="Heading2">
    <w:name w:val="heading 2"/>
    <w:basedOn w:val="Normal"/>
    <w:next w:val="Normal"/>
    <w:link w:val="Heading2Char"/>
    <w:qFormat/>
    <w:rsid w:val="002977AF"/>
    <w:pPr>
      <w:widowControl w:val="0"/>
      <w:numPr>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hanging="720"/>
      <w:outlineLvl w:val="1"/>
    </w:pPr>
    <w:rPr>
      <w:rFonts w:ascii="Cambria" w:eastAsia="Times New Roman" w:hAnsi="Cambria" w:cs="Arial"/>
      <w:b/>
      <w:bCs/>
      <w:iCs/>
      <w:sz w:val="20"/>
      <w:szCs w:val="20"/>
      <w:bdr w:val="none" w:sz="0" w:space="0" w:color="auto"/>
      <w:lang w:val="es-ES_tradnl"/>
    </w:rPr>
  </w:style>
  <w:style w:type="paragraph" w:styleId="Heading3">
    <w:name w:val="heading 3"/>
    <w:basedOn w:val="Normal"/>
    <w:next w:val="Normal"/>
    <w:link w:val="Heading3Char"/>
    <w:qFormat/>
    <w:rsid w:val="006635F2"/>
    <w:pPr>
      <w:numPr>
        <w:numId w:val="59"/>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outlineLvl w:val="2"/>
    </w:pPr>
    <w:rPr>
      <w:rFonts w:ascii="Cambria" w:eastAsia="Batang" w:hAnsi="Cambria" w:cs="Arial"/>
      <w:b/>
      <w:bCs/>
      <w:sz w:val="20"/>
      <w:szCs w:val="20"/>
      <w:bdr w:val="none" w:sz="0" w:space="0" w:color="auto"/>
      <w:lang w:val="es-PE"/>
    </w:rPr>
  </w:style>
  <w:style w:type="paragraph" w:styleId="Heading4">
    <w:name w:val="heading 4"/>
    <w:basedOn w:val="Normal"/>
    <w:next w:val="Normal"/>
    <w:link w:val="Heading4Char"/>
    <w:uiPriority w:val="9"/>
    <w:unhideWhenUsed/>
    <w:qFormat/>
    <w:rsid w:val="007B62C4"/>
    <w:pPr>
      <w:numPr>
        <w:ilvl w:val="1"/>
      </w:numPr>
      <w:tabs>
        <w:tab w:val="left" w:pos="284"/>
        <w:tab w:val="left" w:pos="709"/>
      </w:tabs>
      <w:jc w:val="both"/>
      <w:outlineLvl w:val="3"/>
    </w:pPr>
    <w:rPr>
      <w:rFonts w:ascii="Cambria" w:eastAsiaTheme="majorEastAsia" w:hAnsi="Cambria" w:cstheme="majorBidi"/>
      <w:b/>
      <w:bCs/>
      <w:i/>
      <w:iCs/>
      <w:sz w:val="20"/>
      <w:lang w:val="es-PE"/>
    </w:rPr>
  </w:style>
  <w:style w:type="paragraph" w:styleId="Heading5">
    <w:name w:val="heading 5"/>
    <w:basedOn w:val="Normal"/>
    <w:next w:val="Normal"/>
    <w:link w:val="Heading5Char"/>
    <w:uiPriority w:val="9"/>
    <w:qFormat/>
    <w:rsid w:val="001A2154"/>
    <w:pPr>
      <w:tabs>
        <w:tab w:val="left" w:pos="709"/>
      </w:tabs>
      <w:jc w:val="both"/>
      <w:outlineLvl w:val="4"/>
    </w:pPr>
    <w:rPr>
      <w:rFonts w:ascii="Cambria" w:eastAsia="Times New Roman" w:hAnsi="Cambria"/>
      <w:b/>
      <w:bCs/>
      <w:i/>
      <w:iCs/>
      <w:sz w:val="20"/>
      <w:szCs w:val="26"/>
      <w:bdr w:val="none" w:sz="0" w:space="0" w:color="auto"/>
      <w:lang w:val="es-MX"/>
    </w:rPr>
  </w:style>
  <w:style w:type="paragraph" w:styleId="Heading6">
    <w:name w:val="heading 6"/>
    <w:basedOn w:val="Heading5"/>
    <w:next w:val="Normal"/>
    <w:link w:val="Heading6Char"/>
    <w:uiPriority w:val="9"/>
    <w:qFormat/>
    <w:rsid w:val="00D550AD"/>
    <w:pPr>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outlineLvl w:val="5"/>
    </w:pPr>
    <w:rPr>
      <w:rFonts w:ascii="Verdana" w:hAnsi="Verdana"/>
      <w:b w:val="0"/>
      <w:bCs w:val="0"/>
      <w:i w:val="0"/>
      <w:iCs w:val="0"/>
      <w:spacing w:val="-2"/>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80C"/>
    <w:rPr>
      <w:rFonts w:ascii="Cambria" w:eastAsiaTheme="majorEastAsia" w:hAnsi="Cambria" w:cstheme="majorBidi"/>
      <w:b/>
      <w:bCs/>
      <w:sz w:val="20"/>
      <w:szCs w:val="20"/>
      <w:bdr w:val="nil"/>
    </w:rPr>
  </w:style>
  <w:style w:type="character" w:customStyle="1" w:styleId="Heading2Char">
    <w:name w:val="Heading 2 Char"/>
    <w:basedOn w:val="DefaultParagraphFont"/>
    <w:link w:val="Heading2"/>
    <w:rsid w:val="002977AF"/>
    <w:rPr>
      <w:rFonts w:ascii="Cambria" w:eastAsia="Times New Roman" w:hAnsi="Cambria" w:cs="Arial"/>
      <w:b/>
      <w:bCs/>
      <w:iCs/>
      <w:sz w:val="20"/>
      <w:szCs w:val="20"/>
      <w:lang w:val="es-ES_tradnl"/>
    </w:rPr>
  </w:style>
  <w:style w:type="character" w:customStyle="1" w:styleId="Heading3Char">
    <w:name w:val="Heading 3 Char"/>
    <w:basedOn w:val="DefaultParagraphFont"/>
    <w:link w:val="Heading3"/>
    <w:rsid w:val="006635F2"/>
    <w:rPr>
      <w:rFonts w:ascii="Cambria" w:eastAsia="Batang" w:hAnsi="Cambria" w:cs="Arial"/>
      <w:b/>
      <w:bCs/>
      <w:sz w:val="20"/>
      <w:szCs w:val="20"/>
      <w:lang w:val="es-PE"/>
    </w:rPr>
  </w:style>
  <w:style w:type="character" w:styleId="Hyperlink">
    <w:name w:val="Hyperlink"/>
    <w:uiPriority w:val="99"/>
    <w:rsid w:val="00610A15"/>
    <w:rPr>
      <w:u w:val="single"/>
    </w:rPr>
  </w:style>
  <w:style w:type="paragraph" w:customStyle="1" w:styleId="Cabeceraypie">
    <w:name w:val="Cabecera y pie"/>
    <w:rsid w:val="00610A15"/>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610A15"/>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610A15"/>
    <w:rPr>
      <w:rFonts w:ascii="Cambria" w:eastAsia="Cambria" w:hAnsi="Cambria" w:cs="Cambria"/>
      <w:color w:val="000000"/>
      <w:u w:color="000000"/>
      <w:bdr w:val="nil"/>
      <w:lang w:eastAsia="es-ES"/>
    </w:rPr>
  </w:style>
  <w:style w:type="paragraph" w:customStyle="1" w:styleId="Cuerpo">
    <w:name w:val="Cuerpo"/>
    <w:rsid w:val="00610A15"/>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610A15"/>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610A15"/>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List Paragraph11,List Paragraph2,Lista vistosa - Énfasis 11"/>
    <w:link w:val="ListParagraphChar"/>
    <w:qFormat/>
    <w:rsid w:val="00517ABA"/>
    <w:pPr>
      <w:pBdr>
        <w:top w:val="nil"/>
        <w:left w:val="nil"/>
        <w:bottom w:val="nil"/>
        <w:right w:val="nil"/>
        <w:between w:val="nil"/>
        <w:bar w:val="nil"/>
      </w:pBdr>
      <w:spacing w:before="120" w:after="120"/>
      <w:jc w:val="both"/>
    </w:pPr>
    <w:rPr>
      <w:rFonts w:ascii="Cambria" w:eastAsia="Cambria" w:hAnsi="Cambria" w:cs="Cambria"/>
      <w:color w:val="000000"/>
      <w:sz w:val="16"/>
      <w:u w:color="000000"/>
      <w:bdr w:val="nil"/>
      <w:lang w:eastAsia="es-ES"/>
    </w:rPr>
  </w:style>
  <w:style w:type="numbering" w:customStyle="1" w:styleId="List0">
    <w:name w:val="List 0"/>
    <w:basedOn w:val="Estiloimportado1"/>
    <w:rsid w:val="00610A15"/>
    <w:pPr>
      <w:numPr>
        <w:numId w:val="31"/>
      </w:numPr>
    </w:pPr>
  </w:style>
  <w:style w:type="numbering" w:customStyle="1" w:styleId="Estiloimportado1">
    <w:name w:val="Estilo importado 1"/>
    <w:rsid w:val="00610A15"/>
  </w:style>
  <w:style w:type="numbering" w:customStyle="1" w:styleId="List1">
    <w:name w:val="List 1"/>
    <w:basedOn w:val="Estiloimportado2"/>
    <w:rsid w:val="00610A15"/>
    <w:pPr>
      <w:numPr>
        <w:numId w:val="1"/>
      </w:numPr>
    </w:pPr>
  </w:style>
  <w:style w:type="numbering" w:customStyle="1" w:styleId="Estiloimportado2">
    <w:name w:val="Estilo importado 2"/>
    <w:rsid w:val="00610A15"/>
  </w:style>
  <w:style w:type="numbering" w:customStyle="1" w:styleId="List21">
    <w:name w:val="List 21"/>
    <w:basedOn w:val="Estiloimportado3"/>
    <w:rsid w:val="00610A15"/>
    <w:pPr>
      <w:numPr>
        <w:numId w:val="38"/>
      </w:numPr>
    </w:pPr>
  </w:style>
  <w:style w:type="numbering" w:customStyle="1" w:styleId="Estiloimportado3">
    <w:name w:val="Estilo importado 3"/>
    <w:rsid w:val="00610A15"/>
  </w:style>
  <w:style w:type="numbering" w:customStyle="1" w:styleId="List31">
    <w:name w:val="List 31"/>
    <w:basedOn w:val="Estiloimportado4"/>
    <w:rsid w:val="00610A15"/>
    <w:pPr>
      <w:numPr>
        <w:numId w:val="44"/>
      </w:numPr>
    </w:pPr>
  </w:style>
  <w:style w:type="numbering" w:customStyle="1" w:styleId="Estiloimportado4">
    <w:name w:val="Estilo importado 4"/>
    <w:rsid w:val="00610A15"/>
  </w:style>
  <w:style w:type="numbering" w:customStyle="1" w:styleId="List41">
    <w:name w:val="List 41"/>
    <w:basedOn w:val="Estiloimportado5"/>
    <w:rsid w:val="00610A15"/>
    <w:pPr>
      <w:numPr>
        <w:numId w:val="2"/>
      </w:numPr>
    </w:pPr>
  </w:style>
  <w:style w:type="numbering" w:customStyle="1" w:styleId="Estiloimportado5">
    <w:name w:val="Estilo importado 5"/>
    <w:rsid w:val="00610A15"/>
  </w:style>
  <w:style w:type="numbering" w:customStyle="1" w:styleId="List51">
    <w:name w:val="List 51"/>
    <w:basedOn w:val="Estiloimportado6"/>
    <w:rsid w:val="00610A15"/>
    <w:pPr>
      <w:numPr>
        <w:numId w:val="33"/>
      </w:numPr>
    </w:pPr>
  </w:style>
  <w:style w:type="numbering" w:customStyle="1" w:styleId="Estiloimportado6">
    <w:name w:val="Estilo importado 6"/>
    <w:rsid w:val="00610A15"/>
  </w:style>
  <w:style w:type="numbering" w:customStyle="1" w:styleId="List6">
    <w:name w:val="List 6"/>
    <w:basedOn w:val="Estiloimportado7"/>
    <w:rsid w:val="00610A15"/>
    <w:pPr>
      <w:numPr>
        <w:numId w:val="3"/>
      </w:numPr>
    </w:pPr>
  </w:style>
  <w:style w:type="numbering" w:customStyle="1" w:styleId="Estiloimportado7">
    <w:name w:val="Estilo importado 7"/>
    <w:rsid w:val="00610A15"/>
  </w:style>
  <w:style w:type="numbering" w:customStyle="1" w:styleId="List7">
    <w:name w:val="List 7"/>
    <w:basedOn w:val="Estiloimportado8"/>
    <w:rsid w:val="00610A15"/>
    <w:pPr>
      <w:numPr>
        <w:numId w:val="4"/>
      </w:numPr>
    </w:pPr>
  </w:style>
  <w:style w:type="numbering" w:customStyle="1" w:styleId="Estiloimportado8">
    <w:name w:val="Estilo importado 8"/>
    <w:rsid w:val="00610A15"/>
  </w:style>
  <w:style w:type="numbering" w:customStyle="1" w:styleId="List8">
    <w:name w:val="List 8"/>
    <w:basedOn w:val="Estiloimportado9"/>
    <w:rsid w:val="00610A15"/>
    <w:pPr>
      <w:numPr>
        <w:numId w:val="5"/>
      </w:numPr>
    </w:pPr>
  </w:style>
  <w:style w:type="numbering" w:customStyle="1" w:styleId="Estiloimportado9">
    <w:name w:val="Estilo importado 9"/>
    <w:rsid w:val="00610A15"/>
  </w:style>
  <w:style w:type="numbering" w:customStyle="1" w:styleId="List9">
    <w:name w:val="List 9"/>
    <w:basedOn w:val="Estiloimportado10"/>
    <w:rsid w:val="00610A15"/>
    <w:pPr>
      <w:numPr>
        <w:numId w:val="22"/>
      </w:numPr>
    </w:pPr>
  </w:style>
  <w:style w:type="numbering" w:customStyle="1" w:styleId="Estiloimportado10">
    <w:name w:val="Estilo importado 10"/>
    <w:rsid w:val="00610A15"/>
  </w:style>
  <w:style w:type="numbering" w:customStyle="1" w:styleId="List10">
    <w:name w:val="List 10"/>
    <w:basedOn w:val="Estiloimportado11"/>
    <w:rsid w:val="00610A15"/>
    <w:pPr>
      <w:numPr>
        <w:numId w:val="6"/>
      </w:numPr>
    </w:pPr>
  </w:style>
  <w:style w:type="numbering" w:customStyle="1" w:styleId="Estiloimportado11">
    <w:name w:val="Estilo importado 11"/>
    <w:rsid w:val="00610A15"/>
  </w:style>
  <w:style w:type="numbering" w:customStyle="1" w:styleId="List11">
    <w:name w:val="List 11"/>
    <w:basedOn w:val="Estiloimportado12"/>
    <w:rsid w:val="00610A15"/>
    <w:pPr>
      <w:numPr>
        <w:numId w:val="7"/>
      </w:numPr>
    </w:pPr>
  </w:style>
  <w:style w:type="numbering" w:customStyle="1" w:styleId="Estiloimportado12">
    <w:name w:val="Estilo importado 12"/>
    <w:rsid w:val="00610A15"/>
  </w:style>
  <w:style w:type="numbering" w:customStyle="1" w:styleId="List12">
    <w:name w:val="List 12"/>
    <w:basedOn w:val="Estiloimportado13"/>
    <w:rsid w:val="00610A15"/>
    <w:pPr>
      <w:numPr>
        <w:numId w:val="36"/>
      </w:numPr>
    </w:pPr>
  </w:style>
  <w:style w:type="numbering" w:customStyle="1" w:styleId="Estiloimportado13">
    <w:name w:val="Estilo importado 13"/>
    <w:rsid w:val="00610A15"/>
  </w:style>
  <w:style w:type="numbering" w:customStyle="1" w:styleId="List13">
    <w:name w:val="List 13"/>
    <w:basedOn w:val="Estiloimportado14"/>
    <w:rsid w:val="00610A15"/>
    <w:pPr>
      <w:numPr>
        <w:numId w:val="42"/>
      </w:numPr>
    </w:pPr>
  </w:style>
  <w:style w:type="numbering" w:customStyle="1" w:styleId="Estiloimportado14">
    <w:name w:val="Estilo importado 14"/>
    <w:rsid w:val="00610A15"/>
  </w:style>
  <w:style w:type="numbering" w:customStyle="1" w:styleId="List14">
    <w:name w:val="List 14"/>
    <w:basedOn w:val="Estiloimportado15"/>
    <w:rsid w:val="00610A15"/>
    <w:pPr>
      <w:numPr>
        <w:numId w:val="17"/>
      </w:numPr>
    </w:pPr>
  </w:style>
  <w:style w:type="numbering" w:customStyle="1" w:styleId="Estiloimportado15">
    <w:name w:val="Estilo importado 15"/>
    <w:rsid w:val="00610A15"/>
  </w:style>
  <w:style w:type="numbering" w:customStyle="1" w:styleId="List15">
    <w:name w:val="List 15"/>
    <w:basedOn w:val="Estiloimportado16"/>
    <w:rsid w:val="00610A15"/>
    <w:pPr>
      <w:numPr>
        <w:numId w:val="16"/>
      </w:numPr>
    </w:pPr>
  </w:style>
  <w:style w:type="numbering" w:customStyle="1" w:styleId="Estiloimportado16">
    <w:name w:val="Estilo importado 16"/>
    <w:rsid w:val="00610A15"/>
  </w:style>
  <w:style w:type="numbering" w:customStyle="1" w:styleId="List16">
    <w:name w:val="List 16"/>
    <w:basedOn w:val="Estiloimportado16"/>
    <w:rsid w:val="00610A15"/>
    <w:pPr>
      <w:numPr>
        <w:numId w:val="10"/>
      </w:numPr>
    </w:pPr>
  </w:style>
  <w:style w:type="numbering" w:customStyle="1" w:styleId="List17">
    <w:name w:val="List 17"/>
    <w:basedOn w:val="Estiloimportado17"/>
    <w:rsid w:val="00610A15"/>
    <w:pPr>
      <w:numPr>
        <w:numId w:val="25"/>
      </w:numPr>
    </w:pPr>
  </w:style>
  <w:style w:type="numbering" w:customStyle="1" w:styleId="Estiloimportado17">
    <w:name w:val="Estilo importado 17"/>
    <w:rsid w:val="00610A15"/>
  </w:style>
  <w:style w:type="numbering" w:customStyle="1" w:styleId="List18">
    <w:name w:val="List 18"/>
    <w:basedOn w:val="Estiloimportado18"/>
    <w:rsid w:val="00610A15"/>
    <w:pPr>
      <w:numPr>
        <w:numId w:val="27"/>
      </w:numPr>
    </w:pPr>
  </w:style>
  <w:style w:type="numbering" w:customStyle="1" w:styleId="Estiloimportado18">
    <w:name w:val="Estilo importado 18"/>
    <w:rsid w:val="00610A15"/>
  </w:style>
  <w:style w:type="numbering" w:customStyle="1" w:styleId="List19">
    <w:name w:val="List 19"/>
    <w:basedOn w:val="Estiloimportado10"/>
    <w:rsid w:val="00610A15"/>
    <w:pPr>
      <w:numPr>
        <w:numId w:val="19"/>
      </w:numPr>
    </w:pPr>
  </w:style>
  <w:style w:type="numbering" w:customStyle="1" w:styleId="List20">
    <w:name w:val="List 20"/>
    <w:basedOn w:val="Estiloimportado12"/>
    <w:rsid w:val="00610A15"/>
    <w:pPr>
      <w:numPr>
        <w:numId w:val="43"/>
      </w:numPr>
    </w:pPr>
  </w:style>
  <w:style w:type="numbering" w:customStyle="1" w:styleId="Estiloimportado19">
    <w:name w:val="Estilo importado 19"/>
    <w:rsid w:val="00610A15"/>
  </w:style>
  <w:style w:type="numbering" w:customStyle="1" w:styleId="List22">
    <w:name w:val="List 22"/>
    <w:basedOn w:val="Estiloimportado19"/>
    <w:rsid w:val="00610A15"/>
    <w:pPr>
      <w:numPr>
        <w:numId w:val="28"/>
      </w:numPr>
    </w:pPr>
  </w:style>
  <w:style w:type="numbering" w:customStyle="1" w:styleId="List23">
    <w:name w:val="List 23"/>
    <w:basedOn w:val="Estiloimportado19"/>
    <w:rsid w:val="00610A15"/>
    <w:pPr>
      <w:numPr>
        <w:numId w:val="18"/>
      </w:numPr>
    </w:pPr>
  </w:style>
  <w:style w:type="numbering" w:customStyle="1" w:styleId="List24">
    <w:name w:val="List 24"/>
    <w:basedOn w:val="Estiloimportado20"/>
    <w:rsid w:val="00610A15"/>
    <w:pPr>
      <w:numPr>
        <w:numId w:val="13"/>
      </w:numPr>
    </w:pPr>
  </w:style>
  <w:style w:type="numbering" w:customStyle="1" w:styleId="Estiloimportado20">
    <w:name w:val="Estilo importado 20"/>
    <w:rsid w:val="00610A15"/>
  </w:style>
  <w:style w:type="numbering" w:customStyle="1" w:styleId="List25">
    <w:name w:val="List 25"/>
    <w:basedOn w:val="Estiloimportado21"/>
    <w:rsid w:val="00610A15"/>
    <w:pPr>
      <w:numPr>
        <w:numId w:val="15"/>
      </w:numPr>
    </w:pPr>
  </w:style>
  <w:style w:type="numbering" w:customStyle="1" w:styleId="Estiloimportado21">
    <w:name w:val="Estilo importado 21"/>
    <w:rsid w:val="00610A15"/>
  </w:style>
  <w:style w:type="numbering" w:customStyle="1" w:styleId="List26">
    <w:name w:val="List 26"/>
    <w:basedOn w:val="Estiloimportado22"/>
    <w:rsid w:val="00610A15"/>
    <w:pPr>
      <w:numPr>
        <w:numId w:val="48"/>
      </w:numPr>
    </w:pPr>
  </w:style>
  <w:style w:type="numbering" w:customStyle="1" w:styleId="Estiloimportado22">
    <w:name w:val="Estilo importado 22"/>
    <w:rsid w:val="00610A15"/>
  </w:style>
  <w:style w:type="numbering" w:customStyle="1" w:styleId="List27">
    <w:name w:val="List 27"/>
    <w:basedOn w:val="Estiloimportado23"/>
    <w:rsid w:val="00610A15"/>
    <w:pPr>
      <w:numPr>
        <w:numId w:val="41"/>
      </w:numPr>
    </w:pPr>
  </w:style>
  <w:style w:type="numbering" w:customStyle="1" w:styleId="Estiloimportado23">
    <w:name w:val="Estilo importado 23"/>
    <w:rsid w:val="00610A15"/>
  </w:style>
  <w:style w:type="numbering" w:customStyle="1" w:styleId="List28">
    <w:name w:val="List 28"/>
    <w:basedOn w:val="Estiloimportado24"/>
    <w:rsid w:val="00610A15"/>
    <w:pPr>
      <w:numPr>
        <w:numId w:val="30"/>
      </w:numPr>
    </w:pPr>
  </w:style>
  <w:style w:type="numbering" w:customStyle="1" w:styleId="Estiloimportado24">
    <w:name w:val="Estilo importado 24"/>
    <w:rsid w:val="00610A15"/>
  </w:style>
  <w:style w:type="numbering" w:customStyle="1" w:styleId="List29">
    <w:name w:val="List 29"/>
    <w:basedOn w:val="Estiloimportado25"/>
    <w:rsid w:val="00610A15"/>
    <w:pPr>
      <w:numPr>
        <w:numId w:val="34"/>
      </w:numPr>
    </w:pPr>
  </w:style>
  <w:style w:type="numbering" w:customStyle="1" w:styleId="Estiloimportado25">
    <w:name w:val="Estilo importado 25"/>
    <w:rsid w:val="00610A15"/>
  </w:style>
  <w:style w:type="numbering" w:customStyle="1" w:styleId="List30">
    <w:name w:val="List 30"/>
    <w:basedOn w:val="Estiloimportado26"/>
    <w:rsid w:val="00610A15"/>
    <w:pPr>
      <w:numPr>
        <w:numId w:val="32"/>
      </w:numPr>
    </w:pPr>
  </w:style>
  <w:style w:type="numbering" w:customStyle="1" w:styleId="Estiloimportado26">
    <w:name w:val="Estilo importado 26"/>
    <w:rsid w:val="00610A15"/>
  </w:style>
  <w:style w:type="numbering" w:customStyle="1" w:styleId="Estiloimportado27">
    <w:name w:val="Estilo importado 27"/>
    <w:rsid w:val="00610A15"/>
  </w:style>
  <w:style w:type="numbering" w:customStyle="1" w:styleId="List32">
    <w:name w:val="List 32"/>
    <w:basedOn w:val="Estiloimportado28"/>
    <w:rsid w:val="00610A15"/>
    <w:pPr>
      <w:numPr>
        <w:numId w:val="47"/>
      </w:numPr>
    </w:pPr>
  </w:style>
  <w:style w:type="numbering" w:customStyle="1" w:styleId="Estiloimportado28">
    <w:name w:val="Estilo importado 28"/>
    <w:rsid w:val="00610A15"/>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sid w:val="00610A15"/>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610A15"/>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610A15"/>
    <w:pPr>
      <w:numPr>
        <w:numId w:val="26"/>
      </w:numPr>
    </w:pPr>
  </w:style>
  <w:style w:type="numbering" w:customStyle="1" w:styleId="Estiloimportado29">
    <w:name w:val="Estilo importado 29"/>
    <w:rsid w:val="00610A15"/>
  </w:style>
  <w:style w:type="numbering" w:customStyle="1" w:styleId="List34">
    <w:name w:val="List 34"/>
    <w:basedOn w:val="Estiloimportado30"/>
    <w:rsid w:val="00610A15"/>
    <w:pPr>
      <w:numPr>
        <w:numId w:val="11"/>
      </w:numPr>
    </w:pPr>
  </w:style>
  <w:style w:type="numbering" w:customStyle="1" w:styleId="Estiloimportado30">
    <w:name w:val="Estilo importado 30"/>
    <w:rsid w:val="00610A15"/>
  </w:style>
  <w:style w:type="numbering" w:customStyle="1" w:styleId="List35">
    <w:name w:val="List 35"/>
    <w:basedOn w:val="Estiloimportado31"/>
    <w:rsid w:val="00610A15"/>
    <w:pPr>
      <w:numPr>
        <w:numId w:val="8"/>
      </w:numPr>
    </w:pPr>
  </w:style>
  <w:style w:type="numbering" w:customStyle="1" w:styleId="Estiloimportado31">
    <w:name w:val="Estilo importado 31"/>
    <w:rsid w:val="00610A15"/>
  </w:style>
  <w:style w:type="numbering" w:customStyle="1" w:styleId="List36">
    <w:name w:val="List 36"/>
    <w:basedOn w:val="Estiloimportado32"/>
    <w:rsid w:val="00610A15"/>
    <w:pPr>
      <w:numPr>
        <w:numId w:val="14"/>
      </w:numPr>
    </w:pPr>
  </w:style>
  <w:style w:type="numbering" w:customStyle="1" w:styleId="Estiloimportado32">
    <w:name w:val="Estilo importado 32"/>
    <w:rsid w:val="00610A15"/>
  </w:style>
  <w:style w:type="numbering" w:customStyle="1" w:styleId="List37">
    <w:name w:val="List 37"/>
    <w:basedOn w:val="Estiloimportado33"/>
    <w:rsid w:val="00610A15"/>
    <w:pPr>
      <w:numPr>
        <w:numId w:val="46"/>
      </w:numPr>
    </w:pPr>
  </w:style>
  <w:style w:type="numbering" w:customStyle="1" w:styleId="Estiloimportado33">
    <w:name w:val="Estilo importado 33"/>
    <w:rsid w:val="00610A15"/>
  </w:style>
  <w:style w:type="numbering" w:customStyle="1" w:styleId="List38">
    <w:name w:val="List 38"/>
    <w:basedOn w:val="Estiloimportado34"/>
    <w:rsid w:val="00610A15"/>
    <w:pPr>
      <w:numPr>
        <w:numId w:val="35"/>
      </w:numPr>
    </w:pPr>
  </w:style>
  <w:style w:type="numbering" w:customStyle="1" w:styleId="Estiloimportado34">
    <w:name w:val="Estilo importado 34"/>
    <w:rsid w:val="00610A15"/>
  </w:style>
  <w:style w:type="numbering" w:customStyle="1" w:styleId="List39">
    <w:name w:val="List 39"/>
    <w:basedOn w:val="Estiloimportado35"/>
    <w:rsid w:val="00610A15"/>
    <w:pPr>
      <w:numPr>
        <w:numId w:val="45"/>
      </w:numPr>
    </w:pPr>
  </w:style>
  <w:style w:type="numbering" w:customStyle="1" w:styleId="Estiloimportado35">
    <w:name w:val="Estilo importado 35"/>
    <w:rsid w:val="00610A15"/>
  </w:style>
  <w:style w:type="numbering" w:customStyle="1" w:styleId="List40">
    <w:name w:val="List 40"/>
    <w:basedOn w:val="Estiloimportado36"/>
    <w:rsid w:val="00610A15"/>
    <w:pPr>
      <w:numPr>
        <w:numId w:val="21"/>
      </w:numPr>
    </w:pPr>
  </w:style>
  <w:style w:type="numbering" w:customStyle="1" w:styleId="Estiloimportado36">
    <w:name w:val="Estilo importado 36"/>
    <w:rsid w:val="00610A15"/>
  </w:style>
  <w:style w:type="numbering" w:customStyle="1" w:styleId="Estiloimportado37">
    <w:name w:val="Estilo importado 37"/>
    <w:rsid w:val="00610A15"/>
  </w:style>
  <w:style w:type="numbering" w:customStyle="1" w:styleId="List42">
    <w:name w:val="List 42"/>
    <w:basedOn w:val="Estiloimportado12"/>
    <w:rsid w:val="00610A15"/>
    <w:pPr>
      <w:numPr>
        <w:numId w:val="12"/>
      </w:numPr>
    </w:pPr>
  </w:style>
  <w:style w:type="numbering" w:customStyle="1" w:styleId="List43">
    <w:name w:val="List 43"/>
    <w:basedOn w:val="Estiloimportado38"/>
    <w:rsid w:val="00610A15"/>
    <w:pPr>
      <w:numPr>
        <w:numId w:val="23"/>
      </w:numPr>
    </w:pPr>
  </w:style>
  <w:style w:type="numbering" w:customStyle="1" w:styleId="Estiloimportado38">
    <w:name w:val="Estilo importado 38"/>
    <w:rsid w:val="00610A15"/>
  </w:style>
  <w:style w:type="numbering" w:customStyle="1" w:styleId="List44">
    <w:name w:val="List 44"/>
    <w:basedOn w:val="Estiloimportado39"/>
    <w:rsid w:val="00610A15"/>
    <w:pPr>
      <w:numPr>
        <w:numId w:val="40"/>
      </w:numPr>
    </w:pPr>
  </w:style>
  <w:style w:type="numbering" w:customStyle="1" w:styleId="Estiloimportado39">
    <w:name w:val="Estilo importado 39"/>
    <w:rsid w:val="00610A15"/>
  </w:style>
  <w:style w:type="numbering" w:customStyle="1" w:styleId="List45">
    <w:name w:val="List 45"/>
    <w:basedOn w:val="Estiloimportado40"/>
    <w:rsid w:val="00610A15"/>
    <w:pPr>
      <w:numPr>
        <w:numId w:val="20"/>
      </w:numPr>
    </w:pPr>
  </w:style>
  <w:style w:type="numbering" w:customStyle="1" w:styleId="Estiloimportado40">
    <w:name w:val="Estilo importado 40"/>
    <w:rsid w:val="00610A15"/>
  </w:style>
  <w:style w:type="numbering" w:customStyle="1" w:styleId="List46">
    <w:name w:val="List 46"/>
    <w:basedOn w:val="Estiloimportado41"/>
    <w:rsid w:val="00610A15"/>
    <w:pPr>
      <w:numPr>
        <w:numId w:val="24"/>
      </w:numPr>
    </w:pPr>
  </w:style>
  <w:style w:type="numbering" w:customStyle="1" w:styleId="Estiloimportado41">
    <w:name w:val="Estilo importado 41"/>
    <w:rsid w:val="00610A15"/>
  </w:style>
  <w:style w:type="numbering" w:customStyle="1" w:styleId="List47">
    <w:name w:val="List 47"/>
    <w:basedOn w:val="Estiloimportado42"/>
    <w:rsid w:val="00610A15"/>
    <w:pPr>
      <w:numPr>
        <w:numId w:val="29"/>
      </w:numPr>
    </w:pPr>
  </w:style>
  <w:style w:type="numbering" w:customStyle="1" w:styleId="Estiloimportado42">
    <w:name w:val="Estilo importado 42"/>
    <w:rsid w:val="00610A15"/>
  </w:style>
  <w:style w:type="numbering" w:customStyle="1" w:styleId="List48">
    <w:name w:val="List 48"/>
    <w:basedOn w:val="Estiloimportado43"/>
    <w:rsid w:val="00610A15"/>
    <w:pPr>
      <w:numPr>
        <w:numId w:val="49"/>
      </w:numPr>
    </w:pPr>
  </w:style>
  <w:style w:type="numbering" w:customStyle="1" w:styleId="Estiloimportado43">
    <w:name w:val="Estilo importado 43"/>
    <w:rsid w:val="00610A15"/>
  </w:style>
  <w:style w:type="numbering" w:customStyle="1" w:styleId="List49">
    <w:name w:val="List 49"/>
    <w:basedOn w:val="Estiloimportado44"/>
    <w:rsid w:val="00610A15"/>
    <w:pPr>
      <w:numPr>
        <w:numId w:val="39"/>
      </w:numPr>
    </w:pPr>
  </w:style>
  <w:style w:type="numbering" w:customStyle="1" w:styleId="Estiloimportado44">
    <w:name w:val="Estilo importado 44"/>
    <w:rsid w:val="00610A15"/>
  </w:style>
  <w:style w:type="numbering" w:customStyle="1" w:styleId="List50">
    <w:name w:val="List 50"/>
    <w:basedOn w:val="Estiloimportado45"/>
    <w:rsid w:val="00610A15"/>
    <w:pPr>
      <w:numPr>
        <w:numId w:val="37"/>
      </w:numPr>
    </w:pPr>
  </w:style>
  <w:style w:type="numbering" w:customStyle="1" w:styleId="Estiloimportado45">
    <w:name w:val="Estilo importado 45"/>
    <w:rsid w:val="00610A15"/>
  </w:style>
  <w:style w:type="numbering" w:customStyle="1" w:styleId="Estiloimportado46">
    <w:name w:val="Estilo importado 46"/>
    <w:rsid w:val="00610A15"/>
  </w:style>
  <w:style w:type="numbering" w:customStyle="1" w:styleId="List52">
    <w:name w:val="List 52"/>
    <w:basedOn w:val="Estiloimportado1"/>
    <w:rsid w:val="00610A15"/>
    <w:pPr>
      <w:numPr>
        <w:numId w:val="9"/>
      </w:numPr>
    </w:pPr>
  </w:style>
  <w:style w:type="paragraph" w:styleId="BalloonText">
    <w:name w:val="Balloon Text"/>
    <w:basedOn w:val="Normal"/>
    <w:link w:val="BalloonTextChar"/>
    <w:uiPriority w:val="99"/>
    <w:semiHidden/>
    <w:unhideWhenUsed/>
    <w:rsid w:val="00610A15"/>
    <w:rPr>
      <w:rFonts w:ascii="Tahoma" w:hAnsi="Tahoma" w:cs="Tahoma"/>
      <w:sz w:val="16"/>
      <w:szCs w:val="16"/>
    </w:rPr>
  </w:style>
  <w:style w:type="character" w:customStyle="1" w:styleId="BalloonTextChar">
    <w:name w:val="Balloon Text Char"/>
    <w:basedOn w:val="DefaultParagraphFont"/>
    <w:link w:val="BalloonText"/>
    <w:uiPriority w:val="99"/>
    <w:semiHidden/>
    <w:rsid w:val="00610A15"/>
    <w:rPr>
      <w:rFonts w:ascii="Tahoma" w:eastAsia="Arial Unicode MS" w:hAnsi="Tahoma" w:cs="Tahoma"/>
      <w:sz w:val="16"/>
      <w:szCs w:val="16"/>
      <w:bdr w:val="nil"/>
    </w:rPr>
  </w:style>
  <w:style w:type="paragraph" w:styleId="Header">
    <w:name w:val="header"/>
    <w:aliases w:val="encabezado"/>
    <w:basedOn w:val="Normal"/>
    <w:link w:val="HeaderChar"/>
    <w:rsid w:val="00610A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610A15"/>
    <w:rPr>
      <w:rFonts w:ascii="Univers" w:eastAsia="Times New Roman" w:hAnsi="Univers" w:cs="Univers"/>
    </w:rPr>
  </w:style>
  <w:style w:type="table" w:styleId="MediumShading1-Accent1">
    <w:name w:val="Medium Shading 1 Accent 1"/>
    <w:basedOn w:val="TableNormal"/>
    <w:uiPriority w:val="63"/>
    <w:rsid w:val="00610A15"/>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B6518A"/>
    <w:pPr>
      <w:tabs>
        <w:tab w:val="left" w:pos="1440"/>
        <w:tab w:val="right" w:leader="dot" w:pos="9350"/>
      </w:tabs>
      <w:spacing w:after="100"/>
      <w:ind w:left="1440" w:hanging="720"/>
      <w:jc w:val="both"/>
    </w:pPr>
    <w:rPr>
      <w:rFonts w:ascii="Cambria" w:eastAsia="Cambria" w:hAnsi="Cambria"/>
      <w:noProof/>
      <w:sz w:val="20"/>
      <w:szCs w:val="20"/>
      <w:u w:color="000000"/>
      <w:lang w:val="es-ES_tradnl" w:eastAsia="es-ES"/>
    </w:rPr>
  </w:style>
  <w:style w:type="paragraph" w:styleId="TOC1">
    <w:name w:val="toc 1"/>
    <w:basedOn w:val="Normal"/>
    <w:next w:val="Normal"/>
    <w:autoRedefine/>
    <w:uiPriority w:val="39"/>
    <w:unhideWhenUsed/>
    <w:rsid w:val="00761A05"/>
    <w:pPr>
      <w:tabs>
        <w:tab w:val="left" w:pos="1440"/>
        <w:tab w:val="right" w:leader="dot" w:pos="9350"/>
      </w:tabs>
      <w:spacing w:after="100"/>
    </w:pPr>
    <w:rPr>
      <w:rFonts w:ascii="Cambria" w:eastAsia="Yu Gothic Light" w:hAnsi="Cambria"/>
      <w:b/>
      <w:bCs/>
      <w:noProof/>
      <w:sz w:val="20"/>
      <w:szCs w:val="20"/>
      <w:lang w:val="es-VE"/>
    </w:rPr>
  </w:style>
  <w:style w:type="paragraph" w:styleId="TOC3">
    <w:name w:val="toc 3"/>
    <w:basedOn w:val="Normal"/>
    <w:next w:val="Normal"/>
    <w:autoRedefine/>
    <w:uiPriority w:val="39"/>
    <w:unhideWhenUsed/>
    <w:rsid w:val="00610A1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610A15"/>
    <w:pPr>
      <w:spacing w:after="100"/>
      <w:ind w:left="720"/>
    </w:pPr>
  </w:style>
  <w:style w:type="character" w:styleId="PageNumber">
    <w:name w:val="page number"/>
    <w:basedOn w:val="DefaultParagraphFont"/>
    <w:rsid w:val="00610A15"/>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basedOn w:val="DefaultParagraphFont"/>
    <w:link w:val="1"/>
    <w:uiPriority w:val="99"/>
    <w:unhideWhenUsed/>
    <w:qFormat/>
    <w:rsid w:val="00610A15"/>
    <w:rPr>
      <w:vertAlign w:val="superscript"/>
    </w:rPr>
  </w:style>
  <w:style w:type="paragraph" w:styleId="BodyTextIndent2">
    <w:name w:val="Body Text Indent 2"/>
    <w:basedOn w:val="Normal"/>
    <w:link w:val="BodyTextIndent2Char"/>
    <w:uiPriority w:val="99"/>
    <w:semiHidden/>
    <w:unhideWhenUsed/>
    <w:rsid w:val="00610A15"/>
    <w:pPr>
      <w:spacing w:after="120" w:line="480" w:lineRule="auto"/>
      <w:ind w:left="360"/>
    </w:pPr>
  </w:style>
  <w:style w:type="character" w:customStyle="1" w:styleId="BodyTextIndent2Char">
    <w:name w:val="Body Text Indent 2 Char"/>
    <w:basedOn w:val="DefaultParagraphFont"/>
    <w:link w:val="BodyTextIndent2"/>
    <w:uiPriority w:val="99"/>
    <w:semiHidden/>
    <w:rsid w:val="00610A15"/>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610A15"/>
    <w:pPr>
      <w:spacing w:after="120"/>
    </w:pPr>
  </w:style>
  <w:style w:type="character" w:customStyle="1" w:styleId="BodyTextChar">
    <w:name w:val="Body Text Char"/>
    <w:basedOn w:val="DefaultParagraphFont"/>
    <w:link w:val="BodyText"/>
    <w:uiPriority w:val="99"/>
    <w:semiHidden/>
    <w:rsid w:val="00610A15"/>
    <w:rPr>
      <w:rFonts w:ascii="Times New Roman" w:eastAsia="Arial Unicode MS" w:hAnsi="Times New Roman" w:cs="Times New Roman"/>
      <w:bdr w:val="nil"/>
    </w:rPr>
  </w:style>
  <w:style w:type="paragraph" w:customStyle="1" w:styleId="Default">
    <w:name w:val="Default"/>
    <w:link w:val="DefaultChar"/>
    <w:rsid w:val="00610A15"/>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uiPriority w:val="99"/>
    <w:rsid w:val="00610A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uiPriority w:val="99"/>
    <w:rsid w:val="00610A15"/>
    <w:rPr>
      <w:rFonts w:ascii="Times New Roman" w:eastAsia="Times New Roman" w:hAnsi="Times New Roman" w:cs="Times New Roman"/>
    </w:rPr>
  </w:style>
  <w:style w:type="character" w:customStyle="1" w:styleId="DefaultChar">
    <w:name w:val="Default Char"/>
    <w:link w:val="Default"/>
    <w:rsid w:val="00610A15"/>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610A15"/>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customStyle="1" w:styleId="ListParagraphChar">
    <w:name w:val="List Paragraph Char"/>
    <w:aliases w:val="Párrafo de lista1 Char,List Paragraph1 Char,List Paragraph11 Char,List Paragraph2 Char,Lista vistosa - Énfasis 11 Char"/>
    <w:link w:val="ListParagraph"/>
    <w:locked/>
    <w:rsid w:val="00517ABA"/>
    <w:rPr>
      <w:rFonts w:ascii="Cambria" w:eastAsia="Cambria" w:hAnsi="Cambria" w:cs="Cambria"/>
      <w:color w:val="000000"/>
      <w:sz w:val="16"/>
      <w:u w:color="000000"/>
      <w:bdr w:val="nil"/>
      <w:lang w:eastAsia="es-ES"/>
    </w:rPr>
  </w:style>
  <w:style w:type="character" w:styleId="Strong">
    <w:name w:val="Strong"/>
    <w:uiPriority w:val="22"/>
    <w:qFormat/>
    <w:rsid w:val="00610A15"/>
    <w:rPr>
      <w:b/>
      <w:bCs/>
    </w:rPr>
  </w:style>
  <w:style w:type="paragraph" w:customStyle="1" w:styleId="ColorfulList-Accent11">
    <w:name w:val="Colorful List - Accent 11"/>
    <w:link w:val="ColorfulList-Accent1Char"/>
    <w:uiPriority w:val="34"/>
    <w:qFormat/>
    <w:rsid w:val="00610A15"/>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ColorfulList-Accent1Char">
    <w:name w:val="Colorful List - Accent 1 Char"/>
    <w:link w:val="ColorfulList-Accent11"/>
    <w:uiPriority w:val="34"/>
    <w:locked/>
    <w:rsid w:val="00610A15"/>
    <w:rPr>
      <w:rFonts w:ascii="Cambria" w:eastAsia="Cambria" w:hAnsi="Cambria" w:cs="Cambria"/>
      <w:color w:val="000000"/>
      <w:u w:color="000000"/>
      <w:bdr w:val="nil"/>
      <w:lang w:eastAsia="es-ES"/>
    </w:rPr>
  </w:style>
  <w:style w:type="character" w:customStyle="1" w:styleId="apple-style-span">
    <w:name w:val="apple-style-span"/>
    <w:rsid w:val="00610A15"/>
  </w:style>
  <w:style w:type="paragraph" w:customStyle="1" w:styleId="1">
    <w:name w:val="1"/>
    <w:basedOn w:val="Normal"/>
    <w:link w:val="FootnoteReference"/>
    <w:uiPriority w:val="99"/>
    <w:rsid w:val="00610A1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apple-converted-space">
    <w:name w:val="apple-converted-space"/>
    <w:basedOn w:val="DefaultParagraphFont"/>
    <w:rsid w:val="00610A15"/>
  </w:style>
  <w:style w:type="character" w:styleId="CommentReference">
    <w:name w:val="annotation reference"/>
    <w:basedOn w:val="DefaultParagraphFont"/>
    <w:uiPriority w:val="99"/>
    <w:semiHidden/>
    <w:unhideWhenUsed/>
    <w:rsid w:val="009D70A3"/>
    <w:rPr>
      <w:sz w:val="16"/>
      <w:szCs w:val="16"/>
    </w:rPr>
  </w:style>
  <w:style w:type="paragraph" w:styleId="CommentText">
    <w:name w:val="annotation text"/>
    <w:basedOn w:val="Normal"/>
    <w:link w:val="CommentTextChar"/>
    <w:uiPriority w:val="99"/>
    <w:semiHidden/>
    <w:unhideWhenUsed/>
    <w:rsid w:val="009D70A3"/>
    <w:rPr>
      <w:sz w:val="20"/>
      <w:szCs w:val="20"/>
    </w:rPr>
  </w:style>
  <w:style w:type="character" w:customStyle="1" w:styleId="CommentTextChar">
    <w:name w:val="Comment Text Char"/>
    <w:basedOn w:val="DefaultParagraphFont"/>
    <w:link w:val="CommentText"/>
    <w:uiPriority w:val="99"/>
    <w:semiHidden/>
    <w:rsid w:val="009D70A3"/>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D70A3"/>
    <w:rPr>
      <w:b/>
      <w:bCs/>
    </w:rPr>
  </w:style>
  <w:style w:type="character" w:customStyle="1" w:styleId="CommentSubjectChar">
    <w:name w:val="Comment Subject Char"/>
    <w:basedOn w:val="CommentTextChar"/>
    <w:link w:val="CommentSubject"/>
    <w:uiPriority w:val="99"/>
    <w:semiHidden/>
    <w:rsid w:val="009D70A3"/>
    <w:rPr>
      <w:rFonts w:ascii="Times New Roman" w:eastAsia="Arial Unicode MS" w:hAnsi="Times New Roman" w:cs="Times New Roman"/>
      <w:b/>
      <w:bCs/>
      <w:sz w:val="20"/>
      <w:szCs w:val="20"/>
      <w:bdr w:val="nil"/>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A5859"/>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NormalWeb">
    <w:name w:val="Normal (Web)"/>
    <w:basedOn w:val="Normal"/>
    <w:uiPriority w:val="99"/>
    <w:unhideWhenUsed/>
    <w:rsid w:val="00BF44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HAnsi" w:hAnsi="Times"/>
      <w:sz w:val="20"/>
      <w:szCs w:val="20"/>
      <w:bdr w:val="none" w:sz="0" w:space="0" w:color="auto"/>
    </w:rPr>
  </w:style>
  <w:style w:type="paragraph" w:styleId="NoSpacing">
    <w:name w:val="No Spacing"/>
    <w:qFormat/>
    <w:rsid w:val="00DF10EF"/>
    <w:pPr>
      <w:widowControl w:val="0"/>
      <w:spacing w:before="120" w:after="120"/>
      <w:ind w:firstLine="720"/>
      <w:jc w:val="both"/>
    </w:pPr>
    <w:rPr>
      <w:rFonts w:ascii="Cambria" w:eastAsia="Calibri" w:hAnsi="Cambria" w:cs="Times New Roman"/>
      <w:sz w:val="20"/>
      <w:szCs w:val="22"/>
    </w:rPr>
  </w:style>
  <w:style w:type="paragraph" w:styleId="BodyTextIndent3">
    <w:name w:val="Body Text Indent 3"/>
    <w:basedOn w:val="Normal"/>
    <w:link w:val="BodyTextIndent3Char"/>
    <w:uiPriority w:val="99"/>
    <w:unhideWhenUsed/>
    <w:rsid w:val="002B1017"/>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Mincho"/>
      <w:sz w:val="16"/>
      <w:szCs w:val="16"/>
      <w:bdr w:val="none" w:sz="0" w:space="0" w:color="auto"/>
    </w:rPr>
  </w:style>
  <w:style w:type="character" w:customStyle="1" w:styleId="BodyTextIndent3Char">
    <w:name w:val="Body Text Indent 3 Char"/>
    <w:basedOn w:val="DefaultParagraphFont"/>
    <w:link w:val="BodyTextIndent3"/>
    <w:uiPriority w:val="99"/>
    <w:rsid w:val="002B1017"/>
    <w:rPr>
      <w:rFonts w:ascii="Times New Roman" w:eastAsia="MS Mincho" w:hAnsi="Times New Roman" w:cs="Times New Roman"/>
      <w:sz w:val="16"/>
      <w:szCs w:val="16"/>
    </w:rPr>
  </w:style>
  <w:style w:type="character" w:customStyle="1" w:styleId="ListParagraphChar1">
    <w:name w:val="List Paragraph Char1"/>
    <w:aliases w:val="Párrafo de lista1 Char1"/>
    <w:uiPriority w:val="34"/>
    <w:locked/>
    <w:rsid w:val="00F7666B"/>
    <w:rPr>
      <w:sz w:val="24"/>
      <w:szCs w:val="24"/>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7B45A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styleId="FollowedHyperlink">
    <w:name w:val="FollowedHyperlink"/>
    <w:basedOn w:val="DefaultParagraphFont"/>
    <w:uiPriority w:val="99"/>
    <w:semiHidden/>
    <w:unhideWhenUsed/>
    <w:rsid w:val="001D78C1"/>
    <w:rPr>
      <w:color w:val="954F72" w:themeColor="followedHyperlink"/>
      <w:u w:val="single"/>
    </w:rPr>
  </w:style>
  <w:style w:type="paragraph" w:styleId="BodyText3">
    <w:name w:val="Body Text 3"/>
    <w:basedOn w:val="Normal"/>
    <w:link w:val="BodyText3Char"/>
    <w:uiPriority w:val="99"/>
    <w:unhideWhenUsed/>
    <w:rsid w:val="0098300E"/>
    <w:pPr>
      <w:spacing w:after="120"/>
    </w:pPr>
    <w:rPr>
      <w:sz w:val="16"/>
      <w:szCs w:val="16"/>
    </w:rPr>
  </w:style>
  <w:style w:type="character" w:customStyle="1" w:styleId="BodyText3Char">
    <w:name w:val="Body Text 3 Char"/>
    <w:basedOn w:val="DefaultParagraphFont"/>
    <w:link w:val="BodyText3"/>
    <w:uiPriority w:val="99"/>
    <w:rsid w:val="0098300E"/>
    <w:rPr>
      <w:rFonts w:ascii="Times New Roman" w:eastAsia="Arial Unicode MS" w:hAnsi="Times New Roman" w:cs="Times New Roman"/>
      <w:sz w:val="16"/>
      <w:szCs w:val="16"/>
      <w:bdr w:val="nil"/>
    </w:rPr>
  </w:style>
  <w:style w:type="paragraph" w:styleId="HTMLPreformatted">
    <w:name w:val="HTML Preformatted"/>
    <w:basedOn w:val="Normal"/>
    <w:link w:val="HTMLPreformattedChar"/>
    <w:uiPriority w:val="99"/>
    <w:semiHidden/>
    <w:unhideWhenUsed/>
    <w:rsid w:val="004A209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4A2096"/>
    <w:rPr>
      <w:rFonts w:ascii="Courier New" w:eastAsia="Times New Roman" w:hAnsi="Courier New" w:cs="Courier New"/>
      <w:sz w:val="20"/>
      <w:szCs w:val="20"/>
    </w:rPr>
  </w:style>
  <w:style w:type="character" w:customStyle="1" w:styleId="MediumShading1-Accent1Char">
    <w:name w:val="Medium Shading 1 - Accent 1 Char"/>
    <w:rsid w:val="003E6CE0"/>
    <w:rPr>
      <w:rFonts w:ascii="Cambria" w:hAnsi="Cambria"/>
      <w:sz w:val="16"/>
      <w:szCs w:val="22"/>
      <w:lang w:eastAsia="en-US"/>
    </w:rPr>
  </w:style>
  <w:style w:type="character" w:styleId="EndnoteReference">
    <w:name w:val="endnote reference"/>
    <w:uiPriority w:val="99"/>
    <w:semiHidden/>
    <w:unhideWhenUsed/>
    <w:rsid w:val="003E6CE0"/>
    <w:rPr>
      <w:vertAlign w:val="superscript"/>
    </w:rPr>
  </w:style>
  <w:style w:type="character" w:customStyle="1" w:styleId="Heading4Char">
    <w:name w:val="Heading 4 Char"/>
    <w:basedOn w:val="DefaultParagraphFont"/>
    <w:link w:val="Heading4"/>
    <w:uiPriority w:val="9"/>
    <w:rsid w:val="007B62C4"/>
    <w:rPr>
      <w:rFonts w:ascii="Cambria" w:eastAsiaTheme="majorEastAsia" w:hAnsi="Cambria" w:cstheme="majorBidi"/>
      <w:b/>
      <w:bCs/>
      <w:i/>
      <w:iCs/>
      <w:sz w:val="20"/>
      <w:bdr w:val="nil"/>
      <w:lang w:val="es-PE"/>
    </w:rPr>
  </w:style>
  <w:style w:type="character" w:customStyle="1" w:styleId="Heading5Char">
    <w:name w:val="Heading 5 Char"/>
    <w:basedOn w:val="DefaultParagraphFont"/>
    <w:link w:val="Heading5"/>
    <w:uiPriority w:val="9"/>
    <w:rsid w:val="001A2154"/>
    <w:rPr>
      <w:rFonts w:ascii="Cambria" w:eastAsia="Times New Roman" w:hAnsi="Cambria" w:cs="Times New Roman"/>
      <w:b/>
      <w:bCs/>
      <w:i/>
      <w:iCs/>
      <w:sz w:val="20"/>
      <w:szCs w:val="26"/>
      <w:lang w:val="es-MX"/>
    </w:rPr>
  </w:style>
  <w:style w:type="paragraph" w:customStyle="1" w:styleId="f1">
    <w:name w:val="f1"/>
    <w:basedOn w:val="Normal"/>
    <w:rsid w:val="00E464AC"/>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lang w:val="es-MX" w:eastAsia="es-MX"/>
    </w:rPr>
  </w:style>
  <w:style w:type="character" w:customStyle="1" w:styleId="WW-FootnoteCharacters">
    <w:name w:val="WW-Footnote Characters"/>
    <w:rsid w:val="00E464AC"/>
    <w:rPr>
      <w:vertAlign w:val="superscript"/>
    </w:rPr>
  </w:style>
  <w:style w:type="character" w:customStyle="1" w:styleId="ju-005fpara-002cleft-002cfirst-0020line-003a-0020-00200-0020cm--char">
    <w:name w:val="ju-005fpara-002cleft-002cfirst-0020line-003a-0020-00200-0020cm--char"/>
    <w:rsid w:val="00E464AC"/>
  </w:style>
  <w:style w:type="paragraph" w:customStyle="1" w:styleId="tex12">
    <w:name w:val="tex12"/>
    <w:basedOn w:val="Normal"/>
    <w:rsid w:val="00E464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textosbold">
    <w:name w:val="textosbold"/>
    <w:rsid w:val="00E464AC"/>
  </w:style>
  <w:style w:type="character" w:customStyle="1" w:styleId="CharacterStyle2">
    <w:name w:val="Character Style 2"/>
    <w:uiPriority w:val="99"/>
    <w:rsid w:val="00E464AC"/>
    <w:rPr>
      <w:sz w:val="20"/>
      <w:szCs w:val="20"/>
    </w:rPr>
  </w:style>
  <w:style w:type="character" w:customStyle="1" w:styleId="CharacterStyle23">
    <w:name w:val="Character Style 23"/>
    <w:uiPriority w:val="99"/>
    <w:rsid w:val="00E464AC"/>
    <w:rPr>
      <w:sz w:val="24"/>
      <w:szCs w:val="24"/>
    </w:rPr>
  </w:style>
  <w:style w:type="character" w:customStyle="1" w:styleId="CharacterStyle1">
    <w:name w:val="Character Style 1"/>
    <w:uiPriority w:val="99"/>
    <w:rsid w:val="00E464AC"/>
    <w:rPr>
      <w:rFonts w:ascii="Bookman Old Style" w:hAnsi="Bookman Old Style" w:cs="Bookman Old Style"/>
      <w:sz w:val="22"/>
      <w:szCs w:val="22"/>
    </w:rPr>
  </w:style>
  <w:style w:type="paragraph" w:customStyle="1" w:styleId="Encabezadodetabladecontenido1">
    <w:name w:val="Encabezado de tabla de contenido1"/>
    <w:basedOn w:val="Heading1"/>
    <w:next w:val="Normal"/>
    <w:uiPriority w:val="39"/>
    <w:semiHidden/>
    <w:unhideWhenUsed/>
    <w:qFormat/>
    <w:rsid w:val="00E464AC"/>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eastAsia="MS Gothic" w:cs="Times New Roman"/>
      <w:color w:val="365F91"/>
      <w:bdr w:val="none" w:sz="0" w:space="0" w:color="auto"/>
      <w:lang w:eastAsia="ja-JP"/>
    </w:rPr>
  </w:style>
  <w:style w:type="paragraph" w:customStyle="1" w:styleId="Standard">
    <w:name w:val="Standard"/>
    <w:rsid w:val="00E464AC"/>
    <w:pPr>
      <w:suppressAutoHyphens/>
      <w:autoSpaceDN w:val="0"/>
      <w:textAlignment w:val="baseline"/>
    </w:pPr>
    <w:rPr>
      <w:rFonts w:ascii="Liberation Serif" w:eastAsia="SimSun" w:hAnsi="Liberation Serif" w:cs="Lucida Sans"/>
      <w:kern w:val="3"/>
      <w:lang w:val="es-PY" w:eastAsia="zh-CN" w:bidi="hi-IN"/>
    </w:rPr>
  </w:style>
  <w:style w:type="paragraph" w:customStyle="1" w:styleId="Style2">
    <w:name w:val="Style 2"/>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24" w:line="283" w:lineRule="auto"/>
      <w:jc w:val="both"/>
    </w:pPr>
    <w:rPr>
      <w:rFonts w:eastAsia="Times New Roman"/>
      <w:sz w:val="23"/>
      <w:szCs w:val="23"/>
      <w:bdr w:val="none" w:sz="0" w:space="0" w:color="auto"/>
      <w:lang w:eastAsia="es-MX"/>
    </w:rPr>
  </w:style>
  <w:style w:type="paragraph" w:customStyle="1" w:styleId="Style1">
    <w:name w:val="Style 1"/>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MX"/>
    </w:rPr>
  </w:style>
  <w:style w:type="paragraph" w:customStyle="1" w:styleId="Style22">
    <w:name w:val="Style 22"/>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0" w:lineRule="auto"/>
      <w:ind w:left="792" w:hanging="360"/>
    </w:pPr>
    <w:rPr>
      <w:rFonts w:eastAsia="Times New Roman"/>
      <w:sz w:val="23"/>
      <w:szCs w:val="23"/>
      <w:bdr w:val="none" w:sz="0" w:space="0" w:color="auto"/>
      <w:lang w:eastAsia="es-MX"/>
    </w:rPr>
  </w:style>
  <w:style w:type="paragraph" w:customStyle="1" w:styleId="Style3">
    <w:name w:val="Style 3"/>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88"/>
      <w:ind w:right="576"/>
      <w:jc w:val="both"/>
    </w:pPr>
    <w:rPr>
      <w:rFonts w:ascii="Bookman Old Style" w:eastAsia="Times New Roman" w:hAnsi="Bookman Old Style" w:cs="Bookman Old Style"/>
      <w:sz w:val="22"/>
      <w:szCs w:val="22"/>
      <w:bdr w:val="none" w:sz="0" w:space="0" w:color="auto"/>
      <w:lang w:eastAsia="es-MX"/>
    </w:rPr>
  </w:style>
  <w:style w:type="character" w:styleId="Emphasis">
    <w:name w:val="Emphasis"/>
    <w:uiPriority w:val="20"/>
    <w:qFormat/>
    <w:rsid w:val="00E464AC"/>
    <w:rPr>
      <w:i/>
      <w:iCs/>
    </w:rPr>
  </w:style>
  <w:style w:type="character" w:customStyle="1" w:styleId="l1">
    <w:name w:val="l1"/>
    <w:basedOn w:val="DefaultParagraphFont"/>
    <w:rsid w:val="003F2388"/>
  </w:style>
  <w:style w:type="character" w:customStyle="1" w:styleId="l2">
    <w:name w:val="l2"/>
    <w:basedOn w:val="DefaultParagraphFont"/>
    <w:rsid w:val="003F2388"/>
  </w:style>
  <w:style w:type="character" w:customStyle="1" w:styleId="CharacterStyle14">
    <w:name w:val="Character Style 14"/>
    <w:uiPriority w:val="99"/>
    <w:rsid w:val="007A7DB5"/>
    <w:rPr>
      <w:rFonts w:ascii="Bookman Old Style" w:hAnsi="Bookman Old Style" w:cs="Bookman Old Style"/>
      <w:sz w:val="23"/>
      <w:szCs w:val="23"/>
    </w:rPr>
  </w:style>
  <w:style w:type="character" w:customStyle="1" w:styleId="CharacterStyle11">
    <w:name w:val="Character Style 11"/>
    <w:uiPriority w:val="99"/>
    <w:rsid w:val="00E04C62"/>
    <w:rPr>
      <w:i/>
      <w:iCs/>
      <w:sz w:val="23"/>
      <w:szCs w:val="23"/>
    </w:rPr>
  </w:style>
  <w:style w:type="paragraph" w:customStyle="1" w:styleId="Style28">
    <w:name w:val="Style 28"/>
    <w:basedOn w:val="Normal"/>
    <w:uiPriority w:val="99"/>
    <w:rsid w:val="00BB03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heme="minorEastAsia"/>
      <w:sz w:val="22"/>
      <w:szCs w:val="22"/>
      <w:bdr w:val="none" w:sz="0" w:space="0" w:color="auto"/>
    </w:rPr>
  </w:style>
  <w:style w:type="paragraph" w:customStyle="1" w:styleId="Style29">
    <w:name w:val="Style 29"/>
    <w:basedOn w:val="Normal"/>
    <w:uiPriority w:val="99"/>
    <w:rsid w:val="00BB03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heme="minorEastAsia"/>
      <w:i/>
      <w:iCs/>
      <w:sz w:val="23"/>
      <w:szCs w:val="23"/>
      <w:bdr w:val="none" w:sz="0" w:space="0" w:color="auto"/>
    </w:rPr>
  </w:style>
  <w:style w:type="paragraph" w:customStyle="1" w:styleId="Style32">
    <w:name w:val="Style 32"/>
    <w:basedOn w:val="Normal"/>
    <w:uiPriority w:val="99"/>
    <w:rsid w:val="00BB03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heme="minorEastAsia"/>
      <w:i/>
      <w:iCs/>
      <w:sz w:val="22"/>
      <w:szCs w:val="22"/>
      <w:bdr w:val="none" w:sz="0" w:space="0" w:color="auto"/>
    </w:rPr>
  </w:style>
  <w:style w:type="paragraph" w:customStyle="1" w:styleId="Style33">
    <w:name w:val="Style 33"/>
    <w:basedOn w:val="Normal"/>
    <w:uiPriority w:val="99"/>
    <w:rsid w:val="00BB03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6" w:line="156" w:lineRule="exact"/>
      <w:ind w:right="72"/>
      <w:jc w:val="right"/>
    </w:pPr>
    <w:rPr>
      <w:rFonts w:eastAsiaTheme="minorEastAsia"/>
      <w:sz w:val="21"/>
      <w:szCs w:val="21"/>
      <w:bdr w:val="none" w:sz="0" w:space="0" w:color="auto"/>
    </w:rPr>
  </w:style>
  <w:style w:type="character" w:customStyle="1" w:styleId="CharacterStyle10">
    <w:name w:val="Character Style 10"/>
    <w:uiPriority w:val="99"/>
    <w:rsid w:val="00BB0323"/>
    <w:rPr>
      <w:sz w:val="22"/>
      <w:szCs w:val="22"/>
    </w:rPr>
  </w:style>
  <w:style w:type="character" w:customStyle="1" w:styleId="CharacterStyle12">
    <w:name w:val="Character Style 12"/>
    <w:uiPriority w:val="99"/>
    <w:rsid w:val="00BB0323"/>
    <w:rPr>
      <w:i/>
      <w:iCs/>
      <w:sz w:val="22"/>
      <w:szCs w:val="22"/>
    </w:rPr>
  </w:style>
  <w:style w:type="character" w:customStyle="1" w:styleId="CharacterStyle13">
    <w:name w:val="Character Style 13"/>
    <w:uiPriority w:val="99"/>
    <w:rsid w:val="00BB0323"/>
    <w:rPr>
      <w:sz w:val="21"/>
      <w:szCs w:val="21"/>
    </w:rPr>
  </w:style>
  <w:style w:type="numbering" w:customStyle="1" w:styleId="List481">
    <w:name w:val="List 481"/>
    <w:basedOn w:val="Estiloimportado43"/>
    <w:rsid w:val="00E1480C"/>
  </w:style>
  <w:style w:type="paragraph" w:customStyle="1" w:styleId="footnote">
    <w:name w:val="footnote"/>
    <w:basedOn w:val="NormalWeb"/>
    <w:autoRedefine/>
    <w:rsid w:val="005F4025"/>
    <w:pPr>
      <w:spacing w:before="0" w:beforeAutospacing="0" w:after="40" w:afterAutospacing="0"/>
      <w:jc w:val="both"/>
    </w:pPr>
    <w:rPr>
      <w:rFonts w:ascii="Calibri" w:eastAsia="Times New Roman" w:hAnsi="Calibri" w:cs="Univers"/>
      <w:sz w:val="16"/>
      <w:szCs w:val="16"/>
      <w:lang w:val="es-MX" w:eastAsia="zh-CN"/>
    </w:rPr>
  </w:style>
  <w:style w:type="character" w:customStyle="1" w:styleId="Heading6Char">
    <w:name w:val="Heading 6 Char"/>
    <w:basedOn w:val="DefaultParagraphFont"/>
    <w:link w:val="Heading6"/>
    <w:uiPriority w:val="9"/>
    <w:rsid w:val="00D550AD"/>
    <w:rPr>
      <w:rFonts w:ascii="Verdana" w:eastAsia="Times New Roman" w:hAnsi="Verdana" w:cs="Times New Roman"/>
      <w:spacing w:val="-2"/>
      <w:sz w:val="20"/>
      <w:szCs w:val="20"/>
      <w:lang w:val="es-ES_tradnl" w:eastAsia="x-none"/>
    </w:rPr>
  </w:style>
  <w:style w:type="character" w:customStyle="1" w:styleId="spelle">
    <w:name w:val="spelle"/>
    <w:basedOn w:val="DefaultParagraphFont"/>
    <w:rsid w:val="008345A4"/>
  </w:style>
  <w:style w:type="paragraph" w:styleId="Revision">
    <w:name w:val="Revision"/>
    <w:hidden/>
    <w:uiPriority w:val="99"/>
    <w:semiHidden/>
    <w:rsid w:val="00B66E4C"/>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32736">
      <w:bodyDiv w:val="1"/>
      <w:marLeft w:val="0"/>
      <w:marRight w:val="0"/>
      <w:marTop w:val="0"/>
      <w:marBottom w:val="0"/>
      <w:divBdr>
        <w:top w:val="none" w:sz="0" w:space="0" w:color="auto"/>
        <w:left w:val="none" w:sz="0" w:space="0" w:color="auto"/>
        <w:bottom w:val="none" w:sz="0" w:space="0" w:color="auto"/>
        <w:right w:val="none" w:sz="0" w:space="0" w:color="auto"/>
      </w:divBdr>
    </w:div>
    <w:div w:id="392199140">
      <w:bodyDiv w:val="1"/>
      <w:marLeft w:val="0"/>
      <w:marRight w:val="0"/>
      <w:marTop w:val="0"/>
      <w:marBottom w:val="0"/>
      <w:divBdr>
        <w:top w:val="none" w:sz="0" w:space="0" w:color="auto"/>
        <w:left w:val="none" w:sz="0" w:space="0" w:color="auto"/>
        <w:bottom w:val="none" w:sz="0" w:space="0" w:color="auto"/>
        <w:right w:val="none" w:sz="0" w:space="0" w:color="auto"/>
      </w:divBdr>
    </w:div>
    <w:div w:id="612520948">
      <w:bodyDiv w:val="1"/>
      <w:marLeft w:val="0"/>
      <w:marRight w:val="0"/>
      <w:marTop w:val="0"/>
      <w:marBottom w:val="0"/>
      <w:divBdr>
        <w:top w:val="none" w:sz="0" w:space="0" w:color="auto"/>
        <w:left w:val="none" w:sz="0" w:space="0" w:color="auto"/>
        <w:bottom w:val="none" w:sz="0" w:space="0" w:color="auto"/>
        <w:right w:val="none" w:sz="0" w:space="0" w:color="auto"/>
      </w:divBdr>
    </w:div>
    <w:div w:id="622229182">
      <w:bodyDiv w:val="1"/>
      <w:marLeft w:val="0"/>
      <w:marRight w:val="0"/>
      <w:marTop w:val="0"/>
      <w:marBottom w:val="0"/>
      <w:divBdr>
        <w:top w:val="none" w:sz="0" w:space="0" w:color="auto"/>
        <w:left w:val="none" w:sz="0" w:space="0" w:color="auto"/>
        <w:bottom w:val="none" w:sz="0" w:space="0" w:color="auto"/>
        <w:right w:val="none" w:sz="0" w:space="0" w:color="auto"/>
      </w:divBdr>
    </w:div>
    <w:div w:id="636839617">
      <w:bodyDiv w:val="1"/>
      <w:marLeft w:val="0"/>
      <w:marRight w:val="0"/>
      <w:marTop w:val="0"/>
      <w:marBottom w:val="0"/>
      <w:divBdr>
        <w:top w:val="none" w:sz="0" w:space="0" w:color="auto"/>
        <w:left w:val="none" w:sz="0" w:space="0" w:color="auto"/>
        <w:bottom w:val="none" w:sz="0" w:space="0" w:color="auto"/>
        <w:right w:val="none" w:sz="0" w:space="0" w:color="auto"/>
      </w:divBdr>
    </w:div>
    <w:div w:id="771054077">
      <w:bodyDiv w:val="1"/>
      <w:marLeft w:val="0"/>
      <w:marRight w:val="0"/>
      <w:marTop w:val="0"/>
      <w:marBottom w:val="0"/>
      <w:divBdr>
        <w:top w:val="none" w:sz="0" w:space="0" w:color="auto"/>
        <w:left w:val="none" w:sz="0" w:space="0" w:color="auto"/>
        <w:bottom w:val="none" w:sz="0" w:space="0" w:color="auto"/>
        <w:right w:val="none" w:sz="0" w:space="0" w:color="auto"/>
      </w:divBdr>
    </w:div>
    <w:div w:id="845218297">
      <w:bodyDiv w:val="1"/>
      <w:marLeft w:val="0"/>
      <w:marRight w:val="0"/>
      <w:marTop w:val="0"/>
      <w:marBottom w:val="0"/>
      <w:divBdr>
        <w:top w:val="none" w:sz="0" w:space="0" w:color="auto"/>
        <w:left w:val="none" w:sz="0" w:space="0" w:color="auto"/>
        <w:bottom w:val="none" w:sz="0" w:space="0" w:color="auto"/>
        <w:right w:val="none" w:sz="0" w:space="0" w:color="auto"/>
      </w:divBdr>
    </w:div>
    <w:div w:id="893931800">
      <w:bodyDiv w:val="1"/>
      <w:marLeft w:val="0"/>
      <w:marRight w:val="0"/>
      <w:marTop w:val="0"/>
      <w:marBottom w:val="0"/>
      <w:divBdr>
        <w:top w:val="none" w:sz="0" w:space="0" w:color="auto"/>
        <w:left w:val="none" w:sz="0" w:space="0" w:color="auto"/>
        <w:bottom w:val="none" w:sz="0" w:space="0" w:color="auto"/>
        <w:right w:val="none" w:sz="0" w:space="0" w:color="auto"/>
      </w:divBdr>
    </w:div>
    <w:div w:id="997002763">
      <w:bodyDiv w:val="1"/>
      <w:marLeft w:val="0"/>
      <w:marRight w:val="0"/>
      <w:marTop w:val="0"/>
      <w:marBottom w:val="0"/>
      <w:divBdr>
        <w:top w:val="none" w:sz="0" w:space="0" w:color="auto"/>
        <w:left w:val="none" w:sz="0" w:space="0" w:color="auto"/>
        <w:bottom w:val="none" w:sz="0" w:space="0" w:color="auto"/>
        <w:right w:val="none" w:sz="0" w:space="0" w:color="auto"/>
      </w:divBdr>
    </w:div>
    <w:div w:id="1206259288">
      <w:bodyDiv w:val="1"/>
      <w:marLeft w:val="0"/>
      <w:marRight w:val="0"/>
      <w:marTop w:val="0"/>
      <w:marBottom w:val="0"/>
      <w:divBdr>
        <w:top w:val="none" w:sz="0" w:space="0" w:color="auto"/>
        <w:left w:val="none" w:sz="0" w:space="0" w:color="auto"/>
        <w:bottom w:val="none" w:sz="0" w:space="0" w:color="auto"/>
        <w:right w:val="none" w:sz="0" w:space="0" w:color="auto"/>
      </w:divBdr>
    </w:div>
    <w:div w:id="1245651063">
      <w:bodyDiv w:val="1"/>
      <w:marLeft w:val="0"/>
      <w:marRight w:val="0"/>
      <w:marTop w:val="0"/>
      <w:marBottom w:val="0"/>
      <w:divBdr>
        <w:top w:val="none" w:sz="0" w:space="0" w:color="auto"/>
        <w:left w:val="none" w:sz="0" w:space="0" w:color="auto"/>
        <w:bottom w:val="none" w:sz="0" w:space="0" w:color="auto"/>
        <w:right w:val="none" w:sz="0" w:space="0" w:color="auto"/>
      </w:divBdr>
    </w:div>
    <w:div w:id="1580869344">
      <w:bodyDiv w:val="1"/>
      <w:marLeft w:val="0"/>
      <w:marRight w:val="0"/>
      <w:marTop w:val="0"/>
      <w:marBottom w:val="0"/>
      <w:divBdr>
        <w:top w:val="none" w:sz="0" w:space="0" w:color="auto"/>
        <w:left w:val="none" w:sz="0" w:space="0" w:color="auto"/>
        <w:bottom w:val="none" w:sz="0" w:space="0" w:color="auto"/>
        <w:right w:val="none" w:sz="0" w:space="0" w:color="auto"/>
      </w:divBdr>
    </w:div>
    <w:div w:id="1734548890">
      <w:bodyDiv w:val="1"/>
      <w:marLeft w:val="0"/>
      <w:marRight w:val="0"/>
      <w:marTop w:val="0"/>
      <w:marBottom w:val="0"/>
      <w:divBdr>
        <w:top w:val="none" w:sz="0" w:space="0" w:color="auto"/>
        <w:left w:val="none" w:sz="0" w:space="0" w:color="auto"/>
        <w:bottom w:val="none" w:sz="0" w:space="0" w:color="auto"/>
        <w:right w:val="none" w:sz="0" w:space="0" w:color="auto"/>
      </w:divBdr>
    </w:div>
    <w:div w:id="1828132956">
      <w:bodyDiv w:val="1"/>
      <w:marLeft w:val="0"/>
      <w:marRight w:val="0"/>
      <w:marTop w:val="0"/>
      <w:marBottom w:val="0"/>
      <w:divBdr>
        <w:top w:val="none" w:sz="0" w:space="0" w:color="auto"/>
        <w:left w:val="none" w:sz="0" w:space="0" w:color="auto"/>
        <w:bottom w:val="none" w:sz="0" w:space="0" w:color="auto"/>
        <w:right w:val="none" w:sz="0" w:space="0" w:color="auto"/>
      </w:divBdr>
    </w:div>
    <w:div w:id="2130665919">
      <w:bodyDiv w:val="1"/>
      <w:marLeft w:val="0"/>
      <w:marRight w:val="0"/>
      <w:marTop w:val="0"/>
      <w:marBottom w:val="0"/>
      <w:divBdr>
        <w:top w:val="none" w:sz="0" w:space="0" w:color="auto"/>
        <w:left w:val="none" w:sz="0" w:space="0" w:color="auto"/>
        <w:bottom w:val="none" w:sz="0" w:space="0" w:color="auto"/>
        <w:right w:val="none" w:sz="0" w:space="0" w:color="auto"/>
      </w:divBdr>
      <w:divsChild>
        <w:div w:id="1396006738">
          <w:marLeft w:val="0"/>
          <w:marRight w:val="0"/>
          <w:marTop w:val="0"/>
          <w:marBottom w:val="0"/>
          <w:divBdr>
            <w:top w:val="none" w:sz="0" w:space="0" w:color="auto"/>
            <w:left w:val="none" w:sz="0" w:space="0" w:color="auto"/>
            <w:bottom w:val="none" w:sz="0" w:space="0" w:color="auto"/>
            <w:right w:val="none" w:sz="0" w:space="0" w:color="auto"/>
          </w:divBdr>
          <w:divsChild>
            <w:div w:id="446319273">
              <w:marLeft w:val="0"/>
              <w:marRight w:val="0"/>
              <w:marTop w:val="0"/>
              <w:marBottom w:val="0"/>
              <w:divBdr>
                <w:top w:val="none" w:sz="0" w:space="0" w:color="auto"/>
                <w:left w:val="none" w:sz="0" w:space="0" w:color="auto"/>
                <w:bottom w:val="none" w:sz="0" w:space="0" w:color="auto"/>
                <w:right w:val="none" w:sz="0" w:space="0" w:color="auto"/>
              </w:divBdr>
              <w:divsChild>
                <w:div w:id="2139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expresion/docs/informes/anuales/Informe%20Anual%202009%201%20ESP.pdf" TargetMode="External"/><Relationship Id="rId13" Type="http://schemas.openxmlformats.org/officeDocument/2006/relationships/hyperlink" Target="http://www.oas.org/es/cidh/expresion/docs/informes/anuales/Informe%20Anual%202009%201%20ESP.pdf" TargetMode="External"/><Relationship Id="rId3" Type="http://schemas.openxmlformats.org/officeDocument/2006/relationships/hyperlink" Target="http://www.oas.org/es/cidh/expresion/docs/informes/anuales/Informe%20Anual%202004.pdf" TargetMode="External"/><Relationship Id="rId7" Type="http://schemas.openxmlformats.org/officeDocument/2006/relationships/hyperlink" Target="http://www.oas.org/es/cidh/expresion/docs/informes/anuales/Informe%20Anual%202009%201%20ESP.pdf" TargetMode="External"/><Relationship Id="rId12" Type="http://schemas.openxmlformats.org/officeDocument/2006/relationships/hyperlink" Target="http://www.oas.org/es/cidh/expresion/docs/informes/anuales/Informe%20Anual%202009%201%20ESP.pdf" TargetMode="External"/><Relationship Id="rId2" Type="http://schemas.openxmlformats.org/officeDocument/2006/relationships/hyperlink" Target="http://www.cidh.oas.org/annualrep/94span/indice.htm" TargetMode="External"/><Relationship Id="rId16" Type="http://schemas.openxmlformats.org/officeDocument/2006/relationships/hyperlink" Target="http://www.oas.org/es/cidh/expresion/docs/informes/anuales/Informe%20Anual%202004.pdf" TargetMode="External"/><Relationship Id="rId1" Type="http://schemas.openxmlformats.org/officeDocument/2006/relationships/hyperlink" Target="http://www.oas.org/es/cidh/expresion/docs/informes/anuales/Informe%20Anual%202009%201%20ESP.pdf" TargetMode="External"/><Relationship Id="rId6" Type="http://schemas.openxmlformats.org/officeDocument/2006/relationships/hyperlink" Target="http://www.cidh.oas.org/basicos/basicos13.htm" TargetMode="External"/><Relationship Id="rId11" Type="http://schemas.openxmlformats.org/officeDocument/2006/relationships/hyperlink" Target="http://www.oas.org/es/cidh/expresion/docs/informes/anuales/Informe%20Anual%202009%201%20ESP.pdf" TargetMode="External"/><Relationship Id="rId5" Type="http://schemas.openxmlformats.org/officeDocument/2006/relationships/hyperlink" Target="http://www.oas.org/es/cidh/expresion/docs/informes/anuales/Informe%20Anual%202009%201%20ESP.pdf" TargetMode="External"/><Relationship Id="rId15" Type="http://schemas.openxmlformats.org/officeDocument/2006/relationships/hyperlink" Target="http://www.oas.org/es/cidh/expresion/docs/informes/anuales/Informe%20Anual%202009%201%20ESP.pdf" TargetMode="External"/><Relationship Id="rId10" Type="http://schemas.openxmlformats.org/officeDocument/2006/relationships/hyperlink" Target="http://www.oas.org/es/cidh/expresion/docs/informes/anuales/Informe%20Anual%202004.pdf" TargetMode="External"/><Relationship Id="rId4" Type="http://schemas.openxmlformats.org/officeDocument/2006/relationships/hyperlink" Target="http://www.oas.org/es/cidh/expresion/docs/informes/anuales/Informe%20Anual%202009%201%20ESP.pdf" TargetMode="External"/><Relationship Id="rId9" Type="http://schemas.openxmlformats.org/officeDocument/2006/relationships/hyperlink" Target="http://www.oas.org/es/cidh/expresion/docs/informes/anuales/Informe%20Anual%202009%201%20ESP.pdf" TargetMode="External"/><Relationship Id="rId14" Type="http://schemas.openxmlformats.org/officeDocument/2006/relationships/hyperlink" Target="http://www.oas.org/es/cidh/expresion/docs/informes/anuales/Informe%20Anual%202009%201%20ES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AFEB0-CE41-4CAA-A697-99B32A6C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15036</Words>
  <Characters>85711</Characters>
  <Application>Microsoft Office Word</Application>
  <DocSecurity>0</DocSecurity>
  <Lines>714</Lines>
  <Paragraphs>201</Paragraphs>
  <ScaleCrop>false</ScaleCrop>
  <Company/>
  <LinksUpToDate>false</LinksUpToDate>
  <CharactersWithSpaces>100546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2020-11-03T16:16:00Z</dcterms:created>
  <dcterms:modified xsi:type="dcterms:W3CDTF">2020-11-03T16:16:00Z</dcterms:modified>
</cp:coreProperties>
</file>