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A94CC" w14:textId="77777777" w:rsidR="00D70A2A" w:rsidRPr="00ED541F" w:rsidRDefault="00D70A2A" w:rsidP="00D70A2A">
      <w:pPr>
        <w:jc w:val="both"/>
        <w:rPr>
          <w:rFonts w:ascii="Cambria" w:hAnsi="Cambria" w:cs="Univers"/>
          <w:b/>
          <w:bCs/>
          <w:lang w:val="es-ES_tradnl"/>
        </w:rPr>
      </w:pPr>
      <w:r w:rsidRPr="00ED541F">
        <w:rPr>
          <w:rFonts w:ascii="Cambria" w:hAnsi="Cambria"/>
          <w:noProof/>
          <w:lang w:val="en-US" w:eastAsia="en-US"/>
        </w:rPr>
        <mc:AlternateContent>
          <mc:Choice Requires="wps">
            <w:drawing>
              <wp:anchor distT="0" distB="0" distL="114300" distR="114300" simplePos="0" relativeHeight="251659264" behindDoc="0" locked="0" layoutInCell="1" allowOverlap="1" wp14:anchorId="4BAE8DA6" wp14:editId="027CF62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6EE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ED541F">
        <w:rPr>
          <w:rFonts w:ascii="Cambria" w:hAnsi="Cambria"/>
          <w:noProof/>
          <w:lang w:val="en-US" w:eastAsia="en-US"/>
        </w:rPr>
        <mc:AlternateContent>
          <mc:Choice Requires="wps">
            <w:drawing>
              <wp:anchor distT="0" distB="0" distL="114300" distR="114300" simplePos="0" relativeHeight="251663360" behindDoc="0" locked="0" layoutInCell="1" allowOverlap="1" wp14:anchorId="0EFB9EF2" wp14:editId="660D5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5F809" w14:textId="77777777" w:rsidR="00A61DD8" w:rsidRDefault="00A61DD8" w:rsidP="00D70A2A">
                            <w:r>
                              <w:rPr>
                                <w:noProof/>
                                <w:lang w:val="en-US" w:eastAsia="en-US"/>
                              </w:rPr>
                              <w:drawing>
                                <wp:inline distT="0" distB="0" distL="0" distR="0" wp14:anchorId="4F31726F" wp14:editId="36FFFA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9EF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5C5F809" w14:textId="77777777" w:rsidR="00A61DD8" w:rsidRDefault="00A61DD8" w:rsidP="00D70A2A">
                      <w:r>
                        <w:rPr>
                          <w:noProof/>
                          <w:lang w:val="en-US" w:eastAsia="en-US"/>
                        </w:rPr>
                        <w:drawing>
                          <wp:inline distT="0" distB="0" distL="0" distR="0" wp14:anchorId="4F31726F" wp14:editId="36FFFA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C7AF761" w14:textId="77777777" w:rsidR="00D70A2A" w:rsidRPr="00ED541F" w:rsidRDefault="00D70A2A" w:rsidP="00D70A2A">
      <w:pPr>
        <w:tabs>
          <w:tab w:val="center" w:pos="5400"/>
        </w:tabs>
        <w:suppressAutoHyphens/>
        <w:jc w:val="both"/>
        <w:rPr>
          <w:rFonts w:ascii="Cambria" w:hAnsi="Cambria"/>
        </w:rPr>
      </w:pPr>
    </w:p>
    <w:p w14:paraId="54711097" w14:textId="77777777" w:rsidR="00D70A2A" w:rsidRPr="00ED541F" w:rsidRDefault="00D70A2A" w:rsidP="00D70A2A">
      <w:pPr>
        <w:tabs>
          <w:tab w:val="center" w:pos="5400"/>
        </w:tabs>
        <w:suppressAutoHyphens/>
        <w:jc w:val="both"/>
        <w:rPr>
          <w:rFonts w:ascii="Cambria" w:hAnsi="Cambria"/>
        </w:rPr>
      </w:pPr>
    </w:p>
    <w:p w14:paraId="109659AF" w14:textId="77777777" w:rsidR="00D70A2A" w:rsidRPr="00ED541F" w:rsidRDefault="00D70A2A" w:rsidP="00D70A2A">
      <w:pPr>
        <w:tabs>
          <w:tab w:val="center" w:pos="5400"/>
        </w:tabs>
        <w:suppressAutoHyphens/>
        <w:rPr>
          <w:rFonts w:ascii="Cambria" w:hAnsi="Cambria"/>
          <w:lang w:val="es-ES_tradnl"/>
        </w:rPr>
      </w:pPr>
    </w:p>
    <w:p w14:paraId="72FB4678" w14:textId="77777777" w:rsidR="00D70A2A" w:rsidRPr="00ED541F" w:rsidRDefault="00D70A2A" w:rsidP="00D70A2A">
      <w:pPr>
        <w:tabs>
          <w:tab w:val="center" w:pos="5400"/>
        </w:tabs>
        <w:suppressAutoHyphens/>
        <w:rPr>
          <w:rFonts w:ascii="Cambria" w:hAnsi="Cambria"/>
          <w:lang w:val="es-ES_tradnl"/>
        </w:rPr>
      </w:pPr>
    </w:p>
    <w:p w14:paraId="2CCB56C4" w14:textId="77777777" w:rsidR="00D70A2A" w:rsidRPr="00ED541F" w:rsidRDefault="00D70A2A" w:rsidP="00D70A2A">
      <w:pPr>
        <w:tabs>
          <w:tab w:val="center" w:pos="5400"/>
        </w:tabs>
        <w:suppressAutoHyphens/>
        <w:rPr>
          <w:rFonts w:ascii="Cambria" w:hAnsi="Cambria"/>
          <w:lang w:val="es-ES_tradnl"/>
        </w:rPr>
      </w:pPr>
    </w:p>
    <w:p w14:paraId="0FCC69B5" w14:textId="77777777" w:rsidR="00D70A2A" w:rsidRPr="00ED541F" w:rsidRDefault="00D70A2A" w:rsidP="00D70A2A">
      <w:pPr>
        <w:tabs>
          <w:tab w:val="center" w:pos="5400"/>
        </w:tabs>
        <w:suppressAutoHyphens/>
        <w:jc w:val="center"/>
        <w:rPr>
          <w:rFonts w:ascii="Cambria" w:hAnsi="Cambria"/>
          <w:lang w:val="es-ES_tradnl"/>
        </w:rPr>
      </w:pPr>
    </w:p>
    <w:p w14:paraId="300009B0" w14:textId="77777777" w:rsidR="00D70A2A" w:rsidRPr="00ED541F" w:rsidRDefault="00D70A2A" w:rsidP="00D70A2A">
      <w:pPr>
        <w:tabs>
          <w:tab w:val="center" w:pos="5400"/>
        </w:tabs>
        <w:suppressAutoHyphens/>
        <w:jc w:val="center"/>
        <w:rPr>
          <w:rFonts w:ascii="Cambria" w:hAnsi="Cambria"/>
          <w:lang w:val="es-ES_tradnl"/>
        </w:rPr>
      </w:pPr>
    </w:p>
    <w:p w14:paraId="0C8082FA" w14:textId="77777777" w:rsidR="00D70A2A" w:rsidRPr="00ED541F" w:rsidRDefault="00D70A2A" w:rsidP="00D70A2A">
      <w:pPr>
        <w:tabs>
          <w:tab w:val="center" w:pos="5400"/>
        </w:tabs>
        <w:suppressAutoHyphens/>
        <w:jc w:val="center"/>
        <w:rPr>
          <w:rFonts w:ascii="Cambria" w:hAnsi="Cambria"/>
          <w:lang w:val="es-ES_tradnl"/>
        </w:rPr>
      </w:pPr>
    </w:p>
    <w:p w14:paraId="392D62B9" w14:textId="77777777" w:rsidR="00D70A2A" w:rsidRPr="00ED541F" w:rsidRDefault="00D70A2A" w:rsidP="00D70A2A">
      <w:pPr>
        <w:tabs>
          <w:tab w:val="center" w:pos="5400"/>
        </w:tabs>
        <w:suppressAutoHyphens/>
        <w:jc w:val="center"/>
        <w:rPr>
          <w:rFonts w:ascii="Cambria" w:hAnsi="Cambria"/>
          <w:lang w:val="es-ES_tradnl"/>
        </w:rPr>
      </w:pPr>
    </w:p>
    <w:p w14:paraId="1D312C00" w14:textId="77777777" w:rsidR="00D70A2A" w:rsidRPr="00ED541F" w:rsidRDefault="00D70A2A" w:rsidP="00D70A2A">
      <w:pPr>
        <w:tabs>
          <w:tab w:val="center" w:pos="5400"/>
        </w:tabs>
        <w:suppressAutoHyphens/>
        <w:jc w:val="center"/>
        <w:rPr>
          <w:rFonts w:ascii="Cambria" w:hAnsi="Cambria"/>
          <w:lang w:val="es-ES_tradnl"/>
        </w:rPr>
      </w:pPr>
    </w:p>
    <w:p w14:paraId="0271B8D9" w14:textId="77777777" w:rsidR="00D70A2A" w:rsidRPr="00ED541F" w:rsidRDefault="00D70A2A" w:rsidP="00D70A2A">
      <w:pPr>
        <w:tabs>
          <w:tab w:val="center" w:pos="5400"/>
        </w:tabs>
        <w:suppressAutoHyphens/>
        <w:jc w:val="center"/>
        <w:rPr>
          <w:rFonts w:ascii="Cambria" w:hAnsi="Cambria"/>
          <w:lang w:val="es-ES_tradnl"/>
        </w:rPr>
      </w:pPr>
    </w:p>
    <w:p w14:paraId="5FCCFCD3" w14:textId="77777777" w:rsidR="00D70A2A" w:rsidRPr="00ED541F" w:rsidRDefault="00D70A2A" w:rsidP="00D70A2A">
      <w:pPr>
        <w:tabs>
          <w:tab w:val="center" w:pos="5400"/>
        </w:tabs>
        <w:suppressAutoHyphens/>
        <w:jc w:val="center"/>
        <w:rPr>
          <w:rFonts w:ascii="Cambria" w:hAnsi="Cambria"/>
          <w:lang w:val="es-ES_tradnl"/>
        </w:rPr>
      </w:pPr>
    </w:p>
    <w:p w14:paraId="560C19FF" w14:textId="77777777" w:rsidR="00D70A2A" w:rsidRPr="00ED541F" w:rsidRDefault="00D70A2A" w:rsidP="00D70A2A">
      <w:pPr>
        <w:tabs>
          <w:tab w:val="center" w:pos="5400"/>
        </w:tabs>
        <w:suppressAutoHyphens/>
        <w:jc w:val="center"/>
        <w:rPr>
          <w:rFonts w:ascii="Cambria" w:hAnsi="Cambria"/>
          <w:lang w:val="es-ES_tradnl"/>
        </w:rPr>
      </w:pPr>
      <w:r w:rsidRPr="00ED541F">
        <w:rPr>
          <w:rFonts w:ascii="Cambria" w:hAnsi="Cambria"/>
          <w:noProof/>
          <w:lang w:val="en-US" w:eastAsia="en-US"/>
        </w:rPr>
        <mc:AlternateContent>
          <mc:Choice Requires="wps">
            <w:drawing>
              <wp:anchor distT="0" distB="0" distL="114300" distR="114300" simplePos="0" relativeHeight="251660288" behindDoc="0" locked="0" layoutInCell="1" allowOverlap="1" wp14:anchorId="27FE8270" wp14:editId="69DED1F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A4888" w14:textId="0A6F617C" w:rsidR="00A61DD8" w:rsidRPr="001E1ED6" w:rsidRDefault="00A61DD8" w:rsidP="00D70A2A">
                            <w:pPr>
                              <w:spacing w:line="276" w:lineRule="auto"/>
                              <w:rPr>
                                <w:rFonts w:ascii="Cambria" w:hAnsi="Cambria" w:cs="Arial"/>
                                <w:b/>
                                <w:bCs/>
                                <w:color w:val="0D0D0D" w:themeColor="text1" w:themeTint="F2"/>
                                <w:sz w:val="36"/>
                                <w:szCs w:val="22"/>
                                <w:lang w:val="pt-BR"/>
                              </w:rPr>
                            </w:pPr>
                            <w:r w:rsidRPr="001E1ED6">
                              <w:rPr>
                                <w:rFonts w:ascii="Cambria" w:hAnsi="Cambria" w:cs="Arial"/>
                                <w:b/>
                                <w:bCs/>
                                <w:color w:val="0D0D0D" w:themeColor="text1" w:themeTint="F2"/>
                                <w:sz w:val="36"/>
                                <w:szCs w:val="22"/>
                                <w:lang w:val="pt-BR"/>
                              </w:rPr>
                              <w:t xml:space="preserve">INFORME </w:t>
                            </w:r>
                            <w:r w:rsidRPr="001E1ED6">
                              <w:rPr>
                                <w:rFonts w:ascii="Cambria" w:hAnsi="Cambria" w:cs="Arial"/>
                                <w:b/>
                                <w:bCs/>
                                <w:color w:val="0D0D0D" w:themeColor="text1" w:themeTint="F2"/>
                                <w:sz w:val="36"/>
                                <w:szCs w:val="40"/>
                                <w:lang w:val="pt-BR"/>
                              </w:rPr>
                              <w:t>No.</w:t>
                            </w:r>
                            <w:r>
                              <w:rPr>
                                <w:rFonts w:ascii="Cambria" w:hAnsi="Cambria" w:cs="Arial"/>
                                <w:b/>
                                <w:bCs/>
                                <w:color w:val="0D0D0D" w:themeColor="text1" w:themeTint="F2"/>
                                <w:sz w:val="36"/>
                                <w:szCs w:val="22"/>
                                <w:lang w:val="pt-BR"/>
                              </w:rPr>
                              <w:t xml:space="preserve"> 63/18</w:t>
                            </w:r>
                          </w:p>
                          <w:p w14:paraId="122D4CC5" w14:textId="163DB692" w:rsidR="00A61DD8" w:rsidRPr="001E1ED6" w:rsidRDefault="00A61DD8" w:rsidP="00D70A2A">
                            <w:pPr>
                              <w:spacing w:line="276" w:lineRule="auto"/>
                              <w:rPr>
                                <w:rFonts w:ascii="Cambria" w:hAnsi="Cambria" w:cs="Arial"/>
                                <w:b/>
                                <w:color w:val="0D0D0D" w:themeColor="text1" w:themeTint="F2"/>
                                <w:sz w:val="36"/>
                                <w:szCs w:val="22"/>
                                <w:lang w:val="pt-BR"/>
                              </w:rPr>
                            </w:pPr>
                            <w:r>
                              <w:rPr>
                                <w:rFonts w:ascii="Cambria" w:hAnsi="Cambria" w:cs="Arial"/>
                                <w:b/>
                                <w:color w:val="0D0D0D" w:themeColor="text1" w:themeTint="F2"/>
                                <w:sz w:val="36"/>
                                <w:szCs w:val="22"/>
                                <w:lang w:val="pt-BR"/>
                              </w:rPr>
                              <w:t>CASO 12.593</w:t>
                            </w:r>
                          </w:p>
                          <w:p w14:paraId="6EE6E05B" w14:textId="77777777" w:rsidR="00A61DD8" w:rsidRPr="007D7E8D" w:rsidRDefault="00A61DD8" w:rsidP="00D70A2A">
                            <w:pPr>
                              <w:spacing w:line="276" w:lineRule="auto"/>
                              <w:rPr>
                                <w:rFonts w:ascii="Cambria" w:hAnsi="Cambria" w:cs="Arial"/>
                                <w:color w:val="0D0D0D" w:themeColor="text1" w:themeTint="F2"/>
                                <w:sz w:val="24"/>
                                <w:szCs w:val="24"/>
                                <w:lang w:val="es-ES_tradnl"/>
                              </w:rPr>
                            </w:pPr>
                            <w:r w:rsidRPr="007D7E8D">
                              <w:rPr>
                                <w:rFonts w:ascii="Cambria" w:hAnsi="Cambria" w:cs="Arial"/>
                                <w:color w:val="0D0D0D" w:themeColor="text1" w:themeTint="F2"/>
                                <w:sz w:val="24"/>
                                <w:szCs w:val="24"/>
                                <w:lang w:val="es-ES_tradnl"/>
                              </w:rPr>
                              <w:t xml:space="preserve">INFORME DE FONDO </w:t>
                            </w:r>
                          </w:p>
                          <w:p w14:paraId="2A39E524" w14:textId="77777777" w:rsidR="00A61DD8" w:rsidRPr="007D7E8D" w:rsidRDefault="00A61DD8" w:rsidP="00D70A2A">
                            <w:pPr>
                              <w:spacing w:line="276" w:lineRule="auto"/>
                              <w:rPr>
                                <w:rFonts w:ascii="Cambria" w:hAnsi="Cambria" w:cs="Arial"/>
                                <w:color w:val="0D0D0D" w:themeColor="text1" w:themeTint="F2"/>
                                <w:sz w:val="24"/>
                                <w:szCs w:val="24"/>
                                <w:lang w:val="es-ES_tradnl"/>
                              </w:rPr>
                            </w:pPr>
                            <w:bookmarkStart w:id="0" w:name="_ftnref1"/>
                          </w:p>
                          <w:p w14:paraId="0A186714" w14:textId="62D33259" w:rsidR="00A61DD8" w:rsidRPr="007D7E8D" w:rsidRDefault="00A61DD8" w:rsidP="00D70A2A">
                            <w:pPr>
                              <w:spacing w:line="276" w:lineRule="auto"/>
                              <w:rPr>
                                <w:rFonts w:ascii="Cambria" w:hAnsi="Cambria" w:cs="Arial"/>
                                <w:color w:val="0D0D0D" w:themeColor="text1" w:themeTint="F2"/>
                                <w:sz w:val="24"/>
                                <w:szCs w:val="24"/>
                                <w:lang w:val="es-ES_tradnl"/>
                              </w:rPr>
                            </w:pPr>
                            <w:r w:rsidRPr="007D7E8D">
                              <w:rPr>
                                <w:rFonts w:ascii="Cambria" w:hAnsi="Cambria" w:cs="Arial"/>
                                <w:color w:val="0D0D0D" w:themeColor="text1" w:themeTint="F2"/>
                                <w:sz w:val="24"/>
                                <w:szCs w:val="24"/>
                                <w:lang w:val="es-ES_tradnl"/>
                              </w:rPr>
                              <w:t>VICTOR HENRY MINA CUERO</w:t>
                            </w:r>
                          </w:p>
                          <w:bookmarkEnd w:id="0"/>
                          <w:p w14:paraId="65372B4D" w14:textId="31779881" w:rsidR="00A61DD8" w:rsidRPr="007D7E8D" w:rsidRDefault="00A61DD8" w:rsidP="00D70A2A">
                            <w:pPr>
                              <w:spacing w:line="276" w:lineRule="auto"/>
                              <w:rPr>
                                <w:rFonts w:ascii="Cambria" w:hAnsi="Cambria" w:cs="Arial"/>
                                <w:color w:val="0D0D0D" w:themeColor="text1" w:themeTint="F2"/>
                                <w:sz w:val="24"/>
                                <w:szCs w:val="24"/>
                              </w:rPr>
                            </w:pPr>
                            <w:r w:rsidRPr="007D7E8D">
                              <w:rPr>
                                <w:rFonts w:ascii="Cambria" w:hAnsi="Cambria" w:cs="Arial"/>
                                <w:color w:val="0D0D0D" w:themeColor="text1" w:themeTint="F2"/>
                                <w:sz w:val="24"/>
                                <w:szCs w:val="24"/>
                                <w:lang w:val="es-ES_tradnl"/>
                              </w:rPr>
                              <w:t>ECUADOR</w:t>
                            </w:r>
                          </w:p>
                          <w:p w14:paraId="10851C4A" w14:textId="77777777" w:rsidR="00A61DD8" w:rsidRPr="00AE5488" w:rsidRDefault="00A61DD8" w:rsidP="00D70A2A">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8270"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52A4888" w14:textId="0A6F617C" w:rsidR="00A61DD8" w:rsidRPr="001E1ED6" w:rsidRDefault="00A61DD8" w:rsidP="00D70A2A">
                      <w:pPr>
                        <w:spacing w:line="276" w:lineRule="auto"/>
                        <w:rPr>
                          <w:rFonts w:ascii="Cambria" w:hAnsi="Cambria" w:cs="Arial"/>
                          <w:b/>
                          <w:bCs/>
                          <w:color w:val="0D0D0D" w:themeColor="text1" w:themeTint="F2"/>
                          <w:sz w:val="36"/>
                          <w:szCs w:val="22"/>
                          <w:lang w:val="pt-BR"/>
                        </w:rPr>
                      </w:pPr>
                      <w:r w:rsidRPr="001E1ED6">
                        <w:rPr>
                          <w:rFonts w:ascii="Cambria" w:hAnsi="Cambria" w:cs="Arial"/>
                          <w:b/>
                          <w:bCs/>
                          <w:color w:val="0D0D0D" w:themeColor="text1" w:themeTint="F2"/>
                          <w:sz w:val="36"/>
                          <w:szCs w:val="22"/>
                          <w:lang w:val="pt-BR"/>
                        </w:rPr>
                        <w:t xml:space="preserve">INFORME </w:t>
                      </w:r>
                      <w:r w:rsidRPr="001E1ED6">
                        <w:rPr>
                          <w:rFonts w:ascii="Cambria" w:hAnsi="Cambria" w:cs="Arial"/>
                          <w:b/>
                          <w:bCs/>
                          <w:color w:val="0D0D0D" w:themeColor="text1" w:themeTint="F2"/>
                          <w:sz w:val="36"/>
                          <w:szCs w:val="40"/>
                          <w:lang w:val="pt-BR"/>
                        </w:rPr>
                        <w:t>No.</w:t>
                      </w:r>
                      <w:r>
                        <w:rPr>
                          <w:rFonts w:ascii="Cambria" w:hAnsi="Cambria" w:cs="Arial"/>
                          <w:b/>
                          <w:bCs/>
                          <w:color w:val="0D0D0D" w:themeColor="text1" w:themeTint="F2"/>
                          <w:sz w:val="36"/>
                          <w:szCs w:val="22"/>
                          <w:lang w:val="pt-BR"/>
                        </w:rPr>
                        <w:t xml:space="preserve"> 63/18</w:t>
                      </w:r>
                    </w:p>
                    <w:p w14:paraId="122D4CC5" w14:textId="163DB692" w:rsidR="00A61DD8" w:rsidRPr="001E1ED6" w:rsidRDefault="00A61DD8" w:rsidP="00D70A2A">
                      <w:pPr>
                        <w:spacing w:line="276" w:lineRule="auto"/>
                        <w:rPr>
                          <w:rFonts w:ascii="Cambria" w:hAnsi="Cambria" w:cs="Arial"/>
                          <w:b/>
                          <w:color w:val="0D0D0D" w:themeColor="text1" w:themeTint="F2"/>
                          <w:sz w:val="36"/>
                          <w:szCs w:val="22"/>
                          <w:lang w:val="pt-BR"/>
                        </w:rPr>
                      </w:pPr>
                      <w:r>
                        <w:rPr>
                          <w:rFonts w:ascii="Cambria" w:hAnsi="Cambria" w:cs="Arial"/>
                          <w:b/>
                          <w:color w:val="0D0D0D" w:themeColor="text1" w:themeTint="F2"/>
                          <w:sz w:val="36"/>
                          <w:szCs w:val="22"/>
                          <w:lang w:val="pt-BR"/>
                        </w:rPr>
                        <w:t>CASO 12.593</w:t>
                      </w:r>
                    </w:p>
                    <w:p w14:paraId="6EE6E05B" w14:textId="77777777" w:rsidR="00A61DD8" w:rsidRPr="007D7E8D" w:rsidRDefault="00A61DD8" w:rsidP="00D70A2A">
                      <w:pPr>
                        <w:spacing w:line="276" w:lineRule="auto"/>
                        <w:rPr>
                          <w:rFonts w:ascii="Cambria" w:hAnsi="Cambria" w:cs="Arial"/>
                          <w:color w:val="0D0D0D" w:themeColor="text1" w:themeTint="F2"/>
                          <w:sz w:val="24"/>
                          <w:szCs w:val="24"/>
                          <w:lang w:val="es-ES_tradnl"/>
                        </w:rPr>
                      </w:pPr>
                      <w:r w:rsidRPr="007D7E8D">
                        <w:rPr>
                          <w:rFonts w:ascii="Cambria" w:hAnsi="Cambria" w:cs="Arial"/>
                          <w:color w:val="0D0D0D" w:themeColor="text1" w:themeTint="F2"/>
                          <w:sz w:val="24"/>
                          <w:szCs w:val="24"/>
                          <w:lang w:val="es-ES_tradnl"/>
                        </w:rPr>
                        <w:t xml:space="preserve">INFORME DE FONDO </w:t>
                      </w:r>
                    </w:p>
                    <w:p w14:paraId="2A39E524" w14:textId="77777777" w:rsidR="00A61DD8" w:rsidRPr="007D7E8D" w:rsidRDefault="00A61DD8" w:rsidP="00D70A2A">
                      <w:pPr>
                        <w:spacing w:line="276" w:lineRule="auto"/>
                        <w:rPr>
                          <w:rFonts w:ascii="Cambria" w:hAnsi="Cambria" w:cs="Arial"/>
                          <w:color w:val="0D0D0D" w:themeColor="text1" w:themeTint="F2"/>
                          <w:sz w:val="24"/>
                          <w:szCs w:val="24"/>
                          <w:lang w:val="es-ES_tradnl"/>
                        </w:rPr>
                      </w:pPr>
                      <w:bookmarkStart w:id="1" w:name="_ftnref1"/>
                    </w:p>
                    <w:p w14:paraId="0A186714" w14:textId="62D33259" w:rsidR="00A61DD8" w:rsidRPr="007D7E8D" w:rsidRDefault="00A61DD8" w:rsidP="00D70A2A">
                      <w:pPr>
                        <w:spacing w:line="276" w:lineRule="auto"/>
                        <w:rPr>
                          <w:rFonts w:ascii="Cambria" w:hAnsi="Cambria" w:cs="Arial"/>
                          <w:color w:val="0D0D0D" w:themeColor="text1" w:themeTint="F2"/>
                          <w:sz w:val="24"/>
                          <w:szCs w:val="24"/>
                          <w:lang w:val="es-ES_tradnl"/>
                        </w:rPr>
                      </w:pPr>
                      <w:r w:rsidRPr="007D7E8D">
                        <w:rPr>
                          <w:rFonts w:ascii="Cambria" w:hAnsi="Cambria" w:cs="Arial"/>
                          <w:color w:val="0D0D0D" w:themeColor="text1" w:themeTint="F2"/>
                          <w:sz w:val="24"/>
                          <w:szCs w:val="24"/>
                          <w:lang w:val="es-ES_tradnl"/>
                        </w:rPr>
                        <w:t>VICTOR HENRY MINA CUERO</w:t>
                      </w:r>
                    </w:p>
                    <w:bookmarkEnd w:id="1"/>
                    <w:p w14:paraId="65372B4D" w14:textId="31779881" w:rsidR="00A61DD8" w:rsidRPr="007D7E8D" w:rsidRDefault="00A61DD8" w:rsidP="00D70A2A">
                      <w:pPr>
                        <w:spacing w:line="276" w:lineRule="auto"/>
                        <w:rPr>
                          <w:rFonts w:ascii="Cambria" w:hAnsi="Cambria" w:cs="Arial"/>
                          <w:color w:val="0D0D0D" w:themeColor="text1" w:themeTint="F2"/>
                          <w:sz w:val="24"/>
                          <w:szCs w:val="24"/>
                        </w:rPr>
                      </w:pPr>
                      <w:r w:rsidRPr="007D7E8D">
                        <w:rPr>
                          <w:rFonts w:ascii="Cambria" w:hAnsi="Cambria" w:cs="Arial"/>
                          <w:color w:val="0D0D0D" w:themeColor="text1" w:themeTint="F2"/>
                          <w:sz w:val="24"/>
                          <w:szCs w:val="24"/>
                          <w:lang w:val="es-ES_tradnl"/>
                        </w:rPr>
                        <w:t>ECUADOR</w:t>
                      </w:r>
                    </w:p>
                    <w:p w14:paraId="10851C4A" w14:textId="77777777" w:rsidR="00A61DD8" w:rsidRPr="00AE5488" w:rsidRDefault="00A61DD8" w:rsidP="00D70A2A">
                      <w:pPr>
                        <w:rPr>
                          <w:color w:val="0D0D0D" w:themeColor="text1" w:themeTint="F2"/>
                          <w:lang w:val="es-ES_tradnl"/>
                        </w:rPr>
                      </w:pPr>
                    </w:p>
                  </w:txbxContent>
                </v:textbox>
              </v:shape>
            </w:pict>
          </mc:Fallback>
        </mc:AlternateContent>
      </w:r>
      <w:r w:rsidRPr="00ED541F">
        <w:rPr>
          <w:rFonts w:ascii="Cambria" w:hAnsi="Cambria"/>
          <w:noProof/>
          <w:lang w:val="en-US" w:eastAsia="en-US"/>
        </w:rPr>
        <mc:AlternateContent>
          <mc:Choice Requires="wps">
            <w:drawing>
              <wp:anchor distT="0" distB="0" distL="114300" distR="114300" simplePos="0" relativeHeight="251662336" behindDoc="0" locked="0" layoutInCell="1" allowOverlap="1" wp14:anchorId="2429AAF4" wp14:editId="6D900B4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BF504" w14:textId="3F311416" w:rsidR="00A61DD8" w:rsidRPr="00E24D82" w:rsidRDefault="00A61DD8" w:rsidP="00D70A2A">
                            <w:pPr>
                              <w:spacing w:line="276" w:lineRule="auto"/>
                              <w:jc w:val="right"/>
                              <w:rPr>
                                <w:rFonts w:asciiTheme="minorHAnsi" w:hAnsiTheme="minorHAnsi"/>
                                <w:color w:val="FFFFFF" w:themeColor="background1"/>
                                <w:sz w:val="22"/>
                                <w:lang w:val="pt-BR"/>
                              </w:rPr>
                            </w:pPr>
                            <w:r w:rsidRPr="00E24D82">
                              <w:rPr>
                                <w:rFonts w:asciiTheme="minorHAnsi" w:hAnsiTheme="minorHAnsi"/>
                                <w:color w:val="FFFFFF" w:themeColor="background1"/>
                                <w:sz w:val="22"/>
                                <w:lang w:val="pt-BR"/>
                              </w:rPr>
                              <w:t>OEA/Ser.L/V/II.168</w:t>
                            </w:r>
                          </w:p>
                          <w:p w14:paraId="05C34E9B" w14:textId="5E423754" w:rsidR="00A61DD8" w:rsidRPr="00E24D82" w:rsidRDefault="00A61DD8" w:rsidP="00D70A2A">
                            <w:pPr>
                              <w:spacing w:line="276" w:lineRule="auto"/>
                              <w:jc w:val="right"/>
                              <w:rPr>
                                <w:rFonts w:asciiTheme="minorHAnsi" w:hAnsiTheme="minorHAnsi"/>
                                <w:color w:val="FFFFFF" w:themeColor="background1"/>
                                <w:sz w:val="22"/>
                                <w:lang w:val="pt-BR"/>
                              </w:rPr>
                            </w:pPr>
                            <w:r w:rsidRPr="00E24D82">
                              <w:rPr>
                                <w:rFonts w:asciiTheme="minorHAnsi" w:hAnsiTheme="minorHAnsi"/>
                                <w:color w:val="FFFFFF" w:themeColor="background1"/>
                                <w:sz w:val="22"/>
                                <w:lang w:val="pt-BR"/>
                              </w:rPr>
                              <w:t>Doc. 73</w:t>
                            </w:r>
                          </w:p>
                          <w:p w14:paraId="30AB53F8" w14:textId="6E1D1616" w:rsidR="00A61DD8" w:rsidRPr="00AD2F85" w:rsidRDefault="00A61DD8" w:rsidP="00D70A2A">
                            <w:pPr>
                              <w:spacing w:line="276" w:lineRule="auto"/>
                              <w:jc w:val="right"/>
                              <w:rPr>
                                <w:rFonts w:asciiTheme="minorHAnsi" w:hAnsiTheme="minorHAnsi"/>
                                <w:color w:val="FFFFFF" w:themeColor="background1"/>
                                <w:sz w:val="22"/>
                                <w:lang w:val="es-PE"/>
                              </w:rPr>
                            </w:pPr>
                            <w:r>
                              <w:rPr>
                                <w:rFonts w:asciiTheme="minorHAnsi" w:hAnsiTheme="minorHAnsi"/>
                                <w:color w:val="FFFFFF" w:themeColor="background1"/>
                                <w:sz w:val="22"/>
                                <w:lang w:val="es-PE"/>
                              </w:rPr>
                              <w:t>8</w:t>
                            </w:r>
                            <w:r w:rsidRPr="00AD2F85">
                              <w:rPr>
                                <w:rFonts w:asciiTheme="minorHAnsi" w:hAnsiTheme="minorHAnsi"/>
                                <w:color w:val="FFFFFF" w:themeColor="background1"/>
                                <w:sz w:val="22"/>
                                <w:lang w:val="es-PE"/>
                              </w:rPr>
                              <w:t xml:space="preserve"> mayo 2018</w:t>
                            </w:r>
                          </w:p>
                          <w:p w14:paraId="37C12BC2" w14:textId="77777777" w:rsidR="00A61DD8" w:rsidRPr="007C756A" w:rsidRDefault="00A61DD8" w:rsidP="00D70A2A">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9AAF4"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00BF504" w14:textId="3F311416" w:rsidR="00A61DD8" w:rsidRPr="00E24D82" w:rsidRDefault="00A61DD8" w:rsidP="00D70A2A">
                      <w:pPr>
                        <w:spacing w:line="276" w:lineRule="auto"/>
                        <w:jc w:val="right"/>
                        <w:rPr>
                          <w:rFonts w:asciiTheme="minorHAnsi" w:hAnsiTheme="minorHAnsi"/>
                          <w:color w:val="FFFFFF" w:themeColor="background1"/>
                          <w:sz w:val="22"/>
                          <w:lang w:val="pt-BR"/>
                        </w:rPr>
                      </w:pPr>
                      <w:r w:rsidRPr="00E24D82">
                        <w:rPr>
                          <w:rFonts w:asciiTheme="minorHAnsi" w:hAnsiTheme="minorHAnsi"/>
                          <w:color w:val="FFFFFF" w:themeColor="background1"/>
                          <w:sz w:val="22"/>
                          <w:lang w:val="pt-BR"/>
                        </w:rPr>
                        <w:t>OEA/Ser.L/V/II.168</w:t>
                      </w:r>
                    </w:p>
                    <w:p w14:paraId="05C34E9B" w14:textId="5E423754" w:rsidR="00A61DD8" w:rsidRPr="00E24D82" w:rsidRDefault="00A61DD8" w:rsidP="00D70A2A">
                      <w:pPr>
                        <w:spacing w:line="276" w:lineRule="auto"/>
                        <w:jc w:val="right"/>
                        <w:rPr>
                          <w:rFonts w:asciiTheme="minorHAnsi" w:hAnsiTheme="minorHAnsi"/>
                          <w:color w:val="FFFFFF" w:themeColor="background1"/>
                          <w:sz w:val="22"/>
                          <w:lang w:val="pt-BR"/>
                        </w:rPr>
                      </w:pPr>
                      <w:r w:rsidRPr="00E24D82">
                        <w:rPr>
                          <w:rFonts w:asciiTheme="minorHAnsi" w:hAnsiTheme="minorHAnsi"/>
                          <w:color w:val="FFFFFF" w:themeColor="background1"/>
                          <w:sz w:val="22"/>
                          <w:lang w:val="pt-BR"/>
                        </w:rPr>
                        <w:t>Doc. 73</w:t>
                      </w:r>
                    </w:p>
                    <w:p w14:paraId="30AB53F8" w14:textId="6E1D1616" w:rsidR="00A61DD8" w:rsidRPr="00AD2F85" w:rsidRDefault="00A61DD8" w:rsidP="00D70A2A">
                      <w:pPr>
                        <w:spacing w:line="276" w:lineRule="auto"/>
                        <w:jc w:val="right"/>
                        <w:rPr>
                          <w:rFonts w:asciiTheme="minorHAnsi" w:hAnsiTheme="minorHAnsi"/>
                          <w:color w:val="FFFFFF" w:themeColor="background1"/>
                          <w:sz w:val="22"/>
                          <w:lang w:val="es-PE"/>
                        </w:rPr>
                      </w:pPr>
                      <w:r>
                        <w:rPr>
                          <w:rFonts w:asciiTheme="minorHAnsi" w:hAnsiTheme="minorHAnsi"/>
                          <w:color w:val="FFFFFF" w:themeColor="background1"/>
                          <w:sz w:val="22"/>
                          <w:lang w:val="es-PE"/>
                        </w:rPr>
                        <w:t>8</w:t>
                      </w:r>
                      <w:r w:rsidRPr="00AD2F85">
                        <w:rPr>
                          <w:rFonts w:asciiTheme="minorHAnsi" w:hAnsiTheme="minorHAnsi"/>
                          <w:color w:val="FFFFFF" w:themeColor="background1"/>
                          <w:sz w:val="22"/>
                          <w:lang w:val="es-PE"/>
                        </w:rPr>
                        <w:t xml:space="preserve"> mayo 2018</w:t>
                      </w:r>
                    </w:p>
                    <w:p w14:paraId="37C12BC2" w14:textId="77777777" w:rsidR="00A61DD8" w:rsidRPr="007C756A" w:rsidRDefault="00A61DD8" w:rsidP="00D70A2A">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294E3955" w14:textId="77777777" w:rsidR="00D70A2A" w:rsidRPr="00ED541F" w:rsidRDefault="00D70A2A" w:rsidP="00D70A2A">
      <w:pPr>
        <w:tabs>
          <w:tab w:val="center" w:pos="5400"/>
        </w:tabs>
        <w:suppressAutoHyphens/>
        <w:jc w:val="center"/>
        <w:rPr>
          <w:rFonts w:ascii="Cambria" w:hAnsi="Cambria"/>
          <w:lang w:val="es-ES_tradnl"/>
        </w:rPr>
      </w:pPr>
    </w:p>
    <w:p w14:paraId="38FA48B9" w14:textId="77777777" w:rsidR="00D70A2A" w:rsidRPr="00ED541F" w:rsidRDefault="00D70A2A" w:rsidP="00D70A2A">
      <w:pPr>
        <w:tabs>
          <w:tab w:val="center" w:pos="5400"/>
        </w:tabs>
        <w:suppressAutoHyphens/>
        <w:jc w:val="center"/>
        <w:rPr>
          <w:rFonts w:ascii="Cambria" w:hAnsi="Cambria"/>
          <w:lang w:val="es-ES_tradnl"/>
        </w:rPr>
      </w:pPr>
    </w:p>
    <w:p w14:paraId="74C4A8B0" w14:textId="77777777" w:rsidR="00D70A2A" w:rsidRPr="00ED541F" w:rsidRDefault="00D70A2A" w:rsidP="00D70A2A">
      <w:pPr>
        <w:tabs>
          <w:tab w:val="center" w:pos="5400"/>
        </w:tabs>
        <w:suppressAutoHyphens/>
        <w:jc w:val="center"/>
        <w:rPr>
          <w:rFonts w:ascii="Cambria" w:hAnsi="Cambria" w:cs="Arial"/>
          <w:lang w:val="es-ES_tradnl"/>
        </w:rPr>
      </w:pPr>
    </w:p>
    <w:p w14:paraId="37884CB8" w14:textId="77777777" w:rsidR="00D70A2A" w:rsidRPr="00ED541F" w:rsidRDefault="00D70A2A" w:rsidP="00D70A2A">
      <w:pPr>
        <w:tabs>
          <w:tab w:val="center" w:pos="5400"/>
        </w:tabs>
        <w:suppressAutoHyphens/>
        <w:jc w:val="center"/>
        <w:rPr>
          <w:rFonts w:ascii="Cambria" w:hAnsi="Cambria"/>
          <w:lang w:val="es-ES_tradnl"/>
        </w:rPr>
      </w:pPr>
    </w:p>
    <w:p w14:paraId="02F3EE2A" w14:textId="77777777" w:rsidR="00D70A2A" w:rsidRPr="00ED541F" w:rsidRDefault="00D70A2A" w:rsidP="00D70A2A">
      <w:pPr>
        <w:tabs>
          <w:tab w:val="center" w:pos="5400"/>
        </w:tabs>
        <w:suppressAutoHyphens/>
        <w:jc w:val="center"/>
        <w:rPr>
          <w:rFonts w:ascii="Cambria" w:hAnsi="Cambria"/>
          <w:lang w:val="es-ES_tradnl"/>
        </w:rPr>
      </w:pPr>
    </w:p>
    <w:p w14:paraId="63046107" w14:textId="77777777" w:rsidR="00D70A2A" w:rsidRPr="00ED541F" w:rsidRDefault="00D70A2A" w:rsidP="00D70A2A">
      <w:pPr>
        <w:tabs>
          <w:tab w:val="center" w:pos="5400"/>
        </w:tabs>
        <w:suppressAutoHyphens/>
        <w:jc w:val="center"/>
        <w:rPr>
          <w:rFonts w:ascii="Cambria" w:hAnsi="Cambria"/>
          <w:lang w:val="es-ES_tradnl"/>
        </w:rPr>
      </w:pPr>
    </w:p>
    <w:p w14:paraId="3A0B23FC" w14:textId="77777777" w:rsidR="00D70A2A" w:rsidRPr="00ED541F" w:rsidRDefault="00D70A2A" w:rsidP="00D70A2A">
      <w:pPr>
        <w:tabs>
          <w:tab w:val="center" w:pos="5400"/>
        </w:tabs>
        <w:suppressAutoHyphens/>
        <w:jc w:val="center"/>
        <w:rPr>
          <w:rFonts w:ascii="Cambria" w:hAnsi="Cambria"/>
          <w:lang w:val="es-ES_tradnl"/>
        </w:rPr>
      </w:pPr>
    </w:p>
    <w:p w14:paraId="58704E3E" w14:textId="77777777" w:rsidR="00D70A2A" w:rsidRPr="00ED541F" w:rsidRDefault="00D70A2A" w:rsidP="00D70A2A">
      <w:pPr>
        <w:tabs>
          <w:tab w:val="center" w:pos="5400"/>
        </w:tabs>
        <w:suppressAutoHyphens/>
        <w:jc w:val="center"/>
        <w:rPr>
          <w:rFonts w:ascii="Cambria" w:hAnsi="Cambria"/>
          <w:lang w:val="es-ES_tradnl"/>
        </w:rPr>
      </w:pPr>
    </w:p>
    <w:p w14:paraId="6776763D" w14:textId="77777777" w:rsidR="00D70A2A" w:rsidRPr="00ED541F" w:rsidRDefault="00D70A2A" w:rsidP="00D70A2A">
      <w:pPr>
        <w:tabs>
          <w:tab w:val="center" w:pos="5400"/>
        </w:tabs>
        <w:suppressAutoHyphens/>
        <w:jc w:val="center"/>
        <w:rPr>
          <w:rFonts w:ascii="Cambria" w:hAnsi="Cambria"/>
          <w:lang w:val="es-ES_tradnl"/>
        </w:rPr>
      </w:pPr>
    </w:p>
    <w:p w14:paraId="46A2FA92" w14:textId="77777777" w:rsidR="00D70A2A" w:rsidRPr="00ED541F" w:rsidRDefault="00D70A2A" w:rsidP="00D70A2A">
      <w:pPr>
        <w:tabs>
          <w:tab w:val="center" w:pos="5400"/>
        </w:tabs>
        <w:suppressAutoHyphens/>
        <w:jc w:val="center"/>
        <w:rPr>
          <w:rFonts w:ascii="Cambria" w:hAnsi="Cambria"/>
          <w:lang w:val="es-ES_tradnl"/>
        </w:rPr>
      </w:pPr>
    </w:p>
    <w:p w14:paraId="757388E7" w14:textId="77777777" w:rsidR="00D70A2A" w:rsidRPr="00ED541F" w:rsidRDefault="00D70A2A" w:rsidP="00D70A2A">
      <w:pPr>
        <w:tabs>
          <w:tab w:val="center" w:pos="5400"/>
        </w:tabs>
        <w:suppressAutoHyphens/>
        <w:jc w:val="center"/>
        <w:rPr>
          <w:rFonts w:ascii="Cambria" w:hAnsi="Cambria"/>
          <w:lang w:val="es-ES_tradnl"/>
        </w:rPr>
      </w:pPr>
    </w:p>
    <w:p w14:paraId="6C580C43" w14:textId="77777777" w:rsidR="00D70A2A" w:rsidRPr="00ED541F" w:rsidRDefault="00D70A2A" w:rsidP="00D70A2A">
      <w:pPr>
        <w:tabs>
          <w:tab w:val="center" w:pos="5400"/>
        </w:tabs>
        <w:suppressAutoHyphens/>
        <w:jc w:val="center"/>
        <w:rPr>
          <w:rFonts w:ascii="Cambria" w:hAnsi="Cambria"/>
          <w:lang w:val="es-ES_tradnl"/>
        </w:rPr>
      </w:pPr>
    </w:p>
    <w:p w14:paraId="08DB5A68" w14:textId="77777777" w:rsidR="00D70A2A" w:rsidRPr="00ED541F" w:rsidRDefault="00D70A2A" w:rsidP="00D70A2A">
      <w:pPr>
        <w:tabs>
          <w:tab w:val="center" w:pos="5400"/>
        </w:tabs>
        <w:suppressAutoHyphens/>
        <w:jc w:val="center"/>
        <w:rPr>
          <w:rFonts w:ascii="Cambria" w:hAnsi="Cambria"/>
          <w:lang w:val="es-ES_tradnl"/>
        </w:rPr>
      </w:pPr>
    </w:p>
    <w:p w14:paraId="62280931" w14:textId="77777777" w:rsidR="00D70A2A" w:rsidRPr="00ED541F" w:rsidRDefault="00D70A2A" w:rsidP="00D70A2A">
      <w:pPr>
        <w:tabs>
          <w:tab w:val="center" w:pos="5400"/>
        </w:tabs>
        <w:suppressAutoHyphens/>
        <w:jc w:val="center"/>
        <w:rPr>
          <w:rFonts w:ascii="Cambria" w:hAnsi="Cambria"/>
          <w:lang w:val="es-ES_tradnl"/>
        </w:rPr>
      </w:pPr>
    </w:p>
    <w:p w14:paraId="34F58C98" w14:textId="77777777" w:rsidR="00D70A2A" w:rsidRPr="00ED541F" w:rsidRDefault="00D70A2A" w:rsidP="00D70A2A">
      <w:pPr>
        <w:tabs>
          <w:tab w:val="center" w:pos="5400"/>
        </w:tabs>
        <w:suppressAutoHyphens/>
        <w:jc w:val="center"/>
        <w:rPr>
          <w:rFonts w:ascii="Cambria" w:hAnsi="Cambria"/>
          <w:lang w:val="es-ES_tradnl"/>
        </w:rPr>
      </w:pPr>
    </w:p>
    <w:p w14:paraId="4B1F7D5B" w14:textId="77777777" w:rsidR="00D70A2A" w:rsidRPr="00ED541F" w:rsidRDefault="00D70A2A" w:rsidP="00D70A2A">
      <w:pPr>
        <w:tabs>
          <w:tab w:val="center" w:pos="5400"/>
        </w:tabs>
        <w:suppressAutoHyphens/>
        <w:jc w:val="center"/>
        <w:rPr>
          <w:rFonts w:ascii="Cambria" w:hAnsi="Cambria"/>
          <w:lang w:val="es-ES_tradnl"/>
        </w:rPr>
      </w:pPr>
    </w:p>
    <w:p w14:paraId="1218F99B" w14:textId="77777777" w:rsidR="00D70A2A" w:rsidRPr="00ED541F" w:rsidRDefault="00D70A2A" w:rsidP="00D70A2A">
      <w:pPr>
        <w:tabs>
          <w:tab w:val="center" w:pos="5400"/>
        </w:tabs>
        <w:suppressAutoHyphens/>
        <w:jc w:val="center"/>
        <w:rPr>
          <w:rFonts w:ascii="Cambria" w:hAnsi="Cambria"/>
          <w:lang w:val="es-ES_tradnl"/>
        </w:rPr>
      </w:pPr>
    </w:p>
    <w:p w14:paraId="632C7836" w14:textId="77777777" w:rsidR="00D70A2A" w:rsidRPr="00ED541F" w:rsidRDefault="00D70A2A" w:rsidP="00D70A2A">
      <w:pPr>
        <w:tabs>
          <w:tab w:val="center" w:pos="5400"/>
        </w:tabs>
        <w:suppressAutoHyphens/>
        <w:jc w:val="center"/>
        <w:rPr>
          <w:rFonts w:ascii="Cambria" w:hAnsi="Cambria"/>
          <w:lang w:val="es-ES_tradnl"/>
        </w:rPr>
      </w:pPr>
    </w:p>
    <w:p w14:paraId="3C0CA5B4" w14:textId="77777777" w:rsidR="00D70A2A" w:rsidRPr="00ED541F" w:rsidRDefault="00D70A2A" w:rsidP="00D70A2A">
      <w:pPr>
        <w:tabs>
          <w:tab w:val="center" w:pos="5400"/>
        </w:tabs>
        <w:suppressAutoHyphens/>
        <w:jc w:val="center"/>
        <w:rPr>
          <w:rFonts w:ascii="Cambria" w:hAnsi="Cambria"/>
          <w:lang w:val="es-ES_tradnl"/>
        </w:rPr>
      </w:pPr>
    </w:p>
    <w:p w14:paraId="4C3DCE6B" w14:textId="77777777" w:rsidR="00D70A2A" w:rsidRPr="00ED541F" w:rsidRDefault="00D70A2A" w:rsidP="00D70A2A">
      <w:pPr>
        <w:tabs>
          <w:tab w:val="center" w:pos="5400"/>
        </w:tabs>
        <w:suppressAutoHyphens/>
        <w:jc w:val="center"/>
        <w:rPr>
          <w:rFonts w:ascii="Cambria" w:hAnsi="Cambria"/>
          <w:lang w:val="es-ES_tradnl"/>
        </w:rPr>
      </w:pPr>
    </w:p>
    <w:p w14:paraId="7A24CB84" w14:textId="77777777" w:rsidR="00D70A2A" w:rsidRPr="00ED541F" w:rsidRDefault="00D70A2A" w:rsidP="00D70A2A">
      <w:pPr>
        <w:tabs>
          <w:tab w:val="center" w:pos="5400"/>
        </w:tabs>
        <w:suppressAutoHyphens/>
        <w:jc w:val="center"/>
        <w:rPr>
          <w:rFonts w:ascii="Cambria" w:hAnsi="Cambria"/>
          <w:lang w:val="es-ES_tradnl"/>
        </w:rPr>
      </w:pPr>
    </w:p>
    <w:p w14:paraId="70A06F53" w14:textId="77777777" w:rsidR="00D70A2A" w:rsidRPr="00ED541F" w:rsidRDefault="00D70A2A" w:rsidP="00D70A2A">
      <w:pPr>
        <w:tabs>
          <w:tab w:val="center" w:pos="5400"/>
        </w:tabs>
        <w:suppressAutoHyphens/>
        <w:jc w:val="center"/>
        <w:rPr>
          <w:rFonts w:ascii="Cambria" w:hAnsi="Cambria"/>
          <w:lang w:val="es-ES_tradnl"/>
        </w:rPr>
      </w:pPr>
    </w:p>
    <w:p w14:paraId="55DBC467" w14:textId="77777777" w:rsidR="00D70A2A" w:rsidRPr="00ED541F" w:rsidRDefault="00D70A2A" w:rsidP="00D70A2A">
      <w:pPr>
        <w:tabs>
          <w:tab w:val="center" w:pos="5400"/>
        </w:tabs>
        <w:suppressAutoHyphens/>
        <w:jc w:val="center"/>
        <w:rPr>
          <w:rFonts w:ascii="Cambria" w:hAnsi="Cambria"/>
          <w:lang w:val="es-ES_tradnl"/>
        </w:rPr>
      </w:pPr>
    </w:p>
    <w:p w14:paraId="6B0A89FE" w14:textId="77777777" w:rsidR="00D70A2A" w:rsidRPr="00ED541F" w:rsidRDefault="00D70A2A" w:rsidP="00D70A2A">
      <w:pPr>
        <w:tabs>
          <w:tab w:val="center" w:pos="5400"/>
        </w:tabs>
        <w:suppressAutoHyphens/>
        <w:jc w:val="center"/>
        <w:rPr>
          <w:rFonts w:ascii="Cambria" w:hAnsi="Cambria"/>
          <w:lang w:val="es-ES_tradnl"/>
        </w:rPr>
      </w:pPr>
    </w:p>
    <w:p w14:paraId="0E5CC8AB" w14:textId="77777777" w:rsidR="00D70A2A" w:rsidRPr="00ED541F" w:rsidRDefault="00D70A2A" w:rsidP="00D70A2A">
      <w:pPr>
        <w:tabs>
          <w:tab w:val="center" w:pos="5400"/>
        </w:tabs>
        <w:suppressAutoHyphens/>
        <w:jc w:val="center"/>
        <w:rPr>
          <w:rFonts w:ascii="Cambria" w:hAnsi="Cambria"/>
          <w:lang w:val="es-ES_tradnl"/>
        </w:rPr>
      </w:pPr>
    </w:p>
    <w:p w14:paraId="188AF11C" w14:textId="77777777" w:rsidR="00D70A2A" w:rsidRPr="00ED541F" w:rsidRDefault="00D70A2A" w:rsidP="00D70A2A">
      <w:pPr>
        <w:tabs>
          <w:tab w:val="center" w:pos="5400"/>
        </w:tabs>
        <w:suppressAutoHyphens/>
        <w:jc w:val="center"/>
        <w:rPr>
          <w:rFonts w:ascii="Cambria" w:hAnsi="Cambria"/>
          <w:lang w:val="es-ES_tradnl"/>
        </w:rPr>
      </w:pPr>
    </w:p>
    <w:p w14:paraId="2550805D" w14:textId="77777777" w:rsidR="00D70A2A" w:rsidRPr="00ED541F" w:rsidRDefault="00D70A2A" w:rsidP="00D70A2A">
      <w:pPr>
        <w:tabs>
          <w:tab w:val="center" w:pos="5400"/>
        </w:tabs>
        <w:suppressAutoHyphens/>
        <w:jc w:val="center"/>
        <w:rPr>
          <w:rFonts w:ascii="Cambria" w:hAnsi="Cambria"/>
          <w:lang w:val="es-ES_tradnl"/>
        </w:rPr>
      </w:pPr>
    </w:p>
    <w:p w14:paraId="1C592450" w14:textId="77777777" w:rsidR="00D70A2A" w:rsidRPr="00ED541F" w:rsidRDefault="00D70A2A" w:rsidP="00D70A2A">
      <w:pPr>
        <w:tabs>
          <w:tab w:val="center" w:pos="5400"/>
        </w:tabs>
        <w:suppressAutoHyphens/>
        <w:jc w:val="center"/>
        <w:rPr>
          <w:rFonts w:ascii="Cambria" w:hAnsi="Cambria"/>
          <w:lang w:val="es-ES_tradnl"/>
        </w:rPr>
      </w:pPr>
    </w:p>
    <w:p w14:paraId="22D2D134" w14:textId="77777777" w:rsidR="00D70A2A" w:rsidRPr="00ED541F" w:rsidRDefault="00D70A2A" w:rsidP="00D70A2A">
      <w:pPr>
        <w:tabs>
          <w:tab w:val="center" w:pos="5400"/>
        </w:tabs>
        <w:suppressAutoHyphens/>
        <w:jc w:val="center"/>
        <w:rPr>
          <w:rFonts w:ascii="Cambria" w:hAnsi="Cambria"/>
          <w:lang w:val="es-ES_tradnl"/>
        </w:rPr>
      </w:pPr>
      <w:r w:rsidRPr="00ED541F">
        <w:rPr>
          <w:rFonts w:ascii="Cambria" w:hAnsi="Cambria"/>
          <w:noProof/>
          <w:lang w:val="en-US" w:eastAsia="en-US"/>
        </w:rPr>
        <mc:AlternateContent>
          <mc:Choice Requires="wps">
            <w:drawing>
              <wp:anchor distT="0" distB="0" distL="114300" distR="114300" simplePos="0" relativeHeight="251661312" behindDoc="0" locked="0" layoutInCell="1" allowOverlap="1" wp14:anchorId="4A0DD5A6" wp14:editId="0FCA0AF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94253" w14:textId="6A899FB2" w:rsidR="00A61DD8" w:rsidRPr="001E1ED6" w:rsidRDefault="00A61DD8" w:rsidP="00D70A2A">
                            <w:pPr>
                              <w:tabs>
                                <w:tab w:val="center" w:pos="5400"/>
                              </w:tabs>
                              <w:suppressAutoHyphens/>
                              <w:spacing w:before="60"/>
                              <w:rPr>
                                <w:rFonts w:ascii="Cambria" w:hAnsi="Cambria" w:cs="Univers"/>
                                <w:color w:val="0D0D0D" w:themeColor="text1" w:themeTint="F2"/>
                                <w:sz w:val="18"/>
                                <w:lang w:val="es-ES_tradnl"/>
                              </w:rPr>
                            </w:pPr>
                            <w:r w:rsidRPr="001E1ED6">
                              <w:rPr>
                                <w:rFonts w:ascii="Cambria" w:hAnsi="Cambria"/>
                                <w:color w:val="0D0D0D" w:themeColor="text1" w:themeTint="F2"/>
                                <w:sz w:val="18"/>
                              </w:rPr>
                              <w:t>Aprobado por</w:t>
                            </w:r>
                            <w:r>
                              <w:rPr>
                                <w:rFonts w:ascii="Cambria" w:hAnsi="Cambria"/>
                                <w:color w:val="0D0D0D" w:themeColor="text1" w:themeTint="F2"/>
                                <w:sz w:val="18"/>
                              </w:rPr>
                              <w:t xml:space="preserve"> la Comisión en su Sesión No. 2129 celebrada el 8 de mayo de 2018</w:t>
                            </w:r>
                            <w:r w:rsidRPr="001E1ED6">
                              <w:rPr>
                                <w:rFonts w:ascii="Cambria" w:hAnsi="Cambria"/>
                                <w:color w:val="0D0D0D" w:themeColor="text1" w:themeTint="F2"/>
                                <w:sz w:val="18"/>
                              </w:rPr>
                              <w:br/>
                            </w:r>
                            <w:r>
                              <w:rPr>
                                <w:rFonts w:ascii="Cambria" w:hAnsi="Cambria" w:cs="Univers"/>
                                <w:color w:val="0D0D0D" w:themeColor="text1" w:themeTint="F2"/>
                                <w:sz w:val="18"/>
                              </w:rPr>
                              <w:t>168</w:t>
                            </w:r>
                            <w:r w:rsidRPr="001E1ED6">
                              <w:rPr>
                                <w:rFonts w:ascii="Cambria" w:hAnsi="Cambria" w:cs="Univers"/>
                                <w:color w:val="0D0D0D" w:themeColor="text1" w:themeTint="F2"/>
                                <w:sz w:val="18"/>
                                <w:lang w:val="es-ES_tradnl"/>
                              </w:rPr>
                              <w:t xml:space="preserve"> </w:t>
                            </w:r>
                            <w:r>
                              <w:rPr>
                                <w:rFonts w:ascii="Cambria" w:hAnsi="Cambria" w:cs="Univers"/>
                                <w:color w:val="0D0D0D" w:themeColor="text1" w:themeTint="F2"/>
                                <w:sz w:val="18"/>
                                <w:lang w:val="es-ES_tradnl"/>
                              </w:rPr>
                              <w:t>P</w:t>
                            </w:r>
                            <w:r w:rsidRPr="001E1ED6">
                              <w:rPr>
                                <w:rFonts w:ascii="Cambria" w:hAnsi="Cambria" w:cs="Univers"/>
                                <w:color w:val="0D0D0D" w:themeColor="text1" w:themeTint="F2"/>
                                <w:sz w:val="18"/>
                                <w:lang w:val="es-ES_tradnl"/>
                              </w:rPr>
                              <w:t xml:space="preserve">eríodo </w:t>
                            </w:r>
                            <w:r>
                              <w:rPr>
                                <w:rFonts w:ascii="Cambria" w:hAnsi="Cambria" w:cs="Univers"/>
                                <w:color w:val="0D0D0D" w:themeColor="text1" w:themeTint="F2"/>
                                <w:sz w:val="18"/>
                                <w:lang w:val="es-ES_tradnl"/>
                              </w:rPr>
                              <w:t>E</w:t>
                            </w:r>
                            <w:r w:rsidRPr="006F7E8E">
                              <w:rPr>
                                <w:rFonts w:ascii="Cambria" w:hAnsi="Cambria" w:cs="Univers"/>
                                <w:color w:val="0D0D0D" w:themeColor="text1" w:themeTint="F2"/>
                                <w:sz w:val="18"/>
                                <w:lang w:val="es-ES_tradnl"/>
                              </w:rPr>
                              <w:t>xtraordinario</w:t>
                            </w:r>
                            <w:r>
                              <w:rPr>
                                <w:rFonts w:ascii="Cambria" w:hAnsi="Cambria" w:cs="Univers"/>
                                <w:color w:val="0D0D0D" w:themeColor="text1" w:themeTint="F2"/>
                                <w:sz w:val="18"/>
                                <w:lang w:val="es-ES_tradnl"/>
                              </w:rPr>
                              <w:t xml:space="preserve"> de S</w:t>
                            </w:r>
                            <w:r w:rsidRPr="001E1ED6">
                              <w:rPr>
                                <w:rFonts w:ascii="Cambria" w:hAnsi="Cambria" w:cs="Univers"/>
                                <w:color w:val="0D0D0D" w:themeColor="text1" w:themeTint="F2"/>
                                <w:sz w:val="18"/>
                                <w:lang w:val="es-ES_tradnl"/>
                              </w:rPr>
                              <w:t>esiones</w:t>
                            </w:r>
                            <w:r>
                              <w:rPr>
                                <w:rFonts w:ascii="Cambria" w:hAnsi="Cambria" w:cs="Univers"/>
                                <w:color w:val="0D0D0D" w:themeColor="text1" w:themeTint="F2"/>
                                <w:sz w:val="18"/>
                                <w:lang w:val="es-ES_tradnl"/>
                              </w:rPr>
                              <w:t>.</w:t>
                            </w:r>
                          </w:p>
                          <w:p w14:paraId="11C23C80" w14:textId="77777777" w:rsidR="00A61DD8" w:rsidRPr="007A5817" w:rsidRDefault="00A61DD8" w:rsidP="00D70A2A">
                            <w:pPr>
                              <w:tabs>
                                <w:tab w:val="center" w:pos="5400"/>
                              </w:tabs>
                              <w:suppressAutoHyphens/>
                              <w:spacing w:before="60"/>
                              <w:rPr>
                                <w:rFonts w:asciiTheme="minorHAnsi" w:hAnsiTheme="minorHAnsi" w:cs="Univers"/>
                                <w:color w:val="0D0D0D" w:themeColor="text1" w:themeTint="F2"/>
                              </w:rPr>
                            </w:pPr>
                          </w:p>
                          <w:p w14:paraId="6397C5E0" w14:textId="77777777" w:rsidR="00A61DD8" w:rsidRPr="00167A34" w:rsidRDefault="00A61DD8" w:rsidP="00D70A2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D5A6"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894253" w14:textId="6A899FB2" w:rsidR="00A61DD8" w:rsidRPr="001E1ED6" w:rsidRDefault="00A61DD8" w:rsidP="00D70A2A">
                      <w:pPr>
                        <w:tabs>
                          <w:tab w:val="center" w:pos="5400"/>
                        </w:tabs>
                        <w:suppressAutoHyphens/>
                        <w:spacing w:before="60"/>
                        <w:rPr>
                          <w:rFonts w:ascii="Cambria" w:hAnsi="Cambria" w:cs="Univers"/>
                          <w:color w:val="0D0D0D" w:themeColor="text1" w:themeTint="F2"/>
                          <w:sz w:val="18"/>
                          <w:lang w:val="es-ES_tradnl"/>
                        </w:rPr>
                      </w:pPr>
                      <w:r w:rsidRPr="001E1ED6">
                        <w:rPr>
                          <w:rFonts w:ascii="Cambria" w:hAnsi="Cambria"/>
                          <w:color w:val="0D0D0D" w:themeColor="text1" w:themeTint="F2"/>
                          <w:sz w:val="18"/>
                        </w:rPr>
                        <w:t>Aprobado por</w:t>
                      </w:r>
                      <w:r>
                        <w:rPr>
                          <w:rFonts w:ascii="Cambria" w:hAnsi="Cambria"/>
                          <w:color w:val="0D0D0D" w:themeColor="text1" w:themeTint="F2"/>
                          <w:sz w:val="18"/>
                        </w:rPr>
                        <w:t xml:space="preserve"> la Comisión en su Sesión No. 2129 celebrada el 8 de mayo de 2018</w:t>
                      </w:r>
                      <w:r w:rsidRPr="001E1ED6">
                        <w:rPr>
                          <w:rFonts w:ascii="Cambria" w:hAnsi="Cambria"/>
                          <w:color w:val="0D0D0D" w:themeColor="text1" w:themeTint="F2"/>
                          <w:sz w:val="18"/>
                        </w:rPr>
                        <w:br/>
                      </w:r>
                      <w:r>
                        <w:rPr>
                          <w:rFonts w:ascii="Cambria" w:hAnsi="Cambria" w:cs="Univers"/>
                          <w:color w:val="0D0D0D" w:themeColor="text1" w:themeTint="F2"/>
                          <w:sz w:val="18"/>
                        </w:rPr>
                        <w:t>168</w:t>
                      </w:r>
                      <w:r w:rsidRPr="001E1ED6">
                        <w:rPr>
                          <w:rFonts w:ascii="Cambria" w:hAnsi="Cambria" w:cs="Univers"/>
                          <w:color w:val="0D0D0D" w:themeColor="text1" w:themeTint="F2"/>
                          <w:sz w:val="18"/>
                          <w:lang w:val="es-ES_tradnl"/>
                        </w:rPr>
                        <w:t xml:space="preserve"> </w:t>
                      </w:r>
                      <w:r>
                        <w:rPr>
                          <w:rFonts w:ascii="Cambria" w:hAnsi="Cambria" w:cs="Univers"/>
                          <w:color w:val="0D0D0D" w:themeColor="text1" w:themeTint="F2"/>
                          <w:sz w:val="18"/>
                          <w:lang w:val="es-ES_tradnl"/>
                        </w:rPr>
                        <w:t>P</w:t>
                      </w:r>
                      <w:r w:rsidRPr="001E1ED6">
                        <w:rPr>
                          <w:rFonts w:ascii="Cambria" w:hAnsi="Cambria" w:cs="Univers"/>
                          <w:color w:val="0D0D0D" w:themeColor="text1" w:themeTint="F2"/>
                          <w:sz w:val="18"/>
                          <w:lang w:val="es-ES_tradnl"/>
                        </w:rPr>
                        <w:t xml:space="preserve">eríodo </w:t>
                      </w:r>
                      <w:r>
                        <w:rPr>
                          <w:rFonts w:ascii="Cambria" w:hAnsi="Cambria" w:cs="Univers"/>
                          <w:color w:val="0D0D0D" w:themeColor="text1" w:themeTint="F2"/>
                          <w:sz w:val="18"/>
                          <w:lang w:val="es-ES_tradnl"/>
                        </w:rPr>
                        <w:t>E</w:t>
                      </w:r>
                      <w:r w:rsidRPr="006F7E8E">
                        <w:rPr>
                          <w:rFonts w:ascii="Cambria" w:hAnsi="Cambria" w:cs="Univers"/>
                          <w:color w:val="0D0D0D" w:themeColor="text1" w:themeTint="F2"/>
                          <w:sz w:val="18"/>
                          <w:lang w:val="es-ES_tradnl"/>
                        </w:rPr>
                        <w:t>xtraordinario</w:t>
                      </w:r>
                      <w:r>
                        <w:rPr>
                          <w:rFonts w:ascii="Cambria" w:hAnsi="Cambria" w:cs="Univers"/>
                          <w:color w:val="0D0D0D" w:themeColor="text1" w:themeTint="F2"/>
                          <w:sz w:val="18"/>
                          <w:lang w:val="es-ES_tradnl"/>
                        </w:rPr>
                        <w:t xml:space="preserve"> de S</w:t>
                      </w:r>
                      <w:r w:rsidRPr="001E1ED6">
                        <w:rPr>
                          <w:rFonts w:ascii="Cambria" w:hAnsi="Cambria" w:cs="Univers"/>
                          <w:color w:val="0D0D0D" w:themeColor="text1" w:themeTint="F2"/>
                          <w:sz w:val="18"/>
                          <w:lang w:val="es-ES_tradnl"/>
                        </w:rPr>
                        <w:t>esiones</w:t>
                      </w:r>
                      <w:r>
                        <w:rPr>
                          <w:rFonts w:ascii="Cambria" w:hAnsi="Cambria" w:cs="Univers"/>
                          <w:color w:val="0D0D0D" w:themeColor="text1" w:themeTint="F2"/>
                          <w:sz w:val="18"/>
                          <w:lang w:val="es-ES_tradnl"/>
                        </w:rPr>
                        <w:t>.</w:t>
                      </w:r>
                    </w:p>
                    <w:p w14:paraId="11C23C80" w14:textId="77777777" w:rsidR="00A61DD8" w:rsidRPr="007A5817" w:rsidRDefault="00A61DD8" w:rsidP="00D70A2A">
                      <w:pPr>
                        <w:tabs>
                          <w:tab w:val="center" w:pos="5400"/>
                        </w:tabs>
                        <w:suppressAutoHyphens/>
                        <w:spacing w:before="60"/>
                        <w:rPr>
                          <w:rFonts w:asciiTheme="minorHAnsi" w:hAnsiTheme="minorHAnsi" w:cs="Univers"/>
                          <w:color w:val="0D0D0D" w:themeColor="text1" w:themeTint="F2"/>
                        </w:rPr>
                      </w:pPr>
                    </w:p>
                    <w:p w14:paraId="6397C5E0" w14:textId="77777777" w:rsidR="00A61DD8" w:rsidRPr="00167A34" w:rsidRDefault="00A61DD8" w:rsidP="00D70A2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CB07DF4" w14:textId="77777777" w:rsidR="00D70A2A" w:rsidRPr="00ED541F" w:rsidRDefault="00D70A2A" w:rsidP="00D70A2A">
      <w:pPr>
        <w:tabs>
          <w:tab w:val="center" w:pos="5400"/>
        </w:tabs>
        <w:suppressAutoHyphens/>
        <w:jc w:val="center"/>
        <w:rPr>
          <w:rFonts w:ascii="Cambria" w:hAnsi="Cambria"/>
          <w:lang w:val="es-ES_tradnl"/>
        </w:rPr>
      </w:pPr>
    </w:p>
    <w:p w14:paraId="69DCA6BF" w14:textId="77777777" w:rsidR="00D70A2A" w:rsidRPr="00ED541F" w:rsidRDefault="00D70A2A" w:rsidP="00D70A2A">
      <w:pPr>
        <w:tabs>
          <w:tab w:val="center" w:pos="5400"/>
        </w:tabs>
        <w:suppressAutoHyphens/>
        <w:jc w:val="center"/>
        <w:rPr>
          <w:rFonts w:ascii="Cambria" w:hAnsi="Cambria"/>
          <w:lang w:val="es-ES_tradnl"/>
        </w:rPr>
      </w:pPr>
    </w:p>
    <w:p w14:paraId="50F5D490" w14:textId="77777777" w:rsidR="00D70A2A" w:rsidRPr="00ED541F" w:rsidRDefault="00D70A2A" w:rsidP="00D70A2A">
      <w:pPr>
        <w:tabs>
          <w:tab w:val="center" w:pos="5400"/>
        </w:tabs>
        <w:suppressAutoHyphens/>
        <w:jc w:val="center"/>
        <w:rPr>
          <w:rFonts w:ascii="Cambria" w:hAnsi="Cambria"/>
          <w:lang w:val="es-ES_tradnl"/>
        </w:rPr>
      </w:pPr>
    </w:p>
    <w:p w14:paraId="01E876BA" w14:textId="77777777" w:rsidR="00D70A2A" w:rsidRPr="00ED541F" w:rsidRDefault="00D70A2A" w:rsidP="00D70A2A">
      <w:pPr>
        <w:tabs>
          <w:tab w:val="center" w:pos="5400"/>
        </w:tabs>
        <w:suppressAutoHyphens/>
        <w:jc w:val="center"/>
        <w:rPr>
          <w:rFonts w:ascii="Cambria" w:hAnsi="Cambria"/>
          <w:lang w:val="es-ES_tradnl"/>
        </w:rPr>
      </w:pPr>
    </w:p>
    <w:p w14:paraId="4E1F6BF3" w14:textId="77777777" w:rsidR="00D70A2A" w:rsidRPr="00ED541F" w:rsidRDefault="00D70A2A" w:rsidP="00D70A2A">
      <w:pPr>
        <w:tabs>
          <w:tab w:val="center" w:pos="5400"/>
        </w:tabs>
        <w:suppressAutoHyphens/>
        <w:jc w:val="center"/>
        <w:rPr>
          <w:rFonts w:ascii="Cambria" w:hAnsi="Cambria"/>
          <w:lang w:val="es-ES_tradnl"/>
        </w:rPr>
      </w:pPr>
      <w:r w:rsidRPr="00ED541F">
        <w:rPr>
          <w:rFonts w:ascii="Cambria" w:hAnsi="Cambria"/>
          <w:noProof/>
          <w:lang w:val="en-US" w:eastAsia="en-US"/>
        </w:rPr>
        <mc:AlternateContent>
          <mc:Choice Requires="wps">
            <w:drawing>
              <wp:anchor distT="0" distB="0" distL="114300" distR="114300" simplePos="0" relativeHeight="251664384" behindDoc="0" locked="0" layoutInCell="1" allowOverlap="1" wp14:anchorId="5513480C" wp14:editId="5FBFD58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55221" w14:textId="72BFC275" w:rsidR="00A61DD8" w:rsidRDefault="00A61DD8" w:rsidP="00D70A2A">
                            <w:pPr>
                              <w:spacing w:line="276" w:lineRule="auto"/>
                              <w:rPr>
                                <w:rFonts w:ascii="Cambria" w:hAnsi="Cambria"/>
                                <w:color w:val="595959" w:themeColor="text1" w:themeTint="A6"/>
                                <w:sz w:val="18"/>
                                <w:szCs w:val="18"/>
                                <w:lang w:val="es-ES_tradnl"/>
                              </w:rPr>
                            </w:pPr>
                            <w:r w:rsidRPr="00FF3BD7">
                              <w:rPr>
                                <w:rFonts w:ascii="Cambria" w:hAnsi="Cambria"/>
                                <w:b/>
                                <w:color w:val="595959" w:themeColor="text1" w:themeTint="A6"/>
                                <w:sz w:val="18"/>
                                <w:szCs w:val="18"/>
                                <w:lang w:val="pt-BR"/>
                              </w:rPr>
                              <w:t>Citar como:</w:t>
                            </w:r>
                            <w:r>
                              <w:rPr>
                                <w:rFonts w:ascii="Cambria" w:hAnsi="Cambria"/>
                                <w:color w:val="595959" w:themeColor="text1" w:themeTint="A6"/>
                                <w:sz w:val="18"/>
                                <w:szCs w:val="18"/>
                                <w:lang w:val="pt-BR"/>
                              </w:rPr>
                              <w:t xml:space="preserve"> CIDH, Informe No. </w:t>
                            </w:r>
                            <w:r w:rsidRPr="00AD2F85">
                              <w:rPr>
                                <w:rFonts w:ascii="Cambria" w:hAnsi="Cambria"/>
                                <w:color w:val="595959" w:themeColor="text1" w:themeTint="A6"/>
                                <w:sz w:val="18"/>
                                <w:szCs w:val="18"/>
                                <w:lang w:val="pt-BR"/>
                              </w:rPr>
                              <w:t>6</w:t>
                            </w:r>
                            <w:r>
                              <w:rPr>
                                <w:rFonts w:ascii="Cambria" w:hAnsi="Cambria"/>
                                <w:color w:val="595959" w:themeColor="text1" w:themeTint="A6"/>
                                <w:sz w:val="18"/>
                                <w:szCs w:val="18"/>
                                <w:lang w:val="pt-BR"/>
                              </w:rPr>
                              <w:t>3</w:t>
                            </w:r>
                            <w:r w:rsidRPr="00AD2F85">
                              <w:rPr>
                                <w:rFonts w:ascii="Cambria" w:hAnsi="Cambria"/>
                                <w:color w:val="595959" w:themeColor="text1" w:themeTint="A6"/>
                                <w:sz w:val="18"/>
                                <w:szCs w:val="18"/>
                                <w:lang w:val="pt-BR"/>
                              </w:rPr>
                              <w:t xml:space="preserve">/18, Caso 12.593. </w:t>
                            </w:r>
                            <w:r w:rsidRPr="001E1ED6">
                              <w:rPr>
                                <w:rFonts w:ascii="Cambria" w:hAnsi="Cambria"/>
                                <w:color w:val="595959" w:themeColor="text1" w:themeTint="A6"/>
                                <w:sz w:val="18"/>
                                <w:szCs w:val="18"/>
                                <w:lang w:val="es-ES_tradnl"/>
                              </w:rPr>
                              <w:t xml:space="preserve">Fondo. </w:t>
                            </w:r>
                            <w:proofErr w:type="spellStart"/>
                            <w:r>
                              <w:rPr>
                                <w:rFonts w:ascii="Cambria" w:hAnsi="Cambria"/>
                                <w:color w:val="595959" w:themeColor="text1" w:themeTint="A6"/>
                                <w:sz w:val="18"/>
                                <w:szCs w:val="18"/>
                                <w:lang w:val="es-ES_tradnl"/>
                              </w:rPr>
                              <w:t>Victor</w:t>
                            </w:r>
                            <w:proofErr w:type="spellEnd"/>
                            <w:r>
                              <w:rPr>
                                <w:rFonts w:ascii="Cambria" w:hAnsi="Cambria"/>
                                <w:color w:val="595959" w:themeColor="text1" w:themeTint="A6"/>
                                <w:sz w:val="18"/>
                                <w:szCs w:val="18"/>
                                <w:lang w:val="es-ES_tradnl"/>
                              </w:rPr>
                              <w:t xml:space="preserve"> Henry Mina Cuero</w:t>
                            </w:r>
                            <w:r w:rsidRPr="001E1ED6">
                              <w:rPr>
                                <w:rFonts w:ascii="Cambria" w:hAnsi="Cambria"/>
                                <w:color w:val="595959" w:themeColor="text1" w:themeTint="A6"/>
                                <w:sz w:val="18"/>
                                <w:szCs w:val="18"/>
                                <w:lang w:val="es-ES_tradnl"/>
                              </w:rPr>
                              <w:t>.</w:t>
                            </w:r>
                            <w:r>
                              <w:rPr>
                                <w:rFonts w:ascii="Cambria" w:hAnsi="Cambria"/>
                                <w:color w:val="595959" w:themeColor="text1" w:themeTint="A6"/>
                                <w:sz w:val="18"/>
                                <w:szCs w:val="18"/>
                                <w:lang w:val="es-ES_tradnl"/>
                              </w:rPr>
                              <w:t xml:space="preserve"> Ecuador</w:t>
                            </w:r>
                            <w:r w:rsidRPr="001E1ED6">
                              <w:rPr>
                                <w:rFonts w:ascii="Cambria" w:hAnsi="Cambria"/>
                                <w:color w:val="595959" w:themeColor="text1" w:themeTint="A6"/>
                                <w:sz w:val="18"/>
                                <w:szCs w:val="18"/>
                                <w:lang w:val="es-ES_tradnl"/>
                              </w:rPr>
                              <w:t xml:space="preserve">. </w:t>
                            </w:r>
                          </w:p>
                          <w:p w14:paraId="1CA1AB49" w14:textId="3364F51C" w:rsidR="00A61DD8" w:rsidRPr="001E1ED6" w:rsidRDefault="00A61DD8" w:rsidP="00D70A2A">
                            <w:pPr>
                              <w:spacing w:line="276" w:lineRule="auto"/>
                              <w:rPr>
                                <w:rFonts w:ascii="Cambria" w:hAnsi="Cambria"/>
                                <w:color w:val="595959" w:themeColor="text1" w:themeTint="A6"/>
                                <w:sz w:val="18"/>
                                <w:szCs w:val="18"/>
                                <w:lang w:val="es-US"/>
                              </w:rPr>
                            </w:pPr>
                            <w:r>
                              <w:rPr>
                                <w:rFonts w:ascii="Cambria" w:hAnsi="Cambria"/>
                                <w:color w:val="595959" w:themeColor="text1" w:themeTint="A6"/>
                                <w:sz w:val="18"/>
                                <w:szCs w:val="18"/>
                                <w:lang w:val="es-US"/>
                              </w:rPr>
                              <w:t>8 de mayo de 2018</w:t>
                            </w:r>
                            <w:r w:rsidRPr="001E1ED6">
                              <w:rPr>
                                <w:rFonts w:ascii="Cambria" w:hAnsi="Cambria"/>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3480C"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6255221" w14:textId="72BFC275" w:rsidR="00A61DD8" w:rsidRDefault="00A61DD8" w:rsidP="00D70A2A">
                      <w:pPr>
                        <w:spacing w:line="276" w:lineRule="auto"/>
                        <w:rPr>
                          <w:rFonts w:ascii="Cambria" w:hAnsi="Cambria"/>
                          <w:color w:val="595959" w:themeColor="text1" w:themeTint="A6"/>
                          <w:sz w:val="18"/>
                          <w:szCs w:val="18"/>
                          <w:lang w:val="es-ES_tradnl"/>
                        </w:rPr>
                      </w:pPr>
                      <w:r w:rsidRPr="00FF3BD7">
                        <w:rPr>
                          <w:rFonts w:ascii="Cambria" w:hAnsi="Cambria"/>
                          <w:b/>
                          <w:color w:val="595959" w:themeColor="text1" w:themeTint="A6"/>
                          <w:sz w:val="18"/>
                          <w:szCs w:val="18"/>
                          <w:lang w:val="pt-BR"/>
                        </w:rPr>
                        <w:t>Citar como:</w:t>
                      </w:r>
                      <w:r>
                        <w:rPr>
                          <w:rFonts w:ascii="Cambria" w:hAnsi="Cambria"/>
                          <w:color w:val="595959" w:themeColor="text1" w:themeTint="A6"/>
                          <w:sz w:val="18"/>
                          <w:szCs w:val="18"/>
                          <w:lang w:val="pt-BR"/>
                        </w:rPr>
                        <w:t xml:space="preserve"> CIDH, Informe No. </w:t>
                      </w:r>
                      <w:r w:rsidRPr="00AD2F85">
                        <w:rPr>
                          <w:rFonts w:ascii="Cambria" w:hAnsi="Cambria"/>
                          <w:color w:val="595959" w:themeColor="text1" w:themeTint="A6"/>
                          <w:sz w:val="18"/>
                          <w:szCs w:val="18"/>
                          <w:lang w:val="pt-BR"/>
                        </w:rPr>
                        <w:t>6</w:t>
                      </w:r>
                      <w:r>
                        <w:rPr>
                          <w:rFonts w:ascii="Cambria" w:hAnsi="Cambria"/>
                          <w:color w:val="595959" w:themeColor="text1" w:themeTint="A6"/>
                          <w:sz w:val="18"/>
                          <w:szCs w:val="18"/>
                          <w:lang w:val="pt-BR"/>
                        </w:rPr>
                        <w:t>3</w:t>
                      </w:r>
                      <w:r w:rsidRPr="00AD2F85">
                        <w:rPr>
                          <w:rFonts w:ascii="Cambria" w:hAnsi="Cambria"/>
                          <w:color w:val="595959" w:themeColor="text1" w:themeTint="A6"/>
                          <w:sz w:val="18"/>
                          <w:szCs w:val="18"/>
                          <w:lang w:val="pt-BR"/>
                        </w:rPr>
                        <w:t xml:space="preserve">/18, Caso 12.593. </w:t>
                      </w:r>
                      <w:r w:rsidRPr="001E1ED6">
                        <w:rPr>
                          <w:rFonts w:ascii="Cambria" w:hAnsi="Cambria"/>
                          <w:color w:val="595959" w:themeColor="text1" w:themeTint="A6"/>
                          <w:sz w:val="18"/>
                          <w:szCs w:val="18"/>
                          <w:lang w:val="es-ES_tradnl"/>
                        </w:rPr>
                        <w:t xml:space="preserve">Fondo. </w:t>
                      </w:r>
                      <w:proofErr w:type="spellStart"/>
                      <w:r>
                        <w:rPr>
                          <w:rFonts w:ascii="Cambria" w:hAnsi="Cambria"/>
                          <w:color w:val="595959" w:themeColor="text1" w:themeTint="A6"/>
                          <w:sz w:val="18"/>
                          <w:szCs w:val="18"/>
                          <w:lang w:val="es-ES_tradnl"/>
                        </w:rPr>
                        <w:t>Victor</w:t>
                      </w:r>
                      <w:proofErr w:type="spellEnd"/>
                      <w:r>
                        <w:rPr>
                          <w:rFonts w:ascii="Cambria" w:hAnsi="Cambria"/>
                          <w:color w:val="595959" w:themeColor="text1" w:themeTint="A6"/>
                          <w:sz w:val="18"/>
                          <w:szCs w:val="18"/>
                          <w:lang w:val="es-ES_tradnl"/>
                        </w:rPr>
                        <w:t xml:space="preserve"> Henry Mina Cuero</w:t>
                      </w:r>
                      <w:r w:rsidRPr="001E1ED6">
                        <w:rPr>
                          <w:rFonts w:ascii="Cambria" w:hAnsi="Cambria"/>
                          <w:color w:val="595959" w:themeColor="text1" w:themeTint="A6"/>
                          <w:sz w:val="18"/>
                          <w:szCs w:val="18"/>
                          <w:lang w:val="es-ES_tradnl"/>
                        </w:rPr>
                        <w:t>.</w:t>
                      </w:r>
                      <w:r>
                        <w:rPr>
                          <w:rFonts w:ascii="Cambria" w:hAnsi="Cambria"/>
                          <w:color w:val="595959" w:themeColor="text1" w:themeTint="A6"/>
                          <w:sz w:val="18"/>
                          <w:szCs w:val="18"/>
                          <w:lang w:val="es-ES_tradnl"/>
                        </w:rPr>
                        <w:t xml:space="preserve"> Ecuador</w:t>
                      </w:r>
                      <w:r w:rsidRPr="001E1ED6">
                        <w:rPr>
                          <w:rFonts w:ascii="Cambria" w:hAnsi="Cambria"/>
                          <w:color w:val="595959" w:themeColor="text1" w:themeTint="A6"/>
                          <w:sz w:val="18"/>
                          <w:szCs w:val="18"/>
                          <w:lang w:val="es-ES_tradnl"/>
                        </w:rPr>
                        <w:t xml:space="preserve">. </w:t>
                      </w:r>
                    </w:p>
                    <w:p w14:paraId="1CA1AB49" w14:textId="3364F51C" w:rsidR="00A61DD8" w:rsidRPr="001E1ED6" w:rsidRDefault="00A61DD8" w:rsidP="00D70A2A">
                      <w:pPr>
                        <w:spacing w:line="276" w:lineRule="auto"/>
                        <w:rPr>
                          <w:rFonts w:ascii="Cambria" w:hAnsi="Cambria"/>
                          <w:color w:val="595959" w:themeColor="text1" w:themeTint="A6"/>
                          <w:sz w:val="18"/>
                          <w:szCs w:val="18"/>
                          <w:lang w:val="es-US"/>
                        </w:rPr>
                      </w:pPr>
                      <w:r>
                        <w:rPr>
                          <w:rFonts w:ascii="Cambria" w:hAnsi="Cambria"/>
                          <w:color w:val="595959" w:themeColor="text1" w:themeTint="A6"/>
                          <w:sz w:val="18"/>
                          <w:szCs w:val="18"/>
                          <w:lang w:val="es-US"/>
                        </w:rPr>
                        <w:t>8 de mayo de 2018</w:t>
                      </w:r>
                      <w:r w:rsidRPr="001E1ED6">
                        <w:rPr>
                          <w:rFonts w:ascii="Cambria" w:hAnsi="Cambria"/>
                          <w:color w:val="595959" w:themeColor="text1" w:themeTint="A6"/>
                          <w:sz w:val="18"/>
                          <w:szCs w:val="18"/>
                          <w:lang w:val="es-US"/>
                        </w:rPr>
                        <w:t>.</w:t>
                      </w:r>
                    </w:p>
                  </w:txbxContent>
                </v:textbox>
              </v:shape>
            </w:pict>
          </mc:Fallback>
        </mc:AlternateContent>
      </w:r>
    </w:p>
    <w:p w14:paraId="267D33D4" w14:textId="77777777" w:rsidR="00D70A2A" w:rsidRPr="00ED541F" w:rsidRDefault="00D70A2A" w:rsidP="00D70A2A">
      <w:pPr>
        <w:tabs>
          <w:tab w:val="center" w:pos="5400"/>
        </w:tabs>
        <w:suppressAutoHyphens/>
        <w:jc w:val="center"/>
        <w:rPr>
          <w:rFonts w:ascii="Cambria" w:hAnsi="Cambria"/>
          <w:lang w:val="es-ES_tradnl"/>
        </w:rPr>
      </w:pPr>
    </w:p>
    <w:p w14:paraId="2C3A21BC" w14:textId="77777777" w:rsidR="00D70A2A" w:rsidRPr="00ED541F" w:rsidRDefault="00D70A2A" w:rsidP="00D70A2A">
      <w:pPr>
        <w:tabs>
          <w:tab w:val="center" w:pos="5400"/>
        </w:tabs>
        <w:suppressAutoHyphens/>
        <w:jc w:val="center"/>
        <w:rPr>
          <w:rFonts w:ascii="Cambria" w:hAnsi="Cambria"/>
          <w:b/>
          <w:lang w:val="es-ES_tradnl"/>
        </w:rPr>
      </w:pPr>
      <w:r w:rsidRPr="00ED541F">
        <w:rPr>
          <w:rFonts w:ascii="Cambria" w:hAnsi="Cambria"/>
          <w:noProof/>
          <w:lang w:val="en-US" w:eastAsia="en-US"/>
        </w:rPr>
        <mc:AlternateContent>
          <mc:Choice Requires="wps">
            <w:drawing>
              <wp:anchor distT="0" distB="0" distL="114300" distR="114300" simplePos="0" relativeHeight="251665408" behindDoc="0" locked="0" layoutInCell="1" allowOverlap="1" wp14:anchorId="5D6FFF86" wp14:editId="2CAAA33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54C82" w14:textId="77777777" w:rsidR="00A61DD8" w:rsidRPr="00D72DC6" w:rsidRDefault="00A61DD8" w:rsidP="00D70A2A">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1CBBA266" wp14:editId="6551DF98">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FFF86"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4D54C82" w14:textId="77777777" w:rsidR="00A61DD8" w:rsidRPr="00D72DC6" w:rsidRDefault="00A61DD8" w:rsidP="00D70A2A">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1CBBA266" wp14:editId="6551DF98">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D541F">
        <w:rPr>
          <w:rFonts w:ascii="Cambria" w:hAnsi="Cambria"/>
          <w:noProof/>
          <w:lang w:val="en-US" w:eastAsia="en-US"/>
        </w:rPr>
        <mc:AlternateContent>
          <mc:Choice Requires="wps">
            <w:drawing>
              <wp:anchor distT="0" distB="0" distL="114300" distR="114300" simplePos="0" relativeHeight="251666432" behindDoc="0" locked="0" layoutInCell="1" allowOverlap="1" wp14:anchorId="2943CE78" wp14:editId="29549D7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BC16F" w14:textId="77777777" w:rsidR="00A61DD8" w:rsidRPr="004B7EB6" w:rsidRDefault="00A61DD8" w:rsidP="00D70A2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3CE78"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0FBC16F" w14:textId="77777777" w:rsidR="00A61DD8" w:rsidRPr="004B7EB6" w:rsidRDefault="00A61DD8" w:rsidP="00D70A2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D2CFB58" w14:textId="77777777" w:rsidR="00D70A2A" w:rsidRPr="00ED541F" w:rsidRDefault="00D70A2A" w:rsidP="00D70A2A">
      <w:pPr>
        <w:tabs>
          <w:tab w:val="center" w:pos="5400"/>
        </w:tabs>
        <w:suppressAutoHyphens/>
        <w:jc w:val="center"/>
        <w:rPr>
          <w:rFonts w:ascii="Cambria" w:hAnsi="Cambria"/>
          <w:b/>
          <w:lang w:val="es-ES_tradnl"/>
        </w:rPr>
        <w:sectPr w:rsidR="00D70A2A" w:rsidRPr="00ED541F" w:rsidSect="00D70A2A">
          <w:headerReference w:type="even" r:id="rId10"/>
          <w:headerReference w:type="default"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p>
    <w:p w14:paraId="0A895983" w14:textId="77777777" w:rsidR="00A61DD8" w:rsidRDefault="00A61DD8" w:rsidP="00EB40E7">
      <w:pPr>
        <w:tabs>
          <w:tab w:val="center" w:pos="5400"/>
        </w:tabs>
        <w:suppressAutoHyphens/>
        <w:spacing w:line="276" w:lineRule="auto"/>
        <w:jc w:val="center"/>
        <w:rPr>
          <w:rFonts w:ascii="Cambria" w:hAnsi="Cambria"/>
          <w:b/>
          <w:sz w:val="18"/>
          <w:szCs w:val="18"/>
          <w:lang w:val="es-CO"/>
        </w:rPr>
      </w:pPr>
    </w:p>
    <w:p w14:paraId="51B334D6" w14:textId="44556384" w:rsidR="00D70A2A" w:rsidRPr="007D7E8D" w:rsidRDefault="00AD2F85" w:rsidP="00EB40E7">
      <w:pPr>
        <w:tabs>
          <w:tab w:val="center" w:pos="5400"/>
        </w:tabs>
        <w:suppressAutoHyphens/>
        <w:spacing w:line="276" w:lineRule="auto"/>
        <w:jc w:val="center"/>
        <w:rPr>
          <w:rFonts w:ascii="Cambria" w:hAnsi="Cambria"/>
          <w:b/>
          <w:sz w:val="18"/>
          <w:szCs w:val="18"/>
          <w:lang w:val="es-CO"/>
        </w:rPr>
      </w:pPr>
      <w:r w:rsidRPr="007D7E8D">
        <w:rPr>
          <w:rFonts w:ascii="Cambria" w:hAnsi="Cambria"/>
          <w:b/>
          <w:sz w:val="18"/>
          <w:szCs w:val="18"/>
          <w:lang w:val="es-CO"/>
        </w:rPr>
        <w:t>INFORME No. 63</w:t>
      </w:r>
      <w:r w:rsidR="00D70A2A" w:rsidRPr="007D7E8D">
        <w:rPr>
          <w:rFonts w:ascii="Cambria" w:hAnsi="Cambria"/>
          <w:b/>
          <w:sz w:val="18"/>
          <w:szCs w:val="18"/>
          <w:lang w:val="es-CO"/>
        </w:rPr>
        <w:t>/18</w:t>
      </w:r>
    </w:p>
    <w:p w14:paraId="62FED5B9" w14:textId="5CBD3FC6" w:rsidR="00D70A2A" w:rsidRPr="007D7E8D" w:rsidRDefault="00D70A2A" w:rsidP="00D70A2A">
      <w:pPr>
        <w:tabs>
          <w:tab w:val="center" w:pos="5400"/>
        </w:tabs>
        <w:suppressAutoHyphens/>
        <w:spacing w:line="276" w:lineRule="auto"/>
        <w:jc w:val="center"/>
        <w:rPr>
          <w:rFonts w:ascii="Cambria" w:hAnsi="Cambria"/>
          <w:b/>
          <w:sz w:val="18"/>
          <w:szCs w:val="18"/>
          <w:lang w:val="es-CO"/>
        </w:rPr>
      </w:pPr>
      <w:r w:rsidRPr="007D7E8D">
        <w:rPr>
          <w:rFonts w:ascii="Cambria" w:hAnsi="Cambria"/>
          <w:b/>
          <w:sz w:val="18"/>
          <w:szCs w:val="18"/>
          <w:lang w:val="es-CO"/>
        </w:rPr>
        <w:t>CASO 12.593</w:t>
      </w:r>
    </w:p>
    <w:p w14:paraId="655A0E32" w14:textId="77777777" w:rsidR="00D70A2A" w:rsidRPr="007D7E8D" w:rsidRDefault="00D70A2A" w:rsidP="00D70A2A">
      <w:pPr>
        <w:tabs>
          <w:tab w:val="center" w:pos="5400"/>
        </w:tabs>
        <w:suppressAutoHyphens/>
        <w:spacing w:line="276" w:lineRule="auto"/>
        <w:jc w:val="center"/>
        <w:rPr>
          <w:rFonts w:ascii="Cambria" w:hAnsi="Cambria"/>
          <w:sz w:val="18"/>
          <w:szCs w:val="18"/>
          <w:lang w:val="es-ES_tradnl"/>
        </w:rPr>
      </w:pPr>
      <w:r w:rsidRPr="007D7E8D">
        <w:rPr>
          <w:rFonts w:ascii="Cambria" w:hAnsi="Cambria"/>
          <w:sz w:val="18"/>
          <w:szCs w:val="18"/>
          <w:lang w:val="es-ES_tradnl"/>
        </w:rPr>
        <w:t>FONDO</w:t>
      </w:r>
    </w:p>
    <w:p w14:paraId="4ADF74E5" w14:textId="335558CD" w:rsidR="00D70A2A" w:rsidRPr="007D7E8D" w:rsidRDefault="00D70A2A" w:rsidP="00D70A2A">
      <w:pPr>
        <w:tabs>
          <w:tab w:val="center" w:pos="5400"/>
        </w:tabs>
        <w:suppressAutoHyphens/>
        <w:spacing w:line="276" w:lineRule="auto"/>
        <w:jc w:val="center"/>
        <w:rPr>
          <w:rFonts w:ascii="Cambria" w:hAnsi="Cambria"/>
          <w:sz w:val="18"/>
          <w:szCs w:val="18"/>
          <w:lang w:val="es-ES_tradnl"/>
        </w:rPr>
      </w:pPr>
      <w:r w:rsidRPr="007D7E8D">
        <w:rPr>
          <w:rFonts w:ascii="Cambria" w:hAnsi="Cambria"/>
          <w:sz w:val="18"/>
          <w:szCs w:val="18"/>
          <w:lang w:val="es-ES_tradnl"/>
        </w:rPr>
        <w:t>VICTOR HENRY MINA CUERO</w:t>
      </w:r>
    </w:p>
    <w:p w14:paraId="79946222" w14:textId="1B82C46A" w:rsidR="00D70A2A" w:rsidRPr="007D7E8D" w:rsidRDefault="00D70A2A" w:rsidP="00D70A2A">
      <w:pPr>
        <w:tabs>
          <w:tab w:val="center" w:pos="5400"/>
        </w:tabs>
        <w:suppressAutoHyphens/>
        <w:spacing w:line="276" w:lineRule="auto"/>
        <w:jc w:val="center"/>
        <w:rPr>
          <w:rFonts w:ascii="Cambria" w:hAnsi="Cambria"/>
          <w:sz w:val="18"/>
          <w:szCs w:val="18"/>
          <w:lang w:val="es-ES_tradnl"/>
        </w:rPr>
      </w:pPr>
      <w:r w:rsidRPr="007D7E8D">
        <w:rPr>
          <w:rFonts w:ascii="Cambria" w:hAnsi="Cambria"/>
          <w:sz w:val="18"/>
          <w:szCs w:val="18"/>
          <w:lang w:val="es-ES_tradnl"/>
        </w:rPr>
        <w:t>ECUADOR</w:t>
      </w:r>
    </w:p>
    <w:p w14:paraId="4C85B699" w14:textId="5DD5D757" w:rsidR="00D70A2A" w:rsidRPr="007D7E8D" w:rsidRDefault="00AD2F85" w:rsidP="00D70A2A">
      <w:pPr>
        <w:tabs>
          <w:tab w:val="center" w:pos="5400"/>
        </w:tabs>
        <w:suppressAutoHyphens/>
        <w:spacing w:line="276" w:lineRule="auto"/>
        <w:jc w:val="center"/>
        <w:rPr>
          <w:rFonts w:ascii="Cambria" w:hAnsi="Cambria"/>
          <w:sz w:val="18"/>
          <w:szCs w:val="18"/>
          <w:lang w:val="es-ES_tradnl"/>
        </w:rPr>
      </w:pPr>
      <w:r w:rsidRPr="007D7E8D">
        <w:rPr>
          <w:rFonts w:ascii="Cambria" w:hAnsi="Cambria"/>
          <w:sz w:val="18"/>
          <w:szCs w:val="18"/>
          <w:lang w:val="es-ES_tradnl"/>
        </w:rPr>
        <w:t>8 DE MAYO DE 2018</w:t>
      </w:r>
    </w:p>
    <w:p w14:paraId="40BAFC59" w14:textId="77777777" w:rsidR="00D70A2A" w:rsidRPr="007D7E8D" w:rsidRDefault="00D70A2A" w:rsidP="00D70A2A">
      <w:pPr>
        <w:tabs>
          <w:tab w:val="center" w:pos="5400"/>
        </w:tabs>
        <w:suppressAutoHyphens/>
        <w:spacing w:line="276" w:lineRule="auto"/>
        <w:jc w:val="center"/>
        <w:rPr>
          <w:rFonts w:ascii="Cambria" w:hAnsi="Cambria"/>
          <w:sz w:val="18"/>
          <w:szCs w:val="18"/>
          <w:lang w:val="es-ES_tradnl"/>
        </w:rPr>
      </w:pPr>
    </w:p>
    <w:p w14:paraId="725CA391" w14:textId="0A16B728" w:rsidR="00D70A2A" w:rsidRPr="00A61DD8" w:rsidRDefault="003E2CED" w:rsidP="003E2CED">
      <w:pPr>
        <w:tabs>
          <w:tab w:val="center" w:pos="5400"/>
        </w:tabs>
        <w:suppressAutoHyphens/>
        <w:spacing w:line="276" w:lineRule="auto"/>
        <w:jc w:val="center"/>
        <w:rPr>
          <w:rFonts w:ascii="Cambria" w:hAnsi="Cambria"/>
          <w:b/>
          <w:lang w:val="es-ES_tradnl"/>
        </w:rPr>
      </w:pPr>
      <w:r w:rsidRPr="00A61DD8">
        <w:rPr>
          <w:rFonts w:ascii="Cambria" w:hAnsi="Cambria"/>
          <w:b/>
          <w:lang w:val="es-ES_tradnl"/>
        </w:rPr>
        <w:t>ÍNDICE</w:t>
      </w:r>
    </w:p>
    <w:p w14:paraId="66FBE4B0" w14:textId="77777777" w:rsidR="00D70A2A" w:rsidRPr="00ED541F" w:rsidRDefault="00D70A2A" w:rsidP="00D70A2A">
      <w:pPr>
        <w:suppressAutoHyphens/>
        <w:rPr>
          <w:rFonts w:ascii="Cambria" w:hAnsi="Cambria"/>
          <w:b/>
          <w:lang w:val="es-ES_tradnl"/>
        </w:rPr>
      </w:pPr>
    </w:p>
    <w:p w14:paraId="15B3F22A" w14:textId="1BDEBD8F" w:rsidR="00A61DD8" w:rsidRDefault="00D70A2A">
      <w:pPr>
        <w:pStyle w:val="TOC1"/>
        <w:rPr>
          <w:rFonts w:asciiTheme="minorHAnsi" w:eastAsiaTheme="minorEastAsia" w:hAnsiTheme="minorHAnsi" w:cstheme="minorBidi"/>
          <w:b w:val="0"/>
          <w:sz w:val="22"/>
          <w:szCs w:val="22"/>
          <w:bdr w:val="none" w:sz="0" w:space="0" w:color="auto"/>
          <w:lang w:val="en-US"/>
        </w:rPr>
      </w:pPr>
      <w:r w:rsidRPr="00ED541F">
        <w:rPr>
          <w:rFonts w:ascii="Cambria" w:hAnsi="Cambria"/>
          <w:b w:val="0"/>
        </w:rPr>
        <w:fldChar w:fldCharType="begin"/>
      </w:r>
      <w:r w:rsidRPr="00ED541F">
        <w:rPr>
          <w:rFonts w:ascii="Cambria" w:hAnsi="Cambria"/>
          <w:b w:val="0"/>
        </w:rPr>
        <w:instrText xml:space="preserve"> TOC \o "1-7" \h \z \u </w:instrText>
      </w:r>
      <w:r w:rsidRPr="00ED541F">
        <w:rPr>
          <w:rFonts w:ascii="Cambria" w:hAnsi="Cambria"/>
          <w:b w:val="0"/>
        </w:rPr>
        <w:fldChar w:fldCharType="separate"/>
      </w:r>
      <w:hyperlink w:anchor="_Toc531880961" w:history="1">
        <w:r w:rsidR="00A61DD8" w:rsidRPr="00B605FD">
          <w:rPr>
            <w:rStyle w:val="Hyperlink"/>
            <w:rFonts w:ascii="Cambria" w:hAnsi="Cambria"/>
          </w:rPr>
          <w:t>I.</w:t>
        </w:r>
        <w:r w:rsidR="00A61DD8">
          <w:rPr>
            <w:rFonts w:asciiTheme="minorHAnsi" w:eastAsiaTheme="minorEastAsia" w:hAnsiTheme="minorHAnsi" w:cstheme="minorBidi"/>
            <w:b w:val="0"/>
            <w:sz w:val="22"/>
            <w:szCs w:val="22"/>
            <w:bdr w:val="none" w:sz="0" w:space="0" w:color="auto"/>
            <w:lang w:val="en-US"/>
          </w:rPr>
          <w:tab/>
        </w:r>
        <w:r w:rsidR="00A61DD8" w:rsidRPr="00B605FD">
          <w:rPr>
            <w:rStyle w:val="Hyperlink"/>
            <w:rFonts w:ascii="Cambria" w:hAnsi="Cambria"/>
          </w:rPr>
          <w:t>RESUMEN</w:t>
        </w:r>
        <w:r w:rsidR="00A61DD8">
          <w:rPr>
            <w:webHidden/>
          </w:rPr>
          <w:tab/>
        </w:r>
        <w:r w:rsidR="00A61DD8">
          <w:rPr>
            <w:webHidden/>
          </w:rPr>
          <w:fldChar w:fldCharType="begin"/>
        </w:r>
        <w:r w:rsidR="00A61DD8">
          <w:rPr>
            <w:webHidden/>
          </w:rPr>
          <w:instrText xml:space="preserve"> PAGEREF _Toc531880961 \h </w:instrText>
        </w:r>
        <w:r w:rsidR="00A61DD8">
          <w:rPr>
            <w:webHidden/>
          </w:rPr>
        </w:r>
        <w:r w:rsidR="00A61DD8">
          <w:rPr>
            <w:webHidden/>
          </w:rPr>
          <w:fldChar w:fldCharType="separate"/>
        </w:r>
        <w:r w:rsidR="00CC6930">
          <w:rPr>
            <w:webHidden/>
          </w:rPr>
          <w:t>2</w:t>
        </w:r>
        <w:r w:rsidR="00A61DD8">
          <w:rPr>
            <w:webHidden/>
          </w:rPr>
          <w:fldChar w:fldCharType="end"/>
        </w:r>
      </w:hyperlink>
    </w:p>
    <w:p w14:paraId="335E0103" w14:textId="0BE0A6CF" w:rsidR="00A61DD8" w:rsidRDefault="00671BE5">
      <w:pPr>
        <w:pStyle w:val="TOC1"/>
        <w:rPr>
          <w:rFonts w:asciiTheme="minorHAnsi" w:eastAsiaTheme="minorEastAsia" w:hAnsiTheme="minorHAnsi" w:cstheme="minorBidi"/>
          <w:b w:val="0"/>
          <w:sz w:val="22"/>
          <w:szCs w:val="22"/>
          <w:bdr w:val="none" w:sz="0" w:space="0" w:color="auto"/>
          <w:lang w:val="en-US"/>
        </w:rPr>
      </w:pPr>
      <w:hyperlink w:anchor="_Toc531880962" w:history="1">
        <w:r w:rsidR="00A61DD8" w:rsidRPr="00B605FD">
          <w:rPr>
            <w:rStyle w:val="Hyperlink"/>
            <w:rFonts w:ascii="Cambria" w:hAnsi="Cambria"/>
          </w:rPr>
          <w:t>II.</w:t>
        </w:r>
        <w:r w:rsidR="00A61DD8">
          <w:rPr>
            <w:rFonts w:asciiTheme="minorHAnsi" w:eastAsiaTheme="minorEastAsia" w:hAnsiTheme="minorHAnsi" w:cstheme="minorBidi"/>
            <w:b w:val="0"/>
            <w:sz w:val="22"/>
            <w:szCs w:val="22"/>
            <w:bdr w:val="none" w:sz="0" w:space="0" w:color="auto"/>
            <w:lang w:val="en-US"/>
          </w:rPr>
          <w:tab/>
        </w:r>
        <w:r w:rsidR="00A61DD8" w:rsidRPr="00B605FD">
          <w:rPr>
            <w:rStyle w:val="Hyperlink"/>
            <w:rFonts w:ascii="Cambria" w:hAnsi="Cambria"/>
          </w:rPr>
          <w:t>ALEGATOS DE LAS PARTES</w:t>
        </w:r>
        <w:r w:rsidR="00A61DD8">
          <w:rPr>
            <w:webHidden/>
          </w:rPr>
          <w:tab/>
        </w:r>
        <w:r w:rsidR="00A61DD8">
          <w:rPr>
            <w:webHidden/>
          </w:rPr>
          <w:fldChar w:fldCharType="begin"/>
        </w:r>
        <w:r w:rsidR="00A61DD8">
          <w:rPr>
            <w:webHidden/>
          </w:rPr>
          <w:instrText xml:space="preserve"> PAGEREF _Toc531880962 \h </w:instrText>
        </w:r>
        <w:r w:rsidR="00A61DD8">
          <w:rPr>
            <w:webHidden/>
          </w:rPr>
        </w:r>
        <w:r w:rsidR="00A61DD8">
          <w:rPr>
            <w:webHidden/>
          </w:rPr>
          <w:fldChar w:fldCharType="separate"/>
        </w:r>
        <w:r w:rsidR="00CC6930">
          <w:rPr>
            <w:webHidden/>
          </w:rPr>
          <w:t>2</w:t>
        </w:r>
        <w:r w:rsidR="00A61DD8">
          <w:rPr>
            <w:webHidden/>
          </w:rPr>
          <w:fldChar w:fldCharType="end"/>
        </w:r>
      </w:hyperlink>
    </w:p>
    <w:p w14:paraId="38599C11" w14:textId="02B2C535"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63" w:history="1">
        <w:r w:rsidR="00A61DD8" w:rsidRPr="00B605FD">
          <w:rPr>
            <w:rStyle w:val="Hyperlink"/>
            <w:noProof/>
            <w:lang w:val="es-ES_tradnl" w:eastAsia="en-US"/>
          </w:rPr>
          <w:t>A.</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ES_tradnl" w:eastAsia="en-US"/>
          </w:rPr>
          <w:t>Parte peticionaria</w:t>
        </w:r>
        <w:r w:rsidR="00A61DD8">
          <w:rPr>
            <w:noProof/>
            <w:webHidden/>
          </w:rPr>
          <w:tab/>
        </w:r>
        <w:r w:rsidR="00A61DD8">
          <w:rPr>
            <w:noProof/>
            <w:webHidden/>
          </w:rPr>
          <w:fldChar w:fldCharType="begin"/>
        </w:r>
        <w:r w:rsidR="00A61DD8">
          <w:rPr>
            <w:noProof/>
            <w:webHidden/>
          </w:rPr>
          <w:instrText xml:space="preserve"> PAGEREF _Toc531880963 \h </w:instrText>
        </w:r>
        <w:r w:rsidR="00A61DD8">
          <w:rPr>
            <w:noProof/>
            <w:webHidden/>
          </w:rPr>
        </w:r>
        <w:r w:rsidR="00A61DD8">
          <w:rPr>
            <w:noProof/>
            <w:webHidden/>
          </w:rPr>
          <w:fldChar w:fldCharType="separate"/>
        </w:r>
        <w:r w:rsidR="00CC6930">
          <w:rPr>
            <w:noProof/>
            <w:webHidden/>
          </w:rPr>
          <w:t>2</w:t>
        </w:r>
        <w:r w:rsidR="00A61DD8">
          <w:rPr>
            <w:noProof/>
            <w:webHidden/>
          </w:rPr>
          <w:fldChar w:fldCharType="end"/>
        </w:r>
      </w:hyperlink>
    </w:p>
    <w:p w14:paraId="60C5190E" w14:textId="18B6C2A0"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64" w:history="1">
        <w:r w:rsidR="00A61DD8" w:rsidRPr="00B605FD">
          <w:rPr>
            <w:rStyle w:val="Hyperlink"/>
            <w:noProof/>
            <w:lang w:val="es-ES_tradnl"/>
          </w:rPr>
          <w:t>B.</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ES_tradnl"/>
          </w:rPr>
          <w:t>Estado</w:t>
        </w:r>
        <w:r w:rsidR="00A61DD8">
          <w:rPr>
            <w:noProof/>
            <w:webHidden/>
          </w:rPr>
          <w:tab/>
        </w:r>
        <w:r w:rsidR="00A61DD8">
          <w:rPr>
            <w:noProof/>
            <w:webHidden/>
          </w:rPr>
          <w:fldChar w:fldCharType="begin"/>
        </w:r>
        <w:r w:rsidR="00A61DD8">
          <w:rPr>
            <w:noProof/>
            <w:webHidden/>
          </w:rPr>
          <w:instrText xml:space="preserve"> PAGEREF _Toc531880964 \h </w:instrText>
        </w:r>
        <w:r w:rsidR="00A61DD8">
          <w:rPr>
            <w:noProof/>
            <w:webHidden/>
          </w:rPr>
        </w:r>
        <w:r w:rsidR="00A61DD8">
          <w:rPr>
            <w:noProof/>
            <w:webHidden/>
          </w:rPr>
          <w:fldChar w:fldCharType="separate"/>
        </w:r>
        <w:r w:rsidR="00CC6930">
          <w:rPr>
            <w:noProof/>
            <w:webHidden/>
          </w:rPr>
          <w:t>4</w:t>
        </w:r>
        <w:r w:rsidR="00A61DD8">
          <w:rPr>
            <w:noProof/>
            <w:webHidden/>
          </w:rPr>
          <w:fldChar w:fldCharType="end"/>
        </w:r>
      </w:hyperlink>
    </w:p>
    <w:p w14:paraId="045F28F9" w14:textId="7DBD1B04" w:rsidR="00A61DD8" w:rsidRDefault="00671BE5">
      <w:pPr>
        <w:pStyle w:val="TOC1"/>
        <w:rPr>
          <w:rFonts w:asciiTheme="minorHAnsi" w:eastAsiaTheme="minorEastAsia" w:hAnsiTheme="minorHAnsi" w:cstheme="minorBidi"/>
          <w:b w:val="0"/>
          <w:sz w:val="22"/>
          <w:szCs w:val="22"/>
          <w:bdr w:val="none" w:sz="0" w:space="0" w:color="auto"/>
          <w:lang w:val="en-US"/>
        </w:rPr>
      </w:pPr>
      <w:hyperlink w:anchor="_Toc531880965" w:history="1">
        <w:r w:rsidR="00A61DD8" w:rsidRPr="00B605FD">
          <w:rPr>
            <w:rStyle w:val="Hyperlink"/>
            <w:lang w:val="es-US"/>
          </w:rPr>
          <w:t>III.</w:t>
        </w:r>
        <w:r w:rsidR="00A61DD8">
          <w:rPr>
            <w:rFonts w:asciiTheme="minorHAnsi" w:eastAsiaTheme="minorEastAsia" w:hAnsiTheme="minorHAnsi" w:cstheme="minorBidi"/>
            <w:b w:val="0"/>
            <w:sz w:val="22"/>
            <w:szCs w:val="22"/>
            <w:bdr w:val="none" w:sz="0" w:space="0" w:color="auto"/>
            <w:lang w:val="en-US"/>
          </w:rPr>
          <w:tab/>
        </w:r>
        <w:r w:rsidR="00A61DD8" w:rsidRPr="00B605FD">
          <w:rPr>
            <w:rStyle w:val="Hyperlink"/>
            <w:rFonts w:ascii="Cambria" w:hAnsi="Cambria"/>
          </w:rPr>
          <w:t>ANÁLISIS DE ADMISIBILIDAD</w:t>
        </w:r>
        <w:r w:rsidR="00A61DD8">
          <w:rPr>
            <w:webHidden/>
          </w:rPr>
          <w:tab/>
        </w:r>
        <w:r w:rsidR="00A61DD8">
          <w:rPr>
            <w:webHidden/>
          </w:rPr>
          <w:fldChar w:fldCharType="begin"/>
        </w:r>
        <w:r w:rsidR="00A61DD8">
          <w:rPr>
            <w:webHidden/>
          </w:rPr>
          <w:instrText xml:space="preserve"> PAGEREF _Toc531880965 \h </w:instrText>
        </w:r>
        <w:r w:rsidR="00A61DD8">
          <w:rPr>
            <w:webHidden/>
          </w:rPr>
        </w:r>
        <w:r w:rsidR="00A61DD8">
          <w:rPr>
            <w:webHidden/>
          </w:rPr>
          <w:fldChar w:fldCharType="separate"/>
        </w:r>
        <w:r w:rsidR="00CC6930">
          <w:rPr>
            <w:webHidden/>
          </w:rPr>
          <w:t>5</w:t>
        </w:r>
        <w:r w:rsidR="00A61DD8">
          <w:rPr>
            <w:webHidden/>
          </w:rPr>
          <w:fldChar w:fldCharType="end"/>
        </w:r>
      </w:hyperlink>
    </w:p>
    <w:p w14:paraId="51B387BC" w14:textId="6F7DA378"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66" w:history="1">
        <w:r w:rsidR="00A61DD8" w:rsidRPr="00B605FD">
          <w:rPr>
            <w:rStyle w:val="Hyperlink"/>
            <w:noProof/>
          </w:rPr>
          <w:t>A.</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rPr>
          <w:t>Competencia ratione</w:t>
        </w:r>
        <w:r w:rsidR="00A61DD8" w:rsidRPr="00B605FD">
          <w:rPr>
            <w:rStyle w:val="Hyperlink"/>
            <w:noProof/>
            <w:lang w:val="es-ES_tradnl"/>
          </w:rPr>
          <w:t xml:space="preserve"> materiae, ratione personae, ratione temporis y ratione loci de la  Comisión</w:t>
        </w:r>
        <w:r w:rsidR="00A61DD8">
          <w:rPr>
            <w:noProof/>
            <w:webHidden/>
          </w:rPr>
          <w:tab/>
        </w:r>
        <w:r w:rsidR="00A61DD8">
          <w:rPr>
            <w:noProof/>
            <w:webHidden/>
          </w:rPr>
          <w:fldChar w:fldCharType="begin"/>
        </w:r>
        <w:r w:rsidR="00A61DD8">
          <w:rPr>
            <w:noProof/>
            <w:webHidden/>
          </w:rPr>
          <w:instrText xml:space="preserve"> PAGEREF _Toc531880966 \h </w:instrText>
        </w:r>
        <w:r w:rsidR="00A61DD8">
          <w:rPr>
            <w:noProof/>
            <w:webHidden/>
          </w:rPr>
        </w:r>
        <w:r w:rsidR="00A61DD8">
          <w:rPr>
            <w:noProof/>
            <w:webHidden/>
          </w:rPr>
          <w:fldChar w:fldCharType="separate"/>
        </w:r>
        <w:r w:rsidR="00CC6930">
          <w:rPr>
            <w:noProof/>
            <w:webHidden/>
          </w:rPr>
          <w:t>5</w:t>
        </w:r>
        <w:r w:rsidR="00A61DD8">
          <w:rPr>
            <w:noProof/>
            <w:webHidden/>
          </w:rPr>
          <w:fldChar w:fldCharType="end"/>
        </w:r>
      </w:hyperlink>
    </w:p>
    <w:p w14:paraId="6F6B28BC" w14:textId="72A85C19"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67" w:history="1">
        <w:r w:rsidR="00A61DD8" w:rsidRPr="00B605FD">
          <w:rPr>
            <w:rStyle w:val="Hyperlink"/>
            <w:noProof/>
          </w:rPr>
          <w:t>B.</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rPr>
          <w:t>Agotamiento de recursos internos y plazo de presentación</w:t>
        </w:r>
        <w:r w:rsidR="00A61DD8">
          <w:rPr>
            <w:noProof/>
            <w:webHidden/>
          </w:rPr>
          <w:tab/>
        </w:r>
        <w:r w:rsidR="00A61DD8">
          <w:rPr>
            <w:noProof/>
            <w:webHidden/>
          </w:rPr>
          <w:fldChar w:fldCharType="begin"/>
        </w:r>
        <w:r w:rsidR="00A61DD8">
          <w:rPr>
            <w:noProof/>
            <w:webHidden/>
          </w:rPr>
          <w:instrText xml:space="preserve"> PAGEREF _Toc531880967 \h </w:instrText>
        </w:r>
        <w:r w:rsidR="00A61DD8">
          <w:rPr>
            <w:noProof/>
            <w:webHidden/>
          </w:rPr>
        </w:r>
        <w:r w:rsidR="00A61DD8">
          <w:rPr>
            <w:noProof/>
            <w:webHidden/>
          </w:rPr>
          <w:fldChar w:fldCharType="separate"/>
        </w:r>
        <w:r w:rsidR="00CC6930">
          <w:rPr>
            <w:noProof/>
            <w:webHidden/>
          </w:rPr>
          <w:t>6</w:t>
        </w:r>
        <w:r w:rsidR="00A61DD8">
          <w:rPr>
            <w:noProof/>
            <w:webHidden/>
          </w:rPr>
          <w:fldChar w:fldCharType="end"/>
        </w:r>
      </w:hyperlink>
    </w:p>
    <w:p w14:paraId="7D06B4A5" w14:textId="60EB9520"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68" w:history="1">
        <w:r w:rsidR="00A61DD8" w:rsidRPr="00B605FD">
          <w:rPr>
            <w:rStyle w:val="Hyperlink"/>
            <w:noProof/>
          </w:rPr>
          <w:t>C.</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rPr>
          <w:t>Caracterización de los hechos alegados</w:t>
        </w:r>
        <w:r w:rsidR="00A61DD8">
          <w:rPr>
            <w:noProof/>
            <w:webHidden/>
          </w:rPr>
          <w:tab/>
        </w:r>
        <w:r w:rsidR="00A61DD8">
          <w:rPr>
            <w:noProof/>
            <w:webHidden/>
          </w:rPr>
          <w:fldChar w:fldCharType="begin"/>
        </w:r>
        <w:r w:rsidR="00A61DD8">
          <w:rPr>
            <w:noProof/>
            <w:webHidden/>
          </w:rPr>
          <w:instrText xml:space="preserve"> PAGEREF _Toc531880968 \h </w:instrText>
        </w:r>
        <w:r w:rsidR="00A61DD8">
          <w:rPr>
            <w:noProof/>
            <w:webHidden/>
          </w:rPr>
        </w:r>
        <w:r w:rsidR="00A61DD8">
          <w:rPr>
            <w:noProof/>
            <w:webHidden/>
          </w:rPr>
          <w:fldChar w:fldCharType="separate"/>
        </w:r>
        <w:r w:rsidR="00CC6930">
          <w:rPr>
            <w:noProof/>
            <w:webHidden/>
          </w:rPr>
          <w:t>6</w:t>
        </w:r>
        <w:r w:rsidR="00A61DD8">
          <w:rPr>
            <w:noProof/>
            <w:webHidden/>
          </w:rPr>
          <w:fldChar w:fldCharType="end"/>
        </w:r>
      </w:hyperlink>
    </w:p>
    <w:p w14:paraId="054D23FE" w14:textId="448500C9" w:rsidR="00A61DD8" w:rsidRDefault="00671BE5">
      <w:pPr>
        <w:pStyle w:val="TOC1"/>
        <w:rPr>
          <w:rFonts w:asciiTheme="minorHAnsi" w:eastAsiaTheme="minorEastAsia" w:hAnsiTheme="minorHAnsi" w:cstheme="minorBidi"/>
          <w:b w:val="0"/>
          <w:sz w:val="22"/>
          <w:szCs w:val="22"/>
          <w:bdr w:val="none" w:sz="0" w:space="0" w:color="auto"/>
          <w:lang w:val="en-US"/>
        </w:rPr>
      </w:pPr>
      <w:hyperlink w:anchor="_Toc531880969" w:history="1">
        <w:r w:rsidR="00A61DD8" w:rsidRPr="00B605FD">
          <w:rPr>
            <w:rStyle w:val="Hyperlink"/>
            <w:rFonts w:ascii="Cambria" w:hAnsi="Cambria"/>
          </w:rPr>
          <w:t>IV.</w:t>
        </w:r>
        <w:r w:rsidR="00A61DD8">
          <w:rPr>
            <w:rFonts w:asciiTheme="minorHAnsi" w:eastAsiaTheme="minorEastAsia" w:hAnsiTheme="minorHAnsi" w:cstheme="minorBidi"/>
            <w:b w:val="0"/>
            <w:sz w:val="22"/>
            <w:szCs w:val="22"/>
            <w:bdr w:val="none" w:sz="0" w:space="0" w:color="auto"/>
            <w:lang w:val="en-US"/>
          </w:rPr>
          <w:tab/>
        </w:r>
        <w:r w:rsidR="00A61DD8" w:rsidRPr="00B605FD">
          <w:rPr>
            <w:rStyle w:val="Hyperlink"/>
            <w:rFonts w:ascii="Cambria" w:hAnsi="Cambria"/>
          </w:rPr>
          <w:t>DETERMINACIONES DE HECHO</w:t>
        </w:r>
        <w:r w:rsidR="00A61DD8">
          <w:rPr>
            <w:webHidden/>
          </w:rPr>
          <w:tab/>
        </w:r>
        <w:r w:rsidR="00A61DD8">
          <w:rPr>
            <w:webHidden/>
          </w:rPr>
          <w:fldChar w:fldCharType="begin"/>
        </w:r>
        <w:r w:rsidR="00A61DD8">
          <w:rPr>
            <w:webHidden/>
          </w:rPr>
          <w:instrText xml:space="preserve"> PAGEREF _Toc531880969 \h </w:instrText>
        </w:r>
        <w:r w:rsidR="00A61DD8">
          <w:rPr>
            <w:webHidden/>
          </w:rPr>
        </w:r>
        <w:r w:rsidR="00A61DD8">
          <w:rPr>
            <w:webHidden/>
          </w:rPr>
          <w:fldChar w:fldCharType="separate"/>
        </w:r>
        <w:r w:rsidR="00CC6930">
          <w:rPr>
            <w:webHidden/>
          </w:rPr>
          <w:t>6</w:t>
        </w:r>
        <w:r w:rsidR="00A61DD8">
          <w:rPr>
            <w:webHidden/>
          </w:rPr>
          <w:fldChar w:fldCharType="end"/>
        </w:r>
      </w:hyperlink>
    </w:p>
    <w:p w14:paraId="7B6A7919" w14:textId="564955A3"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70" w:history="1">
        <w:r w:rsidR="00A61DD8" w:rsidRPr="00B605FD">
          <w:rPr>
            <w:rStyle w:val="Hyperlink"/>
            <w:noProof/>
            <w:lang w:val="es-VE"/>
          </w:rPr>
          <w:t>A.</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VE"/>
          </w:rPr>
          <w:t>Sobre Victor Henry Mina Cuero</w:t>
        </w:r>
        <w:r w:rsidR="00A61DD8">
          <w:rPr>
            <w:noProof/>
            <w:webHidden/>
          </w:rPr>
          <w:tab/>
        </w:r>
        <w:r w:rsidR="00A61DD8">
          <w:rPr>
            <w:noProof/>
            <w:webHidden/>
          </w:rPr>
          <w:fldChar w:fldCharType="begin"/>
        </w:r>
        <w:r w:rsidR="00A61DD8">
          <w:rPr>
            <w:noProof/>
            <w:webHidden/>
          </w:rPr>
          <w:instrText xml:space="preserve"> PAGEREF _Toc531880970 \h </w:instrText>
        </w:r>
        <w:r w:rsidR="00A61DD8">
          <w:rPr>
            <w:noProof/>
            <w:webHidden/>
          </w:rPr>
        </w:r>
        <w:r w:rsidR="00A61DD8">
          <w:rPr>
            <w:noProof/>
            <w:webHidden/>
          </w:rPr>
          <w:fldChar w:fldCharType="separate"/>
        </w:r>
        <w:r w:rsidR="00CC6930">
          <w:rPr>
            <w:noProof/>
            <w:webHidden/>
          </w:rPr>
          <w:t>6</w:t>
        </w:r>
        <w:r w:rsidR="00A61DD8">
          <w:rPr>
            <w:noProof/>
            <w:webHidden/>
          </w:rPr>
          <w:fldChar w:fldCharType="end"/>
        </w:r>
      </w:hyperlink>
    </w:p>
    <w:p w14:paraId="3EB4AC44" w14:textId="52246878"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71" w:history="1">
        <w:r w:rsidR="00A61DD8" w:rsidRPr="00B605FD">
          <w:rPr>
            <w:rStyle w:val="Hyperlink"/>
            <w:noProof/>
            <w:lang w:val="es-US"/>
          </w:rPr>
          <w:t>B.</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ES_tradnl"/>
          </w:rPr>
          <w:t>Marco</w:t>
        </w:r>
        <w:r w:rsidR="00A61DD8" w:rsidRPr="00B605FD">
          <w:rPr>
            <w:rStyle w:val="Hyperlink"/>
            <w:noProof/>
            <w:lang w:val="es-US"/>
          </w:rPr>
          <w:t xml:space="preserve"> normativo relevante</w:t>
        </w:r>
        <w:r w:rsidR="00A61DD8">
          <w:rPr>
            <w:noProof/>
            <w:webHidden/>
          </w:rPr>
          <w:tab/>
        </w:r>
        <w:r w:rsidR="00A61DD8">
          <w:rPr>
            <w:noProof/>
            <w:webHidden/>
          </w:rPr>
          <w:fldChar w:fldCharType="begin"/>
        </w:r>
        <w:r w:rsidR="00A61DD8">
          <w:rPr>
            <w:noProof/>
            <w:webHidden/>
          </w:rPr>
          <w:instrText xml:space="preserve"> PAGEREF _Toc531880971 \h </w:instrText>
        </w:r>
        <w:r w:rsidR="00A61DD8">
          <w:rPr>
            <w:noProof/>
            <w:webHidden/>
          </w:rPr>
        </w:r>
        <w:r w:rsidR="00A61DD8">
          <w:rPr>
            <w:noProof/>
            <w:webHidden/>
          </w:rPr>
          <w:fldChar w:fldCharType="separate"/>
        </w:r>
        <w:r w:rsidR="00CC6930">
          <w:rPr>
            <w:noProof/>
            <w:webHidden/>
          </w:rPr>
          <w:t>6</w:t>
        </w:r>
        <w:r w:rsidR="00A61DD8">
          <w:rPr>
            <w:noProof/>
            <w:webHidden/>
          </w:rPr>
          <w:fldChar w:fldCharType="end"/>
        </w:r>
      </w:hyperlink>
    </w:p>
    <w:p w14:paraId="34419408" w14:textId="7F80662D"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72" w:history="1">
        <w:r w:rsidR="00A61DD8" w:rsidRPr="00B605FD">
          <w:rPr>
            <w:rStyle w:val="Hyperlink"/>
            <w:noProof/>
            <w:lang w:val="es-AR"/>
          </w:rPr>
          <w:t>C.</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AR"/>
          </w:rPr>
          <w:t>Proceso disciplinario</w:t>
        </w:r>
        <w:r w:rsidR="00A61DD8">
          <w:rPr>
            <w:noProof/>
            <w:webHidden/>
          </w:rPr>
          <w:tab/>
        </w:r>
        <w:r w:rsidR="00A61DD8">
          <w:rPr>
            <w:noProof/>
            <w:webHidden/>
          </w:rPr>
          <w:fldChar w:fldCharType="begin"/>
        </w:r>
        <w:r w:rsidR="00A61DD8">
          <w:rPr>
            <w:noProof/>
            <w:webHidden/>
          </w:rPr>
          <w:instrText xml:space="preserve"> PAGEREF _Toc531880972 \h </w:instrText>
        </w:r>
        <w:r w:rsidR="00A61DD8">
          <w:rPr>
            <w:noProof/>
            <w:webHidden/>
          </w:rPr>
        </w:r>
        <w:r w:rsidR="00A61DD8">
          <w:rPr>
            <w:noProof/>
            <w:webHidden/>
          </w:rPr>
          <w:fldChar w:fldCharType="separate"/>
        </w:r>
        <w:r w:rsidR="00CC6930">
          <w:rPr>
            <w:noProof/>
            <w:webHidden/>
          </w:rPr>
          <w:t>8</w:t>
        </w:r>
        <w:r w:rsidR="00A61DD8">
          <w:rPr>
            <w:noProof/>
            <w:webHidden/>
          </w:rPr>
          <w:fldChar w:fldCharType="end"/>
        </w:r>
      </w:hyperlink>
    </w:p>
    <w:p w14:paraId="52D8BCE3" w14:textId="5E69C885" w:rsidR="00A61DD8" w:rsidRDefault="00671BE5">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531880973" w:history="1">
        <w:r w:rsidR="00A61DD8" w:rsidRPr="00B605FD">
          <w:rPr>
            <w:rStyle w:val="Hyperlink"/>
            <w:noProof/>
            <w:lang w:val="es-US"/>
          </w:rPr>
          <w:t>1.</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AR"/>
          </w:rPr>
          <w:t>Hechos que dieron origen al proceso disciplinario</w:t>
        </w:r>
        <w:r w:rsidR="00A61DD8">
          <w:rPr>
            <w:noProof/>
            <w:webHidden/>
          </w:rPr>
          <w:tab/>
        </w:r>
        <w:r w:rsidR="00A61DD8">
          <w:rPr>
            <w:noProof/>
            <w:webHidden/>
          </w:rPr>
          <w:fldChar w:fldCharType="begin"/>
        </w:r>
        <w:r w:rsidR="00A61DD8">
          <w:rPr>
            <w:noProof/>
            <w:webHidden/>
          </w:rPr>
          <w:instrText xml:space="preserve"> PAGEREF _Toc531880973 \h </w:instrText>
        </w:r>
        <w:r w:rsidR="00A61DD8">
          <w:rPr>
            <w:noProof/>
            <w:webHidden/>
          </w:rPr>
        </w:r>
        <w:r w:rsidR="00A61DD8">
          <w:rPr>
            <w:noProof/>
            <w:webHidden/>
          </w:rPr>
          <w:fldChar w:fldCharType="separate"/>
        </w:r>
        <w:r w:rsidR="00CC6930">
          <w:rPr>
            <w:noProof/>
            <w:webHidden/>
          </w:rPr>
          <w:t>8</w:t>
        </w:r>
        <w:r w:rsidR="00A61DD8">
          <w:rPr>
            <w:noProof/>
            <w:webHidden/>
          </w:rPr>
          <w:fldChar w:fldCharType="end"/>
        </w:r>
      </w:hyperlink>
    </w:p>
    <w:p w14:paraId="5FD34354" w14:textId="48585E10" w:rsidR="00A61DD8" w:rsidRDefault="00671BE5">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531880974" w:history="1">
        <w:r w:rsidR="00A61DD8" w:rsidRPr="00B605FD">
          <w:rPr>
            <w:rStyle w:val="Hyperlink"/>
            <w:noProof/>
            <w:lang w:val="es-US"/>
          </w:rPr>
          <w:t>2.</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AR"/>
          </w:rPr>
          <w:t>Investigación e informe de la Policía Judicial</w:t>
        </w:r>
        <w:r w:rsidR="00A61DD8">
          <w:rPr>
            <w:noProof/>
            <w:webHidden/>
          </w:rPr>
          <w:tab/>
        </w:r>
        <w:r w:rsidR="00A61DD8">
          <w:rPr>
            <w:noProof/>
            <w:webHidden/>
          </w:rPr>
          <w:fldChar w:fldCharType="begin"/>
        </w:r>
        <w:r w:rsidR="00A61DD8">
          <w:rPr>
            <w:noProof/>
            <w:webHidden/>
          </w:rPr>
          <w:instrText xml:space="preserve"> PAGEREF _Toc531880974 \h </w:instrText>
        </w:r>
        <w:r w:rsidR="00A61DD8">
          <w:rPr>
            <w:noProof/>
            <w:webHidden/>
          </w:rPr>
        </w:r>
        <w:r w:rsidR="00A61DD8">
          <w:rPr>
            <w:noProof/>
            <w:webHidden/>
          </w:rPr>
          <w:fldChar w:fldCharType="separate"/>
        </w:r>
        <w:r w:rsidR="00CC6930">
          <w:rPr>
            <w:noProof/>
            <w:webHidden/>
          </w:rPr>
          <w:t>8</w:t>
        </w:r>
        <w:r w:rsidR="00A61DD8">
          <w:rPr>
            <w:noProof/>
            <w:webHidden/>
          </w:rPr>
          <w:fldChar w:fldCharType="end"/>
        </w:r>
      </w:hyperlink>
    </w:p>
    <w:p w14:paraId="46CAD8D0" w14:textId="5DAF61E9" w:rsidR="00A61DD8" w:rsidRDefault="00671BE5">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531880975" w:history="1">
        <w:r w:rsidR="00A61DD8" w:rsidRPr="00B605FD">
          <w:rPr>
            <w:rStyle w:val="Hyperlink"/>
            <w:noProof/>
            <w:lang w:val="es-US"/>
          </w:rPr>
          <w:t>3.</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US"/>
          </w:rPr>
          <w:t>Proceso y destitución por el Tribunal de Disciplina</w:t>
        </w:r>
        <w:r w:rsidR="00A61DD8">
          <w:rPr>
            <w:noProof/>
            <w:webHidden/>
          </w:rPr>
          <w:tab/>
        </w:r>
        <w:r w:rsidR="00A61DD8">
          <w:rPr>
            <w:noProof/>
            <w:webHidden/>
          </w:rPr>
          <w:fldChar w:fldCharType="begin"/>
        </w:r>
        <w:r w:rsidR="00A61DD8">
          <w:rPr>
            <w:noProof/>
            <w:webHidden/>
          </w:rPr>
          <w:instrText xml:space="preserve"> PAGEREF _Toc531880975 \h </w:instrText>
        </w:r>
        <w:r w:rsidR="00A61DD8">
          <w:rPr>
            <w:noProof/>
            <w:webHidden/>
          </w:rPr>
        </w:r>
        <w:r w:rsidR="00A61DD8">
          <w:rPr>
            <w:noProof/>
            <w:webHidden/>
          </w:rPr>
          <w:fldChar w:fldCharType="separate"/>
        </w:r>
        <w:r w:rsidR="00CC6930">
          <w:rPr>
            <w:noProof/>
            <w:webHidden/>
          </w:rPr>
          <w:t>9</w:t>
        </w:r>
        <w:r w:rsidR="00A61DD8">
          <w:rPr>
            <w:noProof/>
            <w:webHidden/>
          </w:rPr>
          <w:fldChar w:fldCharType="end"/>
        </w:r>
      </w:hyperlink>
    </w:p>
    <w:p w14:paraId="6EEC8198" w14:textId="7D2C34CC" w:rsidR="00A61DD8" w:rsidRDefault="00671BE5">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531880976" w:history="1">
        <w:r w:rsidR="00A61DD8" w:rsidRPr="00B605FD">
          <w:rPr>
            <w:rStyle w:val="Hyperlink"/>
            <w:noProof/>
            <w:lang w:val="es-US"/>
          </w:rPr>
          <w:t>4.</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AR"/>
          </w:rPr>
          <w:t>Recurso de amparo</w:t>
        </w:r>
        <w:r w:rsidR="00A61DD8">
          <w:rPr>
            <w:noProof/>
            <w:webHidden/>
          </w:rPr>
          <w:tab/>
        </w:r>
        <w:r w:rsidR="00A61DD8">
          <w:rPr>
            <w:noProof/>
            <w:webHidden/>
          </w:rPr>
          <w:fldChar w:fldCharType="begin"/>
        </w:r>
        <w:r w:rsidR="00A61DD8">
          <w:rPr>
            <w:noProof/>
            <w:webHidden/>
          </w:rPr>
          <w:instrText xml:space="preserve"> PAGEREF _Toc531880976 \h </w:instrText>
        </w:r>
        <w:r w:rsidR="00A61DD8">
          <w:rPr>
            <w:noProof/>
            <w:webHidden/>
          </w:rPr>
        </w:r>
        <w:r w:rsidR="00A61DD8">
          <w:rPr>
            <w:noProof/>
            <w:webHidden/>
          </w:rPr>
          <w:fldChar w:fldCharType="separate"/>
        </w:r>
        <w:r w:rsidR="00CC6930">
          <w:rPr>
            <w:noProof/>
            <w:webHidden/>
          </w:rPr>
          <w:t>11</w:t>
        </w:r>
        <w:r w:rsidR="00A61DD8">
          <w:rPr>
            <w:noProof/>
            <w:webHidden/>
          </w:rPr>
          <w:fldChar w:fldCharType="end"/>
        </w:r>
      </w:hyperlink>
    </w:p>
    <w:p w14:paraId="0234A2DA" w14:textId="26EB55CF" w:rsidR="00A61DD8" w:rsidRDefault="00671BE5">
      <w:pPr>
        <w:pStyle w:val="TOC3"/>
        <w:tabs>
          <w:tab w:val="left" w:pos="2160"/>
        </w:tabs>
        <w:rPr>
          <w:rFonts w:asciiTheme="minorHAnsi" w:eastAsiaTheme="minorEastAsia" w:hAnsiTheme="minorHAnsi" w:cstheme="minorBidi"/>
          <w:noProof/>
          <w:sz w:val="22"/>
          <w:szCs w:val="22"/>
          <w:bdr w:val="none" w:sz="0" w:space="0" w:color="auto"/>
          <w:lang w:val="en-US" w:eastAsia="en-US"/>
        </w:rPr>
      </w:pPr>
      <w:hyperlink w:anchor="_Toc531880977" w:history="1">
        <w:r w:rsidR="00A61DD8" w:rsidRPr="00B605FD">
          <w:rPr>
            <w:rStyle w:val="Hyperlink"/>
            <w:noProof/>
            <w:lang w:val="es-US"/>
          </w:rPr>
          <w:t>5.</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noProof/>
            <w:lang w:val="es-AR"/>
          </w:rPr>
          <w:t>Demanda de inconstitucionalidad</w:t>
        </w:r>
        <w:r w:rsidR="00A61DD8">
          <w:rPr>
            <w:noProof/>
            <w:webHidden/>
          </w:rPr>
          <w:tab/>
        </w:r>
        <w:r w:rsidR="00A61DD8">
          <w:rPr>
            <w:noProof/>
            <w:webHidden/>
          </w:rPr>
          <w:fldChar w:fldCharType="begin"/>
        </w:r>
        <w:r w:rsidR="00A61DD8">
          <w:rPr>
            <w:noProof/>
            <w:webHidden/>
          </w:rPr>
          <w:instrText xml:space="preserve"> PAGEREF _Toc531880977 \h </w:instrText>
        </w:r>
        <w:r w:rsidR="00A61DD8">
          <w:rPr>
            <w:noProof/>
            <w:webHidden/>
          </w:rPr>
        </w:r>
        <w:r w:rsidR="00A61DD8">
          <w:rPr>
            <w:noProof/>
            <w:webHidden/>
          </w:rPr>
          <w:fldChar w:fldCharType="separate"/>
        </w:r>
        <w:r w:rsidR="00CC6930">
          <w:rPr>
            <w:noProof/>
            <w:webHidden/>
          </w:rPr>
          <w:t>12</w:t>
        </w:r>
        <w:r w:rsidR="00A61DD8">
          <w:rPr>
            <w:noProof/>
            <w:webHidden/>
          </w:rPr>
          <w:fldChar w:fldCharType="end"/>
        </w:r>
      </w:hyperlink>
    </w:p>
    <w:p w14:paraId="385837C6" w14:textId="334340F4" w:rsidR="00A61DD8" w:rsidRDefault="00671BE5">
      <w:pPr>
        <w:pStyle w:val="TOC1"/>
        <w:rPr>
          <w:rFonts w:asciiTheme="minorHAnsi" w:eastAsiaTheme="minorEastAsia" w:hAnsiTheme="minorHAnsi" w:cstheme="minorBidi"/>
          <w:b w:val="0"/>
          <w:sz w:val="22"/>
          <w:szCs w:val="22"/>
          <w:bdr w:val="none" w:sz="0" w:space="0" w:color="auto"/>
          <w:lang w:val="en-US"/>
        </w:rPr>
      </w:pPr>
      <w:hyperlink w:anchor="_Toc531880978" w:history="1">
        <w:r w:rsidR="00A61DD8" w:rsidRPr="00B605FD">
          <w:rPr>
            <w:rStyle w:val="Hyperlink"/>
            <w:lang w:val="es-US"/>
          </w:rPr>
          <w:t>V.</w:t>
        </w:r>
        <w:r w:rsidR="00A61DD8">
          <w:rPr>
            <w:rFonts w:asciiTheme="minorHAnsi" w:eastAsiaTheme="minorEastAsia" w:hAnsiTheme="minorHAnsi" w:cstheme="minorBidi"/>
            <w:b w:val="0"/>
            <w:sz w:val="22"/>
            <w:szCs w:val="22"/>
            <w:bdr w:val="none" w:sz="0" w:space="0" w:color="auto"/>
            <w:lang w:val="en-US"/>
          </w:rPr>
          <w:tab/>
        </w:r>
        <w:r w:rsidR="00A61DD8" w:rsidRPr="00B605FD">
          <w:rPr>
            <w:rStyle w:val="Hyperlink"/>
            <w:lang w:val="es-US"/>
          </w:rPr>
          <w:t>ANÁLISIS DE DERECHO</w:t>
        </w:r>
        <w:r w:rsidR="00A61DD8">
          <w:rPr>
            <w:webHidden/>
          </w:rPr>
          <w:tab/>
        </w:r>
        <w:r w:rsidR="00A61DD8">
          <w:rPr>
            <w:webHidden/>
          </w:rPr>
          <w:fldChar w:fldCharType="begin"/>
        </w:r>
        <w:r w:rsidR="00A61DD8">
          <w:rPr>
            <w:webHidden/>
          </w:rPr>
          <w:instrText xml:space="preserve"> PAGEREF _Toc531880978 \h </w:instrText>
        </w:r>
        <w:r w:rsidR="00A61DD8">
          <w:rPr>
            <w:webHidden/>
          </w:rPr>
        </w:r>
        <w:r w:rsidR="00A61DD8">
          <w:rPr>
            <w:webHidden/>
          </w:rPr>
          <w:fldChar w:fldCharType="separate"/>
        </w:r>
        <w:r w:rsidR="00CC6930">
          <w:rPr>
            <w:webHidden/>
          </w:rPr>
          <w:t>13</w:t>
        </w:r>
        <w:r w:rsidR="00A61DD8">
          <w:rPr>
            <w:webHidden/>
          </w:rPr>
          <w:fldChar w:fldCharType="end"/>
        </w:r>
      </w:hyperlink>
    </w:p>
    <w:p w14:paraId="2B6071B6" w14:textId="77C7E342"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79" w:history="1">
        <w:r w:rsidR="00A61DD8" w:rsidRPr="00B605FD">
          <w:rPr>
            <w:rStyle w:val="Hyperlink"/>
            <w:rFonts w:ascii="Cambria" w:hAnsi="Cambria"/>
            <w:noProof/>
          </w:rPr>
          <w:t>1.</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rFonts w:ascii="Cambria" w:hAnsi="Cambria"/>
            <w:noProof/>
          </w:rPr>
          <w:t>El derecho a la comunicación previa y detallada de la acusación al tiempo y los medios adecuados para la preparación de la defensa y a ser asistido por un abogado defensor de su elección</w:t>
        </w:r>
        <w:r w:rsidR="00A61DD8">
          <w:rPr>
            <w:noProof/>
            <w:webHidden/>
          </w:rPr>
          <w:tab/>
        </w:r>
        <w:r w:rsidR="00A61DD8">
          <w:rPr>
            <w:noProof/>
            <w:webHidden/>
          </w:rPr>
          <w:fldChar w:fldCharType="begin"/>
        </w:r>
        <w:r w:rsidR="00A61DD8">
          <w:rPr>
            <w:noProof/>
            <w:webHidden/>
          </w:rPr>
          <w:instrText xml:space="preserve"> PAGEREF _Toc531880979 \h </w:instrText>
        </w:r>
        <w:r w:rsidR="00A61DD8">
          <w:rPr>
            <w:noProof/>
            <w:webHidden/>
          </w:rPr>
        </w:r>
        <w:r w:rsidR="00A61DD8">
          <w:rPr>
            <w:noProof/>
            <w:webHidden/>
          </w:rPr>
          <w:fldChar w:fldCharType="separate"/>
        </w:r>
        <w:r w:rsidR="00CC6930">
          <w:rPr>
            <w:noProof/>
            <w:webHidden/>
          </w:rPr>
          <w:t>13</w:t>
        </w:r>
        <w:r w:rsidR="00A61DD8">
          <w:rPr>
            <w:noProof/>
            <w:webHidden/>
          </w:rPr>
          <w:fldChar w:fldCharType="end"/>
        </w:r>
      </w:hyperlink>
    </w:p>
    <w:p w14:paraId="2DF7283D" w14:textId="524676BB"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80" w:history="1">
        <w:r w:rsidR="00A61DD8" w:rsidRPr="00B605FD">
          <w:rPr>
            <w:rStyle w:val="Hyperlink"/>
            <w:rFonts w:ascii="Cambria" w:hAnsi="Cambria"/>
            <w:noProof/>
          </w:rPr>
          <w:t>2.</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rFonts w:ascii="Cambria" w:hAnsi="Cambria"/>
            <w:noProof/>
          </w:rPr>
          <w:t>El principio de presunción de inocencia respecto del uso de los antecedentes penales en la decisión de destitución</w:t>
        </w:r>
        <w:r w:rsidR="00A61DD8">
          <w:rPr>
            <w:noProof/>
            <w:webHidden/>
          </w:rPr>
          <w:tab/>
        </w:r>
        <w:r w:rsidR="00A61DD8">
          <w:rPr>
            <w:noProof/>
            <w:webHidden/>
          </w:rPr>
          <w:fldChar w:fldCharType="begin"/>
        </w:r>
        <w:r w:rsidR="00A61DD8">
          <w:rPr>
            <w:noProof/>
            <w:webHidden/>
          </w:rPr>
          <w:instrText xml:space="preserve"> PAGEREF _Toc531880980 \h </w:instrText>
        </w:r>
        <w:r w:rsidR="00A61DD8">
          <w:rPr>
            <w:noProof/>
            <w:webHidden/>
          </w:rPr>
        </w:r>
        <w:r w:rsidR="00A61DD8">
          <w:rPr>
            <w:noProof/>
            <w:webHidden/>
          </w:rPr>
          <w:fldChar w:fldCharType="separate"/>
        </w:r>
        <w:r w:rsidR="00CC6930">
          <w:rPr>
            <w:noProof/>
            <w:webHidden/>
          </w:rPr>
          <w:t>15</w:t>
        </w:r>
        <w:r w:rsidR="00A61DD8">
          <w:rPr>
            <w:noProof/>
            <w:webHidden/>
          </w:rPr>
          <w:fldChar w:fldCharType="end"/>
        </w:r>
      </w:hyperlink>
    </w:p>
    <w:p w14:paraId="7DCF6CD2" w14:textId="363A1C50"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81" w:history="1">
        <w:r w:rsidR="00A61DD8" w:rsidRPr="00B605FD">
          <w:rPr>
            <w:rStyle w:val="Hyperlink"/>
            <w:rFonts w:ascii="Cambria" w:hAnsi="Cambria"/>
            <w:noProof/>
          </w:rPr>
          <w:t>3.</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rFonts w:ascii="Cambria" w:hAnsi="Cambria"/>
            <w:noProof/>
          </w:rPr>
          <w:t>El principio de legalidad y el derecho a contar con una motivación suficiente</w:t>
        </w:r>
        <w:r w:rsidR="00A61DD8">
          <w:rPr>
            <w:noProof/>
            <w:webHidden/>
          </w:rPr>
          <w:tab/>
        </w:r>
        <w:r w:rsidR="00A61DD8">
          <w:rPr>
            <w:noProof/>
            <w:webHidden/>
          </w:rPr>
          <w:fldChar w:fldCharType="begin"/>
        </w:r>
        <w:r w:rsidR="00A61DD8">
          <w:rPr>
            <w:noProof/>
            <w:webHidden/>
          </w:rPr>
          <w:instrText xml:space="preserve"> PAGEREF _Toc531880981 \h </w:instrText>
        </w:r>
        <w:r w:rsidR="00A61DD8">
          <w:rPr>
            <w:noProof/>
            <w:webHidden/>
          </w:rPr>
        </w:r>
        <w:r w:rsidR="00A61DD8">
          <w:rPr>
            <w:noProof/>
            <w:webHidden/>
          </w:rPr>
          <w:fldChar w:fldCharType="separate"/>
        </w:r>
        <w:r w:rsidR="00CC6930">
          <w:rPr>
            <w:noProof/>
            <w:webHidden/>
          </w:rPr>
          <w:t>16</w:t>
        </w:r>
        <w:r w:rsidR="00A61DD8">
          <w:rPr>
            <w:noProof/>
            <w:webHidden/>
          </w:rPr>
          <w:fldChar w:fldCharType="end"/>
        </w:r>
      </w:hyperlink>
    </w:p>
    <w:p w14:paraId="198EAB21" w14:textId="007BF2A6" w:rsidR="00A61DD8" w:rsidRDefault="00671BE5">
      <w:pPr>
        <w:pStyle w:val="TOC2"/>
        <w:rPr>
          <w:rFonts w:asciiTheme="minorHAnsi" w:eastAsiaTheme="minorEastAsia" w:hAnsiTheme="minorHAnsi" w:cstheme="minorBidi"/>
          <w:noProof/>
          <w:sz w:val="22"/>
          <w:szCs w:val="22"/>
          <w:bdr w:val="none" w:sz="0" w:space="0" w:color="auto"/>
          <w:lang w:val="en-US" w:eastAsia="en-US"/>
        </w:rPr>
      </w:pPr>
      <w:hyperlink w:anchor="_Toc531880982" w:history="1">
        <w:r w:rsidR="00A61DD8" w:rsidRPr="00B605FD">
          <w:rPr>
            <w:rStyle w:val="Hyperlink"/>
            <w:rFonts w:ascii="Cambria" w:hAnsi="Cambria"/>
            <w:noProof/>
          </w:rPr>
          <w:t>4.</w:t>
        </w:r>
        <w:r w:rsidR="00A61DD8">
          <w:rPr>
            <w:rFonts w:asciiTheme="minorHAnsi" w:eastAsiaTheme="minorEastAsia" w:hAnsiTheme="minorHAnsi" w:cstheme="minorBidi"/>
            <w:noProof/>
            <w:sz w:val="22"/>
            <w:szCs w:val="22"/>
            <w:bdr w:val="none" w:sz="0" w:space="0" w:color="auto"/>
            <w:lang w:val="en-US" w:eastAsia="en-US"/>
          </w:rPr>
          <w:tab/>
        </w:r>
        <w:r w:rsidR="00A61DD8" w:rsidRPr="00B605FD">
          <w:rPr>
            <w:rStyle w:val="Hyperlink"/>
            <w:rFonts w:ascii="Cambria" w:hAnsi="Cambria"/>
            <w:noProof/>
            <w:lang w:val="es-CO"/>
          </w:rPr>
          <w:t>El derecho</w:t>
        </w:r>
        <w:r w:rsidR="00A61DD8" w:rsidRPr="00B605FD">
          <w:rPr>
            <w:rStyle w:val="Hyperlink"/>
            <w:rFonts w:ascii="Cambria" w:hAnsi="Cambria"/>
            <w:noProof/>
          </w:rPr>
          <w:t xml:space="preserve"> a recurrir el fallo y el derecho a la protección judicial</w:t>
        </w:r>
        <w:r w:rsidR="00A61DD8">
          <w:rPr>
            <w:noProof/>
            <w:webHidden/>
          </w:rPr>
          <w:tab/>
        </w:r>
        <w:r w:rsidR="00A61DD8">
          <w:rPr>
            <w:noProof/>
            <w:webHidden/>
          </w:rPr>
          <w:fldChar w:fldCharType="begin"/>
        </w:r>
        <w:r w:rsidR="00A61DD8">
          <w:rPr>
            <w:noProof/>
            <w:webHidden/>
          </w:rPr>
          <w:instrText xml:space="preserve"> PAGEREF _Toc531880982 \h </w:instrText>
        </w:r>
        <w:r w:rsidR="00A61DD8">
          <w:rPr>
            <w:noProof/>
            <w:webHidden/>
          </w:rPr>
        </w:r>
        <w:r w:rsidR="00A61DD8">
          <w:rPr>
            <w:noProof/>
            <w:webHidden/>
          </w:rPr>
          <w:fldChar w:fldCharType="separate"/>
        </w:r>
        <w:r w:rsidR="00CC6930">
          <w:rPr>
            <w:noProof/>
            <w:webHidden/>
          </w:rPr>
          <w:t>17</w:t>
        </w:r>
        <w:r w:rsidR="00A61DD8">
          <w:rPr>
            <w:noProof/>
            <w:webHidden/>
          </w:rPr>
          <w:fldChar w:fldCharType="end"/>
        </w:r>
      </w:hyperlink>
    </w:p>
    <w:p w14:paraId="1147C7C4" w14:textId="79C9D3EB" w:rsidR="00A61DD8" w:rsidRDefault="00671BE5">
      <w:pPr>
        <w:pStyle w:val="TOC1"/>
        <w:rPr>
          <w:rFonts w:asciiTheme="minorHAnsi" w:eastAsiaTheme="minorEastAsia" w:hAnsiTheme="minorHAnsi" w:cstheme="minorBidi"/>
          <w:b w:val="0"/>
          <w:sz w:val="22"/>
          <w:szCs w:val="22"/>
          <w:bdr w:val="none" w:sz="0" w:space="0" w:color="auto"/>
          <w:lang w:val="en-US"/>
        </w:rPr>
      </w:pPr>
      <w:hyperlink w:anchor="_Toc531880983" w:history="1">
        <w:r w:rsidR="00A61DD8" w:rsidRPr="00B605FD">
          <w:rPr>
            <w:rStyle w:val="Hyperlink"/>
            <w:rFonts w:ascii="Cambria" w:hAnsi="Cambria"/>
          </w:rPr>
          <w:t>VI.</w:t>
        </w:r>
        <w:r w:rsidR="00A61DD8">
          <w:rPr>
            <w:rFonts w:asciiTheme="minorHAnsi" w:eastAsiaTheme="minorEastAsia" w:hAnsiTheme="minorHAnsi" w:cstheme="minorBidi"/>
            <w:b w:val="0"/>
            <w:sz w:val="22"/>
            <w:szCs w:val="22"/>
            <w:bdr w:val="none" w:sz="0" w:space="0" w:color="auto"/>
            <w:lang w:val="en-US"/>
          </w:rPr>
          <w:tab/>
        </w:r>
        <w:r w:rsidR="00A61DD8" w:rsidRPr="00B605FD">
          <w:rPr>
            <w:rStyle w:val="Hyperlink"/>
            <w:rFonts w:ascii="Cambria" w:hAnsi="Cambria"/>
          </w:rPr>
          <w:t>CONCLUSIONES</w:t>
        </w:r>
        <w:r w:rsidR="00A61DD8">
          <w:rPr>
            <w:webHidden/>
          </w:rPr>
          <w:tab/>
        </w:r>
        <w:r w:rsidR="00A61DD8">
          <w:rPr>
            <w:webHidden/>
          </w:rPr>
          <w:fldChar w:fldCharType="begin"/>
        </w:r>
        <w:r w:rsidR="00A61DD8">
          <w:rPr>
            <w:webHidden/>
          </w:rPr>
          <w:instrText xml:space="preserve"> PAGEREF _Toc531880983 \h </w:instrText>
        </w:r>
        <w:r w:rsidR="00A61DD8">
          <w:rPr>
            <w:webHidden/>
          </w:rPr>
        </w:r>
        <w:r w:rsidR="00A61DD8">
          <w:rPr>
            <w:webHidden/>
          </w:rPr>
          <w:fldChar w:fldCharType="separate"/>
        </w:r>
        <w:r w:rsidR="00CC6930">
          <w:rPr>
            <w:webHidden/>
          </w:rPr>
          <w:t>19</w:t>
        </w:r>
        <w:r w:rsidR="00A61DD8">
          <w:rPr>
            <w:webHidden/>
          </w:rPr>
          <w:fldChar w:fldCharType="end"/>
        </w:r>
      </w:hyperlink>
    </w:p>
    <w:p w14:paraId="09C75537" w14:textId="2D5E39AC" w:rsidR="00A61DD8" w:rsidRDefault="00671BE5">
      <w:pPr>
        <w:pStyle w:val="TOC1"/>
        <w:rPr>
          <w:rFonts w:asciiTheme="minorHAnsi" w:eastAsiaTheme="minorEastAsia" w:hAnsiTheme="minorHAnsi" w:cstheme="minorBidi"/>
          <w:b w:val="0"/>
          <w:sz w:val="22"/>
          <w:szCs w:val="22"/>
          <w:bdr w:val="none" w:sz="0" w:space="0" w:color="auto"/>
          <w:lang w:val="en-US"/>
        </w:rPr>
      </w:pPr>
      <w:hyperlink w:anchor="_Toc531880984" w:history="1">
        <w:r w:rsidR="00A61DD8" w:rsidRPr="00B605FD">
          <w:rPr>
            <w:rStyle w:val="Hyperlink"/>
            <w:rFonts w:ascii="Cambria" w:hAnsi="Cambria"/>
          </w:rPr>
          <w:t>VII.</w:t>
        </w:r>
        <w:r w:rsidR="00A61DD8">
          <w:rPr>
            <w:rFonts w:asciiTheme="minorHAnsi" w:eastAsiaTheme="minorEastAsia" w:hAnsiTheme="minorHAnsi" w:cstheme="minorBidi"/>
            <w:b w:val="0"/>
            <w:sz w:val="22"/>
            <w:szCs w:val="22"/>
            <w:bdr w:val="none" w:sz="0" w:space="0" w:color="auto"/>
            <w:lang w:val="en-US"/>
          </w:rPr>
          <w:tab/>
        </w:r>
        <w:r w:rsidR="00A61DD8" w:rsidRPr="00B605FD">
          <w:rPr>
            <w:rStyle w:val="Hyperlink"/>
            <w:rFonts w:ascii="Cambria" w:hAnsi="Cambria"/>
          </w:rPr>
          <w:t>RECOMENDACIONES</w:t>
        </w:r>
        <w:r w:rsidR="00A61DD8">
          <w:rPr>
            <w:webHidden/>
          </w:rPr>
          <w:tab/>
        </w:r>
        <w:r w:rsidR="00A61DD8">
          <w:rPr>
            <w:webHidden/>
          </w:rPr>
          <w:fldChar w:fldCharType="begin"/>
        </w:r>
        <w:r w:rsidR="00A61DD8">
          <w:rPr>
            <w:webHidden/>
          </w:rPr>
          <w:instrText xml:space="preserve"> PAGEREF _Toc531880984 \h </w:instrText>
        </w:r>
        <w:r w:rsidR="00A61DD8">
          <w:rPr>
            <w:webHidden/>
          </w:rPr>
        </w:r>
        <w:r w:rsidR="00A61DD8">
          <w:rPr>
            <w:webHidden/>
          </w:rPr>
          <w:fldChar w:fldCharType="separate"/>
        </w:r>
        <w:r w:rsidR="00CC6930">
          <w:rPr>
            <w:webHidden/>
          </w:rPr>
          <w:t>19</w:t>
        </w:r>
        <w:r w:rsidR="00A61DD8">
          <w:rPr>
            <w:webHidden/>
          </w:rPr>
          <w:fldChar w:fldCharType="end"/>
        </w:r>
      </w:hyperlink>
    </w:p>
    <w:p w14:paraId="34C59668" w14:textId="6B6A5A76" w:rsidR="00D70A2A" w:rsidRPr="00ED541F" w:rsidRDefault="00D70A2A" w:rsidP="00D70A2A">
      <w:pPr>
        <w:tabs>
          <w:tab w:val="center" w:pos="5400"/>
        </w:tabs>
        <w:suppressAutoHyphens/>
        <w:spacing w:line="276" w:lineRule="auto"/>
        <w:rPr>
          <w:rFonts w:ascii="Cambria" w:hAnsi="Cambria"/>
          <w:lang w:val="es-ES_tradnl"/>
        </w:rPr>
      </w:pPr>
      <w:r w:rsidRPr="00ED541F">
        <w:rPr>
          <w:rFonts w:ascii="Cambria" w:hAnsi="Cambria"/>
          <w:b/>
          <w:lang w:val="es-ES_tradnl"/>
        </w:rPr>
        <w:fldChar w:fldCharType="end"/>
      </w:r>
    </w:p>
    <w:p w14:paraId="247D291D" w14:textId="77777777" w:rsidR="003E2CED" w:rsidRPr="00ED541F" w:rsidRDefault="003E2CED" w:rsidP="00E96A4D">
      <w:pPr>
        <w:tabs>
          <w:tab w:val="center" w:pos="5400"/>
        </w:tabs>
        <w:suppressAutoHyphens/>
        <w:jc w:val="center"/>
        <w:rPr>
          <w:rFonts w:eastAsia="Times New Roman"/>
          <w:b/>
          <w:bdr w:val="none" w:sz="0" w:space="0" w:color="auto"/>
          <w:lang w:val="es-CO" w:eastAsia="en-US"/>
        </w:rPr>
      </w:pPr>
    </w:p>
    <w:p w14:paraId="709EFE1F" w14:textId="77777777" w:rsidR="003E2CED" w:rsidRPr="00ED541F" w:rsidRDefault="003E2CED" w:rsidP="00E96A4D">
      <w:pPr>
        <w:tabs>
          <w:tab w:val="center" w:pos="5400"/>
        </w:tabs>
        <w:suppressAutoHyphens/>
        <w:jc w:val="center"/>
        <w:rPr>
          <w:rFonts w:eastAsia="Times New Roman"/>
          <w:b/>
          <w:bdr w:val="none" w:sz="0" w:space="0" w:color="auto"/>
          <w:lang w:val="es-CO" w:eastAsia="en-US"/>
        </w:rPr>
      </w:pPr>
    </w:p>
    <w:p w14:paraId="1E87DB22" w14:textId="77777777" w:rsidR="003E2CED" w:rsidRPr="00ED541F" w:rsidRDefault="003E2CED" w:rsidP="00E96A4D">
      <w:pPr>
        <w:tabs>
          <w:tab w:val="center" w:pos="5400"/>
        </w:tabs>
        <w:suppressAutoHyphens/>
        <w:jc w:val="center"/>
        <w:rPr>
          <w:rFonts w:eastAsia="Times New Roman"/>
          <w:b/>
          <w:bdr w:val="none" w:sz="0" w:space="0" w:color="auto"/>
          <w:lang w:val="es-CO" w:eastAsia="en-US"/>
        </w:rPr>
      </w:pPr>
    </w:p>
    <w:p w14:paraId="5CEE622B" w14:textId="7706FBB5" w:rsidR="007D7E8D" w:rsidRDefault="007D7E8D">
      <w:pPr>
        <w:rPr>
          <w:rFonts w:eastAsia="Times New Roman"/>
          <w:b/>
          <w:bdr w:val="none" w:sz="0" w:space="0" w:color="auto"/>
          <w:lang w:val="es-CO" w:eastAsia="en-US"/>
        </w:rPr>
      </w:pPr>
      <w:r>
        <w:rPr>
          <w:rFonts w:eastAsia="Times New Roman"/>
          <w:b/>
          <w:bdr w:val="none" w:sz="0" w:space="0" w:color="auto"/>
          <w:lang w:val="es-CO" w:eastAsia="en-US"/>
        </w:rPr>
        <w:br w:type="page"/>
      </w:r>
    </w:p>
    <w:p w14:paraId="2825A4FB" w14:textId="2FC64BB7" w:rsidR="00722C9F" w:rsidRPr="007D7E8D" w:rsidRDefault="00AD2F85" w:rsidP="007D7E8D">
      <w:pPr>
        <w:tabs>
          <w:tab w:val="center" w:pos="5400"/>
        </w:tabs>
        <w:suppressAutoHyphens/>
        <w:jc w:val="center"/>
        <w:rPr>
          <w:sz w:val="18"/>
          <w:szCs w:val="18"/>
          <w:lang w:val="es-ES_tradnl"/>
        </w:rPr>
      </w:pPr>
      <w:r w:rsidRPr="007D7E8D">
        <w:rPr>
          <w:rFonts w:eastAsia="Times New Roman"/>
          <w:b/>
          <w:sz w:val="18"/>
          <w:szCs w:val="18"/>
          <w:bdr w:val="none" w:sz="0" w:space="0" w:color="auto"/>
          <w:lang w:val="es-CO" w:eastAsia="en-US"/>
        </w:rPr>
        <w:lastRenderedPageBreak/>
        <w:t>INFORME No. 63</w:t>
      </w:r>
      <w:r w:rsidR="007C756A" w:rsidRPr="007D7E8D">
        <w:rPr>
          <w:rFonts w:eastAsia="Times New Roman"/>
          <w:b/>
          <w:sz w:val="18"/>
          <w:szCs w:val="18"/>
          <w:bdr w:val="none" w:sz="0" w:space="0" w:color="auto"/>
          <w:lang w:val="es-CO" w:eastAsia="en-US"/>
        </w:rPr>
        <w:t>/</w:t>
      </w:r>
      <w:r w:rsidR="0027383F" w:rsidRPr="007D7E8D">
        <w:rPr>
          <w:rFonts w:eastAsia="Times New Roman"/>
          <w:b/>
          <w:sz w:val="18"/>
          <w:szCs w:val="18"/>
          <w:bdr w:val="none" w:sz="0" w:space="0" w:color="auto"/>
          <w:lang w:val="es-CO" w:eastAsia="en-US"/>
        </w:rPr>
        <w:t>18</w:t>
      </w:r>
    </w:p>
    <w:p w14:paraId="4736FA2A" w14:textId="77777777" w:rsidR="00722C9F" w:rsidRPr="007D7E8D" w:rsidRDefault="002873B7" w:rsidP="00284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sz w:val="18"/>
          <w:szCs w:val="18"/>
          <w:bdr w:val="none" w:sz="0" w:space="0" w:color="auto"/>
          <w:lang w:val="es-CO" w:eastAsia="en-US"/>
        </w:rPr>
      </w:pPr>
      <w:r w:rsidRPr="007D7E8D">
        <w:rPr>
          <w:rFonts w:eastAsia="Times New Roman"/>
          <w:b/>
          <w:sz w:val="18"/>
          <w:szCs w:val="18"/>
          <w:bdr w:val="none" w:sz="0" w:space="0" w:color="auto"/>
          <w:lang w:val="es-CO" w:eastAsia="en-US"/>
        </w:rPr>
        <w:t>CASO 12.593</w:t>
      </w:r>
    </w:p>
    <w:p w14:paraId="2327F3F4" w14:textId="77777777" w:rsidR="00722C9F" w:rsidRPr="007D7E8D" w:rsidRDefault="001152A2" w:rsidP="00284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bdr w:val="none" w:sz="0" w:space="0" w:color="auto"/>
          <w:lang w:val="es-CO" w:eastAsia="en-US"/>
        </w:rPr>
      </w:pPr>
      <w:r w:rsidRPr="007D7E8D">
        <w:rPr>
          <w:rFonts w:eastAsia="Times New Roman"/>
          <w:sz w:val="18"/>
          <w:szCs w:val="18"/>
          <w:bdr w:val="none" w:sz="0" w:space="0" w:color="auto"/>
          <w:lang w:val="es-CO" w:eastAsia="en-US"/>
        </w:rPr>
        <w:t>ADMISIBILIDAD Y FONDO</w:t>
      </w:r>
    </w:p>
    <w:p w14:paraId="4EC6912F" w14:textId="77777777" w:rsidR="00722C9F" w:rsidRPr="007D7E8D" w:rsidRDefault="002873B7" w:rsidP="00284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bdr w:val="none" w:sz="0" w:space="0" w:color="auto"/>
          <w:lang w:val="es-CO" w:eastAsia="en-US"/>
        </w:rPr>
      </w:pPr>
      <w:r w:rsidRPr="007D7E8D">
        <w:rPr>
          <w:rFonts w:eastAsia="Times New Roman"/>
          <w:sz w:val="18"/>
          <w:szCs w:val="18"/>
          <w:bdr w:val="none" w:sz="0" w:space="0" w:color="auto"/>
          <w:lang w:val="es-CO" w:eastAsia="en-US"/>
        </w:rPr>
        <w:t>VICTOR HENRY MINA CUERO</w:t>
      </w:r>
    </w:p>
    <w:p w14:paraId="32BCA519" w14:textId="77777777" w:rsidR="00722C9F" w:rsidRPr="007D7E8D" w:rsidRDefault="002873B7" w:rsidP="00284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bdr w:val="none" w:sz="0" w:space="0" w:color="auto"/>
          <w:lang w:val="es-CO" w:eastAsia="en-US"/>
        </w:rPr>
      </w:pPr>
      <w:r w:rsidRPr="007D7E8D">
        <w:rPr>
          <w:rFonts w:eastAsia="Times New Roman"/>
          <w:sz w:val="18"/>
          <w:szCs w:val="18"/>
          <w:bdr w:val="none" w:sz="0" w:space="0" w:color="auto"/>
          <w:lang w:val="es-CO" w:eastAsia="en-US"/>
        </w:rPr>
        <w:t>ECUADOR</w:t>
      </w:r>
    </w:p>
    <w:p w14:paraId="0A166E93" w14:textId="149C3073" w:rsidR="005937F1" w:rsidRPr="007D7E8D" w:rsidRDefault="00AD2F85" w:rsidP="00284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bdr w:val="none" w:sz="0" w:space="0" w:color="auto"/>
          <w:lang w:val="es-CO" w:eastAsia="en-US"/>
        </w:rPr>
      </w:pPr>
      <w:r w:rsidRPr="007D7E8D">
        <w:rPr>
          <w:rFonts w:eastAsia="Times New Roman"/>
          <w:sz w:val="18"/>
          <w:szCs w:val="18"/>
          <w:bdr w:val="none" w:sz="0" w:space="0" w:color="auto"/>
          <w:lang w:val="es-CO" w:eastAsia="en-US"/>
        </w:rPr>
        <w:t>8 DE MAYO DE 2018</w:t>
      </w:r>
    </w:p>
    <w:p w14:paraId="199CC39D" w14:textId="77777777" w:rsidR="001152A2" w:rsidRPr="00ED541F" w:rsidRDefault="001152A2" w:rsidP="00284AF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dr w:val="none" w:sz="0" w:space="0" w:color="auto"/>
          <w:lang w:val="es-CO" w:eastAsia="en-US"/>
        </w:rPr>
      </w:pPr>
    </w:p>
    <w:p w14:paraId="2E091914" w14:textId="77777777" w:rsidR="00D12193" w:rsidRPr="00ED541F" w:rsidRDefault="00D12193" w:rsidP="00284AF8">
      <w:pPr>
        <w:pStyle w:val="Heading1"/>
        <w:numPr>
          <w:ilvl w:val="0"/>
          <w:numId w:val="69"/>
        </w:numPr>
        <w:spacing w:before="0"/>
        <w:ind w:left="720" w:firstLine="0"/>
        <w:rPr>
          <w:rFonts w:ascii="Cambria" w:hAnsi="Cambria"/>
          <w:color w:val="auto"/>
          <w:sz w:val="20"/>
          <w:szCs w:val="20"/>
          <w:lang w:val="es-VE" w:eastAsia="en-US"/>
        </w:rPr>
      </w:pPr>
      <w:bookmarkStart w:id="2" w:name="_Toc505243722"/>
      <w:bookmarkStart w:id="3" w:name="_Toc531880961"/>
      <w:r w:rsidRPr="00ED541F">
        <w:rPr>
          <w:rFonts w:ascii="Cambria" w:hAnsi="Cambria"/>
          <w:color w:val="auto"/>
          <w:sz w:val="20"/>
          <w:szCs w:val="20"/>
          <w:lang w:val="es-VE" w:eastAsia="en-US"/>
        </w:rPr>
        <w:t>RESUMEN</w:t>
      </w:r>
      <w:bookmarkEnd w:id="2"/>
      <w:bookmarkEnd w:id="3"/>
      <w:r w:rsidR="00361415" w:rsidRPr="00ED541F">
        <w:rPr>
          <w:rFonts w:ascii="Cambria" w:hAnsi="Cambria"/>
          <w:color w:val="auto"/>
          <w:sz w:val="20"/>
          <w:szCs w:val="20"/>
          <w:lang w:val="es-VE" w:eastAsia="en-US"/>
        </w:rPr>
        <w:t xml:space="preserve"> </w:t>
      </w:r>
    </w:p>
    <w:p w14:paraId="2E13F334" w14:textId="77777777" w:rsidR="005C4CA5" w:rsidRPr="00ED541F" w:rsidRDefault="005C4CA5" w:rsidP="00284AF8">
      <w:pPr>
        <w:suppressAutoHyphens/>
        <w:ind w:left="360"/>
        <w:jc w:val="both"/>
        <w:rPr>
          <w:b/>
          <w:lang w:val="es-ES_tradnl"/>
        </w:rPr>
      </w:pPr>
    </w:p>
    <w:p w14:paraId="4E65CAB0" w14:textId="49251995" w:rsidR="00CD155F" w:rsidRPr="00ED541F" w:rsidRDefault="005C4CA5"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Cambria" w:hAnsi="Cambria"/>
          <w:sz w:val="20"/>
          <w:szCs w:val="20"/>
          <w:lang w:val="es-VE"/>
        </w:rPr>
      </w:pPr>
      <w:r w:rsidRPr="00ED541F">
        <w:rPr>
          <w:rFonts w:ascii="Cambria" w:hAnsi="Cambria"/>
          <w:sz w:val="20"/>
          <w:szCs w:val="20"/>
          <w:lang w:val="es-VE"/>
        </w:rPr>
        <w:t xml:space="preserve">El </w:t>
      </w:r>
      <w:r w:rsidR="00BF68F3" w:rsidRPr="00ED541F">
        <w:rPr>
          <w:rFonts w:ascii="Cambria" w:hAnsi="Cambria"/>
          <w:sz w:val="20"/>
          <w:szCs w:val="20"/>
          <w:lang w:val="es-VE"/>
        </w:rPr>
        <w:t>11</w:t>
      </w:r>
      <w:r w:rsidRPr="00ED541F">
        <w:rPr>
          <w:rFonts w:ascii="Cambria" w:hAnsi="Cambria"/>
          <w:sz w:val="20"/>
          <w:szCs w:val="20"/>
          <w:lang w:val="es-VE"/>
        </w:rPr>
        <w:t xml:space="preserve"> de </w:t>
      </w:r>
      <w:r w:rsidR="000A6950" w:rsidRPr="00ED541F">
        <w:rPr>
          <w:rFonts w:ascii="Cambria" w:hAnsi="Cambria"/>
          <w:sz w:val="20"/>
          <w:szCs w:val="20"/>
          <w:lang w:val="es-VE"/>
        </w:rPr>
        <w:t>marzo</w:t>
      </w:r>
      <w:r w:rsidRPr="00ED541F">
        <w:rPr>
          <w:rFonts w:ascii="Cambria" w:hAnsi="Cambria"/>
          <w:sz w:val="20"/>
          <w:szCs w:val="20"/>
          <w:lang w:val="es-VE"/>
        </w:rPr>
        <w:t xml:space="preserve"> de </w:t>
      </w:r>
      <w:r w:rsidR="000A6950" w:rsidRPr="00ED541F">
        <w:rPr>
          <w:rFonts w:ascii="Cambria" w:hAnsi="Cambria"/>
          <w:sz w:val="20"/>
          <w:szCs w:val="20"/>
          <w:lang w:val="es-VE"/>
        </w:rPr>
        <w:t>2002</w:t>
      </w:r>
      <w:r w:rsidRPr="00ED541F">
        <w:rPr>
          <w:rFonts w:ascii="Cambria" w:hAnsi="Cambria"/>
          <w:sz w:val="20"/>
          <w:szCs w:val="20"/>
          <w:lang w:val="es-VE"/>
        </w:rPr>
        <w:t xml:space="preserve"> la Comisión Interamericana de Derechos Humanos (en adelante “la Comisión Interamericana”, “la Comisión” o “la CIDH”) recibi</w:t>
      </w:r>
      <w:r w:rsidR="000A6950" w:rsidRPr="00ED541F">
        <w:rPr>
          <w:rFonts w:ascii="Cambria" w:hAnsi="Cambria"/>
          <w:sz w:val="20"/>
          <w:szCs w:val="20"/>
          <w:lang w:val="es-VE"/>
        </w:rPr>
        <w:t>ó una petición presentada por el señor Víctor Henry Mina Cuero</w:t>
      </w:r>
      <w:r w:rsidRPr="00ED541F">
        <w:rPr>
          <w:rFonts w:ascii="Cambria" w:hAnsi="Cambria"/>
          <w:sz w:val="20"/>
          <w:szCs w:val="20"/>
          <w:lang w:val="es-VE"/>
        </w:rPr>
        <w:t xml:space="preserve"> (en adelante “la parte peticionaria”)</w:t>
      </w:r>
      <w:r w:rsidRPr="00ED541F">
        <w:rPr>
          <w:rFonts w:ascii="Cambria" w:hAnsi="Cambria"/>
          <w:sz w:val="20"/>
          <w:szCs w:val="20"/>
          <w:vertAlign w:val="superscript"/>
          <w:lang w:val="es-VE"/>
        </w:rPr>
        <w:footnoteReference w:id="2"/>
      </w:r>
      <w:r w:rsidRPr="00ED541F">
        <w:rPr>
          <w:rFonts w:ascii="Cambria" w:hAnsi="Cambria"/>
          <w:sz w:val="20"/>
          <w:szCs w:val="20"/>
          <w:lang w:val="es-VE"/>
        </w:rPr>
        <w:t xml:space="preserve"> en la cual se alega la r</w:t>
      </w:r>
      <w:r w:rsidR="000A6950" w:rsidRPr="00ED541F">
        <w:rPr>
          <w:rFonts w:ascii="Cambria" w:hAnsi="Cambria"/>
          <w:sz w:val="20"/>
          <w:szCs w:val="20"/>
          <w:lang w:val="es-VE"/>
        </w:rPr>
        <w:t>espons</w:t>
      </w:r>
      <w:r w:rsidR="00AF35EE" w:rsidRPr="00ED541F">
        <w:rPr>
          <w:rFonts w:ascii="Cambria" w:hAnsi="Cambria"/>
          <w:sz w:val="20"/>
          <w:szCs w:val="20"/>
          <w:lang w:val="es-VE"/>
        </w:rPr>
        <w:t>abilidad internacional de l</w:t>
      </w:r>
      <w:r w:rsidR="000A6950" w:rsidRPr="00ED541F">
        <w:rPr>
          <w:rFonts w:ascii="Cambria" w:hAnsi="Cambria"/>
          <w:sz w:val="20"/>
          <w:szCs w:val="20"/>
          <w:lang w:val="es-VE"/>
        </w:rPr>
        <w:t>a República del Ecuador</w:t>
      </w:r>
      <w:r w:rsidRPr="00ED541F">
        <w:rPr>
          <w:rFonts w:ascii="Cambria" w:hAnsi="Cambria"/>
          <w:sz w:val="20"/>
          <w:szCs w:val="20"/>
          <w:lang w:val="es-VE"/>
        </w:rPr>
        <w:t xml:space="preserve"> (</w:t>
      </w:r>
      <w:r w:rsidR="000A6950" w:rsidRPr="00ED541F">
        <w:rPr>
          <w:rFonts w:ascii="Cambria" w:hAnsi="Cambria"/>
          <w:sz w:val="20"/>
          <w:szCs w:val="20"/>
          <w:lang w:val="es-VE"/>
        </w:rPr>
        <w:t>en adelante “el Estado de Ecuador”, “el Estado” o “Ecuador</w:t>
      </w:r>
      <w:r w:rsidRPr="00ED541F">
        <w:rPr>
          <w:rFonts w:ascii="Cambria" w:hAnsi="Cambria"/>
          <w:sz w:val="20"/>
          <w:szCs w:val="20"/>
          <w:lang w:val="es-VE"/>
        </w:rPr>
        <w:t xml:space="preserve">”) en </w:t>
      </w:r>
      <w:r w:rsidR="000A6950" w:rsidRPr="00ED541F">
        <w:rPr>
          <w:rFonts w:ascii="Cambria" w:hAnsi="Cambria"/>
          <w:sz w:val="20"/>
          <w:szCs w:val="20"/>
          <w:lang w:val="es-VE"/>
        </w:rPr>
        <w:t>su propio perjuicio</w:t>
      </w:r>
      <w:r w:rsidR="00AF35EE" w:rsidRPr="00ED541F">
        <w:rPr>
          <w:rFonts w:ascii="Cambria" w:hAnsi="Cambria"/>
          <w:sz w:val="20"/>
          <w:szCs w:val="20"/>
          <w:lang w:val="es-VE"/>
        </w:rPr>
        <w:t>.</w:t>
      </w:r>
    </w:p>
    <w:p w14:paraId="321D8FA4" w14:textId="77777777" w:rsidR="00350D4D" w:rsidRPr="00ED541F" w:rsidRDefault="00350D4D"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VE"/>
        </w:rPr>
      </w:pPr>
    </w:p>
    <w:p w14:paraId="331C47EB" w14:textId="268B9912" w:rsidR="00CD155F" w:rsidRPr="00ED541F" w:rsidRDefault="000A6950"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Cambria" w:hAnsi="Cambria"/>
          <w:sz w:val="20"/>
          <w:szCs w:val="20"/>
          <w:lang w:val="es-VE"/>
        </w:rPr>
      </w:pPr>
      <w:r w:rsidRPr="00ED541F">
        <w:rPr>
          <w:color w:val="000000" w:themeColor="text1"/>
          <w:sz w:val="20"/>
          <w:szCs w:val="20"/>
          <w:lang w:val="es-VE"/>
        </w:rPr>
        <w:t>El peticionario alegó una serie de violacio</w:t>
      </w:r>
      <w:r w:rsidR="00D85EDA" w:rsidRPr="00ED541F">
        <w:rPr>
          <w:color w:val="000000" w:themeColor="text1"/>
          <w:sz w:val="20"/>
          <w:szCs w:val="20"/>
          <w:lang w:val="es-VE"/>
        </w:rPr>
        <w:t xml:space="preserve">nes al debido proceso </w:t>
      </w:r>
      <w:r w:rsidR="001A3FB2" w:rsidRPr="00ED541F">
        <w:rPr>
          <w:color w:val="000000" w:themeColor="text1"/>
          <w:sz w:val="20"/>
          <w:szCs w:val="20"/>
          <w:lang w:val="es-VE"/>
        </w:rPr>
        <w:t>cometidas por el</w:t>
      </w:r>
      <w:r w:rsidR="00D44786" w:rsidRPr="00ED541F">
        <w:rPr>
          <w:color w:val="000000" w:themeColor="text1"/>
          <w:sz w:val="20"/>
          <w:szCs w:val="20"/>
          <w:lang w:val="es-VE"/>
        </w:rPr>
        <w:t xml:space="preserve"> Tribunal de Disciplina que </w:t>
      </w:r>
      <w:r w:rsidR="002139A4" w:rsidRPr="00ED541F">
        <w:rPr>
          <w:color w:val="000000" w:themeColor="text1"/>
          <w:sz w:val="20"/>
          <w:szCs w:val="20"/>
          <w:lang w:val="es-VE"/>
        </w:rPr>
        <w:t xml:space="preserve">lo destituyó de la policía luego que tuvo un enfrentamiento con varios policías que acudieron a atender una denuncia de una presunta agresión contra su ex conviviente. En particular, refirió que en el marco del proceso no contó con abogado defensor, que los cargos imputados no le fueron notificados oportunamente y que no pudo apelar la decisión sancionatoria. </w:t>
      </w:r>
    </w:p>
    <w:p w14:paraId="5EFFC4D5" w14:textId="77777777" w:rsidR="00CD155F" w:rsidRPr="00ED541F" w:rsidRDefault="00CD155F"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VE"/>
        </w:rPr>
      </w:pPr>
    </w:p>
    <w:p w14:paraId="152EFDA4" w14:textId="7FD4C369" w:rsidR="00CD155F" w:rsidRPr="00ED541F" w:rsidRDefault="00D4478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Cambria" w:hAnsi="Cambria"/>
          <w:sz w:val="20"/>
          <w:szCs w:val="20"/>
          <w:lang w:val="es-VE"/>
        </w:rPr>
      </w:pPr>
      <w:r w:rsidRPr="00ED541F">
        <w:rPr>
          <w:rFonts w:eastAsia="Calibri"/>
          <w:sz w:val="20"/>
          <w:szCs w:val="20"/>
          <w:lang w:val="es-VE"/>
        </w:rPr>
        <w:t>El Estado aleg</w:t>
      </w:r>
      <w:r w:rsidR="00AB72D7" w:rsidRPr="00ED541F">
        <w:rPr>
          <w:rFonts w:eastAsia="Calibri"/>
          <w:sz w:val="20"/>
          <w:szCs w:val="20"/>
          <w:lang w:val="es-VE"/>
        </w:rPr>
        <w:t xml:space="preserve">ó que tanto el proceso sancionatorio ante el Tribunal de Disciplina, como los procesos relacionados con el recurso de amparo y la demanda de inconstitucionalidad, </w:t>
      </w:r>
      <w:r w:rsidR="00455DD3" w:rsidRPr="00ED541F">
        <w:rPr>
          <w:rFonts w:eastAsia="Calibri"/>
          <w:sz w:val="20"/>
          <w:szCs w:val="20"/>
          <w:lang w:val="es-VE"/>
        </w:rPr>
        <w:t>fueron respetuosos de</w:t>
      </w:r>
      <w:r w:rsidR="00AB72D7" w:rsidRPr="00ED541F">
        <w:rPr>
          <w:rFonts w:eastAsia="Calibri"/>
          <w:sz w:val="20"/>
          <w:szCs w:val="20"/>
          <w:lang w:val="es-VE"/>
        </w:rPr>
        <w:t xml:space="preserve"> las garantías procesales </w:t>
      </w:r>
      <w:r w:rsidR="00462B5D" w:rsidRPr="00ED541F">
        <w:rPr>
          <w:rFonts w:eastAsia="Calibri"/>
          <w:sz w:val="20"/>
          <w:szCs w:val="20"/>
          <w:lang w:val="es-VE"/>
        </w:rPr>
        <w:t>consagradas en la Convención</w:t>
      </w:r>
      <w:r w:rsidR="00C7740E" w:rsidRPr="00ED541F">
        <w:rPr>
          <w:rFonts w:eastAsia="Calibri"/>
          <w:sz w:val="20"/>
          <w:szCs w:val="20"/>
          <w:lang w:val="es-VE"/>
        </w:rPr>
        <w:t xml:space="preserve"> Americana sobre Derechos Humanos (en adelante “</w:t>
      </w:r>
      <w:r w:rsidR="00A934BE" w:rsidRPr="00ED541F">
        <w:rPr>
          <w:rFonts w:eastAsia="Calibri"/>
          <w:sz w:val="20"/>
          <w:szCs w:val="20"/>
          <w:lang w:val="es-VE"/>
        </w:rPr>
        <w:t>la Convención” o “la Convención Americana”).</w:t>
      </w:r>
    </w:p>
    <w:p w14:paraId="46C54363" w14:textId="77777777" w:rsidR="00CD155F" w:rsidRPr="00ED541F" w:rsidRDefault="00CD155F" w:rsidP="00284AF8">
      <w:pPr>
        <w:pStyle w:val="ListParagraph"/>
        <w:rPr>
          <w:color w:val="000000" w:themeColor="text1"/>
          <w:sz w:val="20"/>
          <w:szCs w:val="20"/>
          <w:lang w:val="es-VE"/>
        </w:rPr>
      </w:pPr>
    </w:p>
    <w:p w14:paraId="18B6F965" w14:textId="714F0737" w:rsidR="00931612" w:rsidRPr="00ED541F" w:rsidRDefault="005C4CA5"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ascii="Cambria" w:hAnsi="Cambria"/>
          <w:sz w:val="20"/>
          <w:szCs w:val="20"/>
          <w:lang w:val="es-VE"/>
        </w:rPr>
      </w:pPr>
      <w:r w:rsidRPr="00ED541F">
        <w:rPr>
          <w:color w:val="000000" w:themeColor="text1"/>
          <w:sz w:val="20"/>
          <w:szCs w:val="20"/>
          <w:lang w:val="es-VE"/>
        </w:rPr>
        <w:t>Con base en las determinaciones de hecho y de derecho, la Comisión Interamericana concluyó que</w:t>
      </w:r>
      <w:r w:rsidR="00A814FA" w:rsidRPr="00ED541F">
        <w:rPr>
          <w:color w:val="000000" w:themeColor="text1"/>
          <w:sz w:val="20"/>
          <w:szCs w:val="20"/>
          <w:lang w:val="es-VE"/>
        </w:rPr>
        <w:t xml:space="preserve"> </w:t>
      </w:r>
      <w:r w:rsidRPr="00ED541F">
        <w:rPr>
          <w:color w:val="000000" w:themeColor="text1"/>
          <w:sz w:val="20"/>
          <w:szCs w:val="20"/>
          <w:lang w:val="es-VE"/>
        </w:rPr>
        <w:t xml:space="preserve">el Estado es responsable por </w:t>
      </w:r>
      <w:r w:rsidR="00D906AB" w:rsidRPr="00ED541F">
        <w:rPr>
          <w:color w:val="000000" w:themeColor="text1"/>
          <w:sz w:val="20"/>
          <w:szCs w:val="20"/>
          <w:lang w:val="es-VE"/>
        </w:rPr>
        <w:t>la violación de los artículos</w:t>
      </w:r>
      <w:r w:rsidR="00931612" w:rsidRPr="00ED541F">
        <w:rPr>
          <w:color w:val="000000" w:themeColor="text1"/>
          <w:sz w:val="20"/>
          <w:szCs w:val="20"/>
          <w:lang w:val="es-VE"/>
        </w:rPr>
        <w:t xml:space="preserve"> 8.1 (derecho a contar con una motivación suficiente), </w:t>
      </w:r>
      <w:r w:rsidR="00CE6B08" w:rsidRPr="00ED541F">
        <w:rPr>
          <w:color w:val="000000" w:themeColor="text1"/>
          <w:sz w:val="20"/>
          <w:szCs w:val="20"/>
          <w:lang w:val="es-VE"/>
        </w:rPr>
        <w:t xml:space="preserve"> 8.2 (presunción de inocencia); 8.2 b (derecho a la comunicación previa y detallada de la acusación); 8.2 c (derecho al tiempo y a los medios</w:t>
      </w:r>
      <w:r w:rsidR="00931612" w:rsidRPr="00ED541F">
        <w:rPr>
          <w:color w:val="000000" w:themeColor="text1"/>
          <w:sz w:val="20"/>
          <w:szCs w:val="20"/>
          <w:lang w:val="es-VE"/>
        </w:rPr>
        <w:t xml:space="preserve"> adecuados de defensa); 8.2 d </w:t>
      </w:r>
      <w:r w:rsidR="00CE6B08" w:rsidRPr="00ED541F">
        <w:rPr>
          <w:color w:val="000000" w:themeColor="text1"/>
          <w:sz w:val="20"/>
          <w:szCs w:val="20"/>
          <w:lang w:val="es-VE"/>
        </w:rPr>
        <w:t>(derecho a ser asistido por un abogado)</w:t>
      </w:r>
      <w:r w:rsidR="00931612" w:rsidRPr="00ED541F">
        <w:rPr>
          <w:color w:val="000000" w:themeColor="text1"/>
          <w:sz w:val="20"/>
          <w:szCs w:val="20"/>
          <w:lang w:val="es-VE"/>
        </w:rPr>
        <w:t>, 8.2</w:t>
      </w:r>
      <w:r w:rsidR="005A5FC6" w:rsidRPr="00ED541F">
        <w:rPr>
          <w:color w:val="000000" w:themeColor="text1"/>
          <w:sz w:val="20"/>
          <w:szCs w:val="20"/>
          <w:lang w:val="es-VE"/>
        </w:rPr>
        <w:t xml:space="preserve"> </w:t>
      </w:r>
      <w:r w:rsidR="00931612" w:rsidRPr="00ED541F">
        <w:rPr>
          <w:color w:val="000000" w:themeColor="text1"/>
          <w:sz w:val="20"/>
          <w:szCs w:val="20"/>
          <w:lang w:val="es-VE"/>
        </w:rPr>
        <w:t xml:space="preserve">h (derecho a recurrir el fallo), 9 (principio de legalidad) y 25.1 (derecho a un recurso judicial), </w:t>
      </w:r>
      <w:r w:rsidR="00CE6B08" w:rsidRPr="00ED541F">
        <w:rPr>
          <w:color w:val="000000" w:themeColor="text1"/>
          <w:sz w:val="20"/>
          <w:szCs w:val="20"/>
          <w:lang w:val="es-VE"/>
        </w:rPr>
        <w:t xml:space="preserve">en relación con los artículos 1.1 y 2 de </w:t>
      </w:r>
      <w:r w:rsidR="0039353D" w:rsidRPr="00ED541F">
        <w:rPr>
          <w:color w:val="000000" w:themeColor="text1"/>
          <w:sz w:val="20"/>
          <w:szCs w:val="20"/>
          <w:lang w:val="es-VE"/>
        </w:rPr>
        <w:t>l</w:t>
      </w:r>
      <w:r w:rsidR="00CE6B08" w:rsidRPr="00ED541F">
        <w:rPr>
          <w:color w:val="000000" w:themeColor="text1"/>
          <w:sz w:val="20"/>
          <w:szCs w:val="20"/>
          <w:lang w:val="es-VE"/>
        </w:rPr>
        <w:t>a Convención, en perjuicio del señor Víctor Henry Mina Cuero.</w:t>
      </w:r>
      <w:r w:rsidRPr="00ED541F">
        <w:rPr>
          <w:color w:val="000000" w:themeColor="text1"/>
          <w:sz w:val="20"/>
          <w:szCs w:val="20"/>
          <w:lang w:val="es-VE"/>
        </w:rPr>
        <w:t xml:space="preserve"> La Comisión formuló las recomendaciones respectivas.</w:t>
      </w:r>
    </w:p>
    <w:p w14:paraId="3E8A55A8" w14:textId="77777777" w:rsidR="001152A2" w:rsidRPr="00ED541F" w:rsidRDefault="001152A2"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cs="Arial"/>
          <w:lang w:eastAsia="en-US"/>
        </w:rPr>
      </w:pPr>
    </w:p>
    <w:p w14:paraId="5C04F030" w14:textId="77777777" w:rsidR="0008768F" w:rsidRPr="00ED541F" w:rsidRDefault="002873B7" w:rsidP="00284AF8">
      <w:pPr>
        <w:pStyle w:val="Heading1"/>
        <w:numPr>
          <w:ilvl w:val="0"/>
          <w:numId w:val="69"/>
        </w:numPr>
        <w:spacing w:before="0"/>
        <w:ind w:left="720" w:firstLine="0"/>
        <w:rPr>
          <w:rFonts w:ascii="Cambria" w:hAnsi="Cambria"/>
          <w:color w:val="auto"/>
          <w:sz w:val="20"/>
          <w:szCs w:val="20"/>
          <w:lang w:val="es-VE" w:eastAsia="en-US"/>
        </w:rPr>
      </w:pPr>
      <w:bookmarkStart w:id="4" w:name="_Toc505243723"/>
      <w:bookmarkStart w:id="5" w:name="_Toc531880962"/>
      <w:r w:rsidRPr="00ED541F">
        <w:rPr>
          <w:rFonts w:ascii="Cambria" w:hAnsi="Cambria"/>
          <w:color w:val="auto"/>
          <w:sz w:val="20"/>
          <w:szCs w:val="20"/>
          <w:lang w:val="es-VE" w:eastAsia="en-US"/>
        </w:rPr>
        <w:t>ALEGATOS DE LAS PARTES</w:t>
      </w:r>
      <w:bookmarkEnd w:id="4"/>
      <w:bookmarkEnd w:id="5"/>
      <w:r w:rsidRPr="00ED541F">
        <w:rPr>
          <w:rFonts w:ascii="Cambria" w:hAnsi="Cambria"/>
          <w:color w:val="auto"/>
          <w:sz w:val="20"/>
          <w:szCs w:val="20"/>
          <w:lang w:val="es-VE" w:eastAsia="en-US"/>
        </w:rPr>
        <w:t xml:space="preserve"> </w:t>
      </w:r>
    </w:p>
    <w:p w14:paraId="447F3954" w14:textId="77777777" w:rsidR="00D83D73" w:rsidRPr="00ED541F" w:rsidRDefault="00D83D73" w:rsidP="00284AF8">
      <w:pPr>
        <w:pStyle w:val="ListParagraph"/>
        <w:suppressAutoHyphens/>
        <w:ind w:left="1440"/>
        <w:jc w:val="both"/>
        <w:rPr>
          <w:rFonts w:asciiTheme="majorHAnsi" w:hAnsiTheme="majorHAnsi"/>
          <w:b/>
          <w:sz w:val="20"/>
          <w:szCs w:val="20"/>
          <w:lang w:val="es-ES_tradnl"/>
        </w:rPr>
      </w:pPr>
    </w:p>
    <w:p w14:paraId="5FC727D3" w14:textId="77777777" w:rsidR="00AA1D0F" w:rsidRPr="00ED541F" w:rsidRDefault="001152A2" w:rsidP="00284AF8">
      <w:pPr>
        <w:pStyle w:val="Heading2"/>
        <w:numPr>
          <w:ilvl w:val="0"/>
          <w:numId w:val="56"/>
        </w:numPr>
        <w:spacing w:before="0" w:after="0"/>
        <w:ind w:left="1440" w:hanging="720"/>
        <w:jc w:val="both"/>
        <w:rPr>
          <w:rFonts w:asciiTheme="majorHAnsi" w:hAnsiTheme="majorHAnsi" w:cs="Times New Roman"/>
          <w:bCs w:val="0"/>
          <w:i w:val="0"/>
          <w:iCs w:val="0"/>
          <w:sz w:val="20"/>
          <w:szCs w:val="20"/>
          <w:lang w:val="es-ES_tradnl" w:eastAsia="en-US"/>
        </w:rPr>
      </w:pPr>
      <w:bookmarkStart w:id="6" w:name="_Toc505243724"/>
      <w:bookmarkStart w:id="7" w:name="_Toc531880963"/>
      <w:r w:rsidRPr="00ED541F">
        <w:rPr>
          <w:rFonts w:asciiTheme="majorHAnsi" w:hAnsiTheme="majorHAnsi" w:cs="Times New Roman"/>
          <w:bCs w:val="0"/>
          <w:i w:val="0"/>
          <w:iCs w:val="0"/>
          <w:sz w:val="20"/>
          <w:szCs w:val="20"/>
          <w:lang w:val="es-ES_tradnl" w:eastAsia="en-US"/>
        </w:rPr>
        <w:t>Parte peticionaria</w:t>
      </w:r>
      <w:bookmarkEnd w:id="6"/>
      <w:bookmarkEnd w:id="7"/>
    </w:p>
    <w:p w14:paraId="764FC176" w14:textId="77777777" w:rsidR="00AA1D0F" w:rsidRPr="00ED541F" w:rsidRDefault="00AA1D0F" w:rsidP="00284AF8">
      <w:pPr>
        <w:suppressAutoHyphens/>
        <w:jc w:val="both"/>
        <w:rPr>
          <w:color w:val="548DD4" w:themeColor="text2" w:themeTint="99"/>
          <w:lang w:val="es-VE"/>
        </w:rPr>
      </w:pPr>
    </w:p>
    <w:p w14:paraId="6CBDB6B6" w14:textId="26515C46"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rFonts w:eastAsia="Calibri"/>
          <w:sz w:val="20"/>
          <w:szCs w:val="20"/>
          <w:lang w:val="es-VE"/>
        </w:rPr>
        <w:t>El peticionario indicó que el 11 de septiembre de 2000, mientras prestaba sus servicios como Policía en el Comando Provincial de Loja, fue informado por uno de sus superiores sobre el grave estado de salud en el que se encontraba su hija de tres meses de edad.  Refirió que en virtud de lo anterior se trasladó de inmediato, sin previa autorización de sus superiores</w:t>
      </w:r>
      <w:r w:rsidR="001C00C9" w:rsidRPr="00ED541F">
        <w:rPr>
          <w:rFonts w:eastAsia="Calibri"/>
          <w:sz w:val="20"/>
          <w:szCs w:val="20"/>
          <w:lang w:val="es-VE"/>
        </w:rPr>
        <w:t>,</w:t>
      </w:r>
      <w:r w:rsidRPr="00ED541F">
        <w:rPr>
          <w:rFonts w:eastAsia="Calibri"/>
          <w:sz w:val="20"/>
          <w:szCs w:val="20"/>
          <w:lang w:val="es-VE"/>
        </w:rPr>
        <w:t xml:space="preserve"> a la ciudad de </w:t>
      </w:r>
      <w:proofErr w:type="spellStart"/>
      <w:r w:rsidRPr="00ED541F">
        <w:rPr>
          <w:rFonts w:eastAsia="Calibri"/>
          <w:sz w:val="20"/>
          <w:szCs w:val="20"/>
          <w:lang w:val="es-VE"/>
        </w:rPr>
        <w:t>Quindé</w:t>
      </w:r>
      <w:proofErr w:type="spellEnd"/>
      <w:r w:rsidRPr="00ED541F">
        <w:rPr>
          <w:rFonts w:eastAsia="Calibri"/>
          <w:sz w:val="20"/>
          <w:szCs w:val="20"/>
          <w:lang w:val="es-VE"/>
        </w:rPr>
        <w:t xml:space="preserve"> para asistir</w:t>
      </w:r>
      <w:r w:rsidR="005A5FC6" w:rsidRPr="00ED541F">
        <w:rPr>
          <w:rFonts w:eastAsia="Calibri"/>
          <w:sz w:val="20"/>
          <w:szCs w:val="20"/>
          <w:lang w:val="es-VE"/>
        </w:rPr>
        <w:t>la</w:t>
      </w:r>
      <w:r w:rsidRPr="00ED541F">
        <w:rPr>
          <w:rFonts w:eastAsia="Calibri"/>
          <w:sz w:val="20"/>
          <w:szCs w:val="20"/>
          <w:lang w:val="es-VE"/>
        </w:rPr>
        <w:t>, y que allí recibió varios insultos por parte de su ex conviviente y madre de su hija.</w:t>
      </w:r>
    </w:p>
    <w:p w14:paraId="45176538" w14:textId="77777777" w:rsidR="00CD155F" w:rsidRPr="00ED541F" w:rsidRDefault="00CD155F"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eastAsia="Calibri"/>
          <w:sz w:val="20"/>
          <w:szCs w:val="20"/>
          <w:lang w:val="es-VE"/>
        </w:rPr>
      </w:pPr>
    </w:p>
    <w:p w14:paraId="2D92EDFC" w14:textId="06CB3ABC"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Indicó que la tía de su ex conviviente realizó una denuncia ante </w:t>
      </w:r>
      <w:r w:rsidR="00410720" w:rsidRPr="00ED541F">
        <w:rPr>
          <w:sz w:val="20"/>
          <w:szCs w:val="20"/>
          <w:lang w:val="es-US"/>
        </w:rPr>
        <w:t>la policía, argumentando que las había agredido</w:t>
      </w:r>
      <w:r w:rsidRPr="00ED541F">
        <w:rPr>
          <w:sz w:val="20"/>
          <w:szCs w:val="20"/>
          <w:lang w:val="es-US"/>
        </w:rPr>
        <w:t xml:space="preserve"> y </w:t>
      </w:r>
      <w:r w:rsidR="00410720" w:rsidRPr="00ED541F">
        <w:rPr>
          <w:sz w:val="20"/>
          <w:szCs w:val="20"/>
          <w:lang w:val="es-US"/>
        </w:rPr>
        <w:t xml:space="preserve">que había </w:t>
      </w:r>
      <w:r w:rsidRPr="00ED541F">
        <w:rPr>
          <w:sz w:val="20"/>
          <w:szCs w:val="20"/>
          <w:lang w:val="es-US"/>
        </w:rPr>
        <w:t xml:space="preserve">hecho varios disparos al aire para amedrentarlas, </w:t>
      </w:r>
      <w:r w:rsidR="00875ABB" w:rsidRPr="00ED541F">
        <w:rPr>
          <w:sz w:val="20"/>
          <w:szCs w:val="20"/>
          <w:lang w:val="es-US"/>
        </w:rPr>
        <w:t>que</w:t>
      </w:r>
      <w:r w:rsidRPr="00ED541F">
        <w:rPr>
          <w:sz w:val="20"/>
          <w:szCs w:val="20"/>
          <w:lang w:val="es-US"/>
        </w:rPr>
        <w:t xml:space="preserve"> en respuesta el 15 de septiembre de 2000 varios miembros de la policía acudieron a</w:t>
      </w:r>
      <w:r w:rsidR="00FB0878" w:rsidRPr="00ED541F">
        <w:rPr>
          <w:sz w:val="20"/>
          <w:szCs w:val="20"/>
          <w:lang w:val="es-US"/>
        </w:rPr>
        <w:t>l</w:t>
      </w:r>
      <w:r w:rsidRPr="00ED541F">
        <w:rPr>
          <w:sz w:val="20"/>
          <w:szCs w:val="20"/>
          <w:lang w:val="es-US"/>
        </w:rPr>
        <w:t xml:space="preserve"> domicilio para levantar un parte policial, y que en dicha ocasión los policías le amenazaron con elevar un “parte sucio” por lo que él les llamó “policías broncos”.</w:t>
      </w:r>
    </w:p>
    <w:p w14:paraId="78C0B1D0" w14:textId="77777777" w:rsidR="00CD155F" w:rsidRPr="00ED541F" w:rsidRDefault="00CD155F" w:rsidP="0085581C">
      <w:pPr>
        <w:pStyle w:val="ListParagraph"/>
        <w:rPr>
          <w:sz w:val="20"/>
          <w:szCs w:val="20"/>
          <w:lang w:val="es-US"/>
        </w:rPr>
      </w:pPr>
    </w:p>
    <w:p w14:paraId="13726D87" w14:textId="37DFE80F"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Refirió </w:t>
      </w:r>
      <w:proofErr w:type="gramStart"/>
      <w:r w:rsidRPr="00ED541F">
        <w:rPr>
          <w:sz w:val="20"/>
          <w:szCs w:val="20"/>
          <w:lang w:val="es-US"/>
        </w:rPr>
        <w:t>que</w:t>
      </w:r>
      <w:proofErr w:type="gramEnd"/>
      <w:r w:rsidRPr="00ED541F">
        <w:rPr>
          <w:sz w:val="20"/>
          <w:szCs w:val="20"/>
          <w:lang w:val="es-US"/>
        </w:rPr>
        <w:t xml:space="preserve"> en respuesta tanto a las denuncias como a su confrontación c</w:t>
      </w:r>
      <w:r w:rsidR="00C03516" w:rsidRPr="00ED541F">
        <w:rPr>
          <w:sz w:val="20"/>
          <w:szCs w:val="20"/>
          <w:lang w:val="es-US"/>
        </w:rPr>
        <w:t>on los agentes policiales, el 18</w:t>
      </w:r>
      <w:r w:rsidRPr="00ED541F">
        <w:rPr>
          <w:sz w:val="20"/>
          <w:szCs w:val="20"/>
          <w:lang w:val="es-US"/>
        </w:rPr>
        <w:t xml:space="preserve"> de septiembre de 2000 la Unidad de Asuntos Internos de la Policía le inició una investigación disciplinaria, sin informarle que </w:t>
      </w:r>
      <w:r w:rsidR="00812BFB" w:rsidRPr="00ED541F">
        <w:rPr>
          <w:sz w:val="20"/>
          <w:szCs w:val="20"/>
          <w:lang w:val="es-US"/>
        </w:rPr>
        <w:t>é</w:t>
      </w:r>
      <w:r w:rsidRPr="00ED541F">
        <w:rPr>
          <w:sz w:val="20"/>
          <w:szCs w:val="20"/>
          <w:lang w:val="es-US"/>
        </w:rPr>
        <w:t xml:space="preserve">sta estaba en curso. Indicó </w:t>
      </w:r>
      <w:proofErr w:type="gramStart"/>
      <w:r w:rsidRPr="00ED541F">
        <w:rPr>
          <w:sz w:val="20"/>
          <w:szCs w:val="20"/>
          <w:lang w:val="es-US"/>
        </w:rPr>
        <w:t>que</w:t>
      </w:r>
      <w:proofErr w:type="gramEnd"/>
      <w:r w:rsidRPr="00ED541F">
        <w:rPr>
          <w:sz w:val="20"/>
          <w:szCs w:val="20"/>
          <w:lang w:val="es-US"/>
        </w:rPr>
        <w:t xml:space="preserve"> en el marco de la investigación</w:t>
      </w:r>
      <w:r w:rsidR="004D7C81" w:rsidRPr="00ED541F">
        <w:rPr>
          <w:sz w:val="20"/>
          <w:szCs w:val="20"/>
          <w:lang w:val="es-US"/>
        </w:rPr>
        <w:t>,</w:t>
      </w:r>
      <w:r w:rsidRPr="00ED541F">
        <w:rPr>
          <w:sz w:val="20"/>
          <w:szCs w:val="20"/>
          <w:lang w:val="es-US"/>
        </w:rPr>
        <w:t xml:space="preserve"> la Policía </w:t>
      </w:r>
      <w:r w:rsidRPr="00ED541F">
        <w:rPr>
          <w:sz w:val="20"/>
          <w:szCs w:val="20"/>
          <w:lang w:val="es-US"/>
        </w:rPr>
        <w:lastRenderedPageBreak/>
        <w:t>Judicial le tomó una declaraci</w:t>
      </w:r>
      <w:r w:rsidR="000C5391" w:rsidRPr="00ED541F">
        <w:rPr>
          <w:sz w:val="20"/>
          <w:szCs w:val="20"/>
          <w:lang w:val="es-US"/>
        </w:rPr>
        <w:t xml:space="preserve">ón sin la asistencia de abogado y que en el marco de la misma tampoco se le notificó formalmente de un proceso en su contra. </w:t>
      </w:r>
      <w:r w:rsidRPr="00ED541F">
        <w:rPr>
          <w:sz w:val="20"/>
          <w:szCs w:val="20"/>
          <w:lang w:val="es-US"/>
        </w:rPr>
        <w:t xml:space="preserve"> </w:t>
      </w:r>
    </w:p>
    <w:p w14:paraId="27E09C5A" w14:textId="77777777" w:rsidR="00CD155F" w:rsidRPr="00ED541F" w:rsidRDefault="00CD155F" w:rsidP="00284AF8">
      <w:pPr>
        <w:pStyle w:val="ListParagraph"/>
        <w:rPr>
          <w:sz w:val="20"/>
          <w:szCs w:val="20"/>
          <w:lang w:val="es-US"/>
        </w:rPr>
      </w:pPr>
    </w:p>
    <w:p w14:paraId="6EDAE708" w14:textId="3D248B80"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Expresó que el 24 de octubre de 2000 mientras estaba de servicio en la Ciudad de Loja, en la frontera con Perú, uno de sus superiores le comunicó verbalmente que debía comparecer a una audiencia ante el Tribunal de Disciplina en la ciudad de Esmeralda</w:t>
      </w:r>
      <w:r w:rsidR="00812BFB" w:rsidRPr="00ED541F">
        <w:rPr>
          <w:sz w:val="20"/>
          <w:szCs w:val="20"/>
          <w:lang w:val="es-US"/>
        </w:rPr>
        <w:t>s</w:t>
      </w:r>
      <w:r w:rsidRPr="00ED541F">
        <w:rPr>
          <w:sz w:val="20"/>
          <w:szCs w:val="20"/>
          <w:lang w:val="es-US"/>
        </w:rPr>
        <w:t>, sin informarle sobre qué versaría la misma. Indicó que para comparecer a dicha audiencia tuvo que realizar un viaje de dieciocho horas a Esmeralda</w:t>
      </w:r>
      <w:r w:rsidR="00812BFB" w:rsidRPr="00ED541F">
        <w:rPr>
          <w:sz w:val="20"/>
          <w:szCs w:val="20"/>
          <w:lang w:val="es-US"/>
        </w:rPr>
        <w:t>s</w:t>
      </w:r>
      <w:r w:rsidRPr="00ED541F">
        <w:rPr>
          <w:sz w:val="20"/>
          <w:szCs w:val="20"/>
          <w:lang w:val="es-US"/>
        </w:rPr>
        <w:t xml:space="preserve"> y </w:t>
      </w:r>
      <w:proofErr w:type="gramStart"/>
      <w:r w:rsidRPr="00ED541F">
        <w:rPr>
          <w:sz w:val="20"/>
          <w:szCs w:val="20"/>
          <w:lang w:val="es-US"/>
        </w:rPr>
        <w:t>que</w:t>
      </w:r>
      <w:proofErr w:type="gramEnd"/>
      <w:r w:rsidRPr="00ED541F">
        <w:rPr>
          <w:sz w:val="20"/>
          <w:szCs w:val="20"/>
          <w:lang w:val="es-US"/>
        </w:rPr>
        <w:t xml:space="preserve"> </w:t>
      </w:r>
      <w:r w:rsidR="001C00C9" w:rsidRPr="00ED541F">
        <w:rPr>
          <w:sz w:val="20"/>
          <w:szCs w:val="20"/>
          <w:lang w:val="es-US"/>
        </w:rPr>
        <w:t>por</w:t>
      </w:r>
      <w:r w:rsidRPr="00ED541F">
        <w:rPr>
          <w:sz w:val="20"/>
          <w:szCs w:val="20"/>
          <w:lang w:val="es-US"/>
        </w:rPr>
        <w:t xml:space="preserve"> </w:t>
      </w:r>
      <w:r w:rsidR="005C5ADB" w:rsidRPr="00ED541F">
        <w:rPr>
          <w:sz w:val="20"/>
          <w:szCs w:val="20"/>
          <w:lang w:val="es-US"/>
        </w:rPr>
        <w:t xml:space="preserve">lo </w:t>
      </w:r>
      <w:r w:rsidRPr="00ED541F">
        <w:rPr>
          <w:sz w:val="20"/>
          <w:szCs w:val="20"/>
          <w:lang w:val="es-US"/>
        </w:rPr>
        <w:t>improvisad</w:t>
      </w:r>
      <w:r w:rsidR="005C5ADB" w:rsidRPr="00ED541F">
        <w:rPr>
          <w:sz w:val="20"/>
          <w:szCs w:val="20"/>
          <w:lang w:val="es-US"/>
        </w:rPr>
        <w:t>o</w:t>
      </w:r>
      <w:r w:rsidRPr="00ED541F">
        <w:rPr>
          <w:sz w:val="20"/>
          <w:szCs w:val="20"/>
          <w:lang w:val="es-US"/>
        </w:rPr>
        <w:t xml:space="preserve"> de la notificación, tuvo que buscar un abogado al llegar a la ciudad. </w:t>
      </w:r>
    </w:p>
    <w:p w14:paraId="5EDE22E7" w14:textId="7E7269EE" w:rsidR="00CD155F" w:rsidRPr="00ED541F" w:rsidRDefault="0097162A" w:rsidP="00284AF8">
      <w:pPr>
        <w:pStyle w:val="ListParagraph"/>
        <w:tabs>
          <w:tab w:val="left" w:pos="2964"/>
        </w:tabs>
        <w:rPr>
          <w:sz w:val="20"/>
          <w:szCs w:val="20"/>
          <w:lang w:val="es-US"/>
        </w:rPr>
      </w:pPr>
      <w:r w:rsidRPr="00ED541F">
        <w:rPr>
          <w:sz w:val="20"/>
          <w:szCs w:val="20"/>
          <w:lang w:val="es-US"/>
        </w:rPr>
        <w:tab/>
      </w:r>
    </w:p>
    <w:p w14:paraId="0AEDE1A5" w14:textId="77777777"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Manifestó que fue hasta llegar a la comisaria de la policía donde se desarrollaría la audiencia que fue informado de los hechos de los que se le acusaba, y el abogado contó con breves minutos para revisar el expediente</w:t>
      </w:r>
      <w:r w:rsidR="001C00C9" w:rsidRPr="00ED541F">
        <w:rPr>
          <w:sz w:val="20"/>
          <w:szCs w:val="20"/>
          <w:lang w:val="es-US"/>
        </w:rPr>
        <w:t xml:space="preserve"> y</w:t>
      </w:r>
      <w:r w:rsidRPr="00ED541F">
        <w:rPr>
          <w:sz w:val="20"/>
          <w:szCs w:val="20"/>
          <w:lang w:val="es-US"/>
        </w:rPr>
        <w:t xml:space="preserve"> prepara</w:t>
      </w:r>
      <w:r w:rsidR="001C00C9" w:rsidRPr="00ED541F">
        <w:rPr>
          <w:sz w:val="20"/>
          <w:szCs w:val="20"/>
          <w:lang w:val="es-US"/>
        </w:rPr>
        <w:t>r</w:t>
      </w:r>
      <w:r w:rsidRPr="00ED541F">
        <w:rPr>
          <w:sz w:val="20"/>
          <w:szCs w:val="20"/>
          <w:lang w:val="es-US"/>
        </w:rPr>
        <w:t xml:space="preserve"> su defensa. Indicó que su abogado solicitó </w:t>
      </w:r>
      <w:r w:rsidR="005C5ADB" w:rsidRPr="00ED541F">
        <w:rPr>
          <w:sz w:val="20"/>
          <w:szCs w:val="20"/>
          <w:lang w:val="es-US"/>
        </w:rPr>
        <w:t xml:space="preserve">que </w:t>
      </w:r>
      <w:r w:rsidRPr="00ED541F">
        <w:rPr>
          <w:sz w:val="20"/>
          <w:szCs w:val="20"/>
          <w:lang w:val="es-US"/>
        </w:rPr>
        <w:t xml:space="preserve">se pospusiera la </w:t>
      </w:r>
      <w:proofErr w:type="gramStart"/>
      <w:r w:rsidRPr="00ED541F">
        <w:rPr>
          <w:sz w:val="20"/>
          <w:szCs w:val="20"/>
          <w:lang w:val="es-US"/>
        </w:rPr>
        <w:t>audiencia</w:t>
      </w:r>
      <w:proofErr w:type="gramEnd"/>
      <w:r w:rsidRPr="00ED541F">
        <w:rPr>
          <w:sz w:val="20"/>
          <w:szCs w:val="20"/>
          <w:lang w:val="es-US"/>
        </w:rPr>
        <w:t xml:space="preserve"> pero su solicitud fue negada.  Refirió que los hechos por los que se le procesaba era haber disparado un arma, haber agredido a su ex conviviente y </w:t>
      </w:r>
      <w:proofErr w:type="gramStart"/>
      <w:r w:rsidRPr="00ED541F">
        <w:rPr>
          <w:sz w:val="20"/>
          <w:szCs w:val="20"/>
          <w:lang w:val="es-US"/>
        </w:rPr>
        <w:t>faltarle</w:t>
      </w:r>
      <w:proofErr w:type="gramEnd"/>
      <w:r w:rsidRPr="00ED541F">
        <w:rPr>
          <w:sz w:val="20"/>
          <w:szCs w:val="20"/>
          <w:lang w:val="es-US"/>
        </w:rPr>
        <w:t xml:space="preserve"> el respeto a sus superiores. </w:t>
      </w:r>
    </w:p>
    <w:p w14:paraId="62F635BB" w14:textId="77777777" w:rsidR="00CD155F" w:rsidRPr="00ED541F" w:rsidRDefault="00CD155F" w:rsidP="00284AF8">
      <w:pPr>
        <w:pStyle w:val="ListParagraph"/>
        <w:rPr>
          <w:sz w:val="20"/>
          <w:szCs w:val="20"/>
          <w:lang w:val="es-US"/>
        </w:rPr>
      </w:pPr>
    </w:p>
    <w:p w14:paraId="1A782904" w14:textId="39848C8C"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Refirió que luego de la audiencia, el Tribunal Disciplinario dictó sentencia que dispuso su destitución de la policía por considerar que se encontraba inmerso en las causales 6 y 26 del artículo 64 del Reglamento Disciplinario de la Policía Nacional.  Expresó que en el marco del proceso se dieron una serie de violaciones al debido proceso.  </w:t>
      </w:r>
    </w:p>
    <w:p w14:paraId="0ECA4F61" w14:textId="77777777" w:rsidR="00CD155F" w:rsidRPr="00ED541F" w:rsidRDefault="00CD155F" w:rsidP="00284AF8">
      <w:pPr>
        <w:pStyle w:val="ListParagraph"/>
        <w:rPr>
          <w:sz w:val="20"/>
          <w:szCs w:val="20"/>
          <w:lang w:val="es-US"/>
        </w:rPr>
      </w:pPr>
    </w:p>
    <w:p w14:paraId="0253F650" w14:textId="77777777"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Indicó que no pudo apelar la sentencia porque el Reglamento de Disciplina </w:t>
      </w:r>
      <w:r w:rsidR="0010592C" w:rsidRPr="00ED541F">
        <w:rPr>
          <w:sz w:val="20"/>
          <w:szCs w:val="20"/>
          <w:lang w:val="es-US"/>
        </w:rPr>
        <w:t>de la Policía Nacional establecía</w:t>
      </w:r>
      <w:r w:rsidRPr="00ED541F">
        <w:rPr>
          <w:sz w:val="20"/>
          <w:szCs w:val="20"/>
          <w:lang w:val="es-US"/>
        </w:rPr>
        <w:t xml:space="preserve"> que las decisiones adoptadas por el Tribunal de Disciplina son inapelables, y que tampoco pudo recurrir ante la rama judicial, pues la Ley Orgánica de lo Contencioso Administrativo prohíbe que los miembros de la fuerza pública puedan acudir al Tribunal de lo Contencioso Administrativo. </w:t>
      </w:r>
    </w:p>
    <w:p w14:paraId="6A1D05C5" w14:textId="77777777" w:rsidR="00CD155F" w:rsidRPr="00ED541F" w:rsidRDefault="00CD155F" w:rsidP="00284AF8">
      <w:pPr>
        <w:pStyle w:val="ListParagraph"/>
        <w:rPr>
          <w:sz w:val="20"/>
          <w:szCs w:val="20"/>
          <w:lang w:val="es-US"/>
        </w:rPr>
      </w:pPr>
    </w:p>
    <w:p w14:paraId="767344EF" w14:textId="323A8B2D"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Refirió que el 15 de diciembre de 2000 interpuso un recurso de amparo ante el Juez Tercero de </w:t>
      </w:r>
      <w:r w:rsidR="00CC3045" w:rsidRPr="00ED541F">
        <w:rPr>
          <w:sz w:val="20"/>
          <w:szCs w:val="20"/>
          <w:lang w:val="es-US"/>
        </w:rPr>
        <w:t>l</w:t>
      </w:r>
      <w:r w:rsidRPr="00ED541F">
        <w:rPr>
          <w:sz w:val="20"/>
          <w:szCs w:val="20"/>
          <w:lang w:val="es-US"/>
        </w:rPr>
        <w:t xml:space="preserve">o Civil de Esmeraldas, sin </w:t>
      </w:r>
      <w:proofErr w:type="gramStart"/>
      <w:r w:rsidRPr="00ED541F">
        <w:rPr>
          <w:sz w:val="20"/>
          <w:szCs w:val="20"/>
          <w:lang w:val="es-US"/>
        </w:rPr>
        <w:t>embargo</w:t>
      </w:r>
      <w:proofErr w:type="gramEnd"/>
      <w:r w:rsidRPr="00ED541F">
        <w:rPr>
          <w:sz w:val="20"/>
          <w:szCs w:val="20"/>
          <w:lang w:val="es-US"/>
        </w:rPr>
        <w:t xml:space="preserve"> se denegó el 18 de enero de 2001 argumentándose que las decisiones de los funcionarios judiciales no son susceptibles de amparo. Indicó que apeló la decisión, pero su recurso fue denegado el 16 de marzo de 2001, argumentándose que abandonó el recurso simplemente por haber solicitado que la audiencia fuera pospuesta.</w:t>
      </w:r>
    </w:p>
    <w:p w14:paraId="3F288B05" w14:textId="77777777" w:rsidR="00CD155F" w:rsidRPr="00ED541F" w:rsidRDefault="00CD155F" w:rsidP="00284AF8">
      <w:pPr>
        <w:pStyle w:val="ListParagraph"/>
        <w:rPr>
          <w:sz w:val="20"/>
          <w:szCs w:val="20"/>
          <w:lang w:val="es-US"/>
        </w:rPr>
      </w:pPr>
    </w:p>
    <w:p w14:paraId="116A24F2" w14:textId="0AFA12C5"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Argumentó que en abril de 2001 interpuso una demanda de inconstitucionalidad </w:t>
      </w:r>
      <w:r w:rsidR="001C00C9" w:rsidRPr="00ED541F">
        <w:rPr>
          <w:sz w:val="20"/>
          <w:szCs w:val="20"/>
          <w:lang w:val="es-US"/>
        </w:rPr>
        <w:t xml:space="preserve">ante el Tribunal Constitucional, </w:t>
      </w:r>
      <w:r w:rsidRPr="00ED541F">
        <w:rPr>
          <w:sz w:val="20"/>
          <w:szCs w:val="20"/>
          <w:lang w:val="es-US"/>
        </w:rPr>
        <w:t xml:space="preserve">en contra del acto que lo destituyó, pero </w:t>
      </w:r>
      <w:r w:rsidR="002659BE" w:rsidRPr="00ED541F">
        <w:rPr>
          <w:sz w:val="20"/>
          <w:szCs w:val="20"/>
          <w:lang w:val="es-US"/>
        </w:rPr>
        <w:t>el</w:t>
      </w:r>
      <w:r w:rsidR="00F57CA6" w:rsidRPr="00ED541F">
        <w:rPr>
          <w:sz w:val="20"/>
          <w:szCs w:val="20"/>
          <w:lang w:val="es-US"/>
        </w:rPr>
        <w:t xml:space="preserve"> mismo se negó el 29</w:t>
      </w:r>
      <w:r w:rsidRPr="00ED541F">
        <w:rPr>
          <w:sz w:val="20"/>
          <w:szCs w:val="20"/>
          <w:lang w:val="es-US"/>
        </w:rPr>
        <w:t xml:space="preserve"> de agosto de 2001, limitándose a indicar que el Tribunal de Disciplina es competente para suspender o expulsar a los policías. </w:t>
      </w:r>
    </w:p>
    <w:p w14:paraId="3018217F" w14:textId="77777777" w:rsidR="00CD155F" w:rsidRPr="00ED541F" w:rsidRDefault="00CD155F" w:rsidP="00284AF8">
      <w:pPr>
        <w:pStyle w:val="ListParagraph"/>
        <w:rPr>
          <w:sz w:val="20"/>
          <w:szCs w:val="20"/>
          <w:lang w:val="es-US"/>
        </w:rPr>
      </w:pPr>
    </w:p>
    <w:p w14:paraId="28C9C6DA" w14:textId="6EACEC75"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En cuanto a la admisibilidad de la petición indicó que la petición fue presentada </w:t>
      </w:r>
      <w:r w:rsidR="005C5ADB" w:rsidRPr="00ED541F">
        <w:rPr>
          <w:sz w:val="20"/>
          <w:szCs w:val="20"/>
          <w:lang w:val="es-US"/>
        </w:rPr>
        <w:t>dentro de los</w:t>
      </w:r>
      <w:r w:rsidR="001C00C9" w:rsidRPr="00ED541F">
        <w:rPr>
          <w:sz w:val="20"/>
          <w:szCs w:val="20"/>
          <w:lang w:val="es-US"/>
        </w:rPr>
        <w:t xml:space="preserve"> seis </w:t>
      </w:r>
      <w:r w:rsidRPr="00ED541F">
        <w:rPr>
          <w:sz w:val="20"/>
          <w:szCs w:val="20"/>
          <w:lang w:val="es-US"/>
        </w:rPr>
        <w:t>meses siguientes a la notificación definitiva que puso fin al proceso, la cual sería la sentencia del Tribunal Constitucional</w:t>
      </w:r>
      <w:r w:rsidR="00C33C7D" w:rsidRPr="00ED541F">
        <w:rPr>
          <w:sz w:val="20"/>
          <w:szCs w:val="20"/>
          <w:lang w:val="es-US"/>
        </w:rPr>
        <w:t xml:space="preserve"> notificada el 29 de agosto de 2001, </w:t>
      </w:r>
      <w:r w:rsidRPr="00ED541F">
        <w:rPr>
          <w:sz w:val="20"/>
          <w:szCs w:val="20"/>
          <w:lang w:val="es-US"/>
        </w:rPr>
        <w:t xml:space="preserve">y que este </w:t>
      </w:r>
      <w:r w:rsidR="004B29C4" w:rsidRPr="00ED541F">
        <w:rPr>
          <w:sz w:val="20"/>
          <w:szCs w:val="20"/>
          <w:lang w:val="es-US"/>
        </w:rPr>
        <w:t>era</w:t>
      </w:r>
      <w:r w:rsidRPr="00ED541F">
        <w:rPr>
          <w:sz w:val="20"/>
          <w:szCs w:val="20"/>
          <w:lang w:val="es-US"/>
        </w:rPr>
        <w:t xml:space="preserve"> </w:t>
      </w:r>
      <w:proofErr w:type="gramStart"/>
      <w:r w:rsidR="001C00C9" w:rsidRPr="00ED541F">
        <w:rPr>
          <w:sz w:val="20"/>
          <w:szCs w:val="20"/>
          <w:lang w:val="es-US"/>
        </w:rPr>
        <w:t>el recurso a agotar</w:t>
      </w:r>
      <w:proofErr w:type="gramEnd"/>
      <w:r w:rsidRPr="00ED541F">
        <w:rPr>
          <w:sz w:val="20"/>
          <w:szCs w:val="20"/>
          <w:lang w:val="es-US"/>
        </w:rPr>
        <w:t xml:space="preserve"> porque a través del mismo es posible atacar la constitucionalidad de actos administrativos de toda autoridad pública. Añadió que no busca utilizar a la CIDH como una cuarta instancia como argumenta el Estado, sino que se verifique si su proceso fue seguido con las garantías convencionales. </w:t>
      </w:r>
    </w:p>
    <w:p w14:paraId="5FDE5822" w14:textId="77777777" w:rsidR="00CD155F" w:rsidRPr="00ED541F" w:rsidRDefault="00CD155F" w:rsidP="00284AF8">
      <w:pPr>
        <w:pStyle w:val="ListParagraph"/>
        <w:rPr>
          <w:sz w:val="20"/>
          <w:szCs w:val="20"/>
          <w:lang w:val="es-US"/>
        </w:rPr>
      </w:pPr>
    </w:p>
    <w:p w14:paraId="6FE8005E" w14:textId="77777777"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En cuanto al derecho, argumentó que el Estado </w:t>
      </w:r>
      <w:r w:rsidR="000C0CE6" w:rsidRPr="00ED541F">
        <w:rPr>
          <w:sz w:val="20"/>
          <w:szCs w:val="20"/>
          <w:lang w:val="es-US"/>
        </w:rPr>
        <w:t>violó su</w:t>
      </w:r>
      <w:r w:rsidRPr="00ED541F">
        <w:rPr>
          <w:sz w:val="20"/>
          <w:szCs w:val="20"/>
          <w:lang w:val="es-US"/>
        </w:rPr>
        <w:t xml:space="preserve"> </w:t>
      </w:r>
      <w:r w:rsidR="000C0CE6" w:rsidRPr="00ED541F">
        <w:rPr>
          <w:b/>
          <w:sz w:val="20"/>
          <w:szCs w:val="20"/>
          <w:lang w:val="es-US"/>
        </w:rPr>
        <w:t>derecho</w:t>
      </w:r>
      <w:r w:rsidRPr="00ED541F">
        <w:rPr>
          <w:b/>
          <w:sz w:val="20"/>
          <w:szCs w:val="20"/>
          <w:lang w:val="es-US"/>
        </w:rPr>
        <w:t xml:space="preserve"> a las garantías judiciales</w:t>
      </w:r>
      <w:r w:rsidR="000C0CE6" w:rsidRPr="00ED541F">
        <w:rPr>
          <w:b/>
          <w:sz w:val="20"/>
          <w:szCs w:val="20"/>
          <w:lang w:val="es-US"/>
        </w:rPr>
        <w:t xml:space="preserve">. </w:t>
      </w:r>
      <w:r w:rsidR="000C0CE6" w:rsidRPr="00ED541F">
        <w:rPr>
          <w:sz w:val="20"/>
          <w:szCs w:val="20"/>
          <w:lang w:val="es-US"/>
        </w:rPr>
        <w:t>En particular refirió que</w:t>
      </w:r>
      <w:r w:rsidR="000C0CE6" w:rsidRPr="00ED541F">
        <w:rPr>
          <w:b/>
          <w:sz w:val="20"/>
          <w:szCs w:val="20"/>
          <w:lang w:val="es-US"/>
        </w:rPr>
        <w:t xml:space="preserve"> </w:t>
      </w:r>
      <w:r w:rsidRPr="00ED541F">
        <w:rPr>
          <w:sz w:val="20"/>
          <w:szCs w:val="20"/>
          <w:lang w:val="es-US"/>
        </w:rPr>
        <w:t xml:space="preserve">se violó su </w:t>
      </w:r>
      <w:r w:rsidRPr="00ED541F">
        <w:rPr>
          <w:b/>
          <w:sz w:val="20"/>
          <w:szCs w:val="20"/>
          <w:lang w:val="es-US"/>
        </w:rPr>
        <w:t>derecho a ser oído por un juez o tribunal competente, independiente e imparcial</w:t>
      </w:r>
      <w:r w:rsidRPr="00ED541F">
        <w:rPr>
          <w:sz w:val="20"/>
          <w:szCs w:val="20"/>
          <w:lang w:val="es-US"/>
        </w:rPr>
        <w:t xml:space="preserve">, porque el Tribunal de Disciplina pertenece al poder ejecutivo y sus miembros son oficiales activos nombrados por altos mandos, lo cual afecta la imparcialidad del tribunal. </w:t>
      </w:r>
    </w:p>
    <w:p w14:paraId="32630531" w14:textId="77777777" w:rsidR="00CD155F" w:rsidRPr="00ED541F" w:rsidRDefault="00CD155F" w:rsidP="00284AF8">
      <w:pPr>
        <w:pStyle w:val="ListParagraph"/>
        <w:rPr>
          <w:sz w:val="20"/>
          <w:szCs w:val="20"/>
          <w:lang w:val="es-US"/>
        </w:rPr>
      </w:pPr>
    </w:p>
    <w:p w14:paraId="1BCB0A23" w14:textId="3676B453"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I</w:t>
      </w:r>
      <w:r w:rsidR="00A53C76" w:rsidRPr="00ED541F">
        <w:rPr>
          <w:sz w:val="20"/>
          <w:szCs w:val="20"/>
          <w:lang w:val="es-US"/>
        </w:rPr>
        <w:t xml:space="preserve">ndicó que el Estado violó su </w:t>
      </w:r>
      <w:r w:rsidR="00A53C76" w:rsidRPr="00ED541F">
        <w:rPr>
          <w:b/>
          <w:sz w:val="20"/>
          <w:szCs w:val="20"/>
          <w:lang w:val="es-US"/>
        </w:rPr>
        <w:t>derecho a ser comunicado de manera previa y detallada de la acusación en su contra</w:t>
      </w:r>
      <w:r w:rsidR="00A53C76" w:rsidRPr="00ED541F">
        <w:rPr>
          <w:sz w:val="20"/>
          <w:szCs w:val="20"/>
          <w:lang w:val="es-US"/>
        </w:rPr>
        <w:t xml:space="preserve">, y </w:t>
      </w:r>
      <w:r w:rsidR="00A53C76" w:rsidRPr="00ED541F">
        <w:rPr>
          <w:b/>
          <w:sz w:val="20"/>
          <w:szCs w:val="20"/>
          <w:lang w:val="es-US"/>
        </w:rPr>
        <w:t>a contar con los medios adecuados para su defensa</w:t>
      </w:r>
      <w:r w:rsidR="00A53C76" w:rsidRPr="00ED541F">
        <w:rPr>
          <w:sz w:val="20"/>
          <w:szCs w:val="20"/>
          <w:lang w:val="es-US"/>
        </w:rPr>
        <w:t xml:space="preserve">, porque no fue comunicado oportunamente del proceso en su contra y cuando le fue </w:t>
      </w:r>
      <w:r w:rsidR="00B55D23" w:rsidRPr="00ED541F">
        <w:rPr>
          <w:sz w:val="20"/>
          <w:szCs w:val="20"/>
          <w:lang w:val="es-US"/>
        </w:rPr>
        <w:t xml:space="preserve">informado, </w:t>
      </w:r>
      <w:r w:rsidR="00A53C76" w:rsidRPr="00ED541F">
        <w:rPr>
          <w:sz w:val="20"/>
          <w:szCs w:val="20"/>
          <w:lang w:val="es-US"/>
        </w:rPr>
        <w:t>su defensor no tuvo tiempo suficiente para preparar su defensa.</w:t>
      </w:r>
    </w:p>
    <w:p w14:paraId="57509251" w14:textId="77777777" w:rsidR="00CD155F" w:rsidRPr="00ED541F" w:rsidRDefault="00CD155F" w:rsidP="00284AF8">
      <w:pPr>
        <w:pStyle w:val="ListParagraph"/>
        <w:rPr>
          <w:sz w:val="20"/>
          <w:szCs w:val="20"/>
          <w:lang w:val="es-US"/>
        </w:rPr>
      </w:pPr>
    </w:p>
    <w:p w14:paraId="490A10B5" w14:textId="77777777" w:rsidR="00CD155F"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Agregó que se violó su </w:t>
      </w:r>
      <w:r w:rsidRPr="00ED541F">
        <w:rPr>
          <w:b/>
          <w:sz w:val="20"/>
          <w:szCs w:val="20"/>
          <w:lang w:val="es-US"/>
        </w:rPr>
        <w:t>derecho a ser asistido por un defensor proporcionado por el Estado</w:t>
      </w:r>
      <w:r w:rsidRPr="00ED541F">
        <w:rPr>
          <w:sz w:val="20"/>
          <w:szCs w:val="20"/>
          <w:lang w:val="es-US"/>
        </w:rPr>
        <w:t>, ya que en</w:t>
      </w:r>
      <w:r w:rsidR="00F62846" w:rsidRPr="00ED541F">
        <w:rPr>
          <w:sz w:val="20"/>
          <w:szCs w:val="20"/>
          <w:lang w:val="es-US"/>
        </w:rPr>
        <w:t xml:space="preserve"> la declaración que rindió el 18</w:t>
      </w:r>
      <w:r w:rsidRPr="00ED541F">
        <w:rPr>
          <w:sz w:val="20"/>
          <w:szCs w:val="20"/>
          <w:lang w:val="es-US"/>
        </w:rPr>
        <w:t xml:space="preserve"> de septiembre de 2000 ante la Unidad de Asuntos Internos de la Policía, no contó con un abogado. </w:t>
      </w:r>
    </w:p>
    <w:p w14:paraId="1C75937E" w14:textId="108D6E21" w:rsidR="00CD155F" w:rsidRPr="00ED541F" w:rsidRDefault="00A53C76" w:rsidP="00DD0C0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lastRenderedPageBreak/>
        <w:t xml:space="preserve">Argumentó que se violó su </w:t>
      </w:r>
      <w:r w:rsidRPr="00ED541F">
        <w:rPr>
          <w:b/>
          <w:sz w:val="20"/>
          <w:szCs w:val="20"/>
          <w:lang w:val="es-US"/>
        </w:rPr>
        <w:t>derecho</w:t>
      </w:r>
      <w:r w:rsidRPr="00ED541F">
        <w:rPr>
          <w:sz w:val="20"/>
          <w:szCs w:val="20"/>
          <w:lang w:val="es-US"/>
        </w:rPr>
        <w:t xml:space="preserve"> </w:t>
      </w:r>
      <w:r w:rsidR="00253F10" w:rsidRPr="00ED541F">
        <w:rPr>
          <w:b/>
          <w:sz w:val="20"/>
          <w:szCs w:val="20"/>
          <w:lang w:val="es-US"/>
        </w:rPr>
        <w:t xml:space="preserve">a </w:t>
      </w:r>
      <w:r w:rsidRPr="00ED541F">
        <w:rPr>
          <w:b/>
          <w:sz w:val="20"/>
          <w:szCs w:val="20"/>
          <w:lang w:val="es-US"/>
        </w:rPr>
        <w:t>recurrir el fallo ante un juez o tribunal superior</w:t>
      </w:r>
      <w:r w:rsidRPr="00ED541F">
        <w:rPr>
          <w:sz w:val="20"/>
          <w:szCs w:val="20"/>
          <w:lang w:val="es-US"/>
        </w:rPr>
        <w:t xml:space="preserve"> y el deber de adoptar disposiciones de derecho interno, porque no contó con un recurso de apelación para impugnar la decisión que lo destituyó de la policía. </w:t>
      </w:r>
      <w:r w:rsidR="0073596D" w:rsidRPr="00ED541F">
        <w:rPr>
          <w:sz w:val="20"/>
          <w:szCs w:val="20"/>
          <w:lang w:val="es-US"/>
        </w:rPr>
        <w:t xml:space="preserve">Añadió que se violó su </w:t>
      </w:r>
      <w:r w:rsidR="0073596D" w:rsidRPr="00ED541F">
        <w:rPr>
          <w:b/>
          <w:sz w:val="20"/>
          <w:szCs w:val="20"/>
          <w:lang w:val="es-US"/>
        </w:rPr>
        <w:t>derecho a la</w:t>
      </w:r>
      <w:r w:rsidR="0073596D" w:rsidRPr="00ED541F">
        <w:rPr>
          <w:sz w:val="20"/>
          <w:szCs w:val="20"/>
          <w:lang w:val="es-US"/>
        </w:rPr>
        <w:t xml:space="preserve"> </w:t>
      </w:r>
      <w:r w:rsidR="0073596D" w:rsidRPr="00ED541F">
        <w:rPr>
          <w:b/>
          <w:sz w:val="20"/>
          <w:szCs w:val="20"/>
          <w:lang w:val="es-US"/>
        </w:rPr>
        <w:t>protección judicial</w:t>
      </w:r>
      <w:r w:rsidR="0073596D" w:rsidRPr="00ED541F">
        <w:rPr>
          <w:sz w:val="20"/>
          <w:szCs w:val="20"/>
          <w:lang w:val="es-US"/>
        </w:rPr>
        <w:t xml:space="preserve">, porque no contó con un recurso sencillo, rápido y eficaz para revisar si hubo una violación al debido proceso en el </w:t>
      </w:r>
      <w:r w:rsidR="00790DCA" w:rsidRPr="00ED541F">
        <w:rPr>
          <w:sz w:val="20"/>
          <w:szCs w:val="20"/>
          <w:lang w:val="es-US"/>
        </w:rPr>
        <w:t>procedimiento</w:t>
      </w:r>
      <w:r w:rsidR="0073596D" w:rsidRPr="00ED541F">
        <w:rPr>
          <w:sz w:val="20"/>
          <w:szCs w:val="20"/>
          <w:lang w:val="es-US"/>
        </w:rPr>
        <w:t xml:space="preserve"> que culminó en su destitución.</w:t>
      </w:r>
    </w:p>
    <w:p w14:paraId="781A99B4" w14:textId="77777777" w:rsidR="00CD155F" w:rsidRPr="00ED541F" w:rsidRDefault="00CD155F" w:rsidP="00D70A2A">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14:paraId="2F878D2C" w14:textId="77777777" w:rsidR="00A53C76" w:rsidRPr="00ED541F" w:rsidRDefault="00A53C7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rFonts w:eastAsia="Calibri"/>
          <w:sz w:val="20"/>
          <w:szCs w:val="20"/>
          <w:lang w:val="es-VE"/>
        </w:rPr>
      </w:pPr>
      <w:r w:rsidRPr="00ED541F">
        <w:rPr>
          <w:sz w:val="20"/>
          <w:szCs w:val="20"/>
          <w:lang w:val="es-US"/>
        </w:rPr>
        <w:t xml:space="preserve">Alegó que el Estado violó el </w:t>
      </w:r>
      <w:r w:rsidRPr="00ED541F">
        <w:rPr>
          <w:b/>
          <w:sz w:val="20"/>
          <w:szCs w:val="20"/>
          <w:lang w:val="es-US"/>
        </w:rPr>
        <w:t>principio de legalidad</w:t>
      </w:r>
      <w:r w:rsidRPr="00ED541F">
        <w:rPr>
          <w:sz w:val="20"/>
          <w:szCs w:val="20"/>
          <w:lang w:val="es-US"/>
        </w:rPr>
        <w:t xml:space="preserve"> porque </w:t>
      </w:r>
      <w:r w:rsidR="00A318A5" w:rsidRPr="00ED541F">
        <w:rPr>
          <w:sz w:val="20"/>
          <w:szCs w:val="20"/>
          <w:lang w:val="es-US"/>
        </w:rPr>
        <w:t xml:space="preserve">tanto la competencia del tribunal como </w:t>
      </w:r>
      <w:r w:rsidRPr="00ED541F">
        <w:rPr>
          <w:sz w:val="20"/>
          <w:szCs w:val="20"/>
          <w:lang w:val="es-US"/>
        </w:rPr>
        <w:t xml:space="preserve">las causales por las cuales fue sancionado están establecidas en un reglamento y no en una ley. </w:t>
      </w:r>
    </w:p>
    <w:p w14:paraId="7E3F9158" w14:textId="77777777" w:rsidR="00AA1D0F" w:rsidRPr="00ED541F" w:rsidRDefault="00AA1D0F" w:rsidP="00284AF8">
      <w:pPr>
        <w:suppressAutoHyphens/>
        <w:jc w:val="both"/>
        <w:rPr>
          <w:color w:val="548DD4" w:themeColor="text2" w:themeTint="99"/>
          <w:lang w:val="es-VE"/>
        </w:rPr>
      </w:pPr>
    </w:p>
    <w:p w14:paraId="67B7DE4B" w14:textId="77777777" w:rsidR="00006896" w:rsidRPr="00ED541F" w:rsidRDefault="00AD5DF6" w:rsidP="00284AF8">
      <w:pPr>
        <w:pStyle w:val="Heading2"/>
        <w:numPr>
          <w:ilvl w:val="0"/>
          <w:numId w:val="56"/>
        </w:numPr>
        <w:spacing w:before="0" w:after="0"/>
        <w:ind w:left="1440" w:hanging="720"/>
        <w:jc w:val="both"/>
        <w:rPr>
          <w:rFonts w:asciiTheme="majorHAnsi" w:hAnsiTheme="majorHAnsi" w:cs="Times New Roman"/>
          <w:bCs w:val="0"/>
          <w:i w:val="0"/>
          <w:iCs w:val="0"/>
          <w:sz w:val="20"/>
          <w:szCs w:val="20"/>
          <w:lang w:val="es-ES_tradnl"/>
        </w:rPr>
      </w:pPr>
      <w:bookmarkStart w:id="8" w:name="_Toc505243725"/>
      <w:bookmarkStart w:id="9" w:name="_Toc531880964"/>
      <w:r w:rsidRPr="00ED541F">
        <w:rPr>
          <w:rFonts w:asciiTheme="majorHAnsi" w:hAnsiTheme="majorHAnsi" w:cs="Times New Roman"/>
          <w:bCs w:val="0"/>
          <w:i w:val="0"/>
          <w:iCs w:val="0"/>
          <w:sz w:val="20"/>
          <w:szCs w:val="20"/>
          <w:lang w:val="es-ES_tradnl"/>
        </w:rPr>
        <w:t>Estado</w:t>
      </w:r>
      <w:bookmarkEnd w:id="8"/>
      <w:bookmarkEnd w:id="9"/>
    </w:p>
    <w:p w14:paraId="13D7D0DF" w14:textId="77777777" w:rsidR="00721654" w:rsidRPr="00ED541F" w:rsidRDefault="00721654" w:rsidP="00284AF8">
      <w:pPr>
        <w:jc w:val="both"/>
        <w:rPr>
          <w:lang w:val="es-ES_tradnl"/>
        </w:rPr>
      </w:pPr>
    </w:p>
    <w:p w14:paraId="5974A485" w14:textId="5FE3C6DE"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El Estado indicó </w:t>
      </w:r>
      <w:r w:rsidR="00AD5DF6" w:rsidRPr="00ED541F">
        <w:rPr>
          <w:sz w:val="20"/>
          <w:szCs w:val="20"/>
          <w:lang w:val="es-US"/>
        </w:rPr>
        <w:t>que el 11 de septiembre de 2000</w:t>
      </w:r>
      <w:r w:rsidRPr="00ED541F">
        <w:rPr>
          <w:sz w:val="20"/>
          <w:szCs w:val="20"/>
          <w:lang w:val="es-US"/>
        </w:rPr>
        <w:t xml:space="preserve"> la presunta víctima protagonizó un escándalo en el domicilio de su ex conviviente, maltratándola física y verbalmente, y amenazando a sus familiares con disparos. Indicó que la tía de su ex conviviente denunció estos hechos ante la </w:t>
      </w:r>
      <w:r w:rsidR="00A61CE5" w:rsidRPr="00ED541F">
        <w:rPr>
          <w:sz w:val="20"/>
          <w:szCs w:val="20"/>
          <w:lang w:val="es-US"/>
        </w:rPr>
        <w:t>p</w:t>
      </w:r>
      <w:r w:rsidRPr="00ED541F">
        <w:rPr>
          <w:sz w:val="20"/>
          <w:szCs w:val="20"/>
          <w:lang w:val="es-US"/>
        </w:rPr>
        <w:t>olicía, de manera que varios miembros de esta institución procedieron a elevarle un parte al peticionario. Agregó que la presunta víctima respondi</w:t>
      </w:r>
      <w:r w:rsidR="00A61CE5" w:rsidRPr="00ED541F">
        <w:rPr>
          <w:sz w:val="20"/>
          <w:szCs w:val="20"/>
          <w:lang w:val="es-US"/>
        </w:rPr>
        <w:t>ó faltándoles al respeto a los p</w:t>
      </w:r>
      <w:r w:rsidRPr="00ED541F">
        <w:rPr>
          <w:sz w:val="20"/>
          <w:szCs w:val="20"/>
          <w:lang w:val="es-US"/>
        </w:rPr>
        <w:t xml:space="preserve">olicías que tramitaron la denuncia, llamándolos “policías broncos”, y que los amenazó de muerte mientras manifestaba que no le importaban las consecuencias porque ya había sido dado de baja en ocasiones anteriores y siempre lograba ser reincorporado. </w:t>
      </w:r>
    </w:p>
    <w:p w14:paraId="6AD87448" w14:textId="77777777" w:rsidR="00CD155F" w:rsidRPr="00ED541F" w:rsidRDefault="00CD155F"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sz w:val="20"/>
          <w:szCs w:val="20"/>
          <w:lang w:val="es-US"/>
        </w:rPr>
      </w:pPr>
    </w:p>
    <w:p w14:paraId="0CF1D290" w14:textId="69E4CA03"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Refirió que el 18 de septiembre del 2000, el peticionario rindió declaración ante la Policía Judicial por los hechos denunciados</w:t>
      </w:r>
      <w:r w:rsidR="0022711B" w:rsidRPr="00ED541F">
        <w:rPr>
          <w:sz w:val="20"/>
          <w:szCs w:val="20"/>
          <w:lang w:val="es-US"/>
        </w:rPr>
        <w:t>;</w:t>
      </w:r>
      <w:r w:rsidRPr="00ED541F">
        <w:rPr>
          <w:sz w:val="20"/>
          <w:szCs w:val="20"/>
          <w:lang w:val="es-US"/>
        </w:rPr>
        <w:t xml:space="preserve"> y que en dicha declaración reconoció haber llamado “policías broncos” a sus superiores. Alegó que dicha declaración no tuvo ninguna relevancia jurídica dentro del trámite adelantado ante el Tribunal Disciplinario.</w:t>
      </w:r>
    </w:p>
    <w:p w14:paraId="3427A113" w14:textId="77777777" w:rsidR="00CD155F" w:rsidRPr="00ED541F" w:rsidRDefault="00CD155F" w:rsidP="00284AF8">
      <w:pPr>
        <w:pStyle w:val="ListParagraph"/>
        <w:rPr>
          <w:sz w:val="20"/>
          <w:szCs w:val="20"/>
          <w:lang w:val="es-US"/>
        </w:rPr>
      </w:pPr>
    </w:p>
    <w:p w14:paraId="6F5B29AB" w14:textId="0926B394"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Indicó que en la misma fecha el peticionario fue notificado del inicio de un proceso disciplinario en su contra, y que la audiencia se llevó a cabo hasta el </w:t>
      </w:r>
      <w:r w:rsidR="00B33C86" w:rsidRPr="00ED541F">
        <w:rPr>
          <w:sz w:val="20"/>
          <w:szCs w:val="20"/>
          <w:lang w:val="es-US"/>
        </w:rPr>
        <w:t>2</w:t>
      </w:r>
      <w:r w:rsidRPr="00ED541F">
        <w:rPr>
          <w:sz w:val="20"/>
          <w:szCs w:val="20"/>
          <w:lang w:val="es-US"/>
        </w:rPr>
        <w:t xml:space="preserve">5 de octubre del 2000 por lo que tuvo tiempo suficiente para preparar su defensa y fue representado por un abogado de su elección. </w:t>
      </w:r>
    </w:p>
    <w:p w14:paraId="175A882C" w14:textId="77777777" w:rsidR="00CD155F" w:rsidRPr="00ED541F" w:rsidRDefault="00CD155F" w:rsidP="00284AF8">
      <w:pPr>
        <w:pStyle w:val="ListParagraph"/>
        <w:rPr>
          <w:sz w:val="20"/>
          <w:szCs w:val="20"/>
          <w:lang w:val="es-US"/>
        </w:rPr>
      </w:pPr>
    </w:p>
    <w:p w14:paraId="0726CDFD" w14:textId="2CC3EA1E"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Refirió que el </w:t>
      </w:r>
      <w:r w:rsidR="00BB0AB1" w:rsidRPr="00ED541F">
        <w:rPr>
          <w:sz w:val="20"/>
          <w:szCs w:val="20"/>
          <w:lang w:val="es-US"/>
        </w:rPr>
        <w:t xml:space="preserve">mismo </w:t>
      </w:r>
      <w:r w:rsidR="00B33C86" w:rsidRPr="00ED541F">
        <w:rPr>
          <w:sz w:val="20"/>
          <w:szCs w:val="20"/>
          <w:lang w:val="es-US"/>
        </w:rPr>
        <w:t>2</w:t>
      </w:r>
      <w:r w:rsidRPr="00ED541F">
        <w:rPr>
          <w:sz w:val="20"/>
          <w:szCs w:val="20"/>
          <w:lang w:val="es-US"/>
        </w:rPr>
        <w:t xml:space="preserve">5 de octubre de 2000 </w:t>
      </w:r>
      <w:r w:rsidR="001C00C9" w:rsidRPr="00ED541F">
        <w:rPr>
          <w:sz w:val="20"/>
          <w:szCs w:val="20"/>
          <w:lang w:val="es-US"/>
        </w:rPr>
        <w:t xml:space="preserve">el </w:t>
      </w:r>
      <w:r w:rsidRPr="00ED541F">
        <w:rPr>
          <w:sz w:val="20"/>
          <w:szCs w:val="20"/>
          <w:lang w:val="es-US"/>
        </w:rPr>
        <w:t>Tribunal de Disciplina profirió sentencia debidamente motivada, en la que sancionó al peticionario con la destitución o baja de la</w:t>
      </w:r>
      <w:r w:rsidR="001C00C9" w:rsidRPr="00ED541F">
        <w:rPr>
          <w:sz w:val="20"/>
          <w:szCs w:val="20"/>
          <w:lang w:val="es-US"/>
        </w:rPr>
        <w:t>s</w:t>
      </w:r>
      <w:r w:rsidRPr="00ED541F">
        <w:rPr>
          <w:sz w:val="20"/>
          <w:szCs w:val="20"/>
          <w:lang w:val="es-US"/>
        </w:rPr>
        <w:t xml:space="preserve"> filas de la Policía Nacional, en un proceso en el que se respetaron todos sus derechos y garantías. </w:t>
      </w:r>
    </w:p>
    <w:p w14:paraId="76B919C1" w14:textId="77777777" w:rsidR="00CD155F" w:rsidRPr="00ED541F" w:rsidRDefault="00CD155F" w:rsidP="00284AF8">
      <w:pPr>
        <w:pStyle w:val="ListParagraph"/>
        <w:rPr>
          <w:sz w:val="20"/>
          <w:szCs w:val="20"/>
          <w:lang w:val="es-US"/>
        </w:rPr>
      </w:pPr>
    </w:p>
    <w:p w14:paraId="361DFFD1" w14:textId="72F940F6" w:rsidR="00CD155F" w:rsidRPr="00ED541F" w:rsidRDefault="000C0CE6" w:rsidP="0084702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 w:val="left" w:pos="5490"/>
        </w:tabs>
        <w:ind w:left="0" w:firstLine="720"/>
        <w:jc w:val="both"/>
        <w:rPr>
          <w:sz w:val="20"/>
          <w:szCs w:val="20"/>
          <w:lang w:val="es-US"/>
        </w:rPr>
      </w:pPr>
      <w:r w:rsidRPr="00ED541F">
        <w:rPr>
          <w:sz w:val="20"/>
          <w:szCs w:val="20"/>
          <w:lang w:val="es-US"/>
        </w:rPr>
        <w:t xml:space="preserve">Expresó que el peticionario fue sancionado por la agresión verbal a sus superiores tipificada como falta de tercera clase en el artículo 64 del Reglamento de Disciplina Policial y por las agresiones a su ex conviviente, tipificadas en el artículo 64 del Reglamento. </w:t>
      </w:r>
    </w:p>
    <w:p w14:paraId="37EBD4C3" w14:textId="77777777" w:rsidR="00CD155F" w:rsidRPr="00ED541F" w:rsidRDefault="00CD155F" w:rsidP="00284AF8">
      <w:pPr>
        <w:pStyle w:val="ListParagraph"/>
        <w:rPr>
          <w:sz w:val="20"/>
          <w:szCs w:val="20"/>
          <w:lang w:val="es-US"/>
        </w:rPr>
      </w:pPr>
    </w:p>
    <w:p w14:paraId="6D4DFC87" w14:textId="77777777"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Indicó que no se le impidió al peticionario presentar testigos durante la audiencia y que en el marco del proceso, el Tribunal consideró como circunstancias agravantes las anotaciones que la presunta víctima tiene en su tarjeta policial, las cuales demuestran que el peticionario “es una persona violenta acostumbrada a maltratar físicamente y acosar a su ex conviviente” y que en ellas consta que el peticionario fue sometido a juicio penal por la muerte de una menor en 1993 y que tiene dos sentencias del tribunal de disciplina de 1996 y 2000. </w:t>
      </w:r>
    </w:p>
    <w:p w14:paraId="63DDB004" w14:textId="77777777" w:rsidR="00CD155F" w:rsidRPr="00ED541F" w:rsidRDefault="00CD155F" w:rsidP="00284AF8">
      <w:pPr>
        <w:pStyle w:val="ListParagraph"/>
        <w:rPr>
          <w:sz w:val="20"/>
          <w:szCs w:val="20"/>
          <w:lang w:val="es-US"/>
        </w:rPr>
      </w:pPr>
    </w:p>
    <w:p w14:paraId="4AB675B9" w14:textId="77777777"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Indicó que el peticionario tenía la opción de apelar la resolución del Tribunal de Disciplina ante el Consejo respectivo</w:t>
      </w:r>
      <w:r w:rsidR="00F62846" w:rsidRPr="00ED541F">
        <w:rPr>
          <w:sz w:val="20"/>
          <w:szCs w:val="20"/>
          <w:lang w:val="es-US"/>
        </w:rPr>
        <w:t xml:space="preserve"> de la Institución Policial</w:t>
      </w:r>
      <w:r w:rsidRPr="00ED541F">
        <w:rPr>
          <w:sz w:val="20"/>
          <w:szCs w:val="20"/>
          <w:lang w:val="es-US"/>
        </w:rPr>
        <w:t xml:space="preserve">, de acuerdo con los artículos 55 y 67 </w:t>
      </w:r>
      <w:proofErr w:type="gramStart"/>
      <w:r w:rsidRPr="00ED541F">
        <w:rPr>
          <w:sz w:val="20"/>
          <w:szCs w:val="20"/>
          <w:lang w:val="es-US"/>
        </w:rPr>
        <w:t>de  la</w:t>
      </w:r>
      <w:proofErr w:type="gramEnd"/>
      <w:r w:rsidRPr="00ED541F">
        <w:rPr>
          <w:sz w:val="20"/>
          <w:szCs w:val="20"/>
          <w:lang w:val="es-US"/>
        </w:rPr>
        <w:t xml:space="preserve"> Ley Personal de la Policía Nacional, sin embargo nunca acudió a esta instancia. </w:t>
      </w:r>
    </w:p>
    <w:p w14:paraId="54CF261A" w14:textId="77777777" w:rsidR="00CD155F" w:rsidRPr="00ED541F" w:rsidRDefault="00CD155F" w:rsidP="00284AF8">
      <w:pPr>
        <w:pStyle w:val="ListParagraph"/>
        <w:rPr>
          <w:sz w:val="20"/>
          <w:szCs w:val="20"/>
          <w:lang w:val="es-US"/>
        </w:rPr>
      </w:pPr>
    </w:p>
    <w:p w14:paraId="29F5A2DE" w14:textId="77777777"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Argumentó que la presunta víctima interpuso un recurso de amparo contra la sentencia del Tribunal de Disciplina, el cual se denegó el 18 de enero de 2001. Refirió que el peticionario presentó una apelación, pero que el 16 de marzo de 2001 se denegó por considerar que el peticionario abandonó el recurso al no comparecer a la audiencia a la que fue citado. </w:t>
      </w:r>
    </w:p>
    <w:p w14:paraId="75855BF7" w14:textId="77777777" w:rsidR="00C15F7C" w:rsidRPr="00ED541F" w:rsidRDefault="00C15F7C" w:rsidP="007D37F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sz w:val="20"/>
          <w:szCs w:val="20"/>
          <w:lang w:val="es-US"/>
        </w:rPr>
      </w:pPr>
    </w:p>
    <w:p w14:paraId="4F75D5F2" w14:textId="77777777" w:rsidR="00CD155F" w:rsidRPr="00ED541F" w:rsidRDefault="008016F7"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Sostuvo que el peticionario interpuso una demanda de inconstitucionali</w:t>
      </w:r>
      <w:r w:rsidR="00CD60EC" w:rsidRPr="00ED541F">
        <w:rPr>
          <w:sz w:val="20"/>
          <w:szCs w:val="20"/>
          <w:lang w:val="es-US"/>
        </w:rPr>
        <w:t>dad contra la</w:t>
      </w:r>
      <w:r w:rsidRPr="00ED541F">
        <w:rPr>
          <w:sz w:val="20"/>
          <w:szCs w:val="20"/>
          <w:lang w:val="es-US"/>
        </w:rPr>
        <w:t xml:space="preserve"> resolución del Tribunal de Disciplina,</w:t>
      </w:r>
      <w:r w:rsidR="00CD60EC" w:rsidRPr="00ED541F">
        <w:rPr>
          <w:sz w:val="20"/>
          <w:szCs w:val="20"/>
          <w:lang w:val="es-US"/>
        </w:rPr>
        <w:t xml:space="preserve"> la cual fue res</w:t>
      </w:r>
      <w:r w:rsidR="001C00C9" w:rsidRPr="00ED541F">
        <w:rPr>
          <w:sz w:val="20"/>
          <w:szCs w:val="20"/>
          <w:lang w:val="es-US"/>
        </w:rPr>
        <w:t>uelta</w:t>
      </w:r>
      <w:r w:rsidRPr="00ED541F">
        <w:rPr>
          <w:sz w:val="20"/>
          <w:szCs w:val="20"/>
          <w:lang w:val="es-US"/>
        </w:rPr>
        <w:t xml:space="preserve"> </w:t>
      </w:r>
      <w:r w:rsidR="00CD60EC" w:rsidRPr="00ED541F">
        <w:rPr>
          <w:sz w:val="20"/>
          <w:szCs w:val="20"/>
          <w:lang w:val="es-US"/>
        </w:rPr>
        <w:t>desfavorablemente por el Tribunal Constitucional el</w:t>
      </w:r>
      <w:r w:rsidRPr="00ED541F">
        <w:rPr>
          <w:sz w:val="20"/>
          <w:szCs w:val="20"/>
          <w:lang w:val="es-US"/>
        </w:rPr>
        <w:t xml:space="preserve"> </w:t>
      </w:r>
      <w:r w:rsidRPr="00ED541F">
        <w:rPr>
          <w:sz w:val="20"/>
          <w:szCs w:val="20"/>
          <w:lang w:val="es-US"/>
        </w:rPr>
        <w:lastRenderedPageBreak/>
        <w:t xml:space="preserve">14 de </w:t>
      </w:r>
      <w:r w:rsidR="00CD60EC" w:rsidRPr="00ED541F">
        <w:rPr>
          <w:sz w:val="20"/>
          <w:szCs w:val="20"/>
          <w:lang w:val="es-US"/>
        </w:rPr>
        <w:t>agosto</w:t>
      </w:r>
      <w:r w:rsidRPr="00ED541F">
        <w:rPr>
          <w:sz w:val="20"/>
          <w:szCs w:val="20"/>
          <w:lang w:val="es-US"/>
        </w:rPr>
        <w:t xml:space="preserve"> de 2001</w:t>
      </w:r>
      <w:r w:rsidR="00CD60EC" w:rsidRPr="00ED541F">
        <w:rPr>
          <w:sz w:val="20"/>
          <w:szCs w:val="20"/>
          <w:lang w:val="es-US"/>
        </w:rPr>
        <w:t>, bajo el argumento de que no se había probado inconstitucionalidad alguna. Agregó que el mencionado proceso se hizo en observancia de todas las garantías procesales.</w:t>
      </w:r>
    </w:p>
    <w:p w14:paraId="769D80B3" w14:textId="77777777" w:rsidR="00CD155F" w:rsidRPr="00ED541F" w:rsidRDefault="00CD155F" w:rsidP="00284AF8">
      <w:pPr>
        <w:pStyle w:val="ListParagraph"/>
        <w:rPr>
          <w:sz w:val="20"/>
          <w:szCs w:val="20"/>
          <w:lang w:val="es-US"/>
        </w:rPr>
      </w:pPr>
    </w:p>
    <w:p w14:paraId="135F406D" w14:textId="77777777"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En cuanto a la</w:t>
      </w:r>
      <w:r w:rsidR="003539BC" w:rsidRPr="00ED541F">
        <w:rPr>
          <w:sz w:val="20"/>
          <w:szCs w:val="20"/>
          <w:lang w:val="es-US"/>
        </w:rPr>
        <w:t xml:space="preserve"> admisibilidad de la petición, </w:t>
      </w:r>
      <w:r w:rsidR="001C00C9" w:rsidRPr="00ED541F">
        <w:rPr>
          <w:sz w:val="20"/>
          <w:szCs w:val="20"/>
          <w:lang w:val="es-US"/>
        </w:rPr>
        <w:t>e</w:t>
      </w:r>
      <w:r w:rsidRPr="00ED541F">
        <w:rPr>
          <w:sz w:val="20"/>
          <w:szCs w:val="20"/>
          <w:lang w:val="es-US"/>
        </w:rPr>
        <w:t>l Estado</w:t>
      </w:r>
      <w:r w:rsidR="00DF45DF" w:rsidRPr="00ED541F">
        <w:rPr>
          <w:sz w:val="20"/>
          <w:szCs w:val="20"/>
          <w:lang w:val="es-US"/>
        </w:rPr>
        <w:t xml:space="preserve"> manifestó</w:t>
      </w:r>
      <w:r w:rsidRPr="00ED541F">
        <w:rPr>
          <w:sz w:val="20"/>
          <w:szCs w:val="20"/>
          <w:lang w:val="es-US"/>
        </w:rPr>
        <w:t xml:space="preserve"> que </w:t>
      </w:r>
      <w:r w:rsidR="0045393D" w:rsidRPr="00ED541F">
        <w:rPr>
          <w:sz w:val="20"/>
          <w:szCs w:val="20"/>
          <w:lang w:val="es-US"/>
        </w:rPr>
        <w:t>ésta</w:t>
      </w:r>
      <w:r w:rsidRPr="00ED541F">
        <w:rPr>
          <w:sz w:val="20"/>
          <w:szCs w:val="20"/>
          <w:lang w:val="es-US"/>
        </w:rPr>
        <w:t xml:space="preserve"> no fue presentada dentro de los 6 meses </w:t>
      </w:r>
      <w:r w:rsidR="0045393D" w:rsidRPr="00ED541F">
        <w:rPr>
          <w:sz w:val="20"/>
          <w:szCs w:val="20"/>
          <w:lang w:val="es-US"/>
        </w:rPr>
        <w:t>siguientes a la de</w:t>
      </w:r>
      <w:r w:rsidR="00C95F21" w:rsidRPr="00ED541F">
        <w:rPr>
          <w:sz w:val="20"/>
          <w:szCs w:val="20"/>
          <w:lang w:val="es-US"/>
        </w:rPr>
        <w:t xml:space="preserve">cisión que puso fin al proceso. El Estado contó los términos de dos formas diferentes </w:t>
      </w:r>
      <w:r w:rsidR="0004119A" w:rsidRPr="00ED541F">
        <w:rPr>
          <w:sz w:val="20"/>
          <w:szCs w:val="20"/>
          <w:lang w:val="es-US"/>
        </w:rPr>
        <w:t>para argumentar esta posición: i</w:t>
      </w:r>
      <w:r w:rsidR="00B65C19" w:rsidRPr="00ED541F">
        <w:rPr>
          <w:sz w:val="20"/>
          <w:szCs w:val="20"/>
          <w:lang w:val="es-US"/>
        </w:rPr>
        <w:t>ndicó en un primer momento</w:t>
      </w:r>
      <w:r w:rsidRPr="00ED541F">
        <w:rPr>
          <w:sz w:val="20"/>
          <w:szCs w:val="20"/>
          <w:lang w:val="es-US"/>
        </w:rPr>
        <w:t xml:space="preserve"> que la</w:t>
      </w:r>
      <w:r w:rsidR="00DF45DF" w:rsidRPr="00ED541F">
        <w:rPr>
          <w:sz w:val="20"/>
          <w:szCs w:val="20"/>
          <w:lang w:val="es-US"/>
        </w:rPr>
        <w:t xml:space="preserve"> decisión </w:t>
      </w:r>
      <w:r w:rsidR="003539BC" w:rsidRPr="00ED541F">
        <w:rPr>
          <w:sz w:val="20"/>
          <w:szCs w:val="20"/>
          <w:lang w:val="es-US"/>
        </w:rPr>
        <w:t>definitiva</w:t>
      </w:r>
      <w:r w:rsidR="00DF45DF" w:rsidRPr="00ED541F">
        <w:rPr>
          <w:sz w:val="20"/>
          <w:szCs w:val="20"/>
          <w:lang w:val="es-US"/>
        </w:rPr>
        <w:t xml:space="preserve"> fue la</w:t>
      </w:r>
      <w:r w:rsidRPr="00ED541F">
        <w:rPr>
          <w:sz w:val="20"/>
          <w:szCs w:val="20"/>
          <w:lang w:val="es-US"/>
        </w:rPr>
        <w:t xml:space="preserve"> sentencia del Tribunal Constitucional que rechazó la </w:t>
      </w:r>
      <w:r w:rsidR="00C33C7D" w:rsidRPr="00ED541F">
        <w:rPr>
          <w:sz w:val="20"/>
          <w:szCs w:val="20"/>
          <w:lang w:val="es-US"/>
        </w:rPr>
        <w:t>demanda de inconstitucionalidad</w:t>
      </w:r>
      <w:r w:rsidR="00DF45DF" w:rsidRPr="00ED541F">
        <w:rPr>
          <w:sz w:val="20"/>
          <w:szCs w:val="20"/>
          <w:lang w:val="es-US"/>
        </w:rPr>
        <w:t xml:space="preserve"> </w:t>
      </w:r>
      <w:r w:rsidR="00410720" w:rsidRPr="00ED541F">
        <w:rPr>
          <w:sz w:val="20"/>
          <w:szCs w:val="20"/>
          <w:lang w:val="es-US"/>
        </w:rPr>
        <w:t xml:space="preserve">del </w:t>
      </w:r>
      <w:r w:rsidRPr="00ED541F">
        <w:rPr>
          <w:sz w:val="20"/>
          <w:szCs w:val="20"/>
          <w:lang w:val="es-US"/>
        </w:rPr>
        <w:t>14 de agosto de 2001</w:t>
      </w:r>
      <w:r w:rsidR="00C33C7D" w:rsidRPr="00ED541F">
        <w:rPr>
          <w:sz w:val="20"/>
          <w:szCs w:val="20"/>
          <w:lang w:val="es-US"/>
        </w:rPr>
        <w:t xml:space="preserve"> </w:t>
      </w:r>
      <w:r w:rsidRPr="00ED541F">
        <w:rPr>
          <w:sz w:val="20"/>
          <w:szCs w:val="20"/>
          <w:lang w:val="es-US"/>
        </w:rPr>
        <w:t xml:space="preserve">y </w:t>
      </w:r>
      <w:r w:rsidR="00DF45DF" w:rsidRPr="00ED541F">
        <w:rPr>
          <w:sz w:val="20"/>
          <w:szCs w:val="20"/>
          <w:lang w:val="es-US"/>
        </w:rPr>
        <w:t xml:space="preserve">que </w:t>
      </w:r>
      <w:r w:rsidR="003539BC" w:rsidRPr="00ED541F">
        <w:rPr>
          <w:sz w:val="20"/>
          <w:szCs w:val="20"/>
          <w:lang w:val="es-US"/>
        </w:rPr>
        <w:t>la</w:t>
      </w:r>
      <w:r w:rsidR="00C95F21" w:rsidRPr="00ED541F">
        <w:rPr>
          <w:sz w:val="20"/>
          <w:szCs w:val="20"/>
          <w:lang w:val="es-US"/>
        </w:rPr>
        <w:t xml:space="preserve"> petición fue presentada</w:t>
      </w:r>
      <w:r w:rsidRPr="00ED541F">
        <w:rPr>
          <w:sz w:val="20"/>
          <w:szCs w:val="20"/>
          <w:lang w:val="es-US"/>
        </w:rPr>
        <w:t xml:space="preserve"> el 11 de marzo de 2002</w:t>
      </w:r>
      <w:r w:rsidR="00DF45DF" w:rsidRPr="00ED541F">
        <w:rPr>
          <w:sz w:val="20"/>
          <w:szCs w:val="20"/>
          <w:lang w:val="es-US"/>
        </w:rPr>
        <w:t xml:space="preserve"> (fecha </w:t>
      </w:r>
      <w:r w:rsidR="003539BC" w:rsidRPr="00ED541F">
        <w:rPr>
          <w:sz w:val="20"/>
          <w:szCs w:val="20"/>
          <w:lang w:val="es-US"/>
        </w:rPr>
        <w:t>de recepción de la petición por la</w:t>
      </w:r>
      <w:r w:rsidR="00DF45DF" w:rsidRPr="00ED541F">
        <w:rPr>
          <w:sz w:val="20"/>
          <w:szCs w:val="20"/>
          <w:lang w:val="es-US"/>
        </w:rPr>
        <w:t xml:space="preserve"> CIDH)</w:t>
      </w:r>
      <w:r w:rsidRPr="00ED541F">
        <w:rPr>
          <w:sz w:val="20"/>
          <w:szCs w:val="20"/>
          <w:lang w:val="es-US"/>
        </w:rPr>
        <w:t>, es decir</w:t>
      </w:r>
      <w:r w:rsidR="003539BC" w:rsidRPr="00ED541F">
        <w:rPr>
          <w:sz w:val="20"/>
          <w:szCs w:val="20"/>
          <w:lang w:val="es-US"/>
        </w:rPr>
        <w:t>,</w:t>
      </w:r>
      <w:r w:rsidRPr="00ED541F">
        <w:rPr>
          <w:sz w:val="20"/>
          <w:szCs w:val="20"/>
          <w:lang w:val="es-US"/>
        </w:rPr>
        <w:t xml:space="preserve"> 25 días después del plazo de los</w:t>
      </w:r>
      <w:r w:rsidR="003539BC" w:rsidRPr="00ED541F">
        <w:rPr>
          <w:sz w:val="20"/>
          <w:szCs w:val="20"/>
          <w:lang w:val="es-US"/>
        </w:rPr>
        <w:t xml:space="preserve"> seis</w:t>
      </w:r>
      <w:r w:rsidRPr="00ED541F">
        <w:rPr>
          <w:sz w:val="20"/>
          <w:szCs w:val="20"/>
          <w:lang w:val="es-US"/>
        </w:rPr>
        <w:t xml:space="preserve"> meses.  </w:t>
      </w:r>
    </w:p>
    <w:p w14:paraId="48375091" w14:textId="77777777" w:rsidR="00CD155F" w:rsidRPr="00ED541F" w:rsidRDefault="00CD155F" w:rsidP="00284AF8">
      <w:pPr>
        <w:pStyle w:val="ListParagraph"/>
        <w:rPr>
          <w:sz w:val="20"/>
          <w:szCs w:val="20"/>
          <w:lang w:val="es-US"/>
        </w:rPr>
      </w:pPr>
    </w:p>
    <w:p w14:paraId="0D1AA2A5" w14:textId="5F3E02D2" w:rsidR="00CD155F" w:rsidRPr="00ED541F" w:rsidRDefault="003539BC"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En un segundo momento, el Estado</w:t>
      </w:r>
      <w:r w:rsidR="000C0CE6" w:rsidRPr="00ED541F">
        <w:rPr>
          <w:sz w:val="20"/>
          <w:szCs w:val="20"/>
          <w:lang w:val="es-US"/>
        </w:rPr>
        <w:t xml:space="preserve"> indicó que la decisión </w:t>
      </w:r>
      <w:r w:rsidR="00C95F21" w:rsidRPr="00ED541F">
        <w:rPr>
          <w:sz w:val="20"/>
          <w:szCs w:val="20"/>
          <w:lang w:val="es-US"/>
        </w:rPr>
        <w:t>definitiva</w:t>
      </w:r>
      <w:r w:rsidR="000C0CE6" w:rsidRPr="00ED541F">
        <w:rPr>
          <w:sz w:val="20"/>
          <w:szCs w:val="20"/>
          <w:lang w:val="es-US"/>
        </w:rPr>
        <w:t xml:space="preserve"> fue la sentencia con</w:t>
      </w:r>
      <w:r w:rsidR="005C015C" w:rsidRPr="00ED541F">
        <w:rPr>
          <w:sz w:val="20"/>
          <w:szCs w:val="20"/>
          <w:lang w:val="es-US"/>
        </w:rPr>
        <w:t xml:space="preserve"> la que el Tribunal Constitucional</w:t>
      </w:r>
      <w:r w:rsidR="000C0CE6" w:rsidRPr="00ED541F">
        <w:rPr>
          <w:sz w:val="20"/>
          <w:szCs w:val="20"/>
          <w:lang w:val="es-US"/>
        </w:rPr>
        <w:t xml:space="preserve"> resolvió el desistimie</w:t>
      </w:r>
      <w:r w:rsidRPr="00ED541F">
        <w:rPr>
          <w:sz w:val="20"/>
          <w:szCs w:val="20"/>
          <w:lang w:val="es-US"/>
        </w:rPr>
        <w:t>n</w:t>
      </w:r>
      <w:r w:rsidR="00410720" w:rsidRPr="00ED541F">
        <w:rPr>
          <w:sz w:val="20"/>
          <w:szCs w:val="20"/>
          <w:lang w:val="es-US"/>
        </w:rPr>
        <w:t xml:space="preserve">to de la apelación de amparo, </w:t>
      </w:r>
      <w:r w:rsidR="00C22C9D" w:rsidRPr="00ED541F">
        <w:rPr>
          <w:sz w:val="20"/>
          <w:szCs w:val="20"/>
          <w:lang w:val="es-US"/>
        </w:rPr>
        <w:t xml:space="preserve">emitida </w:t>
      </w:r>
      <w:r w:rsidR="00410720" w:rsidRPr="00ED541F">
        <w:rPr>
          <w:sz w:val="20"/>
          <w:szCs w:val="20"/>
          <w:lang w:val="es-US"/>
        </w:rPr>
        <w:t>el</w:t>
      </w:r>
      <w:r w:rsidRPr="00ED541F">
        <w:rPr>
          <w:sz w:val="20"/>
          <w:szCs w:val="20"/>
          <w:lang w:val="es-US"/>
        </w:rPr>
        <w:t xml:space="preserve"> </w:t>
      </w:r>
      <w:r w:rsidR="000C0CE6" w:rsidRPr="00ED541F">
        <w:rPr>
          <w:sz w:val="20"/>
          <w:szCs w:val="20"/>
          <w:lang w:val="es-US"/>
        </w:rPr>
        <w:t xml:space="preserve">16 de marzo de 2001, </w:t>
      </w:r>
      <w:r w:rsidR="00C95F21" w:rsidRPr="00ED541F">
        <w:rPr>
          <w:sz w:val="20"/>
          <w:szCs w:val="20"/>
          <w:lang w:val="es-US"/>
        </w:rPr>
        <w:t xml:space="preserve">y que la petición fue presentada </w:t>
      </w:r>
      <w:r w:rsidR="000C0CE6" w:rsidRPr="00ED541F">
        <w:rPr>
          <w:sz w:val="20"/>
          <w:szCs w:val="20"/>
          <w:lang w:val="es-US"/>
        </w:rPr>
        <w:t>el 28 de febrero de 2002</w:t>
      </w:r>
      <w:r w:rsidRPr="00ED541F">
        <w:rPr>
          <w:sz w:val="20"/>
          <w:szCs w:val="20"/>
          <w:lang w:val="es-US"/>
        </w:rPr>
        <w:t xml:space="preserve"> (fecha </w:t>
      </w:r>
      <w:r w:rsidR="00C95F21" w:rsidRPr="00ED541F">
        <w:rPr>
          <w:sz w:val="20"/>
          <w:szCs w:val="20"/>
          <w:lang w:val="es-US"/>
        </w:rPr>
        <w:t>en la que el peticionario envió la petición</w:t>
      </w:r>
      <w:r w:rsidR="00B65C19" w:rsidRPr="00ED541F">
        <w:rPr>
          <w:sz w:val="20"/>
          <w:szCs w:val="20"/>
          <w:lang w:val="es-US"/>
        </w:rPr>
        <w:t>)</w:t>
      </w:r>
      <w:r w:rsidR="000C0CE6" w:rsidRPr="00ED541F">
        <w:rPr>
          <w:sz w:val="20"/>
          <w:szCs w:val="20"/>
          <w:lang w:val="es-US"/>
        </w:rPr>
        <w:t xml:space="preserve">, es decir 11 meses y 12 días después de la notificación. </w:t>
      </w:r>
      <w:r w:rsidR="008016F7" w:rsidRPr="00ED541F">
        <w:rPr>
          <w:sz w:val="20"/>
          <w:szCs w:val="20"/>
          <w:lang w:val="es-US"/>
        </w:rPr>
        <w:t>Ale</w:t>
      </w:r>
      <w:r w:rsidR="00B65C19" w:rsidRPr="00ED541F">
        <w:rPr>
          <w:sz w:val="20"/>
          <w:szCs w:val="20"/>
          <w:lang w:val="es-US"/>
        </w:rPr>
        <w:t>gó</w:t>
      </w:r>
      <w:r w:rsidR="000C0CE6" w:rsidRPr="00ED541F">
        <w:rPr>
          <w:sz w:val="20"/>
          <w:szCs w:val="20"/>
          <w:lang w:val="es-US"/>
        </w:rPr>
        <w:t xml:space="preserve"> que el recurso adecuado para resolver la situación jurídica del peticionario era el recurso de amparo y no la </w:t>
      </w:r>
      <w:r w:rsidR="00410720" w:rsidRPr="00ED541F">
        <w:rPr>
          <w:sz w:val="20"/>
          <w:szCs w:val="20"/>
          <w:lang w:val="es-US"/>
        </w:rPr>
        <w:t>acción de inconstitucionalidad, por lo que</w:t>
      </w:r>
      <w:r w:rsidR="00B65C19" w:rsidRPr="00ED541F">
        <w:rPr>
          <w:sz w:val="20"/>
          <w:szCs w:val="20"/>
          <w:lang w:val="es-US"/>
        </w:rPr>
        <w:t xml:space="preserve"> el</w:t>
      </w:r>
      <w:r w:rsidR="00410720" w:rsidRPr="00ED541F">
        <w:rPr>
          <w:sz w:val="20"/>
          <w:szCs w:val="20"/>
          <w:lang w:val="es-US"/>
        </w:rPr>
        <w:t xml:space="preserve"> </w:t>
      </w:r>
      <w:r w:rsidR="00C03516" w:rsidRPr="00ED541F">
        <w:rPr>
          <w:sz w:val="20"/>
          <w:szCs w:val="20"/>
          <w:lang w:val="es-US"/>
        </w:rPr>
        <w:t>término de los seis meses debe</w:t>
      </w:r>
      <w:r w:rsidR="00410720" w:rsidRPr="00ED541F">
        <w:rPr>
          <w:sz w:val="20"/>
          <w:szCs w:val="20"/>
          <w:lang w:val="es-US"/>
        </w:rPr>
        <w:t xml:space="preserve"> contarse desde </w:t>
      </w:r>
      <w:r w:rsidR="00C33C7D" w:rsidRPr="00ED541F">
        <w:rPr>
          <w:sz w:val="20"/>
          <w:szCs w:val="20"/>
          <w:lang w:val="es-US"/>
        </w:rPr>
        <w:t xml:space="preserve">la </w:t>
      </w:r>
      <w:r w:rsidR="00410720" w:rsidRPr="00ED541F">
        <w:rPr>
          <w:sz w:val="20"/>
          <w:szCs w:val="20"/>
          <w:lang w:val="es-US"/>
        </w:rPr>
        <w:t>decisión que resolvió en última instancia el recurso de amparo.</w:t>
      </w:r>
    </w:p>
    <w:p w14:paraId="51DE50DB" w14:textId="77777777" w:rsidR="00CD155F" w:rsidRPr="00ED541F" w:rsidRDefault="00CD155F" w:rsidP="00284AF8">
      <w:pPr>
        <w:pStyle w:val="ListParagraph"/>
        <w:rPr>
          <w:sz w:val="20"/>
          <w:szCs w:val="20"/>
          <w:lang w:val="es-US"/>
        </w:rPr>
      </w:pPr>
    </w:p>
    <w:p w14:paraId="58D0D53F" w14:textId="77777777"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En cuanto al derecho, argumentó que </w:t>
      </w:r>
      <w:r w:rsidRPr="00ED541F">
        <w:rPr>
          <w:b/>
          <w:sz w:val="20"/>
          <w:szCs w:val="20"/>
          <w:lang w:val="es-US"/>
        </w:rPr>
        <w:t>no violó las garantías judiciales</w:t>
      </w:r>
      <w:r w:rsidRPr="00ED541F">
        <w:rPr>
          <w:sz w:val="20"/>
          <w:szCs w:val="20"/>
          <w:lang w:val="es-US"/>
        </w:rPr>
        <w:t xml:space="preserve">. En particular indicó que no violó el </w:t>
      </w:r>
      <w:r w:rsidRPr="00ED541F">
        <w:rPr>
          <w:b/>
          <w:sz w:val="20"/>
          <w:szCs w:val="20"/>
          <w:lang w:val="es-US"/>
        </w:rPr>
        <w:t>derecho a ser oído por un juez o tribunal competente, independiente e imparcial</w:t>
      </w:r>
      <w:r w:rsidRPr="00ED541F">
        <w:rPr>
          <w:sz w:val="20"/>
          <w:szCs w:val="20"/>
          <w:lang w:val="es-US"/>
        </w:rPr>
        <w:t xml:space="preserve"> porque el Tribunal de Disciplina es conforme la ley el órgano competente para juzgar las infracciones disciplinarias de los miembros de la policía, y este actuó de manera independiente e imparcial.  </w:t>
      </w:r>
    </w:p>
    <w:p w14:paraId="5E91BD1C" w14:textId="77777777" w:rsidR="00CD155F" w:rsidRPr="00ED541F" w:rsidRDefault="00CD155F" w:rsidP="00284AF8">
      <w:pPr>
        <w:pStyle w:val="ListParagraph"/>
        <w:rPr>
          <w:sz w:val="20"/>
          <w:szCs w:val="20"/>
          <w:lang w:val="es-US"/>
        </w:rPr>
      </w:pPr>
    </w:p>
    <w:p w14:paraId="1810B23E" w14:textId="3BDC06D6"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Refirió que no se pueden reconocer violaciones a las garantías contempladas en el artículo 8.2 de la Convención porque estas solamente aplican a procesos penales.  En particular indicó que no se violaron </w:t>
      </w:r>
      <w:r w:rsidRPr="00ED541F">
        <w:rPr>
          <w:b/>
          <w:sz w:val="20"/>
          <w:szCs w:val="20"/>
          <w:lang w:val="es-US"/>
        </w:rPr>
        <w:t xml:space="preserve">los derechos a ser comunicado de manera previa y detallada de la </w:t>
      </w:r>
      <w:proofErr w:type="gramStart"/>
      <w:r w:rsidRPr="00ED541F">
        <w:rPr>
          <w:b/>
          <w:sz w:val="20"/>
          <w:szCs w:val="20"/>
          <w:lang w:val="es-US"/>
        </w:rPr>
        <w:t>acusación  y</w:t>
      </w:r>
      <w:proofErr w:type="gramEnd"/>
      <w:r w:rsidRPr="00ED541F">
        <w:rPr>
          <w:b/>
          <w:sz w:val="20"/>
          <w:szCs w:val="20"/>
          <w:lang w:val="es-US"/>
        </w:rPr>
        <w:t xml:space="preserve"> a contar con los medios adecuados para su defensa</w:t>
      </w:r>
      <w:r w:rsidRPr="00ED541F">
        <w:rPr>
          <w:sz w:val="20"/>
          <w:szCs w:val="20"/>
          <w:lang w:val="es-US"/>
        </w:rPr>
        <w:t xml:space="preserve"> porque el peticionario fue notificado del proceso ante el Tribunal Disciplinario con suficiente anticipación para preparar su defensa y pudo actuar con representación de un abogado durante el proceso. </w:t>
      </w:r>
    </w:p>
    <w:p w14:paraId="5392AA8C" w14:textId="77777777" w:rsidR="00CD155F" w:rsidRPr="00ED541F" w:rsidRDefault="00CD155F" w:rsidP="00284AF8">
      <w:pPr>
        <w:pStyle w:val="ListParagraph"/>
        <w:rPr>
          <w:sz w:val="20"/>
          <w:szCs w:val="20"/>
          <w:lang w:val="es-US"/>
        </w:rPr>
      </w:pPr>
    </w:p>
    <w:p w14:paraId="3CA59546" w14:textId="77777777" w:rsidR="00CD155F"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Argumentó que no violó el </w:t>
      </w:r>
      <w:r w:rsidRPr="00ED541F">
        <w:rPr>
          <w:b/>
          <w:sz w:val="20"/>
          <w:szCs w:val="20"/>
          <w:lang w:val="es-US"/>
        </w:rPr>
        <w:t>derecho a recurrir el fallo ante juez o tribunal superior</w:t>
      </w:r>
      <w:r w:rsidRPr="00ED541F">
        <w:rPr>
          <w:sz w:val="20"/>
          <w:szCs w:val="20"/>
          <w:lang w:val="es-US"/>
        </w:rPr>
        <w:t xml:space="preserve">, porque existía un recurso de apelación en la Ley Personal de la Policía Nacional, sin </w:t>
      </w:r>
      <w:proofErr w:type="gramStart"/>
      <w:r w:rsidRPr="00ED541F">
        <w:rPr>
          <w:sz w:val="20"/>
          <w:szCs w:val="20"/>
          <w:lang w:val="es-US"/>
        </w:rPr>
        <w:t>embargo</w:t>
      </w:r>
      <w:proofErr w:type="gramEnd"/>
      <w:r w:rsidRPr="00ED541F">
        <w:rPr>
          <w:sz w:val="20"/>
          <w:szCs w:val="20"/>
          <w:lang w:val="es-US"/>
        </w:rPr>
        <w:t xml:space="preserve"> el peticionario nunca acudió a esta vía, y de todos modos a través del recurso de amparo, el peticionario pudo obtener un control judicial de la decisión que lo destituyó.</w:t>
      </w:r>
    </w:p>
    <w:p w14:paraId="375C8528" w14:textId="77777777" w:rsidR="00CD155F" w:rsidRPr="00ED541F" w:rsidRDefault="00CD155F" w:rsidP="00284AF8">
      <w:pPr>
        <w:pStyle w:val="ListParagraph"/>
        <w:rPr>
          <w:sz w:val="20"/>
          <w:szCs w:val="20"/>
          <w:lang w:val="es-US"/>
        </w:rPr>
      </w:pPr>
    </w:p>
    <w:p w14:paraId="736D2A7E" w14:textId="77777777" w:rsidR="00CD155F" w:rsidRPr="00ED541F" w:rsidRDefault="007432AA"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En cuanto a la violación del </w:t>
      </w:r>
      <w:r w:rsidRPr="00ED541F">
        <w:rPr>
          <w:b/>
          <w:sz w:val="20"/>
          <w:szCs w:val="20"/>
          <w:lang w:val="es-US"/>
        </w:rPr>
        <w:t>derecho a ser asistido por un abogado defensor proporcionado por el Estado</w:t>
      </w:r>
      <w:r w:rsidRPr="00ED541F">
        <w:rPr>
          <w:sz w:val="20"/>
          <w:szCs w:val="20"/>
          <w:lang w:val="es-US"/>
        </w:rPr>
        <w:t xml:space="preserve">, afirmó que </w:t>
      </w:r>
      <w:r w:rsidR="007C0FDF" w:rsidRPr="00ED541F">
        <w:rPr>
          <w:sz w:val="20"/>
          <w:szCs w:val="20"/>
          <w:lang w:val="es-US"/>
        </w:rPr>
        <w:t>la declaración rendida por el peticionario en ausencia de abogado defensor no fue tenida en cuenta en ninguna instancia del proceso sancionatorio.</w:t>
      </w:r>
    </w:p>
    <w:p w14:paraId="3E04113E" w14:textId="77777777" w:rsidR="00CD155F" w:rsidRPr="00ED541F" w:rsidRDefault="00CD155F" w:rsidP="00284AF8">
      <w:pPr>
        <w:pStyle w:val="ListParagraph"/>
        <w:rPr>
          <w:sz w:val="20"/>
          <w:szCs w:val="20"/>
          <w:lang w:val="es-US"/>
        </w:rPr>
      </w:pPr>
    </w:p>
    <w:p w14:paraId="3D165FE6" w14:textId="77777777" w:rsidR="00CD155F" w:rsidRPr="00ED541F" w:rsidRDefault="00F6284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En cuanto al </w:t>
      </w:r>
      <w:r w:rsidRPr="00ED541F">
        <w:rPr>
          <w:b/>
          <w:sz w:val="20"/>
          <w:szCs w:val="20"/>
          <w:lang w:val="es-US"/>
        </w:rPr>
        <w:t>principio de legalidad</w:t>
      </w:r>
      <w:r w:rsidRPr="00ED541F">
        <w:rPr>
          <w:sz w:val="20"/>
          <w:szCs w:val="20"/>
          <w:lang w:val="es-US"/>
        </w:rPr>
        <w:t>, el Estado expuso que tanto la compete</w:t>
      </w:r>
      <w:r w:rsidR="005C015C" w:rsidRPr="00ED541F">
        <w:rPr>
          <w:sz w:val="20"/>
          <w:szCs w:val="20"/>
          <w:lang w:val="es-US"/>
        </w:rPr>
        <w:t xml:space="preserve">ncia del Tribunal de Disciplina </w:t>
      </w:r>
      <w:r w:rsidRPr="00ED541F">
        <w:rPr>
          <w:sz w:val="20"/>
          <w:szCs w:val="20"/>
          <w:lang w:val="es-US"/>
        </w:rPr>
        <w:t xml:space="preserve">como las conductas sancionadas y las sanciones impuestas, </w:t>
      </w:r>
      <w:r w:rsidR="00BF45DE" w:rsidRPr="00ED541F">
        <w:rPr>
          <w:sz w:val="20"/>
          <w:szCs w:val="20"/>
          <w:lang w:val="es-US"/>
        </w:rPr>
        <w:t xml:space="preserve">estaban consagradas </w:t>
      </w:r>
      <w:r w:rsidRPr="00ED541F">
        <w:rPr>
          <w:sz w:val="20"/>
          <w:szCs w:val="20"/>
          <w:lang w:val="es-US"/>
        </w:rPr>
        <w:t xml:space="preserve">en el Reglamento de Disciplina de la Policía Nacional y en la Ley de Personal de la Policía Nacional. </w:t>
      </w:r>
    </w:p>
    <w:p w14:paraId="1E69D55F" w14:textId="77777777" w:rsidR="00CD155F" w:rsidRPr="00ED541F" w:rsidRDefault="00CD155F" w:rsidP="00284AF8">
      <w:pPr>
        <w:pStyle w:val="ListParagraph"/>
        <w:rPr>
          <w:sz w:val="20"/>
          <w:szCs w:val="20"/>
          <w:lang w:val="es-US"/>
        </w:rPr>
      </w:pPr>
    </w:p>
    <w:p w14:paraId="5D2B56AE" w14:textId="77777777" w:rsidR="00AE363D" w:rsidRPr="00ED541F" w:rsidRDefault="000C0CE6"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 xml:space="preserve">Finalmente alegó que no se configuró violación al </w:t>
      </w:r>
      <w:r w:rsidRPr="00ED541F">
        <w:rPr>
          <w:b/>
          <w:sz w:val="20"/>
          <w:szCs w:val="20"/>
          <w:lang w:val="es-US"/>
        </w:rPr>
        <w:t>derecho a la protección judicial</w:t>
      </w:r>
      <w:r w:rsidRPr="00ED541F">
        <w:rPr>
          <w:sz w:val="20"/>
          <w:szCs w:val="20"/>
          <w:lang w:val="es-US"/>
        </w:rPr>
        <w:t xml:space="preserve">, porque el peticionario tuvo acceso al recurso de amparo, el cual era un recurso sencillo y rápido, y que no haya sido resuelto favorablemente para el peticionario no significa que no haya tenido acceso al mismo. </w:t>
      </w:r>
      <w:r w:rsidR="0026274B" w:rsidRPr="00ED541F">
        <w:rPr>
          <w:color w:val="000000" w:themeColor="text1"/>
          <w:sz w:val="20"/>
          <w:szCs w:val="20"/>
          <w:lang w:val="es-US"/>
        </w:rPr>
        <w:t xml:space="preserve"> </w:t>
      </w:r>
    </w:p>
    <w:p w14:paraId="75B437F3" w14:textId="77777777" w:rsidR="003F4303" w:rsidRPr="00ED541F" w:rsidRDefault="003F4303" w:rsidP="00F42D71">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0"/>
        <w:jc w:val="both"/>
        <w:rPr>
          <w:sz w:val="20"/>
          <w:szCs w:val="20"/>
          <w:lang w:val="es-US"/>
        </w:rPr>
      </w:pPr>
    </w:p>
    <w:p w14:paraId="1DD36CC0" w14:textId="77777777" w:rsidR="001A3857" w:rsidRPr="00ED541F" w:rsidRDefault="001A3857" w:rsidP="00284AF8">
      <w:pPr>
        <w:pStyle w:val="Heading1"/>
        <w:numPr>
          <w:ilvl w:val="0"/>
          <w:numId w:val="69"/>
        </w:numPr>
        <w:spacing w:before="0"/>
        <w:ind w:left="720" w:firstLine="0"/>
        <w:rPr>
          <w:color w:val="000000" w:themeColor="text1"/>
          <w:sz w:val="20"/>
          <w:szCs w:val="20"/>
          <w:lang w:val="es-US"/>
        </w:rPr>
      </w:pPr>
      <w:bookmarkStart w:id="10" w:name="_Toc505243726"/>
      <w:bookmarkStart w:id="11" w:name="_Toc531880965"/>
      <w:r w:rsidRPr="00ED541F">
        <w:rPr>
          <w:rFonts w:ascii="Cambria" w:hAnsi="Cambria"/>
          <w:color w:val="auto"/>
          <w:sz w:val="20"/>
          <w:szCs w:val="20"/>
          <w:lang w:val="es-VE" w:eastAsia="en-US"/>
        </w:rPr>
        <w:t>ANÁLISIS DE ADMISIBILIDAD</w:t>
      </w:r>
      <w:bookmarkEnd w:id="10"/>
      <w:bookmarkEnd w:id="11"/>
    </w:p>
    <w:p w14:paraId="52FFC4CF" w14:textId="77777777" w:rsidR="001A3857" w:rsidRPr="00ED541F" w:rsidRDefault="001A3857" w:rsidP="00284AF8">
      <w:pPr>
        <w:jc w:val="both"/>
        <w:rPr>
          <w:lang w:val="es-US"/>
        </w:rPr>
      </w:pPr>
    </w:p>
    <w:p w14:paraId="392E28D8" w14:textId="77777777" w:rsidR="001A3857" w:rsidRPr="00ED541F" w:rsidRDefault="001A3857" w:rsidP="00284AF8">
      <w:pPr>
        <w:pStyle w:val="Heading2"/>
        <w:keepNext w:val="0"/>
        <w:numPr>
          <w:ilvl w:val="0"/>
          <w:numId w:val="59"/>
        </w:numPr>
        <w:pBdr>
          <w:top w:val="nil"/>
          <w:left w:val="nil"/>
          <w:bottom w:val="nil"/>
          <w:right w:val="nil"/>
          <w:between w:val="nil"/>
          <w:bar w:val="nil"/>
        </w:pBdr>
        <w:spacing w:before="0" w:after="0"/>
        <w:ind w:left="1440" w:hanging="720"/>
        <w:jc w:val="both"/>
        <w:rPr>
          <w:rFonts w:asciiTheme="majorHAnsi" w:hAnsiTheme="majorHAnsi"/>
          <w:color w:val="000000"/>
          <w:sz w:val="20"/>
          <w:szCs w:val="20"/>
        </w:rPr>
      </w:pPr>
      <w:bookmarkStart w:id="12" w:name="_Toc413687816"/>
      <w:bookmarkStart w:id="13" w:name="_Toc447208868"/>
      <w:bookmarkStart w:id="14" w:name="_Toc447213174"/>
      <w:bookmarkStart w:id="15" w:name="_Toc475546041"/>
      <w:bookmarkStart w:id="16" w:name="_Toc486584501"/>
      <w:bookmarkStart w:id="17" w:name="_Toc505243727"/>
      <w:bookmarkStart w:id="18" w:name="_Toc531880966"/>
      <w:r w:rsidRPr="00ED541F">
        <w:rPr>
          <w:rFonts w:asciiTheme="majorHAnsi" w:hAnsiTheme="majorHAnsi"/>
          <w:sz w:val="20"/>
          <w:szCs w:val="20"/>
        </w:rPr>
        <w:t xml:space="preserve">Competencia </w:t>
      </w:r>
      <w:proofErr w:type="spellStart"/>
      <w:r w:rsidRPr="00ED541F">
        <w:rPr>
          <w:rFonts w:asciiTheme="majorHAnsi" w:hAnsiTheme="majorHAnsi"/>
          <w:sz w:val="20"/>
          <w:szCs w:val="20"/>
        </w:rPr>
        <w:t>ratione</w:t>
      </w:r>
      <w:proofErr w:type="spellEnd"/>
      <w:r w:rsidRPr="00ED541F">
        <w:rPr>
          <w:rFonts w:asciiTheme="majorHAnsi" w:hAnsiTheme="majorHAnsi"/>
          <w:sz w:val="20"/>
          <w:szCs w:val="20"/>
          <w:lang w:val="es-ES_tradnl"/>
        </w:rPr>
        <w:t xml:space="preserve"> </w:t>
      </w:r>
      <w:proofErr w:type="spellStart"/>
      <w:r w:rsidRPr="00ED541F">
        <w:rPr>
          <w:rFonts w:asciiTheme="majorHAnsi" w:hAnsiTheme="majorHAnsi"/>
          <w:sz w:val="20"/>
          <w:szCs w:val="20"/>
          <w:lang w:val="es-ES_tradnl"/>
        </w:rPr>
        <w:t>materiae</w:t>
      </w:r>
      <w:proofErr w:type="spellEnd"/>
      <w:r w:rsidRPr="00ED541F">
        <w:rPr>
          <w:rFonts w:asciiTheme="majorHAnsi" w:hAnsiTheme="majorHAnsi"/>
          <w:sz w:val="20"/>
          <w:szCs w:val="20"/>
          <w:lang w:val="es-ES_tradnl"/>
        </w:rPr>
        <w:t xml:space="preserve">, </w:t>
      </w:r>
      <w:proofErr w:type="spellStart"/>
      <w:r w:rsidRPr="00ED541F">
        <w:rPr>
          <w:rFonts w:asciiTheme="majorHAnsi" w:hAnsiTheme="majorHAnsi"/>
          <w:sz w:val="20"/>
          <w:szCs w:val="20"/>
          <w:lang w:val="es-ES_tradnl"/>
        </w:rPr>
        <w:t>ratione</w:t>
      </w:r>
      <w:proofErr w:type="spellEnd"/>
      <w:r w:rsidRPr="00ED541F">
        <w:rPr>
          <w:rFonts w:asciiTheme="majorHAnsi" w:hAnsiTheme="majorHAnsi"/>
          <w:sz w:val="20"/>
          <w:szCs w:val="20"/>
          <w:lang w:val="es-ES_tradnl"/>
        </w:rPr>
        <w:t xml:space="preserve"> </w:t>
      </w:r>
      <w:proofErr w:type="spellStart"/>
      <w:r w:rsidRPr="00ED541F">
        <w:rPr>
          <w:rFonts w:asciiTheme="majorHAnsi" w:hAnsiTheme="majorHAnsi"/>
          <w:sz w:val="20"/>
          <w:szCs w:val="20"/>
          <w:lang w:val="es-ES_tradnl"/>
        </w:rPr>
        <w:t>personae</w:t>
      </w:r>
      <w:proofErr w:type="spellEnd"/>
      <w:r w:rsidRPr="00ED541F">
        <w:rPr>
          <w:rFonts w:asciiTheme="majorHAnsi" w:hAnsiTheme="majorHAnsi"/>
          <w:sz w:val="20"/>
          <w:szCs w:val="20"/>
          <w:lang w:val="es-ES_tradnl"/>
        </w:rPr>
        <w:t xml:space="preserve">, </w:t>
      </w:r>
      <w:proofErr w:type="spellStart"/>
      <w:r w:rsidRPr="00ED541F">
        <w:rPr>
          <w:rFonts w:asciiTheme="majorHAnsi" w:hAnsiTheme="majorHAnsi"/>
          <w:sz w:val="20"/>
          <w:szCs w:val="20"/>
          <w:lang w:val="es-ES_tradnl"/>
        </w:rPr>
        <w:t>ratione</w:t>
      </w:r>
      <w:proofErr w:type="spellEnd"/>
      <w:r w:rsidRPr="00ED541F">
        <w:rPr>
          <w:rFonts w:asciiTheme="majorHAnsi" w:hAnsiTheme="majorHAnsi"/>
          <w:sz w:val="20"/>
          <w:szCs w:val="20"/>
          <w:lang w:val="es-ES_tradnl"/>
        </w:rPr>
        <w:t xml:space="preserve"> </w:t>
      </w:r>
      <w:proofErr w:type="spellStart"/>
      <w:r w:rsidRPr="00ED541F">
        <w:rPr>
          <w:rFonts w:asciiTheme="majorHAnsi" w:hAnsiTheme="majorHAnsi"/>
          <w:sz w:val="20"/>
          <w:szCs w:val="20"/>
          <w:lang w:val="es-ES_tradnl"/>
        </w:rPr>
        <w:t>temporis</w:t>
      </w:r>
      <w:proofErr w:type="spellEnd"/>
      <w:r w:rsidRPr="00ED541F">
        <w:rPr>
          <w:rFonts w:asciiTheme="majorHAnsi" w:hAnsiTheme="majorHAnsi"/>
          <w:sz w:val="20"/>
          <w:szCs w:val="20"/>
          <w:lang w:val="es-ES_tradnl"/>
        </w:rPr>
        <w:t xml:space="preserve"> y </w:t>
      </w:r>
      <w:proofErr w:type="spellStart"/>
      <w:r w:rsidRPr="00ED541F">
        <w:rPr>
          <w:rFonts w:asciiTheme="majorHAnsi" w:hAnsiTheme="majorHAnsi"/>
          <w:sz w:val="20"/>
          <w:szCs w:val="20"/>
          <w:lang w:val="es-ES_tradnl"/>
        </w:rPr>
        <w:t>ratione</w:t>
      </w:r>
      <w:proofErr w:type="spellEnd"/>
      <w:r w:rsidRPr="00ED541F">
        <w:rPr>
          <w:rFonts w:asciiTheme="majorHAnsi" w:hAnsiTheme="majorHAnsi"/>
          <w:sz w:val="20"/>
          <w:szCs w:val="20"/>
          <w:lang w:val="es-ES_tradnl"/>
        </w:rPr>
        <w:t xml:space="preserve"> loci de </w:t>
      </w:r>
      <w:proofErr w:type="gramStart"/>
      <w:r w:rsidRPr="00ED541F">
        <w:rPr>
          <w:rFonts w:asciiTheme="majorHAnsi" w:hAnsiTheme="majorHAnsi"/>
          <w:sz w:val="20"/>
          <w:szCs w:val="20"/>
          <w:lang w:val="es-ES_tradnl"/>
        </w:rPr>
        <w:t>la  Comisión</w:t>
      </w:r>
      <w:bookmarkEnd w:id="12"/>
      <w:bookmarkEnd w:id="13"/>
      <w:bookmarkEnd w:id="14"/>
      <w:bookmarkEnd w:id="15"/>
      <w:bookmarkEnd w:id="16"/>
      <w:bookmarkEnd w:id="17"/>
      <w:bookmarkEnd w:id="18"/>
      <w:proofErr w:type="gramEnd"/>
      <w:r w:rsidRPr="00ED541F">
        <w:rPr>
          <w:rFonts w:asciiTheme="majorHAnsi" w:hAnsiTheme="majorHAnsi"/>
          <w:color w:val="000000"/>
          <w:sz w:val="20"/>
          <w:szCs w:val="20"/>
        </w:rPr>
        <w:t xml:space="preserve"> </w:t>
      </w:r>
    </w:p>
    <w:tbl>
      <w:tblPr>
        <w:tblpPr w:leftFromText="180" w:rightFromText="180" w:vertAnchor="text" w:horzAnchor="margin" w:tblpXSpec="center" w:tblpY="120"/>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80"/>
        <w:gridCol w:w="4680"/>
      </w:tblGrid>
      <w:tr w:rsidR="00BF25A0" w:rsidRPr="00ED541F" w14:paraId="367BA4A9" w14:textId="77777777" w:rsidTr="00A5458F">
        <w:trPr>
          <w:cantSplit/>
        </w:trPr>
        <w:tc>
          <w:tcPr>
            <w:tcW w:w="4680" w:type="dxa"/>
            <w:tcBorders>
              <w:top w:val="single" w:sz="4" w:space="0" w:color="auto"/>
              <w:bottom w:val="single" w:sz="6" w:space="0" w:color="auto"/>
            </w:tcBorders>
            <w:shd w:val="clear" w:color="auto" w:fill="386294"/>
            <w:vAlign w:val="center"/>
          </w:tcPr>
          <w:p w14:paraId="76A61B29" w14:textId="77777777" w:rsidR="00BF25A0" w:rsidRPr="00ED541F" w:rsidRDefault="00BF25A0" w:rsidP="00BF25A0">
            <w:pPr>
              <w:jc w:val="both"/>
              <w:rPr>
                <w:rFonts w:eastAsia="Times New Roman"/>
                <w:b/>
                <w:bCs/>
                <w:i/>
                <w:color w:val="FFFFFF"/>
              </w:rPr>
            </w:pPr>
            <w:r w:rsidRPr="00ED541F">
              <w:rPr>
                <w:rFonts w:eastAsia="Times New Roman"/>
                <w:b/>
                <w:bCs/>
                <w:color w:val="FFFFFF"/>
              </w:rPr>
              <w:t>Competencia</w:t>
            </w:r>
            <w:r w:rsidRPr="00ED541F">
              <w:rPr>
                <w:rFonts w:eastAsia="Times New Roman"/>
                <w:b/>
                <w:bCs/>
                <w:i/>
                <w:color w:val="FFFFFF"/>
              </w:rPr>
              <w:t xml:space="preserve"> </w:t>
            </w:r>
            <w:proofErr w:type="spellStart"/>
            <w:r w:rsidRPr="00ED541F">
              <w:rPr>
                <w:rFonts w:eastAsia="Times New Roman"/>
                <w:b/>
                <w:bCs/>
                <w:i/>
                <w:color w:val="FFFFFF"/>
              </w:rPr>
              <w:t>Ratione</w:t>
            </w:r>
            <w:proofErr w:type="spellEnd"/>
            <w:r w:rsidRPr="00ED541F">
              <w:rPr>
                <w:rFonts w:eastAsia="Times New Roman"/>
                <w:b/>
                <w:bCs/>
                <w:i/>
                <w:color w:val="FFFFFF"/>
              </w:rPr>
              <w:t xml:space="preserve"> </w:t>
            </w:r>
            <w:proofErr w:type="spellStart"/>
            <w:r w:rsidRPr="00ED541F">
              <w:rPr>
                <w:rFonts w:eastAsia="Times New Roman"/>
                <w:b/>
                <w:bCs/>
                <w:i/>
                <w:color w:val="FFFFFF"/>
              </w:rPr>
              <w:t>personae</w:t>
            </w:r>
            <w:proofErr w:type="spellEnd"/>
            <w:r w:rsidRPr="00ED541F">
              <w:rPr>
                <w:rFonts w:eastAsia="Times New Roman"/>
                <w:b/>
                <w:bCs/>
                <w:i/>
                <w:color w:val="FFFFFF"/>
              </w:rPr>
              <w:t>:</w:t>
            </w:r>
          </w:p>
        </w:tc>
        <w:tc>
          <w:tcPr>
            <w:tcW w:w="4680" w:type="dxa"/>
            <w:shd w:val="clear" w:color="auto" w:fill="auto"/>
            <w:vAlign w:val="center"/>
          </w:tcPr>
          <w:p w14:paraId="5D6CEAE1" w14:textId="77777777" w:rsidR="00BF25A0" w:rsidRPr="00ED541F" w:rsidRDefault="00BF25A0" w:rsidP="00BF25A0">
            <w:pPr>
              <w:jc w:val="both"/>
              <w:rPr>
                <w:rFonts w:eastAsia="Times New Roman"/>
                <w:bCs/>
              </w:rPr>
            </w:pPr>
            <w:r w:rsidRPr="00ED541F">
              <w:rPr>
                <w:rFonts w:eastAsia="Times New Roman"/>
                <w:bCs/>
              </w:rPr>
              <w:t>Sí.</w:t>
            </w:r>
          </w:p>
        </w:tc>
      </w:tr>
      <w:tr w:rsidR="00BF25A0" w:rsidRPr="00ED541F" w14:paraId="74D62BB8" w14:textId="77777777" w:rsidTr="00A5458F">
        <w:trPr>
          <w:cantSplit/>
        </w:trPr>
        <w:tc>
          <w:tcPr>
            <w:tcW w:w="4680" w:type="dxa"/>
            <w:tcBorders>
              <w:top w:val="single" w:sz="6" w:space="0" w:color="auto"/>
              <w:bottom w:val="single" w:sz="6" w:space="0" w:color="auto"/>
            </w:tcBorders>
            <w:shd w:val="clear" w:color="auto" w:fill="386294"/>
            <w:vAlign w:val="center"/>
          </w:tcPr>
          <w:p w14:paraId="4068C8F4" w14:textId="77777777" w:rsidR="00BF25A0" w:rsidRPr="00ED541F" w:rsidRDefault="00BF25A0" w:rsidP="00BF25A0">
            <w:pPr>
              <w:jc w:val="both"/>
              <w:rPr>
                <w:rFonts w:eastAsia="Times New Roman"/>
                <w:b/>
                <w:bCs/>
                <w:color w:val="FFFFFF"/>
              </w:rPr>
            </w:pPr>
            <w:r w:rsidRPr="00ED541F">
              <w:rPr>
                <w:rFonts w:eastAsia="Times New Roman"/>
                <w:b/>
                <w:bCs/>
                <w:color w:val="FFFFFF"/>
              </w:rPr>
              <w:t>Competencia</w:t>
            </w:r>
            <w:r w:rsidRPr="00ED541F">
              <w:rPr>
                <w:rFonts w:eastAsia="Times New Roman"/>
                <w:b/>
                <w:bCs/>
                <w:i/>
                <w:color w:val="FFFFFF"/>
              </w:rPr>
              <w:t xml:space="preserve"> </w:t>
            </w:r>
            <w:proofErr w:type="spellStart"/>
            <w:r w:rsidRPr="00ED541F">
              <w:rPr>
                <w:rFonts w:eastAsia="Times New Roman"/>
                <w:b/>
                <w:bCs/>
                <w:i/>
                <w:color w:val="FFFFFF"/>
              </w:rPr>
              <w:t>Ratione</w:t>
            </w:r>
            <w:proofErr w:type="spellEnd"/>
            <w:r w:rsidRPr="00ED541F">
              <w:rPr>
                <w:rFonts w:eastAsia="Times New Roman"/>
                <w:b/>
                <w:bCs/>
                <w:i/>
                <w:color w:val="FFFFFF"/>
              </w:rPr>
              <w:t xml:space="preserve"> loci</w:t>
            </w:r>
            <w:r w:rsidRPr="00ED541F">
              <w:rPr>
                <w:rFonts w:eastAsia="Times New Roman"/>
                <w:b/>
                <w:bCs/>
                <w:color w:val="FFFFFF"/>
              </w:rPr>
              <w:t>:</w:t>
            </w:r>
          </w:p>
        </w:tc>
        <w:tc>
          <w:tcPr>
            <w:tcW w:w="4680" w:type="dxa"/>
            <w:shd w:val="clear" w:color="auto" w:fill="auto"/>
            <w:vAlign w:val="center"/>
          </w:tcPr>
          <w:p w14:paraId="0EF1FF27" w14:textId="77777777" w:rsidR="00BF25A0" w:rsidRPr="00ED541F" w:rsidRDefault="00BF25A0" w:rsidP="00BF25A0">
            <w:pPr>
              <w:jc w:val="both"/>
              <w:rPr>
                <w:rFonts w:eastAsia="Times New Roman"/>
                <w:bCs/>
              </w:rPr>
            </w:pPr>
            <w:r w:rsidRPr="00ED541F">
              <w:rPr>
                <w:rFonts w:eastAsia="Times New Roman"/>
                <w:bCs/>
              </w:rPr>
              <w:t>Sí.</w:t>
            </w:r>
          </w:p>
        </w:tc>
      </w:tr>
      <w:tr w:rsidR="00BF25A0" w:rsidRPr="00ED541F" w14:paraId="202EB4CA" w14:textId="77777777" w:rsidTr="00A5458F">
        <w:trPr>
          <w:cantSplit/>
        </w:trPr>
        <w:tc>
          <w:tcPr>
            <w:tcW w:w="4680" w:type="dxa"/>
            <w:tcBorders>
              <w:top w:val="single" w:sz="6" w:space="0" w:color="auto"/>
              <w:bottom w:val="single" w:sz="6" w:space="0" w:color="auto"/>
            </w:tcBorders>
            <w:shd w:val="clear" w:color="auto" w:fill="386294"/>
            <w:vAlign w:val="center"/>
          </w:tcPr>
          <w:p w14:paraId="575826A8" w14:textId="77777777" w:rsidR="00BF25A0" w:rsidRPr="00ED541F" w:rsidRDefault="00BF25A0" w:rsidP="00BF25A0">
            <w:pPr>
              <w:jc w:val="both"/>
              <w:rPr>
                <w:rFonts w:eastAsia="Times New Roman"/>
                <w:b/>
                <w:bCs/>
                <w:color w:val="FFFFFF"/>
              </w:rPr>
            </w:pPr>
            <w:r w:rsidRPr="00ED541F">
              <w:rPr>
                <w:rFonts w:eastAsia="Times New Roman"/>
                <w:b/>
                <w:bCs/>
                <w:color w:val="FFFFFF"/>
              </w:rPr>
              <w:t>Competencia</w:t>
            </w:r>
            <w:r w:rsidRPr="00ED541F">
              <w:rPr>
                <w:rFonts w:eastAsia="Times New Roman"/>
                <w:b/>
                <w:bCs/>
                <w:i/>
                <w:color w:val="FFFFFF"/>
              </w:rPr>
              <w:t xml:space="preserve"> </w:t>
            </w:r>
            <w:proofErr w:type="spellStart"/>
            <w:r w:rsidRPr="00ED541F">
              <w:rPr>
                <w:rFonts w:eastAsia="Times New Roman"/>
                <w:b/>
                <w:bCs/>
                <w:i/>
                <w:color w:val="FFFFFF"/>
              </w:rPr>
              <w:t>Ratione</w:t>
            </w:r>
            <w:proofErr w:type="spellEnd"/>
            <w:r w:rsidRPr="00ED541F">
              <w:rPr>
                <w:rFonts w:eastAsia="Times New Roman"/>
                <w:b/>
                <w:bCs/>
                <w:i/>
                <w:color w:val="FFFFFF"/>
              </w:rPr>
              <w:t xml:space="preserve"> </w:t>
            </w:r>
            <w:proofErr w:type="spellStart"/>
            <w:r w:rsidRPr="00ED541F">
              <w:rPr>
                <w:rFonts w:eastAsia="Times New Roman"/>
                <w:b/>
                <w:bCs/>
                <w:i/>
                <w:color w:val="FFFFFF"/>
              </w:rPr>
              <w:t>temporis</w:t>
            </w:r>
            <w:proofErr w:type="spellEnd"/>
            <w:r w:rsidRPr="00ED541F">
              <w:rPr>
                <w:rFonts w:eastAsia="Times New Roman"/>
                <w:b/>
                <w:bCs/>
                <w:color w:val="FFFFFF"/>
              </w:rPr>
              <w:t>:</w:t>
            </w:r>
          </w:p>
        </w:tc>
        <w:tc>
          <w:tcPr>
            <w:tcW w:w="4680" w:type="dxa"/>
            <w:shd w:val="clear" w:color="auto" w:fill="auto"/>
            <w:vAlign w:val="center"/>
          </w:tcPr>
          <w:p w14:paraId="6BCFDBC3" w14:textId="77777777" w:rsidR="00BF25A0" w:rsidRPr="00ED541F" w:rsidRDefault="00BF25A0" w:rsidP="00BF25A0">
            <w:pPr>
              <w:jc w:val="both"/>
              <w:rPr>
                <w:rFonts w:eastAsia="Times New Roman"/>
                <w:bCs/>
              </w:rPr>
            </w:pPr>
            <w:r w:rsidRPr="00ED541F">
              <w:rPr>
                <w:rFonts w:eastAsia="Times New Roman"/>
                <w:bCs/>
              </w:rPr>
              <w:t>Sí.</w:t>
            </w:r>
          </w:p>
        </w:tc>
      </w:tr>
      <w:tr w:rsidR="00BF25A0" w:rsidRPr="00ED541F" w14:paraId="18D437B5" w14:textId="77777777" w:rsidTr="00A5458F">
        <w:trPr>
          <w:cantSplit/>
        </w:trPr>
        <w:tc>
          <w:tcPr>
            <w:tcW w:w="4680" w:type="dxa"/>
            <w:tcBorders>
              <w:top w:val="single" w:sz="6" w:space="0" w:color="auto"/>
              <w:bottom w:val="single" w:sz="6" w:space="0" w:color="auto"/>
            </w:tcBorders>
            <w:shd w:val="clear" w:color="auto" w:fill="386294"/>
            <w:vAlign w:val="center"/>
          </w:tcPr>
          <w:p w14:paraId="3ADA60E8" w14:textId="77777777" w:rsidR="00BF25A0" w:rsidRPr="00ED541F" w:rsidRDefault="00BF25A0" w:rsidP="00BF25A0">
            <w:pPr>
              <w:jc w:val="both"/>
              <w:rPr>
                <w:rFonts w:eastAsia="Times New Roman"/>
                <w:b/>
                <w:bCs/>
                <w:color w:val="FFFFFF"/>
              </w:rPr>
            </w:pPr>
            <w:r w:rsidRPr="00ED541F">
              <w:rPr>
                <w:rFonts w:eastAsia="Times New Roman"/>
                <w:b/>
                <w:bCs/>
                <w:color w:val="FFFFFF"/>
              </w:rPr>
              <w:lastRenderedPageBreak/>
              <w:t>Competencia</w:t>
            </w:r>
            <w:r w:rsidRPr="00ED541F">
              <w:rPr>
                <w:rFonts w:eastAsia="Times New Roman"/>
                <w:b/>
                <w:bCs/>
                <w:i/>
                <w:color w:val="FFFFFF"/>
              </w:rPr>
              <w:t xml:space="preserve"> </w:t>
            </w:r>
            <w:proofErr w:type="spellStart"/>
            <w:r w:rsidRPr="00ED541F">
              <w:rPr>
                <w:rFonts w:eastAsia="Times New Roman"/>
                <w:b/>
                <w:bCs/>
                <w:i/>
                <w:color w:val="FFFFFF"/>
              </w:rPr>
              <w:t>Ratione</w:t>
            </w:r>
            <w:proofErr w:type="spellEnd"/>
            <w:r w:rsidRPr="00ED541F">
              <w:rPr>
                <w:rFonts w:eastAsia="Times New Roman"/>
                <w:b/>
                <w:bCs/>
                <w:i/>
                <w:color w:val="FFFFFF"/>
              </w:rPr>
              <w:t xml:space="preserve"> </w:t>
            </w:r>
            <w:proofErr w:type="spellStart"/>
            <w:r w:rsidRPr="00ED541F">
              <w:rPr>
                <w:rFonts w:eastAsia="Times New Roman"/>
                <w:b/>
                <w:bCs/>
                <w:i/>
                <w:color w:val="FFFFFF"/>
              </w:rPr>
              <w:t>materiae</w:t>
            </w:r>
            <w:proofErr w:type="spellEnd"/>
            <w:r w:rsidRPr="00ED541F">
              <w:rPr>
                <w:rFonts w:eastAsia="Times New Roman"/>
                <w:b/>
                <w:bCs/>
                <w:color w:val="FFFFFF"/>
              </w:rPr>
              <w:t>:</w:t>
            </w:r>
          </w:p>
        </w:tc>
        <w:tc>
          <w:tcPr>
            <w:tcW w:w="4680" w:type="dxa"/>
            <w:shd w:val="clear" w:color="auto" w:fill="auto"/>
            <w:vAlign w:val="center"/>
          </w:tcPr>
          <w:p w14:paraId="66C46E9C" w14:textId="77777777" w:rsidR="00BF25A0" w:rsidRPr="00ED541F" w:rsidRDefault="00BF25A0" w:rsidP="00BF25A0">
            <w:pPr>
              <w:jc w:val="both"/>
              <w:rPr>
                <w:rFonts w:eastAsia="Times New Roman"/>
                <w:bCs/>
              </w:rPr>
            </w:pPr>
            <w:r w:rsidRPr="00ED541F">
              <w:rPr>
                <w:rFonts w:eastAsia="Times New Roman"/>
                <w:bCs/>
              </w:rPr>
              <w:t>Sí.</w:t>
            </w:r>
          </w:p>
        </w:tc>
      </w:tr>
      <w:tr w:rsidR="00BF25A0" w:rsidRPr="00ED541F" w14:paraId="74CF999F" w14:textId="77777777" w:rsidTr="00A5458F">
        <w:trPr>
          <w:cantSplit/>
        </w:trPr>
        <w:tc>
          <w:tcPr>
            <w:tcW w:w="4680" w:type="dxa"/>
            <w:tcBorders>
              <w:top w:val="single" w:sz="6" w:space="0" w:color="auto"/>
              <w:bottom w:val="single" w:sz="6" w:space="0" w:color="auto"/>
            </w:tcBorders>
            <w:shd w:val="clear" w:color="auto" w:fill="386294"/>
            <w:vAlign w:val="center"/>
          </w:tcPr>
          <w:p w14:paraId="2069D6D9" w14:textId="77777777" w:rsidR="00BF25A0" w:rsidRPr="00ED541F" w:rsidRDefault="00BF25A0" w:rsidP="00BF25A0">
            <w:pPr>
              <w:jc w:val="both"/>
              <w:rPr>
                <w:rFonts w:eastAsia="Times New Roman"/>
                <w:b/>
                <w:bCs/>
                <w:color w:val="FFFFFF"/>
              </w:rPr>
            </w:pPr>
            <w:r w:rsidRPr="00ED541F">
              <w:rPr>
                <w:rFonts w:eastAsia="Times New Roman"/>
                <w:b/>
                <w:bCs/>
                <w:color w:val="FFFFFF"/>
              </w:rPr>
              <w:t>Duplicación de procedimientos y cosa juzgada internacional:</w:t>
            </w:r>
          </w:p>
        </w:tc>
        <w:tc>
          <w:tcPr>
            <w:tcW w:w="4680" w:type="dxa"/>
            <w:shd w:val="clear" w:color="auto" w:fill="auto"/>
            <w:vAlign w:val="center"/>
          </w:tcPr>
          <w:p w14:paraId="1764103C" w14:textId="77777777" w:rsidR="00BF25A0" w:rsidRPr="00ED541F" w:rsidRDefault="00BF25A0" w:rsidP="00BF25A0">
            <w:pPr>
              <w:jc w:val="both"/>
              <w:rPr>
                <w:rFonts w:eastAsia="Times New Roman"/>
                <w:bCs/>
              </w:rPr>
            </w:pPr>
            <w:r w:rsidRPr="00ED541F">
              <w:rPr>
                <w:rFonts w:eastAsia="Times New Roman"/>
                <w:bCs/>
              </w:rPr>
              <w:t>No.</w:t>
            </w:r>
          </w:p>
        </w:tc>
      </w:tr>
    </w:tbl>
    <w:p w14:paraId="3AE1B2AC" w14:textId="77777777" w:rsidR="0057582E" w:rsidRPr="00ED541F" w:rsidRDefault="0057582E"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lang w:val="es-CO"/>
        </w:rPr>
      </w:pPr>
    </w:p>
    <w:p w14:paraId="07E9DC91" w14:textId="77777777" w:rsidR="0057582E" w:rsidRPr="00ED541F" w:rsidRDefault="0057582E"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lang w:val="es-CO"/>
        </w:rPr>
      </w:pPr>
    </w:p>
    <w:p w14:paraId="31BF49E5" w14:textId="77777777" w:rsidR="00E25CE0" w:rsidRPr="00ED541F" w:rsidRDefault="00067C7F" w:rsidP="00284AF8">
      <w:pPr>
        <w:pStyle w:val="Heading2"/>
        <w:keepNext w:val="0"/>
        <w:numPr>
          <w:ilvl w:val="0"/>
          <w:numId w:val="59"/>
        </w:numPr>
        <w:pBdr>
          <w:top w:val="nil"/>
          <w:left w:val="nil"/>
          <w:bottom w:val="nil"/>
          <w:right w:val="nil"/>
          <w:between w:val="nil"/>
          <w:bar w:val="nil"/>
        </w:pBdr>
        <w:spacing w:before="0" w:after="0"/>
        <w:ind w:left="1440" w:hanging="720"/>
        <w:jc w:val="both"/>
        <w:rPr>
          <w:rFonts w:asciiTheme="majorHAnsi" w:hAnsiTheme="majorHAnsi"/>
          <w:i w:val="0"/>
          <w:sz w:val="20"/>
          <w:szCs w:val="20"/>
        </w:rPr>
      </w:pPr>
      <w:bookmarkStart w:id="19" w:name="_Toc505243728"/>
      <w:bookmarkStart w:id="20" w:name="_Toc531880967"/>
      <w:r w:rsidRPr="00ED541F">
        <w:rPr>
          <w:rFonts w:asciiTheme="majorHAnsi" w:hAnsiTheme="majorHAnsi"/>
          <w:i w:val="0"/>
          <w:sz w:val="20"/>
          <w:szCs w:val="20"/>
        </w:rPr>
        <w:t>Agotamiento de recursos internos y plazo de presentación</w:t>
      </w:r>
      <w:bookmarkEnd w:id="19"/>
      <w:bookmarkEnd w:id="20"/>
    </w:p>
    <w:p w14:paraId="23CD7A5D" w14:textId="77777777" w:rsidR="003F4303" w:rsidRPr="00ED541F" w:rsidRDefault="003F4303"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sz w:val="20"/>
          <w:szCs w:val="20"/>
          <w:lang w:val="es-US"/>
        </w:rPr>
      </w:pPr>
    </w:p>
    <w:p w14:paraId="72A5A0B6" w14:textId="41D0CA95" w:rsidR="00AB567B" w:rsidRPr="00ED541F" w:rsidRDefault="00BD106E"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En cuanto al requisito de agotamiento de los recursos internos, la Comisión</w:t>
      </w:r>
      <w:r w:rsidR="004550CE" w:rsidRPr="00ED541F">
        <w:rPr>
          <w:sz w:val="20"/>
          <w:szCs w:val="20"/>
          <w:lang w:val="es-US"/>
        </w:rPr>
        <w:t xml:space="preserve"> observa </w:t>
      </w:r>
      <w:r w:rsidR="00CB1EEC" w:rsidRPr="00ED541F">
        <w:rPr>
          <w:sz w:val="20"/>
          <w:szCs w:val="20"/>
          <w:lang w:val="es-US"/>
        </w:rPr>
        <w:t>que el señor Mina Cuero interpuso recursos de amparo y de in</w:t>
      </w:r>
      <w:r w:rsidR="00EF003E" w:rsidRPr="00ED541F">
        <w:rPr>
          <w:sz w:val="20"/>
          <w:szCs w:val="20"/>
          <w:lang w:val="es-US"/>
        </w:rPr>
        <w:t xml:space="preserve">constitucionalidad para impugnar la decisión del </w:t>
      </w:r>
      <w:r w:rsidR="00937F45" w:rsidRPr="00ED541F">
        <w:rPr>
          <w:sz w:val="20"/>
          <w:szCs w:val="20"/>
          <w:lang w:val="es-US"/>
        </w:rPr>
        <w:t>Tribunal de Disciplin</w:t>
      </w:r>
      <w:r w:rsidR="00DA5387" w:rsidRPr="00ED541F">
        <w:rPr>
          <w:sz w:val="20"/>
          <w:szCs w:val="20"/>
          <w:lang w:val="es-US"/>
        </w:rPr>
        <w:t>a.</w:t>
      </w:r>
      <w:r w:rsidR="00B75F08" w:rsidRPr="00ED541F">
        <w:rPr>
          <w:sz w:val="20"/>
          <w:szCs w:val="20"/>
          <w:lang w:val="es-US"/>
        </w:rPr>
        <w:t xml:space="preserve"> Ambos fueron resueltos de manera desfavorable</w:t>
      </w:r>
      <w:r w:rsidR="00F24C9D" w:rsidRPr="00ED541F">
        <w:rPr>
          <w:sz w:val="20"/>
          <w:szCs w:val="20"/>
          <w:lang w:val="es-US"/>
        </w:rPr>
        <w:t>. L</w:t>
      </w:r>
      <w:r w:rsidR="00B75F08" w:rsidRPr="00ED541F">
        <w:rPr>
          <w:sz w:val="20"/>
          <w:szCs w:val="20"/>
          <w:lang w:val="es-US"/>
        </w:rPr>
        <w:t>a CIDH considera que los recursos internos disponi</w:t>
      </w:r>
      <w:r w:rsidR="00361442" w:rsidRPr="00ED541F">
        <w:rPr>
          <w:sz w:val="20"/>
          <w:szCs w:val="20"/>
          <w:lang w:val="es-US"/>
        </w:rPr>
        <w:t xml:space="preserve">bles fueron agotados. </w:t>
      </w:r>
      <w:r w:rsidR="00F42D71" w:rsidRPr="00ED541F">
        <w:rPr>
          <w:sz w:val="20"/>
          <w:szCs w:val="20"/>
          <w:lang w:val="es-US"/>
        </w:rPr>
        <w:t>Respecto del argumento estatal conforme al cual la demanda de inconstitucionalidad no constituyó un recurso idóneo</w:t>
      </w:r>
      <w:r w:rsidR="00B9702B" w:rsidRPr="00ED541F">
        <w:rPr>
          <w:sz w:val="20"/>
          <w:szCs w:val="20"/>
          <w:lang w:val="es-US"/>
        </w:rPr>
        <w:t xml:space="preserve">, la CIDH observa que el Tribunal Constitucional lo resolvió en cuanto al fondo y declaró que no existió tal inconstitucionalidad. En ese sentido, la CIDH entiende que se trata de un recurso que </w:t>
      </w:r>
      <w:r w:rsidR="00021610" w:rsidRPr="00ED541F">
        <w:rPr>
          <w:sz w:val="20"/>
          <w:szCs w:val="20"/>
          <w:lang w:val="es-US"/>
        </w:rPr>
        <w:t xml:space="preserve">ofrecía la posibilidad de analizar y responder </w:t>
      </w:r>
      <w:r w:rsidR="00795893" w:rsidRPr="00ED541F">
        <w:rPr>
          <w:sz w:val="20"/>
          <w:szCs w:val="20"/>
          <w:lang w:val="es-US"/>
        </w:rPr>
        <w:t xml:space="preserve">a la sustancia de sus reclamos </w:t>
      </w:r>
      <w:r w:rsidR="00B9702B" w:rsidRPr="00ED541F">
        <w:rPr>
          <w:sz w:val="20"/>
          <w:szCs w:val="20"/>
          <w:lang w:val="es-US"/>
        </w:rPr>
        <w:t>y, por lo tanto, el plazo debe contarse a partir de la notificación de la decisión final en el marco de dicha demanda.</w:t>
      </w:r>
    </w:p>
    <w:p w14:paraId="57135888" w14:textId="77777777" w:rsidR="00AB567B" w:rsidRPr="00ED541F" w:rsidRDefault="00AB567B"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sz w:val="20"/>
          <w:szCs w:val="20"/>
          <w:lang w:val="es-US"/>
        </w:rPr>
      </w:pPr>
    </w:p>
    <w:p w14:paraId="14EF5CB4" w14:textId="57680710" w:rsidR="005D0DE2" w:rsidRPr="00ED541F" w:rsidRDefault="00B9702B"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En ese sentido y específicamente s</w:t>
      </w:r>
      <w:r w:rsidR="004832E4" w:rsidRPr="00ED541F">
        <w:rPr>
          <w:sz w:val="20"/>
          <w:szCs w:val="20"/>
          <w:lang w:val="es-US"/>
        </w:rPr>
        <w:t>obre el plazo de presentación, l</w:t>
      </w:r>
      <w:r w:rsidR="00DA5387" w:rsidRPr="00ED541F">
        <w:rPr>
          <w:sz w:val="20"/>
          <w:szCs w:val="20"/>
          <w:lang w:val="es-US"/>
        </w:rPr>
        <w:t xml:space="preserve">a Comisión observa que </w:t>
      </w:r>
      <w:r w:rsidR="00B33C86" w:rsidRPr="00ED541F">
        <w:rPr>
          <w:sz w:val="20"/>
          <w:szCs w:val="20"/>
          <w:lang w:val="es-US"/>
        </w:rPr>
        <w:t xml:space="preserve">la demanda de </w:t>
      </w:r>
      <w:proofErr w:type="gramStart"/>
      <w:r w:rsidR="00B33C86" w:rsidRPr="00ED541F">
        <w:rPr>
          <w:sz w:val="20"/>
          <w:szCs w:val="20"/>
          <w:lang w:val="es-US"/>
        </w:rPr>
        <w:t>in</w:t>
      </w:r>
      <w:r w:rsidRPr="00ED541F">
        <w:rPr>
          <w:sz w:val="20"/>
          <w:szCs w:val="20"/>
          <w:lang w:val="es-US"/>
        </w:rPr>
        <w:t>constitucionalidad,</w:t>
      </w:r>
      <w:proofErr w:type="gramEnd"/>
      <w:r w:rsidRPr="00ED541F">
        <w:rPr>
          <w:sz w:val="20"/>
          <w:szCs w:val="20"/>
          <w:lang w:val="es-US"/>
        </w:rPr>
        <w:t xml:space="preserve"> fue resuelta</w:t>
      </w:r>
      <w:r w:rsidR="00B33C86" w:rsidRPr="00ED541F">
        <w:rPr>
          <w:sz w:val="20"/>
          <w:szCs w:val="20"/>
          <w:lang w:val="es-US"/>
        </w:rPr>
        <w:t xml:space="preserve"> el 14 de agosto de 2001 y</w:t>
      </w:r>
      <w:r w:rsidRPr="00ED541F">
        <w:rPr>
          <w:sz w:val="20"/>
          <w:szCs w:val="20"/>
          <w:lang w:val="es-US"/>
        </w:rPr>
        <w:t xml:space="preserve"> que dicha decisión fue notificada</w:t>
      </w:r>
      <w:r w:rsidR="00B33C86" w:rsidRPr="00ED541F">
        <w:rPr>
          <w:sz w:val="20"/>
          <w:szCs w:val="20"/>
          <w:lang w:val="es-US"/>
        </w:rPr>
        <w:t xml:space="preserve"> el 29 de agosto de 2001 conforme consta en la boleta de notificación que se encuentra en el expediente. </w:t>
      </w:r>
      <w:r w:rsidR="00E2123E" w:rsidRPr="00ED541F">
        <w:rPr>
          <w:sz w:val="20"/>
          <w:szCs w:val="20"/>
          <w:lang w:val="es-US"/>
        </w:rPr>
        <w:t xml:space="preserve">De esta manera, </w:t>
      </w:r>
      <w:r w:rsidR="00362D2A" w:rsidRPr="00ED541F">
        <w:rPr>
          <w:sz w:val="20"/>
          <w:szCs w:val="20"/>
          <w:lang w:val="es-US"/>
        </w:rPr>
        <w:t>y a diferencia de lo que indica el Estado, el plazo de presentación debe contarse desde esta ú</w:t>
      </w:r>
      <w:r w:rsidR="008A5C49" w:rsidRPr="00ED541F">
        <w:rPr>
          <w:sz w:val="20"/>
          <w:szCs w:val="20"/>
          <w:lang w:val="es-US"/>
        </w:rPr>
        <w:t>ltima fecha y no desde la decisión de la demanda de inconstitucionalidad. En cuanto a la fecha de recepció</w:t>
      </w:r>
      <w:r w:rsidR="00DE02B4" w:rsidRPr="00ED541F">
        <w:rPr>
          <w:sz w:val="20"/>
          <w:szCs w:val="20"/>
          <w:lang w:val="es-US"/>
        </w:rPr>
        <w:t>n, la CIDH observa que la petición inicial fue remitida el 28 de febrero de 2002</w:t>
      </w:r>
      <w:r w:rsidR="00C76939" w:rsidRPr="00ED541F">
        <w:rPr>
          <w:sz w:val="20"/>
          <w:szCs w:val="20"/>
          <w:lang w:val="es-US"/>
        </w:rPr>
        <w:t xml:space="preserve"> por correo</w:t>
      </w:r>
      <w:r w:rsidR="00DE02B4" w:rsidRPr="00ED541F">
        <w:rPr>
          <w:sz w:val="20"/>
          <w:szCs w:val="20"/>
          <w:lang w:val="es-US"/>
        </w:rPr>
        <w:t xml:space="preserve"> </w:t>
      </w:r>
      <w:r w:rsidR="00C76939" w:rsidRPr="00ED541F">
        <w:rPr>
          <w:sz w:val="20"/>
          <w:szCs w:val="20"/>
          <w:lang w:val="es-US"/>
        </w:rPr>
        <w:t xml:space="preserve">postal </w:t>
      </w:r>
      <w:r w:rsidR="00DE02B4" w:rsidRPr="00ED541F">
        <w:rPr>
          <w:sz w:val="20"/>
          <w:szCs w:val="20"/>
          <w:lang w:val="es-US"/>
        </w:rPr>
        <w:t>y recibida efectivamente el 11 de marzo de 2002.</w:t>
      </w:r>
      <w:r w:rsidR="00D842C9" w:rsidRPr="00ED541F">
        <w:rPr>
          <w:sz w:val="20"/>
          <w:szCs w:val="20"/>
          <w:lang w:val="es-US"/>
        </w:rPr>
        <w:t xml:space="preserve"> </w:t>
      </w:r>
      <w:r w:rsidR="00442198" w:rsidRPr="00ED541F">
        <w:rPr>
          <w:sz w:val="20"/>
          <w:szCs w:val="20"/>
          <w:lang w:val="es-US"/>
        </w:rPr>
        <w:t xml:space="preserve">De esta manera, la recepción efectiva de la petición </w:t>
      </w:r>
      <w:r w:rsidR="005D0DE2" w:rsidRPr="00ED541F">
        <w:rPr>
          <w:sz w:val="20"/>
          <w:szCs w:val="20"/>
          <w:lang w:val="es-US"/>
        </w:rPr>
        <w:t>fue 10</w:t>
      </w:r>
      <w:r w:rsidR="00B130A1" w:rsidRPr="00ED541F">
        <w:rPr>
          <w:sz w:val="20"/>
          <w:szCs w:val="20"/>
          <w:lang w:val="es-US"/>
        </w:rPr>
        <w:t xml:space="preserve"> </w:t>
      </w:r>
      <w:r w:rsidR="005D0DE2" w:rsidRPr="00ED541F">
        <w:rPr>
          <w:sz w:val="20"/>
          <w:szCs w:val="20"/>
          <w:lang w:val="es-US"/>
        </w:rPr>
        <w:t xml:space="preserve">días después del vencimiento del plazo de seis meses contado desde el 29 de agosto de 2001. Ha sido práctica de la CIDH que cuando, como ocurre en el presente caso, se presenta la petición por vía de correo postal, se acepte una flexibilidad de hasta dos semanas en cuanto al plazo. </w:t>
      </w:r>
    </w:p>
    <w:p w14:paraId="273A0B7A" w14:textId="77777777" w:rsidR="005D0DE2" w:rsidRPr="00ED541F" w:rsidRDefault="005D0DE2" w:rsidP="00D70A2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sz w:val="20"/>
          <w:szCs w:val="20"/>
          <w:lang w:val="es-US"/>
        </w:rPr>
      </w:pPr>
    </w:p>
    <w:p w14:paraId="5CEB17E5" w14:textId="4CE3DA29" w:rsidR="0050110E" w:rsidRPr="00ED541F" w:rsidRDefault="005D0DE2"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US"/>
        </w:rPr>
      </w:pPr>
      <w:r w:rsidRPr="00ED541F">
        <w:rPr>
          <w:sz w:val="20"/>
          <w:szCs w:val="20"/>
          <w:lang w:val="es-US"/>
        </w:rPr>
        <w:t>En virtud de lo ante</w:t>
      </w:r>
      <w:r w:rsidR="0050110E" w:rsidRPr="00ED541F">
        <w:rPr>
          <w:sz w:val="20"/>
          <w:szCs w:val="20"/>
          <w:lang w:val="es-US"/>
        </w:rPr>
        <w:t>rior, la CIDH da por cumplido los</w:t>
      </w:r>
      <w:r w:rsidRPr="00ED541F">
        <w:rPr>
          <w:sz w:val="20"/>
          <w:szCs w:val="20"/>
          <w:lang w:val="es-US"/>
        </w:rPr>
        <w:t xml:space="preserve"> requisito</w:t>
      </w:r>
      <w:r w:rsidR="0050110E" w:rsidRPr="00ED541F">
        <w:rPr>
          <w:sz w:val="20"/>
          <w:szCs w:val="20"/>
          <w:lang w:val="es-US"/>
        </w:rPr>
        <w:t>s</w:t>
      </w:r>
      <w:r w:rsidRPr="00ED541F">
        <w:rPr>
          <w:sz w:val="20"/>
          <w:szCs w:val="20"/>
          <w:lang w:val="es-US"/>
        </w:rPr>
        <w:t xml:space="preserve"> de</w:t>
      </w:r>
      <w:r w:rsidR="0050110E" w:rsidRPr="00ED541F">
        <w:rPr>
          <w:sz w:val="20"/>
          <w:szCs w:val="20"/>
          <w:lang w:val="es-US"/>
        </w:rPr>
        <w:t xml:space="preserve"> agotamiento de los recursos internos y</w:t>
      </w:r>
      <w:r w:rsidRPr="00ED541F">
        <w:rPr>
          <w:sz w:val="20"/>
          <w:szCs w:val="20"/>
          <w:lang w:val="es-US"/>
        </w:rPr>
        <w:t xml:space="preserve"> presentación oportuna establecido</w:t>
      </w:r>
      <w:r w:rsidR="0050110E" w:rsidRPr="00ED541F">
        <w:rPr>
          <w:sz w:val="20"/>
          <w:szCs w:val="20"/>
          <w:lang w:val="es-US"/>
        </w:rPr>
        <w:t>s en los</w:t>
      </w:r>
      <w:r w:rsidRPr="00ED541F">
        <w:rPr>
          <w:sz w:val="20"/>
          <w:szCs w:val="20"/>
          <w:lang w:val="es-US"/>
        </w:rPr>
        <w:t xml:space="preserve"> artículo</w:t>
      </w:r>
      <w:r w:rsidR="0050110E" w:rsidRPr="00ED541F">
        <w:rPr>
          <w:sz w:val="20"/>
          <w:szCs w:val="20"/>
          <w:lang w:val="es-US"/>
        </w:rPr>
        <w:t>s</w:t>
      </w:r>
      <w:r w:rsidRPr="00ED541F">
        <w:rPr>
          <w:sz w:val="20"/>
          <w:szCs w:val="20"/>
          <w:lang w:val="es-US"/>
        </w:rPr>
        <w:t xml:space="preserve"> 46.1 </w:t>
      </w:r>
      <w:proofErr w:type="gramStart"/>
      <w:r w:rsidR="0050110E" w:rsidRPr="00ED541F">
        <w:rPr>
          <w:sz w:val="20"/>
          <w:szCs w:val="20"/>
          <w:lang w:val="es-US"/>
        </w:rPr>
        <w:t>a)  y</w:t>
      </w:r>
      <w:proofErr w:type="gramEnd"/>
      <w:r w:rsidR="0050110E" w:rsidRPr="00ED541F">
        <w:rPr>
          <w:sz w:val="20"/>
          <w:szCs w:val="20"/>
          <w:lang w:val="es-US"/>
        </w:rPr>
        <w:t xml:space="preserve"> </w:t>
      </w:r>
      <w:r w:rsidRPr="00ED541F">
        <w:rPr>
          <w:sz w:val="20"/>
          <w:szCs w:val="20"/>
          <w:lang w:val="es-US"/>
        </w:rPr>
        <w:t>b)</w:t>
      </w:r>
      <w:r w:rsidR="0050110E" w:rsidRPr="00ED541F">
        <w:rPr>
          <w:sz w:val="20"/>
          <w:szCs w:val="20"/>
          <w:lang w:val="es-US"/>
        </w:rPr>
        <w:t xml:space="preserve"> </w:t>
      </w:r>
      <w:r w:rsidRPr="00ED541F">
        <w:rPr>
          <w:sz w:val="20"/>
          <w:szCs w:val="20"/>
          <w:lang w:val="es-US"/>
        </w:rPr>
        <w:t xml:space="preserve"> de la Convención. </w:t>
      </w:r>
      <w:r w:rsidR="00F71F3D" w:rsidRPr="00ED541F">
        <w:rPr>
          <w:sz w:val="20"/>
          <w:szCs w:val="20"/>
          <w:lang w:val="es-US"/>
        </w:rPr>
        <w:t xml:space="preserve"> </w:t>
      </w:r>
    </w:p>
    <w:p w14:paraId="5CB12E8E" w14:textId="01C59A09" w:rsidR="00C108AA" w:rsidRPr="00ED541F" w:rsidRDefault="00C108AA"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sz w:val="20"/>
          <w:szCs w:val="20"/>
          <w:lang w:val="es-US"/>
        </w:rPr>
      </w:pPr>
    </w:p>
    <w:p w14:paraId="1453D781" w14:textId="77777777" w:rsidR="00075CB7" w:rsidRPr="00ED541F" w:rsidRDefault="00075CB7" w:rsidP="00284AF8">
      <w:pPr>
        <w:pStyle w:val="Heading2"/>
        <w:keepNext w:val="0"/>
        <w:numPr>
          <w:ilvl w:val="0"/>
          <w:numId w:val="59"/>
        </w:numPr>
        <w:pBdr>
          <w:top w:val="nil"/>
          <w:left w:val="nil"/>
          <w:bottom w:val="nil"/>
          <w:right w:val="nil"/>
          <w:between w:val="nil"/>
          <w:bar w:val="nil"/>
        </w:pBdr>
        <w:spacing w:before="0" w:after="0"/>
        <w:ind w:left="1440" w:hanging="720"/>
        <w:jc w:val="both"/>
        <w:rPr>
          <w:rFonts w:asciiTheme="majorHAnsi" w:hAnsiTheme="majorHAnsi"/>
          <w:i w:val="0"/>
          <w:sz w:val="20"/>
          <w:szCs w:val="20"/>
        </w:rPr>
      </w:pPr>
      <w:bookmarkStart w:id="21" w:name="_Toc505243729"/>
      <w:bookmarkStart w:id="22" w:name="_Toc531880968"/>
      <w:r w:rsidRPr="00ED541F">
        <w:rPr>
          <w:rFonts w:asciiTheme="majorHAnsi" w:hAnsiTheme="majorHAnsi"/>
          <w:i w:val="0"/>
          <w:sz w:val="20"/>
          <w:szCs w:val="20"/>
        </w:rPr>
        <w:t>Caracterización de los hechos alegados</w:t>
      </w:r>
      <w:bookmarkEnd w:id="21"/>
      <w:bookmarkEnd w:id="22"/>
    </w:p>
    <w:p w14:paraId="6F7F2223" w14:textId="77777777" w:rsidR="00075CB7" w:rsidRPr="00ED541F" w:rsidRDefault="00075CB7" w:rsidP="00284AF8">
      <w:pPr>
        <w:jc w:val="both"/>
        <w:rPr>
          <w:lang w:val="es-ES_tradnl"/>
        </w:rPr>
      </w:pPr>
    </w:p>
    <w:p w14:paraId="7B4D9458" w14:textId="77777777" w:rsidR="0057582E" w:rsidRPr="00ED541F" w:rsidRDefault="00075CB7"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lang w:val="es-VE"/>
        </w:rPr>
      </w:pPr>
      <w:r w:rsidRPr="00ED541F">
        <w:rPr>
          <w:sz w:val="20"/>
          <w:szCs w:val="20"/>
        </w:rPr>
        <w:t xml:space="preserve">La Comisión considera que de resultar probados los hechos alegados por la parte peticionaria, </w:t>
      </w:r>
      <w:r w:rsidR="00792C2D" w:rsidRPr="00ED541F">
        <w:rPr>
          <w:sz w:val="20"/>
          <w:szCs w:val="20"/>
        </w:rPr>
        <w:t xml:space="preserve">podrían constituir violaciones </w:t>
      </w:r>
      <w:r w:rsidRPr="00ED541F">
        <w:rPr>
          <w:sz w:val="20"/>
          <w:szCs w:val="20"/>
        </w:rPr>
        <w:t xml:space="preserve">a los derechos a las garantías judiciales, </w:t>
      </w:r>
      <w:r w:rsidR="00792C2D" w:rsidRPr="00ED541F">
        <w:rPr>
          <w:sz w:val="20"/>
          <w:szCs w:val="20"/>
        </w:rPr>
        <w:t xml:space="preserve">al </w:t>
      </w:r>
      <w:r w:rsidRPr="00ED541F">
        <w:rPr>
          <w:sz w:val="20"/>
          <w:szCs w:val="20"/>
        </w:rPr>
        <w:t xml:space="preserve">principio de legalidad, </w:t>
      </w:r>
      <w:proofErr w:type="gramStart"/>
      <w:r w:rsidR="00792C2D" w:rsidRPr="00ED541F">
        <w:rPr>
          <w:sz w:val="20"/>
          <w:szCs w:val="20"/>
        </w:rPr>
        <w:t>y  a</w:t>
      </w:r>
      <w:proofErr w:type="gramEnd"/>
      <w:r w:rsidR="00792C2D" w:rsidRPr="00ED541F">
        <w:rPr>
          <w:sz w:val="20"/>
          <w:szCs w:val="20"/>
        </w:rPr>
        <w:t xml:space="preserve"> la </w:t>
      </w:r>
      <w:r w:rsidRPr="00ED541F">
        <w:rPr>
          <w:sz w:val="20"/>
          <w:szCs w:val="20"/>
        </w:rPr>
        <w:t xml:space="preserve">protección judicial, establecidos en los artículos 8, 9 y 25 en relación con las obligaciones establecidas en los artículos 1.1 y 2 de la Convención Americana.  </w:t>
      </w:r>
    </w:p>
    <w:p w14:paraId="6A40E914" w14:textId="77777777" w:rsidR="003F4303" w:rsidRPr="00ED541F" w:rsidRDefault="003F4303"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lang w:val="es-VE"/>
        </w:rPr>
      </w:pPr>
    </w:p>
    <w:p w14:paraId="573AA0DF" w14:textId="77777777" w:rsidR="00F03CA0" w:rsidRPr="00ED541F" w:rsidRDefault="0026274B" w:rsidP="00284AF8">
      <w:pPr>
        <w:pStyle w:val="Heading1"/>
        <w:numPr>
          <w:ilvl w:val="0"/>
          <w:numId w:val="69"/>
        </w:numPr>
        <w:spacing w:before="0"/>
        <w:ind w:left="720" w:firstLine="0"/>
        <w:rPr>
          <w:rFonts w:ascii="Cambria" w:hAnsi="Cambria"/>
          <w:color w:val="auto"/>
          <w:sz w:val="20"/>
          <w:szCs w:val="20"/>
          <w:lang w:val="es-VE" w:eastAsia="en-US"/>
        </w:rPr>
      </w:pPr>
      <w:bookmarkStart w:id="23" w:name="_Toc505243730"/>
      <w:bookmarkStart w:id="24" w:name="_Toc531880969"/>
      <w:r w:rsidRPr="00ED541F">
        <w:rPr>
          <w:rFonts w:ascii="Cambria" w:hAnsi="Cambria"/>
          <w:color w:val="auto"/>
          <w:sz w:val="20"/>
          <w:szCs w:val="20"/>
          <w:lang w:val="es-VE" w:eastAsia="en-US"/>
        </w:rPr>
        <w:t>DETERMINACIONES DE HECHO</w:t>
      </w:r>
      <w:bookmarkEnd w:id="23"/>
      <w:bookmarkEnd w:id="24"/>
    </w:p>
    <w:p w14:paraId="7F3A6778" w14:textId="77777777" w:rsidR="0026274B" w:rsidRPr="00ED541F" w:rsidRDefault="0026274B" w:rsidP="00284AF8">
      <w:pPr>
        <w:jc w:val="both"/>
        <w:rPr>
          <w:lang w:val="es-US"/>
        </w:rPr>
      </w:pPr>
    </w:p>
    <w:p w14:paraId="7EA06C56" w14:textId="77777777" w:rsidR="0003302F" w:rsidRPr="00ED541F" w:rsidRDefault="0003302F" w:rsidP="00284AF8">
      <w:pPr>
        <w:pStyle w:val="Heading2"/>
        <w:numPr>
          <w:ilvl w:val="0"/>
          <w:numId w:val="57"/>
        </w:numPr>
        <w:spacing w:before="0" w:after="0"/>
        <w:ind w:left="1440" w:hanging="720"/>
        <w:jc w:val="both"/>
        <w:rPr>
          <w:rFonts w:asciiTheme="majorHAnsi" w:hAnsiTheme="majorHAnsi"/>
          <w:i w:val="0"/>
          <w:sz w:val="20"/>
          <w:szCs w:val="20"/>
          <w:lang w:val="es-VE"/>
        </w:rPr>
      </w:pPr>
      <w:bookmarkStart w:id="25" w:name="_Toc505243731"/>
      <w:bookmarkStart w:id="26" w:name="_Toc531880970"/>
      <w:r w:rsidRPr="00ED541F">
        <w:rPr>
          <w:rFonts w:asciiTheme="majorHAnsi" w:hAnsiTheme="majorHAnsi"/>
          <w:i w:val="0"/>
          <w:sz w:val="20"/>
          <w:szCs w:val="20"/>
          <w:lang w:val="es-VE"/>
        </w:rPr>
        <w:t xml:space="preserve">Sobre </w:t>
      </w:r>
      <w:proofErr w:type="spellStart"/>
      <w:r w:rsidRPr="00ED541F">
        <w:rPr>
          <w:rFonts w:asciiTheme="majorHAnsi" w:hAnsiTheme="majorHAnsi"/>
          <w:i w:val="0"/>
          <w:sz w:val="20"/>
          <w:szCs w:val="20"/>
          <w:lang w:val="es-VE"/>
        </w:rPr>
        <w:t>Victor</w:t>
      </w:r>
      <w:proofErr w:type="spellEnd"/>
      <w:r w:rsidRPr="00ED541F">
        <w:rPr>
          <w:rFonts w:asciiTheme="majorHAnsi" w:hAnsiTheme="majorHAnsi"/>
          <w:i w:val="0"/>
          <w:sz w:val="20"/>
          <w:szCs w:val="20"/>
          <w:lang w:val="es-VE"/>
        </w:rPr>
        <w:t xml:space="preserve"> Henry Mina Cuero</w:t>
      </w:r>
      <w:bookmarkEnd w:id="25"/>
      <w:bookmarkEnd w:id="26"/>
      <w:r w:rsidRPr="00ED541F">
        <w:rPr>
          <w:rFonts w:asciiTheme="majorHAnsi" w:hAnsiTheme="majorHAnsi"/>
          <w:i w:val="0"/>
          <w:sz w:val="20"/>
          <w:szCs w:val="20"/>
          <w:lang w:val="es-VE"/>
        </w:rPr>
        <w:t xml:space="preserve"> </w:t>
      </w:r>
    </w:p>
    <w:p w14:paraId="6B692849" w14:textId="77777777" w:rsidR="0003302F" w:rsidRPr="00ED541F" w:rsidRDefault="0003302F" w:rsidP="00284AF8">
      <w:pPr>
        <w:jc w:val="both"/>
        <w:rPr>
          <w:lang w:val="es-VE"/>
        </w:rPr>
      </w:pPr>
    </w:p>
    <w:p w14:paraId="3C3B5AE7" w14:textId="01D4945E" w:rsidR="0003302F" w:rsidRPr="00ED541F" w:rsidRDefault="0003302F"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sz w:val="20"/>
          <w:szCs w:val="20"/>
        </w:rPr>
      </w:pPr>
      <w:r w:rsidRPr="00ED541F">
        <w:rPr>
          <w:sz w:val="20"/>
          <w:szCs w:val="20"/>
        </w:rPr>
        <w:t xml:space="preserve">Según consta en el expediente, </w:t>
      </w:r>
      <w:r w:rsidR="005C015C" w:rsidRPr="00ED541F">
        <w:rPr>
          <w:sz w:val="20"/>
          <w:szCs w:val="20"/>
        </w:rPr>
        <w:t>la presunta víctima se desempeñó</w:t>
      </w:r>
      <w:r w:rsidRPr="00ED541F">
        <w:rPr>
          <w:sz w:val="20"/>
          <w:szCs w:val="20"/>
        </w:rPr>
        <w:t xml:space="preserve"> como miembro de la </w:t>
      </w:r>
      <w:r w:rsidR="009A61B5" w:rsidRPr="00ED541F">
        <w:rPr>
          <w:sz w:val="20"/>
          <w:szCs w:val="20"/>
        </w:rPr>
        <w:t>Policía</w:t>
      </w:r>
      <w:r w:rsidRPr="00ED541F">
        <w:rPr>
          <w:sz w:val="20"/>
          <w:szCs w:val="20"/>
        </w:rPr>
        <w:t xml:space="preserve"> Nacional de Ecuador desde el </w:t>
      </w:r>
      <w:r w:rsidR="001452C4" w:rsidRPr="00ED541F">
        <w:rPr>
          <w:sz w:val="20"/>
          <w:szCs w:val="20"/>
        </w:rPr>
        <w:t>1</w:t>
      </w:r>
      <w:r w:rsidRPr="00ED541F">
        <w:rPr>
          <w:sz w:val="20"/>
          <w:szCs w:val="20"/>
        </w:rPr>
        <w:t xml:space="preserve"> de abril de 1993</w:t>
      </w:r>
      <w:r w:rsidR="009A61B5" w:rsidRPr="00ED541F">
        <w:rPr>
          <w:sz w:val="20"/>
          <w:szCs w:val="20"/>
        </w:rPr>
        <w:t xml:space="preserve"> hasta</w:t>
      </w:r>
      <w:r w:rsidR="005C015C" w:rsidRPr="00ED541F">
        <w:rPr>
          <w:sz w:val="20"/>
          <w:szCs w:val="20"/>
        </w:rPr>
        <w:t xml:space="preserve"> su destitución en</w:t>
      </w:r>
      <w:r w:rsidR="009A61B5" w:rsidRPr="00ED541F">
        <w:rPr>
          <w:sz w:val="20"/>
          <w:szCs w:val="20"/>
        </w:rPr>
        <w:t xml:space="preserve"> el 2000</w:t>
      </w:r>
      <w:r w:rsidRPr="00ED541F">
        <w:rPr>
          <w:sz w:val="20"/>
          <w:szCs w:val="20"/>
        </w:rPr>
        <w:t>, es decir</w:t>
      </w:r>
      <w:r w:rsidR="00C27D9E" w:rsidRPr="00ED541F">
        <w:rPr>
          <w:sz w:val="20"/>
          <w:szCs w:val="20"/>
        </w:rPr>
        <w:t>,</w:t>
      </w:r>
      <w:r w:rsidRPr="00ED541F">
        <w:rPr>
          <w:sz w:val="20"/>
          <w:szCs w:val="20"/>
        </w:rPr>
        <w:t xml:space="preserve"> por u</w:t>
      </w:r>
      <w:r w:rsidR="005C015C" w:rsidRPr="00ED541F">
        <w:rPr>
          <w:sz w:val="20"/>
          <w:szCs w:val="20"/>
        </w:rPr>
        <w:t>n periodo de servicio de más de 7 años y 7 meses</w:t>
      </w:r>
      <w:r w:rsidRPr="00ED541F">
        <w:rPr>
          <w:sz w:val="20"/>
          <w:szCs w:val="20"/>
          <w:vertAlign w:val="superscript"/>
        </w:rPr>
        <w:footnoteReference w:id="3"/>
      </w:r>
      <w:r w:rsidRPr="00ED541F">
        <w:rPr>
          <w:sz w:val="20"/>
          <w:szCs w:val="20"/>
        </w:rPr>
        <w:t>.</w:t>
      </w:r>
    </w:p>
    <w:p w14:paraId="4C1B166D" w14:textId="77777777" w:rsidR="007473DF" w:rsidRPr="00ED541F" w:rsidRDefault="007473DF"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Times New Roman"/>
          <w:color w:val="000000" w:themeColor="text1"/>
          <w:lang w:val="es-AR"/>
        </w:rPr>
      </w:pPr>
    </w:p>
    <w:p w14:paraId="46382A84" w14:textId="77777777" w:rsidR="0026274B" w:rsidRPr="00ED541F" w:rsidRDefault="0026274B" w:rsidP="00284AF8">
      <w:pPr>
        <w:pStyle w:val="Heading2"/>
        <w:numPr>
          <w:ilvl w:val="0"/>
          <w:numId w:val="57"/>
        </w:numPr>
        <w:spacing w:before="0" w:after="0"/>
        <w:ind w:left="1440" w:hanging="720"/>
        <w:jc w:val="both"/>
        <w:rPr>
          <w:rFonts w:asciiTheme="majorHAnsi" w:hAnsiTheme="majorHAnsi"/>
          <w:sz w:val="20"/>
          <w:szCs w:val="20"/>
          <w:lang w:val="es-US"/>
        </w:rPr>
      </w:pPr>
      <w:bookmarkStart w:id="27" w:name="_Toc505243732"/>
      <w:bookmarkStart w:id="28" w:name="_Toc531880971"/>
      <w:r w:rsidRPr="00ED541F">
        <w:rPr>
          <w:rFonts w:asciiTheme="majorHAnsi" w:hAnsiTheme="majorHAnsi" w:cs="Times New Roman"/>
          <w:bCs w:val="0"/>
          <w:i w:val="0"/>
          <w:iCs w:val="0"/>
          <w:sz w:val="20"/>
          <w:szCs w:val="20"/>
          <w:lang w:val="es-ES_tradnl"/>
        </w:rPr>
        <w:t>Marco</w:t>
      </w:r>
      <w:r w:rsidRPr="00ED541F">
        <w:rPr>
          <w:rFonts w:asciiTheme="majorHAnsi" w:hAnsiTheme="majorHAnsi"/>
          <w:i w:val="0"/>
          <w:sz w:val="20"/>
          <w:szCs w:val="20"/>
          <w:lang w:val="es-US"/>
        </w:rPr>
        <w:t xml:space="preserve"> normativo relevante</w:t>
      </w:r>
      <w:bookmarkEnd w:id="27"/>
      <w:bookmarkEnd w:id="28"/>
    </w:p>
    <w:p w14:paraId="73C3D866" w14:textId="77777777" w:rsidR="0026274B" w:rsidRPr="00ED541F" w:rsidRDefault="0026274B" w:rsidP="00284AF8">
      <w:pPr>
        <w:ind w:left="630"/>
        <w:jc w:val="both"/>
        <w:rPr>
          <w:color w:val="000000" w:themeColor="text1"/>
          <w:lang w:val="es-CO"/>
        </w:rPr>
      </w:pPr>
    </w:p>
    <w:p w14:paraId="3B51C813" w14:textId="77777777" w:rsidR="003F4303" w:rsidRPr="00ED541F" w:rsidRDefault="00B65C19"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color w:val="000000" w:themeColor="text1"/>
          <w:sz w:val="20"/>
          <w:szCs w:val="20"/>
          <w:lang w:val="es-CO"/>
        </w:rPr>
      </w:pPr>
      <w:r w:rsidRPr="00ED541F">
        <w:rPr>
          <w:color w:val="000000" w:themeColor="text1"/>
          <w:sz w:val="20"/>
          <w:szCs w:val="20"/>
          <w:lang w:val="es-CO"/>
        </w:rPr>
        <w:t>El</w:t>
      </w:r>
      <w:r w:rsidR="0026274B" w:rsidRPr="00ED541F">
        <w:rPr>
          <w:color w:val="000000" w:themeColor="text1"/>
          <w:sz w:val="20"/>
          <w:szCs w:val="20"/>
          <w:lang w:val="es-CO"/>
        </w:rPr>
        <w:t xml:space="preserve"> artículo 234 </w:t>
      </w:r>
      <w:proofErr w:type="gramStart"/>
      <w:r w:rsidR="0026274B" w:rsidRPr="00ED541F">
        <w:rPr>
          <w:color w:val="000000" w:themeColor="text1"/>
          <w:sz w:val="20"/>
          <w:szCs w:val="20"/>
          <w:lang w:val="es-CO"/>
        </w:rPr>
        <w:t xml:space="preserve">del </w:t>
      </w:r>
      <w:r w:rsidRPr="00ED541F">
        <w:rPr>
          <w:color w:val="000000" w:themeColor="text1"/>
          <w:sz w:val="20"/>
          <w:szCs w:val="20"/>
          <w:lang w:val="es-CO"/>
        </w:rPr>
        <w:t xml:space="preserve"> </w:t>
      </w:r>
      <w:r w:rsidR="009A61B5" w:rsidRPr="00ED541F">
        <w:rPr>
          <w:color w:val="000000" w:themeColor="text1"/>
          <w:sz w:val="20"/>
          <w:szCs w:val="20"/>
          <w:lang w:val="es-CO"/>
        </w:rPr>
        <w:t>Código</w:t>
      </w:r>
      <w:proofErr w:type="gramEnd"/>
      <w:r w:rsidRPr="00ED541F">
        <w:rPr>
          <w:color w:val="000000" w:themeColor="text1"/>
          <w:sz w:val="20"/>
          <w:szCs w:val="20"/>
          <w:lang w:val="es-CO"/>
        </w:rPr>
        <w:t xml:space="preserve"> de Procedimiento Penal de la </w:t>
      </w:r>
      <w:r w:rsidR="009A61B5" w:rsidRPr="00ED541F">
        <w:rPr>
          <w:color w:val="000000" w:themeColor="text1"/>
          <w:sz w:val="20"/>
          <w:szCs w:val="20"/>
          <w:lang w:val="es-CO"/>
        </w:rPr>
        <w:t>Policía</w:t>
      </w:r>
      <w:r w:rsidRPr="00ED541F">
        <w:rPr>
          <w:color w:val="000000" w:themeColor="text1"/>
          <w:sz w:val="20"/>
          <w:szCs w:val="20"/>
          <w:lang w:val="es-CO"/>
        </w:rPr>
        <w:t xml:space="preserve"> Civil Nacional establecía:</w:t>
      </w:r>
    </w:p>
    <w:p w14:paraId="4B756707" w14:textId="77777777" w:rsidR="003F4303" w:rsidRPr="00ED541F" w:rsidRDefault="003F4303"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color w:val="000000" w:themeColor="text1"/>
          <w:sz w:val="20"/>
          <w:szCs w:val="20"/>
          <w:lang w:val="es-CO"/>
        </w:rPr>
      </w:pPr>
    </w:p>
    <w:p w14:paraId="71FE677C" w14:textId="77777777" w:rsidR="003F4303" w:rsidRPr="00ED541F" w:rsidRDefault="0026274B" w:rsidP="00D70A2A">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lastRenderedPageBreak/>
        <w:t>El juzgamiento y la represión de las faltas disciplinarias, con excepción de las que sean de competencia privativa del Tribunal de Disciplina, se hará de plano, sin más formalidades que la orden respectiva.</w:t>
      </w:r>
    </w:p>
    <w:p w14:paraId="47D4E81F" w14:textId="77777777" w:rsidR="003F4303" w:rsidRPr="00ED541F" w:rsidRDefault="003F4303"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color w:val="000000" w:themeColor="text1"/>
          <w:sz w:val="20"/>
          <w:szCs w:val="20"/>
          <w:lang w:val="es-CO"/>
        </w:rPr>
      </w:pPr>
    </w:p>
    <w:p w14:paraId="4DD9D2A4" w14:textId="77777777" w:rsidR="003F4303" w:rsidRPr="00ED541F" w:rsidRDefault="0003302F" w:rsidP="00284AF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29"/>
        </w:tabs>
        <w:ind w:left="0" w:firstLine="720"/>
        <w:jc w:val="both"/>
        <w:rPr>
          <w:color w:val="000000" w:themeColor="text1"/>
          <w:sz w:val="20"/>
          <w:szCs w:val="20"/>
          <w:lang w:val="es-CO"/>
        </w:rPr>
      </w:pPr>
      <w:r w:rsidRPr="00ED541F">
        <w:rPr>
          <w:color w:val="000000" w:themeColor="text1"/>
          <w:sz w:val="20"/>
          <w:szCs w:val="20"/>
          <w:lang w:val="es-CO"/>
        </w:rPr>
        <w:t xml:space="preserve">Asimismo, el Reglamento de Disciplina de la Policía Nacional </w:t>
      </w:r>
      <w:r w:rsidR="005C015C" w:rsidRPr="00ED541F">
        <w:rPr>
          <w:color w:val="000000" w:themeColor="text1"/>
          <w:sz w:val="20"/>
          <w:szCs w:val="20"/>
          <w:lang w:val="es-CO"/>
        </w:rPr>
        <w:t>establecía</w:t>
      </w:r>
      <w:r w:rsidRPr="00ED541F">
        <w:rPr>
          <w:color w:val="000000" w:themeColor="text1"/>
          <w:sz w:val="20"/>
          <w:szCs w:val="20"/>
          <w:lang w:val="es-CO"/>
        </w:rPr>
        <w:t xml:space="preserve"> en lo pertinente:</w:t>
      </w:r>
    </w:p>
    <w:p w14:paraId="3872AE34" w14:textId="77777777" w:rsidR="003F4303" w:rsidRPr="00ED541F" w:rsidRDefault="003F4303" w:rsidP="00284AF8">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firstLine="0"/>
        <w:jc w:val="both"/>
        <w:rPr>
          <w:color w:val="000000" w:themeColor="text1"/>
          <w:sz w:val="20"/>
          <w:szCs w:val="20"/>
          <w:lang w:val="es-CO"/>
        </w:rPr>
      </w:pPr>
    </w:p>
    <w:p w14:paraId="2291C574" w14:textId="77777777" w:rsidR="003F4303" w:rsidRPr="00ED541F" w:rsidRDefault="0003302F"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A</w:t>
      </w:r>
      <w:r w:rsidR="0026274B" w:rsidRPr="00ED541F">
        <w:rPr>
          <w:color w:val="000000" w:themeColor="text1"/>
          <w:sz w:val="20"/>
          <w:szCs w:val="20"/>
          <w:lang w:val="es-CO"/>
        </w:rPr>
        <w:t>rtículo 17</w:t>
      </w:r>
      <w:r w:rsidR="00A46932" w:rsidRPr="00ED541F">
        <w:rPr>
          <w:color w:val="000000" w:themeColor="text1"/>
          <w:sz w:val="20"/>
          <w:szCs w:val="20"/>
          <w:lang w:val="es-CO"/>
        </w:rPr>
        <w:t>.</w:t>
      </w:r>
      <w:r w:rsidR="0026274B" w:rsidRPr="00ED541F">
        <w:rPr>
          <w:color w:val="000000" w:themeColor="text1"/>
          <w:sz w:val="20"/>
          <w:szCs w:val="20"/>
          <w:lang w:val="es-CO"/>
        </w:rPr>
        <w:t xml:space="preserve"> La competencia para el juzgamiento y sanción de faltas de tercera </w:t>
      </w:r>
      <w:proofErr w:type="gramStart"/>
      <w:r w:rsidR="0026274B" w:rsidRPr="00ED541F">
        <w:rPr>
          <w:color w:val="000000" w:themeColor="text1"/>
          <w:sz w:val="20"/>
          <w:szCs w:val="20"/>
          <w:lang w:val="es-CO"/>
        </w:rPr>
        <w:t>clase,</w:t>
      </w:r>
      <w:proofErr w:type="gramEnd"/>
      <w:r w:rsidR="0026274B" w:rsidRPr="00ED541F">
        <w:rPr>
          <w:color w:val="000000" w:themeColor="text1"/>
          <w:sz w:val="20"/>
          <w:szCs w:val="20"/>
          <w:lang w:val="es-CO"/>
        </w:rPr>
        <w:t xml:space="preserve"> corresponde exclusivamente al Tribunal de Disciplina, acorde con las normas establecidas en este mismo Reglamento.</w:t>
      </w:r>
    </w:p>
    <w:p w14:paraId="4D50AE55" w14:textId="77777777" w:rsidR="003F4303" w:rsidRPr="00ED541F" w:rsidRDefault="003F4303"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p>
    <w:p w14:paraId="2B3CDFC0" w14:textId="77777777" w:rsidR="003F4303" w:rsidRPr="00ED541F" w:rsidRDefault="00A46932"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Artículo 63.</w:t>
      </w:r>
      <w:r w:rsidR="0026274B" w:rsidRPr="00ED541F">
        <w:rPr>
          <w:color w:val="000000" w:themeColor="text1"/>
          <w:sz w:val="20"/>
          <w:szCs w:val="20"/>
          <w:lang w:val="es-CO"/>
        </w:rPr>
        <w:t xml:space="preserve"> Quienes incurran en faltas atentatorias o de tercera clase serán sancionados con destitución o baja, arresto de 31 a 60 días, o fajina de 21 a 30 días, o represión severa.</w:t>
      </w:r>
      <w:r w:rsidR="005C015C" w:rsidRPr="00ED541F">
        <w:rPr>
          <w:color w:val="000000" w:themeColor="text1"/>
          <w:sz w:val="20"/>
          <w:szCs w:val="20"/>
          <w:lang w:val="es-CO"/>
        </w:rPr>
        <w:t xml:space="preserve"> </w:t>
      </w:r>
      <w:r w:rsidR="0026274B" w:rsidRPr="00ED541F">
        <w:rPr>
          <w:color w:val="000000" w:themeColor="text1"/>
          <w:sz w:val="20"/>
          <w:szCs w:val="20"/>
          <w:lang w:val="es-CO"/>
        </w:rPr>
        <w:t>Las faltas de tercera clase serán de exclusiva competencia del Tribunal de Disciplina.</w:t>
      </w:r>
      <w:r w:rsidRPr="00ED541F" w:rsidDel="00A46932">
        <w:rPr>
          <w:color w:val="000000" w:themeColor="text1"/>
          <w:sz w:val="20"/>
          <w:szCs w:val="20"/>
          <w:lang w:val="es-CO"/>
        </w:rPr>
        <w:t xml:space="preserve"> </w:t>
      </w:r>
    </w:p>
    <w:p w14:paraId="59609FAA" w14:textId="77777777" w:rsidR="003F4303" w:rsidRPr="00ED541F" w:rsidRDefault="003F4303"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p>
    <w:p w14:paraId="6ADA3192" w14:textId="77777777" w:rsidR="003F4303" w:rsidRPr="00ED541F" w:rsidRDefault="0026274B"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bCs/>
          <w:color w:val="000000" w:themeColor="text1"/>
          <w:sz w:val="20"/>
          <w:szCs w:val="20"/>
          <w:lang w:val="es-CO"/>
        </w:rPr>
      </w:pPr>
      <w:r w:rsidRPr="00ED541F">
        <w:rPr>
          <w:bCs/>
          <w:color w:val="000000" w:themeColor="text1"/>
          <w:sz w:val="20"/>
          <w:szCs w:val="20"/>
          <w:lang w:val="es-CO"/>
        </w:rPr>
        <w:t>Art. 64.- Constituyen faltas atentatorias o de tercera clase:</w:t>
      </w:r>
    </w:p>
    <w:p w14:paraId="4FAC8EB2" w14:textId="77777777" w:rsidR="003F4303" w:rsidRPr="00ED541F" w:rsidRDefault="003F4303"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bCs/>
          <w:color w:val="000000" w:themeColor="text1"/>
          <w:sz w:val="20"/>
          <w:szCs w:val="20"/>
          <w:lang w:val="es-CO"/>
        </w:rPr>
      </w:pPr>
    </w:p>
    <w:p w14:paraId="29EB28CB" w14:textId="17248919" w:rsidR="003F4303" w:rsidRPr="00ED541F" w:rsidRDefault="000F5CA0"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bCs/>
          <w:color w:val="000000" w:themeColor="text1"/>
          <w:sz w:val="20"/>
          <w:szCs w:val="20"/>
          <w:lang w:val="es-CO"/>
        </w:rPr>
        <w:t>(…)</w:t>
      </w:r>
      <w:r w:rsidR="00A86E78" w:rsidRPr="00ED541F">
        <w:rPr>
          <w:bCs/>
          <w:color w:val="000000" w:themeColor="text1"/>
          <w:sz w:val="20"/>
          <w:szCs w:val="20"/>
          <w:lang w:val="es-CO"/>
        </w:rPr>
        <w:t xml:space="preserve"> </w:t>
      </w:r>
      <w:r w:rsidR="0026274B" w:rsidRPr="00ED541F">
        <w:rPr>
          <w:color w:val="000000" w:themeColor="text1"/>
          <w:sz w:val="20"/>
          <w:szCs w:val="20"/>
          <w:lang w:val="es-CO"/>
        </w:rPr>
        <w:t>5. Los que ejecutaren cualquier acto que revele falta de consideración y respeto al superior, dentro o fuera del servicio;</w:t>
      </w:r>
    </w:p>
    <w:p w14:paraId="3D88BD53" w14:textId="77777777" w:rsidR="003F4303" w:rsidRPr="00ED541F" w:rsidRDefault="003F4303"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p>
    <w:p w14:paraId="41D4013A" w14:textId="77777777" w:rsidR="003F4303" w:rsidRPr="00ED541F" w:rsidRDefault="0026274B"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26. Realizar actos de manifiesta violencia o indisciplina contra un superior siempre que</w:t>
      </w:r>
      <w:r w:rsidR="000F5CA0" w:rsidRPr="00ED541F">
        <w:rPr>
          <w:color w:val="000000" w:themeColor="text1"/>
          <w:sz w:val="20"/>
          <w:szCs w:val="20"/>
          <w:lang w:val="es-CO"/>
        </w:rPr>
        <w:t xml:space="preserve"> el hecho no constituya delito;</w:t>
      </w:r>
    </w:p>
    <w:p w14:paraId="7D3FF35F" w14:textId="77777777" w:rsidR="003F4303" w:rsidRPr="00ED541F" w:rsidRDefault="003F4303"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p>
    <w:p w14:paraId="19687388" w14:textId="77777777" w:rsidR="003F4303" w:rsidRPr="00ED541F" w:rsidRDefault="0026274B"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Artículo 30.- Para los mismos efectos de graduación de la sanción disciplinaria,</w:t>
      </w:r>
      <w:r w:rsidR="000F5CA0" w:rsidRPr="00ED541F">
        <w:rPr>
          <w:color w:val="000000" w:themeColor="text1"/>
          <w:sz w:val="20"/>
          <w:szCs w:val="20"/>
          <w:lang w:val="es-CO"/>
        </w:rPr>
        <w:t xml:space="preserve"> son circunstancias agravantes:</w:t>
      </w:r>
    </w:p>
    <w:p w14:paraId="17FEDD92" w14:textId="77777777" w:rsidR="00C27D9E" w:rsidRPr="00ED541F" w:rsidRDefault="00C27D9E"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p>
    <w:p w14:paraId="5724F129" w14:textId="77777777" w:rsidR="003F4303" w:rsidRPr="00ED541F" w:rsidRDefault="0026274B"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c) Que el hecho se haya ejecutado en presencia del personal, de tal manera que pueda considerarse como mal ejemplo en el mantenimient</w:t>
      </w:r>
      <w:r w:rsidR="000F5CA0" w:rsidRPr="00ED541F">
        <w:rPr>
          <w:color w:val="000000" w:themeColor="text1"/>
          <w:sz w:val="20"/>
          <w:szCs w:val="20"/>
          <w:lang w:val="es-CO"/>
        </w:rPr>
        <w:t>o del orden y de la disciplina;</w:t>
      </w:r>
    </w:p>
    <w:p w14:paraId="4BDB90C8" w14:textId="77777777" w:rsidR="00B22A19" w:rsidRPr="00ED541F" w:rsidRDefault="0026274B"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 xml:space="preserve">d) El ser reincidente en el cometimiento de faltas </w:t>
      </w:r>
      <w:proofErr w:type="gramStart"/>
      <w:r w:rsidRPr="00ED541F">
        <w:rPr>
          <w:color w:val="000000" w:themeColor="text1"/>
          <w:sz w:val="20"/>
          <w:szCs w:val="20"/>
          <w:lang w:val="es-CO"/>
        </w:rPr>
        <w:t>en rela</w:t>
      </w:r>
      <w:r w:rsidR="000F5CA0" w:rsidRPr="00ED541F">
        <w:rPr>
          <w:color w:val="000000" w:themeColor="text1"/>
          <w:sz w:val="20"/>
          <w:szCs w:val="20"/>
          <w:lang w:val="es-CO"/>
        </w:rPr>
        <w:t>ción al</w:t>
      </w:r>
      <w:proofErr w:type="gramEnd"/>
      <w:r w:rsidR="000F5CA0" w:rsidRPr="00ED541F">
        <w:rPr>
          <w:color w:val="000000" w:themeColor="text1"/>
          <w:sz w:val="20"/>
          <w:szCs w:val="20"/>
          <w:lang w:val="es-CO"/>
        </w:rPr>
        <w:t xml:space="preserve"> tiempo y a la gravedad;</w:t>
      </w:r>
      <w:r w:rsidR="003F4303" w:rsidRPr="00ED541F">
        <w:rPr>
          <w:color w:val="000000" w:themeColor="text1"/>
          <w:sz w:val="20"/>
          <w:szCs w:val="20"/>
          <w:lang w:val="es-CO"/>
        </w:rPr>
        <w:t xml:space="preserve"> </w:t>
      </w:r>
    </w:p>
    <w:p w14:paraId="3F449A0C" w14:textId="414E26EB" w:rsidR="003D3FE4" w:rsidRPr="00ED541F" w:rsidRDefault="0026274B"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m) Cualquier otra circunstancia que a juicio del sup</w:t>
      </w:r>
      <w:r w:rsidR="004C4393" w:rsidRPr="00ED541F">
        <w:rPr>
          <w:color w:val="000000" w:themeColor="text1"/>
          <w:sz w:val="20"/>
          <w:szCs w:val="20"/>
          <w:lang w:val="es-CO"/>
        </w:rPr>
        <w:t xml:space="preserve">erior aumente la gravedad de la </w:t>
      </w:r>
      <w:r w:rsidRPr="00ED541F">
        <w:rPr>
          <w:color w:val="000000" w:themeColor="text1"/>
          <w:sz w:val="20"/>
          <w:szCs w:val="20"/>
          <w:lang w:val="es-CO"/>
        </w:rPr>
        <w:t>falta o haga presumir l</w:t>
      </w:r>
      <w:r w:rsidR="000F5CA0" w:rsidRPr="00ED541F">
        <w:rPr>
          <w:color w:val="000000" w:themeColor="text1"/>
          <w:sz w:val="20"/>
          <w:szCs w:val="20"/>
          <w:lang w:val="es-CO"/>
        </w:rPr>
        <w:t xml:space="preserve">a peligrosidad del sancionado. </w:t>
      </w:r>
    </w:p>
    <w:p w14:paraId="45D68444" w14:textId="77777777" w:rsidR="003D3FE4" w:rsidRPr="00ED541F" w:rsidRDefault="003D3FE4"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p>
    <w:p w14:paraId="519D1099" w14:textId="77777777" w:rsidR="00A46932" w:rsidRPr="00ED541F" w:rsidRDefault="0026274B" w:rsidP="00C27D9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firstLine="0"/>
        <w:jc w:val="both"/>
        <w:rPr>
          <w:color w:val="000000" w:themeColor="text1"/>
          <w:sz w:val="20"/>
          <w:szCs w:val="20"/>
          <w:lang w:val="es-CO"/>
        </w:rPr>
      </w:pPr>
      <w:r w:rsidRPr="00ED541F">
        <w:rPr>
          <w:color w:val="000000" w:themeColor="text1"/>
          <w:sz w:val="20"/>
          <w:szCs w:val="20"/>
          <w:lang w:val="es-CO"/>
        </w:rPr>
        <w:t xml:space="preserve">Artículo 84.- Se podrá reclamar de las sanciones impuestas por faltas, excepto de las impuestas en sentencia del Tribunal de Disciplina o en orden del </w:t>
      </w:r>
      <w:proofErr w:type="gramStart"/>
      <w:r w:rsidRPr="00ED541F">
        <w:rPr>
          <w:color w:val="000000" w:themeColor="text1"/>
          <w:sz w:val="20"/>
          <w:szCs w:val="20"/>
          <w:lang w:val="es-CO"/>
        </w:rPr>
        <w:t>Presidente</w:t>
      </w:r>
      <w:proofErr w:type="gramEnd"/>
      <w:r w:rsidRPr="00ED541F">
        <w:rPr>
          <w:color w:val="000000" w:themeColor="text1"/>
          <w:sz w:val="20"/>
          <w:szCs w:val="20"/>
          <w:lang w:val="es-CO"/>
        </w:rPr>
        <w:t xml:space="preserve"> de la República.</w:t>
      </w:r>
    </w:p>
    <w:p w14:paraId="1192AD01" w14:textId="3AA8A2A2" w:rsidR="00B36B37" w:rsidRPr="00ED541F" w:rsidRDefault="00C27D9E" w:rsidP="00C27D9E">
      <w:pPr>
        <w:tabs>
          <w:tab w:val="left" w:pos="2520"/>
        </w:tabs>
        <w:autoSpaceDE w:val="0"/>
        <w:autoSpaceDN w:val="0"/>
        <w:adjustRightInd w:val="0"/>
        <w:ind w:left="720"/>
        <w:jc w:val="both"/>
        <w:rPr>
          <w:color w:val="000000" w:themeColor="text1"/>
          <w:lang w:val="es-CO"/>
        </w:rPr>
      </w:pPr>
      <w:r w:rsidRPr="00ED541F">
        <w:rPr>
          <w:color w:val="000000" w:themeColor="text1"/>
          <w:lang w:val="es-CO"/>
        </w:rPr>
        <w:tab/>
      </w:r>
    </w:p>
    <w:p w14:paraId="4303B6A9" w14:textId="77777777" w:rsidR="0066725C" w:rsidRPr="00ED541F" w:rsidRDefault="00A46932"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000000" w:themeColor="text1"/>
          <w:lang w:val="es-CO"/>
        </w:rPr>
      </w:pPr>
      <w:r w:rsidRPr="00ED541F">
        <w:rPr>
          <w:lang w:val="es-US"/>
        </w:rPr>
        <w:t>E</w:t>
      </w:r>
      <w:r w:rsidR="0026274B" w:rsidRPr="00ED541F">
        <w:rPr>
          <w:lang w:val="es-US"/>
        </w:rPr>
        <w:t>l artículo 10 de la Ley de la Jurisdicción de lo Cont</w:t>
      </w:r>
      <w:r w:rsidR="004340DD" w:rsidRPr="00ED541F">
        <w:rPr>
          <w:lang w:val="es-US"/>
        </w:rPr>
        <w:t xml:space="preserve">encioso Administrativo </w:t>
      </w:r>
      <w:r w:rsidR="0026274B" w:rsidRPr="00ED541F">
        <w:rPr>
          <w:lang w:val="es-US"/>
        </w:rPr>
        <w:t xml:space="preserve">estipula que: </w:t>
      </w:r>
    </w:p>
    <w:p w14:paraId="00834D30" w14:textId="77777777" w:rsidR="0066725C" w:rsidRPr="00ED541F" w:rsidRDefault="0066725C" w:rsidP="00284AF8">
      <w:pPr>
        <w:autoSpaceDE w:val="0"/>
        <w:autoSpaceDN w:val="0"/>
        <w:adjustRightInd w:val="0"/>
        <w:ind w:left="630"/>
        <w:jc w:val="both"/>
        <w:rPr>
          <w:color w:val="000000" w:themeColor="text1"/>
          <w:lang w:val="es-CO"/>
        </w:rPr>
      </w:pPr>
    </w:p>
    <w:p w14:paraId="4834CB1B" w14:textId="77777777" w:rsidR="00DD3C74" w:rsidRPr="00ED541F" w:rsidRDefault="0026274B" w:rsidP="00C27D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color w:val="000000" w:themeColor="text1"/>
          <w:lang w:val="es-CO"/>
        </w:rPr>
      </w:pPr>
      <w:r w:rsidRPr="00ED541F">
        <w:rPr>
          <w:bCs/>
          <w:color w:val="000000" w:themeColor="text1"/>
          <w:lang w:val="es-CO"/>
        </w:rPr>
        <w:t>Artículo 10</w:t>
      </w:r>
      <w:r w:rsidR="00DD3C74" w:rsidRPr="00ED541F">
        <w:rPr>
          <w:bCs/>
          <w:color w:val="000000" w:themeColor="text1"/>
          <w:lang w:val="es-CO"/>
        </w:rPr>
        <w:t>.-</w:t>
      </w:r>
      <w:r w:rsidRPr="00ED541F">
        <w:rPr>
          <w:color w:val="000000" w:themeColor="text1"/>
          <w:lang w:val="es-CO"/>
        </w:rPr>
        <w:t xml:space="preserve"> Son atribuciones y deberes </w:t>
      </w:r>
      <w:r w:rsidRPr="00ED541F">
        <w:rPr>
          <w:lang w:val="es-US"/>
        </w:rPr>
        <w:t>jurisdiccionales</w:t>
      </w:r>
      <w:r w:rsidRPr="00ED541F">
        <w:rPr>
          <w:color w:val="000000" w:themeColor="text1"/>
          <w:lang w:val="es-CO"/>
        </w:rPr>
        <w:t xml:space="preserve"> del Tribunal de l</w:t>
      </w:r>
      <w:r w:rsidR="00DD3C74" w:rsidRPr="00ED541F">
        <w:rPr>
          <w:color w:val="000000" w:themeColor="text1"/>
          <w:lang w:val="es-CO"/>
        </w:rPr>
        <w:t>o Contencioso - Administrativo:</w:t>
      </w:r>
    </w:p>
    <w:p w14:paraId="2C60AC25" w14:textId="77777777" w:rsidR="00DD3C74" w:rsidRPr="00ED541F" w:rsidRDefault="00DD3C74" w:rsidP="00C27D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color w:val="000000" w:themeColor="text1"/>
          <w:lang w:val="es-CO"/>
        </w:rPr>
      </w:pPr>
    </w:p>
    <w:p w14:paraId="13B8C483" w14:textId="77777777" w:rsidR="0026274B" w:rsidRPr="00ED541F" w:rsidRDefault="0026274B" w:rsidP="00C27D9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color w:val="000000" w:themeColor="text1"/>
          <w:lang w:val="es-CO"/>
        </w:rPr>
      </w:pPr>
      <w:r w:rsidRPr="00ED541F">
        <w:rPr>
          <w:color w:val="000000" w:themeColor="text1"/>
          <w:lang w:val="es-CO"/>
        </w:rPr>
        <w:t>a) Conocer y resolver en única instancia de las impugnaciones a los r</w:t>
      </w:r>
      <w:r w:rsidR="00DD3C74" w:rsidRPr="00ED541F">
        <w:rPr>
          <w:color w:val="000000" w:themeColor="text1"/>
          <w:lang w:val="es-CO"/>
        </w:rPr>
        <w:t>eglamentos, actos y r</w:t>
      </w:r>
      <w:r w:rsidRPr="00ED541F">
        <w:rPr>
          <w:color w:val="000000" w:themeColor="text1"/>
          <w:lang w:val="es-CO"/>
        </w:rPr>
        <w:t>esoluciones de la Administración Pública, o de las personas semipúblicas o de derecho privado con</w:t>
      </w:r>
      <w:r w:rsidR="00DD3C74" w:rsidRPr="00ED541F">
        <w:rPr>
          <w:color w:val="000000" w:themeColor="text1"/>
          <w:lang w:val="es-CO"/>
        </w:rPr>
        <w:t xml:space="preserve"> f</w:t>
      </w:r>
      <w:r w:rsidRPr="00ED541F">
        <w:rPr>
          <w:color w:val="000000" w:themeColor="text1"/>
          <w:lang w:val="es-CO"/>
        </w:rPr>
        <w:t>inalidad social o pública y decidir acerc</w:t>
      </w:r>
      <w:r w:rsidR="00005F53" w:rsidRPr="00ED541F">
        <w:rPr>
          <w:color w:val="000000" w:themeColor="text1"/>
          <w:lang w:val="es-CO"/>
        </w:rPr>
        <w:t>a de su legalidad o ilegalidad;</w:t>
      </w:r>
    </w:p>
    <w:p w14:paraId="32578A7E" w14:textId="77777777" w:rsidR="0026274B" w:rsidRPr="00ED541F" w:rsidRDefault="0026274B" w:rsidP="00284AF8">
      <w:pPr>
        <w:autoSpaceDE w:val="0"/>
        <w:autoSpaceDN w:val="0"/>
        <w:adjustRightInd w:val="0"/>
        <w:jc w:val="both"/>
        <w:rPr>
          <w:color w:val="000000" w:themeColor="text1"/>
          <w:lang w:val="es-CO"/>
        </w:rPr>
      </w:pPr>
    </w:p>
    <w:p w14:paraId="6368C063" w14:textId="77777777" w:rsidR="0087334E" w:rsidRPr="00ED541F" w:rsidRDefault="007E112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US"/>
        </w:rPr>
      </w:pPr>
      <w:r w:rsidRPr="00ED541F">
        <w:rPr>
          <w:lang w:val="es-US"/>
        </w:rPr>
        <w:t xml:space="preserve">Por su parte, la Ley de Personal de la </w:t>
      </w:r>
      <w:r w:rsidR="009E44DD" w:rsidRPr="00ED541F">
        <w:rPr>
          <w:lang w:val="es-US"/>
        </w:rPr>
        <w:t>Policía</w:t>
      </w:r>
      <w:r w:rsidRPr="00ED541F">
        <w:rPr>
          <w:lang w:val="es-US"/>
        </w:rPr>
        <w:t xml:space="preserve"> Nacional establece:</w:t>
      </w:r>
    </w:p>
    <w:p w14:paraId="44A99425" w14:textId="77777777" w:rsidR="0087334E" w:rsidRPr="00ED541F" w:rsidRDefault="0087334E"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CO"/>
        </w:rPr>
      </w:pPr>
    </w:p>
    <w:p w14:paraId="38A524C9" w14:textId="77777777" w:rsidR="00BC3AB2" w:rsidRPr="00ED541F" w:rsidRDefault="00BC3AB2" w:rsidP="0060233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color w:val="000000" w:themeColor="text1"/>
          <w:lang w:val="es-CO"/>
        </w:rPr>
      </w:pPr>
      <w:r w:rsidRPr="00ED541F">
        <w:rPr>
          <w:color w:val="000000" w:themeColor="text1"/>
          <w:lang w:val="es-CO"/>
        </w:rPr>
        <w:t>Artículo 67.-</w:t>
      </w:r>
      <w:r w:rsidR="0087334E" w:rsidRPr="00ED541F">
        <w:rPr>
          <w:color w:val="000000" w:themeColor="text1"/>
          <w:lang w:val="es-CO"/>
        </w:rPr>
        <w:t xml:space="preserve"> El personal policial que considere que fue colocado en transitoria o dado de baja Ilegalmente, podrá apelar ante el Consejo respectivo en la forma establecida en el artículo 55 de esta Ley, dentro de los 30 días subsiguientes a la publicación del Decreto, Acuerdo o Resolución en la Orden General correspondiente. Los Consejos deberán resolver estos reclamos en el plazo de 30 días.</w:t>
      </w:r>
    </w:p>
    <w:p w14:paraId="32810897" w14:textId="77777777" w:rsidR="00BC3AB2" w:rsidRPr="00ED541F" w:rsidRDefault="00BC3AB2" w:rsidP="0060233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color w:val="000000" w:themeColor="text1"/>
          <w:lang w:val="es-CO"/>
        </w:rPr>
      </w:pPr>
    </w:p>
    <w:p w14:paraId="1B334CF8" w14:textId="77777777" w:rsidR="0087334E" w:rsidRPr="00ED541F" w:rsidRDefault="0087334E" w:rsidP="0060233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color w:val="000000" w:themeColor="text1"/>
          <w:lang w:val="es-CO"/>
        </w:rPr>
      </w:pPr>
      <w:r w:rsidRPr="00ED541F">
        <w:rPr>
          <w:color w:val="000000" w:themeColor="text1"/>
          <w:lang w:val="es-CO"/>
        </w:rPr>
        <w:t>Artículo 55.- Se podrá apelar de las Resoluciones dictadas por los respectivos Consejos.</w:t>
      </w:r>
      <w:r w:rsidR="009E44DD" w:rsidRPr="00ED541F">
        <w:rPr>
          <w:color w:val="000000" w:themeColor="text1"/>
          <w:lang w:val="es-CO"/>
        </w:rPr>
        <w:t xml:space="preserve"> </w:t>
      </w:r>
      <w:r w:rsidRPr="00ED541F">
        <w:rPr>
          <w:color w:val="000000" w:themeColor="text1"/>
          <w:lang w:val="es-CO"/>
        </w:rPr>
        <w:t>Para este efecto constituyen órganos de apelación el Consejo de Generales, en cuanto a las Resoluciones del Consejo Superior, y el Consejo Superior en cuanto a las Resoluciones del Consejo de Clases y Policías.</w:t>
      </w:r>
      <w:r w:rsidRPr="00ED541F" w:rsidDel="0066725C">
        <w:rPr>
          <w:color w:val="000000" w:themeColor="text1"/>
          <w:lang w:val="es-CO"/>
        </w:rPr>
        <w:t xml:space="preserve"> </w:t>
      </w:r>
      <w:r w:rsidRPr="00ED541F">
        <w:rPr>
          <w:color w:val="000000" w:themeColor="text1"/>
          <w:lang w:val="es-CO"/>
        </w:rPr>
        <w:t xml:space="preserve">Los Oficiales Generales y Superiores podrán plantear la </w:t>
      </w:r>
      <w:r w:rsidRPr="00ED541F">
        <w:rPr>
          <w:color w:val="000000" w:themeColor="text1"/>
          <w:lang w:val="es-CO"/>
        </w:rPr>
        <w:lastRenderedPageBreak/>
        <w:t>reconsideración ante el mismo Consejo. Recurso de apelación que se interpondrá en el término de quince días de notificada la Resolución por el correspondiente Consejo, la cual causará ejecutoria.</w:t>
      </w:r>
    </w:p>
    <w:p w14:paraId="1A1C7DD8" w14:textId="77777777" w:rsidR="004F2579" w:rsidRPr="00ED541F" w:rsidRDefault="004F2579"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CO"/>
        </w:rPr>
      </w:pPr>
    </w:p>
    <w:p w14:paraId="52148057" w14:textId="3CADEAED" w:rsidR="002C160E" w:rsidRPr="00ED541F" w:rsidRDefault="002C160E"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b/>
          <w:bCs/>
          <w:lang w:val="es-CO"/>
        </w:rPr>
      </w:pPr>
      <w:r w:rsidRPr="00ED541F">
        <w:rPr>
          <w:lang w:val="es-US"/>
        </w:rPr>
        <w:t>El reglamento a la Ley de Personal de</w:t>
      </w:r>
      <w:r w:rsidR="00570A8D" w:rsidRPr="00ED541F">
        <w:rPr>
          <w:lang w:val="es-US"/>
        </w:rPr>
        <w:t xml:space="preserve"> la</w:t>
      </w:r>
      <w:r w:rsidRPr="00ED541F">
        <w:rPr>
          <w:lang w:val="es-US"/>
        </w:rPr>
        <w:t xml:space="preserve"> Policía Nacional determina: </w:t>
      </w:r>
    </w:p>
    <w:p w14:paraId="778C5E45" w14:textId="77777777" w:rsidR="002C160E" w:rsidRPr="00ED541F" w:rsidRDefault="002C160E" w:rsidP="00284AF8">
      <w:pPr>
        <w:pStyle w:val="ListParagraph"/>
        <w:ind w:left="990"/>
        <w:jc w:val="both"/>
        <w:rPr>
          <w:rFonts w:asciiTheme="majorHAnsi" w:hAnsiTheme="majorHAnsi"/>
          <w:b/>
          <w:bCs/>
          <w:sz w:val="20"/>
          <w:szCs w:val="20"/>
          <w:lang w:val="es-CO"/>
        </w:rPr>
      </w:pPr>
    </w:p>
    <w:p w14:paraId="5F098702" w14:textId="77777777" w:rsidR="002C160E" w:rsidRPr="00ED541F" w:rsidRDefault="002C160E" w:rsidP="00284AF8">
      <w:pPr>
        <w:ind w:left="630"/>
        <w:jc w:val="both"/>
        <w:rPr>
          <w:lang w:val="es-CO"/>
        </w:rPr>
      </w:pPr>
      <w:r w:rsidRPr="00ED541F">
        <w:rPr>
          <w:bCs/>
          <w:lang w:val="es-CO"/>
        </w:rPr>
        <w:t>Artículo 79</w:t>
      </w:r>
      <w:r w:rsidRPr="00ED541F">
        <w:rPr>
          <w:lang w:val="es-CO"/>
        </w:rPr>
        <w:t>.- La baja es irreversible, cualquiera que fuere su causa. Los aspirantes a oficiales y policías se sujetarán a los reglamentos de las respectivas escuelas.</w:t>
      </w:r>
    </w:p>
    <w:p w14:paraId="45986B17" w14:textId="33A14304" w:rsidR="009E44DD" w:rsidRPr="00ED541F" w:rsidRDefault="009E44DD">
      <w:pPr>
        <w:jc w:val="both"/>
      </w:pPr>
    </w:p>
    <w:p w14:paraId="7DA18FF8" w14:textId="77777777" w:rsidR="0087334E" w:rsidRPr="00ED541F" w:rsidRDefault="0087334E" w:rsidP="00284AF8">
      <w:pPr>
        <w:pStyle w:val="Heading2"/>
        <w:numPr>
          <w:ilvl w:val="0"/>
          <w:numId w:val="57"/>
        </w:numPr>
        <w:spacing w:before="0" w:after="0"/>
        <w:ind w:left="1440" w:hanging="810"/>
        <w:jc w:val="both"/>
        <w:rPr>
          <w:rFonts w:asciiTheme="majorHAnsi" w:hAnsiTheme="majorHAnsi" w:cs="Times New Roman"/>
          <w:i w:val="0"/>
          <w:color w:val="000000" w:themeColor="text1"/>
          <w:sz w:val="20"/>
          <w:szCs w:val="20"/>
          <w:lang w:val="es-AR"/>
        </w:rPr>
      </w:pPr>
      <w:bookmarkStart w:id="29" w:name="_Toc505243734"/>
      <w:bookmarkStart w:id="30" w:name="_Toc531880972"/>
      <w:r w:rsidRPr="00ED541F">
        <w:rPr>
          <w:rFonts w:asciiTheme="majorHAnsi" w:hAnsiTheme="majorHAnsi" w:cs="Times New Roman"/>
          <w:i w:val="0"/>
          <w:color w:val="000000" w:themeColor="text1"/>
          <w:sz w:val="20"/>
          <w:szCs w:val="20"/>
          <w:lang w:val="es-AR"/>
        </w:rPr>
        <w:t>Proceso disciplinario</w:t>
      </w:r>
      <w:bookmarkEnd w:id="29"/>
      <w:bookmarkEnd w:id="30"/>
    </w:p>
    <w:p w14:paraId="17B1C450" w14:textId="77777777" w:rsidR="00284AF8" w:rsidRPr="00ED541F" w:rsidRDefault="00284AF8" w:rsidP="00284AF8"/>
    <w:p w14:paraId="3A1D1CEC" w14:textId="77777777" w:rsidR="003F0C6B" w:rsidRPr="00ED541F" w:rsidRDefault="003F0C6B" w:rsidP="00284AF8">
      <w:pPr>
        <w:pStyle w:val="Heading3"/>
        <w:numPr>
          <w:ilvl w:val="0"/>
          <w:numId w:val="58"/>
        </w:numPr>
        <w:spacing w:before="0" w:after="0"/>
        <w:ind w:hanging="90"/>
        <w:jc w:val="both"/>
        <w:rPr>
          <w:rFonts w:asciiTheme="majorHAnsi" w:hAnsiTheme="majorHAnsi"/>
          <w:sz w:val="20"/>
          <w:szCs w:val="20"/>
          <w:lang w:val="es-AR"/>
        </w:rPr>
      </w:pPr>
      <w:bookmarkStart w:id="31" w:name="_Toc505243735"/>
      <w:bookmarkStart w:id="32" w:name="_Toc531880973"/>
      <w:r w:rsidRPr="00ED541F">
        <w:rPr>
          <w:rFonts w:asciiTheme="majorHAnsi" w:hAnsiTheme="majorHAnsi"/>
          <w:sz w:val="20"/>
          <w:szCs w:val="20"/>
          <w:lang w:val="es-AR"/>
        </w:rPr>
        <w:t>Hechos que dieron origen al proceso disciplinario</w:t>
      </w:r>
      <w:bookmarkEnd w:id="31"/>
      <w:bookmarkEnd w:id="32"/>
      <w:r w:rsidRPr="00ED541F">
        <w:rPr>
          <w:rFonts w:asciiTheme="majorHAnsi" w:hAnsiTheme="majorHAnsi"/>
          <w:sz w:val="20"/>
          <w:szCs w:val="20"/>
          <w:lang w:val="es-AR"/>
        </w:rPr>
        <w:t xml:space="preserve"> </w:t>
      </w:r>
    </w:p>
    <w:p w14:paraId="09EB5F15" w14:textId="77777777" w:rsidR="003F0C6B" w:rsidRPr="00ED541F" w:rsidRDefault="003F0C6B" w:rsidP="00284AF8">
      <w:pPr>
        <w:rPr>
          <w:lang w:val="es-AR"/>
        </w:rPr>
      </w:pPr>
    </w:p>
    <w:p w14:paraId="25AB57D6" w14:textId="2A9E10D0" w:rsidR="003F0C6B" w:rsidRPr="00ED541F" w:rsidRDefault="008A4B6F"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lang w:val="es-AR"/>
        </w:rPr>
        <w:t>E</w:t>
      </w:r>
      <w:r w:rsidR="003F0C6B" w:rsidRPr="00ED541F">
        <w:rPr>
          <w:lang w:val="es-AR"/>
        </w:rPr>
        <w:t xml:space="preserve">l 15 de septiembre de 2000 la señora Rosa Velasco, tía de la ex conviviente del peticionario, realizó una llamada telefónica de auxilio a la Policía denunciando que </w:t>
      </w:r>
      <w:r w:rsidR="00B10684" w:rsidRPr="00ED541F">
        <w:rPr>
          <w:lang w:val="es-AR"/>
        </w:rPr>
        <w:t xml:space="preserve">el señor Mina Cuero </w:t>
      </w:r>
      <w:r w:rsidR="003F0C6B" w:rsidRPr="00ED541F">
        <w:rPr>
          <w:lang w:val="es-AR"/>
        </w:rPr>
        <w:t>estaba</w:t>
      </w:r>
      <w:r w:rsidR="003F0C6B" w:rsidRPr="00ED541F">
        <w:rPr>
          <w:rFonts w:eastAsia="Calibri"/>
          <w:lang w:val="es-VE"/>
        </w:rPr>
        <w:t xml:space="preserve"> maltratando física y verbalmente a su sobrina y haciendo disparos para amedrentarlos</w:t>
      </w:r>
      <w:r w:rsidR="003F0C6B" w:rsidRPr="00ED541F">
        <w:rPr>
          <w:rFonts w:eastAsia="Calibri"/>
          <w:vertAlign w:val="superscript"/>
          <w:lang w:val="es-VE"/>
        </w:rPr>
        <w:footnoteReference w:id="4"/>
      </w:r>
      <w:r w:rsidR="003F0C6B" w:rsidRPr="00ED541F">
        <w:rPr>
          <w:rFonts w:eastAsia="Calibri"/>
          <w:lang w:val="es-VE"/>
        </w:rPr>
        <w:t>.</w:t>
      </w:r>
    </w:p>
    <w:p w14:paraId="395570DA" w14:textId="77777777" w:rsidR="003F0C6B" w:rsidRPr="00ED541F" w:rsidRDefault="003F0C6B"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19C4F195" w14:textId="088A51C1" w:rsidR="00284AF8" w:rsidRPr="00ED541F" w:rsidRDefault="003F0C6B" w:rsidP="00D70A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mismo día tres cabos de la policía atendieron la denuncia y acudieron al domicilio de un familiar del </w:t>
      </w:r>
      <w:r w:rsidR="0026211B" w:rsidRPr="00ED541F">
        <w:rPr>
          <w:rFonts w:eastAsia="Calibri"/>
          <w:lang w:val="es-VE"/>
        </w:rPr>
        <w:t>s</w:t>
      </w:r>
      <w:r w:rsidRPr="00ED541F">
        <w:rPr>
          <w:rFonts w:eastAsia="Calibri"/>
          <w:lang w:val="es-VE"/>
        </w:rPr>
        <w:t>eñor Mina Cuero, donde éste se encontraba. Hicieron constar en un parte policial que la presunta víctima estaba en “estado etílico” y los recibió con insultos, gritándoles “policías broncos”</w:t>
      </w:r>
      <w:r w:rsidRPr="00ED541F">
        <w:rPr>
          <w:rFonts w:eastAsia="Calibri"/>
          <w:vertAlign w:val="superscript"/>
          <w:lang w:val="es-VE"/>
        </w:rPr>
        <w:footnoteReference w:id="5"/>
      </w:r>
      <w:r w:rsidRPr="00ED541F">
        <w:rPr>
          <w:rFonts w:eastAsia="Calibri"/>
          <w:lang w:val="es-VE"/>
        </w:rPr>
        <w:t xml:space="preserve">. </w:t>
      </w:r>
      <w:bookmarkStart w:id="33" w:name="_Toc505243736"/>
    </w:p>
    <w:p w14:paraId="3D6F10DC" w14:textId="77777777" w:rsidR="00D70A2A" w:rsidRPr="00ED541F" w:rsidRDefault="00D70A2A" w:rsidP="00D70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64BE4491" w14:textId="77777777" w:rsidR="0087334E" w:rsidRPr="00ED541F" w:rsidRDefault="0087334E" w:rsidP="00284AF8">
      <w:pPr>
        <w:pStyle w:val="Heading3"/>
        <w:numPr>
          <w:ilvl w:val="0"/>
          <w:numId w:val="58"/>
        </w:numPr>
        <w:spacing w:before="0" w:after="0"/>
        <w:ind w:hanging="90"/>
        <w:jc w:val="both"/>
        <w:rPr>
          <w:rFonts w:asciiTheme="majorHAnsi" w:hAnsiTheme="majorHAnsi"/>
          <w:sz w:val="20"/>
          <w:szCs w:val="20"/>
          <w:lang w:val="es-AR"/>
        </w:rPr>
      </w:pPr>
      <w:bookmarkStart w:id="34" w:name="_Toc531880974"/>
      <w:r w:rsidRPr="00ED541F">
        <w:rPr>
          <w:rFonts w:asciiTheme="majorHAnsi" w:hAnsiTheme="majorHAnsi"/>
          <w:sz w:val="20"/>
          <w:szCs w:val="20"/>
          <w:lang w:val="es-AR"/>
        </w:rPr>
        <w:t>Investigación e informe de la Policía Judicial</w:t>
      </w:r>
      <w:bookmarkEnd w:id="33"/>
      <w:bookmarkEnd w:id="34"/>
      <w:r w:rsidRPr="00ED541F">
        <w:rPr>
          <w:rFonts w:asciiTheme="majorHAnsi" w:hAnsiTheme="majorHAnsi"/>
          <w:sz w:val="20"/>
          <w:szCs w:val="20"/>
          <w:lang w:val="es-AR"/>
        </w:rPr>
        <w:t xml:space="preserve"> </w:t>
      </w:r>
    </w:p>
    <w:p w14:paraId="3374944E" w14:textId="77777777" w:rsidR="00284AF8" w:rsidRPr="00ED541F" w:rsidRDefault="00284AF8"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1A6A5080" w14:textId="77777777" w:rsidR="00284AF8" w:rsidRPr="00ED541F" w:rsidRDefault="0004289F"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proofErr w:type="gramStart"/>
      <w:r w:rsidRPr="00ED541F">
        <w:rPr>
          <w:rFonts w:eastAsia="Calibri"/>
          <w:lang w:val="es-VE"/>
        </w:rPr>
        <w:t>En  virtud</w:t>
      </w:r>
      <w:proofErr w:type="gramEnd"/>
      <w:r w:rsidRPr="00ED541F">
        <w:rPr>
          <w:rFonts w:eastAsia="Calibri"/>
          <w:lang w:val="es-VE"/>
        </w:rPr>
        <w:t xml:space="preserve"> de lo</w:t>
      </w:r>
      <w:r w:rsidR="004340DD" w:rsidRPr="00ED541F">
        <w:rPr>
          <w:rFonts w:eastAsia="Calibri"/>
          <w:lang w:val="es-VE"/>
        </w:rPr>
        <w:t>s hechos descritos en la sección anterior,</w:t>
      </w:r>
      <w:r w:rsidR="004B4DDE" w:rsidRPr="00ED541F">
        <w:rPr>
          <w:rFonts w:eastAsia="Calibri"/>
          <w:lang w:val="es-VE"/>
        </w:rPr>
        <w:t xml:space="preserve"> se inició una investiga</w:t>
      </w:r>
      <w:r w:rsidRPr="00ED541F">
        <w:rPr>
          <w:rFonts w:eastAsia="Calibri"/>
          <w:lang w:val="es-VE"/>
        </w:rPr>
        <w:t>c</w:t>
      </w:r>
      <w:r w:rsidR="004B4DDE" w:rsidRPr="00ED541F">
        <w:rPr>
          <w:rFonts w:eastAsia="Calibri"/>
          <w:lang w:val="es-VE"/>
        </w:rPr>
        <w:t>i</w:t>
      </w:r>
      <w:r w:rsidR="003F0C6B" w:rsidRPr="00ED541F">
        <w:rPr>
          <w:rFonts w:eastAsia="Calibri"/>
          <w:lang w:val="es-VE"/>
        </w:rPr>
        <w:t>ón en contra de la presunta víctima.</w:t>
      </w:r>
    </w:p>
    <w:p w14:paraId="725969B5" w14:textId="7B9F0202" w:rsidR="0087334E" w:rsidRPr="00ED541F" w:rsidRDefault="003F0C6B" w:rsidP="005E43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r w:rsidRPr="00ED541F">
        <w:rPr>
          <w:rFonts w:eastAsia="Calibri"/>
          <w:lang w:val="es-VE"/>
        </w:rPr>
        <w:t xml:space="preserve"> </w:t>
      </w:r>
      <w:r w:rsidR="0004289F" w:rsidRPr="00ED541F">
        <w:rPr>
          <w:rFonts w:eastAsia="Calibri"/>
          <w:lang w:val="es-VE"/>
        </w:rPr>
        <w:t xml:space="preserve"> </w:t>
      </w:r>
    </w:p>
    <w:p w14:paraId="6B392855" w14:textId="4B24EADD" w:rsidR="00226E62" w:rsidRPr="00ED541F" w:rsidRDefault="0026274B"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ind w:left="0" w:firstLine="630"/>
        <w:jc w:val="both"/>
        <w:rPr>
          <w:rFonts w:eastAsia="Calibri"/>
          <w:lang w:val="es-VE"/>
        </w:rPr>
      </w:pPr>
      <w:r w:rsidRPr="00ED541F">
        <w:rPr>
          <w:rFonts w:eastAsia="Calibri"/>
          <w:lang w:val="es-VE"/>
        </w:rPr>
        <w:t>El 18 de septiembre del 2000, Víctor Henry Mina Cuero rindió declaración ante la Policía Judicial, en presencia de</w:t>
      </w:r>
      <w:r w:rsidR="005E4301" w:rsidRPr="00ED541F">
        <w:rPr>
          <w:rFonts w:eastAsia="Calibri"/>
          <w:lang w:val="es-VE"/>
        </w:rPr>
        <w:t xml:space="preserve"> un</w:t>
      </w:r>
      <w:r w:rsidRPr="00ED541F">
        <w:rPr>
          <w:rFonts w:eastAsia="Calibri"/>
          <w:lang w:val="es-VE"/>
        </w:rPr>
        <w:t xml:space="preserve"> representante del Ministerio </w:t>
      </w:r>
      <w:proofErr w:type="gramStart"/>
      <w:r w:rsidRPr="00ED541F">
        <w:rPr>
          <w:rFonts w:eastAsia="Calibri"/>
          <w:lang w:val="es-VE"/>
        </w:rPr>
        <w:t>P</w:t>
      </w:r>
      <w:r w:rsidR="004B4DDE" w:rsidRPr="00ED541F">
        <w:rPr>
          <w:rFonts w:eastAsia="Calibri"/>
          <w:lang w:val="es-VE"/>
        </w:rPr>
        <w:t>ú</w:t>
      </w:r>
      <w:r w:rsidRPr="00ED541F">
        <w:rPr>
          <w:rFonts w:eastAsia="Calibri"/>
          <w:lang w:val="es-VE"/>
        </w:rPr>
        <w:t>blico</w:t>
      </w:r>
      <w:proofErr w:type="gramEnd"/>
      <w:r w:rsidR="00980D1A" w:rsidRPr="00ED541F">
        <w:rPr>
          <w:rFonts w:eastAsia="Calibri"/>
          <w:lang w:val="es-VE"/>
        </w:rPr>
        <w:t xml:space="preserve"> pero sin </w:t>
      </w:r>
      <w:r w:rsidR="0004289F" w:rsidRPr="00ED541F">
        <w:rPr>
          <w:rFonts w:eastAsia="Calibri"/>
          <w:lang w:val="es-VE"/>
        </w:rPr>
        <w:t>asistencia jurídica.</w:t>
      </w:r>
      <w:r w:rsidR="0012476E" w:rsidRPr="00ED541F">
        <w:rPr>
          <w:rFonts w:eastAsia="Calibri"/>
          <w:lang w:val="es-VE"/>
        </w:rPr>
        <w:t xml:space="preserve"> Este hec</w:t>
      </w:r>
      <w:r w:rsidR="00952C8F" w:rsidRPr="00ED541F">
        <w:rPr>
          <w:rFonts w:eastAsia="Calibri"/>
          <w:lang w:val="es-VE"/>
        </w:rPr>
        <w:t>ho fue reconocido por el Estado.</w:t>
      </w:r>
      <w:r w:rsidR="0004289F" w:rsidRPr="00ED541F">
        <w:rPr>
          <w:rFonts w:eastAsia="Calibri"/>
          <w:lang w:val="es-VE"/>
        </w:rPr>
        <w:t xml:space="preserve"> En </w:t>
      </w:r>
      <w:r w:rsidR="004340DD" w:rsidRPr="00ED541F">
        <w:rPr>
          <w:rFonts w:eastAsia="Calibri"/>
          <w:lang w:val="es-VE"/>
        </w:rPr>
        <w:t>su</w:t>
      </w:r>
      <w:r w:rsidR="0004289F" w:rsidRPr="00ED541F">
        <w:rPr>
          <w:rFonts w:eastAsia="Calibri"/>
          <w:lang w:val="es-VE"/>
        </w:rPr>
        <w:t xml:space="preserve"> declaración la presunta víctima indicó que </w:t>
      </w:r>
      <w:r w:rsidRPr="00ED541F">
        <w:rPr>
          <w:rFonts w:eastAsia="Calibri"/>
          <w:lang w:val="es-VE"/>
        </w:rPr>
        <w:t xml:space="preserve">cuando llegó al domicilio de su ex conviviente la señora Rosa Velasco lo agredió, que no </w:t>
      </w:r>
      <w:r w:rsidR="0004289F" w:rsidRPr="00ED541F">
        <w:rPr>
          <w:rFonts w:eastAsia="Calibri"/>
          <w:lang w:val="es-VE"/>
        </w:rPr>
        <w:t xml:space="preserve">la </w:t>
      </w:r>
      <w:r w:rsidRPr="00ED541F">
        <w:rPr>
          <w:rFonts w:eastAsia="Calibri"/>
          <w:lang w:val="es-VE"/>
        </w:rPr>
        <w:t>había maltratado ni a ella ni a su sobrina,</w:t>
      </w:r>
      <w:r w:rsidR="0092404B" w:rsidRPr="00ED541F">
        <w:rPr>
          <w:rFonts w:eastAsia="Calibri"/>
          <w:lang w:val="es-VE"/>
        </w:rPr>
        <w:t xml:space="preserve"> y que </w:t>
      </w:r>
      <w:r w:rsidRPr="00ED541F">
        <w:rPr>
          <w:rFonts w:eastAsia="Calibri"/>
          <w:lang w:val="es-VE"/>
        </w:rPr>
        <w:t>n</w:t>
      </w:r>
      <w:r w:rsidR="0092404B" w:rsidRPr="00ED541F">
        <w:rPr>
          <w:rFonts w:eastAsia="Calibri"/>
          <w:lang w:val="es-VE"/>
        </w:rPr>
        <w:t>o</w:t>
      </w:r>
      <w:r w:rsidRPr="00ED541F">
        <w:rPr>
          <w:rFonts w:eastAsia="Calibri"/>
          <w:lang w:val="es-VE"/>
        </w:rPr>
        <w:t xml:space="preserve"> había hecho disparos pues ni siquiera portaba su arma. </w:t>
      </w:r>
      <w:r w:rsidR="0004289F" w:rsidRPr="00ED541F">
        <w:rPr>
          <w:rFonts w:eastAsia="Calibri"/>
          <w:lang w:val="es-VE"/>
        </w:rPr>
        <w:t xml:space="preserve"> En particular le preguntaron si le faltó el respeto a los </w:t>
      </w:r>
      <w:r w:rsidR="009E44DD" w:rsidRPr="00ED541F">
        <w:rPr>
          <w:rFonts w:eastAsia="Calibri"/>
          <w:lang w:val="es-VE"/>
        </w:rPr>
        <w:t>policías</w:t>
      </w:r>
      <w:r w:rsidR="0004289F" w:rsidRPr="00ED541F">
        <w:rPr>
          <w:rFonts w:eastAsia="Calibri"/>
          <w:lang w:val="es-VE"/>
        </w:rPr>
        <w:t xml:space="preserve"> que acudieron a su domicilio a atender la </w:t>
      </w:r>
      <w:r w:rsidR="009E44DD" w:rsidRPr="00ED541F">
        <w:rPr>
          <w:rFonts w:eastAsia="Calibri"/>
          <w:lang w:val="es-VE"/>
        </w:rPr>
        <w:t xml:space="preserve">denuncia a lo que contestó que les llamó “policías broncos” y que </w:t>
      </w:r>
      <w:r w:rsidR="005363EB" w:rsidRPr="00ED541F">
        <w:rPr>
          <w:rFonts w:eastAsia="Calibri"/>
          <w:lang w:val="es-VE"/>
        </w:rPr>
        <w:t>se trata de</w:t>
      </w:r>
      <w:r w:rsidR="009E44DD" w:rsidRPr="00ED541F">
        <w:rPr>
          <w:rFonts w:eastAsia="Calibri"/>
          <w:lang w:val="es-VE"/>
        </w:rPr>
        <w:t xml:space="preserve"> un término que se utiliza en el ámbito policial</w:t>
      </w:r>
      <w:r w:rsidR="00226E62" w:rsidRPr="00ED541F">
        <w:rPr>
          <w:rFonts w:eastAsia="Calibri"/>
          <w:vertAlign w:val="superscript"/>
          <w:lang w:val="es-VE"/>
        </w:rPr>
        <w:footnoteReference w:id="6"/>
      </w:r>
      <w:r w:rsidR="009E44DD" w:rsidRPr="00ED541F">
        <w:rPr>
          <w:rFonts w:eastAsia="Calibri"/>
          <w:lang w:val="es-VE"/>
        </w:rPr>
        <w:t>.</w:t>
      </w:r>
    </w:p>
    <w:p w14:paraId="1F5484A9" w14:textId="77777777" w:rsidR="005363EB" w:rsidRPr="00ED541F" w:rsidRDefault="005363EB" w:rsidP="005363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890"/>
        </w:tabs>
        <w:jc w:val="both"/>
        <w:rPr>
          <w:rFonts w:eastAsia="Calibri"/>
          <w:lang w:val="es-VE"/>
        </w:rPr>
      </w:pPr>
    </w:p>
    <w:p w14:paraId="0ACD2E28" w14:textId="4CB50CFC" w:rsidR="0087334E" w:rsidRPr="00ED541F" w:rsidRDefault="0004289F"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19 de </w:t>
      </w:r>
      <w:r w:rsidR="00B554A5" w:rsidRPr="00ED541F">
        <w:rPr>
          <w:rFonts w:eastAsia="Calibri"/>
          <w:lang w:val="es-VE"/>
        </w:rPr>
        <w:t>septiembre</w:t>
      </w:r>
      <w:r w:rsidR="004340DD" w:rsidRPr="00ED541F">
        <w:rPr>
          <w:rFonts w:eastAsia="Calibri"/>
          <w:lang w:val="es-VE"/>
        </w:rPr>
        <w:t xml:space="preserve"> </w:t>
      </w:r>
      <w:r w:rsidR="00AB1342" w:rsidRPr="00ED541F">
        <w:rPr>
          <w:rFonts w:eastAsia="Calibri"/>
          <w:lang w:val="es-VE"/>
        </w:rPr>
        <w:t xml:space="preserve">de 2000 </w:t>
      </w:r>
      <w:r w:rsidR="004340DD" w:rsidRPr="00ED541F">
        <w:rPr>
          <w:rFonts w:eastAsia="Calibri"/>
          <w:lang w:val="es-VE"/>
        </w:rPr>
        <w:t>rindió declaración e</w:t>
      </w:r>
      <w:r w:rsidR="00287A42" w:rsidRPr="00ED541F">
        <w:rPr>
          <w:rFonts w:eastAsia="Calibri"/>
          <w:lang w:val="es-VE"/>
        </w:rPr>
        <w:t>l Cabo Jacinto Sandro Gonzá</w:t>
      </w:r>
      <w:r w:rsidR="0026274B" w:rsidRPr="00ED541F">
        <w:rPr>
          <w:rFonts w:eastAsia="Calibri"/>
          <w:lang w:val="es-VE"/>
        </w:rPr>
        <w:t>lez ante la Policía Judicial, afirmando que cuando llegaron al domicilio d</w:t>
      </w:r>
      <w:r w:rsidRPr="00ED541F">
        <w:rPr>
          <w:rFonts w:eastAsia="Calibri"/>
          <w:lang w:val="es-VE"/>
        </w:rPr>
        <w:t>e la presunta víctima,</w:t>
      </w:r>
      <w:r w:rsidR="0026274B" w:rsidRPr="00ED541F">
        <w:rPr>
          <w:rFonts w:eastAsia="Calibri"/>
          <w:lang w:val="es-VE"/>
        </w:rPr>
        <w:t xml:space="preserve"> éste les gritó </w:t>
      </w:r>
      <w:r w:rsidR="007C782E" w:rsidRPr="00ED541F">
        <w:rPr>
          <w:rFonts w:eastAsia="Calibri"/>
          <w:lang w:val="es-VE"/>
        </w:rPr>
        <w:t>“</w:t>
      </w:r>
      <w:r w:rsidR="0026274B" w:rsidRPr="00ED541F">
        <w:rPr>
          <w:rFonts w:eastAsia="Calibri"/>
          <w:lang w:val="es-VE"/>
        </w:rPr>
        <w:t>policías broncos</w:t>
      </w:r>
      <w:r w:rsidR="007C782E" w:rsidRPr="00ED541F">
        <w:rPr>
          <w:rFonts w:eastAsia="Calibri"/>
          <w:lang w:val="es-VE"/>
        </w:rPr>
        <w:t>”</w:t>
      </w:r>
      <w:r w:rsidR="00EA7B43" w:rsidRPr="00ED541F">
        <w:rPr>
          <w:rFonts w:eastAsia="Calibri"/>
          <w:lang w:val="es-VE"/>
        </w:rPr>
        <w:t xml:space="preserve"> y les indicó </w:t>
      </w:r>
      <w:r w:rsidR="0026274B" w:rsidRPr="00ED541F">
        <w:rPr>
          <w:rFonts w:eastAsia="Calibri"/>
          <w:lang w:val="es-VE"/>
        </w:rPr>
        <w:t xml:space="preserve">que él había </w:t>
      </w:r>
      <w:r w:rsidR="00964836" w:rsidRPr="00ED541F">
        <w:rPr>
          <w:rFonts w:eastAsia="Calibri"/>
          <w:lang w:val="es-VE"/>
        </w:rPr>
        <w:t>ingres</w:t>
      </w:r>
      <w:r w:rsidR="0026274B" w:rsidRPr="00ED541F">
        <w:rPr>
          <w:rFonts w:eastAsia="Calibri"/>
          <w:lang w:val="es-VE"/>
        </w:rPr>
        <w:t>a</w:t>
      </w:r>
      <w:r w:rsidR="00964836" w:rsidRPr="00ED541F">
        <w:rPr>
          <w:rFonts w:eastAsia="Calibri"/>
          <w:lang w:val="es-VE"/>
        </w:rPr>
        <w:t>do a las filas de</w:t>
      </w:r>
      <w:r w:rsidR="0026274B" w:rsidRPr="00ED541F">
        <w:rPr>
          <w:rFonts w:eastAsia="Calibri"/>
          <w:lang w:val="es-VE"/>
        </w:rPr>
        <w:t xml:space="preserve"> la Policía primero que todos y que mataría a quien le hiciera un parte</w:t>
      </w:r>
      <w:r w:rsidR="0026274B" w:rsidRPr="00ED541F">
        <w:rPr>
          <w:rFonts w:eastAsia="Calibri"/>
          <w:vertAlign w:val="superscript"/>
          <w:lang w:val="es-VE"/>
        </w:rPr>
        <w:footnoteReference w:id="7"/>
      </w:r>
      <w:r w:rsidR="0026274B" w:rsidRPr="00ED541F">
        <w:rPr>
          <w:rFonts w:eastAsia="Calibri"/>
          <w:lang w:val="es-VE"/>
        </w:rPr>
        <w:t>.</w:t>
      </w:r>
    </w:p>
    <w:p w14:paraId="45B7286F"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7C706FF2" w14:textId="7B888BBF" w:rsidR="00AB1342" w:rsidRPr="00ED541F" w:rsidRDefault="00AB1342"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En la misma fecha, el Comandante </w:t>
      </w:r>
      <w:r w:rsidR="00794D60" w:rsidRPr="00ED541F">
        <w:rPr>
          <w:rFonts w:eastAsia="Calibri"/>
          <w:lang w:val="es-VE"/>
        </w:rPr>
        <w:t>Provincial</w:t>
      </w:r>
      <w:r w:rsidRPr="00ED541F">
        <w:rPr>
          <w:rFonts w:eastAsia="Calibri"/>
          <w:lang w:val="es-VE"/>
        </w:rPr>
        <w:t xml:space="preserve"> de la Policía </w:t>
      </w:r>
      <w:r w:rsidR="00794D60" w:rsidRPr="00ED541F">
        <w:rPr>
          <w:rFonts w:eastAsia="Calibri"/>
          <w:lang w:val="es-VE"/>
        </w:rPr>
        <w:t xml:space="preserve">Nacional </w:t>
      </w:r>
      <w:r w:rsidRPr="00ED541F">
        <w:rPr>
          <w:rFonts w:eastAsia="Calibri"/>
          <w:lang w:val="es-VE"/>
        </w:rPr>
        <w:t>de Esmeralda</w:t>
      </w:r>
      <w:r w:rsidR="00F41FB4" w:rsidRPr="00ED541F">
        <w:rPr>
          <w:rFonts w:eastAsia="Calibri"/>
          <w:lang w:val="es-VE"/>
        </w:rPr>
        <w:t>s</w:t>
      </w:r>
      <w:r w:rsidRPr="00ED541F">
        <w:rPr>
          <w:rFonts w:eastAsia="Calibri"/>
          <w:lang w:val="es-VE"/>
        </w:rPr>
        <w:t xml:space="preserve"> ordenó al </w:t>
      </w:r>
      <w:proofErr w:type="gramStart"/>
      <w:r w:rsidRPr="00ED541F">
        <w:rPr>
          <w:rFonts w:eastAsia="Calibri"/>
          <w:lang w:val="es-VE"/>
        </w:rPr>
        <w:t>Jefe</w:t>
      </w:r>
      <w:proofErr w:type="gramEnd"/>
      <w:r w:rsidRPr="00ED541F">
        <w:rPr>
          <w:rFonts w:eastAsia="Calibri"/>
          <w:lang w:val="es-VE"/>
        </w:rPr>
        <w:t xml:space="preserve"> de la Policía Nacional, que iniciara una investigación atendiendo los hechos registrados en el parte policial elevado el 15 de septiembre del 2000, en el término de 48 horas</w:t>
      </w:r>
      <w:r w:rsidRPr="00ED541F">
        <w:rPr>
          <w:rFonts w:eastAsia="Calibri"/>
          <w:vertAlign w:val="superscript"/>
          <w:lang w:val="es-VE"/>
        </w:rPr>
        <w:footnoteReference w:id="8"/>
      </w:r>
      <w:r w:rsidRPr="00ED541F">
        <w:rPr>
          <w:rFonts w:eastAsia="Calibri"/>
          <w:lang w:val="es-VE"/>
        </w:rPr>
        <w:t>.</w:t>
      </w:r>
    </w:p>
    <w:p w14:paraId="2156DEA4"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7365EAED" w14:textId="58C002C0" w:rsidR="00206A16" w:rsidRPr="00ED541F" w:rsidRDefault="001A1223"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lastRenderedPageBreak/>
        <w:t>El 20 de septiembre del 2000</w:t>
      </w:r>
      <w:r w:rsidR="0026274B" w:rsidRPr="00ED541F">
        <w:rPr>
          <w:rFonts w:eastAsia="Calibri"/>
          <w:lang w:val="es-VE"/>
        </w:rPr>
        <w:t xml:space="preserve"> </w:t>
      </w:r>
      <w:r w:rsidR="009E44DD" w:rsidRPr="00ED541F">
        <w:rPr>
          <w:rFonts w:eastAsia="Calibri"/>
          <w:lang w:val="es-VE"/>
        </w:rPr>
        <w:t>también</w:t>
      </w:r>
      <w:r w:rsidR="0026274B" w:rsidRPr="00ED541F">
        <w:rPr>
          <w:rFonts w:eastAsia="Calibri"/>
          <w:lang w:val="es-VE"/>
        </w:rPr>
        <w:t xml:space="preserve"> rindió declaración ante la Policía Judicial el Cabo Jorge Washington </w:t>
      </w:r>
      <w:proofErr w:type="spellStart"/>
      <w:r w:rsidR="0026274B" w:rsidRPr="00ED541F">
        <w:rPr>
          <w:rFonts w:eastAsia="Calibri"/>
          <w:lang w:val="es-VE"/>
        </w:rPr>
        <w:t>Guajan</w:t>
      </w:r>
      <w:proofErr w:type="spellEnd"/>
      <w:r w:rsidR="0026274B" w:rsidRPr="00ED541F">
        <w:rPr>
          <w:rFonts w:eastAsia="Calibri"/>
          <w:lang w:val="es-VE"/>
        </w:rPr>
        <w:t>, quien indicó que acudió con los cabos Ochoa, Gonz</w:t>
      </w:r>
      <w:r w:rsidR="00D4509E" w:rsidRPr="00ED541F">
        <w:rPr>
          <w:rFonts w:eastAsia="Calibri"/>
          <w:lang w:val="es-VE"/>
        </w:rPr>
        <w:t>á</w:t>
      </w:r>
      <w:r w:rsidR="0026274B" w:rsidRPr="00ED541F">
        <w:rPr>
          <w:rFonts w:eastAsia="Calibri"/>
          <w:lang w:val="es-VE"/>
        </w:rPr>
        <w:t xml:space="preserve">lez y Acurio, a la Avenida 9 de </w:t>
      </w:r>
      <w:proofErr w:type="gramStart"/>
      <w:r w:rsidR="0026274B" w:rsidRPr="00ED541F">
        <w:rPr>
          <w:rFonts w:eastAsia="Calibri"/>
          <w:lang w:val="es-VE"/>
        </w:rPr>
        <w:t>Octubre</w:t>
      </w:r>
      <w:proofErr w:type="gramEnd"/>
      <w:r w:rsidR="0026274B" w:rsidRPr="00ED541F">
        <w:rPr>
          <w:rFonts w:eastAsia="Calibri"/>
          <w:lang w:val="es-VE"/>
        </w:rPr>
        <w:t xml:space="preserve"> a las </w:t>
      </w:r>
      <w:r w:rsidR="004340DD" w:rsidRPr="00ED541F">
        <w:rPr>
          <w:rFonts w:eastAsia="Calibri"/>
          <w:lang w:val="es-VE"/>
        </w:rPr>
        <w:t>20:25, en donde encontraron al p</w:t>
      </w:r>
      <w:r w:rsidR="0026274B" w:rsidRPr="00ED541F">
        <w:rPr>
          <w:rFonts w:eastAsia="Calibri"/>
          <w:lang w:val="es-VE"/>
        </w:rPr>
        <w:t>eticionario de</w:t>
      </w:r>
      <w:r w:rsidR="008D7F97" w:rsidRPr="00ED541F">
        <w:rPr>
          <w:rFonts w:eastAsia="Calibri"/>
          <w:lang w:val="es-VE"/>
        </w:rPr>
        <w:t>ntro del domicilio de un familiar suyo</w:t>
      </w:r>
      <w:r w:rsidR="0026274B" w:rsidRPr="00ED541F">
        <w:rPr>
          <w:rFonts w:eastAsia="Calibri"/>
          <w:lang w:val="es-VE"/>
        </w:rPr>
        <w:t xml:space="preserve">, </w:t>
      </w:r>
      <w:r w:rsidR="008D7F97" w:rsidRPr="00ED541F">
        <w:rPr>
          <w:rFonts w:eastAsia="Calibri"/>
          <w:lang w:val="es-VE"/>
        </w:rPr>
        <w:t>y</w:t>
      </w:r>
      <w:r w:rsidR="0026274B" w:rsidRPr="00ED541F">
        <w:rPr>
          <w:rFonts w:eastAsia="Calibri"/>
          <w:lang w:val="es-VE"/>
        </w:rPr>
        <w:t xml:space="preserve"> les dijo que eran unos policías broncos y que si le elevaban un parte los mataba. Agregó que el peticionario no tenía ningún arma en su poder</w:t>
      </w:r>
      <w:r w:rsidR="0026274B" w:rsidRPr="00ED541F">
        <w:rPr>
          <w:rFonts w:eastAsia="Calibri"/>
          <w:vertAlign w:val="superscript"/>
          <w:lang w:val="es-VE"/>
        </w:rPr>
        <w:footnoteReference w:id="9"/>
      </w:r>
      <w:r w:rsidR="0026274B" w:rsidRPr="00ED541F">
        <w:rPr>
          <w:rFonts w:eastAsia="Calibri"/>
          <w:lang w:val="es-VE"/>
        </w:rPr>
        <w:t>.</w:t>
      </w:r>
    </w:p>
    <w:p w14:paraId="008398B2" w14:textId="27F26DE0" w:rsidR="0087334E" w:rsidRPr="00ED541F" w:rsidRDefault="0026274B"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r w:rsidRPr="00ED541F">
        <w:rPr>
          <w:rFonts w:eastAsia="Calibri"/>
          <w:lang w:val="es-VE"/>
        </w:rPr>
        <w:t xml:space="preserve"> </w:t>
      </w:r>
    </w:p>
    <w:p w14:paraId="538588DB" w14:textId="59366C78" w:rsidR="00467248" w:rsidRPr="00ED541F" w:rsidRDefault="0026274B"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mismo día, los </w:t>
      </w:r>
      <w:r w:rsidR="009A6A84" w:rsidRPr="00ED541F">
        <w:rPr>
          <w:rFonts w:eastAsia="Calibri"/>
          <w:lang w:val="es-VE"/>
        </w:rPr>
        <w:t>c</w:t>
      </w:r>
      <w:r w:rsidRPr="00ED541F">
        <w:rPr>
          <w:rFonts w:eastAsia="Calibri"/>
          <w:lang w:val="es-VE"/>
        </w:rPr>
        <w:t>abos Willians Orlando Acurio</w:t>
      </w:r>
      <w:r w:rsidRPr="00ED541F">
        <w:rPr>
          <w:rFonts w:eastAsia="Calibri"/>
          <w:vertAlign w:val="superscript"/>
          <w:lang w:val="es-VE"/>
        </w:rPr>
        <w:footnoteReference w:id="10"/>
      </w:r>
      <w:r w:rsidRPr="00ED541F">
        <w:rPr>
          <w:rFonts w:eastAsia="Calibri"/>
          <w:lang w:val="es-VE"/>
        </w:rPr>
        <w:t xml:space="preserve"> y Richard Fredy Ochoa</w:t>
      </w:r>
      <w:r w:rsidRPr="00ED541F">
        <w:rPr>
          <w:rFonts w:eastAsia="Calibri"/>
          <w:vertAlign w:val="superscript"/>
          <w:lang w:val="es-VE"/>
        </w:rPr>
        <w:footnoteReference w:id="11"/>
      </w:r>
      <w:r w:rsidR="00CF1DC8" w:rsidRPr="00ED541F">
        <w:rPr>
          <w:rFonts w:eastAsia="Calibri"/>
          <w:lang w:val="es-VE"/>
        </w:rPr>
        <w:t xml:space="preserve"> rindieron declaraciones</w:t>
      </w:r>
      <w:r w:rsidRPr="00ED541F">
        <w:rPr>
          <w:rFonts w:eastAsia="Calibri"/>
          <w:lang w:val="es-VE"/>
        </w:rPr>
        <w:t xml:space="preserve"> ante la Policía Judicial manteniendo la misma versión de los hechos que sus colegas.</w:t>
      </w:r>
    </w:p>
    <w:p w14:paraId="0731DFD9"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44E00922" w14:textId="77777777" w:rsidR="0087334E" w:rsidRPr="00ED541F" w:rsidRDefault="004340DD"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20 de septiembre del 2000 </w:t>
      </w:r>
      <w:r w:rsidR="0026274B" w:rsidRPr="00ED541F">
        <w:rPr>
          <w:rFonts w:eastAsia="Calibri"/>
          <w:lang w:val="es-VE"/>
        </w:rPr>
        <w:t xml:space="preserve">también rindió declaración ante la Policía Judicial la señora Rosa Velasco, quien refirió que </w:t>
      </w:r>
      <w:r w:rsidR="0004289F" w:rsidRPr="00ED541F">
        <w:rPr>
          <w:rFonts w:eastAsia="Calibri"/>
          <w:lang w:val="es-VE"/>
        </w:rPr>
        <w:t>la presunta víctima</w:t>
      </w:r>
      <w:r w:rsidR="0026274B" w:rsidRPr="00ED541F">
        <w:rPr>
          <w:rFonts w:eastAsia="Calibri"/>
          <w:lang w:val="es-VE"/>
        </w:rPr>
        <w:t xml:space="preserve"> y su sobrina se habían separado por los continuos maltratos que había sufrido por parte de éste, y que el 15 de septiembre del 2000 se había aparecido con intenciones de ingresar a su domicilio, insultándola, golpeando la puerta y amenazándola de muerte, hasta que llamó a la policía y uno de sus familiares lo retiró del lugar</w:t>
      </w:r>
      <w:r w:rsidR="0026274B" w:rsidRPr="00ED541F">
        <w:rPr>
          <w:rFonts w:eastAsia="Calibri"/>
          <w:vertAlign w:val="superscript"/>
          <w:lang w:val="es-VE"/>
        </w:rPr>
        <w:footnoteReference w:id="12"/>
      </w:r>
      <w:r w:rsidR="0026274B" w:rsidRPr="00ED541F">
        <w:rPr>
          <w:rFonts w:eastAsia="Calibri"/>
          <w:lang w:val="es-VE"/>
        </w:rPr>
        <w:t xml:space="preserve">. </w:t>
      </w:r>
    </w:p>
    <w:p w14:paraId="0BF6FC7A"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61CB3EE8" w14:textId="17EC26F1" w:rsidR="0087334E" w:rsidRPr="00ED541F" w:rsidRDefault="0026274B"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w:t>
      </w:r>
      <w:r w:rsidR="002E7732" w:rsidRPr="00ED541F">
        <w:rPr>
          <w:rFonts w:eastAsia="Calibri"/>
          <w:lang w:val="es-VE"/>
        </w:rPr>
        <w:t xml:space="preserve">mismo </w:t>
      </w:r>
      <w:r w:rsidRPr="00ED541F">
        <w:rPr>
          <w:rFonts w:eastAsia="Calibri"/>
          <w:lang w:val="es-VE"/>
        </w:rPr>
        <w:t>20</w:t>
      </w:r>
      <w:r w:rsidR="001A1223" w:rsidRPr="00ED541F">
        <w:rPr>
          <w:rFonts w:eastAsia="Calibri"/>
          <w:lang w:val="es-VE"/>
        </w:rPr>
        <w:t xml:space="preserve"> de septiembre del 2000</w:t>
      </w:r>
      <w:r w:rsidRPr="00ED541F">
        <w:rPr>
          <w:rFonts w:eastAsia="Calibri"/>
          <w:lang w:val="es-VE"/>
        </w:rPr>
        <w:t xml:space="preserve"> la Dirección Nacional de la Policía Judicial emitió el Informe Nro. 2000-381</w:t>
      </w:r>
      <w:r w:rsidR="0004289F" w:rsidRPr="00ED541F">
        <w:rPr>
          <w:rFonts w:eastAsia="Calibri"/>
          <w:lang w:val="es-VE"/>
        </w:rPr>
        <w:t xml:space="preserve"> el cual concluyó, tomando en cuenta las declaraciones indicadas</w:t>
      </w:r>
      <w:r w:rsidR="004D4013" w:rsidRPr="00ED541F">
        <w:rPr>
          <w:rFonts w:eastAsia="Calibri"/>
          <w:lang w:val="es-VE"/>
        </w:rPr>
        <w:t>, incluida la de la presunta víctima,</w:t>
      </w:r>
      <w:r w:rsidR="0004289F" w:rsidRPr="00ED541F">
        <w:rPr>
          <w:rFonts w:eastAsia="Calibri"/>
          <w:lang w:val="es-VE"/>
        </w:rPr>
        <w:t xml:space="preserve"> </w:t>
      </w:r>
      <w:r w:rsidR="00556B4C" w:rsidRPr="00ED541F">
        <w:rPr>
          <w:rFonts w:eastAsia="Calibri"/>
          <w:lang w:val="es-VE"/>
        </w:rPr>
        <w:t>así como</w:t>
      </w:r>
      <w:r w:rsidR="0004289F" w:rsidRPr="00ED541F">
        <w:rPr>
          <w:rFonts w:eastAsia="Calibri"/>
          <w:lang w:val="es-VE"/>
        </w:rPr>
        <w:t xml:space="preserve"> el parte policial, que:</w:t>
      </w:r>
    </w:p>
    <w:p w14:paraId="4D393727" w14:textId="77777777" w:rsidR="0087334E" w:rsidRPr="00ED541F" w:rsidRDefault="0087334E"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color w:val="000000" w:themeColor="text1"/>
          <w:lang w:val="es-US"/>
        </w:rPr>
      </w:pPr>
    </w:p>
    <w:p w14:paraId="4D9B4651" w14:textId="34CEE6A6" w:rsidR="00206A16" w:rsidRPr="00ED541F" w:rsidRDefault="002B68EB" w:rsidP="00D70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color w:val="000000" w:themeColor="text1"/>
          <w:lang w:val="es-US"/>
        </w:rPr>
      </w:pPr>
      <w:r w:rsidRPr="00ED541F" w:rsidDel="002B68EB">
        <w:rPr>
          <w:color w:val="000000" w:themeColor="text1"/>
          <w:lang w:val="es-US"/>
        </w:rPr>
        <w:t xml:space="preserve"> </w:t>
      </w:r>
      <w:r w:rsidR="0004289F" w:rsidRPr="00ED541F">
        <w:rPr>
          <w:color w:val="000000" w:themeColor="text1"/>
          <w:lang w:val="es-US"/>
        </w:rPr>
        <w:t>(…)</w:t>
      </w:r>
      <w:r w:rsidR="006E2D3E" w:rsidRPr="00ED541F">
        <w:rPr>
          <w:color w:val="000000" w:themeColor="text1"/>
          <w:lang w:val="es-US"/>
        </w:rPr>
        <w:t xml:space="preserve"> el señor Policía </w:t>
      </w:r>
      <w:r w:rsidR="00D71622" w:rsidRPr="00ED541F">
        <w:rPr>
          <w:color w:val="000000" w:themeColor="text1"/>
          <w:lang w:val="es-US"/>
        </w:rPr>
        <w:t>VÍCTOR</w:t>
      </w:r>
      <w:r w:rsidR="006E2D3E" w:rsidRPr="00ED541F">
        <w:rPr>
          <w:color w:val="000000" w:themeColor="text1"/>
          <w:lang w:val="es-US"/>
        </w:rPr>
        <w:t xml:space="preserve"> HENRY MINA CUERO, había protagonizado un </w:t>
      </w:r>
      <w:r w:rsidR="00D71622" w:rsidRPr="00ED541F">
        <w:rPr>
          <w:color w:val="000000" w:themeColor="text1"/>
          <w:lang w:val="es-US"/>
        </w:rPr>
        <w:t>escándalo</w:t>
      </w:r>
      <w:r w:rsidR="006E2D3E" w:rsidRPr="00ED541F">
        <w:rPr>
          <w:color w:val="000000" w:themeColor="text1"/>
          <w:lang w:val="es-US"/>
        </w:rPr>
        <w:t xml:space="preserve"> en el domicilio de la señora ROSA VELASCO QUIÑONEZ, agrediendo física y verbalmente a su </w:t>
      </w:r>
      <w:proofErr w:type="spellStart"/>
      <w:r w:rsidR="006E2D3E" w:rsidRPr="00ED541F">
        <w:rPr>
          <w:color w:val="000000" w:themeColor="text1"/>
          <w:lang w:val="es-US"/>
        </w:rPr>
        <w:t>exconviviente</w:t>
      </w:r>
      <w:proofErr w:type="spellEnd"/>
      <w:r w:rsidR="006E2D3E" w:rsidRPr="00ED541F">
        <w:rPr>
          <w:color w:val="000000" w:themeColor="text1"/>
          <w:lang w:val="es-US"/>
        </w:rPr>
        <w:t xml:space="preserve"> MICAELA VELASCO</w:t>
      </w:r>
      <w:r w:rsidR="00E21369" w:rsidRPr="00ED541F">
        <w:rPr>
          <w:color w:val="000000" w:themeColor="text1"/>
          <w:lang w:val="es-US"/>
        </w:rPr>
        <w:t xml:space="preserve"> </w:t>
      </w:r>
      <w:r w:rsidR="00D71622" w:rsidRPr="00ED541F">
        <w:rPr>
          <w:color w:val="000000" w:themeColor="text1"/>
          <w:lang w:val="es-US"/>
        </w:rPr>
        <w:t>(…)</w:t>
      </w:r>
      <w:r w:rsidR="00E21369" w:rsidRPr="00ED541F">
        <w:rPr>
          <w:color w:val="000000" w:themeColor="text1"/>
          <w:lang w:val="es-US"/>
        </w:rPr>
        <w:t>.</w:t>
      </w:r>
      <w:r w:rsidR="00D71622" w:rsidRPr="00ED541F">
        <w:rPr>
          <w:color w:val="000000" w:themeColor="text1"/>
          <w:lang w:val="es-US"/>
        </w:rPr>
        <w:t xml:space="preserve"> </w:t>
      </w:r>
      <w:r w:rsidR="00E21369" w:rsidRPr="00ED541F">
        <w:rPr>
          <w:color w:val="000000" w:themeColor="text1"/>
          <w:lang w:val="es-US"/>
        </w:rPr>
        <w:t>Q</w:t>
      </w:r>
      <w:r w:rsidR="00D71622" w:rsidRPr="00ED541F">
        <w:rPr>
          <w:color w:val="000000" w:themeColor="text1"/>
          <w:lang w:val="es-US"/>
        </w:rPr>
        <w:t>ue había procedido a agredir verbalmente a sus superiores jerárquicos en circunstancias que había sido llamado la atención de su proceder a quienes les había dirigido epítetos impropios en un miembro policial</w:t>
      </w:r>
      <w:r w:rsidR="00E21369" w:rsidRPr="00ED541F">
        <w:rPr>
          <w:color w:val="000000" w:themeColor="text1"/>
          <w:lang w:val="es-US"/>
        </w:rPr>
        <w:t xml:space="preserve"> </w:t>
      </w:r>
      <w:r w:rsidR="006E2D3E" w:rsidRPr="00ED541F">
        <w:rPr>
          <w:color w:val="000000" w:themeColor="text1"/>
          <w:lang w:val="es-US"/>
        </w:rPr>
        <w:t>(…)</w:t>
      </w:r>
      <w:r w:rsidR="00E21369" w:rsidRPr="00ED541F">
        <w:rPr>
          <w:color w:val="000000" w:themeColor="text1"/>
          <w:lang w:val="es-US"/>
        </w:rPr>
        <w:t>. Q</w:t>
      </w:r>
      <w:r w:rsidR="00D71622" w:rsidRPr="00ED541F">
        <w:rPr>
          <w:color w:val="000000" w:themeColor="text1"/>
          <w:lang w:val="es-US"/>
        </w:rPr>
        <w:t>ue no se encontraba franco (…)</w:t>
      </w:r>
      <w:r w:rsidR="00E21369" w:rsidRPr="00ED541F">
        <w:rPr>
          <w:color w:val="000000" w:themeColor="text1"/>
          <w:lang w:val="es-US"/>
        </w:rPr>
        <w:t>. Q</w:t>
      </w:r>
      <w:r w:rsidR="00D71622" w:rsidRPr="00ED541F">
        <w:rPr>
          <w:color w:val="000000" w:themeColor="text1"/>
          <w:lang w:val="es-US"/>
        </w:rPr>
        <w:t>ue</w:t>
      </w:r>
      <w:r w:rsidR="00E21369" w:rsidRPr="00ED541F">
        <w:rPr>
          <w:color w:val="000000" w:themeColor="text1"/>
          <w:lang w:val="es-US"/>
        </w:rPr>
        <w:t xml:space="preserve"> el señor Policía VÍCTOR HENRY MINA CUERO</w:t>
      </w:r>
      <w:r w:rsidR="00D71622" w:rsidRPr="00ED541F">
        <w:rPr>
          <w:color w:val="000000" w:themeColor="text1"/>
          <w:lang w:val="es-US"/>
        </w:rPr>
        <w:t xml:space="preserve"> es reincidente en el cometimiento de estas clases de faltas disciplinarias</w:t>
      </w:r>
      <w:r w:rsidR="0026274B" w:rsidRPr="00ED541F">
        <w:rPr>
          <w:rStyle w:val="FootnoteReference"/>
          <w:color w:val="000000" w:themeColor="text1"/>
          <w:lang w:val="es-US"/>
        </w:rPr>
        <w:footnoteReference w:id="13"/>
      </w:r>
      <w:r w:rsidR="0026274B" w:rsidRPr="00ED541F">
        <w:rPr>
          <w:color w:val="000000" w:themeColor="text1"/>
          <w:lang w:val="es-US"/>
        </w:rPr>
        <w:t>.</w:t>
      </w:r>
    </w:p>
    <w:p w14:paraId="776A3DAE"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US"/>
        </w:rPr>
      </w:pPr>
    </w:p>
    <w:p w14:paraId="1F5ADC72" w14:textId="77777777" w:rsidR="00DC70D4" w:rsidRPr="00ED541F" w:rsidRDefault="00A25CE6" w:rsidP="00284AF8">
      <w:pPr>
        <w:pStyle w:val="Heading3"/>
        <w:numPr>
          <w:ilvl w:val="0"/>
          <w:numId w:val="58"/>
        </w:numPr>
        <w:spacing w:before="0" w:after="0"/>
        <w:ind w:hanging="90"/>
        <w:jc w:val="both"/>
        <w:rPr>
          <w:rFonts w:asciiTheme="majorHAnsi" w:hAnsiTheme="majorHAnsi"/>
          <w:color w:val="000000" w:themeColor="text1"/>
          <w:sz w:val="20"/>
          <w:szCs w:val="20"/>
          <w:lang w:val="es-US"/>
        </w:rPr>
      </w:pPr>
      <w:bookmarkStart w:id="35" w:name="_Toc505243737"/>
      <w:bookmarkStart w:id="36" w:name="_Toc531880975"/>
      <w:r w:rsidRPr="00ED541F">
        <w:rPr>
          <w:rFonts w:asciiTheme="majorHAnsi" w:hAnsiTheme="majorHAnsi"/>
          <w:color w:val="000000" w:themeColor="text1"/>
          <w:sz w:val="20"/>
          <w:szCs w:val="20"/>
          <w:lang w:val="es-US"/>
        </w:rPr>
        <w:t>Proceso</w:t>
      </w:r>
      <w:r w:rsidR="007313EB" w:rsidRPr="00ED541F">
        <w:rPr>
          <w:rFonts w:asciiTheme="majorHAnsi" w:hAnsiTheme="majorHAnsi"/>
          <w:color w:val="000000" w:themeColor="text1"/>
          <w:sz w:val="20"/>
          <w:szCs w:val="20"/>
          <w:lang w:val="es-US"/>
        </w:rPr>
        <w:t xml:space="preserve"> y destitución por</w:t>
      </w:r>
      <w:r w:rsidR="0026274B" w:rsidRPr="00ED541F">
        <w:rPr>
          <w:rFonts w:asciiTheme="majorHAnsi" w:hAnsiTheme="majorHAnsi"/>
          <w:color w:val="000000" w:themeColor="text1"/>
          <w:sz w:val="20"/>
          <w:szCs w:val="20"/>
          <w:lang w:val="es-US"/>
        </w:rPr>
        <w:t xml:space="preserve"> el Tribunal de Disciplina</w:t>
      </w:r>
      <w:bookmarkEnd w:id="35"/>
      <w:bookmarkEnd w:id="36"/>
    </w:p>
    <w:p w14:paraId="4D44BF07" w14:textId="77777777" w:rsidR="00206A16" w:rsidRPr="00ED541F" w:rsidRDefault="00206A16" w:rsidP="00206A16"/>
    <w:p w14:paraId="7BC7BBB4" w14:textId="77777777" w:rsidR="0087334E" w:rsidRPr="00ED541F" w:rsidRDefault="00DC70D4"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E</w:t>
      </w:r>
      <w:r w:rsidR="0026274B" w:rsidRPr="00ED541F">
        <w:rPr>
          <w:rFonts w:eastAsia="Calibri"/>
          <w:lang w:val="es-VE"/>
        </w:rPr>
        <w:t>l 17 de octubre del 2000, el Comando General de la Policía dispuso</w:t>
      </w:r>
      <w:r w:rsidR="00D32CA4" w:rsidRPr="00ED541F">
        <w:rPr>
          <w:rFonts w:eastAsia="Calibri"/>
          <w:lang w:val="es-VE"/>
        </w:rPr>
        <w:t xml:space="preserve"> </w:t>
      </w:r>
      <w:r w:rsidR="0026274B" w:rsidRPr="00ED541F">
        <w:rPr>
          <w:rFonts w:eastAsia="Calibri"/>
          <w:lang w:val="es-VE"/>
        </w:rPr>
        <w:t>la conformación de un Tribunal de Disciplina</w:t>
      </w:r>
      <w:r w:rsidR="005B7258" w:rsidRPr="00ED541F">
        <w:rPr>
          <w:rFonts w:eastAsia="Calibri"/>
          <w:lang w:val="es-VE"/>
        </w:rPr>
        <w:t xml:space="preserve"> que</w:t>
      </w:r>
      <w:r w:rsidR="0026274B" w:rsidRPr="00ED541F">
        <w:rPr>
          <w:rFonts w:eastAsia="Calibri"/>
          <w:lang w:val="es-VE"/>
        </w:rPr>
        <w:t xml:space="preserve"> </w:t>
      </w:r>
      <w:r w:rsidR="00F40446" w:rsidRPr="00ED541F">
        <w:rPr>
          <w:rFonts w:eastAsia="Calibri"/>
          <w:lang w:val="es-VE"/>
        </w:rPr>
        <w:t xml:space="preserve">“conocerá, juzgará y sancionará las faltas disciplinarias atribuidas </w:t>
      </w:r>
      <w:r w:rsidR="00655031" w:rsidRPr="00ED541F">
        <w:rPr>
          <w:rFonts w:eastAsia="Calibri"/>
          <w:lang w:val="es-VE"/>
        </w:rPr>
        <w:t>al prenombrado miembro Policial (…)”</w:t>
      </w:r>
      <w:r w:rsidRPr="00ED541F">
        <w:rPr>
          <w:rFonts w:eastAsia="Calibri"/>
          <w:vertAlign w:val="superscript"/>
          <w:lang w:val="es-VE"/>
        </w:rPr>
        <w:footnoteReference w:id="14"/>
      </w:r>
      <w:r w:rsidRPr="00ED541F">
        <w:rPr>
          <w:rFonts w:eastAsia="Calibri"/>
          <w:lang w:val="es-VE"/>
        </w:rPr>
        <w:t>. En dicha decisión se indicó que la audiencia del tribunal se llevaría a cabo el 25 de octubre del 2000</w:t>
      </w:r>
      <w:r w:rsidR="0026274B" w:rsidRPr="00ED541F">
        <w:rPr>
          <w:rFonts w:eastAsia="Calibri"/>
          <w:lang w:val="es-VE"/>
        </w:rPr>
        <w:t xml:space="preserve"> a las 11:00 en el casino del CP-14</w:t>
      </w:r>
      <w:r w:rsidR="0026274B" w:rsidRPr="00ED541F">
        <w:rPr>
          <w:rFonts w:eastAsia="Calibri"/>
          <w:lang w:val="es-VE"/>
        </w:rPr>
        <w:footnoteReference w:id="15"/>
      </w:r>
      <w:r w:rsidR="0026274B" w:rsidRPr="00ED541F">
        <w:rPr>
          <w:rFonts w:eastAsia="Calibri"/>
          <w:lang w:val="es-VE"/>
        </w:rPr>
        <w:t>.</w:t>
      </w:r>
      <w:r w:rsidRPr="00ED541F">
        <w:rPr>
          <w:rFonts w:eastAsia="Calibri"/>
          <w:lang w:val="es-VE"/>
        </w:rPr>
        <w:t xml:space="preserve"> </w:t>
      </w:r>
    </w:p>
    <w:p w14:paraId="61613CB8"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3878F4BB" w14:textId="007334F7" w:rsidR="0087334E" w:rsidRPr="00ED541F" w:rsidRDefault="00DC70D4"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peticionario indicó que la decisión anterior nunca </w:t>
      </w:r>
      <w:r w:rsidR="00A31F0F" w:rsidRPr="00ED541F">
        <w:rPr>
          <w:rFonts w:eastAsia="Calibri"/>
          <w:lang w:val="es-VE"/>
        </w:rPr>
        <w:t>le fue notificada</w:t>
      </w:r>
      <w:r w:rsidR="00EE0A87" w:rsidRPr="00ED541F">
        <w:rPr>
          <w:rFonts w:eastAsia="Calibri"/>
          <w:lang w:val="es-VE"/>
        </w:rPr>
        <w:t xml:space="preserve"> y que fue</w:t>
      </w:r>
      <w:r w:rsidRPr="00ED541F">
        <w:rPr>
          <w:rFonts w:eastAsia="Calibri"/>
          <w:lang w:val="es-VE"/>
        </w:rPr>
        <w:t xml:space="preserve"> hasta el 24 de octubre del 2000 en la ciudad de Loja, que uno de sus superiores le comunicó que </w:t>
      </w:r>
      <w:r w:rsidR="009E44DD" w:rsidRPr="00ED541F">
        <w:rPr>
          <w:rFonts w:eastAsia="Calibri"/>
          <w:lang w:val="es-VE"/>
        </w:rPr>
        <w:t>debía</w:t>
      </w:r>
      <w:r w:rsidRPr="00ED541F">
        <w:rPr>
          <w:rFonts w:eastAsia="Calibri"/>
          <w:lang w:val="es-VE"/>
        </w:rPr>
        <w:t xml:space="preserve"> comparecer a la audiencia en el Tribunal de Disciplina, en la ciudad de Esmeralda</w:t>
      </w:r>
      <w:r w:rsidR="008F0EAB" w:rsidRPr="00ED541F">
        <w:rPr>
          <w:rFonts w:eastAsia="Calibri"/>
          <w:lang w:val="es-VE"/>
        </w:rPr>
        <w:t>s</w:t>
      </w:r>
      <w:r w:rsidRPr="00ED541F">
        <w:rPr>
          <w:rFonts w:eastAsia="Calibri"/>
          <w:lang w:val="es-VE"/>
        </w:rPr>
        <w:t xml:space="preserve">, </w:t>
      </w:r>
      <w:r w:rsidR="008B47BB" w:rsidRPr="00ED541F">
        <w:rPr>
          <w:rFonts w:eastAsia="Calibri"/>
          <w:lang w:val="es-VE"/>
        </w:rPr>
        <w:t>la cual se encontraba muy alejada de su lugar de residencia</w:t>
      </w:r>
      <w:r w:rsidRPr="00ED541F">
        <w:rPr>
          <w:rFonts w:eastAsia="Calibri"/>
          <w:lang w:val="es-VE"/>
        </w:rPr>
        <w:t xml:space="preserve">. </w:t>
      </w:r>
      <w:r w:rsidR="0070244A" w:rsidRPr="00ED541F">
        <w:rPr>
          <w:rFonts w:eastAsia="Calibri"/>
          <w:lang w:val="es-VE"/>
        </w:rPr>
        <w:t>El E</w:t>
      </w:r>
      <w:r w:rsidRPr="00ED541F">
        <w:rPr>
          <w:rFonts w:eastAsia="Calibri"/>
          <w:lang w:val="es-VE"/>
        </w:rPr>
        <w:t xml:space="preserve">stado </w:t>
      </w:r>
      <w:r w:rsidR="0070244A" w:rsidRPr="00ED541F">
        <w:rPr>
          <w:rFonts w:eastAsia="Calibri"/>
          <w:lang w:val="es-VE"/>
        </w:rPr>
        <w:t>no aportó prueba alguna sobre la</w:t>
      </w:r>
      <w:r w:rsidR="003A5036" w:rsidRPr="00ED541F">
        <w:rPr>
          <w:rFonts w:eastAsia="Calibri"/>
          <w:lang w:val="es-VE"/>
        </w:rPr>
        <w:t xml:space="preserve"> existencia de una </w:t>
      </w:r>
      <w:r w:rsidR="00E40ABD" w:rsidRPr="00ED541F">
        <w:rPr>
          <w:rFonts w:eastAsia="Calibri"/>
          <w:lang w:val="es-VE"/>
        </w:rPr>
        <w:t>notifi</w:t>
      </w:r>
      <w:r w:rsidR="008417A8" w:rsidRPr="00ED541F">
        <w:rPr>
          <w:rFonts w:eastAsia="Calibri"/>
          <w:lang w:val="es-VE"/>
        </w:rPr>
        <w:t>cación formal</w:t>
      </w:r>
      <w:r w:rsidR="00B07F5D" w:rsidRPr="00ED541F">
        <w:rPr>
          <w:rFonts w:eastAsia="Calibri"/>
          <w:lang w:val="es-VE"/>
        </w:rPr>
        <w:t xml:space="preserve"> y escrita</w:t>
      </w:r>
      <w:r w:rsidR="008417A8" w:rsidRPr="00ED541F">
        <w:rPr>
          <w:rFonts w:eastAsia="Calibri"/>
          <w:lang w:val="es-VE"/>
        </w:rPr>
        <w:t xml:space="preserve"> </w:t>
      </w:r>
      <w:r w:rsidR="00B07F5D" w:rsidRPr="00ED541F">
        <w:rPr>
          <w:rFonts w:eastAsia="Calibri"/>
          <w:lang w:val="es-VE"/>
        </w:rPr>
        <w:t xml:space="preserve">de la apertura del procedimiento, las razones </w:t>
      </w:r>
      <w:proofErr w:type="gramStart"/>
      <w:r w:rsidR="00B07F5D" w:rsidRPr="00ED541F">
        <w:rPr>
          <w:rFonts w:eastAsia="Calibri"/>
          <w:lang w:val="es-VE"/>
        </w:rPr>
        <w:t>del mismo</w:t>
      </w:r>
      <w:proofErr w:type="gramEnd"/>
      <w:r w:rsidR="00B07F5D" w:rsidRPr="00ED541F">
        <w:rPr>
          <w:rFonts w:eastAsia="Calibri"/>
          <w:lang w:val="es-VE"/>
        </w:rPr>
        <w:t xml:space="preserve"> y la convocatoria a la audiencia</w:t>
      </w:r>
      <w:r w:rsidR="0070244A" w:rsidRPr="00ED541F">
        <w:rPr>
          <w:rFonts w:eastAsia="Calibri"/>
          <w:lang w:val="es-VE"/>
        </w:rPr>
        <w:t xml:space="preserve">. </w:t>
      </w:r>
    </w:p>
    <w:p w14:paraId="6A633C21"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13518C05" w14:textId="61094C7B" w:rsidR="0087334E" w:rsidRPr="00ED541F" w:rsidRDefault="00011BC5"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lastRenderedPageBreak/>
        <w:t>El 25 de octubre de 2000 se llevó a cabo la audiencia</w:t>
      </w:r>
      <w:r w:rsidRPr="00ED541F">
        <w:rPr>
          <w:rFonts w:eastAsia="Calibri"/>
          <w:vertAlign w:val="superscript"/>
          <w:lang w:val="es-VE"/>
        </w:rPr>
        <w:footnoteReference w:id="16"/>
      </w:r>
      <w:r w:rsidRPr="00ED541F">
        <w:rPr>
          <w:rFonts w:eastAsia="Calibri"/>
          <w:lang w:val="es-VE"/>
        </w:rPr>
        <w:t xml:space="preserve">. </w:t>
      </w:r>
      <w:r w:rsidR="006C6717" w:rsidRPr="00ED541F">
        <w:rPr>
          <w:rFonts w:eastAsia="Calibri"/>
          <w:lang w:val="es-VE"/>
        </w:rPr>
        <w:t>E</w:t>
      </w:r>
      <w:r w:rsidRPr="00ED541F">
        <w:rPr>
          <w:rFonts w:eastAsia="Calibri"/>
          <w:lang w:val="es-VE"/>
        </w:rPr>
        <w:t>l</w:t>
      </w:r>
      <w:r w:rsidR="006C6717" w:rsidRPr="00ED541F">
        <w:rPr>
          <w:rFonts w:eastAsia="Calibri"/>
          <w:lang w:val="es-VE"/>
        </w:rPr>
        <w:t xml:space="preserve"> señor Mina Cuero </w:t>
      </w:r>
      <w:r w:rsidRPr="00ED541F">
        <w:rPr>
          <w:rFonts w:eastAsia="Calibri"/>
          <w:lang w:val="es-VE"/>
        </w:rPr>
        <w:t xml:space="preserve">contó con la asistencia jurídica de los abogados </w:t>
      </w:r>
      <w:r w:rsidR="0026274B" w:rsidRPr="00ED541F">
        <w:rPr>
          <w:rFonts w:eastAsia="Calibri"/>
          <w:lang w:val="es-VE"/>
        </w:rPr>
        <w:t xml:space="preserve">Zoila Nevares Klinger y Milton Quiñonez </w:t>
      </w:r>
      <w:proofErr w:type="spellStart"/>
      <w:r w:rsidR="0026274B" w:rsidRPr="00ED541F">
        <w:rPr>
          <w:rFonts w:eastAsia="Calibri"/>
          <w:lang w:val="es-VE"/>
        </w:rPr>
        <w:t>Quiñonez</w:t>
      </w:r>
      <w:proofErr w:type="spellEnd"/>
      <w:r w:rsidR="0026274B" w:rsidRPr="00ED541F">
        <w:rPr>
          <w:rFonts w:eastAsia="Calibri"/>
          <w:vertAlign w:val="superscript"/>
          <w:lang w:val="es-VE"/>
        </w:rPr>
        <w:footnoteReference w:id="17"/>
      </w:r>
      <w:r w:rsidR="00206A16" w:rsidRPr="00ED541F">
        <w:rPr>
          <w:rFonts w:eastAsia="Calibri"/>
          <w:lang w:val="es-VE"/>
        </w:rPr>
        <w:t>.</w:t>
      </w:r>
    </w:p>
    <w:p w14:paraId="7C069D4B"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3A754660" w14:textId="5C9C4E95" w:rsidR="008068C8" w:rsidRPr="00ED541F" w:rsidRDefault="00EE0A87"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Según declaró el abogado Milton Quiñonez en 2010, nunca se notificó debidamente al peticionario de la citación a la audiencia ni sobre las faltas que se le investigaban. Indicó que previo a la audiencia, solicitó que </w:t>
      </w:r>
      <w:r w:rsidR="008D2CA8" w:rsidRPr="00ED541F">
        <w:rPr>
          <w:rFonts w:eastAsia="Calibri"/>
          <w:lang w:val="es-VE"/>
        </w:rPr>
        <w:t xml:space="preserve">la misma </w:t>
      </w:r>
      <w:r w:rsidRPr="00ED541F">
        <w:rPr>
          <w:rFonts w:eastAsia="Calibri"/>
          <w:lang w:val="es-VE"/>
        </w:rPr>
        <w:t>se aplazara para poder preparar una defensa adecuada, pero su solicitud fue negada por el Tribunal de Disciplina</w:t>
      </w:r>
      <w:r w:rsidR="0026274B" w:rsidRPr="00ED541F">
        <w:rPr>
          <w:rFonts w:eastAsia="Calibri"/>
          <w:vertAlign w:val="superscript"/>
          <w:lang w:val="es-VE"/>
        </w:rPr>
        <w:footnoteReference w:id="18"/>
      </w:r>
      <w:r w:rsidR="0026274B" w:rsidRPr="00ED541F">
        <w:rPr>
          <w:rFonts w:eastAsia="Calibri"/>
          <w:lang w:val="es-VE"/>
        </w:rPr>
        <w:t>.</w:t>
      </w:r>
    </w:p>
    <w:p w14:paraId="6D6D9169"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4019B14F" w14:textId="737F8C22" w:rsidR="005537CB" w:rsidRPr="00ED541F" w:rsidRDefault="008068C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En el acta de la audiencia consta que el </w:t>
      </w:r>
      <w:proofErr w:type="gramStart"/>
      <w:r w:rsidRPr="00ED541F">
        <w:rPr>
          <w:rFonts w:eastAsia="Calibri"/>
          <w:lang w:val="es-VE"/>
        </w:rPr>
        <w:t>Presidente</w:t>
      </w:r>
      <w:proofErr w:type="gramEnd"/>
      <w:r w:rsidRPr="00ED541F">
        <w:rPr>
          <w:rFonts w:eastAsia="Calibri"/>
          <w:lang w:val="es-VE"/>
        </w:rPr>
        <w:t xml:space="preserve"> del Tribunal de Disciplina ordenó que se d</w:t>
      </w:r>
      <w:r w:rsidR="008D2CA8" w:rsidRPr="00ED541F">
        <w:rPr>
          <w:rFonts w:eastAsia="Calibri"/>
          <w:lang w:val="es-VE"/>
        </w:rPr>
        <w:t>iera</w:t>
      </w:r>
      <w:r w:rsidRPr="00ED541F">
        <w:rPr>
          <w:rFonts w:eastAsia="Calibri"/>
          <w:lang w:val="es-VE"/>
        </w:rPr>
        <w:t xml:space="preserve"> lectura </w:t>
      </w:r>
      <w:r w:rsidR="005537CB" w:rsidRPr="00ED541F">
        <w:rPr>
          <w:rFonts w:eastAsia="Calibri"/>
          <w:lang w:val="es-VE"/>
        </w:rPr>
        <w:t>a la Tarjeta de Vida Profesional de la presunta víctima, en los siguientes términos:</w:t>
      </w:r>
    </w:p>
    <w:p w14:paraId="35895876" w14:textId="77777777" w:rsidR="00206A16" w:rsidRPr="00ED541F" w:rsidRDefault="00206A16"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US"/>
        </w:rPr>
      </w:pPr>
    </w:p>
    <w:p w14:paraId="34B3F4C6" w14:textId="77777777" w:rsidR="0087334E" w:rsidRPr="00ED541F" w:rsidRDefault="005537CB" w:rsidP="00D70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color w:val="000000" w:themeColor="text1"/>
          <w:lang w:val="es-US"/>
        </w:rPr>
      </w:pPr>
      <w:r w:rsidRPr="00ED541F">
        <w:rPr>
          <w:color w:val="000000" w:themeColor="text1"/>
          <w:lang w:val="es-US"/>
        </w:rPr>
        <w:t>VICTOR HENRY MINA CUERO, quien ha ingresado a la Institución en calidad de Policía Profesional el 1 de abril de 1993, registra en su trayectoria profesional cuatro sanciones disciplinarias, con un total de 74 días un arresto superior, por no reunir las exigencias de los Arts. 68 y 81 de la Ley de Personal en vigencia, registra un juicio penal por muerte, el mismo que se ha dictado Sobreseimiento Provisional, Registra haber sido dado de baja</w:t>
      </w:r>
      <w:r w:rsidR="00DD42F3" w:rsidRPr="00ED541F">
        <w:rPr>
          <w:color w:val="000000" w:themeColor="text1"/>
          <w:lang w:val="es-US"/>
        </w:rPr>
        <w:t xml:space="preserve"> por Sentencia del Tribunal de Disciplina, y de las cuales se ha reincorporado por la Resolución del Tribunal Constitucional</w:t>
      </w:r>
      <w:r w:rsidR="00DD42F3" w:rsidRPr="00ED541F">
        <w:rPr>
          <w:rStyle w:val="FootnoteReference"/>
          <w:color w:val="000000" w:themeColor="text1"/>
          <w:lang w:val="es-US"/>
        </w:rPr>
        <w:footnoteReference w:id="19"/>
      </w:r>
      <w:r w:rsidR="00DD42F3" w:rsidRPr="00ED541F">
        <w:rPr>
          <w:color w:val="000000" w:themeColor="text1"/>
          <w:lang w:val="es-US"/>
        </w:rPr>
        <w:t xml:space="preserve">. </w:t>
      </w:r>
    </w:p>
    <w:p w14:paraId="7113723E"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183EA942" w14:textId="77777777" w:rsidR="001F5948" w:rsidRPr="00ED541F" w:rsidRDefault="001F5948" w:rsidP="001F59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US"/>
        </w:rPr>
      </w:pPr>
      <w:r w:rsidRPr="00ED541F">
        <w:rPr>
          <w:lang w:val="es-US"/>
        </w:rPr>
        <w:t xml:space="preserve">La Comisión toma nota que previo al proceso disciplinario que se describe en la siguiente sección, la presunta víctima fue </w:t>
      </w:r>
      <w:proofErr w:type="gramStart"/>
      <w:r w:rsidRPr="00ED541F">
        <w:rPr>
          <w:lang w:val="es-US"/>
        </w:rPr>
        <w:t>sometida  a</w:t>
      </w:r>
      <w:proofErr w:type="gramEnd"/>
      <w:r w:rsidRPr="00ED541F">
        <w:rPr>
          <w:lang w:val="es-US"/>
        </w:rPr>
        <w:t xml:space="preserve"> un proceso penal y  a dos procesos disciplinarios. </w:t>
      </w:r>
    </w:p>
    <w:p w14:paraId="36EFFEDA" w14:textId="77777777" w:rsidR="001F5948" w:rsidRPr="00ED541F" w:rsidRDefault="001F5948" w:rsidP="001F594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lang w:val="es-US"/>
        </w:rPr>
      </w:pPr>
    </w:p>
    <w:p w14:paraId="3010BBAD" w14:textId="77777777" w:rsidR="001F5948" w:rsidRPr="00ED541F" w:rsidRDefault="001F5948" w:rsidP="001F59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US"/>
        </w:rPr>
      </w:pPr>
      <w:r w:rsidRPr="00ED541F">
        <w:rPr>
          <w:lang w:val="es-US"/>
        </w:rPr>
        <w:t>En cuanto al proceso penal, consta que fue procesado por el homicidio de una niña. Este proceso culminó con un sobreseimiento el 9 de diciembre de 1993 emitido por el Juzgado Séptimo Penal de los Ríos, y el fallo quedó en firme el 23 de septiembre de 1994 tras decisión de la Corte Superior de Babahoyo</w:t>
      </w:r>
      <w:r w:rsidRPr="00ED541F">
        <w:rPr>
          <w:vertAlign w:val="superscript"/>
        </w:rPr>
        <w:footnoteReference w:id="20"/>
      </w:r>
      <w:r w:rsidRPr="00ED541F">
        <w:rPr>
          <w:lang w:val="es-US"/>
        </w:rPr>
        <w:t>.</w:t>
      </w:r>
    </w:p>
    <w:p w14:paraId="0CFCA475" w14:textId="77777777" w:rsidR="001F5948" w:rsidRPr="00ED541F" w:rsidRDefault="001F5948" w:rsidP="001F5948">
      <w:pPr>
        <w:pStyle w:val="ListParagraph"/>
        <w:rPr>
          <w:lang w:val="es-US"/>
        </w:rPr>
      </w:pPr>
    </w:p>
    <w:p w14:paraId="533DD05A" w14:textId="77777777" w:rsidR="001F5948" w:rsidRPr="00ED541F" w:rsidRDefault="001F5948" w:rsidP="001F59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US"/>
        </w:rPr>
      </w:pPr>
      <w:r w:rsidRPr="00ED541F">
        <w:rPr>
          <w:lang w:val="es-US"/>
        </w:rPr>
        <w:t xml:space="preserve">Con respecto </w:t>
      </w:r>
      <w:proofErr w:type="gramStart"/>
      <w:r w:rsidRPr="00ED541F">
        <w:rPr>
          <w:lang w:val="es-US"/>
        </w:rPr>
        <w:t>al  primer</w:t>
      </w:r>
      <w:proofErr w:type="gramEnd"/>
      <w:r w:rsidRPr="00ED541F">
        <w:rPr>
          <w:lang w:val="es-US"/>
        </w:rPr>
        <w:t xml:space="preserve"> proceso disciplinario, consta que el 24 de septiembre de 1996 fue dado de baja por infringir el Código Penal de la Policía Nacional, sin embargo, el 5 de agosto de 1998 la Segunda Sala del Tribunal Constitucional concedió recurso de amparo y dispuso su reintegro a  las filas</w:t>
      </w:r>
      <w:r w:rsidRPr="00ED541F">
        <w:rPr>
          <w:vertAlign w:val="superscript"/>
        </w:rPr>
        <w:footnoteReference w:id="21"/>
      </w:r>
      <w:r w:rsidRPr="00ED541F">
        <w:rPr>
          <w:lang w:val="es-US"/>
        </w:rPr>
        <w:t xml:space="preserve">. </w:t>
      </w:r>
    </w:p>
    <w:p w14:paraId="056F0136" w14:textId="77777777" w:rsidR="001F5948" w:rsidRPr="00ED541F" w:rsidRDefault="001F5948" w:rsidP="001F5948">
      <w:pPr>
        <w:pStyle w:val="ListParagraph"/>
        <w:rPr>
          <w:lang w:val="es-AR"/>
        </w:rPr>
      </w:pPr>
    </w:p>
    <w:p w14:paraId="0E8E3968" w14:textId="77777777" w:rsidR="001F5948" w:rsidRPr="00ED541F" w:rsidRDefault="001F5948" w:rsidP="001F59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US"/>
        </w:rPr>
      </w:pPr>
      <w:r w:rsidRPr="00ED541F">
        <w:rPr>
          <w:lang w:val="es-AR"/>
        </w:rPr>
        <w:t xml:space="preserve">En relación con el segundo proceso disciplinario, consta que el 13 de enero de 1999, la presunta víctima fue sancionado con destitución, sin </w:t>
      </w:r>
      <w:proofErr w:type="gramStart"/>
      <w:r w:rsidRPr="00ED541F">
        <w:rPr>
          <w:lang w:val="es-AR"/>
        </w:rPr>
        <w:t>embargo</w:t>
      </w:r>
      <w:proofErr w:type="gramEnd"/>
      <w:r w:rsidRPr="00ED541F">
        <w:rPr>
          <w:lang w:val="es-AR"/>
        </w:rPr>
        <w:t xml:space="preserve"> el 24 de enero de 2000 el Tribunal Constitucional concedió un recurso de inconstitucionalidad a favor de la presunta víctima y revocó la decisión de destitución</w:t>
      </w:r>
      <w:r w:rsidRPr="00ED541F">
        <w:rPr>
          <w:vertAlign w:val="superscript"/>
        </w:rPr>
        <w:footnoteReference w:id="22"/>
      </w:r>
      <w:r w:rsidRPr="00ED541F">
        <w:rPr>
          <w:lang w:val="es-US"/>
        </w:rPr>
        <w:t>.</w:t>
      </w:r>
    </w:p>
    <w:p w14:paraId="58FDB612" w14:textId="77777777" w:rsidR="001F5948" w:rsidRPr="00ED541F" w:rsidRDefault="001F5948"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76C217EF" w14:textId="116C5C7F" w:rsidR="00591918" w:rsidRPr="00ED541F" w:rsidRDefault="00DD42F3"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Al final del acta consta que </w:t>
      </w:r>
      <w:proofErr w:type="gramStart"/>
      <w:r w:rsidRPr="00ED541F">
        <w:rPr>
          <w:rFonts w:eastAsia="Calibri"/>
          <w:lang w:val="es-VE"/>
        </w:rPr>
        <w:t xml:space="preserve">el </w:t>
      </w:r>
      <w:r w:rsidR="0026274B" w:rsidRPr="00ED541F">
        <w:rPr>
          <w:rFonts w:eastAsia="Calibri"/>
          <w:lang w:val="es-VE"/>
        </w:rPr>
        <w:t xml:space="preserve"> Tribunal</w:t>
      </w:r>
      <w:proofErr w:type="gramEnd"/>
      <w:r w:rsidR="0026274B" w:rsidRPr="00ED541F">
        <w:rPr>
          <w:rFonts w:eastAsia="Calibri"/>
          <w:lang w:val="es-VE"/>
        </w:rPr>
        <w:t xml:space="preserve"> de Disciplina profirió resolución sanciona</w:t>
      </w:r>
      <w:r w:rsidR="00B121E9" w:rsidRPr="00ED541F">
        <w:rPr>
          <w:rFonts w:eastAsia="Calibri"/>
          <w:lang w:val="es-VE"/>
        </w:rPr>
        <w:t>n</w:t>
      </w:r>
      <w:r w:rsidR="0026274B" w:rsidRPr="00ED541F">
        <w:rPr>
          <w:rFonts w:eastAsia="Calibri"/>
          <w:lang w:val="es-VE"/>
        </w:rPr>
        <w:t xml:space="preserve">do a Víctor Henry Mina Cuero con la </w:t>
      </w:r>
      <w:r w:rsidRPr="00ED541F">
        <w:rPr>
          <w:rFonts w:eastAsia="Calibri"/>
          <w:lang w:val="es-VE"/>
        </w:rPr>
        <w:t xml:space="preserve">“destitución o </w:t>
      </w:r>
      <w:r w:rsidR="0026274B" w:rsidRPr="00ED541F">
        <w:rPr>
          <w:rFonts w:eastAsia="Calibri"/>
          <w:lang w:val="es-VE"/>
        </w:rPr>
        <w:t xml:space="preserve">baja de las filas </w:t>
      </w:r>
      <w:r w:rsidR="00C6677D" w:rsidRPr="00ED541F">
        <w:rPr>
          <w:rFonts w:eastAsia="Calibri"/>
          <w:lang w:val="es-VE"/>
        </w:rPr>
        <w:t>p</w:t>
      </w:r>
      <w:r w:rsidR="0026274B" w:rsidRPr="00ED541F">
        <w:rPr>
          <w:rFonts w:eastAsia="Calibri"/>
          <w:lang w:val="es-VE"/>
        </w:rPr>
        <w:t>oliciales</w:t>
      </w:r>
      <w:r w:rsidRPr="00ED541F">
        <w:rPr>
          <w:rFonts w:eastAsia="Calibri"/>
          <w:lang w:val="es-VE"/>
        </w:rPr>
        <w:t>”</w:t>
      </w:r>
      <w:r w:rsidR="0026274B" w:rsidRPr="00ED541F">
        <w:rPr>
          <w:rFonts w:eastAsia="Calibri"/>
          <w:vertAlign w:val="superscript"/>
          <w:lang w:val="es-VE"/>
        </w:rPr>
        <w:footnoteReference w:id="23"/>
      </w:r>
      <w:r w:rsidR="0026274B" w:rsidRPr="00ED541F">
        <w:rPr>
          <w:rFonts w:eastAsia="Calibri"/>
          <w:lang w:val="es-VE"/>
        </w:rPr>
        <w:t>.</w:t>
      </w:r>
      <w:r w:rsidR="00EE0A87" w:rsidRPr="00ED541F">
        <w:rPr>
          <w:rFonts w:eastAsia="Calibri"/>
          <w:lang w:val="es-VE"/>
        </w:rPr>
        <w:t xml:space="preserve"> </w:t>
      </w:r>
      <w:r w:rsidR="004971D1" w:rsidRPr="00ED541F">
        <w:rPr>
          <w:rFonts w:eastAsia="Calibri"/>
          <w:lang w:val="es-VE"/>
        </w:rPr>
        <w:t xml:space="preserve"> </w:t>
      </w:r>
    </w:p>
    <w:p w14:paraId="0B266695"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0F1D1B05" w14:textId="77777777" w:rsidR="00591918" w:rsidRPr="00ED541F" w:rsidRDefault="0059191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lastRenderedPageBreak/>
        <w:t>Dicho Tribunal dio como hechos probados los siguientes:</w:t>
      </w:r>
    </w:p>
    <w:p w14:paraId="5B3A29FC" w14:textId="77777777" w:rsidR="00206A16" w:rsidRPr="00ED541F" w:rsidRDefault="00206A16"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6AA25792" w14:textId="77777777" w:rsidR="00591918" w:rsidRPr="00ED541F" w:rsidRDefault="00591918" w:rsidP="00D70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rFonts w:eastAsia="Calibri"/>
          <w:lang w:val="es-VE"/>
        </w:rPr>
      </w:pPr>
      <w:r w:rsidRPr="00ED541F">
        <w:rPr>
          <w:rFonts w:eastAsia="Calibri"/>
          <w:lang w:val="es-VE"/>
        </w:rPr>
        <w:t>El señor Policía Nacional el día 15 de septiembre del 2000, se había trasladado desde la provincia de Loja, hasta la ciudad de Quinde, por cuanto había recibido una llamada de su conviviente la señora Micaela Velasco, en la que indica que su hija se encontraba en</w:t>
      </w:r>
      <w:r w:rsidR="000579A9" w:rsidRPr="00ED541F">
        <w:rPr>
          <w:rFonts w:eastAsia="Calibri"/>
          <w:lang w:val="es-VE"/>
        </w:rPr>
        <w:t xml:space="preserve">ferma, optando por trasladarse </w:t>
      </w:r>
      <w:r w:rsidRPr="00ED541F">
        <w:rPr>
          <w:rFonts w:eastAsia="Calibri"/>
          <w:lang w:val="es-VE"/>
        </w:rPr>
        <w:t>a</w:t>
      </w:r>
      <w:r w:rsidR="000579A9" w:rsidRPr="00ED541F">
        <w:rPr>
          <w:rFonts w:eastAsia="Calibri"/>
          <w:lang w:val="es-VE"/>
        </w:rPr>
        <w:t>l</w:t>
      </w:r>
      <w:r w:rsidRPr="00ED541F">
        <w:rPr>
          <w:rFonts w:eastAsia="Calibri"/>
          <w:lang w:val="es-VE"/>
        </w:rPr>
        <w:t xml:space="preserve"> domicilio de ésta, pero que había sido recibido por un familiar de ella, quien le habría agredido verbal y físicamente, habiendo optado por retirarse a su domicilio y que posteriormente habían llegado </w:t>
      </w:r>
      <w:r w:rsidR="000579A9" w:rsidRPr="00ED541F">
        <w:rPr>
          <w:rFonts w:eastAsia="Calibri"/>
          <w:lang w:val="es-VE"/>
        </w:rPr>
        <w:t>Miembros Policiales, ante lo cual, había optado por no salir del mismo, manifestándoles que eran unos Policías broncos, todo esto conforme a su declaración rendida en esta Audiencia y en presencia de su Abogado Defensor</w:t>
      </w:r>
      <w:r w:rsidR="000579A9" w:rsidRPr="00ED541F">
        <w:rPr>
          <w:rFonts w:eastAsia="Calibri"/>
          <w:vertAlign w:val="superscript"/>
          <w:lang w:val="es-VE"/>
        </w:rPr>
        <w:footnoteReference w:id="24"/>
      </w:r>
      <w:r w:rsidR="000579A9" w:rsidRPr="00ED541F">
        <w:rPr>
          <w:rFonts w:eastAsia="Calibri"/>
          <w:lang w:val="es-VE"/>
        </w:rPr>
        <w:t xml:space="preserve">. </w:t>
      </w:r>
    </w:p>
    <w:p w14:paraId="616989CD"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71066430" w14:textId="7F2FE4AA" w:rsidR="00B96F7B" w:rsidRPr="00ED541F" w:rsidRDefault="000579A9"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Dentro de sus consideraciones, el Tribu</w:t>
      </w:r>
      <w:r w:rsidR="00955187" w:rsidRPr="00ED541F">
        <w:rPr>
          <w:rFonts w:eastAsia="Calibri"/>
          <w:lang w:val="es-VE"/>
        </w:rPr>
        <w:t>nal</w:t>
      </w:r>
      <w:r w:rsidRPr="00ED541F">
        <w:rPr>
          <w:rFonts w:eastAsia="Calibri"/>
          <w:lang w:val="es-VE"/>
        </w:rPr>
        <w:t xml:space="preserve"> estimó que:</w:t>
      </w:r>
    </w:p>
    <w:p w14:paraId="1306F6C8" w14:textId="77777777" w:rsidR="00206A16" w:rsidRPr="00ED541F" w:rsidRDefault="00206A16"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CO"/>
        </w:rPr>
      </w:pPr>
    </w:p>
    <w:p w14:paraId="1D3E71B6" w14:textId="6B6458BF" w:rsidR="008068C8" w:rsidRPr="00ED541F" w:rsidRDefault="00B96F7B" w:rsidP="00D70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color w:val="000000" w:themeColor="text1"/>
          <w:lang w:val="es-CO"/>
        </w:rPr>
      </w:pPr>
      <w:r w:rsidRPr="00ED541F">
        <w:rPr>
          <w:color w:val="000000" w:themeColor="text1"/>
          <w:lang w:val="es-CO"/>
        </w:rPr>
        <w:t>Este Tribunal de Disciplina ha llegado a la convicción de que la Policía Nacional, por su condición de Institución organizada bajo un sistema jerárquico disciplinado, requiere de sus miembros una consciente y severa disciplina; que se manifiesta en el fiel cumplimiento del deber y respeto a la jerarquía, la relación entre superiores y subalternos se fundamenta en el respeto mutuo. La subordinación y el respeto disciplinario se observar</w:t>
      </w:r>
      <w:r w:rsidR="009F1B1E" w:rsidRPr="00ED541F">
        <w:rPr>
          <w:color w:val="000000" w:themeColor="text1"/>
          <w:lang w:val="es-CO"/>
        </w:rPr>
        <w:t>á</w:t>
      </w:r>
      <w:r w:rsidRPr="00ED541F">
        <w:rPr>
          <w:color w:val="000000" w:themeColor="text1"/>
          <w:lang w:val="es-CO"/>
        </w:rPr>
        <w:t xml:space="preserve"> aun fuera de los actos del servicio, precepto que en este caso no ha sido observado ni cumplido por parte del señor Policía Nacional Víctor Henry Mina Cuero, quien con su accionar se ha encuadrado en lo dispuesto por el Art. 64 </w:t>
      </w:r>
      <w:proofErr w:type="spellStart"/>
      <w:r w:rsidRPr="00ED541F">
        <w:rPr>
          <w:color w:val="000000" w:themeColor="text1"/>
          <w:lang w:val="es-CO"/>
        </w:rPr>
        <w:t>Nral</w:t>
      </w:r>
      <w:proofErr w:type="spellEnd"/>
      <w:r w:rsidRPr="00ED541F">
        <w:rPr>
          <w:color w:val="000000" w:themeColor="text1"/>
          <w:lang w:val="es-CO"/>
        </w:rPr>
        <w:t xml:space="preserve"> 5 y 26 del Reglamento Disciplinario Institucional, estando presentes las circunstancias agravantes señaladas por el </w:t>
      </w:r>
      <w:r w:rsidR="00655031" w:rsidRPr="00ED541F">
        <w:rPr>
          <w:color w:val="000000" w:themeColor="text1"/>
          <w:lang w:val="es-CO"/>
        </w:rPr>
        <w:t>artículo</w:t>
      </w:r>
      <w:r w:rsidRPr="00ED541F">
        <w:rPr>
          <w:color w:val="000000" w:themeColor="text1"/>
          <w:lang w:val="es-CO"/>
        </w:rPr>
        <w:t xml:space="preserve"> 30 </w:t>
      </w:r>
      <w:r w:rsidR="00655031" w:rsidRPr="00ED541F">
        <w:rPr>
          <w:color w:val="000000" w:themeColor="text1"/>
          <w:lang w:val="es-CO"/>
        </w:rPr>
        <w:t>letras</w:t>
      </w:r>
      <w:r w:rsidRPr="00ED541F">
        <w:rPr>
          <w:color w:val="000000" w:themeColor="text1"/>
          <w:lang w:val="es-CO"/>
        </w:rPr>
        <w:t xml:space="preserve"> c), d) y m) del antes c</w:t>
      </w:r>
      <w:r w:rsidR="003963D8" w:rsidRPr="00ED541F">
        <w:rPr>
          <w:color w:val="000000" w:themeColor="text1"/>
          <w:lang w:val="es-CO"/>
        </w:rPr>
        <w:t>itado cuerpo de Ley</w:t>
      </w:r>
      <w:r w:rsidR="000579A9" w:rsidRPr="00ED541F">
        <w:rPr>
          <w:rFonts w:eastAsia="Calibri"/>
          <w:vertAlign w:val="superscript"/>
          <w:lang w:val="es-VE"/>
        </w:rPr>
        <w:footnoteReference w:id="25"/>
      </w:r>
      <w:r w:rsidR="003963D8" w:rsidRPr="00ED541F">
        <w:rPr>
          <w:color w:val="000000" w:themeColor="text1"/>
          <w:lang w:val="es-CO"/>
        </w:rPr>
        <w:t>.</w:t>
      </w:r>
    </w:p>
    <w:p w14:paraId="0D36239C" w14:textId="77777777" w:rsidR="00206A16" w:rsidRPr="00ED541F" w:rsidRDefault="00206A16"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CO"/>
        </w:rPr>
      </w:pPr>
    </w:p>
    <w:p w14:paraId="7F9D18B9" w14:textId="5F03585D" w:rsidR="0087334E" w:rsidRPr="00ED541F" w:rsidRDefault="00234869"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10 de noviembre del 2000 fue publicada en la Orden </w:t>
      </w:r>
      <w:r w:rsidR="002079DA" w:rsidRPr="00ED541F">
        <w:rPr>
          <w:rFonts w:eastAsia="Calibri"/>
          <w:lang w:val="es-VE"/>
        </w:rPr>
        <w:t>General</w:t>
      </w:r>
      <w:r w:rsidRPr="00ED541F">
        <w:rPr>
          <w:rFonts w:eastAsia="Calibri"/>
          <w:lang w:val="es-VE"/>
        </w:rPr>
        <w:t xml:space="preserve"> No. 216, la </w:t>
      </w:r>
      <w:r w:rsidR="002079DA" w:rsidRPr="00ED541F">
        <w:rPr>
          <w:rFonts w:eastAsia="Calibri"/>
          <w:lang w:val="es-VE"/>
        </w:rPr>
        <w:t>Resolución</w:t>
      </w:r>
      <w:r w:rsidRPr="00ED541F">
        <w:rPr>
          <w:rFonts w:eastAsia="Calibri"/>
          <w:lang w:val="es-VE"/>
        </w:rPr>
        <w:t xml:space="preserve"> No. 2000-4</w:t>
      </w:r>
      <w:r w:rsidR="002079DA" w:rsidRPr="00ED541F">
        <w:rPr>
          <w:rFonts w:eastAsia="Calibri"/>
          <w:lang w:val="es-VE"/>
        </w:rPr>
        <w:t>02-G-</w:t>
      </w:r>
      <w:r w:rsidRPr="00ED541F">
        <w:rPr>
          <w:rFonts w:eastAsia="Calibri"/>
          <w:lang w:val="es-VE"/>
        </w:rPr>
        <w:t>CG-</w:t>
      </w:r>
      <w:proofErr w:type="gramStart"/>
      <w:r w:rsidRPr="00ED541F">
        <w:rPr>
          <w:rFonts w:eastAsia="Calibri"/>
          <w:lang w:val="es-VE"/>
        </w:rPr>
        <w:t xml:space="preserve">B </w:t>
      </w:r>
      <w:r w:rsidR="0026274B" w:rsidRPr="00ED541F">
        <w:rPr>
          <w:rFonts w:eastAsia="Calibri"/>
          <w:lang w:val="es-VE"/>
        </w:rPr>
        <w:t xml:space="preserve"> </w:t>
      </w:r>
      <w:r w:rsidR="002079DA" w:rsidRPr="00ED541F">
        <w:rPr>
          <w:rFonts w:eastAsia="Calibri"/>
          <w:lang w:val="es-VE"/>
        </w:rPr>
        <w:t>d</w:t>
      </w:r>
      <w:r w:rsidR="0026274B" w:rsidRPr="00ED541F">
        <w:rPr>
          <w:rFonts w:eastAsia="Calibri"/>
          <w:lang w:val="es-VE"/>
        </w:rPr>
        <w:t>el</w:t>
      </w:r>
      <w:proofErr w:type="gramEnd"/>
      <w:r w:rsidR="0026274B" w:rsidRPr="00ED541F">
        <w:rPr>
          <w:rFonts w:eastAsia="Calibri"/>
          <w:lang w:val="es-VE"/>
        </w:rPr>
        <w:t xml:space="preserve"> Comandante General de</w:t>
      </w:r>
      <w:r w:rsidR="00BF1C1E" w:rsidRPr="00ED541F">
        <w:rPr>
          <w:rFonts w:eastAsia="Calibri"/>
          <w:lang w:val="es-VE"/>
        </w:rPr>
        <w:t xml:space="preserve"> la Policía </w:t>
      </w:r>
      <w:proofErr w:type="spellStart"/>
      <w:r w:rsidR="00BF1C1E" w:rsidRPr="00ED541F">
        <w:rPr>
          <w:rFonts w:eastAsia="Calibri"/>
          <w:lang w:val="es-VE"/>
        </w:rPr>
        <w:t>Nacional</w:t>
      </w:r>
      <w:r w:rsidR="0026274B" w:rsidRPr="00ED541F">
        <w:rPr>
          <w:rFonts w:eastAsia="Calibri"/>
          <w:lang w:val="es-VE"/>
        </w:rPr>
        <w:t>en</w:t>
      </w:r>
      <w:proofErr w:type="spellEnd"/>
      <w:r w:rsidR="0026274B" w:rsidRPr="00ED541F">
        <w:rPr>
          <w:rFonts w:eastAsia="Calibri"/>
          <w:lang w:val="es-VE"/>
        </w:rPr>
        <w:t xml:space="preserve"> la cual, resolvió:</w:t>
      </w:r>
    </w:p>
    <w:p w14:paraId="7100E00D" w14:textId="77777777" w:rsidR="00206A16" w:rsidRPr="00ED541F" w:rsidRDefault="00206A16" w:rsidP="00206A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48CA6798" w14:textId="77777777" w:rsidR="00860360" w:rsidRPr="00ED541F" w:rsidRDefault="0026274B" w:rsidP="00D70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color w:val="000000" w:themeColor="text1"/>
          <w:lang w:val="es-US"/>
        </w:rPr>
      </w:pPr>
      <w:r w:rsidRPr="00ED541F">
        <w:rPr>
          <w:color w:val="000000" w:themeColor="text1"/>
          <w:lang w:val="es-US"/>
        </w:rPr>
        <w:t>Dar de baja de las filas Policiales con fecha 25 de octubre del 2000 al se</w:t>
      </w:r>
      <w:r w:rsidR="007A5AC0" w:rsidRPr="00ED541F">
        <w:rPr>
          <w:color w:val="000000" w:themeColor="text1"/>
          <w:lang w:val="es-US"/>
        </w:rPr>
        <w:t>ñor Policía Nacional VICTOR HEN</w:t>
      </w:r>
      <w:r w:rsidRPr="00ED541F">
        <w:rPr>
          <w:color w:val="000000" w:themeColor="text1"/>
          <w:lang w:val="es-US"/>
        </w:rPr>
        <w:t>RY MINA CUERO, de cedula de ciudadanía No. 080124510-1, por Sentencia del Tribunal de Disciplina de conformidad a lo establecido en el Artículo 66 literal j) de la Ley de Personal de la Policía Nacional, quien dejará de constar en el Comando Provincial de la Policía “Loja No. 7”</w:t>
      </w:r>
      <w:r w:rsidRPr="00ED541F">
        <w:rPr>
          <w:rStyle w:val="FootnoteReference"/>
          <w:color w:val="000000" w:themeColor="text1"/>
          <w:lang w:val="es-US"/>
        </w:rPr>
        <w:t xml:space="preserve"> </w:t>
      </w:r>
      <w:r w:rsidRPr="00ED541F">
        <w:rPr>
          <w:rStyle w:val="FootnoteReference"/>
          <w:color w:val="000000" w:themeColor="text1"/>
          <w:lang w:val="es-US"/>
        </w:rPr>
        <w:footnoteReference w:id="26"/>
      </w:r>
      <w:r w:rsidRPr="00ED541F">
        <w:rPr>
          <w:color w:val="000000" w:themeColor="text1"/>
          <w:lang w:val="es-US"/>
        </w:rPr>
        <w:t>.</w:t>
      </w:r>
    </w:p>
    <w:p w14:paraId="49A03E65" w14:textId="77777777" w:rsidR="00206A16" w:rsidRPr="00ED541F" w:rsidRDefault="00206A16"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US"/>
        </w:rPr>
      </w:pPr>
    </w:p>
    <w:p w14:paraId="17F50BC3" w14:textId="77777777" w:rsidR="00BF1C1E" w:rsidRPr="00ED541F" w:rsidRDefault="00860360" w:rsidP="00284AF8">
      <w:pPr>
        <w:pStyle w:val="Heading3"/>
        <w:numPr>
          <w:ilvl w:val="0"/>
          <w:numId w:val="58"/>
        </w:numPr>
        <w:spacing w:before="0" w:after="0"/>
        <w:ind w:hanging="90"/>
        <w:jc w:val="both"/>
        <w:rPr>
          <w:rFonts w:asciiTheme="majorHAnsi" w:hAnsiTheme="majorHAnsi" w:cs="Times New Roman"/>
          <w:color w:val="000000" w:themeColor="text1"/>
          <w:sz w:val="20"/>
          <w:szCs w:val="20"/>
          <w:lang w:val="es-AR"/>
        </w:rPr>
      </w:pPr>
      <w:bookmarkStart w:id="37" w:name="_Toc505243738"/>
      <w:bookmarkStart w:id="38" w:name="_Toc531880976"/>
      <w:r w:rsidRPr="00ED541F">
        <w:rPr>
          <w:rFonts w:asciiTheme="majorHAnsi" w:hAnsiTheme="majorHAnsi" w:cs="Times New Roman"/>
          <w:color w:val="000000" w:themeColor="text1"/>
          <w:sz w:val="20"/>
          <w:szCs w:val="20"/>
          <w:lang w:val="es-AR"/>
        </w:rPr>
        <w:t>Recurso de amparo</w:t>
      </w:r>
      <w:bookmarkEnd w:id="37"/>
      <w:bookmarkEnd w:id="38"/>
      <w:r w:rsidRPr="00ED541F">
        <w:rPr>
          <w:rFonts w:asciiTheme="majorHAnsi" w:hAnsiTheme="majorHAnsi" w:cs="Times New Roman"/>
          <w:color w:val="000000" w:themeColor="text1"/>
          <w:sz w:val="20"/>
          <w:szCs w:val="20"/>
          <w:lang w:val="es-AR"/>
        </w:rPr>
        <w:t xml:space="preserve"> </w:t>
      </w:r>
    </w:p>
    <w:p w14:paraId="34DB2A5C" w14:textId="77777777" w:rsidR="00206A16" w:rsidRPr="00ED541F" w:rsidRDefault="00206A16" w:rsidP="00206A16"/>
    <w:p w14:paraId="2ED0EDA4" w14:textId="1E61CDC4" w:rsidR="0087334E" w:rsidRPr="00ED541F" w:rsidRDefault="0026274B"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El 15 de diciembre del 2000</w:t>
      </w:r>
      <w:r w:rsidR="00C6677D" w:rsidRPr="00ED541F">
        <w:rPr>
          <w:rFonts w:eastAsia="Calibri"/>
          <w:lang w:val="es-VE"/>
        </w:rPr>
        <w:t xml:space="preserve"> la presunta víctima</w:t>
      </w:r>
      <w:r w:rsidRPr="00ED541F">
        <w:rPr>
          <w:rFonts w:eastAsia="Calibri"/>
          <w:lang w:val="es-VE"/>
        </w:rPr>
        <w:t xml:space="preserve"> interpuso un recurso de amparo ante el Juzgado Civil de Esmeralda</w:t>
      </w:r>
      <w:r w:rsidR="00D7565A" w:rsidRPr="00ED541F">
        <w:rPr>
          <w:rFonts w:eastAsia="Calibri"/>
          <w:lang w:val="es-VE"/>
        </w:rPr>
        <w:t>s</w:t>
      </w:r>
      <w:r w:rsidRPr="00ED541F">
        <w:rPr>
          <w:rFonts w:eastAsia="Calibri"/>
          <w:lang w:val="es-VE"/>
        </w:rPr>
        <w:t xml:space="preserve">, alegando que la Resolución del Tribunal de Disciplina del 25 de octubre del 2000 y publicada en </w:t>
      </w:r>
      <w:r w:rsidR="00C249A1" w:rsidRPr="00ED541F">
        <w:rPr>
          <w:rFonts w:eastAsia="Calibri"/>
          <w:lang w:val="es-VE"/>
        </w:rPr>
        <w:t>la</w:t>
      </w:r>
      <w:r w:rsidRPr="00ED541F">
        <w:rPr>
          <w:rFonts w:eastAsia="Calibri"/>
          <w:lang w:val="es-VE"/>
        </w:rPr>
        <w:t xml:space="preserve"> Orden General No</w:t>
      </w:r>
      <w:r w:rsidR="00C249A1" w:rsidRPr="00ED541F">
        <w:rPr>
          <w:rFonts w:eastAsia="Calibri"/>
          <w:lang w:val="es-VE"/>
        </w:rPr>
        <w:t>.</w:t>
      </w:r>
      <w:r w:rsidRPr="00ED541F">
        <w:rPr>
          <w:rFonts w:eastAsia="Calibri"/>
          <w:lang w:val="es-VE"/>
        </w:rPr>
        <w:t xml:space="preserve"> 214 de la Policía Nacional, constituía una violación de varios de sus derechos constitucionales</w:t>
      </w:r>
      <w:r w:rsidRPr="00ED541F">
        <w:rPr>
          <w:rFonts w:eastAsia="Calibri"/>
          <w:vertAlign w:val="superscript"/>
          <w:lang w:val="es-VE"/>
        </w:rPr>
        <w:footnoteReference w:id="27"/>
      </w:r>
      <w:r w:rsidR="00C6677D" w:rsidRPr="00ED541F">
        <w:rPr>
          <w:rFonts w:eastAsia="Calibri"/>
          <w:lang w:val="es-VE"/>
        </w:rPr>
        <w:t xml:space="preserve">. </w:t>
      </w:r>
      <w:r w:rsidR="00BF1C1E" w:rsidRPr="00ED541F">
        <w:rPr>
          <w:rFonts w:eastAsia="Calibri"/>
          <w:lang w:val="es-VE"/>
        </w:rPr>
        <w:t xml:space="preserve">La presunta víctima </w:t>
      </w:r>
      <w:r w:rsidR="00F9080C" w:rsidRPr="00ED541F">
        <w:rPr>
          <w:rFonts w:eastAsia="Calibri"/>
          <w:lang w:val="es-VE"/>
        </w:rPr>
        <w:t>argumentó que se afectó su derecho al juez natural ya que la jurisdicción competente era la ordinaria, que nunca fueron probados los hechos por los que se le sancionó y que no contó con abogado defensor en la declaración que rindió ante la policía judicial.</w:t>
      </w:r>
    </w:p>
    <w:p w14:paraId="108AA50C" w14:textId="77777777" w:rsidR="00D23122" w:rsidRPr="00ED541F" w:rsidRDefault="00D23122" w:rsidP="00D231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20397017" w14:textId="77777777" w:rsidR="00F9080C" w:rsidRPr="00ED541F" w:rsidRDefault="00F9080C"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La audiencia del recurso de amparo fue fijada para el 12 de enero de 2001</w:t>
      </w:r>
      <w:r w:rsidRPr="00ED541F">
        <w:rPr>
          <w:rFonts w:eastAsia="Calibri"/>
          <w:vertAlign w:val="superscript"/>
          <w:lang w:val="es-VE"/>
        </w:rPr>
        <w:footnoteReference w:id="28"/>
      </w:r>
      <w:r w:rsidRPr="00ED541F">
        <w:rPr>
          <w:rFonts w:eastAsia="Calibri"/>
          <w:lang w:val="es-VE"/>
        </w:rPr>
        <w:t>.</w:t>
      </w:r>
    </w:p>
    <w:p w14:paraId="31EA69DE" w14:textId="77777777" w:rsidR="00D23122" w:rsidRPr="00ED541F" w:rsidRDefault="00D23122" w:rsidP="00D231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568DEF15" w14:textId="291F93D9" w:rsidR="0026274B" w:rsidRPr="00ED541F" w:rsidRDefault="0026274B"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proofErr w:type="gramStart"/>
      <w:r w:rsidRPr="00ED541F">
        <w:rPr>
          <w:rFonts w:eastAsia="Calibri"/>
          <w:lang w:val="es-VE"/>
        </w:rPr>
        <w:lastRenderedPageBreak/>
        <w:t>El  28</w:t>
      </w:r>
      <w:proofErr w:type="gramEnd"/>
      <w:r w:rsidRPr="00ED541F">
        <w:rPr>
          <w:rFonts w:eastAsia="Calibri"/>
          <w:lang w:val="es-VE"/>
        </w:rPr>
        <w:t xml:space="preserve"> de febrero del 200</w:t>
      </w:r>
      <w:r w:rsidR="00C249A1" w:rsidRPr="00ED541F">
        <w:rPr>
          <w:rFonts w:eastAsia="Calibri"/>
          <w:lang w:val="es-VE"/>
        </w:rPr>
        <w:t>1</w:t>
      </w:r>
      <w:r w:rsidRPr="00ED541F">
        <w:rPr>
          <w:rFonts w:eastAsia="Calibri"/>
          <w:lang w:val="es-VE"/>
        </w:rPr>
        <w:t>, el Juez Tercero Civil de Esmeralda</w:t>
      </w:r>
      <w:r w:rsidR="00742F27" w:rsidRPr="00ED541F">
        <w:rPr>
          <w:rFonts w:eastAsia="Calibri"/>
          <w:lang w:val="es-VE"/>
        </w:rPr>
        <w:t>s</w:t>
      </w:r>
      <w:r w:rsidRPr="00ED541F">
        <w:rPr>
          <w:rFonts w:eastAsia="Calibri"/>
          <w:lang w:val="es-VE"/>
        </w:rPr>
        <w:t xml:space="preserve"> </w:t>
      </w:r>
      <w:r w:rsidR="00C6677D" w:rsidRPr="00ED541F">
        <w:rPr>
          <w:rFonts w:eastAsia="Calibri"/>
          <w:lang w:val="es-VE"/>
        </w:rPr>
        <w:t xml:space="preserve">declaró sin lugar el recurso de amparo. El Tribunal señaló que </w:t>
      </w:r>
      <w:r w:rsidRPr="00ED541F">
        <w:rPr>
          <w:rFonts w:eastAsia="Calibri"/>
          <w:lang w:val="es-VE"/>
        </w:rPr>
        <w:t xml:space="preserve">la sanción </w:t>
      </w:r>
      <w:r w:rsidR="00C6677D" w:rsidRPr="00ED541F">
        <w:rPr>
          <w:rFonts w:eastAsia="Calibri"/>
          <w:lang w:val="es-VE"/>
        </w:rPr>
        <w:t>a la presunta víctima</w:t>
      </w:r>
      <w:r w:rsidRPr="00ED541F">
        <w:rPr>
          <w:rFonts w:eastAsia="Calibri"/>
          <w:lang w:val="es-VE"/>
        </w:rPr>
        <w:t xml:space="preserve"> </w:t>
      </w:r>
      <w:r w:rsidR="00C6677D" w:rsidRPr="00ED541F">
        <w:rPr>
          <w:rFonts w:eastAsia="Calibri"/>
          <w:lang w:val="es-VE"/>
        </w:rPr>
        <w:t xml:space="preserve">fue </w:t>
      </w:r>
      <w:r w:rsidRPr="00ED541F">
        <w:rPr>
          <w:rFonts w:eastAsia="Calibri"/>
          <w:lang w:val="es-VE"/>
        </w:rPr>
        <w:t xml:space="preserve">aplicada en observancia de todas las normas constitucionales y no se había omitido solemnidad alguna. </w:t>
      </w:r>
      <w:r w:rsidR="00C6677D" w:rsidRPr="00ED541F">
        <w:rPr>
          <w:rFonts w:eastAsia="Calibri"/>
          <w:lang w:val="es-VE"/>
        </w:rPr>
        <w:t>Asimismo, indicó qu</w:t>
      </w:r>
      <w:r w:rsidR="00655031" w:rsidRPr="00ED541F">
        <w:rPr>
          <w:rFonts w:eastAsia="Calibri"/>
          <w:lang w:val="es-VE"/>
        </w:rPr>
        <w:t>e</w:t>
      </w:r>
      <w:r w:rsidRPr="00ED541F">
        <w:rPr>
          <w:rFonts w:eastAsia="Calibri"/>
          <w:lang w:val="es-VE"/>
        </w:rPr>
        <w:t xml:space="preserve"> en virtud del artículo 81 de la Ley Orgánica de la Policía Nacional y el artículo 334 del Código Penal de la Policía Nacional, la destitución o baja es una sanción que puede ser impuesta por el Tribunal de Disciplina, órgano que es competente para hacerlo.</w:t>
      </w:r>
      <w:r w:rsidR="00655031" w:rsidRPr="00ED541F">
        <w:rPr>
          <w:rFonts w:eastAsia="Calibri"/>
          <w:lang w:val="es-VE"/>
        </w:rPr>
        <w:t xml:space="preserve"> </w:t>
      </w:r>
      <w:r w:rsidRPr="00ED541F">
        <w:rPr>
          <w:rFonts w:eastAsia="Calibri"/>
          <w:lang w:val="es-VE"/>
        </w:rPr>
        <w:t>Argumentó también que de conformidad con el inciso segundo del artículo 95 de la Constitución Política del Ecuador, las decisiones judiciales adoptadas en el marco de</w:t>
      </w:r>
      <w:r w:rsidR="00BF1C1E" w:rsidRPr="00ED541F">
        <w:rPr>
          <w:rFonts w:eastAsia="Calibri"/>
          <w:lang w:val="es-VE"/>
        </w:rPr>
        <w:t xml:space="preserve"> un proceso, como la que tomó el</w:t>
      </w:r>
      <w:r w:rsidRPr="00ED541F">
        <w:rPr>
          <w:rFonts w:eastAsia="Calibri"/>
          <w:lang w:val="es-VE"/>
        </w:rPr>
        <w:t xml:space="preserve"> Tribunal de Disciplina en el proceso bajo estudio, no son susceptibles de </w:t>
      </w:r>
      <w:r w:rsidR="008B47BB" w:rsidRPr="00ED541F">
        <w:rPr>
          <w:rFonts w:eastAsia="Calibri"/>
          <w:lang w:val="es-VE"/>
        </w:rPr>
        <w:t>amparo</w:t>
      </w:r>
      <w:r w:rsidRPr="00ED541F">
        <w:rPr>
          <w:rFonts w:eastAsia="Calibri"/>
          <w:vertAlign w:val="superscript"/>
          <w:lang w:val="es-VE"/>
        </w:rPr>
        <w:footnoteReference w:id="29"/>
      </w:r>
      <w:r w:rsidRPr="00ED541F">
        <w:rPr>
          <w:rFonts w:eastAsia="Calibri"/>
          <w:lang w:val="es-VE"/>
        </w:rPr>
        <w:t>.</w:t>
      </w:r>
    </w:p>
    <w:p w14:paraId="6A4AAB10" w14:textId="77777777" w:rsidR="00D23122" w:rsidRPr="00ED541F" w:rsidRDefault="00D23122" w:rsidP="00D23122"/>
    <w:p w14:paraId="5FAC1744" w14:textId="47DBB7AF" w:rsidR="00860360" w:rsidRPr="00ED541F" w:rsidRDefault="00AA067F"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Con posterioridad, la presunta víct</w:t>
      </w:r>
      <w:r w:rsidR="0087334E" w:rsidRPr="00ED541F">
        <w:rPr>
          <w:rFonts w:eastAsia="Calibri"/>
          <w:lang w:val="es-VE"/>
        </w:rPr>
        <w:t>i</w:t>
      </w:r>
      <w:r w:rsidRPr="00ED541F">
        <w:rPr>
          <w:rFonts w:eastAsia="Calibri"/>
          <w:lang w:val="es-VE"/>
        </w:rPr>
        <w:t xml:space="preserve">ma presentó un recurso de </w:t>
      </w:r>
      <w:r w:rsidR="00C32062" w:rsidRPr="00ED541F">
        <w:rPr>
          <w:rFonts w:eastAsia="Calibri"/>
          <w:lang w:val="es-VE"/>
        </w:rPr>
        <w:t xml:space="preserve">apelación </w:t>
      </w:r>
      <w:r w:rsidRPr="00ED541F">
        <w:rPr>
          <w:rFonts w:eastAsia="Calibri"/>
          <w:lang w:val="es-VE"/>
        </w:rPr>
        <w:t xml:space="preserve">ante </w:t>
      </w:r>
      <w:r w:rsidR="0026274B" w:rsidRPr="00ED541F">
        <w:rPr>
          <w:rFonts w:eastAsia="Calibri"/>
          <w:lang w:val="es-VE"/>
        </w:rPr>
        <w:t>el Tribunal Constitucional</w:t>
      </w:r>
      <w:r w:rsidRPr="00ED541F">
        <w:rPr>
          <w:rFonts w:eastAsia="Calibri"/>
          <w:lang w:val="es-VE"/>
        </w:rPr>
        <w:t>.</w:t>
      </w:r>
      <w:r w:rsidR="00EA7BD3" w:rsidRPr="00ED541F">
        <w:rPr>
          <w:rFonts w:eastAsia="Calibri"/>
          <w:lang w:val="es-VE"/>
        </w:rPr>
        <w:t xml:space="preserve"> </w:t>
      </w:r>
      <w:r w:rsidR="0026274B" w:rsidRPr="00ED541F">
        <w:rPr>
          <w:rFonts w:eastAsia="Calibri"/>
          <w:lang w:val="es-VE"/>
        </w:rPr>
        <w:t>El 16 de marzo de 2001</w:t>
      </w:r>
      <w:r w:rsidRPr="00ED541F">
        <w:rPr>
          <w:rFonts w:eastAsia="Calibri"/>
          <w:lang w:val="es-VE"/>
        </w:rPr>
        <w:t xml:space="preserve"> dicho tribunal declaró el desistimiento de la acción de amparo, tomando en cuenta que </w:t>
      </w:r>
      <w:r w:rsidR="00CC79B5" w:rsidRPr="00ED541F">
        <w:rPr>
          <w:rFonts w:eastAsia="Calibri"/>
          <w:lang w:val="es-VE"/>
        </w:rPr>
        <w:t>la presunta víctima no compareció a la audiencia que se le fijó por el Juzgado Tercero Civil de Esmeralda</w:t>
      </w:r>
      <w:r w:rsidR="002D2A57" w:rsidRPr="00ED541F">
        <w:rPr>
          <w:rFonts w:eastAsia="Calibri"/>
          <w:lang w:val="es-VE"/>
        </w:rPr>
        <w:t>s</w:t>
      </w:r>
      <w:r w:rsidR="00CC79B5" w:rsidRPr="00ED541F">
        <w:rPr>
          <w:rFonts w:eastAsia="Calibri"/>
          <w:lang w:val="es-VE"/>
        </w:rPr>
        <w:t xml:space="preserve"> y </w:t>
      </w:r>
      <w:proofErr w:type="gramStart"/>
      <w:r w:rsidR="00CC79B5" w:rsidRPr="00ED541F">
        <w:rPr>
          <w:rFonts w:eastAsia="Calibri"/>
          <w:lang w:val="es-VE"/>
        </w:rPr>
        <w:t>que</w:t>
      </w:r>
      <w:proofErr w:type="gramEnd"/>
      <w:r w:rsidR="00CC79B5" w:rsidRPr="00ED541F">
        <w:rPr>
          <w:rFonts w:eastAsia="Calibri"/>
          <w:lang w:val="es-VE"/>
        </w:rPr>
        <w:t xml:space="preserve"> si bien solicitó una reprogramación, no presentó justificación alguna para tal reprogramación</w:t>
      </w:r>
      <w:r w:rsidR="00CC79B5" w:rsidRPr="00ED541F">
        <w:rPr>
          <w:rFonts w:eastAsia="Calibri"/>
          <w:vertAlign w:val="superscript"/>
          <w:lang w:val="es-VE"/>
        </w:rPr>
        <w:footnoteReference w:id="30"/>
      </w:r>
      <w:r w:rsidR="00CC79B5" w:rsidRPr="00ED541F">
        <w:rPr>
          <w:rFonts w:eastAsia="Calibri"/>
          <w:lang w:val="es-VE"/>
        </w:rPr>
        <w:t xml:space="preserve">. </w:t>
      </w:r>
    </w:p>
    <w:p w14:paraId="4D917CEC" w14:textId="77777777" w:rsidR="00D23122" w:rsidRPr="00ED541F" w:rsidRDefault="00D23122" w:rsidP="00D231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68056517" w14:textId="77777777" w:rsidR="0026274B" w:rsidRPr="00ED541F" w:rsidRDefault="00860360" w:rsidP="00284AF8">
      <w:pPr>
        <w:pStyle w:val="Heading3"/>
        <w:numPr>
          <w:ilvl w:val="0"/>
          <w:numId w:val="58"/>
        </w:numPr>
        <w:spacing w:before="0" w:after="0"/>
        <w:ind w:hanging="90"/>
        <w:jc w:val="both"/>
        <w:rPr>
          <w:rFonts w:asciiTheme="majorHAnsi" w:hAnsiTheme="majorHAnsi" w:cs="Times New Roman"/>
          <w:color w:val="000000" w:themeColor="text1"/>
          <w:sz w:val="20"/>
          <w:szCs w:val="20"/>
          <w:lang w:val="es-AR"/>
        </w:rPr>
      </w:pPr>
      <w:bookmarkStart w:id="39" w:name="_Toc505243740"/>
      <w:bookmarkStart w:id="40" w:name="_Toc531880977"/>
      <w:r w:rsidRPr="00ED541F">
        <w:rPr>
          <w:rFonts w:asciiTheme="majorHAnsi" w:hAnsiTheme="majorHAnsi" w:cs="Times New Roman"/>
          <w:color w:val="000000" w:themeColor="text1"/>
          <w:sz w:val="20"/>
          <w:szCs w:val="20"/>
          <w:lang w:val="es-AR"/>
        </w:rPr>
        <w:t>Demanda de inconstitucionalidad</w:t>
      </w:r>
      <w:bookmarkEnd w:id="39"/>
      <w:bookmarkEnd w:id="40"/>
    </w:p>
    <w:p w14:paraId="374BA71D" w14:textId="77777777" w:rsidR="00D23122" w:rsidRPr="00ED541F" w:rsidRDefault="00D23122" w:rsidP="00D23122"/>
    <w:p w14:paraId="320417F2" w14:textId="0BF569D7" w:rsidR="00BF1C1E" w:rsidRPr="00ED541F" w:rsidRDefault="00CC79B5"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color w:val="000000" w:themeColor="text1"/>
          <w:lang w:val="es-US"/>
        </w:rPr>
      </w:pPr>
      <w:proofErr w:type="gramStart"/>
      <w:r w:rsidRPr="00ED541F">
        <w:rPr>
          <w:color w:val="000000" w:themeColor="text1"/>
          <w:lang w:val="es-US"/>
        </w:rPr>
        <w:t>El</w:t>
      </w:r>
      <w:r w:rsidR="0026274B" w:rsidRPr="00ED541F">
        <w:rPr>
          <w:color w:val="000000" w:themeColor="text1"/>
          <w:lang w:val="es-US"/>
        </w:rPr>
        <w:t xml:space="preserve">  29</w:t>
      </w:r>
      <w:proofErr w:type="gramEnd"/>
      <w:r w:rsidR="0026274B" w:rsidRPr="00ED541F">
        <w:rPr>
          <w:color w:val="000000" w:themeColor="text1"/>
          <w:lang w:val="es-US"/>
        </w:rPr>
        <w:t xml:space="preserve"> de marzo de 2001, </w:t>
      </w:r>
      <w:r w:rsidRPr="00ED541F">
        <w:rPr>
          <w:color w:val="000000" w:themeColor="text1"/>
          <w:lang w:val="es-US"/>
        </w:rPr>
        <w:t>la presunta víctima solicitó al</w:t>
      </w:r>
      <w:r w:rsidR="0026274B" w:rsidRPr="00ED541F">
        <w:rPr>
          <w:color w:val="000000" w:themeColor="text1"/>
          <w:lang w:val="es-US"/>
        </w:rPr>
        <w:t xml:space="preserve"> Defensor del Pueblo</w:t>
      </w:r>
      <w:r w:rsidRPr="00ED541F">
        <w:rPr>
          <w:color w:val="000000" w:themeColor="text1"/>
          <w:lang w:val="es-US"/>
        </w:rPr>
        <w:t xml:space="preserve"> un</w:t>
      </w:r>
      <w:r w:rsidR="0026274B" w:rsidRPr="00ED541F">
        <w:rPr>
          <w:color w:val="000000" w:themeColor="text1"/>
          <w:lang w:val="es-US"/>
        </w:rPr>
        <w:t xml:space="preserve"> informe favorable para presentar una demanda de </w:t>
      </w:r>
      <w:r w:rsidR="00EA124C" w:rsidRPr="00ED541F">
        <w:rPr>
          <w:color w:val="000000" w:themeColor="text1"/>
          <w:lang w:val="es-US"/>
        </w:rPr>
        <w:t>in</w:t>
      </w:r>
      <w:r w:rsidR="0026274B" w:rsidRPr="00ED541F">
        <w:rPr>
          <w:color w:val="000000" w:themeColor="text1"/>
          <w:lang w:val="es-US"/>
        </w:rPr>
        <w:t>constitucionalidad</w:t>
      </w:r>
      <w:r w:rsidRPr="00ED541F">
        <w:rPr>
          <w:color w:val="000000" w:themeColor="text1"/>
          <w:lang w:val="es-US"/>
        </w:rPr>
        <w:t xml:space="preserve"> en contra de</w:t>
      </w:r>
      <w:r w:rsidR="0026274B" w:rsidRPr="00ED541F">
        <w:rPr>
          <w:color w:val="000000" w:themeColor="text1"/>
          <w:lang w:val="es-US"/>
        </w:rPr>
        <w:t xml:space="preserve"> la resolución </w:t>
      </w:r>
      <w:r w:rsidRPr="00ED541F">
        <w:rPr>
          <w:color w:val="000000" w:themeColor="text1"/>
          <w:lang w:val="es-US"/>
        </w:rPr>
        <w:t xml:space="preserve">que </w:t>
      </w:r>
      <w:r w:rsidR="0026274B" w:rsidRPr="00ED541F">
        <w:rPr>
          <w:color w:val="000000" w:themeColor="text1"/>
          <w:lang w:val="es-US"/>
        </w:rPr>
        <w:t>le dio de baja de las filas</w:t>
      </w:r>
      <w:r w:rsidRPr="00ED541F">
        <w:rPr>
          <w:color w:val="000000" w:themeColor="text1"/>
          <w:lang w:val="es-US"/>
        </w:rPr>
        <w:t xml:space="preserve"> de la policía.</w:t>
      </w:r>
      <w:r w:rsidR="0026274B" w:rsidRPr="00ED541F">
        <w:rPr>
          <w:color w:val="000000" w:themeColor="text1"/>
          <w:lang w:val="es-US"/>
        </w:rPr>
        <w:t xml:space="preserve"> Dicho informe era requerido para la procedencia de la demanda de acuerdo con el artículo 277 numeral 5 de la Constitución Política</w:t>
      </w:r>
      <w:r w:rsidR="0026274B" w:rsidRPr="00ED541F">
        <w:rPr>
          <w:rStyle w:val="FootnoteReference"/>
          <w:color w:val="000000" w:themeColor="text1"/>
          <w:lang w:val="es-US"/>
        </w:rPr>
        <w:footnoteReference w:id="31"/>
      </w:r>
      <w:r w:rsidR="00503252" w:rsidRPr="00ED541F">
        <w:rPr>
          <w:color w:val="000000" w:themeColor="text1"/>
          <w:lang w:val="es-US"/>
        </w:rPr>
        <w:t xml:space="preserve"> y </w:t>
      </w:r>
      <w:r w:rsidR="00BF1C1E" w:rsidRPr="00ED541F">
        <w:rPr>
          <w:color w:val="000000" w:themeColor="text1"/>
          <w:lang w:val="es-US"/>
        </w:rPr>
        <w:t xml:space="preserve">fue emitido el 27 de abril de 2001, por lo que la </w:t>
      </w:r>
      <w:r w:rsidR="00F73781" w:rsidRPr="00ED541F">
        <w:rPr>
          <w:color w:val="000000" w:themeColor="text1"/>
          <w:lang w:val="es-US"/>
        </w:rPr>
        <w:t>D</w:t>
      </w:r>
      <w:r w:rsidR="00BF1C1E" w:rsidRPr="00ED541F">
        <w:rPr>
          <w:color w:val="000000" w:themeColor="text1"/>
          <w:lang w:val="es-US"/>
        </w:rPr>
        <w:t xml:space="preserve">efensoría </w:t>
      </w:r>
      <w:r w:rsidR="0026274B" w:rsidRPr="00ED541F">
        <w:rPr>
          <w:color w:val="000000" w:themeColor="text1"/>
          <w:lang w:val="es-US"/>
        </w:rPr>
        <w:t>elevó al conocimiento del Tribunal Constitucional</w:t>
      </w:r>
      <w:r w:rsidR="00BF1C1E" w:rsidRPr="00ED541F">
        <w:rPr>
          <w:color w:val="000000" w:themeColor="text1"/>
          <w:lang w:val="es-US"/>
        </w:rPr>
        <w:t xml:space="preserve"> la demanda interpuesta por el p</w:t>
      </w:r>
      <w:r w:rsidR="0026274B" w:rsidRPr="00ED541F">
        <w:rPr>
          <w:color w:val="000000" w:themeColor="text1"/>
          <w:lang w:val="es-US"/>
        </w:rPr>
        <w:t>eticionario</w:t>
      </w:r>
      <w:r w:rsidR="0026274B" w:rsidRPr="00ED541F">
        <w:rPr>
          <w:rStyle w:val="FootnoteReference"/>
          <w:color w:val="000000" w:themeColor="text1"/>
          <w:lang w:val="es-US"/>
        </w:rPr>
        <w:footnoteReference w:id="32"/>
      </w:r>
      <w:r w:rsidR="0026274B" w:rsidRPr="00ED541F">
        <w:rPr>
          <w:color w:val="000000" w:themeColor="text1"/>
          <w:lang w:val="es-US"/>
        </w:rPr>
        <w:t>.</w:t>
      </w:r>
    </w:p>
    <w:p w14:paraId="53228C50"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color w:val="000000" w:themeColor="text1"/>
          <w:lang w:val="es-US"/>
        </w:rPr>
      </w:pPr>
    </w:p>
    <w:p w14:paraId="62176AAA" w14:textId="77777777" w:rsidR="0087334E" w:rsidRPr="00ED541F" w:rsidRDefault="00BF1C1E"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El 3 de mayo de 2001 el Tribunal Constitucional admitió la demanda interpuesta</w:t>
      </w:r>
      <w:r w:rsidR="0026274B" w:rsidRPr="00ED541F">
        <w:rPr>
          <w:rFonts w:eastAsia="Calibri"/>
          <w:vertAlign w:val="superscript"/>
          <w:lang w:val="es-VE"/>
        </w:rPr>
        <w:footnoteReference w:id="33"/>
      </w:r>
      <w:r w:rsidR="0026274B" w:rsidRPr="00ED541F">
        <w:rPr>
          <w:rFonts w:eastAsia="Calibri"/>
          <w:lang w:val="es-VE"/>
        </w:rPr>
        <w:t xml:space="preserve"> y el 18 de junio de 2001 corrió traslado de </w:t>
      </w:r>
      <w:proofErr w:type="gramStart"/>
      <w:r w:rsidR="0026274B" w:rsidRPr="00ED541F">
        <w:rPr>
          <w:rFonts w:eastAsia="Calibri"/>
          <w:lang w:val="es-VE"/>
        </w:rPr>
        <w:t>la misma</w:t>
      </w:r>
      <w:proofErr w:type="gramEnd"/>
      <w:r w:rsidR="0026274B" w:rsidRPr="00ED541F">
        <w:rPr>
          <w:rFonts w:eastAsia="Calibri"/>
          <w:lang w:val="es-VE"/>
        </w:rPr>
        <w:t xml:space="preserve"> al Comandante General de la Policía Nacional</w:t>
      </w:r>
      <w:r w:rsidR="0026274B" w:rsidRPr="00ED541F">
        <w:rPr>
          <w:rFonts w:eastAsia="Calibri"/>
          <w:vertAlign w:val="superscript"/>
          <w:lang w:val="es-VE"/>
        </w:rPr>
        <w:footnoteReference w:id="34"/>
      </w:r>
      <w:r w:rsidR="0026274B" w:rsidRPr="00ED541F">
        <w:rPr>
          <w:rFonts w:eastAsia="Calibri"/>
          <w:lang w:val="es-VE"/>
        </w:rPr>
        <w:t>.</w:t>
      </w:r>
    </w:p>
    <w:p w14:paraId="6F6DCDCC"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3763EE19" w14:textId="238CD1AA" w:rsidR="00CA196F" w:rsidRPr="00ED541F" w:rsidRDefault="00A25CE6"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16 de mayo de 2001 </w:t>
      </w:r>
      <w:r w:rsidR="00F73781" w:rsidRPr="00ED541F">
        <w:rPr>
          <w:rFonts w:eastAsia="Calibri"/>
          <w:lang w:val="es-VE"/>
        </w:rPr>
        <w:t xml:space="preserve">la ex conviviente del señor Mina Cuero </w:t>
      </w:r>
      <w:r w:rsidRPr="00ED541F">
        <w:rPr>
          <w:rFonts w:eastAsia="Calibri"/>
          <w:lang w:val="es-VE"/>
        </w:rPr>
        <w:t xml:space="preserve">rindió declaración ante </w:t>
      </w:r>
      <w:r w:rsidR="0087334E" w:rsidRPr="00ED541F">
        <w:rPr>
          <w:rFonts w:eastAsia="Calibri"/>
          <w:lang w:val="es-VE"/>
        </w:rPr>
        <w:t>notario</w:t>
      </w:r>
      <w:r w:rsidR="00655031" w:rsidRPr="00ED541F">
        <w:rPr>
          <w:rFonts w:eastAsia="Calibri"/>
          <w:lang w:val="es-VE"/>
        </w:rPr>
        <w:t xml:space="preserve"> en la que indicó que</w:t>
      </w:r>
      <w:r w:rsidRPr="00ED541F">
        <w:rPr>
          <w:rFonts w:eastAsia="Calibri"/>
          <w:lang w:val="es-VE"/>
        </w:rPr>
        <w:t xml:space="preserve"> no fue agredida ni física ni verbalmente y que la información que o</w:t>
      </w:r>
      <w:r w:rsidR="0087334E" w:rsidRPr="00ED541F">
        <w:rPr>
          <w:rFonts w:eastAsia="Calibri"/>
          <w:lang w:val="es-VE"/>
        </w:rPr>
        <w:t>b</w:t>
      </w:r>
      <w:r w:rsidRPr="00ED541F">
        <w:rPr>
          <w:rFonts w:eastAsia="Calibri"/>
          <w:lang w:val="es-VE"/>
        </w:rPr>
        <w:t>ra en el parte policial es falsa y se soporta únicamente en la denuncia de su tía, igualmente ajena a la verdad</w:t>
      </w:r>
      <w:r w:rsidRPr="00ED541F">
        <w:rPr>
          <w:rFonts w:eastAsia="Calibri"/>
          <w:vertAlign w:val="superscript"/>
          <w:lang w:val="es-VE"/>
        </w:rPr>
        <w:footnoteReference w:id="35"/>
      </w:r>
      <w:r w:rsidRPr="00ED541F">
        <w:rPr>
          <w:rFonts w:eastAsia="Calibri"/>
          <w:lang w:val="es-VE"/>
        </w:rPr>
        <w:t>. El peticionario indicó que dicha declaración fue anexada a los trámites que se adelantaron ante el Tribunal Constitucional, sin que haya sido valorada por este organismo.</w:t>
      </w:r>
      <w:r w:rsidR="00C81FEC" w:rsidRPr="00ED541F">
        <w:rPr>
          <w:rFonts w:eastAsia="Calibri"/>
          <w:lang w:val="es-VE"/>
        </w:rPr>
        <w:t xml:space="preserve"> Sin embargo, la Comisión no cuenta con información sobre la incorporación formal de esta declaración al proceso. De la decisión final de esta demanda, no se desprende tal información. </w:t>
      </w:r>
    </w:p>
    <w:p w14:paraId="72220E11"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eastAsia="Calibri"/>
          <w:lang w:val="es-VE"/>
        </w:rPr>
      </w:pPr>
    </w:p>
    <w:p w14:paraId="0FB215F8" w14:textId="11E0AF65" w:rsidR="00B21168" w:rsidRPr="00ED541F" w:rsidRDefault="0026274B"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eastAsia="Calibri"/>
          <w:lang w:val="es-VE"/>
        </w:rPr>
      </w:pPr>
      <w:r w:rsidRPr="00ED541F">
        <w:rPr>
          <w:rFonts w:eastAsia="Calibri"/>
          <w:lang w:val="es-VE"/>
        </w:rPr>
        <w:t xml:space="preserve">El </w:t>
      </w:r>
      <w:r w:rsidR="00C0243A" w:rsidRPr="00ED541F">
        <w:rPr>
          <w:rFonts w:eastAsia="Calibri"/>
          <w:lang w:val="es-VE"/>
        </w:rPr>
        <w:t>14</w:t>
      </w:r>
      <w:r w:rsidRPr="00ED541F">
        <w:rPr>
          <w:rFonts w:eastAsia="Calibri"/>
          <w:lang w:val="es-VE"/>
        </w:rPr>
        <w:t xml:space="preserve"> de </w:t>
      </w:r>
      <w:r w:rsidR="00C0243A" w:rsidRPr="00ED541F">
        <w:rPr>
          <w:rFonts w:eastAsia="Calibri"/>
          <w:lang w:val="es-VE"/>
        </w:rPr>
        <w:t xml:space="preserve">agosto </w:t>
      </w:r>
      <w:r w:rsidRPr="00ED541F">
        <w:rPr>
          <w:rFonts w:eastAsia="Calibri"/>
          <w:lang w:val="es-VE"/>
        </w:rPr>
        <w:t xml:space="preserve">de 2001 el Tribunal Constitucional </w:t>
      </w:r>
      <w:r w:rsidR="00CC79B5" w:rsidRPr="00ED541F">
        <w:rPr>
          <w:rFonts w:eastAsia="Calibri"/>
          <w:lang w:val="es-VE"/>
        </w:rPr>
        <w:t xml:space="preserve">decidió “desechar la demanda presentada y disponer el archivo del expediente”. El Tribunal refirió que la presunta víctima tuvo amplio derecho de </w:t>
      </w:r>
      <w:r w:rsidR="00731CC5" w:rsidRPr="00ED541F">
        <w:rPr>
          <w:rFonts w:eastAsia="Calibri"/>
          <w:lang w:val="es-VE"/>
        </w:rPr>
        <w:t>defensa</w:t>
      </w:r>
      <w:r w:rsidR="00CC79B5" w:rsidRPr="00ED541F">
        <w:rPr>
          <w:rFonts w:eastAsia="Calibri"/>
          <w:lang w:val="es-VE"/>
        </w:rPr>
        <w:t xml:space="preserve"> durante su proceso sancionatorio, pues asistió a su au</w:t>
      </w:r>
      <w:r w:rsidR="0087334E" w:rsidRPr="00ED541F">
        <w:rPr>
          <w:rFonts w:eastAsia="Calibri"/>
          <w:lang w:val="es-VE"/>
        </w:rPr>
        <w:t>d</w:t>
      </w:r>
      <w:r w:rsidR="00CC79B5" w:rsidRPr="00ED541F">
        <w:rPr>
          <w:rFonts w:eastAsia="Calibri"/>
          <w:lang w:val="es-VE"/>
        </w:rPr>
        <w:t xml:space="preserve">iencia con abogado defensor, y se admitieron testimonios de </w:t>
      </w:r>
      <w:r w:rsidR="00731CC5" w:rsidRPr="00ED541F">
        <w:rPr>
          <w:rFonts w:eastAsia="Calibri"/>
          <w:lang w:val="es-VE"/>
        </w:rPr>
        <w:t>policías</w:t>
      </w:r>
      <w:r w:rsidR="00CC79B5" w:rsidRPr="00ED541F">
        <w:rPr>
          <w:rFonts w:eastAsia="Calibri"/>
          <w:lang w:val="es-VE"/>
        </w:rPr>
        <w:t xml:space="preserve"> que acudieron al lugar de los hechos. Indicó que </w:t>
      </w:r>
      <w:r w:rsidRPr="00ED541F">
        <w:rPr>
          <w:rFonts w:eastAsia="Calibri"/>
          <w:lang w:val="es-VE"/>
        </w:rPr>
        <w:t>no estaba probada inconstitucionalidad alguna que ameritara su pronunciamiento</w:t>
      </w:r>
      <w:r w:rsidRPr="00ED541F">
        <w:rPr>
          <w:rFonts w:eastAsia="Calibri"/>
          <w:vertAlign w:val="superscript"/>
          <w:lang w:val="es-VE"/>
        </w:rPr>
        <w:footnoteReference w:id="36"/>
      </w:r>
      <w:bookmarkStart w:id="41" w:name="_Toc475546054"/>
      <w:bookmarkStart w:id="42" w:name="_Toc491783100"/>
      <w:bookmarkStart w:id="43" w:name="_Toc497398870"/>
      <w:r w:rsidR="00CA196F" w:rsidRPr="00ED541F">
        <w:rPr>
          <w:rFonts w:eastAsia="Calibri"/>
          <w:lang w:val="es-VE"/>
        </w:rPr>
        <w:t>.</w:t>
      </w:r>
      <w:bookmarkEnd w:id="41"/>
      <w:bookmarkEnd w:id="42"/>
      <w:bookmarkEnd w:id="43"/>
    </w:p>
    <w:p w14:paraId="3E017940" w14:textId="77777777" w:rsidR="00B21168" w:rsidRPr="00ED541F" w:rsidRDefault="00B21168"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eastAsia="Calibri"/>
          <w:lang w:val="es-VE"/>
        </w:rPr>
      </w:pPr>
    </w:p>
    <w:p w14:paraId="01F34548" w14:textId="708525DA" w:rsidR="00D70A2A" w:rsidRPr="00ED541F" w:rsidRDefault="00B21168" w:rsidP="00D70A2A">
      <w:pPr>
        <w:pStyle w:val="Heading1"/>
        <w:numPr>
          <w:ilvl w:val="0"/>
          <w:numId w:val="69"/>
        </w:numPr>
        <w:spacing w:before="0"/>
        <w:ind w:left="720" w:firstLine="0"/>
        <w:rPr>
          <w:color w:val="auto"/>
          <w:sz w:val="20"/>
          <w:szCs w:val="20"/>
          <w:lang w:val="es-US"/>
        </w:rPr>
      </w:pPr>
      <w:bookmarkStart w:id="44" w:name="_Toc505243741"/>
      <w:bookmarkStart w:id="45" w:name="_Toc531880978"/>
      <w:r w:rsidRPr="00ED541F">
        <w:rPr>
          <w:color w:val="auto"/>
          <w:sz w:val="20"/>
          <w:szCs w:val="20"/>
          <w:lang w:val="es-US"/>
        </w:rPr>
        <w:lastRenderedPageBreak/>
        <w:t>ANÁLISIS DE DERECHO</w:t>
      </w:r>
      <w:bookmarkStart w:id="46" w:name="_Toc497387319"/>
      <w:bookmarkStart w:id="47" w:name="_Toc505243742"/>
      <w:bookmarkEnd w:id="44"/>
      <w:bookmarkEnd w:id="45"/>
    </w:p>
    <w:p w14:paraId="3F0A0685" w14:textId="77777777" w:rsidR="00D70A2A" w:rsidRPr="00ED541F" w:rsidRDefault="00D70A2A" w:rsidP="00D70A2A">
      <w:pPr>
        <w:rPr>
          <w:lang w:val="es-US"/>
        </w:rPr>
      </w:pPr>
    </w:p>
    <w:p w14:paraId="64D56A80" w14:textId="2C467114" w:rsidR="007E59DF" w:rsidRPr="00ED541F" w:rsidRDefault="007E59DF" w:rsidP="0018149C">
      <w:pPr>
        <w:pStyle w:val="ListParagraph"/>
        <w:numPr>
          <w:ilvl w:val="0"/>
          <w:numId w:val="61"/>
        </w:numPr>
        <w:ind w:hanging="720"/>
        <w:jc w:val="both"/>
        <w:rPr>
          <w:b/>
          <w:sz w:val="20"/>
          <w:szCs w:val="20"/>
          <w:lang w:val="es-CO"/>
        </w:rPr>
      </w:pPr>
      <w:bookmarkStart w:id="48" w:name="_Toc505936566"/>
      <w:r w:rsidRPr="00ED541F">
        <w:rPr>
          <w:b/>
          <w:sz w:val="20"/>
          <w:szCs w:val="20"/>
          <w:lang w:val="es-CO"/>
        </w:rPr>
        <w:t>Derechos a las garantías judiciales, principio de legalidad y protección judicial (Artículos 8, 9 y 25 de la Convención Americana)</w:t>
      </w:r>
      <w:bookmarkEnd w:id="48"/>
    </w:p>
    <w:p w14:paraId="6A63A4B6" w14:textId="77777777" w:rsidR="007E59DF" w:rsidRPr="00ED541F" w:rsidRDefault="007E59DF" w:rsidP="007E59DF">
      <w:pPr>
        <w:rPr>
          <w:lang w:val="es-CO"/>
        </w:rPr>
      </w:pPr>
    </w:p>
    <w:bookmarkEnd w:id="46"/>
    <w:bookmarkEnd w:id="47"/>
    <w:p w14:paraId="7742860D" w14:textId="6433345F" w:rsidR="00B21168" w:rsidRPr="00ED541F" w:rsidRDefault="00B2116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La Comisión recuerda que ambos órganos del sistema interamericano han indicado que las garantías establecidas en el artículo 8 de la Convención </w:t>
      </w:r>
      <w:proofErr w:type="gramStart"/>
      <w:r w:rsidRPr="00ED541F">
        <w:rPr>
          <w:rFonts w:ascii="Cambria" w:hAnsi="Cambria"/>
          <w:lang w:val="es-VE"/>
        </w:rPr>
        <w:t>Americana,  no</w:t>
      </w:r>
      <w:proofErr w:type="gramEnd"/>
      <w:r w:rsidRPr="00ED541F">
        <w:rPr>
          <w:rFonts w:ascii="Cambria" w:hAnsi="Cambria"/>
          <w:lang w:val="es-VE"/>
        </w:rPr>
        <w:t xml:space="preserve"> se limitan a procesos penales, sino que aplican a procesos de otra naturaleza</w:t>
      </w:r>
      <w:r w:rsidRPr="00ED541F">
        <w:rPr>
          <w:rFonts w:ascii="Cambria" w:hAnsi="Cambria"/>
          <w:vertAlign w:val="superscript"/>
          <w:lang w:val="es-VE"/>
        </w:rPr>
        <w:footnoteReference w:id="37"/>
      </w:r>
      <w:r w:rsidRPr="00ED541F">
        <w:rPr>
          <w:rFonts w:ascii="Cambria" w:hAnsi="Cambria"/>
          <w:lang w:val="es-VE"/>
        </w:rPr>
        <w:t xml:space="preserve">. Específicamente, cuando se trata de procesos sancionatorios, ambos órganos del sistema han indicado que aplican, análogamente, las garantías </w:t>
      </w:r>
      <w:r w:rsidR="00A31685" w:rsidRPr="00ED541F">
        <w:rPr>
          <w:rFonts w:ascii="Cambria" w:hAnsi="Cambria"/>
          <w:lang w:val="es-VE"/>
        </w:rPr>
        <w:t>de los procesos penales, pues se trata del ejercicio del poder punitivo el Estado</w:t>
      </w:r>
      <w:r w:rsidRPr="00ED541F">
        <w:rPr>
          <w:rFonts w:ascii="Cambria" w:hAnsi="Cambria"/>
          <w:vertAlign w:val="superscript"/>
          <w:lang w:val="es-VE"/>
        </w:rPr>
        <w:footnoteReference w:id="38"/>
      </w:r>
      <w:r w:rsidRPr="00ED541F">
        <w:rPr>
          <w:rFonts w:ascii="Cambria" w:hAnsi="Cambria"/>
          <w:lang w:val="es-VE"/>
        </w:rPr>
        <w:t>. Tomando en cuenta que en el presente caso se impuso la sanción de destitución de la presunta víctima como miembro de la Policía Nacional, la Comisión considera que</w:t>
      </w:r>
      <w:r w:rsidR="00A31685" w:rsidRPr="00ED541F">
        <w:rPr>
          <w:rFonts w:ascii="Cambria" w:hAnsi="Cambria"/>
          <w:lang w:val="es-VE"/>
        </w:rPr>
        <w:t>, al tratarse de un proceso sancionatorio,</w:t>
      </w:r>
      <w:r w:rsidRPr="00ED541F">
        <w:rPr>
          <w:rFonts w:ascii="Cambria" w:hAnsi="Cambria"/>
          <w:lang w:val="es-VE"/>
        </w:rPr>
        <w:t xml:space="preserve"> resultan aplicables las garantías del debido proceso</w:t>
      </w:r>
      <w:r w:rsidR="00B43A81" w:rsidRPr="00ED541F">
        <w:rPr>
          <w:rFonts w:ascii="Cambria" w:hAnsi="Cambria"/>
          <w:lang w:val="es-VE"/>
        </w:rPr>
        <w:t xml:space="preserve"> y el principio de legalidad,</w:t>
      </w:r>
      <w:r w:rsidRPr="00ED541F">
        <w:rPr>
          <w:rFonts w:ascii="Cambria" w:hAnsi="Cambria"/>
          <w:lang w:val="es-VE"/>
        </w:rPr>
        <w:t xml:space="preserve"> </w:t>
      </w:r>
      <w:r w:rsidR="00B43A81" w:rsidRPr="00ED541F">
        <w:rPr>
          <w:rFonts w:ascii="Cambria" w:hAnsi="Cambria"/>
          <w:lang w:val="es-VE"/>
        </w:rPr>
        <w:t xml:space="preserve">conforme a los </w:t>
      </w:r>
      <w:r w:rsidRPr="00ED541F">
        <w:rPr>
          <w:rFonts w:ascii="Cambria" w:hAnsi="Cambria"/>
          <w:lang w:val="es-VE"/>
        </w:rPr>
        <w:t>artículo</w:t>
      </w:r>
      <w:r w:rsidR="00B43A81" w:rsidRPr="00ED541F">
        <w:rPr>
          <w:rFonts w:ascii="Cambria" w:hAnsi="Cambria"/>
          <w:lang w:val="es-VE"/>
        </w:rPr>
        <w:t>s</w:t>
      </w:r>
      <w:r w:rsidRPr="00ED541F">
        <w:rPr>
          <w:rFonts w:ascii="Cambria" w:hAnsi="Cambria"/>
          <w:lang w:val="es-VE"/>
        </w:rPr>
        <w:t xml:space="preserve"> 8.2</w:t>
      </w:r>
      <w:r w:rsidR="00B43A81" w:rsidRPr="00ED541F">
        <w:rPr>
          <w:rFonts w:ascii="Cambria" w:hAnsi="Cambria"/>
          <w:lang w:val="es-VE"/>
        </w:rPr>
        <w:t xml:space="preserve"> y 9</w:t>
      </w:r>
      <w:r w:rsidRPr="00ED541F">
        <w:rPr>
          <w:rFonts w:ascii="Cambria" w:hAnsi="Cambria"/>
          <w:lang w:val="es-VE"/>
        </w:rPr>
        <w:t xml:space="preserve"> de la Convención</w:t>
      </w:r>
      <w:r w:rsidR="00314881" w:rsidRPr="00ED541F">
        <w:rPr>
          <w:rFonts w:ascii="Cambria" w:hAnsi="Cambria"/>
          <w:lang w:val="es-VE"/>
        </w:rPr>
        <w:t xml:space="preserve"> Americana</w:t>
      </w:r>
      <w:r w:rsidRPr="00ED541F">
        <w:rPr>
          <w:rFonts w:ascii="Cambria" w:hAnsi="Cambria"/>
          <w:lang w:val="es-VE"/>
        </w:rPr>
        <w:t xml:space="preserve">. </w:t>
      </w:r>
    </w:p>
    <w:p w14:paraId="53F11C98"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60D35334" w14:textId="09FC5689" w:rsidR="000F2FCB" w:rsidRPr="00ED541F" w:rsidRDefault="000F2FCB" w:rsidP="000F2FCB">
      <w:pPr>
        <w:pStyle w:val="Heading2"/>
        <w:numPr>
          <w:ilvl w:val="0"/>
          <w:numId w:val="72"/>
        </w:numPr>
        <w:spacing w:before="0" w:after="0"/>
        <w:ind w:left="1440" w:hanging="720"/>
        <w:jc w:val="both"/>
        <w:rPr>
          <w:rFonts w:ascii="Cambria" w:hAnsi="Cambria"/>
          <w:i w:val="0"/>
          <w:sz w:val="20"/>
          <w:szCs w:val="20"/>
        </w:rPr>
      </w:pPr>
      <w:bookmarkStart w:id="49" w:name="_Toc531880979"/>
      <w:bookmarkStart w:id="50" w:name="_Toc505243743"/>
      <w:bookmarkStart w:id="51" w:name="_Toc497387328"/>
      <w:r w:rsidRPr="00ED541F">
        <w:rPr>
          <w:rFonts w:ascii="Cambria" w:hAnsi="Cambria"/>
          <w:i w:val="0"/>
          <w:sz w:val="20"/>
          <w:szCs w:val="20"/>
        </w:rPr>
        <w:t>El derecho a la comunicación previa y detallada de la acusación</w:t>
      </w:r>
      <w:r w:rsidRPr="00ED541F">
        <w:rPr>
          <w:rStyle w:val="FootnoteReference"/>
          <w:rFonts w:ascii="Cambria" w:hAnsi="Cambria"/>
          <w:i w:val="0"/>
          <w:sz w:val="20"/>
          <w:szCs w:val="20"/>
        </w:rPr>
        <w:footnoteReference w:id="39"/>
      </w:r>
      <w:r w:rsidRPr="00ED541F">
        <w:rPr>
          <w:rFonts w:ascii="Cambria" w:hAnsi="Cambria"/>
          <w:i w:val="0"/>
          <w:sz w:val="20"/>
          <w:szCs w:val="20"/>
        </w:rPr>
        <w:t xml:space="preserve"> al tiempo y los medios adecuados para la preparación de la defensa</w:t>
      </w:r>
      <w:r w:rsidRPr="00ED541F">
        <w:rPr>
          <w:rStyle w:val="FootnoteReference"/>
          <w:rFonts w:ascii="Cambria" w:hAnsi="Cambria"/>
          <w:i w:val="0"/>
          <w:sz w:val="20"/>
          <w:szCs w:val="20"/>
        </w:rPr>
        <w:footnoteReference w:id="40"/>
      </w:r>
      <w:r w:rsidRPr="00ED541F">
        <w:rPr>
          <w:rFonts w:ascii="Cambria" w:hAnsi="Cambria"/>
          <w:i w:val="0"/>
          <w:sz w:val="20"/>
          <w:szCs w:val="20"/>
        </w:rPr>
        <w:t xml:space="preserve"> y a ser asistido por un abogado defensor de su elección</w:t>
      </w:r>
      <w:r w:rsidRPr="00ED541F">
        <w:rPr>
          <w:rStyle w:val="FootnoteReference"/>
          <w:rFonts w:ascii="Cambria" w:eastAsia="Cambria" w:hAnsi="Cambria"/>
          <w:i w:val="0"/>
          <w:sz w:val="20"/>
          <w:szCs w:val="20"/>
        </w:rPr>
        <w:footnoteReference w:id="41"/>
      </w:r>
      <w:bookmarkEnd w:id="49"/>
    </w:p>
    <w:bookmarkEnd w:id="50"/>
    <w:p w14:paraId="13FFF1A5" w14:textId="77777777" w:rsidR="00F443DF" w:rsidRPr="00ED541F" w:rsidRDefault="00F443DF" w:rsidP="00F443DF"/>
    <w:p w14:paraId="41CE8FF9" w14:textId="77777777" w:rsidR="00E4532A" w:rsidRPr="00ED541F" w:rsidRDefault="00E4532A" w:rsidP="00E453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L</w:t>
      </w:r>
      <w:r w:rsidRPr="00ED541F" w:rsidDel="00044636">
        <w:rPr>
          <w:rFonts w:ascii="Cambria" w:hAnsi="Cambria"/>
          <w:lang w:val="es-VE"/>
        </w:rPr>
        <w:t xml:space="preserve">a </w:t>
      </w:r>
      <w:r w:rsidRPr="00ED541F" w:rsidDel="00044636">
        <w:rPr>
          <w:rFonts w:ascii="Cambria" w:hAnsi="Cambria"/>
        </w:rPr>
        <w:t>Comisión</w:t>
      </w:r>
      <w:r w:rsidRPr="00ED541F" w:rsidDel="00044636">
        <w:rPr>
          <w:rFonts w:ascii="Cambria" w:hAnsi="Cambria"/>
          <w:lang w:val="es-VE"/>
        </w:rPr>
        <w:t xml:space="preserve"> recuerda que</w:t>
      </w:r>
      <w:r w:rsidRPr="00ED541F">
        <w:rPr>
          <w:rFonts w:ascii="Cambria" w:hAnsi="Cambria"/>
          <w:lang w:val="es-VE"/>
        </w:rPr>
        <w:t xml:space="preserve"> el derecho a la defensa </w:t>
      </w:r>
      <w:r w:rsidRPr="00ED541F" w:rsidDel="00044636">
        <w:rPr>
          <w:rFonts w:ascii="Cambria" w:hAnsi="Cambria"/>
          <w:lang w:val="es-VE"/>
        </w:rPr>
        <w:t xml:space="preserve">implica que </w:t>
      </w:r>
      <w:r w:rsidRPr="00ED541F">
        <w:rPr>
          <w:rFonts w:ascii="Cambria" w:hAnsi="Cambria"/>
        </w:rPr>
        <w:t xml:space="preserve">la persona sometida a un proceso, incluyendo uno de carácter administrativo, pueda defender sus intereses o derechos en forma efectiva y en “condiciones de igualdad procesal (…) </w:t>
      </w:r>
      <w:r w:rsidRPr="00ED541F">
        <w:rPr>
          <w:rFonts w:ascii="Cambria" w:hAnsi="Cambria"/>
          <w:lang w:val="es-ES_tradnl"/>
        </w:rPr>
        <w:t>siendo plenamente informado de las acusaciones que se formulan en su contra</w:t>
      </w:r>
      <w:r w:rsidRPr="00ED541F">
        <w:rPr>
          <w:rStyle w:val="FootnoteReference"/>
          <w:rFonts w:ascii="Cambria" w:hAnsi="Cambria"/>
        </w:rPr>
        <w:footnoteReference w:id="42"/>
      </w:r>
      <w:r w:rsidRPr="00ED541F">
        <w:rPr>
          <w:rFonts w:ascii="Cambria" w:hAnsi="Cambria"/>
          <w:lang w:val="es-ES_tradnl"/>
        </w:rPr>
        <w:t>”.</w:t>
      </w:r>
    </w:p>
    <w:p w14:paraId="5CE608A7" w14:textId="2C761EDF" w:rsidR="00F443DF" w:rsidRPr="00ED541F" w:rsidRDefault="00E4532A" w:rsidP="00446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r w:rsidRPr="00ED541F">
        <w:rPr>
          <w:rFonts w:ascii="Cambria" w:hAnsi="Cambria"/>
          <w:lang w:val="es-VE"/>
        </w:rPr>
        <w:t xml:space="preserve"> </w:t>
      </w:r>
    </w:p>
    <w:p w14:paraId="3FC5A7D8" w14:textId="2C580935" w:rsidR="00B21168" w:rsidRPr="00ED541F" w:rsidRDefault="00B2116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Por su parte la Corte Interamericana ha indicado que para satisfacer dicha garantía “el Estado debe informar al interesado no solamente de la causa de la acusación, esto es, las acciones u omisiones que se le imputan, sino también las razones que llevan al Estado a formular la acusación, los fundamentos probatorios de ésta y la caracterización legal que se da a esos hechos. Toda esta información debe ser expresa</w:t>
      </w:r>
      <w:r w:rsidR="002C2882" w:rsidRPr="00ED541F">
        <w:rPr>
          <w:rFonts w:ascii="Cambria" w:hAnsi="Cambria"/>
          <w:lang w:val="es-VE"/>
        </w:rPr>
        <w:t>,</w:t>
      </w:r>
      <w:r w:rsidRPr="00ED541F">
        <w:rPr>
          <w:rFonts w:ascii="Cambria" w:hAnsi="Cambria"/>
          <w:lang w:val="es-VE"/>
        </w:rPr>
        <w:t xml:space="preserve"> clara, integral y suficientemente detallada para permitir al acusado que ejerza plenamente su derecho a la defensa y muestre al juez su versión de los hechos. Este derecho rige incluso antes de que se formule una acusación en sentido estricto y para que se satisfaga el mencionado artículo es necesario que la notificación ocurra previamente a que el inculpado rinda su primera declaración ante cualquier </w:t>
      </w:r>
      <w:proofErr w:type="gramStart"/>
      <w:r w:rsidRPr="00ED541F">
        <w:rPr>
          <w:rFonts w:ascii="Cambria" w:hAnsi="Cambria"/>
          <w:lang w:val="es-VE"/>
        </w:rPr>
        <w:t>autoridad pública</w:t>
      </w:r>
      <w:proofErr w:type="gramEnd"/>
      <w:r w:rsidRPr="00ED541F">
        <w:rPr>
          <w:rFonts w:ascii="Cambria" w:hAnsi="Cambria"/>
          <w:lang w:val="es-VE"/>
        </w:rPr>
        <w:t>”</w:t>
      </w:r>
      <w:r w:rsidRPr="00ED541F">
        <w:rPr>
          <w:rFonts w:ascii="Cambria" w:hAnsi="Cambria"/>
          <w:vertAlign w:val="superscript"/>
          <w:lang w:val="es-VE"/>
        </w:rPr>
        <w:footnoteReference w:id="43"/>
      </w:r>
      <w:r w:rsidRPr="00ED541F">
        <w:rPr>
          <w:rFonts w:ascii="Cambria" w:hAnsi="Cambria"/>
          <w:lang w:val="es-VE"/>
        </w:rPr>
        <w:t>.</w:t>
      </w:r>
    </w:p>
    <w:p w14:paraId="7FE6D3F8"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lang w:val="es-VE"/>
        </w:rPr>
      </w:pPr>
    </w:p>
    <w:p w14:paraId="26A9511F" w14:textId="644341E5" w:rsidR="00F65E5B" w:rsidRPr="00ED541F" w:rsidRDefault="00B21168" w:rsidP="00F65E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spacing w:val="2"/>
        </w:rPr>
      </w:pPr>
      <w:r w:rsidRPr="00ED541F">
        <w:rPr>
          <w:rFonts w:ascii="Cambria" w:hAnsi="Cambria"/>
          <w:lang w:val="es-VE"/>
        </w:rPr>
        <w:t xml:space="preserve">Por otra parte, en cuanto al derecho a la concesión del tiempo y de los medios adecuados para la preparación de su defensa, </w:t>
      </w:r>
      <w:r w:rsidR="00F65E5B" w:rsidRPr="00ED541F">
        <w:rPr>
          <w:spacing w:val="2"/>
        </w:rPr>
        <w:t xml:space="preserve">la Comisión se ha referido a la necesidad de </w:t>
      </w:r>
      <w:r w:rsidR="00F65E5B" w:rsidRPr="00ED541F">
        <w:t>asegurar</w:t>
      </w:r>
      <w:r w:rsidR="00F65E5B" w:rsidRPr="00ED541F">
        <w:rPr>
          <w:spacing w:val="2"/>
        </w:rPr>
        <w:t xml:space="preserve"> que las personas puedan “preparar su defensa, formular alegatos y promover las pruebas pertinentes”, garantías que resulta </w:t>
      </w:r>
      <w:r w:rsidR="00F65E5B" w:rsidRPr="00ED541F">
        <w:rPr>
          <w:spacing w:val="2"/>
        </w:rPr>
        <w:lastRenderedPageBreak/>
        <w:t>imposible ejercer en un caso en el cual el plazo</w:t>
      </w:r>
      <w:r w:rsidR="00100514" w:rsidRPr="00ED541F">
        <w:rPr>
          <w:spacing w:val="2"/>
        </w:rPr>
        <w:t xml:space="preserve"> brindado por las autoridades estatales </w:t>
      </w:r>
      <w:r w:rsidR="00F65E5B" w:rsidRPr="00ED541F">
        <w:rPr>
          <w:spacing w:val="2"/>
        </w:rPr>
        <w:t>resulta “irrazonablemente breve”</w:t>
      </w:r>
      <w:r w:rsidR="00F65E5B" w:rsidRPr="00ED541F">
        <w:rPr>
          <w:rStyle w:val="FootnoteReference"/>
          <w:spacing w:val="2"/>
        </w:rPr>
        <w:footnoteReference w:id="44"/>
      </w:r>
      <w:r w:rsidR="00F65E5B" w:rsidRPr="00ED541F">
        <w:rPr>
          <w:spacing w:val="2"/>
        </w:rPr>
        <w:t xml:space="preserve">. </w:t>
      </w:r>
    </w:p>
    <w:p w14:paraId="1CC4D29A" w14:textId="452AED3F" w:rsidR="00B21168" w:rsidRPr="00ED541F" w:rsidRDefault="00B21168" w:rsidP="00260FE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45D01C36" w14:textId="5509664D" w:rsidR="00B21168" w:rsidRPr="00ED541F" w:rsidRDefault="00B2116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En cuanto al derecho a la defensa</w:t>
      </w:r>
      <w:r w:rsidR="0008132C" w:rsidRPr="00ED541F">
        <w:rPr>
          <w:rFonts w:ascii="Cambria" w:hAnsi="Cambria"/>
          <w:lang w:val="es-VE"/>
        </w:rPr>
        <w:t xml:space="preserve"> técnica</w:t>
      </w:r>
      <w:r w:rsidRPr="00ED541F">
        <w:rPr>
          <w:rFonts w:ascii="Cambria" w:hAnsi="Cambria"/>
          <w:lang w:val="es-VE"/>
        </w:rPr>
        <w:t>, la Corte Interamericana ha indicado que el mismo surge desde que se ordena investigar a un individuo, quien debe contar con la asistencia de un abogado defensor desde la diligencia en la que se recibe su declaración, pues negarle esta posibilidad “es limitar severamente el derecho a la defensa, lo que ocasiona desequilibrio procesal y deja al individuo sin tutela frente al ejercicio del poder punitivo</w:t>
      </w:r>
      <w:r w:rsidRPr="00ED541F">
        <w:rPr>
          <w:rFonts w:ascii="Cambria" w:hAnsi="Cambria"/>
          <w:vertAlign w:val="superscript"/>
          <w:lang w:val="es-VE"/>
        </w:rPr>
        <w:footnoteReference w:id="45"/>
      </w:r>
      <w:r w:rsidRPr="00ED541F">
        <w:rPr>
          <w:rFonts w:ascii="Cambria" w:hAnsi="Cambria"/>
          <w:lang w:val="es-VE"/>
        </w:rPr>
        <w:t xml:space="preserve">” Asimismo, en el caso </w:t>
      </w:r>
      <w:r w:rsidRPr="00ED541F">
        <w:rPr>
          <w:rFonts w:ascii="Cambria" w:hAnsi="Cambria"/>
          <w:i/>
          <w:lang w:val="es-VE"/>
        </w:rPr>
        <w:t>V</w:t>
      </w:r>
      <w:r w:rsidR="00553EA1" w:rsidRPr="00ED541F">
        <w:rPr>
          <w:rFonts w:ascii="Cambria" w:hAnsi="Cambria"/>
          <w:i/>
          <w:lang w:val="es-VE"/>
        </w:rPr>
        <w:t>é</w:t>
      </w:r>
      <w:r w:rsidRPr="00ED541F">
        <w:rPr>
          <w:rFonts w:ascii="Cambria" w:hAnsi="Cambria"/>
          <w:i/>
          <w:lang w:val="es-VE"/>
        </w:rPr>
        <w:t>lez Loor</w:t>
      </w:r>
      <w:r w:rsidR="00553EA1" w:rsidRPr="00ED541F">
        <w:rPr>
          <w:rFonts w:ascii="Cambria" w:hAnsi="Cambria"/>
          <w:i/>
          <w:lang w:val="es-VE"/>
        </w:rPr>
        <w:t xml:space="preserve"> vs. Panamá</w:t>
      </w:r>
      <w:r w:rsidR="00197926" w:rsidRPr="00ED541F">
        <w:rPr>
          <w:rFonts w:ascii="Cambria" w:hAnsi="Cambria"/>
          <w:i/>
          <w:lang w:val="es-VE"/>
        </w:rPr>
        <w:t>,</w:t>
      </w:r>
      <w:r w:rsidRPr="00ED541F">
        <w:rPr>
          <w:rFonts w:ascii="Cambria" w:hAnsi="Cambria"/>
          <w:lang w:val="es-VE"/>
        </w:rPr>
        <w:t xml:space="preserve"> la Corte indicó que “el derecho a la defensa surge desde el momento en el que se ordena iniciar la investigación o la autoridad dispone o ejecuta actos que implican una afectación de los derechos de la persona</w:t>
      </w:r>
      <w:r w:rsidRPr="00ED541F">
        <w:rPr>
          <w:rFonts w:ascii="Cambria" w:hAnsi="Cambria"/>
          <w:vertAlign w:val="superscript"/>
          <w:lang w:val="es-VE"/>
        </w:rPr>
        <w:footnoteReference w:id="46"/>
      </w:r>
      <w:r w:rsidRPr="00ED541F">
        <w:rPr>
          <w:rFonts w:ascii="Cambria" w:hAnsi="Cambria"/>
          <w:lang w:val="es-VE"/>
        </w:rPr>
        <w:t xml:space="preserve">  y agregó que “la persona sometida a un proceso administrativo sancionatorio debe tener acceso a la defensa técnica desde ese mismo momento</w:t>
      </w:r>
      <w:r w:rsidRPr="00ED541F">
        <w:rPr>
          <w:rFonts w:ascii="Cambria" w:hAnsi="Cambria"/>
          <w:vertAlign w:val="superscript"/>
          <w:lang w:val="es-VE"/>
        </w:rPr>
        <w:footnoteReference w:id="47"/>
      </w:r>
      <w:r w:rsidRPr="00ED541F">
        <w:rPr>
          <w:rFonts w:ascii="Cambria" w:hAnsi="Cambria"/>
          <w:lang w:val="es-VE"/>
        </w:rPr>
        <w:t>”</w:t>
      </w:r>
      <w:r w:rsidR="00F443DF" w:rsidRPr="00ED541F">
        <w:rPr>
          <w:rFonts w:ascii="Cambria" w:hAnsi="Cambria"/>
          <w:lang w:val="es-VE"/>
        </w:rPr>
        <w:t>.</w:t>
      </w:r>
    </w:p>
    <w:p w14:paraId="4C11702D"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7587424D" w14:textId="3F42FB11" w:rsidR="00001508" w:rsidRPr="00ED541F" w:rsidRDefault="00C45AD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En primer lugar, en </w:t>
      </w:r>
      <w:r w:rsidR="00B21168" w:rsidRPr="00ED541F">
        <w:rPr>
          <w:rFonts w:ascii="Cambria" w:hAnsi="Cambria"/>
          <w:lang w:val="es-VE"/>
        </w:rPr>
        <w:t xml:space="preserve">el presente caso la presunta víctima </w:t>
      </w:r>
      <w:r w:rsidR="006C7EBC" w:rsidRPr="00ED541F">
        <w:rPr>
          <w:rFonts w:ascii="Cambria" w:hAnsi="Cambria"/>
          <w:lang w:val="es-VE"/>
        </w:rPr>
        <w:t xml:space="preserve">alegó que no fue notificada formalmente del inicio de la investigación en su contra, con indicación de los hechos que se le imputaban o la caracterización legal de los mismos. </w:t>
      </w:r>
      <w:r w:rsidR="00817691" w:rsidRPr="00ED541F">
        <w:rPr>
          <w:rFonts w:ascii="Cambria" w:hAnsi="Cambria"/>
          <w:lang w:val="es-VE"/>
        </w:rPr>
        <w:t>El Estado no ha logrado controvertir</w:t>
      </w:r>
      <w:r w:rsidR="00817691" w:rsidRPr="00ED541F">
        <w:rPr>
          <w:rStyle w:val="FootnoteReference"/>
          <w:rFonts w:ascii="Cambria" w:hAnsi="Cambria"/>
          <w:lang w:val="es-VE"/>
        </w:rPr>
        <w:footnoteReference w:id="48"/>
      </w:r>
      <w:r w:rsidR="00817691" w:rsidRPr="00ED541F">
        <w:rPr>
          <w:rFonts w:ascii="Cambria" w:hAnsi="Cambria"/>
          <w:lang w:val="es-VE"/>
        </w:rPr>
        <w:t xml:space="preserve"> este alegato mediante la aportación de una notificación escrita que cumpliera con los parámetros citados anteriormente. En ese sentido, </w:t>
      </w:r>
      <w:r w:rsidR="00CE4B61" w:rsidRPr="00ED541F">
        <w:rPr>
          <w:rFonts w:ascii="Cambria" w:hAnsi="Cambria"/>
          <w:lang w:val="es-VE"/>
        </w:rPr>
        <w:t xml:space="preserve">el Estado no ha demostrado que </w:t>
      </w:r>
      <w:r w:rsidR="00817691" w:rsidRPr="00ED541F">
        <w:rPr>
          <w:rFonts w:ascii="Cambria" w:hAnsi="Cambria"/>
          <w:lang w:val="es-VE"/>
        </w:rPr>
        <w:t>el señor Mina Cuero contara con la información clara y detallada sobre la apertura de un procedimiento en su contra y sus fundamentos fácticos y legales, ni antes de rendir su declaración el 17 de septiembre de 2000, ni antes de la audiencia cel</w:t>
      </w:r>
      <w:r w:rsidR="00CE4B61" w:rsidRPr="00ED541F">
        <w:rPr>
          <w:rFonts w:ascii="Cambria" w:hAnsi="Cambria"/>
          <w:lang w:val="es-VE"/>
        </w:rPr>
        <w:t>ebrada el 25 de octubre de 2000</w:t>
      </w:r>
      <w:r w:rsidR="009A2A98" w:rsidRPr="00ED541F">
        <w:rPr>
          <w:rFonts w:ascii="Cambria" w:hAnsi="Cambria"/>
          <w:lang w:val="es-VE"/>
        </w:rPr>
        <w:t xml:space="preserve">. </w:t>
      </w:r>
      <w:r w:rsidR="00817691" w:rsidRPr="00ED541F">
        <w:rPr>
          <w:rFonts w:ascii="Cambria" w:hAnsi="Cambria"/>
          <w:lang w:val="es-VE"/>
        </w:rPr>
        <w:t xml:space="preserve">  </w:t>
      </w:r>
    </w:p>
    <w:p w14:paraId="796098C4" w14:textId="77777777" w:rsidR="00001508" w:rsidRPr="00ED541F" w:rsidRDefault="00001508" w:rsidP="00001508">
      <w:pPr>
        <w:pStyle w:val="ListParagraph"/>
        <w:rPr>
          <w:lang w:val="es-VE"/>
        </w:rPr>
      </w:pPr>
    </w:p>
    <w:p w14:paraId="663E86ED" w14:textId="73B56C63" w:rsidR="00B21168" w:rsidRPr="00ED541F" w:rsidRDefault="00600CBE"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En </w:t>
      </w:r>
      <w:r w:rsidR="00C45AD8" w:rsidRPr="00ED541F">
        <w:rPr>
          <w:rFonts w:ascii="Cambria" w:hAnsi="Cambria"/>
          <w:lang w:val="es-VE"/>
        </w:rPr>
        <w:t xml:space="preserve">segundo lugar, </w:t>
      </w:r>
      <w:r w:rsidR="00E52F27" w:rsidRPr="00ED541F">
        <w:rPr>
          <w:rFonts w:ascii="Cambria" w:hAnsi="Cambria"/>
          <w:lang w:val="es-VE"/>
        </w:rPr>
        <w:t xml:space="preserve">la Comisión destaca que la </w:t>
      </w:r>
      <w:r w:rsidR="00B21168" w:rsidRPr="00ED541F">
        <w:rPr>
          <w:rFonts w:ascii="Cambria" w:hAnsi="Cambria"/>
          <w:lang w:val="es-VE"/>
        </w:rPr>
        <w:t>declaración</w:t>
      </w:r>
      <w:r w:rsidR="00E52F27" w:rsidRPr="00ED541F">
        <w:rPr>
          <w:rFonts w:ascii="Cambria" w:hAnsi="Cambria"/>
          <w:lang w:val="es-VE"/>
        </w:rPr>
        <w:t xml:space="preserve"> rendida</w:t>
      </w:r>
      <w:r w:rsidR="00B21168" w:rsidRPr="00ED541F">
        <w:rPr>
          <w:rFonts w:ascii="Cambria" w:hAnsi="Cambria"/>
          <w:lang w:val="es-VE"/>
        </w:rPr>
        <w:t xml:space="preserve"> ante la Policía Judicial el 18 de septiembre de 2000, </w:t>
      </w:r>
      <w:r w:rsidR="00E52F27" w:rsidRPr="00ED541F">
        <w:rPr>
          <w:rFonts w:ascii="Cambria" w:hAnsi="Cambria"/>
          <w:lang w:val="es-VE"/>
        </w:rPr>
        <w:t xml:space="preserve">fue </w:t>
      </w:r>
      <w:r w:rsidR="00B21168" w:rsidRPr="00ED541F">
        <w:rPr>
          <w:rFonts w:ascii="Cambria" w:hAnsi="Cambria"/>
          <w:lang w:val="es-VE"/>
        </w:rPr>
        <w:t>sin asistencia jurídica.</w:t>
      </w:r>
      <w:r w:rsidR="00B40666" w:rsidRPr="00ED541F">
        <w:rPr>
          <w:rFonts w:ascii="Cambria" w:hAnsi="Cambria"/>
          <w:lang w:val="es-VE"/>
        </w:rPr>
        <w:t xml:space="preserve"> En cuanto al argumento del Estado sobre la supuesta falta de “relevancia jurídica” de esta declaración, la CIDH destaca que las garantías del debido proceso y, particularmente, el</w:t>
      </w:r>
      <w:r w:rsidR="000B33AC" w:rsidRPr="00ED541F">
        <w:rPr>
          <w:rFonts w:ascii="Cambria" w:hAnsi="Cambria"/>
          <w:lang w:val="es-VE"/>
        </w:rPr>
        <w:t xml:space="preserve"> estricto cumplimiento del</w:t>
      </w:r>
      <w:r w:rsidR="00B40666" w:rsidRPr="00ED541F">
        <w:rPr>
          <w:rFonts w:ascii="Cambria" w:hAnsi="Cambria"/>
          <w:lang w:val="es-VE"/>
        </w:rPr>
        <w:t xml:space="preserve"> derecho</w:t>
      </w:r>
      <w:r w:rsidR="000B33AC" w:rsidRPr="00ED541F">
        <w:rPr>
          <w:rFonts w:ascii="Cambria" w:hAnsi="Cambria"/>
          <w:lang w:val="es-VE"/>
        </w:rPr>
        <w:t xml:space="preserve"> de defensa en todas las etapas de un proceso sancionatorio, constituyen derechos autónomos que no dependen de apreciaciones subjetivas sobre si una actuación en particular tuvo o no “relevancia jurídica”.</w:t>
      </w:r>
    </w:p>
    <w:p w14:paraId="59FF252E"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07CB0FE9" w14:textId="0EB0444F" w:rsidR="00B21168" w:rsidRPr="00ED541F" w:rsidRDefault="00CE0D5E"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En tercer lugar, conforme a los hechos probados,</w:t>
      </w:r>
      <w:r w:rsidR="00B21168" w:rsidRPr="00ED541F">
        <w:rPr>
          <w:rFonts w:ascii="Cambria" w:hAnsi="Cambria"/>
          <w:lang w:val="es-VE"/>
        </w:rPr>
        <w:t xml:space="preserve"> el 17 de octubre de 2000 el Comando General de Policía dispuso la conformación de un Tribunal de Disciplina para conocer las faltas disciplinarias atribuidas a la presunta víctima, y convocó a una audiencia pública para el 25 de octubre de 2000</w:t>
      </w:r>
      <w:r w:rsidR="00253432" w:rsidRPr="00ED541F">
        <w:rPr>
          <w:rFonts w:ascii="Cambria" w:hAnsi="Cambria"/>
          <w:lang w:val="es-VE"/>
        </w:rPr>
        <w:t xml:space="preserve">. Como se indicó anteriormente, no consta notificación formal a la víctima de esta actuación. En ese sentido, el Estado no logró controvertir lo indicado por </w:t>
      </w:r>
      <w:r w:rsidR="00B21168" w:rsidRPr="00ED541F">
        <w:rPr>
          <w:rFonts w:ascii="Cambria" w:hAnsi="Cambria"/>
          <w:lang w:val="es-VE"/>
        </w:rPr>
        <w:t xml:space="preserve">la presunta víctima </w:t>
      </w:r>
      <w:r w:rsidR="00E16BE6" w:rsidRPr="00ED541F">
        <w:rPr>
          <w:rFonts w:ascii="Cambria" w:hAnsi="Cambria"/>
          <w:lang w:val="es-VE"/>
        </w:rPr>
        <w:t xml:space="preserve">en cuanto a que </w:t>
      </w:r>
      <w:r w:rsidR="00B21168" w:rsidRPr="00ED541F">
        <w:rPr>
          <w:rFonts w:ascii="Cambria" w:hAnsi="Cambria"/>
          <w:lang w:val="es-VE"/>
        </w:rPr>
        <w:t xml:space="preserve">fue informada verbalmente el 24 de octubre de 2000, que </w:t>
      </w:r>
      <w:r w:rsidR="00E16BE6" w:rsidRPr="00ED541F">
        <w:rPr>
          <w:rFonts w:ascii="Cambria" w:hAnsi="Cambria"/>
          <w:lang w:val="es-VE"/>
        </w:rPr>
        <w:t xml:space="preserve">al día siguiente </w:t>
      </w:r>
      <w:r w:rsidR="00B21168" w:rsidRPr="00ED541F">
        <w:rPr>
          <w:rFonts w:ascii="Cambria" w:hAnsi="Cambria"/>
          <w:lang w:val="es-VE"/>
        </w:rPr>
        <w:t>tendría lugar una audiencia en el marco de su proceso y que</w:t>
      </w:r>
      <w:r w:rsidR="00DD6C49" w:rsidRPr="00ED541F">
        <w:rPr>
          <w:rFonts w:ascii="Cambria" w:hAnsi="Cambria"/>
          <w:lang w:val="es-VE"/>
        </w:rPr>
        <w:t xml:space="preserve"> la misma </w:t>
      </w:r>
      <w:r w:rsidR="00B21168" w:rsidRPr="00ED541F">
        <w:rPr>
          <w:rFonts w:ascii="Cambria" w:hAnsi="Cambria"/>
          <w:lang w:val="es-VE"/>
        </w:rPr>
        <w:t>se realizaría en la ciudad de Esmeralda</w:t>
      </w:r>
      <w:r w:rsidR="00DD6C49" w:rsidRPr="00ED541F">
        <w:rPr>
          <w:rFonts w:ascii="Cambria" w:hAnsi="Cambria"/>
          <w:lang w:val="es-VE"/>
        </w:rPr>
        <w:t>s</w:t>
      </w:r>
      <w:r w:rsidR="00B21168" w:rsidRPr="00ED541F">
        <w:rPr>
          <w:rFonts w:ascii="Cambria" w:hAnsi="Cambria"/>
          <w:lang w:val="es-VE"/>
        </w:rPr>
        <w:t>, a dieciocho horas en bus de la provincia donde se encontraba</w:t>
      </w:r>
      <w:r w:rsidR="00D43325" w:rsidRPr="00ED541F">
        <w:rPr>
          <w:rFonts w:ascii="Cambria" w:hAnsi="Cambria"/>
          <w:lang w:val="es-VE"/>
        </w:rPr>
        <w:t xml:space="preserve">, habiendo tenido que </w:t>
      </w:r>
      <w:r w:rsidR="00B21168" w:rsidRPr="00ED541F">
        <w:rPr>
          <w:rFonts w:ascii="Cambria" w:hAnsi="Cambria"/>
          <w:lang w:val="es-VE"/>
        </w:rPr>
        <w:t>desplazarse durante toda la noche y conseguir dos abogados para preparar su defensa a escasas horas de que la audiencia se llevara a cabo. La Comisión recuerda que uno de los abogados solicitó que se aplazara la audiencia para preparar una defensa adecuada, pero su solicitud fue negada por el Tribunal de Disciplina.</w:t>
      </w:r>
    </w:p>
    <w:p w14:paraId="2C4248CD"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lang w:val="es-VE"/>
        </w:rPr>
      </w:pPr>
    </w:p>
    <w:p w14:paraId="142E2102" w14:textId="77777777" w:rsidR="00B21168" w:rsidRPr="00ED541F" w:rsidRDefault="00B2116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La CIDH destaca que la audiencia se refirió de manera genérica a las infracciones del peticionario, sin que tampoco existiera claridad en esta etapa sobre los hechos e infracciones disciplinarias en </w:t>
      </w:r>
      <w:r w:rsidRPr="00ED541F">
        <w:rPr>
          <w:rFonts w:ascii="Cambria" w:hAnsi="Cambria"/>
          <w:lang w:val="es-VE"/>
        </w:rPr>
        <w:lastRenderedPageBreak/>
        <w:t xml:space="preserve">que incurrió la presunta víctima. La Comisión hace notar que es una constante durante el proceso disciplinario que no existía claridad </w:t>
      </w:r>
      <w:proofErr w:type="gramStart"/>
      <w:r w:rsidRPr="00ED541F">
        <w:rPr>
          <w:rFonts w:ascii="Cambria" w:hAnsi="Cambria"/>
          <w:lang w:val="es-VE"/>
        </w:rPr>
        <w:t>respecto  si</w:t>
      </w:r>
      <w:proofErr w:type="gramEnd"/>
      <w:r w:rsidRPr="00ED541F">
        <w:rPr>
          <w:rFonts w:ascii="Cambria" w:hAnsi="Cambria"/>
          <w:lang w:val="es-VE"/>
        </w:rPr>
        <w:t xml:space="preserve"> el proceso se inició por la presunta agresión del señor Mina Cuero a su ex conviviente, o la supuesta falta de respeto a sus superiores o las dos cuestiones, lo cual solamente se dilucidó al emitirse la decisión sancionatoria del Tribunal de Disciplina.</w:t>
      </w:r>
    </w:p>
    <w:p w14:paraId="58CB60BC"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lang w:val="es-VE"/>
        </w:rPr>
      </w:pPr>
    </w:p>
    <w:p w14:paraId="48B50884" w14:textId="120C02BC" w:rsidR="00B21168" w:rsidRPr="00ED541F" w:rsidRDefault="00B21168"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rPr>
        <w:t xml:space="preserve">En virtud de lo anterior, la CIDH concluye que el Estado violó </w:t>
      </w:r>
      <w:r w:rsidR="00E5309D" w:rsidRPr="00ED541F">
        <w:rPr>
          <w:rFonts w:ascii="Cambria" w:hAnsi="Cambria"/>
        </w:rPr>
        <w:t xml:space="preserve">los derechos </w:t>
      </w:r>
      <w:r w:rsidRPr="00ED541F">
        <w:rPr>
          <w:rFonts w:ascii="Cambria" w:hAnsi="Cambria"/>
        </w:rPr>
        <w:t>establecido</w:t>
      </w:r>
      <w:r w:rsidR="007E4ABA" w:rsidRPr="00ED541F">
        <w:rPr>
          <w:rFonts w:ascii="Cambria" w:hAnsi="Cambria"/>
        </w:rPr>
        <w:t>s</w:t>
      </w:r>
      <w:r w:rsidRPr="00ED541F">
        <w:rPr>
          <w:rFonts w:ascii="Cambria" w:hAnsi="Cambria"/>
        </w:rPr>
        <w:t xml:space="preserve"> en los artículos 8.2 b), c) y d) de la Convención Americana en relación con el artículo 1.1 del mismo </w:t>
      </w:r>
      <w:proofErr w:type="gramStart"/>
      <w:r w:rsidRPr="00ED541F">
        <w:rPr>
          <w:rFonts w:ascii="Cambria" w:hAnsi="Cambria"/>
        </w:rPr>
        <w:t>instrumento,  en</w:t>
      </w:r>
      <w:proofErr w:type="gramEnd"/>
      <w:r w:rsidRPr="00ED541F">
        <w:rPr>
          <w:rFonts w:ascii="Cambria" w:hAnsi="Cambria"/>
        </w:rPr>
        <w:t xml:space="preserve"> perjuicio de </w:t>
      </w:r>
      <w:r w:rsidR="00F443DF" w:rsidRPr="00ED541F">
        <w:rPr>
          <w:rFonts w:ascii="Cambria" w:hAnsi="Cambria"/>
        </w:rPr>
        <w:t>Víctor</w:t>
      </w:r>
      <w:r w:rsidRPr="00ED541F">
        <w:rPr>
          <w:rFonts w:ascii="Cambria" w:hAnsi="Cambria"/>
        </w:rPr>
        <w:t xml:space="preserve"> Henry Mina Cuero.</w:t>
      </w:r>
    </w:p>
    <w:p w14:paraId="0D5A5F2B" w14:textId="77777777" w:rsidR="00F443DF" w:rsidRPr="00ED541F" w:rsidRDefault="00F443DF" w:rsidP="00F443D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lang w:val="es-VE"/>
        </w:rPr>
      </w:pPr>
    </w:p>
    <w:p w14:paraId="64149208" w14:textId="4B661C9F" w:rsidR="00B21168" w:rsidRPr="00ED541F" w:rsidRDefault="00B21168" w:rsidP="007E4ABA">
      <w:pPr>
        <w:pStyle w:val="Heading2"/>
        <w:numPr>
          <w:ilvl w:val="0"/>
          <w:numId w:val="72"/>
        </w:numPr>
        <w:spacing w:before="0" w:after="0"/>
        <w:ind w:left="1440" w:hanging="720"/>
        <w:jc w:val="both"/>
        <w:rPr>
          <w:rFonts w:ascii="Cambria" w:hAnsi="Cambria"/>
          <w:i w:val="0"/>
          <w:sz w:val="20"/>
          <w:szCs w:val="20"/>
        </w:rPr>
      </w:pPr>
      <w:bookmarkStart w:id="52" w:name="_Toc505243746"/>
      <w:bookmarkStart w:id="53" w:name="_Toc531880980"/>
      <w:r w:rsidRPr="00ED541F">
        <w:rPr>
          <w:rFonts w:ascii="Cambria" w:hAnsi="Cambria"/>
          <w:i w:val="0"/>
          <w:sz w:val="20"/>
          <w:szCs w:val="20"/>
        </w:rPr>
        <w:t>El principio de presunción de inocencia</w:t>
      </w:r>
      <w:r w:rsidRPr="00ED541F">
        <w:rPr>
          <w:rStyle w:val="FootnoteReference"/>
          <w:rFonts w:ascii="Cambria" w:hAnsi="Cambria"/>
          <w:i w:val="0"/>
          <w:sz w:val="20"/>
          <w:szCs w:val="20"/>
        </w:rPr>
        <w:footnoteReference w:id="49"/>
      </w:r>
      <w:r w:rsidRPr="00ED541F">
        <w:rPr>
          <w:rFonts w:ascii="Cambria" w:hAnsi="Cambria"/>
          <w:i w:val="0"/>
          <w:sz w:val="20"/>
          <w:szCs w:val="20"/>
        </w:rPr>
        <w:t xml:space="preserve"> respecto del uso de los antecedentes penales en la decisión de destitución</w:t>
      </w:r>
      <w:bookmarkEnd w:id="52"/>
      <w:bookmarkEnd w:id="53"/>
    </w:p>
    <w:p w14:paraId="3B661C3C" w14:textId="77777777" w:rsidR="00B21168" w:rsidRPr="00ED541F" w:rsidRDefault="00B21168" w:rsidP="00284AF8">
      <w:pPr>
        <w:rPr>
          <w:lang w:val="es-ES_tradnl"/>
        </w:rPr>
      </w:pPr>
    </w:p>
    <w:p w14:paraId="1C8C0651" w14:textId="77777777" w:rsidR="00E00D65" w:rsidRPr="00ED541F" w:rsidRDefault="00966AB9" w:rsidP="00E00D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ES_tradnl"/>
        </w:rPr>
      </w:pPr>
      <w:r w:rsidRPr="00ED541F">
        <w:rPr>
          <w:rFonts w:ascii="Cambria" w:hAnsi="Cambria"/>
        </w:rPr>
        <w:t>La presunción de inocencia implica que el imputado goza de un estado jurídico de inocencia o no culpabilidad mientras se resuelve acerca de su responsabilidad penal, de modo tal que debe recibir del Estado un trato acorde con su condición de persona no condenada</w:t>
      </w:r>
      <w:r w:rsidRPr="00ED541F">
        <w:rPr>
          <w:rStyle w:val="FootnoteReference"/>
          <w:rFonts w:ascii="Cambria" w:hAnsi="Cambria"/>
        </w:rPr>
        <w:footnoteReference w:id="50"/>
      </w:r>
      <w:r w:rsidRPr="00ED541F">
        <w:rPr>
          <w:rFonts w:ascii="Cambria" w:hAnsi="Cambria"/>
        </w:rPr>
        <w:t>. La Corte ha sostenido que ello implica que la persona acusada</w:t>
      </w:r>
      <w:r w:rsidRPr="00ED541F">
        <w:rPr>
          <w:rFonts w:ascii="Cambria" w:hAnsi="Cambria" w:cs="TimesNewRoman"/>
          <w:lang w:eastAsia="es-ES_tradnl"/>
        </w:rPr>
        <w:t xml:space="preserve"> no </w:t>
      </w:r>
      <w:r w:rsidRPr="00ED541F">
        <w:rPr>
          <w:rFonts w:ascii="Cambria" w:hAnsi="Cambria"/>
        </w:rPr>
        <w:t xml:space="preserve">debe demostrar que no ha cometido el delito que se le atribuye, ya que el </w:t>
      </w:r>
      <w:proofErr w:type="spellStart"/>
      <w:r w:rsidRPr="00ED541F">
        <w:rPr>
          <w:rFonts w:ascii="Cambria" w:hAnsi="Cambria"/>
          <w:i/>
        </w:rPr>
        <w:t>onus</w:t>
      </w:r>
      <w:proofErr w:type="spellEnd"/>
      <w:r w:rsidRPr="00ED541F">
        <w:rPr>
          <w:rFonts w:ascii="Cambria" w:hAnsi="Cambria"/>
          <w:i/>
        </w:rPr>
        <w:t xml:space="preserve"> probandi</w:t>
      </w:r>
      <w:r w:rsidRPr="00ED541F">
        <w:rPr>
          <w:rFonts w:ascii="Cambria" w:hAnsi="Cambria"/>
        </w:rPr>
        <w:t xml:space="preserve"> corresponde a quien acusa</w:t>
      </w:r>
      <w:r w:rsidRPr="00ED541F">
        <w:rPr>
          <w:rStyle w:val="FootnoteReference"/>
          <w:rFonts w:ascii="Cambria" w:hAnsi="Cambria"/>
        </w:rPr>
        <w:footnoteReference w:id="51"/>
      </w:r>
      <w:r w:rsidRPr="00ED541F">
        <w:rPr>
          <w:rFonts w:ascii="Cambria" w:hAnsi="Cambria"/>
        </w:rPr>
        <w:t>. De esta forma, la CIDH ha resaltado que la demostración fehaciente de la culpabilidad constituye un requisito indispensable para la sanción penal, de modo que la carga de la prueba recae en la parte acusadora y no en la persona acusada</w:t>
      </w:r>
      <w:r w:rsidRPr="00ED541F">
        <w:rPr>
          <w:rStyle w:val="FootnoteReference"/>
          <w:rFonts w:ascii="Cambria" w:hAnsi="Cambria"/>
        </w:rPr>
        <w:footnoteReference w:id="52"/>
      </w:r>
      <w:r w:rsidRPr="00ED541F">
        <w:rPr>
          <w:rFonts w:ascii="Cambria" w:hAnsi="Cambria"/>
        </w:rPr>
        <w:t>.</w:t>
      </w:r>
    </w:p>
    <w:p w14:paraId="6B7C93DE" w14:textId="77777777" w:rsidR="00E00D65" w:rsidRPr="00ED541F" w:rsidRDefault="00E00D65" w:rsidP="00E00D6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lang w:val="es-ES_tradnl"/>
        </w:rPr>
      </w:pPr>
    </w:p>
    <w:p w14:paraId="202FDD45" w14:textId="77777777" w:rsidR="00DB6E9F" w:rsidRPr="00ED541F" w:rsidRDefault="00B21168" w:rsidP="00DB6E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ES_tradnl"/>
        </w:rPr>
      </w:pPr>
      <w:r w:rsidRPr="00ED541F">
        <w:rPr>
          <w:rFonts w:ascii="Cambria" w:hAnsi="Cambria"/>
          <w:lang w:val="es-VE"/>
        </w:rPr>
        <w:t>Por otro lado, el principio de presunción de inocencia implica que los juzgadores no inicien el proceso con una idea preconcebida de que el acusado ha cometido el delito que se le imputa</w:t>
      </w:r>
      <w:r w:rsidRPr="00ED541F">
        <w:rPr>
          <w:rStyle w:val="FootnoteReference"/>
          <w:rFonts w:ascii="Cambria" w:hAnsi="Cambria"/>
          <w:lang w:val="es-VE"/>
        </w:rPr>
        <w:footnoteReference w:id="53"/>
      </w:r>
      <w:r w:rsidRPr="00ED541F">
        <w:rPr>
          <w:rFonts w:ascii="Cambria" w:hAnsi="Cambria"/>
          <w:lang w:val="es-VE"/>
        </w:rPr>
        <w:t>.</w:t>
      </w:r>
      <w:r w:rsidR="00E00D65" w:rsidRPr="00ED541F">
        <w:rPr>
          <w:lang w:val="es-ES_tradnl"/>
        </w:rPr>
        <w:t xml:space="preserve"> La </w:t>
      </w:r>
      <w:r w:rsidRPr="00ED541F">
        <w:rPr>
          <w:rFonts w:ascii="Cambria" w:hAnsi="Cambria"/>
          <w:lang w:val="es-VE"/>
        </w:rPr>
        <w:t>CIDH</w:t>
      </w:r>
      <w:r w:rsidR="004C0730" w:rsidRPr="00ED541F">
        <w:rPr>
          <w:rFonts w:ascii="Cambria" w:hAnsi="Cambria"/>
          <w:lang w:val="es-VE"/>
        </w:rPr>
        <w:t xml:space="preserve"> </w:t>
      </w:r>
      <w:r w:rsidRPr="00ED541F">
        <w:rPr>
          <w:rFonts w:ascii="Cambria" w:hAnsi="Cambria"/>
          <w:lang w:val="es-VE"/>
        </w:rPr>
        <w:t xml:space="preserve">ha indicado que la </w:t>
      </w:r>
      <w:r w:rsidRPr="00ED541F">
        <w:rPr>
          <w:rFonts w:ascii="Cambria" w:hAnsi="Cambria"/>
          <w:lang w:val="es-CL"/>
        </w:rPr>
        <w:t>imposición de una sanción solo puede estar fundada en la certeza del tribunal acerca de la existencia de un hecho atribuible al acusado</w:t>
      </w:r>
      <w:r w:rsidRPr="00ED541F">
        <w:rPr>
          <w:rStyle w:val="FootnoteReference"/>
          <w:rFonts w:ascii="Cambria" w:hAnsi="Cambria"/>
          <w:lang w:val="es-CL"/>
        </w:rPr>
        <w:footnoteReference w:id="54"/>
      </w:r>
      <w:r w:rsidRPr="00ED541F">
        <w:rPr>
          <w:rFonts w:ascii="Cambria" w:hAnsi="Cambria"/>
          <w:lang w:val="es-CL"/>
        </w:rPr>
        <w:t xml:space="preserve"> y referido que resulta violatorio del principio de presunción de inocencia imponer una sanción disciplinaria a una persona por la sola existencia de una denuncia penal en su contra, porque implica considerar </w:t>
      </w:r>
      <w:r w:rsidRPr="00ED541F">
        <w:rPr>
          <w:rFonts w:ascii="Cambria" w:hAnsi="Cambria"/>
          <w:i/>
          <w:lang w:val="es-CL"/>
        </w:rPr>
        <w:t>a priori</w:t>
      </w:r>
      <w:r w:rsidRPr="00ED541F">
        <w:rPr>
          <w:rFonts w:ascii="Cambria" w:hAnsi="Cambria"/>
          <w:lang w:val="es-CL"/>
        </w:rPr>
        <w:t xml:space="preserve"> que el acusado es culpable de lo que se le acusa</w:t>
      </w:r>
      <w:r w:rsidRPr="00ED541F">
        <w:rPr>
          <w:rStyle w:val="FootnoteReference"/>
          <w:rFonts w:ascii="Cambria" w:hAnsi="Cambria"/>
          <w:lang w:val="es-CL"/>
        </w:rPr>
        <w:footnoteReference w:id="55"/>
      </w:r>
      <w:r w:rsidRPr="00ED541F">
        <w:rPr>
          <w:rFonts w:ascii="Cambria" w:hAnsi="Cambria"/>
          <w:lang w:val="es-CL"/>
        </w:rPr>
        <w:t>.</w:t>
      </w:r>
    </w:p>
    <w:p w14:paraId="5E073E2A" w14:textId="77777777" w:rsidR="00DB6E9F" w:rsidRPr="00ED541F" w:rsidRDefault="00DB6E9F" w:rsidP="00DB6E9F">
      <w:pPr>
        <w:pStyle w:val="ListParagraph"/>
        <w:rPr>
          <w:lang w:val="es-VE"/>
        </w:rPr>
      </w:pPr>
    </w:p>
    <w:p w14:paraId="60EAC7EB" w14:textId="62EA0E8F" w:rsidR="00424B92" w:rsidRPr="00ED541F" w:rsidRDefault="00DB6E9F" w:rsidP="00424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ES_tradnl"/>
        </w:rPr>
      </w:pPr>
      <w:r w:rsidRPr="00ED541F">
        <w:rPr>
          <w:rFonts w:ascii="Cambria" w:hAnsi="Cambria"/>
          <w:lang w:val="es-VE"/>
        </w:rPr>
        <w:t xml:space="preserve">En el presente caso, </w:t>
      </w:r>
      <w:r w:rsidR="00F95CE1" w:rsidRPr="00ED541F">
        <w:rPr>
          <w:rFonts w:ascii="Cambria" w:hAnsi="Cambria"/>
          <w:lang w:val="es-VE"/>
        </w:rPr>
        <w:t xml:space="preserve">la </w:t>
      </w:r>
      <w:r w:rsidR="00B21168" w:rsidRPr="00ED541F">
        <w:rPr>
          <w:rFonts w:ascii="Cambria" w:hAnsi="Cambria"/>
          <w:lang w:val="es-VE"/>
        </w:rPr>
        <w:t>Comisión observa que según consta en el acta de la audiencia pública, el Presidente del Tribunal de Disciplina ordenó que se leyera la tarjeta de vida profesional de la presunta víctima, indicándose al darse lectura que registra</w:t>
      </w:r>
      <w:r w:rsidR="00682CE8" w:rsidRPr="00ED541F">
        <w:rPr>
          <w:rFonts w:ascii="Cambria" w:hAnsi="Cambria"/>
          <w:lang w:val="es-VE"/>
        </w:rPr>
        <w:t>ba</w:t>
      </w:r>
      <w:r w:rsidR="00B21168" w:rsidRPr="00ED541F">
        <w:rPr>
          <w:rFonts w:ascii="Cambria" w:hAnsi="Cambria"/>
          <w:lang w:val="es-VE"/>
        </w:rPr>
        <w:t xml:space="preserve"> cuatro sanciones disciplinarias en su trayectoria profesional,  un juicio penal por muerte, en el que se dictó sobreseimiento provisional, y que fue dado de baja por sentencia del tribunal de disciplina, pero reincorporado por la resolución del Tribunal Constitucional. Asimismo, en la decisión sancionatoria se indicó que se encontraban presentes las circunstancias agravantes señaladas las literales c</w:t>
      </w:r>
      <w:r w:rsidR="00424B92" w:rsidRPr="00ED541F">
        <w:rPr>
          <w:rFonts w:ascii="Cambria" w:hAnsi="Cambria"/>
          <w:lang w:val="es-VE"/>
        </w:rPr>
        <w:t>)</w:t>
      </w:r>
      <w:r w:rsidR="00B21168" w:rsidRPr="00ED541F">
        <w:rPr>
          <w:rFonts w:ascii="Cambria" w:hAnsi="Cambria"/>
          <w:lang w:val="es-VE"/>
        </w:rPr>
        <w:t xml:space="preserve">, </w:t>
      </w:r>
      <w:r w:rsidR="00424B92" w:rsidRPr="00ED541F">
        <w:rPr>
          <w:rFonts w:ascii="Cambria" w:hAnsi="Cambria"/>
          <w:lang w:val="es-VE"/>
        </w:rPr>
        <w:t>d)</w:t>
      </w:r>
      <w:r w:rsidR="00B21168" w:rsidRPr="00ED541F">
        <w:rPr>
          <w:rFonts w:ascii="Cambria" w:hAnsi="Cambria"/>
          <w:lang w:val="es-VE"/>
        </w:rPr>
        <w:t xml:space="preserve"> y m</w:t>
      </w:r>
      <w:r w:rsidR="00424B92" w:rsidRPr="00ED541F">
        <w:rPr>
          <w:rFonts w:ascii="Cambria" w:hAnsi="Cambria"/>
          <w:lang w:val="es-VE"/>
        </w:rPr>
        <w:t>)</w:t>
      </w:r>
      <w:r w:rsidR="00B21168" w:rsidRPr="00ED541F">
        <w:rPr>
          <w:rFonts w:ascii="Cambria" w:hAnsi="Cambria"/>
          <w:lang w:val="es-VE"/>
        </w:rPr>
        <w:t xml:space="preserve"> del artículo 30 del Reglamento de Disciplina de la Policía Nacional. En particular las literales d) y m) se refieren a “ser reincidente en el cometimiento de faltas </w:t>
      </w:r>
      <w:proofErr w:type="gramStart"/>
      <w:r w:rsidR="00B21168" w:rsidRPr="00ED541F">
        <w:rPr>
          <w:rFonts w:ascii="Cambria" w:hAnsi="Cambria"/>
          <w:lang w:val="es-VE"/>
        </w:rPr>
        <w:t>en relación al</w:t>
      </w:r>
      <w:proofErr w:type="gramEnd"/>
      <w:r w:rsidR="00B21168" w:rsidRPr="00ED541F">
        <w:rPr>
          <w:rFonts w:ascii="Cambria" w:hAnsi="Cambria"/>
          <w:lang w:val="es-VE"/>
        </w:rPr>
        <w:t xml:space="preserve"> tiempo y la gravedad” y “cualquier otra circunstancia que a juicio del superior aumente la gravedad de la falta o haga presumir la peligrosidad del sancionado”.</w:t>
      </w:r>
    </w:p>
    <w:p w14:paraId="05DF0372" w14:textId="77777777" w:rsidR="00424B92" w:rsidRPr="00ED541F" w:rsidRDefault="00424B92" w:rsidP="00424B92">
      <w:pPr>
        <w:pStyle w:val="ListParagraph"/>
        <w:rPr>
          <w:lang w:val="es-VE"/>
        </w:rPr>
      </w:pPr>
    </w:p>
    <w:p w14:paraId="2906D8CA" w14:textId="7BA8A2C7" w:rsidR="00B21168" w:rsidRPr="00ED541F" w:rsidRDefault="00424B92" w:rsidP="00424B9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lang w:val="es-ES_tradnl"/>
        </w:rPr>
      </w:pPr>
      <w:r w:rsidRPr="00ED541F">
        <w:rPr>
          <w:rFonts w:ascii="Cambria" w:hAnsi="Cambria"/>
          <w:lang w:val="es-VE"/>
        </w:rPr>
        <w:t>De lo anterior se desprende q</w:t>
      </w:r>
      <w:r w:rsidR="00B21168" w:rsidRPr="00ED541F">
        <w:rPr>
          <w:rFonts w:ascii="Cambria" w:hAnsi="Cambria"/>
          <w:lang w:val="es-VE"/>
        </w:rPr>
        <w:t xml:space="preserve">ue el Tribunal de Disciplina tomó en cuenta para sancionar a la presunta víctima, el proceso penal por homicidio en su contra, el cual terminó con el sobreseimiento por la Corte Suprema de Babahoyo.  Asimismo, tomó en cuenta dos bajas con las que la presunta víctima fue sancionada en 1996 y 1998 las cuales fueron revocadas por el Tribunal Constitucional al encontrar que en </w:t>
      </w:r>
      <w:r w:rsidR="00B21168" w:rsidRPr="00ED541F">
        <w:rPr>
          <w:rFonts w:ascii="Cambria" w:hAnsi="Cambria"/>
          <w:lang w:val="es-VE"/>
        </w:rPr>
        <w:lastRenderedPageBreak/>
        <w:t>dichos procesos se vulneraron las garantías procesales de la presunta víctima. Ello implica que el s</w:t>
      </w:r>
      <w:r w:rsidRPr="00ED541F">
        <w:rPr>
          <w:rFonts w:ascii="Cambria" w:hAnsi="Cambria"/>
          <w:lang w:val="es-VE"/>
        </w:rPr>
        <w:t>ó</w:t>
      </w:r>
      <w:r w:rsidR="00B21168" w:rsidRPr="00ED541F">
        <w:rPr>
          <w:rFonts w:ascii="Cambria" w:hAnsi="Cambria"/>
          <w:lang w:val="es-VE"/>
        </w:rPr>
        <w:t>lo hecho de haber sido sometido a procesos disciplinarios o penales, aunque no culminaron en sanción</w:t>
      </w:r>
      <w:r w:rsidR="00223480" w:rsidRPr="00ED541F">
        <w:rPr>
          <w:rFonts w:ascii="Cambria" w:hAnsi="Cambria"/>
          <w:lang w:val="es-VE"/>
        </w:rPr>
        <w:t>,</w:t>
      </w:r>
      <w:r w:rsidR="00B21168" w:rsidRPr="00ED541F">
        <w:rPr>
          <w:rFonts w:ascii="Cambria" w:hAnsi="Cambria"/>
          <w:lang w:val="es-VE"/>
        </w:rPr>
        <w:t xml:space="preserve"> fue un factor </w:t>
      </w:r>
      <w:r w:rsidR="00223480" w:rsidRPr="00ED541F">
        <w:rPr>
          <w:rFonts w:ascii="Cambria" w:hAnsi="Cambria"/>
          <w:lang w:val="es-VE"/>
        </w:rPr>
        <w:t>introducido al proces</w:t>
      </w:r>
      <w:r w:rsidRPr="00ED541F">
        <w:rPr>
          <w:rFonts w:ascii="Cambria" w:hAnsi="Cambria"/>
          <w:lang w:val="es-VE"/>
        </w:rPr>
        <w:t>o disciplinario materia del presente caso y considerado por</w:t>
      </w:r>
      <w:r w:rsidR="00B21168" w:rsidRPr="00ED541F">
        <w:rPr>
          <w:rFonts w:ascii="Cambria" w:hAnsi="Cambria"/>
          <w:lang w:val="es-VE"/>
        </w:rPr>
        <w:t xml:space="preserve"> el Tribunal de Disciplina como</w:t>
      </w:r>
      <w:r w:rsidR="00223480" w:rsidRPr="00ED541F">
        <w:rPr>
          <w:rFonts w:ascii="Cambria" w:hAnsi="Cambria"/>
          <w:lang w:val="es-VE"/>
        </w:rPr>
        <w:t xml:space="preserve"> reincidencia y, por lo tanto,</w:t>
      </w:r>
      <w:r w:rsidR="00B21168" w:rsidRPr="00ED541F">
        <w:rPr>
          <w:rFonts w:ascii="Cambria" w:hAnsi="Cambria"/>
          <w:lang w:val="es-VE"/>
        </w:rPr>
        <w:t xml:space="preserve"> agravante</w:t>
      </w:r>
      <w:r w:rsidRPr="00ED541F">
        <w:rPr>
          <w:rFonts w:ascii="Cambria" w:hAnsi="Cambria"/>
          <w:lang w:val="es-VE"/>
        </w:rPr>
        <w:t xml:space="preserve">. Lo anterior </w:t>
      </w:r>
      <w:r w:rsidR="00B21168" w:rsidRPr="00ED541F">
        <w:rPr>
          <w:rFonts w:ascii="Cambria" w:hAnsi="Cambria"/>
          <w:lang w:val="es-VE"/>
        </w:rPr>
        <w:t>resulta violatorio de</w:t>
      </w:r>
      <w:r w:rsidR="00223480" w:rsidRPr="00ED541F">
        <w:rPr>
          <w:rFonts w:ascii="Cambria" w:hAnsi="Cambria"/>
          <w:lang w:val="es-VE"/>
        </w:rPr>
        <w:t>l principio de</w:t>
      </w:r>
      <w:r w:rsidR="00B21168" w:rsidRPr="00ED541F">
        <w:rPr>
          <w:rFonts w:ascii="Cambria" w:hAnsi="Cambria"/>
          <w:lang w:val="es-VE"/>
        </w:rPr>
        <w:t xml:space="preserve"> presunción de inocencia.</w:t>
      </w:r>
    </w:p>
    <w:p w14:paraId="06B7955A" w14:textId="77777777" w:rsidR="00B21168" w:rsidRPr="00ED541F" w:rsidRDefault="00B21168" w:rsidP="00284AF8">
      <w:pPr>
        <w:pStyle w:val="ListParagraph"/>
        <w:ind w:left="0"/>
        <w:rPr>
          <w:sz w:val="20"/>
          <w:szCs w:val="20"/>
          <w:lang w:val="es-VE"/>
        </w:rPr>
      </w:pPr>
    </w:p>
    <w:p w14:paraId="4BE95A9D" w14:textId="4D316174" w:rsidR="00B21168" w:rsidRPr="00ED541F" w:rsidRDefault="00B21168" w:rsidP="00FD14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En virtud de las anteriores</w:t>
      </w:r>
      <w:r w:rsidR="00FD1408" w:rsidRPr="00ED541F">
        <w:rPr>
          <w:rFonts w:ascii="Cambria" w:hAnsi="Cambria"/>
          <w:lang w:val="es-VE"/>
        </w:rPr>
        <w:t xml:space="preserve"> </w:t>
      </w:r>
      <w:proofErr w:type="gramStart"/>
      <w:r w:rsidR="00FD1408" w:rsidRPr="00ED541F">
        <w:rPr>
          <w:rFonts w:ascii="Cambria" w:hAnsi="Cambria"/>
          <w:lang w:val="es-VE"/>
        </w:rPr>
        <w:t>consideraciones</w:t>
      </w:r>
      <w:r w:rsidRPr="00ED541F">
        <w:rPr>
          <w:rFonts w:ascii="Cambria" w:hAnsi="Cambria"/>
          <w:lang w:val="es-VE"/>
        </w:rPr>
        <w:t>,  la</w:t>
      </w:r>
      <w:proofErr w:type="gramEnd"/>
      <w:r w:rsidRPr="00ED541F">
        <w:rPr>
          <w:rFonts w:ascii="Cambria" w:hAnsi="Cambria"/>
          <w:lang w:val="es-VE"/>
        </w:rPr>
        <w:t xml:space="preserve"> Comisión concluye que el Estado ecuatoriano violó el artículo 8.2 de la Convención Americana en relación con </w:t>
      </w:r>
      <w:r w:rsidR="009C349F" w:rsidRPr="00ED541F">
        <w:rPr>
          <w:rFonts w:ascii="Cambria" w:hAnsi="Cambria"/>
          <w:lang w:val="es-VE"/>
        </w:rPr>
        <w:t>el</w:t>
      </w:r>
      <w:r w:rsidRPr="00ED541F">
        <w:rPr>
          <w:rFonts w:ascii="Cambria" w:hAnsi="Cambria"/>
          <w:lang w:val="es-VE"/>
        </w:rPr>
        <w:t xml:space="preserve"> artículo 1.1  del mismo instrumento, en perjuicio de Víctor Henry Mina Cuero.</w:t>
      </w:r>
    </w:p>
    <w:p w14:paraId="5246065C" w14:textId="77777777" w:rsidR="00B21168" w:rsidRPr="00ED541F" w:rsidRDefault="00B21168" w:rsidP="00284AF8">
      <w:pPr>
        <w:tabs>
          <w:tab w:val="left" w:pos="1440"/>
        </w:tabs>
        <w:jc w:val="both"/>
        <w:rPr>
          <w:rFonts w:ascii="Cambria" w:hAnsi="Cambria"/>
          <w:lang w:val="es-VE"/>
        </w:rPr>
      </w:pPr>
    </w:p>
    <w:p w14:paraId="636EE2A4" w14:textId="0D42F8B0" w:rsidR="00B21168" w:rsidRPr="00ED541F" w:rsidRDefault="00B21168" w:rsidP="00BC697C">
      <w:pPr>
        <w:pStyle w:val="Heading2"/>
        <w:numPr>
          <w:ilvl w:val="0"/>
          <w:numId w:val="72"/>
        </w:numPr>
        <w:spacing w:before="0" w:after="0"/>
        <w:ind w:left="1440" w:hanging="720"/>
        <w:jc w:val="both"/>
        <w:rPr>
          <w:rFonts w:ascii="Cambria" w:hAnsi="Cambria"/>
          <w:i w:val="0"/>
          <w:sz w:val="20"/>
          <w:szCs w:val="20"/>
        </w:rPr>
      </w:pPr>
      <w:bookmarkStart w:id="54" w:name="_Toc531880981"/>
      <w:bookmarkStart w:id="55" w:name="_Toc497387324"/>
      <w:bookmarkStart w:id="56" w:name="_Toc505243749"/>
      <w:r w:rsidRPr="00ED541F">
        <w:rPr>
          <w:rFonts w:ascii="Cambria" w:hAnsi="Cambria"/>
          <w:i w:val="0"/>
          <w:sz w:val="20"/>
          <w:szCs w:val="20"/>
        </w:rPr>
        <w:t>El principio de legalidad</w:t>
      </w:r>
      <w:r w:rsidR="00B96611" w:rsidRPr="00ED541F">
        <w:rPr>
          <w:rStyle w:val="FootnoteReference"/>
          <w:rFonts w:ascii="Cambria" w:hAnsi="Cambria"/>
          <w:i w:val="0"/>
          <w:sz w:val="20"/>
          <w:szCs w:val="20"/>
        </w:rPr>
        <w:footnoteReference w:id="56"/>
      </w:r>
      <w:r w:rsidRPr="00ED541F">
        <w:rPr>
          <w:rFonts w:ascii="Cambria" w:hAnsi="Cambria"/>
          <w:i w:val="0"/>
          <w:sz w:val="20"/>
          <w:szCs w:val="20"/>
        </w:rPr>
        <w:t xml:space="preserve"> y el derecho a contar con una motivación suficiente</w:t>
      </w:r>
      <w:bookmarkEnd w:id="54"/>
      <w:r w:rsidRPr="00ED541F">
        <w:rPr>
          <w:rFonts w:ascii="Cambria" w:hAnsi="Cambria"/>
          <w:i w:val="0"/>
          <w:sz w:val="20"/>
          <w:szCs w:val="20"/>
        </w:rPr>
        <w:t xml:space="preserve"> </w:t>
      </w:r>
      <w:bookmarkEnd w:id="55"/>
      <w:r w:rsidRPr="00ED541F">
        <w:rPr>
          <w:rFonts w:ascii="Cambria" w:hAnsi="Cambria"/>
          <w:i w:val="0"/>
          <w:sz w:val="20"/>
          <w:szCs w:val="20"/>
        </w:rPr>
        <w:t xml:space="preserve"> </w:t>
      </w:r>
      <w:bookmarkEnd w:id="56"/>
    </w:p>
    <w:p w14:paraId="1822481E" w14:textId="77777777" w:rsidR="00B21168" w:rsidRPr="00ED541F" w:rsidRDefault="00B21168" w:rsidP="00284AF8">
      <w:pPr>
        <w:tabs>
          <w:tab w:val="left" w:pos="1440"/>
        </w:tabs>
        <w:ind w:left="720"/>
        <w:jc w:val="both"/>
        <w:rPr>
          <w:rFonts w:ascii="Cambria" w:hAnsi="Cambria" w:cs="Verdana"/>
          <w:lang w:val="es-UY"/>
        </w:rPr>
      </w:pPr>
    </w:p>
    <w:p w14:paraId="124BEB92" w14:textId="46BE7466" w:rsidR="00B21168" w:rsidRPr="00ED541F" w:rsidRDefault="00B21168" w:rsidP="009C34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lang w:val="es-UY"/>
        </w:rPr>
      </w:pPr>
      <w:r w:rsidRPr="00ED541F">
        <w:rPr>
          <w:rFonts w:ascii="Cambria" w:hAnsi="Cambria"/>
          <w:lang w:val="es-CL"/>
        </w:rPr>
        <w:t>El</w:t>
      </w:r>
      <w:r w:rsidRPr="00ED541F">
        <w:rPr>
          <w:rFonts w:ascii="Cambria" w:hAnsi="Cambria" w:cs="Verdana"/>
          <w:lang w:val="es-UY"/>
        </w:rPr>
        <w:t xml:space="preserve"> principio de legalidad reconocido en el artículo 9 de la Convención preside la actuación de los órganos del Estado cuando deriva del ejercicio de su poder punitivo</w:t>
      </w:r>
      <w:r w:rsidRPr="00ED541F">
        <w:rPr>
          <w:rFonts w:ascii="Cambria" w:hAnsi="Cambria" w:cs="Verdana"/>
          <w:vertAlign w:val="superscript"/>
          <w:lang w:val="es-UY"/>
        </w:rPr>
        <w:footnoteReference w:id="57"/>
      </w:r>
      <w:r w:rsidRPr="00ED541F">
        <w:rPr>
          <w:rFonts w:ascii="Cambria" w:hAnsi="Cambria" w:cs="Verdana"/>
          <w:lang w:val="es-UY"/>
        </w:rPr>
        <w:t xml:space="preserve">. </w:t>
      </w:r>
      <w:r w:rsidR="00993CD6" w:rsidRPr="00ED541F">
        <w:rPr>
          <w:rFonts w:ascii="Cambria" w:hAnsi="Cambria" w:cs="Verdana"/>
          <w:lang w:val="es-UY"/>
        </w:rPr>
        <w:t>Como se indicó anteriormente, d</w:t>
      </w:r>
      <w:r w:rsidRPr="00ED541F">
        <w:rPr>
          <w:rFonts w:ascii="Cambria" w:hAnsi="Cambria" w:cs="Verdana"/>
          <w:lang w:val="es-UY"/>
        </w:rPr>
        <w:t xml:space="preserve">icho principio es aplicable a los procesos </w:t>
      </w:r>
      <w:r w:rsidRPr="00ED541F">
        <w:rPr>
          <w:rFonts w:ascii="Cambria" w:hAnsi="Cambria"/>
          <w:lang w:val="es-VE"/>
        </w:rPr>
        <w:t>disciplinarios</w:t>
      </w:r>
      <w:r w:rsidRPr="00ED541F">
        <w:rPr>
          <w:rFonts w:ascii="Cambria" w:hAnsi="Cambria" w:cs="Verdana"/>
          <w:lang w:val="es-UY"/>
        </w:rPr>
        <w:t xml:space="preserve"> que son “una expresión del poder punitivo del Estado” puesto que implican un menoscabo o alteración de los derechos de las personas como consecuencia de una conducta ilícita</w:t>
      </w:r>
      <w:r w:rsidRPr="00ED541F">
        <w:rPr>
          <w:rFonts w:ascii="Cambria" w:hAnsi="Cambria" w:cs="Verdana"/>
          <w:vertAlign w:val="superscript"/>
          <w:lang w:val="es-UY"/>
        </w:rPr>
        <w:footnoteReference w:id="58"/>
      </w:r>
      <w:r w:rsidRPr="00ED541F">
        <w:rPr>
          <w:rFonts w:ascii="Cambria" w:hAnsi="Cambria" w:cs="Verdana"/>
          <w:lang w:val="es-UY"/>
        </w:rPr>
        <w:t xml:space="preserve">. </w:t>
      </w:r>
    </w:p>
    <w:p w14:paraId="13843EBB" w14:textId="77777777" w:rsidR="009C349F" w:rsidRPr="00ED541F" w:rsidRDefault="009C349F" w:rsidP="009C349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lang w:val="es-UY"/>
        </w:rPr>
      </w:pPr>
    </w:p>
    <w:p w14:paraId="059904D4" w14:textId="13FD4636" w:rsidR="00B21168" w:rsidRPr="00ED541F" w:rsidRDefault="00B21168" w:rsidP="00182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lang w:val="es-UY"/>
        </w:rPr>
      </w:pPr>
      <w:r w:rsidRPr="00ED541F">
        <w:rPr>
          <w:rFonts w:ascii="Cambria" w:hAnsi="Cambria" w:cs="Verdana"/>
          <w:lang w:val="es-UY"/>
        </w:rPr>
        <w:t xml:space="preserve">En particular, la </w:t>
      </w:r>
      <w:r w:rsidRPr="00ED541F">
        <w:rPr>
          <w:rFonts w:ascii="Cambria" w:hAnsi="Cambria"/>
          <w:lang w:val="es-VE"/>
        </w:rPr>
        <w:t xml:space="preserve">ley debe precisar de manera detallada las infracciones que pueden dar lugar a la imposición de medidas disciplinarias incluida la gravedad de la infracción y el tipo de medida disciplinaria que se aplicará en el </w:t>
      </w:r>
      <w:r w:rsidRPr="00ED541F">
        <w:rPr>
          <w:rFonts w:ascii="Cambria" w:hAnsi="Cambria"/>
          <w:lang w:val="es-CL"/>
        </w:rPr>
        <w:t>caso</w:t>
      </w:r>
      <w:r w:rsidRPr="00ED541F">
        <w:rPr>
          <w:rFonts w:ascii="Cambria" w:hAnsi="Cambria"/>
          <w:lang w:val="es-VE"/>
        </w:rPr>
        <w:t xml:space="preserve"> de que se trate. La Corte Europea ha señalado al respecto en el caso </w:t>
      </w:r>
      <w:proofErr w:type="spellStart"/>
      <w:r w:rsidRPr="00ED541F">
        <w:rPr>
          <w:rFonts w:ascii="Cambria" w:hAnsi="Cambria"/>
          <w:lang w:val="es-VE"/>
        </w:rPr>
        <w:t>Maestri</w:t>
      </w:r>
      <w:proofErr w:type="spellEnd"/>
      <w:r w:rsidRPr="00ED541F">
        <w:rPr>
          <w:rFonts w:ascii="Cambria" w:hAnsi="Cambria"/>
          <w:lang w:val="es-VE"/>
        </w:rPr>
        <w:t xml:space="preserve"> v. Italia que el principio de legalidad no sólo se requiere que la causal disciplinaria tenga una base en el derecho interno, sino también a que la ley que la contenga sea accesible a las personas a las cuales se dirige y sea formulada con la suficiente precisión, para que puedan prever en un grado razonable tanto las circunstancias como las consecuencias que una determinada acción puede entrañar.  </w:t>
      </w:r>
    </w:p>
    <w:p w14:paraId="5A5AE2C0" w14:textId="77777777" w:rsidR="00B21168" w:rsidRPr="00ED541F" w:rsidRDefault="00B21168" w:rsidP="00284AF8">
      <w:pPr>
        <w:pStyle w:val="ListParagraph"/>
        <w:rPr>
          <w:rFonts w:cs="Verdana"/>
          <w:sz w:val="20"/>
          <w:szCs w:val="20"/>
          <w:lang w:val="es-UY"/>
        </w:rPr>
      </w:pPr>
    </w:p>
    <w:p w14:paraId="2166F9B8" w14:textId="77777777" w:rsidR="00D1066C" w:rsidRPr="00ED541F" w:rsidRDefault="00D1066C" w:rsidP="00D106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lang w:val="es-UY"/>
        </w:rPr>
      </w:pPr>
      <w:r w:rsidRPr="00ED541F">
        <w:rPr>
          <w:rFonts w:ascii="Cambria" w:hAnsi="Cambria" w:cs="Verdana"/>
          <w:lang w:val="es-UY"/>
        </w:rPr>
        <w:t xml:space="preserve">En el caso López </w:t>
      </w:r>
      <w:proofErr w:type="spellStart"/>
      <w:r w:rsidRPr="00ED541F">
        <w:rPr>
          <w:rFonts w:ascii="Cambria" w:hAnsi="Cambria" w:cs="Verdana"/>
          <w:lang w:val="es-UY"/>
        </w:rPr>
        <w:t>Lone</w:t>
      </w:r>
      <w:proofErr w:type="spellEnd"/>
      <w:r w:rsidRPr="00ED541F">
        <w:rPr>
          <w:rFonts w:ascii="Cambria" w:hAnsi="Cambria" w:cs="Verdana"/>
          <w:lang w:val="es-UY"/>
        </w:rPr>
        <w:t xml:space="preserve">, la Corte Interamericana refirió que “en materia disciplinaria es imposible codificar </w:t>
      </w:r>
      <w:proofErr w:type="gramStart"/>
      <w:r w:rsidRPr="00ED541F">
        <w:rPr>
          <w:rFonts w:ascii="Cambria" w:hAnsi="Cambria" w:cs="Verdana"/>
          <w:lang w:val="es-UY"/>
        </w:rPr>
        <w:t>todo los supuestos</w:t>
      </w:r>
      <w:proofErr w:type="gramEnd"/>
      <w:r w:rsidRPr="00ED541F">
        <w:rPr>
          <w:rFonts w:ascii="Cambria" w:hAnsi="Cambria" w:cs="Verdana"/>
          <w:lang w:val="es-UY"/>
        </w:rPr>
        <w:t xml:space="preserve"> por lo que al final siempre tiene que haber una cláusula relativamente abierta referida a deberes profesionales. Sin embargo, en estos </w:t>
      </w:r>
      <w:r w:rsidRPr="00ED541F">
        <w:rPr>
          <w:rFonts w:ascii="Cambria" w:hAnsi="Cambria"/>
          <w:lang w:val="es-VE"/>
        </w:rPr>
        <w:t>supuestos</w:t>
      </w:r>
      <w:r w:rsidRPr="00ED541F">
        <w:rPr>
          <w:rFonts w:ascii="Cambria" w:hAnsi="Cambria" w:cs="Verdana"/>
          <w:lang w:val="es-UY"/>
        </w:rPr>
        <w:t xml:space="preserve"> y ante el uso de tipos disciplinarios abiertos o indeterminados, la motivación al momento de su aplicación es fundamental, pues corresponde al juzgador disciplinario, interpretar dichas normas respetando el principio de legalidad y observando la mayor rigurosidad para verificar la existencia de la conducta sancionable”</w:t>
      </w:r>
      <w:r w:rsidRPr="00ED541F">
        <w:rPr>
          <w:rFonts w:ascii="Cambria" w:hAnsi="Cambria" w:cs="Verdana"/>
          <w:vertAlign w:val="superscript"/>
          <w:lang w:val="es-UY"/>
        </w:rPr>
        <w:footnoteReference w:id="59"/>
      </w:r>
      <w:r w:rsidRPr="00ED541F">
        <w:rPr>
          <w:rFonts w:ascii="Cambria" w:hAnsi="Cambria" w:cs="Verdana"/>
          <w:lang w:val="es-UY"/>
        </w:rPr>
        <w:t xml:space="preserve">. </w:t>
      </w:r>
    </w:p>
    <w:p w14:paraId="59CCD07C" w14:textId="77777777" w:rsidR="00D1066C" w:rsidRPr="00ED541F" w:rsidRDefault="00D1066C" w:rsidP="00284AF8">
      <w:pPr>
        <w:pStyle w:val="ListParagraph"/>
        <w:rPr>
          <w:rFonts w:cs="Verdana"/>
          <w:sz w:val="20"/>
          <w:szCs w:val="20"/>
          <w:lang w:val="es-UY"/>
        </w:rPr>
      </w:pPr>
    </w:p>
    <w:p w14:paraId="6BB9C041" w14:textId="59DBF18B" w:rsidR="00B21168" w:rsidRPr="00ED541F" w:rsidRDefault="00D1066C" w:rsidP="00182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lang w:val="es-UY"/>
        </w:rPr>
      </w:pPr>
      <w:r w:rsidRPr="00ED541F">
        <w:rPr>
          <w:rFonts w:ascii="Cambria" w:hAnsi="Cambria" w:cs="Verdana"/>
          <w:lang w:val="es-UY"/>
        </w:rPr>
        <w:t xml:space="preserve">En cuanto al </w:t>
      </w:r>
      <w:r w:rsidR="00B21168" w:rsidRPr="00ED541F">
        <w:rPr>
          <w:rFonts w:ascii="Cambria" w:hAnsi="Cambria" w:cs="Verdana"/>
          <w:lang w:val="es-UY"/>
        </w:rPr>
        <w:t xml:space="preserve">deber de motivación, </w:t>
      </w:r>
      <w:r w:rsidR="00616BE7" w:rsidRPr="00ED541F">
        <w:rPr>
          <w:rFonts w:ascii="Cambria" w:hAnsi="Cambria" w:cs="Verdana"/>
          <w:lang w:val="es-UY"/>
        </w:rPr>
        <w:t xml:space="preserve">la jurisprudencia del sistema interamericano ha indicado que </w:t>
      </w:r>
      <w:r w:rsidR="00B21168" w:rsidRPr="00ED541F">
        <w:rPr>
          <w:rFonts w:ascii="Cambria" w:hAnsi="Cambria" w:cs="Verdana"/>
          <w:lang w:val="es-UY"/>
        </w:rPr>
        <w:t>se traduce en la “justificación razonada” que permite al juzgador llegar a una conclusión</w:t>
      </w:r>
      <w:r w:rsidR="00B21168" w:rsidRPr="00ED541F">
        <w:rPr>
          <w:rStyle w:val="FootnoteReference"/>
          <w:rFonts w:ascii="Cambria" w:hAnsi="Cambria" w:cs="Verdana"/>
          <w:lang w:val="es-UY"/>
        </w:rPr>
        <w:footnoteReference w:id="60"/>
      </w:r>
      <w:r w:rsidR="00B21168" w:rsidRPr="00ED541F">
        <w:rPr>
          <w:rFonts w:ascii="Cambria" w:hAnsi="Cambria" w:cs="Verdana"/>
          <w:lang w:val="es-UY"/>
        </w:rPr>
        <w:t xml:space="preserve">. </w:t>
      </w:r>
      <w:r w:rsidR="00B21168" w:rsidRPr="00ED541F">
        <w:rPr>
          <w:rFonts w:ascii="Cambria" w:hAnsi="Cambria"/>
          <w:lang w:val="es-VE"/>
        </w:rPr>
        <w:t>Dicha</w:t>
      </w:r>
      <w:r w:rsidR="00B21168" w:rsidRPr="00ED541F">
        <w:rPr>
          <w:rFonts w:ascii="Cambria" w:hAnsi="Cambria" w:cs="Verdana"/>
          <w:lang w:val="es-UY"/>
        </w:rPr>
        <w:t xml:space="preserve"> garantía guarda relación intrínseca con el principio de legalidad, pues partiendo de que las causales disciplinarias deben estar establecidas en el marco normativo del Estado conforme a los estándares antes descritos, la argumentación de un fallo debe permitir conocer “cuáles fueron los hechos, motivos y normas en que se basó </w:t>
      </w:r>
      <w:r w:rsidR="00B21168" w:rsidRPr="00ED541F">
        <w:rPr>
          <w:rFonts w:ascii="Cambria" w:hAnsi="Cambria" w:cs="Verdana"/>
          <w:lang w:val="es-UY"/>
        </w:rPr>
        <w:lastRenderedPageBreak/>
        <w:t>la autoridad para tomar su decisión”</w:t>
      </w:r>
      <w:r w:rsidR="00B21168" w:rsidRPr="00ED541F">
        <w:rPr>
          <w:rFonts w:ascii="Cambria" w:hAnsi="Cambria"/>
          <w:vertAlign w:val="superscript"/>
          <w:lang w:val="es-UY"/>
        </w:rPr>
        <w:footnoteReference w:id="61"/>
      </w:r>
      <w:r w:rsidR="00B21168" w:rsidRPr="00ED541F">
        <w:rPr>
          <w:rFonts w:ascii="Cambria" w:hAnsi="Cambria" w:cs="Verdana"/>
          <w:lang w:val="es-UY"/>
        </w:rPr>
        <w:t xml:space="preserve">. En ese sentido, </w:t>
      </w:r>
      <w:r w:rsidR="00B21168" w:rsidRPr="00ED541F">
        <w:rPr>
          <w:rFonts w:ascii="Cambria" w:hAnsi="Cambria"/>
        </w:rPr>
        <w:t xml:space="preserve">es la motivación de la decisión sancionatoria la que permite entender la manera en que los hechos que sustentaron el </w:t>
      </w:r>
      <w:proofErr w:type="gramStart"/>
      <w:r w:rsidR="00B21168" w:rsidRPr="00ED541F">
        <w:rPr>
          <w:rFonts w:ascii="Cambria" w:hAnsi="Cambria"/>
        </w:rPr>
        <w:t>procedimiento,</w:t>
      </w:r>
      <w:proofErr w:type="gramEnd"/>
      <w:r w:rsidR="00B21168" w:rsidRPr="00ED541F">
        <w:rPr>
          <w:rFonts w:ascii="Cambria" w:hAnsi="Cambria"/>
        </w:rPr>
        <w:t xml:space="preserve"> se adecuan o caen dentro del ámbito de las causales invocadas. Sobre este punto, en el caso </w:t>
      </w:r>
      <w:r w:rsidR="00B21168" w:rsidRPr="00ED541F">
        <w:rPr>
          <w:rFonts w:ascii="Cambria" w:hAnsi="Cambria"/>
          <w:i/>
        </w:rPr>
        <w:t xml:space="preserve">De la Cruz Flores vs. Perú, </w:t>
      </w:r>
      <w:r w:rsidR="00B21168" w:rsidRPr="00ED541F">
        <w:rPr>
          <w:rFonts w:ascii="Cambria" w:hAnsi="Cambria"/>
        </w:rPr>
        <w:t>la Corte</w:t>
      </w:r>
      <w:r w:rsidR="00B21168" w:rsidRPr="00ED541F">
        <w:rPr>
          <w:rFonts w:ascii="Cambria" w:hAnsi="Cambria"/>
          <w:i/>
        </w:rPr>
        <w:t xml:space="preserve"> </w:t>
      </w:r>
      <w:r w:rsidR="00B21168" w:rsidRPr="00ED541F">
        <w:rPr>
          <w:rFonts w:ascii="Cambria" w:hAnsi="Cambria"/>
        </w:rPr>
        <w:t>resaltó la necesidad de que en toda decisión sancionatoria exista un vínculo entre la conducta imputada a la persona y la disposición en la cual se basa la decisión</w:t>
      </w:r>
      <w:r w:rsidR="00B21168" w:rsidRPr="00ED541F">
        <w:rPr>
          <w:rStyle w:val="FootnoteReference"/>
          <w:rFonts w:ascii="Cambria" w:hAnsi="Cambria"/>
        </w:rPr>
        <w:footnoteReference w:id="62"/>
      </w:r>
      <w:r w:rsidR="00B21168" w:rsidRPr="00ED541F">
        <w:rPr>
          <w:rFonts w:ascii="Cambria" w:hAnsi="Cambria"/>
        </w:rPr>
        <w:t>.</w:t>
      </w:r>
      <w:r w:rsidR="00B21168" w:rsidRPr="00ED541F">
        <w:rPr>
          <w:rFonts w:ascii="Cambria" w:hAnsi="Cambria" w:cs="Verdana"/>
          <w:lang w:val="es-UY"/>
        </w:rPr>
        <w:t xml:space="preserve"> </w:t>
      </w:r>
    </w:p>
    <w:p w14:paraId="50117C04" w14:textId="77777777" w:rsidR="00B21168" w:rsidRPr="00ED541F" w:rsidRDefault="00B21168" w:rsidP="00284AF8">
      <w:pPr>
        <w:pStyle w:val="ListParagraph"/>
        <w:rPr>
          <w:rFonts w:cs="Verdana"/>
          <w:sz w:val="20"/>
          <w:szCs w:val="20"/>
          <w:lang w:val="es-UY"/>
        </w:rPr>
      </w:pPr>
    </w:p>
    <w:p w14:paraId="2F31DDB5" w14:textId="2FD0BA9F" w:rsidR="00B21168" w:rsidRPr="00ED541F" w:rsidRDefault="00B21168" w:rsidP="00182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Tal y como se describió en la sección de hechos probados, en el presente caso el Tribunal de Disciplina dispuso la baja de la presunta víctima de las filas policiales </w:t>
      </w:r>
      <w:r w:rsidR="007A0659" w:rsidRPr="00ED541F">
        <w:rPr>
          <w:rFonts w:ascii="Cambria" w:hAnsi="Cambria"/>
          <w:lang w:val="es-VE"/>
        </w:rPr>
        <w:t xml:space="preserve">con base en las causales contempladas en </w:t>
      </w:r>
      <w:r w:rsidRPr="00ED541F">
        <w:rPr>
          <w:rFonts w:ascii="Cambria" w:hAnsi="Cambria"/>
          <w:lang w:val="es-VE"/>
        </w:rPr>
        <w:t>los numerales 5 y 26 del artículo 64 del Reglamento</w:t>
      </w:r>
      <w:r w:rsidR="007A0659" w:rsidRPr="00ED541F">
        <w:rPr>
          <w:rFonts w:ascii="Cambria" w:hAnsi="Cambria"/>
          <w:lang w:val="es-VE"/>
        </w:rPr>
        <w:t xml:space="preserve"> de Disciplina de la Policía Nacional </w:t>
      </w:r>
      <w:r w:rsidRPr="00ED541F">
        <w:rPr>
          <w:rFonts w:ascii="Cambria" w:hAnsi="Cambria"/>
          <w:lang w:val="es-VE"/>
        </w:rPr>
        <w:t>con las agravantes de los</w:t>
      </w:r>
      <w:r w:rsidR="00DA72EE" w:rsidRPr="00ED541F">
        <w:rPr>
          <w:rFonts w:ascii="Cambria" w:hAnsi="Cambria"/>
          <w:lang w:val="es-VE"/>
        </w:rPr>
        <w:t xml:space="preserve"> literales</w:t>
      </w:r>
      <w:r w:rsidRPr="00ED541F">
        <w:rPr>
          <w:rFonts w:ascii="Cambria" w:hAnsi="Cambria"/>
          <w:lang w:val="es-VE"/>
        </w:rPr>
        <w:t xml:space="preserve"> c), d) y m) del artículo </w:t>
      </w:r>
      <w:r w:rsidR="00DA72EE" w:rsidRPr="00ED541F">
        <w:rPr>
          <w:rFonts w:ascii="Cambria" w:hAnsi="Cambria"/>
          <w:lang w:val="es-VE"/>
        </w:rPr>
        <w:t>3</w:t>
      </w:r>
      <w:r w:rsidRPr="00ED541F">
        <w:rPr>
          <w:rFonts w:ascii="Cambria" w:hAnsi="Cambria"/>
          <w:lang w:val="es-VE"/>
        </w:rPr>
        <w:t xml:space="preserve">0 del mismo cuerpo normativo. </w:t>
      </w:r>
    </w:p>
    <w:p w14:paraId="2F67BDCC" w14:textId="77777777" w:rsidR="00AE276E" w:rsidRPr="00ED541F" w:rsidRDefault="00AE276E" w:rsidP="00AE276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39E8F986" w14:textId="77777777" w:rsidR="00AE276E" w:rsidRPr="00ED541F" w:rsidRDefault="00AE276E" w:rsidP="00AE2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Los numerales 5 y 26 del artículo 64 </w:t>
      </w:r>
      <w:proofErr w:type="gramStart"/>
      <w:r w:rsidRPr="00ED541F">
        <w:rPr>
          <w:rFonts w:ascii="Cambria" w:hAnsi="Cambria"/>
          <w:lang w:val="es-VE"/>
        </w:rPr>
        <w:t>indican  respectivamente</w:t>
      </w:r>
      <w:proofErr w:type="gramEnd"/>
      <w:r w:rsidRPr="00ED541F">
        <w:rPr>
          <w:rFonts w:ascii="Cambria" w:hAnsi="Cambria"/>
          <w:lang w:val="es-VE"/>
        </w:rPr>
        <w:t xml:space="preserve"> que son faltas atentatorias o de tercera clase “los que ejecutaren cualquier acto que revele falta de consideración y respeto al superior, dentro o fuera del servicio” y “realizar actos de manifiesta violencia o indisciplina contra un superior siempre que el hecho no constituya delito”. La Comisión observa que estas causales revisten cierta amplitud. Esto exigía de la autoridad sancionadora, una motivación más detallada que vinculara los hechos específicos que se le imputaban al señor Mina Cuero a las causales que se le aplicaron y a la sanción a imponer. Una motivación en ese sentido era de especial relevancia en el presente caso, tomando en cuenta la ambigüedad y falta de claridad sobre si el proceso estaba vinculado con lo sucedido en el domicilio de la ex conviviente del señor Mina Cuero o lo sucedido en el lugar al cual acudieron posteriormente los policías. Como se desprende del acta de la audiencia, ambas circunstancias fueron ventiladas en el marco de </w:t>
      </w:r>
      <w:proofErr w:type="gramStart"/>
      <w:r w:rsidRPr="00ED541F">
        <w:rPr>
          <w:rFonts w:ascii="Cambria" w:hAnsi="Cambria"/>
          <w:lang w:val="es-VE"/>
        </w:rPr>
        <w:t>la misma</w:t>
      </w:r>
      <w:proofErr w:type="gramEnd"/>
      <w:r w:rsidRPr="00ED541F">
        <w:rPr>
          <w:rFonts w:ascii="Cambria" w:hAnsi="Cambria"/>
          <w:lang w:val="es-VE"/>
        </w:rPr>
        <w:t xml:space="preserve">. A pesar de ello, de la motivación del Tribunal de Disciplina no se indica de qué manera lo sucedido </w:t>
      </w:r>
      <w:proofErr w:type="gramStart"/>
      <w:r w:rsidRPr="00ED541F">
        <w:rPr>
          <w:rFonts w:ascii="Cambria" w:hAnsi="Cambria"/>
          <w:lang w:val="es-VE"/>
        </w:rPr>
        <w:t>se enmarca dentro de</w:t>
      </w:r>
      <w:proofErr w:type="gramEnd"/>
      <w:r w:rsidRPr="00ED541F">
        <w:rPr>
          <w:rFonts w:ascii="Cambria" w:hAnsi="Cambria"/>
          <w:lang w:val="es-VE"/>
        </w:rPr>
        <w:t xml:space="preserve"> dichas causales. Tampoco se efectúa valoración alguna sobre la imposición de la sanción más grave, esto es, la de destitución.    </w:t>
      </w:r>
    </w:p>
    <w:p w14:paraId="39B96F48" w14:textId="77777777" w:rsidR="00AE276E" w:rsidRPr="00ED541F" w:rsidRDefault="00AE276E" w:rsidP="00AE276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19EF02B0" w14:textId="5FD0A9C1" w:rsidR="00AE276E" w:rsidRPr="00ED541F" w:rsidRDefault="00AE276E" w:rsidP="00AE27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La Comisión entiende que la disciplina es un valor relevante en las fuerzas de seguridad. Asimismo, entiende que el Estado tiene un deber de respuesta ante una denuncia de posible violencia doméstica. Sin embargo, la actuación estatal debe cumplir con el debido proceso y el principio de legalidad, lo que no ocurrió en el presente ca</w:t>
      </w:r>
      <w:r w:rsidR="00F26C76" w:rsidRPr="00ED541F">
        <w:rPr>
          <w:rFonts w:ascii="Cambria" w:hAnsi="Cambria"/>
          <w:lang w:val="es-VE"/>
        </w:rPr>
        <w:t>s</w:t>
      </w:r>
      <w:r w:rsidRPr="00ED541F">
        <w:rPr>
          <w:rFonts w:ascii="Cambria" w:hAnsi="Cambria"/>
          <w:lang w:val="es-VE"/>
        </w:rPr>
        <w:t>o por las consideraciones expresadas hasta el momento.</w:t>
      </w:r>
    </w:p>
    <w:p w14:paraId="7D81C499" w14:textId="77777777" w:rsidR="00182715" w:rsidRPr="00ED541F" w:rsidRDefault="00182715" w:rsidP="0018271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4F92B7A5" w14:textId="2C45703F" w:rsidR="006D2003" w:rsidRPr="00ED541F" w:rsidRDefault="00B21168" w:rsidP="00D70A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En virtud lo </w:t>
      </w:r>
      <w:proofErr w:type="gramStart"/>
      <w:r w:rsidRPr="00ED541F">
        <w:rPr>
          <w:rFonts w:ascii="Cambria" w:hAnsi="Cambria"/>
          <w:lang w:val="es-VE"/>
        </w:rPr>
        <w:t>anterior,  la</w:t>
      </w:r>
      <w:proofErr w:type="gramEnd"/>
      <w:r w:rsidRPr="00ED541F">
        <w:rPr>
          <w:rFonts w:ascii="Cambria" w:hAnsi="Cambria"/>
          <w:lang w:val="es-VE"/>
        </w:rPr>
        <w:t xml:space="preserve"> Comisión concluye que el Estado ecuatoriano es responsable por la violación de los derechos establecidos en los artículos 8.1 y 9 de la Convención Americana en relación con </w:t>
      </w:r>
      <w:r w:rsidR="00C33478" w:rsidRPr="00ED541F">
        <w:rPr>
          <w:rFonts w:ascii="Cambria" w:hAnsi="Cambria"/>
          <w:lang w:val="es-VE"/>
        </w:rPr>
        <w:t xml:space="preserve">el </w:t>
      </w:r>
      <w:r w:rsidRPr="00ED541F">
        <w:rPr>
          <w:rFonts w:ascii="Cambria" w:hAnsi="Cambria"/>
          <w:lang w:val="es-VE"/>
        </w:rPr>
        <w:t xml:space="preserve">artículos 1.1 del mismo instrumento, en perjuicio de Víctor Henry Mina Cuero. </w:t>
      </w:r>
      <w:bookmarkStart w:id="57" w:name="_Toc505243752"/>
    </w:p>
    <w:p w14:paraId="0B38E0BA" w14:textId="77777777" w:rsidR="00D70A2A" w:rsidRPr="00ED541F" w:rsidRDefault="00D70A2A" w:rsidP="00D70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p>
    <w:p w14:paraId="1A365EA5" w14:textId="0066EF24" w:rsidR="00B21168" w:rsidRPr="00ED541F" w:rsidRDefault="00B21168" w:rsidP="007E4ABA">
      <w:pPr>
        <w:pStyle w:val="Heading2"/>
        <w:numPr>
          <w:ilvl w:val="0"/>
          <w:numId w:val="72"/>
        </w:numPr>
        <w:spacing w:before="0" w:after="0"/>
        <w:ind w:firstLine="0"/>
        <w:jc w:val="both"/>
        <w:rPr>
          <w:rFonts w:ascii="Cambria" w:hAnsi="Cambria"/>
          <w:i w:val="0"/>
          <w:sz w:val="20"/>
          <w:szCs w:val="20"/>
        </w:rPr>
      </w:pPr>
      <w:bookmarkStart w:id="58" w:name="_Toc531880982"/>
      <w:r w:rsidRPr="00ED541F">
        <w:rPr>
          <w:rFonts w:ascii="Cambria" w:hAnsi="Cambria"/>
          <w:i w:val="0"/>
          <w:sz w:val="20"/>
          <w:szCs w:val="20"/>
          <w:lang w:val="es-CO"/>
        </w:rPr>
        <w:t>El derecho</w:t>
      </w:r>
      <w:r w:rsidRPr="00ED541F">
        <w:rPr>
          <w:rFonts w:ascii="Cambria" w:hAnsi="Cambria"/>
          <w:i w:val="0"/>
          <w:sz w:val="20"/>
          <w:szCs w:val="20"/>
        </w:rPr>
        <w:t xml:space="preserve"> a recurrir el fallo</w:t>
      </w:r>
      <w:r w:rsidRPr="00ED541F">
        <w:rPr>
          <w:rFonts w:ascii="Cambria" w:hAnsi="Cambria"/>
          <w:i w:val="0"/>
          <w:sz w:val="20"/>
          <w:szCs w:val="20"/>
          <w:vertAlign w:val="superscript"/>
        </w:rPr>
        <w:footnoteReference w:id="63"/>
      </w:r>
      <w:r w:rsidRPr="00ED541F">
        <w:rPr>
          <w:rFonts w:ascii="Cambria" w:hAnsi="Cambria"/>
          <w:i w:val="0"/>
          <w:sz w:val="20"/>
          <w:szCs w:val="20"/>
        </w:rPr>
        <w:t xml:space="preserve"> y el derecho a la protección judicial</w:t>
      </w:r>
      <w:r w:rsidRPr="00ED541F">
        <w:rPr>
          <w:rFonts w:ascii="Cambria" w:hAnsi="Cambria"/>
          <w:i w:val="0"/>
          <w:sz w:val="20"/>
          <w:szCs w:val="20"/>
          <w:vertAlign w:val="superscript"/>
        </w:rPr>
        <w:footnoteReference w:id="64"/>
      </w:r>
      <w:bookmarkEnd w:id="51"/>
      <w:bookmarkEnd w:id="57"/>
      <w:bookmarkEnd w:id="58"/>
    </w:p>
    <w:p w14:paraId="07F0DDC5" w14:textId="77777777" w:rsidR="00DD4F13" w:rsidRPr="00ED541F" w:rsidRDefault="00DD4F13" w:rsidP="00DD4F13"/>
    <w:p w14:paraId="6060BCE3" w14:textId="0CE2F846" w:rsidR="00B21168" w:rsidRPr="00ED541F" w:rsidRDefault="00AD716C"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E</w:t>
      </w:r>
      <w:r w:rsidR="00B21168" w:rsidRPr="00ED541F">
        <w:rPr>
          <w:rFonts w:ascii="Cambria" w:hAnsi="Cambria"/>
          <w:lang w:val="es-VE"/>
        </w:rPr>
        <w:t>l derecho a recurrir el fallo hace parte del debido proceso legal de un procedimiento sancionatorio disciplinario</w:t>
      </w:r>
      <w:r w:rsidR="00B21168" w:rsidRPr="00ED541F">
        <w:rPr>
          <w:rFonts w:ascii="Cambria" w:hAnsi="Cambria"/>
          <w:vertAlign w:val="superscript"/>
          <w:lang w:val="es-VE"/>
        </w:rPr>
        <w:footnoteReference w:id="65"/>
      </w:r>
      <w:r w:rsidR="00B21168" w:rsidRPr="00ED541F">
        <w:rPr>
          <w:rFonts w:ascii="Cambria" w:hAnsi="Cambria"/>
          <w:lang w:val="es-VE"/>
        </w:rPr>
        <w:t xml:space="preserve"> y es una garantía primordial cuya finalidad es evitar que se consolide una situación de injusticia</w:t>
      </w:r>
      <w:r w:rsidR="00B21168" w:rsidRPr="00ED541F">
        <w:rPr>
          <w:rFonts w:ascii="Cambria" w:hAnsi="Cambria"/>
          <w:vertAlign w:val="superscript"/>
          <w:lang w:val="es-VE"/>
        </w:rPr>
        <w:footnoteReference w:id="66"/>
      </w:r>
      <w:r w:rsidR="00B21168" w:rsidRPr="00ED541F">
        <w:rPr>
          <w:rFonts w:ascii="Cambria" w:hAnsi="Cambria"/>
          <w:lang w:val="es-VE"/>
        </w:rPr>
        <w:t>. En cuanto al alcance del derecho a recurrir, tanto la CIDH como la Corte han indicado que este implica un examen por un juez o tribunal distinto y de superior jerarquía tanto de aspectos de hecho como de derecho de la decisión recurrida</w:t>
      </w:r>
      <w:r w:rsidR="00B21168" w:rsidRPr="00ED541F">
        <w:rPr>
          <w:rFonts w:ascii="Cambria" w:hAnsi="Cambria"/>
          <w:vertAlign w:val="superscript"/>
          <w:lang w:val="es-VE"/>
        </w:rPr>
        <w:footnoteReference w:id="67"/>
      </w:r>
      <w:r w:rsidR="00B21168" w:rsidRPr="00ED541F">
        <w:rPr>
          <w:rFonts w:ascii="Cambria" w:hAnsi="Cambria"/>
          <w:lang w:val="es-VE"/>
        </w:rPr>
        <w:t xml:space="preserve">. Debe proceder antes que la sentencia adquiera calidad de cosa juzgada, debe ser resuelto en un plazo razonable, debe ser oportuno y eficaz, es decir, debe dar resultado o </w:t>
      </w:r>
      <w:r w:rsidR="00B21168" w:rsidRPr="00ED541F">
        <w:rPr>
          <w:rFonts w:ascii="Cambria" w:hAnsi="Cambria"/>
          <w:lang w:val="es-VE"/>
        </w:rPr>
        <w:lastRenderedPageBreak/>
        <w:t>respuesta al fin para el cual fue concebido. Además, debe ser accesible, sin requerir mayores formalidades que tornen ilusorio el derecho</w:t>
      </w:r>
      <w:r w:rsidR="00B21168" w:rsidRPr="00ED541F">
        <w:rPr>
          <w:rFonts w:ascii="Cambria" w:hAnsi="Cambria"/>
          <w:vertAlign w:val="superscript"/>
          <w:lang w:val="es-VE"/>
        </w:rPr>
        <w:footnoteReference w:id="68"/>
      </w:r>
      <w:r w:rsidR="00B21168" w:rsidRPr="00ED541F">
        <w:rPr>
          <w:rFonts w:ascii="Cambria" w:hAnsi="Cambria"/>
          <w:lang w:val="es-VE"/>
        </w:rPr>
        <w:t xml:space="preserve">.  </w:t>
      </w:r>
    </w:p>
    <w:p w14:paraId="323B47DD" w14:textId="77777777" w:rsidR="00DD4F13" w:rsidRPr="00ED541F" w:rsidRDefault="00DD4F13" w:rsidP="00DD4F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lang w:val="es-VE"/>
        </w:rPr>
      </w:pPr>
    </w:p>
    <w:p w14:paraId="7A3B2EF2" w14:textId="7A5B48FA" w:rsidR="00B21168" w:rsidRPr="00ED541F" w:rsidRDefault="00AD716C"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L</w:t>
      </w:r>
      <w:r w:rsidR="00B21168" w:rsidRPr="00ED541F">
        <w:rPr>
          <w:rFonts w:ascii="Cambria" w:hAnsi="Cambria"/>
          <w:lang w:val="es-VE"/>
        </w:rPr>
        <w:t xml:space="preserve">a CIDH recuerda que el Estado está en la obligación general de proveer recursos judiciales efectivos a las personas que aleguen ser víctimas de violaciones de derechos humanos (artículo 25), los cuales deben ser sustanciados de conformidad con las reglas del debido proceso legal (artículo 8.1). Para que exista un recurso efectivo no basta con que esté previsto </w:t>
      </w:r>
      <w:proofErr w:type="gramStart"/>
      <w:r w:rsidR="00B21168" w:rsidRPr="00ED541F">
        <w:rPr>
          <w:rFonts w:ascii="Cambria" w:hAnsi="Cambria"/>
          <w:lang w:val="es-VE"/>
        </w:rPr>
        <w:t>legalmente</w:t>
      </w:r>
      <w:proofErr w:type="gramEnd"/>
      <w:r w:rsidR="00B21168" w:rsidRPr="00ED541F">
        <w:rPr>
          <w:rFonts w:ascii="Cambria" w:hAnsi="Cambria"/>
          <w:lang w:val="es-VE"/>
        </w:rPr>
        <w:t xml:space="preserve"> sino que deber ser realmente idóneo para establecer si se ha incurrido en una violación a los derechos humanos, y proveer lo necesario para remediarla</w:t>
      </w:r>
      <w:r w:rsidR="00B21168" w:rsidRPr="00ED541F">
        <w:rPr>
          <w:rFonts w:ascii="Cambria" w:hAnsi="Cambria"/>
          <w:vertAlign w:val="superscript"/>
          <w:lang w:val="es-VE"/>
        </w:rPr>
        <w:footnoteReference w:id="69"/>
      </w:r>
      <w:r w:rsidR="00B21168" w:rsidRPr="00ED541F">
        <w:rPr>
          <w:rFonts w:ascii="Cambria" w:hAnsi="Cambria"/>
          <w:lang w:val="es-VE"/>
        </w:rPr>
        <w:t xml:space="preserve">. </w:t>
      </w:r>
    </w:p>
    <w:p w14:paraId="6C491D1C" w14:textId="77777777" w:rsidR="00DD4F13" w:rsidRPr="00ED541F" w:rsidRDefault="00DD4F13" w:rsidP="00DD4F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lang w:val="es-VE"/>
        </w:rPr>
      </w:pPr>
    </w:p>
    <w:p w14:paraId="47C3FF56" w14:textId="2FCE6189" w:rsidR="00B21168" w:rsidRPr="00ED541F" w:rsidRDefault="00B21168"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La CIDH recuerda que el Estado alegó que no violó el derecho de recurrir el fallo ante juez o tribunal superior porque la presunta víctima tenía disponible el recurso de apelación</w:t>
      </w:r>
      <w:r w:rsidR="00466D30" w:rsidRPr="00ED541F">
        <w:rPr>
          <w:rFonts w:ascii="Cambria" w:hAnsi="Cambria"/>
          <w:lang w:val="es-VE"/>
        </w:rPr>
        <w:t xml:space="preserve"> previsto</w:t>
      </w:r>
      <w:r w:rsidRPr="00ED541F">
        <w:rPr>
          <w:rFonts w:ascii="Cambria" w:hAnsi="Cambria"/>
          <w:lang w:val="es-VE"/>
        </w:rPr>
        <w:t xml:space="preserve"> en el artículo 67 de la Ley Personal de la Policía Nacional para apelar la decisión de su destitución, </w:t>
      </w:r>
      <w:r w:rsidR="00466D30" w:rsidRPr="00ED541F">
        <w:rPr>
          <w:rFonts w:ascii="Cambria" w:hAnsi="Cambria"/>
          <w:lang w:val="es-VE"/>
        </w:rPr>
        <w:t xml:space="preserve">absteniéndose de hacer </w:t>
      </w:r>
      <w:r w:rsidRPr="00ED541F">
        <w:rPr>
          <w:rFonts w:ascii="Cambria" w:hAnsi="Cambria"/>
          <w:lang w:val="es-VE"/>
        </w:rPr>
        <w:t xml:space="preserve">uso </w:t>
      </w:r>
      <w:proofErr w:type="gramStart"/>
      <w:r w:rsidRPr="00ED541F">
        <w:rPr>
          <w:rFonts w:ascii="Cambria" w:hAnsi="Cambria"/>
          <w:lang w:val="es-VE"/>
        </w:rPr>
        <w:t>del mismo</w:t>
      </w:r>
      <w:proofErr w:type="gramEnd"/>
      <w:r w:rsidRPr="00ED541F">
        <w:rPr>
          <w:rFonts w:ascii="Cambria" w:hAnsi="Cambria"/>
          <w:lang w:val="es-VE"/>
        </w:rPr>
        <w:t>. Añadió que</w:t>
      </w:r>
      <w:r w:rsidR="00466D30" w:rsidRPr="00ED541F">
        <w:rPr>
          <w:rFonts w:ascii="Cambria" w:hAnsi="Cambria"/>
          <w:lang w:val="es-VE"/>
        </w:rPr>
        <w:t>, en todo caso,</w:t>
      </w:r>
      <w:r w:rsidRPr="00ED541F">
        <w:rPr>
          <w:rFonts w:ascii="Cambria" w:hAnsi="Cambria"/>
          <w:lang w:val="es-VE"/>
        </w:rPr>
        <w:t xml:space="preserve"> el </w:t>
      </w:r>
      <w:r w:rsidR="00466D30" w:rsidRPr="00ED541F">
        <w:rPr>
          <w:rFonts w:ascii="Cambria" w:hAnsi="Cambria"/>
          <w:lang w:val="es-VE"/>
        </w:rPr>
        <w:t xml:space="preserve">señor Mina Cuero </w:t>
      </w:r>
      <w:r w:rsidRPr="00ED541F">
        <w:rPr>
          <w:rFonts w:ascii="Cambria" w:hAnsi="Cambria"/>
          <w:lang w:val="es-VE"/>
        </w:rPr>
        <w:t>obtuvo un control judicial de su destitución a través del recurso de amparo.</w:t>
      </w:r>
    </w:p>
    <w:p w14:paraId="44BFBA88" w14:textId="77777777" w:rsidR="00DD4F13" w:rsidRPr="00ED541F" w:rsidRDefault="00DD4F13" w:rsidP="00DD4F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lang w:val="es-VE"/>
        </w:rPr>
      </w:pPr>
    </w:p>
    <w:p w14:paraId="57333F75" w14:textId="77777777" w:rsidR="00DD4F13" w:rsidRPr="00ED541F" w:rsidRDefault="00B21168"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La CIDH observa que efectivamente el artículo 67 de la Ley de Personal de la Policía Nacional establece que “el personal policial que considere que fue colocado en transitoria o dado de baja ilegalmente, podrá apelar ante el Consejo respectivo en la forma establecida en el artículo 55 de esta ley” (…). Asimismo, el artículo 55 de la misma ley establece que “se podrá apelar de las resoluciones dictadas por los respectivos Consejos (…)”.</w:t>
      </w:r>
    </w:p>
    <w:p w14:paraId="45276BB2" w14:textId="641640C5" w:rsidR="00B21168" w:rsidRPr="00ED541F" w:rsidRDefault="00B21168" w:rsidP="00DD4F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r w:rsidRPr="00ED541F">
        <w:rPr>
          <w:rFonts w:ascii="Cambria" w:hAnsi="Cambria"/>
          <w:lang w:val="es-VE"/>
        </w:rPr>
        <w:t xml:space="preserve"> </w:t>
      </w:r>
    </w:p>
    <w:p w14:paraId="5D13B5D7" w14:textId="1B8089EE" w:rsidR="00DD4F13" w:rsidRPr="00ED541F" w:rsidRDefault="00B21168"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Asimismo, el artículo 84 del Reglamento de Disciplina de la Policía Nacional establece que “se podrá reclamar de las sanciones impuestas por faltas, excepto de las impuestas en sentencia del Tribunal de Disciplina o en orden del </w:t>
      </w:r>
      <w:proofErr w:type="gramStart"/>
      <w:r w:rsidRPr="00ED541F">
        <w:rPr>
          <w:rFonts w:ascii="Cambria" w:hAnsi="Cambria"/>
          <w:lang w:val="es-VE"/>
        </w:rPr>
        <w:t>Presidente</w:t>
      </w:r>
      <w:proofErr w:type="gramEnd"/>
      <w:r w:rsidRPr="00ED541F">
        <w:rPr>
          <w:rFonts w:ascii="Cambria" w:hAnsi="Cambria"/>
          <w:lang w:val="es-VE"/>
        </w:rPr>
        <w:t xml:space="preserve"> de la República”. </w:t>
      </w:r>
      <w:r w:rsidR="006E7069" w:rsidRPr="00ED541F">
        <w:rPr>
          <w:rFonts w:ascii="Cambria" w:hAnsi="Cambria"/>
          <w:lang w:val="es-VE"/>
        </w:rPr>
        <w:t xml:space="preserve">Frente a esta </w:t>
      </w:r>
      <w:r w:rsidRPr="00ED541F">
        <w:rPr>
          <w:rFonts w:ascii="Cambria" w:hAnsi="Cambria"/>
          <w:lang w:val="es-VE"/>
        </w:rPr>
        <w:t xml:space="preserve">aparente contradicción, </w:t>
      </w:r>
      <w:r w:rsidR="006E7069" w:rsidRPr="00ED541F">
        <w:rPr>
          <w:rFonts w:ascii="Cambria" w:hAnsi="Cambria"/>
          <w:lang w:val="es-VE"/>
        </w:rPr>
        <w:t xml:space="preserve">el Estado no ofreció una explicación </w:t>
      </w:r>
      <w:r w:rsidR="00C241D4" w:rsidRPr="00ED541F">
        <w:rPr>
          <w:rFonts w:ascii="Cambria" w:hAnsi="Cambria"/>
          <w:lang w:val="es-VE"/>
        </w:rPr>
        <w:t xml:space="preserve">que permitiera entender de qué manera el recurso de apelación estaba disponible para el señor Mina Cuero, no </w:t>
      </w:r>
      <w:proofErr w:type="gramStart"/>
      <w:r w:rsidR="00C241D4" w:rsidRPr="00ED541F">
        <w:rPr>
          <w:rFonts w:ascii="Cambria" w:hAnsi="Cambria"/>
          <w:lang w:val="es-VE"/>
        </w:rPr>
        <w:t>obstante</w:t>
      </w:r>
      <w:proofErr w:type="gramEnd"/>
      <w:r w:rsidR="00C241D4" w:rsidRPr="00ED541F">
        <w:rPr>
          <w:rFonts w:ascii="Cambria" w:hAnsi="Cambria"/>
          <w:lang w:val="es-VE"/>
        </w:rPr>
        <w:t xml:space="preserve"> la regulación </w:t>
      </w:r>
      <w:r w:rsidR="00F60BCE" w:rsidRPr="00ED541F">
        <w:rPr>
          <w:rFonts w:ascii="Cambria" w:hAnsi="Cambria"/>
          <w:lang w:val="es-VE"/>
        </w:rPr>
        <w:t xml:space="preserve">más específica que establecía la competencia del Tribunal de Disciplina y con base en la cual se llevó a cabo su proceso sancionatorio, excluía de la posibilidad de reclamar precisamente las sanciones impuestas por dicho Tribunal. </w:t>
      </w:r>
    </w:p>
    <w:p w14:paraId="145B6342" w14:textId="5833D305" w:rsidR="00B21168" w:rsidRPr="00ED541F" w:rsidRDefault="00B21168" w:rsidP="00DD4F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r w:rsidRPr="00ED541F">
        <w:rPr>
          <w:rFonts w:ascii="Cambria" w:hAnsi="Cambria"/>
          <w:lang w:val="es-VE"/>
        </w:rPr>
        <w:t xml:space="preserve"> </w:t>
      </w:r>
    </w:p>
    <w:p w14:paraId="10FB9B6B" w14:textId="09CC8FD2" w:rsidR="00B21168" w:rsidRPr="00ED541F" w:rsidRDefault="00B21168"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Por otra parte, la Comisión hace notar que el Juzgado Civil de Esmeralda</w:t>
      </w:r>
      <w:r w:rsidR="00AB17A6" w:rsidRPr="00ED541F">
        <w:rPr>
          <w:rFonts w:ascii="Cambria" w:hAnsi="Cambria"/>
          <w:lang w:val="es-VE"/>
        </w:rPr>
        <w:t>s</w:t>
      </w:r>
      <w:r w:rsidRPr="00ED541F">
        <w:rPr>
          <w:rFonts w:ascii="Cambria" w:hAnsi="Cambria"/>
          <w:lang w:val="es-VE"/>
        </w:rPr>
        <w:t>, al negar el amparo interpuesto por la presunta víctima, el 15 de diciembre de 2000, se limitó a indicar que la sanción impuesta fue aplicada en observancia de todas las normas constitucionales, no se omitió solemnidad alguna y que la decisión que adoptó el Tribunal de Disciplina no es susceptible de amparo.</w:t>
      </w:r>
      <w:r w:rsidR="00775EA6" w:rsidRPr="00ED541F">
        <w:rPr>
          <w:rFonts w:ascii="Cambria" w:hAnsi="Cambria"/>
          <w:lang w:val="es-VE"/>
        </w:rPr>
        <w:t xml:space="preserve"> De igual forma, el Tribunal Constitucional, al desechar la demanda de inconstitucionalidad interpuesta por el peticionario, se limitó a indicar que la presunta víctima tuvo amplio derecho de defensa durante su proceso sancionatorio, pues asistió a su audiencia con abogado defensor y se admitieron testimonios de policías que acudieron al lugar de hechos y que no estaba probada inconstitucionalidad alguna que ameritara su pronunciamiento.</w:t>
      </w:r>
    </w:p>
    <w:p w14:paraId="2D5E44CC" w14:textId="77777777" w:rsidR="00DD4F13" w:rsidRPr="00ED541F" w:rsidRDefault="00DD4F13" w:rsidP="00775EA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lang w:val="es-VE"/>
        </w:rPr>
      </w:pPr>
    </w:p>
    <w:p w14:paraId="5AFE578F" w14:textId="6EF693BD" w:rsidR="00DD4F13" w:rsidRPr="00ED541F" w:rsidRDefault="00775EA6"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 xml:space="preserve">En ese sentido, </w:t>
      </w:r>
      <w:r w:rsidR="00BC0E46" w:rsidRPr="00ED541F">
        <w:rPr>
          <w:rFonts w:ascii="Cambria" w:hAnsi="Cambria"/>
          <w:lang w:val="es-VE"/>
        </w:rPr>
        <w:t xml:space="preserve">la </w:t>
      </w:r>
      <w:r w:rsidR="00B21168" w:rsidRPr="00ED541F">
        <w:rPr>
          <w:rFonts w:ascii="Cambria" w:hAnsi="Cambria"/>
          <w:lang w:val="es-VE"/>
        </w:rPr>
        <w:t>CIDH estima que del contenido de</w:t>
      </w:r>
      <w:r w:rsidR="00BC0E46" w:rsidRPr="00ED541F">
        <w:rPr>
          <w:rFonts w:ascii="Cambria" w:hAnsi="Cambria"/>
          <w:lang w:val="es-VE"/>
        </w:rPr>
        <w:t xml:space="preserve"> ambas decisiones</w:t>
      </w:r>
      <w:r w:rsidR="00130EBC" w:rsidRPr="00ED541F">
        <w:rPr>
          <w:rFonts w:ascii="Cambria" w:hAnsi="Cambria"/>
          <w:lang w:val="es-VE"/>
        </w:rPr>
        <w:t xml:space="preserve"> </w:t>
      </w:r>
      <w:r w:rsidR="00B21168" w:rsidRPr="00ED541F">
        <w:rPr>
          <w:rFonts w:ascii="Cambria" w:hAnsi="Cambria"/>
          <w:lang w:val="es-VE"/>
        </w:rPr>
        <w:t>se desprende que los órganos competentes n</w:t>
      </w:r>
      <w:r w:rsidR="00BC0E46" w:rsidRPr="00ED541F">
        <w:rPr>
          <w:rFonts w:ascii="Cambria" w:hAnsi="Cambria"/>
          <w:lang w:val="es-VE"/>
        </w:rPr>
        <w:t xml:space="preserve">i </w:t>
      </w:r>
      <w:r w:rsidR="00B21168" w:rsidRPr="00ED541F">
        <w:rPr>
          <w:rFonts w:ascii="Cambria" w:hAnsi="Cambria"/>
          <w:lang w:val="es-VE"/>
        </w:rPr>
        <w:t>realizaron un examen integral tanto de aspectos de hecho como de derecho respecto de la decisión de destitución de la presunta víctima,</w:t>
      </w:r>
      <w:r w:rsidR="00BC0E46" w:rsidRPr="00ED541F">
        <w:rPr>
          <w:rFonts w:ascii="Cambria" w:hAnsi="Cambria"/>
          <w:lang w:val="es-VE"/>
        </w:rPr>
        <w:t xml:space="preserve"> ni ofrecieron protección judicial frente a las diversas violaciones al derecho de defensa, al principio de presunción de inocencia, al principio de legalidad y al derecho a contar con decisiones motivadas, en los términos analizados en el presente informe. </w:t>
      </w:r>
    </w:p>
    <w:p w14:paraId="75A49909" w14:textId="6A71DDFE" w:rsidR="00B21168" w:rsidRPr="00ED541F" w:rsidRDefault="00B21168" w:rsidP="00DD4F1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lang w:val="es-VE"/>
        </w:rPr>
      </w:pPr>
      <w:r w:rsidRPr="00ED541F">
        <w:rPr>
          <w:rFonts w:ascii="Cambria" w:hAnsi="Cambria"/>
          <w:lang w:val="es-VE"/>
        </w:rPr>
        <w:t xml:space="preserve"> </w:t>
      </w:r>
    </w:p>
    <w:p w14:paraId="468FD6F2" w14:textId="25B10876" w:rsidR="00B21168" w:rsidRPr="00ED541F" w:rsidRDefault="00B21168" w:rsidP="00DD4F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lang w:val="es-VE"/>
        </w:rPr>
      </w:pPr>
      <w:r w:rsidRPr="00ED541F">
        <w:rPr>
          <w:rFonts w:ascii="Cambria" w:hAnsi="Cambria"/>
          <w:lang w:val="es-VE"/>
        </w:rPr>
        <w:t>En virtud de lo anterior, la Comisión concluye que el Estado ecuatoriano es responsable por la violación de los derechos establecidos en el artículo 8.2.h</w:t>
      </w:r>
      <w:r w:rsidR="006535B7" w:rsidRPr="00ED541F">
        <w:rPr>
          <w:rFonts w:ascii="Cambria" w:hAnsi="Cambria"/>
          <w:lang w:val="es-VE"/>
        </w:rPr>
        <w:t>)</w:t>
      </w:r>
      <w:r w:rsidRPr="00ED541F">
        <w:rPr>
          <w:rFonts w:ascii="Cambria" w:hAnsi="Cambria"/>
          <w:lang w:val="es-VE"/>
        </w:rPr>
        <w:t xml:space="preserve"> y 25</w:t>
      </w:r>
      <w:r w:rsidR="00E810D2" w:rsidRPr="00ED541F">
        <w:rPr>
          <w:rFonts w:ascii="Cambria" w:hAnsi="Cambria"/>
          <w:lang w:val="es-VE"/>
        </w:rPr>
        <w:t>.1</w:t>
      </w:r>
      <w:r w:rsidRPr="00ED541F">
        <w:rPr>
          <w:rFonts w:ascii="Cambria" w:hAnsi="Cambria"/>
          <w:lang w:val="es-VE"/>
        </w:rPr>
        <w:t xml:space="preserve"> de la Convención Americana en relación con los artículos 1.1 y 2 del mismo instrumento, en perjuicio de Víctor Henry Mina Cuero. </w:t>
      </w:r>
    </w:p>
    <w:p w14:paraId="1735D251" w14:textId="77777777" w:rsidR="00B21168" w:rsidRPr="00ED541F" w:rsidRDefault="00B21168" w:rsidP="00284AF8">
      <w:pPr>
        <w:rPr>
          <w:rFonts w:ascii="Cambria" w:hAnsi="Cambria"/>
          <w:lang w:val="es-VE"/>
        </w:rPr>
      </w:pPr>
    </w:p>
    <w:p w14:paraId="45B2762F" w14:textId="77777777" w:rsidR="007A6FF6" w:rsidRPr="00ED541F" w:rsidRDefault="007A6FF6" w:rsidP="00284AF8">
      <w:pPr>
        <w:pStyle w:val="Heading1"/>
        <w:numPr>
          <w:ilvl w:val="0"/>
          <w:numId w:val="69"/>
        </w:numPr>
        <w:spacing w:before="0"/>
        <w:ind w:left="720" w:firstLine="0"/>
        <w:rPr>
          <w:rFonts w:ascii="Cambria" w:hAnsi="Cambria"/>
          <w:color w:val="auto"/>
          <w:sz w:val="20"/>
          <w:szCs w:val="20"/>
        </w:rPr>
      </w:pPr>
      <w:bookmarkStart w:id="59" w:name="_Toc482785407"/>
      <w:bookmarkStart w:id="60" w:name="_Toc483500323"/>
      <w:bookmarkStart w:id="61" w:name="_Toc491441658"/>
      <w:bookmarkStart w:id="62" w:name="_Toc497398878"/>
      <w:bookmarkStart w:id="63" w:name="_Toc505243755"/>
      <w:bookmarkStart w:id="64" w:name="_Toc531880983"/>
      <w:r w:rsidRPr="00ED541F">
        <w:rPr>
          <w:rFonts w:ascii="Cambria" w:hAnsi="Cambria"/>
          <w:color w:val="auto"/>
          <w:sz w:val="20"/>
          <w:szCs w:val="20"/>
        </w:rPr>
        <w:lastRenderedPageBreak/>
        <w:t>CONCLUSIONES</w:t>
      </w:r>
      <w:bookmarkEnd w:id="59"/>
      <w:bookmarkEnd w:id="60"/>
      <w:bookmarkEnd w:id="61"/>
      <w:bookmarkEnd w:id="62"/>
      <w:bookmarkEnd w:id="63"/>
      <w:bookmarkEnd w:id="64"/>
    </w:p>
    <w:p w14:paraId="6A6CD4D2" w14:textId="77777777" w:rsidR="007A6FF6" w:rsidRPr="00ED541F" w:rsidRDefault="007A6FF6" w:rsidP="00284AF8">
      <w:pPr>
        <w:rPr>
          <w:rFonts w:ascii="Cambria" w:hAnsi="Cambria"/>
          <w:lang w:val="es-ES_tradnl"/>
        </w:rPr>
      </w:pPr>
    </w:p>
    <w:p w14:paraId="6C2D5DC5" w14:textId="77777777" w:rsidR="007A6FF6" w:rsidRPr="00ED541F" w:rsidRDefault="007A6FF6"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lang w:val="es-MX"/>
        </w:rPr>
      </w:pPr>
      <w:r w:rsidRPr="00ED541F">
        <w:rPr>
          <w:rFonts w:ascii="Cambria" w:hAnsi="Cambria"/>
          <w:lang w:val="es-MX"/>
        </w:rPr>
        <w:t>La Comisión co</w:t>
      </w:r>
      <w:r w:rsidR="00E810D2" w:rsidRPr="00ED541F">
        <w:rPr>
          <w:rFonts w:ascii="Cambria" w:hAnsi="Cambria"/>
          <w:lang w:val="es-MX"/>
        </w:rPr>
        <w:t>ncluye que el Estado del Ecuador</w:t>
      </w:r>
      <w:r w:rsidRPr="00ED541F">
        <w:rPr>
          <w:rFonts w:ascii="Cambria" w:hAnsi="Cambria"/>
          <w:lang w:val="es-MX"/>
        </w:rPr>
        <w:t xml:space="preserve"> es responsable por la violación de los derechos a las garantías judiciales, </w:t>
      </w:r>
      <w:r w:rsidR="00262CE9" w:rsidRPr="00ED541F">
        <w:rPr>
          <w:rFonts w:ascii="Cambria" w:hAnsi="Cambria"/>
          <w:lang w:val="es-MX"/>
        </w:rPr>
        <w:t xml:space="preserve">principio de legalidad y protección judicial </w:t>
      </w:r>
      <w:r w:rsidRPr="00ED541F">
        <w:rPr>
          <w:rFonts w:ascii="Cambria" w:hAnsi="Cambria"/>
          <w:lang w:val="es-MX"/>
        </w:rPr>
        <w:t>establecidos en los artículos 8.1, 8.2</w:t>
      </w:r>
      <w:r w:rsidR="00262CE9" w:rsidRPr="00ED541F">
        <w:rPr>
          <w:rFonts w:ascii="Cambria" w:hAnsi="Cambria"/>
          <w:lang w:val="es-MX"/>
        </w:rPr>
        <w:t>.b), 8.2 c), 8.2 d)</w:t>
      </w:r>
      <w:r w:rsidRPr="00ED541F">
        <w:rPr>
          <w:rFonts w:ascii="Cambria" w:hAnsi="Cambria"/>
          <w:lang w:val="es-MX"/>
        </w:rPr>
        <w:t>, 8.2 h</w:t>
      </w:r>
      <w:r w:rsidR="00262CE9" w:rsidRPr="00ED541F">
        <w:rPr>
          <w:rFonts w:ascii="Cambria" w:hAnsi="Cambria"/>
          <w:lang w:val="es-MX"/>
        </w:rPr>
        <w:t xml:space="preserve">), 9 </w:t>
      </w:r>
      <w:r w:rsidRPr="00ED541F">
        <w:rPr>
          <w:rFonts w:ascii="Cambria" w:hAnsi="Cambria"/>
          <w:lang w:val="es-MX"/>
        </w:rPr>
        <w:t xml:space="preserve">y 25.1 de la Convención Americana en relación con las obligaciones establecidas en los </w:t>
      </w:r>
      <w:proofErr w:type="gramStart"/>
      <w:r w:rsidRPr="00ED541F">
        <w:rPr>
          <w:rFonts w:ascii="Cambria" w:hAnsi="Cambria"/>
          <w:lang w:val="es-MX"/>
        </w:rPr>
        <w:t>artículos  1.1</w:t>
      </w:r>
      <w:proofErr w:type="gramEnd"/>
      <w:r w:rsidRPr="00ED541F">
        <w:rPr>
          <w:rFonts w:ascii="Cambria" w:hAnsi="Cambria"/>
          <w:lang w:val="es-MX"/>
        </w:rPr>
        <w:t xml:space="preserve"> y 2 del mismo instrumento, en perjuicio de </w:t>
      </w:r>
      <w:proofErr w:type="spellStart"/>
      <w:r w:rsidR="00262CE9" w:rsidRPr="00ED541F">
        <w:rPr>
          <w:rFonts w:ascii="Cambria" w:hAnsi="Cambria"/>
          <w:lang w:val="es-MX"/>
        </w:rPr>
        <w:t>Victor</w:t>
      </w:r>
      <w:proofErr w:type="spellEnd"/>
      <w:r w:rsidR="00262CE9" w:rsidRPr="00ED541F">
        <w:rPr>
          <w:rFonts w:ascii="Cambria" w:hAnsi="Cambria"/>
          <w:lang w:val="es-MX"/>
        </w:rPr>
        <w:t xml:space="preserve"> Henry Mina Cuero. </w:t>
      </w:r>
      <w:r w:rsidRPr="00ED541F">
        <w:rPr>
          <w:rFonts w:ascii="Cambria" w:hAnsi="Cambria"/>
          <w:lang w:val="es-MX"/>
        </w:rPr>
        <w:t xml:space="preserve"> </w:t>
      </w:r>
    </w:p>
    <w:p w14:paraId="23733479" w14:textId="77777777" w:rsidR="007A6FF6" w:rsidRPr="00ED541F" w:rsidRDefault="007A6FF6"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eastAsia="Times New Roman" w:cs="Courier New"/>
          <w:color w:val="212121"/>
          <w:bdr w:val="none" w:sz="0" w:space="0" w:color="auto"/>
        </w:rPr>
      </w:pPr>
    </w:p>
    <w:p w14:paraId="37F4A6ED" w14:textId="77777777" w:rsidR="007A6FF6" w:rsidRPr="00ED541F" w:rsidRDefault="007A6FF6" w:rsidP="00284AF8">
      <w:pPr>
        <w:pStyle w:val="Heading1"/>
        <w:numPr>
          <w:ilvl w:val="0"/>
          <w:numId w:val="69"/>
        </w:numPr>
        <w:spacing w:before="0"/>
        <w:ind w:left="720" w:firstLine="0"/>
        <w:rPr>
          <w:rFonts w:ascii="Cambria" w:hAnsi="Cambria"/>
          <w:color w:val="auto"/>
          <w:sz w:val="20"/>
          <w:szCs w:val="20"/>
        </w:rPr>
      </w:pPr>
      <w:bookmarkStart w:id="65" w:name="_Toc497398879"/>
      <w:bookmarkStart w:id="66" w:name="_Toc505243756"/>
      <w:bookmarkStart w:id="67" w:name="_Toc531880984"/>
      <w:r w:rsidRPr="00ED541F">
        <w:rPr>
          <w:rFonts w:ascii="Cambria" w:hAnsi="Cambria"/>
          <w:color w:val="auto"/>
          <w:sz w:val="20"/>
          <w:szCs w:val="20"/>
        </w:rPr>
        <w:t>RECOMENDACIONES</w:t>
      </w:r>
      <w:bookmarkEnd w:id="65"/>
      <w:bookmarkEnd w:id="66"/>
      <w:bookmarkEnd w:id="67"/>
      <w:r w:rsidRPr="00ED541F">
        <w:rPr>
          <w:rFonts w:ascii="Cambria" w:hAnsi="Cambria"/>
          <w:color w:val="auto"/>
          <w:sz w:val="20"/>
          <w:szCs w:val="20"/>
        </w:rPr>
        <w:t xml:space="preserve"> </w:t>
      </w:r>
    </w:p>
    <w:p w14:paraId="3FB4B647" w14:textId="77777777" w:rsidR="007A6FF6" w:rsidRPr="00ED541F" w:rsidRDefault="007A6FF6" w:rsidP="00284AF8">
      <w:pPr>
        <w:rPr>
          <w:lang w:val="es-ES_tradnl"/>
        </w:rPr>
      </w:pPr>
    </w:p>
    <w:p w14:paraId="12C19604" w14:textId="77777777" w:rsidR="007A6FF6" w:rsidRPr="00ED541F" w:rsidRDefault="007A6FF6" w:rsidP="00284A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MX"/>
        </w:rPr>
      </w:pPr>
      <w:r w:rsidRPr="00ED541F">
        <w:rPr>
          <w:rFonts w:ascii="Cambria" w:hAnsi="Cambria"/>
          <w:lang w:val="es-MX"/>
        </w:rPr>
        <w:t>Con fundamento en las anteriores conclusiones,</w:t>
      </w:r>
    </w:p>
    <w:p w14:paraId="27A4D13A" w14:textId="77777777" w:rsidR="007A6FF6" w:rsidRPr="00ED541F" w:rsidRDefault="007A6FF6" w:rsidP="00284A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lang w:val="es-MX"/>
        </w:rPr>
      </w:pPr>
    </w:p>
    <w:p w14:paraId="78FB5344" w14:textId="77777777" w:rsidR="007A6FF6" w:rsidRPr="00ED541F" w:rsidRDefault="007A6FF6" w:rsidP="00284A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040"/>
        </w:tabs>
        <w:ind w:firstLine="720"/>
        <w:jc w:val="both"/>
        <w:rPr>
          <w:lang w:val="es-MX"/>
        </w:rPr>
      </w:pPr>
      <w:r w:rsidRPr="00ED541F">
        <w:rPr>
          <w:rFonts w:ascii="Cambria" w:hAnsi="Cambria"/>
          <w:b/>
        </w:rPr>
        <w:t>LA COMISIÓN INTERAMERICANA DE DERECHOS HUMANOS RECOMIENDA AL ESTADO ECUATORIANO,</w:t>
      </w:r>
    </w:p>
    <w:p w14:paraId="5CB6568E" w14:textId="77777777" w:rsidR="007A6FF6" w:rsidRPr="00ED541F" w:rsidRDefault="007A6FF6" w:rsidP="00284AF8">
      <w:pPr>
        <w:pStyle w:val="BodyText3"/>
        <w:tabs>
          <w:tab w:val="left" w:pos="720"/>
          <w:tab w:val="left" w:pos="1440"/>
          <w:tab w:val="left" w:pos="9360"/>
        </w:tabs>
        <w:spacing w:after="0"/>
        <w:jc w:val="both"/>
        <w:rPr>
          <w:rFonts w:ascii="Cambria" w:hAnsi="Cambria"/>
          <w:sz w:val="20"/>
          <w:szCs w:val="20"/>
          <w:lang w:val="es-VE"/>
        </w:rPr>
      </w:pPr>
    </w:p>
    <w:p w14:paraId="5A23735B" w14:textId="77777777" w:rsidR="004165E5" w:rsidRPr="00ED541F" w:rsidRDefault="004165E5" w:rsidP="00284AF8">
      <w:pPr>
        <w:pStyle w:val="BodyText3"/>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ED541F">
        <w:rPr>
          <w:rFonts w:ascii="Cambria" w:hAnsi="Cambria"/>
          <w:sz w:val="20"/>
          <w:szCs w:val="20"/>
          <w:lang w:val="es-VE"/>
        </w:rPr>
        <w:t xml:space="preserve">Reincorporar a </w:t>
      </w:r>
      <w:proofErr w:type="spellStart"/>
      <w:r w:rsidRPr="00ED541F">
        <w:rPr>
          <w:rFonts w:ascii="Cambria" w:hAnsi="Cambria"/>
          <w:sz w:val="20"/>
          <w:szCs w:val="20"/>
          <w:lang w:val="es-VE"/>
        </w:rPr>
        <w:t>Victor</w:t>
      </w:r>
      <w:proofErr w:type="spellEnd"/>
      <w:r w:rsidRPr="00ED541F">
        <w:rPr>
          <w:rFonts w:ascii="Cambria" w:hAnsi="Cambria"/>
          <w:sz w:val="20"/>
          <w:szCs w:val="20"/>
          <w:lang w:val="es-VE"/>
        </w:rPr>
        <w:t xml:space="preserve"> Henry Mina Cuero, en caso de ser este su deseo, en un cargo similar al que desempeñaba</w:t>
      </w:r>
      <w:r w:rsidR="00094250" w:rsidRPr="00ED541F">
        <w:rPr>
          <w:rFonts w:ascii="Cambria" w:hAnsi="Cambria"/>
          <w:sz w:val="20"/>
          <w:szCs w:val="20"/>
          <w:lang w:val="es-VE"/>
        </w:rPr>
        <w:t xml:space="preserve"> en la Policía</w:t>
      </w:r>
      <w:r w:rsidRPr="00ED541F">
        <w:rPr>
          <w:rFonts w:ascii="Cambria" w:hAnsi="Cambria"/>
          <w:sz w:val="20"/>
          <w:szCs w:val="20"/>
          <w:lang w:val="es-VE"/>
        </w:rPr>
        <w:t>, con la misma remuneración, beneficios sociales y rango equiparable a los que le corres</w:t>
      </w:r>
      <w:r w:rsidR="00340767" w:rsidRPr="00ED541F">
        <w:rPr>
          <w:rFonts w:ascii="Cambria" w:hAnsi="Cambria"/>
          <w:sz w:val="20"/>
          <w:szCs w:val="20"/>
          <w:lang w:val="es-VE"/>
        </w:rPr>
        <w:t xml:space="preserve">pondería el día de hoy si no hubiera sido destituido. Si por razones fundadas no es posible la reincorporación, pagar una indemnización alternativa. </w:t>
      </w:r>
    </w:p>
    <w:p w14:paraId="1D0D47DF" w14:textId="77777777" w:rsidR="001000B4" w:rsidRPr="00ED541F" w:rsidRDefault="001000B4" w:rsidP="00284AF8">
      <w:pPr>
        <w:pStyle w:val="BodyText3"/>
        <w:tabs>
          <w:tab w:val="left" w:pos="720"/>
          <w:tab w:val="left" w:pos="1440"/>
          <w:tab w:val="left" w:pos="9360"/>
        </w:tabs>
        <w:spacing w:after="0"/>
        <w:jc w:val="both"/>
        <w:rPr>
          <w:rFonts w:ascii="Cambria" w:hAnsi="Cambria"/>
          <w:sz w:val="20"/>
          <w:szCs w:val="20"/>
          <w:lang w:val="es-VE"/>
        </w:rPr>
      </w:pPr>
    </w:p>
    <w:p w14:paraId="218AF960" w14:textId="77777777" w:rsidR="00F51218" w:rsidRPr="00ED541F" w:rsidRDefault="007A6FF6" w:rsidP="00284AF8">
      <w:pPr>
        <w:pStyle w:val="BodyText3"/>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ED541F">
        <w:rPr>
          <w:rFonts w:ascii="Cambria" w:hAnsi="Cambria"/>
          <w:sz w:val="20"/>
          <w:szCs w:val="20"/>
          <w:lang w:val="es-VE"/>
        </w:rPr>
        <w:t xml:space="preserve">Reparar integralmente las violaciones de derechos declaradas en el presente informe incluyendo el aspecto material e inmaterial. </w:t>
      </w:r>
    </w:p>
    <w:p w14:paraId="6B8D96AA" w14:textId="77777777" w:rsidR="00F51218" w:rsidRPr="00ED541F" w:rsidRDefault="00F51218" w:rsidP="00284AF8">
      <w:pPr>
        <w:pStyle w:val="ListParagraph"/>
        <w:rPr>
          <w:lang w:val="es-VE"/>
        </w:rPr>
      </w:pPr>
    </w:p>
    <w:p w14:paraId="2A85D667" w14:textId="4EB3CFBF" w:rsidR="007A6FF6" w:rsidRPr="00ED541F" w:rsidRDefault="00F51218" w:rsidP="00AA3BB8">
      <w:pPr>
        <w:pStyle w:val="BodyText3"/>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720"/>
        <w:jc w:val="both"/>
        <w:rPr>
          <w:rFonts w:ascii="Cambria" w:hAnsi="Cambria"/>
          <w:sz w:val="20"/>
          <w:szCs w:val="20"/>
          <w:lang w:val="es-VE"/>
        </w:rPr>
      </w:pPr>
      <w:r w:rsidRPr="00ED541F">
        <w:rPr>
          <w:rFonts w:ascii="Cambria" w:hAnsi="Cambria"/>
          <w:sz w:val="20"/>
          <w:szCs w:val="20"/>
          <w:lang w:val="es-VE"/>
        </w:rPr>
        <w:t>Adecuar la legislación interna, para asegurar que los procesos disciplinarios en contra de miembros de la Policía Nacional de Ecuador cumplan con todas las garantías del debido proceso y el principio de legalidad. Específicamente, tomar las medidas para que los procesos garanticen el derecho a la comunicación previa y detallada de la acusación, el derecho a la defensa</w:t>
      </w:r>
      <w:r w:rsidR="00C9576D" w:rsidRPr="00ED541F">
        <w:rPr>
          <w:rFonts w:ascii="Cambria" w:hAnsi="Cambria"/>
          <w:sz w:val="20"/>
          <w:szCs w:val="20"/>
          <w:lang w:val="es-VE"/>
        </w:rPr>
        <w:t xml:space="preserve"> con tiempo suficiente</w:t>
      </w:r>
      <w:r w:rsidRPr="00ED541F">
        <w:rPr>
          <w:rFonts w:ascii="Cambria" w:hAnsi="Cambria"/>
          <w:sz w:val="20"/>
          <w:szCs w:val="20"/>
          <w:lang w:val="es-VE"/>
        </w:rPr>
        <w:t>, el principio de presunción de inocencia y el derecho a recurrir el fallo. Asimismo, asegurarse que las causales disciplinarias aplicadas</w:t>
      </w:r>
      <w:r w:rsidR="001F4A65" w:rsidRPr="00ED541F">
        <w:rPr>
          <w:rFonts w:ascii="Cambria" w:hAnsi="Cambria"/>
          <w:sz w:val="20"/>
          <w:szCs w:val="20"/>
          <w:lang w:val="es-VE"/>
        </w:rPr>
        <w:t xml:space="preserve"> y sus respectivas agravantes</w:t>
      </w:r>
      <w:r w:rsidRPr="00ED541F">
        <w:rPr>
          <w:rFonts w:ascii="Cambria" w:hAnsi="Cambria"/>
          <w:sz w:val="20"/>
          <w:szCs w:val="20"/>
          <w:lang w:val="es-VE"/>
        </w:rPr>
        <w:t xml:space="preserve"> cumplan con el principio de legalidad. </w:t>
      </w:r>
    </w:p>
    <w:p w14:paraId="5D74B24A" w14:textId="77777777" w:rsidR="00BC5224" w:rsidRPr="00FE0B80" w:rsidRDefault="00BC5224" w:rsidP="00BC522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themeColor="text1"/>
        </w:rPr>
      </w:pPr>
    </w:p>
    <w:p w14:paraId="60E8B1A6" w14:textId="13724F2B" w:rsidR="00BC5224" w:rsidRPr="00FE0B80" w:rsidRDefault="00BC5224" w:rsidP="00BC5224">
      <w:pPr>
        <w:ind w:firstLine="720"/>
        <w:jc w:val="both"/>
        <w:rPr>
          <w:spacing w:val="-2"/>
          <w:lang w:val="es-CL"/>
        </w:rPr>
      </w:pPr>
      <w:r w:rsidRPr="00FE0B80">
        <w:rPr>
          <w:spacing w:val="-2"/>
          <w:lang w:val="es-CL"/>
        </w:rPr>
        <w:t xml:space="preserve">Aprobado por la Comisión Interamericana de Derechos Humanos en la ciudad de Santo Domingo, República Dominicana, a los </w:t>
      </w:r>
      <w:r>
        <w:rPr>
          <w:spacing w:val="-2"/>
          <w:lang w:val="es-CL"/>
        </w:rPr>
        <w:t>8</w:t>
      </w:r>
      <w:r w:rsidRPr="00FE0B80">
        <w:rPr>
          <w:spacing w:val="-2"/>
          <w:lang w:val="es-CL"/>
        </w:rPr>
        <w:t xml:space="preserve"> días del mes de mayo de 2018.  (Firmado): </w:t>
      </w:r>
      <w:proofErr w:type="spellStart"/>
      <w:r w:rsidRPr="00FE0B80">
        <w:rPr>
          <w:spacing w:val="-2"/>
          <w:lang w:val="es-CL"/>
        </w:rPr>
        <w:t>Margarette</w:t>
      </w:r>
      <w:proofErr w:type="spellEnd"/>
      <w:r w:rsidRPr="00FE0B80">
        <w:rPr>
          <w:spacing w:val="-2"/>
          <w:lang w:val="es-CL"/>
        </w:rPr>
        <w:t xml:space="preserve"> May </w:t>
      </w:r>
      <w:proofErr w:type="spellStart"/>
      <w:r w:rsidRPr="00FE0B80">
        <w:rPr>
          <w:spacing w:val="-2"/>
          <w:lang w:val="es-CL"/>
        </w:rPr>
        <w:t>Macaulay</w:t>
      </w:r>
      <w:proofErr w:type="spellEnd"/>
      <w:r w:rsidRPr="00FE0B80">
        <w:rPr>
          <w:spacing w:val="-2"/>
          <w:lang w:val="es-CL"/>
        </w:rPr>
        <w:t xml:space="preserve">, </w:t>
      </w:r>
      <w:proofErr w:type="gramStart"/>
      <w:r w:rsidRPr="00FE0B80">
        <w:rPr>
          <w:spacing w:val="-2"/>
          <w:lang w:val="es-CL"/>
        </w:rPr>
        <w:t>Presidenta</w:t>
      </w:r>
      <w:proofErr w:type="gramEnd"/>
      <w:r w:rsidRPr="00FE0B80">
        <w:rPr>
          <w:spacing w:val="-2"/>
          <w:lang w:val="es-CL"/>
        </w:rPr>
        <w:t xml:space="preserve">; Esmeralda E. Arosemena Bernal de </w:t>
      </w:r>
      <w:proofErr w:type="spellStart"/>
      <w:r w:rsidRPr="00FE0B80">
        <w:rPr>
          <w:spacing w:val="-2"/>
          <w:lang w:val="es-CL"/>
        </w:rPr>
        <w:t>Troitiño</w:t>
      </w:r>
      <w:proofErr w:type="spellEnd"/>
      <w:r w:rsidRPr="00FE0B80">
        <w:rPr>
          <w:spacing w:val="-2"/>
          <w:lang w:val="es-CL"/>
        </w:rPr>
        <w:t>, Primera Vicepresidenta; Luis Ernesto Vargas Silva, Segundo Vicepresidente;</w:t>
      </w:r>
      <w:r>
        <w:rPr>
          <w:spacing w:val="-2"/>
          <w:lang w:val="es-CL"/>
        </w:rPr>
        <w:t xml:space="preserve"> Francisco José Eguiguren </w:t>
      </w:r>
      <w:proofErr w:type="spellStart"/>
      <w:r>
        <w:rPr>
          <w:spacing w:val="-2"/>
          <w:lang w:val="es-CL"/>
        </w:rPr>
        <w:t>Praeli</w:t>
      </w:r>
      <w:proofErr w:type="spellEnd"/>
      <w:r>
        <w:rPr>
          <w:spacing w:val="-2"/>
          <w:lang w:val="es-CL"/>
        </w:rPr>
        <w:t>,</w:t>
      </w:r>
      <w:r w:rsidRPr="00FE0B80">
        <w:rPr>
          <w:spacing w:val="-2"/>
          <w:lang w:val="es-CL"/>
        </w:rPr>
        <w:t xml:space="preserve"> Joel Hernández García, Antonia Urrejola y </w:t>
      </w:r>
      <w:proofErr w:type="spellStart"/>
      <w:r w:rsidRPr="00FE0B80">
        <w:rPr>
          <w:spacing w:val="-2"/>
          <w:lang w:val="es-CL"/>
        </w:rPr>
        <w:t>Flávia</w:t>
      </w:r>
      <w:proofErr w:type="spellEnd"/>
      <w:r w:rsidRPr="00FE0B80">
        <w:rPr>
          <w:spacing w:val="-2"/>
          <w:lang w:val="es-CL"/>
        </w:rPr>
        <w:t xml:space="preserve"> </w:t>
      </w:r>
      <w:proofErr w:type="spellStart"/>
      <w:r w:rsidRPr="00FE0B80">
        <w:rPr>
          <w:spacing w:val="-2"/>
          <w:lang w:val="es-CL"/>
        </w:rPr>
        <w:t>Piovesan</w:t>
      </w:r>
      <w:proofErr w:type="spellEnd"/>
      <w:r w:rsidRPr="00FE0B80">
        <w:rPr>
          <w:spacing w:val="-2"/>
          <w:lang w:val="es-CL"/>
        </w:rPr>
        <w:t>, Miembros de la Comisión.</w:t>
      </w:r>
      <w:r w:rsidRPr="00FE0B80">
        <w:rPr>
          <w:lang w:val="es-CL"/>
        </w:rPr>
        <w:t xml:space="preserve"> </w:t>
      </w:r>
    </w:p>
    <w:p w14:paraId="59F4154E" w14:textId="77777777" w:rsidR="00BC5224" w:rsidRPr="00FE0B80" w:rsidRDefault="00BC5224" w:rsidP="00BC5224">
      <w:pPr>
        <w:ind w:firstLine="720"/>
        <w:jc w:val="both"/>
        <w:rPr>
          <w:spacing w:val="-2"/>
          <w:lang w:val="es-CL"/>
        </w:rPr>
      </w:pPr>
    </w:p>
    <w:p w14:paraId="03E22FAD" w14:textId="77777777" w:rsidR="00BC5224" w:rsidRPr="00FE0B80" w:rsidRDefault="00BC5224" w:rsidP="00BC5224">
      <w:pPr>
        <w:ind w:firstLine="720"/>
        <w:jc w:val="both"/>
        <w:rPr>
          <w:lang w:val="es-CL"/>
        </w:rPr>
      </w:pPr>
      <w:r w:rsidRPr="00FE0B80">
        <w:rPr>
          <w:lang w:val="es-CL"/>
        </w:rPr>
        <w:t xml:space="preserve">El que suscribe, </w:t>
      </w:r>
      <w:r w:rsidRPr="00FE0B80">
        <w:rPr>
          <w:rFonts w:cs="Arial"/>
          <w:lang w:val="es-CO"/>
        </w:rPr>
        <w:t>Paulo Abr</w:t>
      </w:r>
      <w:proofErr w:type="spellStart"/>
      <w:r w:rsidRPr="00D26AE1">
        <w:rPr>
          <w:rFonts w:cs="Arial"/>
          <w:lang w:val="es-PE"/>
        </w:rPr>
        <w:t>ão</w:t>
      </w:r>
      <w:proofErr w:type="spellEnd"/>
      <w:r w:rsidRPr="00D26AE1">
        <w:rPr>
          <w:rFonts w:cs="Arial"/>
          <w:lang w:val="es-PE"/>
        </w:rPr>
        <w:t>,</w:t>
      </w:r>
      <w:r w:rsidRPr="00FE0B80">
        <w:rPr>
          <w:lang w:val="es-CL"/>
        </w:rPr>
        <w:t xml:space="preserve"> Secretario Ejecutivo de la Comisión Interamericana de Derechos Humanos, de conformidad con el artículo 49 del Reglamento de la Comisión, certifica que es copia fiel del original depositado en los archivos de la Secretaría de la CIDH.</w:t>
      </w:r>
    </w:p>
    <w:p w14:paraId="174BA743" w14:textId="77777777" w:rsidR="00BC5224" w:rsidRPr="00FE0B80" w:rsidRDefault="00BC5224" w:rsidP="00BC5224">
      <w:pPr>
        <w:rPr>
          <w:lang w:val="es-CL"/>
        </w:rPr>
      </w:pPr>
    </w:p>
    <w:p w14:paraId="4C5C7DA5" w14:textId="77777777" w:rsidR="00BC5224" w:rsidRPr="00FE0B80" w:rsidRDefault="00BC5224" w:rsidP="00BC5224">
      <w:pPr>
        <w:rPr>
          <w:lang w:val="es-CL"/>
        </w:rPr>
      </w:pPr>
    </w:p>
    <w:p w14:paraId="134D07A6" w14:textId="77777777" w:rsidR="00BC5224" w:rsidRPr="00FE0B80" w:rsidRDefault="00BC5224" w:rsidP="00BC5224">
      <w:pPr>
        <w:rPr>
          <w:lang w:val="es-CL"/>
        </w:rPr>
      </w:pPr>
    </w:p>
    <w:p w14:paraId="0D2B2394" w14:textId="77777777" w:rsidR="00BC5224" w:rsidRPr="00FE0B80" w:rsidRDefault="00BC5224" w:rsidP="00BC5224">
      <w:pPr>
        <w:rPr>
          <w:lang w:val="es-CL"/>
        </w:rPr>
      </w:pPr>
    </w:p>
    <w:p w14:paraId="4B00A80D" w14:textId="77777777" w:rsidR="00BC5224" w:rsidRPr="00FE0B80" w:rsidRDefault="00BC5224" w:rsidP="00BC5224">
      <w:pPr>
        <w:rPr>
          <w:lang w:val="es-CL"/>
        </w:rPr>
      </w:pPr>
    </w:p>
    <w:p w14:paraId="733BD8E8" w14:textId="77777777" w:rsidR="00BC5224" w:rsidRPr="00FE0B80" w:rsidRDefault="00BC5224" w:rsidP="00BC5224">
      <w:pPr>
        <w:tabs>
          <w:tab w:val="left" w:pos="810"/>
        </w:tabs>
        <w:suppressAutoHyphens/>
        <w:rPr>
          <w:rFonts w:cs="Arial"/>
          <w:lang w:val="es-CO"/>
        </w:rPr>
      </w:pPr>
    </w:p>
    <w:p w14:paraId="59FD227B" w14:textId="77777777" w:rsidR="00BC5224" w:rsidRPr="00FE0B80" w:rsidRDefault="00BC5224" w:rsidP="00BC5224">
      <w:pPr>
        <w:tabs>
          <w:tab w:val="left" w:pos="810"/>
        </w:tabs>
        <w:suppressAutoHyphens/>
        <w:ind w:left="3600" w:firstLine="720"/>
        <w:rPr>
          <w:rFonts w:cs="Arial"/>
          <w:i/>
          <w:lang w:val="es-CO"/>
        </w:rPr>
      </w:pPr>
      <w:r w:rsidRPr="00FE0B80">
        <w:rPr>
          <w:rFonts w:cs="Arial"/>
          <w:lang w:val="es-CO"/>
        </w:rPr>
        <w:tab/>
        <w:t>Paulo Abr</w:t>
      </w:r>
      <w:proofErr w:type="spellStart"/>
      <w:r w:rsidRPr="00FE0B80">
        <w:rPr>
          <w:rFonts w:cs="Arial"/>
          <w:lang w:val="pt-PT"/>
        </w:rPr>
        <w:t>ão</w:t>
      </w:r>
      <w:proofErr w:type="spellEnd"/>
      <w:r w:rsidRPr="00FE0B80">
        <w:rPr>
          <w:rFonts w:cs="Arial"/>
          <w:lang w:val="pt-PT"/>
        </w:rPr>
        <w:t xml:space="preserve"> </w:t>
      </w:r>
    </w:p>
    <w:p w14:paraId="5F20BF98" w14:textId="77777777" w:rsidR="00BC5224" w:rsidRPr="00FE0B80" w:rsidRDefault="00BC5224" w:rsidP="00BC5224">
      <w:pPr>
        <w:tabs>
          <w:tab w:val="left" w:pos="810"/>
        </w:tabs>
        <w:suppressAutoHyphens/>
        <w:rPr>
          <w:lang w:val="es-CO"/>
        </w:rPr>
      </w:pPr>
      <w:r w:rsidRPr="00FE0B80">
        <w:rPr>
          <w:rFonts w:cs="Arial"/>
          <w:lang w:val="es-CO"/>
        </w:rPr>
        <w:t xml:space="preserve"> </w:t>
      </w:r>
      <w:r w:rsidRPr="00FE0B80">
        <w:rPr>
          <w:rFonts w:cs="Arial"/>
          <w:lang w:val="es-CO"/>
        </w:rPr>
        <w:tab/>
      </w:r>
      <w:r w:rsidRPr="00FE0B80">
        <w:rPr>
          <w:rFonts w:cs="Arial"/>
          <w:lang w:val="es-CO"/>
        </w:rPr>
        <w:tab/>
      </w:r>
      <w:r w:rsidRPr="00FE0B80">
        <w:rPr>
          <w:rFonts w:cs="Arial"/>
          <w:lang w:val="es-CO"/>
        </w:rPr>
        <w:tab/>
      </w:r>
      <w:r w:rsidRPr="00FE0B80">
        <w:rPr>
          <w:rFonts w:cs="Arial"/>
          <w:lang w:val="es-CO"/>
        </w:rPr>
        <w:tab/>
      </w:r>
      <w:r w:rsidRPr="00FE0B80">
        <w:rPr>
          <w:rFonts w:cs="Arial"/>
          <w:lang w:val="es-CO"/>
        </w:rPr>
        <w:tab/>
        <w:t xml:space="preserve">        </w:t>
      </w:r>
      <w:r w:rsidRPr="00FE0B80">
        <w:rPr>
          <w:rFonts w:cs="Arial"/>
          <w:lang w:val="es-CO"/>
        </w:rPr>
        <w:tab/>
        <w:t xml:space="preserve">        Secretario Ejecutivo </w:t>
      </w:r>
    </w:p>
    <w:p w14:paraId="06630E2D" w14:textId="77777777" w:rsidR="00BC5224" w:rsidRPr="00FE0B80" w:rsidRDefault="00BC5224" w:rsidP="00BC5224">
      <w:pPr>
        <w:tabs>
          <w:tab w:val="left" w:pos="810"/>
        </w:tabs>
        <w:suppressAutoHyphens/>
        <w:jc w:val="both"/>
        <w:rPr>
          <w:lang w:val="es-CO"/>
        </w:rPr>
      </w:pPr>
    </w:p>
    <w:p w14:paraId="212393AA" w14:textId="77777777" w:rsidR="00BC5224" w:rsidRPr="00FE0B80" w:rsidRDefault="00BC5224" w:rsidP="00BC5224">
      <w:pPr>
        <w:rPr>
          <w:lang w:val="es-PE"/>
        </w:rPr>
      </w:pPr>
    </w:p>
    <w:p w14:paraId="6CE4A6E3" w14:textId="77777777" w:rsidR="00BC5224" w:rsidRPr="00E64611" w:rsidRDefault="00BC5224" w:rsidP="00BC52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themeColor="text1"/>
          <w:lang w:val="es-PE"/>
        </w:rPr>
      </w:pPr>
    </w:p>
    <w:p w14:paraId="0032A417" w14:textId="77777777" w:rsidR="007A6FF6" w:rsidRPr="007A6FF6" w:rsidRDefault="007A6FF6" w:rsidP="00284AF8">
      <w:pPr>
        <w:jc w:val="both"/>
        <w:rPr>
          <w:lang w:val="es-VE"/>
        </w:rPr>
      </w:pPr>
    </w:p>
    <w:sectPr w:rsidR="007A6FF6" w:rsidRPr="007A6FF6" w:rsidSect="002873B7">
      <w:headerReference w:type="even" r:id="rId15"/>
      <w:headerReference w:type="default" r:id="rId16"/>
      <w:footerReference w:type="default" r:id="rId17"/>
      <w:headerReference w:type="first" r:id="rId18"/>
      <w:footerReference w:type="first" r:id="rId19"/>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764F2" w14:textId="77777777" w:rsidR="00671BE5" w:rsidRDefault="00671BE5">
      <w:r>
        <w:separator/>
      </w:r>
    </w:p>
  </w:endnote>
  <w:endnote w:type="continuationSeparator" w:id="0">
    <w:p w14:paraId="653E4C56" w14:textId="77777777" w:rsidR="00671BE5" w:rsidRDefault="0067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741595"/>
      <w:docPartObj>
        <w:docPartGallery w:val="Page Numbers (Bottom of Page)"/>
        <w:docPartUnique/>
      </w:docPartObj>
    </w:sdtPr>
    <w:sdtEndPr>
      <w:rPr>
        <w:noProof/>
        <w:sz w:val="16"/>
        <w:szCs w:val="22"/>
      </w:rPr>
    </w:sdtEndPr>
    <w:sdtContent>
      <w:p w14:paraId="56B14D38" w14:textId="77777777" w:rsidR="00A61DD8" w:rsidRPr="00934A2C" w:rsidRDefault="00A61DD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20</w:t>
        </w:r>
        <w:r w:rsidRPr="00934A2C">
          <w:rPr>
            <w:noProof/>
            <w:sz w:val="16"/>
            <w:szCs w:val="22"/>
          </w:rPr>
          <w:fldChar w:fldCharType="end"/>
        </w:r>
      </w:p>
    </w:sdtContent>
  </w:sdt>
  <w:p w14:paraId="6AEC5261" w14:textId="77777777" w:rsidR="00A61DD8" w:rsidRDefault="00A6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BA2A" w14:textId="77777777" w:rsidR="00A61DD8" w:rsidRPr="00934A2C" w:rsidRDefault="00A61DD8">
    <w:pPr>
      <w:pStyle w:val="Footer"/>
      <w:jc w:val="center"/>
      <w:rPr>
        <w:sz w:val="16"/>
        <w:szCs w:val="22"/>
      </w:rPr>
    </w:pPr>
  </w:p>
  <w:p w14:paraId="54DCA0FE" w14:textId="77777777" w:rsidR="00A61DD8" w:rsidRDefault="00A6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6E3B7452" w14:textId="77777777" w:rsidR="00A61DD8" w:rsidRPr="00934A2C" w:rsidRDefault="00A61DD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2D35">
          <w:rPr>
            <w:noProof/>
            <w:sz w:val="16"/>
            <w:szCs w:val="22"/>
          </w:rPr>
          <w:t>19</w:t>
        </w:r>
        <w:r w:rsidRPr="00934A2C">
          <w:rPr>
            <w:noProof/>
            <w:sz w:val="16"/>
            <w:szCs w:val="22"/>
          </w:rPr>
          <w:fldChar w:fldCharType="end"/>
        </w:r>
      </w:p>
    </w:sdtContent>
  </w:sdt>
  <w:p w14:paraId="79EA4EE5" w14:textId="77777777" w:rsidR="00A61DD8" w:rsidRDefault="00A61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C6C0" w14:textId="77777777" w:rsidR="00A61DD8" w:rsidRPr="00934A2C" w:rsidRDefault="00A61DD8">
    <w:pPr>
      <w:pStyle w:val="Footer"/>
      <w:jc w:val="center"/>
      <w:rPr>
        <w:sz w:val="16"/>
        <w:szCs w:val="22"/>
      </w:rPr>
    </w:pPr>
  </w:p>
  <w:p w14:paraId="1556AD49" w14:textId="77777777" w:rsidR="00A61DD8" w:rsidRDefault="00A6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2010E" w14:textId="77777777" w:rsidR="00671BE5" w:rsidRPr="000F35ED" w:rsidRDefault="00671BE5">
      <w:pPr>
        <w:rPr>
          <w:sz w:val="16"/>
          <w:szCs w:val="16"/>
        </w:rPr>
      </w:pPr>
      <w:r w:rsidRPr="000F35ED">
        <w:rPr>
          <w:sz w:val="16"/>
          <w:szCs w:val="16"/>
        </w:rPr>
        <w:separator/>
      </w:r>
    </w:p>
  </w:footnote>
  <w:footnote w:type="continuationSeparator" w:id="0">
    <w:p w14:paraId="2AC63465" w14:textId="77777777" w:rsidR="00671BE5" w:rsidRPr="000F35ED" w:rsidRDefault="00671BE5" w:rsidP="000F35ED">
      <w:pPr>
        <w:rPr>
          <w:sz w:val="16"/>
          <w:szCs w:val="16"/>
        </w:rPr>
      </w:pPr>
      <w:r w:rsidRPr="000F35ED">
        <w:rPr>
          <w:sz w:val="16"/>
          <w:szCs w:val="16"/>
        </w:rPr>
        <w:separator/>
      </w:r>
    </w:p>
    <w:p w14:paraId="10D4CCAD" w14:textId="77777777" w:rsidR="00671BE5" w:rsidRPr="000F35ED" w:rsidRDefault="00671BE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D51A2A1" w14:textId="77777777" w:rsidR="00671BE5" w:rsidRPr="000F35ED" w:rsidRDefault="00671BE5" w:rsidP="000F35ED">
      <w:pPr>
        <w:jc w:val="right"/>
        <w:rPr>
          <w:sz w:val="16"/>
          <w:szCs w:val="16"/>
        </w:rPr>
      </w:pPr>
      <w:r>
        <w:rPr>
          <w:sz w:val="16"/>
          <w:szCs w:val="16"/>
        </w:rPr>
        <w:t>[c</w:t>
      </w:r>
      <w:r w:rsidRPr="000F35ED">
        <w:rPr>
          <w:sz w:val="16"/>
          <w:szCs w:val="16"/>
        </w:rPr>
        <w:t>ontinúa…</w:t>
      </w:r>
      <w:r>
        <w:rPr>
          <w:sz w:val="16"/>
          <w:szCs w:val="16"/>
        </w:rPr>
        <w:t>]</w:t>
      </w:r>
    </w:p>
  </w:footnote>
  <w:footnote w:id="2">
    <w:p w14:paraId="570E0D67" w14:textId="77777777" w:rsidR="00A61DD8" w:rsidRPr="00763AB5" w:rsidRDefault="00A61DD8" w:rsidP="001546C9">
      <w:pPr>
        <w:pStyle w:val="FootnoteText"/>
        <w:ind w:firstLine="720"/>
        <w:jc w:val="both"/>
        <w:rPr>
          <w:rFonts w:asciiTheme="majorHAnsi" w:hAnsiTheme="majorHAnsi"/>
          <w:sz w:val="16"/>
          <w:szCs w:val="16"/>
          <w:lang w:val="es-US"/>
        </w:rPr>
      </w:pPr>
      <w:r w:rsidRPr="00763AB5">
        <w:rPr>
          <w:rStyle w:val="FootnoteReference"/>
          <w:rFonts w:asciiTheme="majorHAnsi" w:hAnsiTheme="majorHAnsi"/>
          <w:sz w:val="16"/>
          <w:szCs w:val="16"/>
        </w:rPr>
        <w:footnoteRef/>
      </w:r>
      <w:r>
        <w:rPr>
          <w:rFonts w:asciiTheme="majorHAnsi" w:hAnsiTheme="majorHAnsi"/>
          <w:sz w:val="16"/>
          <w:szCs w:val="16"/>
          <w:lang w:val="es-US"/>
        </w:rPr>
        <w:t xml:space="preserve"> </w:t>
      </w:r>
      <w:r w:rsidRPr="00CD155F">
        <w:rPr>
          <w:rFonts w:asciiTheme="majorHAnsi" w:hAnsiTheme="majorHAnsi"/>
          <w:sz w:val="16"/>
          <w:szCs w:val="16"/>
          <w:lang w:val="es-US"/>
        </w:rPr>
        <w:t xml:space="preserve">Con posterioridad, por medio de comunicación </w:t>
      </w:r>
      <w:proofErr w:type="gramStart"/>
      <w:r w:rsidRPr="00CD155F">
        <w:rPr>
          <w:rFonts w:asciiTheme="majorHAnsi" w:hAnsiTheme="majorHAnsi"/>
          <w:sz w:val="16"/>
          <w:szCs w:val="16"/>
          <w:lang w:val="es-US"/>
        </w:rPr>
        <w:t>de  5</w:t>
      </w:r>
      <w:proofErr w:type="gramEnd"/>
      <w:r w:rsidRPr="00CD155F">
        <w:rPr>
          <w:rFonts w:asciiTheme="majorHAnsi" w:hAnsiTheme="majorHAnsi"/>
          <w:sz w:val="16"/>
          <w:szCs w:val="16"/>
          <w:lang w:val="es-US"/>
        </w:rPr>
        <w:t xml:space="preserve"> de diciembre del 2008 se incorporó como parte peticionaria la Comisión Ecuménica de Derechos Humanos (CEDHU).</w:t>
      </w:r>
    </w:p>
  </w:footnote>
  <w:footnote w:id="3">
    <w:p w14:paraId="70256F49" w14:textId="3DAE9BC0" w:rsidR="00A61DD8" w:rsidRPr="00763AB5" w:rsidRDefault="00A61DD8" w:rsidP="001546C9">
      <w:pPr>
        <w:ind w:firstLine="720"/>
        <w:jc w:val="both"/>
        <w:rPr>
          <w:rFonts w:cs="Arial"/>
          <w:b/>
          <w:color w:val="244061" w:themeColor="accent1" w:themeShade="80"/>
          <w:sz w:val="16"/>
          <w:szCs w:val="16"/>
          <w:lang w:val="es-US"/>
        </w:rPr>
      </w:pPr>
      <w:r w:rsidRPr="00763AB5">
        <w:rPr>
          <w:rStyle w:val="FootnoteReference"/>
          <w:color w:val="000000" w:themeColor="text1"/>
          <w:sz w:val="16"/>
          <w:szCs w:val="16"/>
          <w:lang w:val="es-CO"/>
        </w:rPr>
        <w:footnoteRef/>
      </w:r>
      <w:r>
        <w:rPr>
          <w:color w:val="000000" w:themeColor="text1"/>
          <w:sz w:val="16"/>
          <w:szCs w:val="16"/>
          <w:lang w:val="es-CO"/>
        </w:rPr>
        <w:t xml:space="preserve"> Anexo 1</w:t>
      </w:r>
      <w:r w:rsidRPr="00763AB5">
        <w:rPr>
          <w:color w:val="000000" w:themeColor="text1"/>
          <w:sz w:val="16"/>
          <w:szCs w:val="16"/>
          <w:lang w:val="es-CO"/>
        </w:rPr>
        <w:t>.  Hoja de vida de Víctor Henry Mina Cuero.  Anexo al escrito del Estado del 10 de junio de 2003 y Anexo al escrito del Peticionario del 27 de agosto de 2003.</w:t>
      </w:r>
    </w:p>
  </w:footnote>
  <w:footnote w:id="4">
    <w:p w14:paraId="297BEB18" w14:textId="69B25524"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2</w:t>
      </w:r>
      <w:r w:rsidRPr="00763AB5">
        <w:rPr>
          <w:color w:val="000000" w:themeColor="text1"/>
          <w:sz w:val="16"/>
          <w:szCs w:val="16"/>
          <w:lang w:val="es-US"/>
        </w:rPr>
        <w:t xml:space="preserve">. Parte al Sr. </w:t>
      </w:r>
      <w:proofErr w:type="gramStart"/>
      <w:r w:rsidRPr="00763AB5">
        <w:rPr>
          <w:color w:val="000000" w:themeColor="text1"/>
          <w:sz w:val="16"/>
          <w:szCs w:val="16"/>
          <w:lang w:val="es-US"/>
        </w:rPr>
        <w:t>Jefe</w:t>
      </w:r>
      <w:proofErr w:type="gramEnd"/>
      <w:r w:rsidRPr="00763AB5">
        <w:rPr>
          <w:color w:val="000000" w:themeColor="text1"/>
          <w:sz w:val="16"/>
          <w:szCs w:val="16"/>
          <w:lang w:val="es-US"/>
        </w:rPr>
        <w:t xml:space="preserve"> del Servicio Rural Esmeralda Nro. 14 informando novedad, del 15 de septiembre del 2000. Anexo al escrito del Estado d</w:t>
      </w:r>
      <w:r>
        <w:rPr>
          <w:color w:val="000000" w:themeColor="text1"/>
          <w:sz w:val="16"/>
          <w:szCs w:val="16"/>
          <w:lang w:val="es-US"/>
        </w:rPr>
        <w:t>el 10 de junio de 2003; Anexo 3</w:t>
      </w:r>
      <w:r w:rsidRPr="00763AB5">
        <w:rPr>
          <w:color w:val="000000" w:themeColor="text1"/>
          <w:sz w:val="16"/>
          <w:szCs w:val="16"/>
          <w:lang w:val="es-US"/>
        </w:rPr>
        <w:t xml:space="preserve">. Declaración de Rosa </w:t>
      </w:r>
      <w:proofErr w:type="spellStart"/>
      <w:r w:rsidRPr="00763AB5">
        <w:rPr>
          <w:color w:val="000000" w:themeColor="text1"/>
          <w:sz w:val="16"/>
          <w:szCs w:val="16"/>
          <w:lang w:val="es-US"/>
        </w:rPr>
        <w:t>Eloisa</w:t>
      </w:r>
      <w:proofErr w:type="spellEnd"/>
      <w:r w:rsidRPr="00763AB5">
        <w:rPr>
          <w:color w:val="000000" w:themeColor="text1"/>
          <w:sz w:val="16"/>
          <w:szCs w:val="16"/>
          <w:lang w:val="es-US"/>
        </w:rPr>
        <w:t xml:space="preserve"> Velazco Quiñonez del 20 de septiembre de 2000. Informe Policial Nro. 2000-381. Anexo 3 al escrito del Estado del 12 de marzo de 2010</w:t>
      </w:r>
      <w:r w:rsidRPr="00763AB5">
        <w:rPr>
          <w:i/>
          <w:color w:val="000000" w:themeColor="text1"/>
          <w:sz w:val="16"/>
          <w:szCs w:val="16"/>
          <w:lang w:val="es-US"/>
        </w:rPr>
        <w:t>.</w:t>
      </w:r>
    </w:p>
  </w:footnote>
  <w:footnote w:id="5">
    <w:p w14:paraId="11F6C0B4" w14:textId="12966A52" w:rsidR="00A61DD8" w:rsidRPr="00763AB5" w:rsidRDefault="00A61DD8" w:rsidP="001546C9">
      <w:pPr>
        <w:pStyle w:val="FootnoteText"/>
        <w:ind w:firstLine="720"/>
        <w:jc w:val="both"/>
        <w:rPr>
          <w:rFonts w:asciiTheme="majorHAnsi" w:hAnsiTheme="majorHAnsi"/>
          <w:sz w:val="16"/>
          <w:szCs w:val="16"/>
          <w:lang w:val="es-US"/>
        </w:rPr>
      </w:pPr>
      <w:r>
        <w:rPr>
          <w:rFonts w:asciiTheme="majorHAnsi" w:hAnsiTheme="majorHAnsi"/>
          <w:color w:val="000000" w:themeColor="text1"/>
          <w:sz w:val="16"/>
          <w:szCs w:val="16"/>
          <w:vertAlign w:val="superscript"/>
          <w:lang w:val="es-US"/>
        </w:rPr>
        <w:t>10</w:t>
      </w:r>
      <w:r>
        <w:rPr>
          <w:rFonts w:asciiTheme="majorHAnsi" w:hAnsiTheme="majorHAnsi"/>
          <w:color w:val="000000" w:themeColor="text1"/>
          <w:sz w:val="16"/>
          <w:szCs w:val="16"/>
          <w:lang w:val="es-US"/>
        </w:rPr>
        <w:t>Anexo 2</w:t>
      </w:r>
      <w:r w:rsidRPr="00763AB5">
        <w:rPr>
          <w:rFonts w:asciiTheme="majorHAnsi" w:hAnsiTheme="majorHAnsi"/>
          <w:color w:val="000000" w:themeColor="text1"/>
          <w:sz w:val="16"/>
          <w:szCs w:val="16"/>
          <w:lang w:val="es-US"/>
        </w:rPr>
        <w:t xml:space="preserve">. Parte al Sr. </w:t>
      </w:r>
      <w:proofErr w:type="gramStart"/>
      <w:r w:rsidRPr="00763AB5">
        <w:rPr>
          <w:rFonts w:asciiTheme="majorHAnsi" w:hAnsiTheme="majorHAnsi"/>
          <w:color w:val="000000" w:themeColor="text1"/>
          <w:sz w:val="16"/>
          <w:szCs w:val="16"/>
          <w:lang w:val="es-US"/>
        </w:rPr>
        <w:t>Jefe</w:t>
      </w:r>
      <w:proofErr w:type="gramEnd"/>
      <w:r w:rsidRPr="00763AB5">
        <w:rPr>
          <w:rFonts w:asciiTheme="majorHAnsi" w:hAnsiTheme="majorHAnsi"/>
          <w:color w:val="000000" w:themeColor="text1"/>
          <w:sz w:val="16"/>
          <w:szCs w:val="16"/>
          <w:lang w:val="es-US"/>
        </w:rPr>
        <w:t xml:space="preserve"> del Servicio Rural Esmeralda Nro. 14 informando novedad, del 15 de septiembre del 2000. Anexo al escrito del Estado del 10 de junio de 2003.</w:t>
      </w:r>
    </w:p>
  </w:footnote>
  <w:footnote w:id="6">
    <w:p w14:paraId="424B781B" w14:textId="6A3B1841" w:rsidR="00A61DD8" w:rsidRPr="00763AB5" w:rsidRDefault="00A61DD8" w:rsidP="001546C9">
      <w:pPr>
        <w:pStyle w:val="FootnoteText"/>
        <w:ind w:firstLine="720"/>
        <w:jc w:val="both"/>
        <w:rPr>
          <w:rFonts w:asciiTheme="majorHAnsi" w:hAnsiTheme="majorHAnsi"/>
          <w:sz w:val="16"/>
          <w:szCs w:val="16"/>
          <w:lang w:val="es-US"/>
        </w:rPr>
      </w:pPr>
      <w:r w:rsidRPr="00763AB5">
        <w:rPr>
          <w:rStyle w:val="FootnoteReference"/>
          <w:rFonts w:asciiTheme="majorHAnsi" w:hAnsiTheme="majorHAnsi"/>
          <w:sz w:val="16"/>
          <w:szCs w:val="16"/>
        </w:rPr>
        <w:footnoteRef/>
      </w:r>
      <w:r w:rsidRPr="00763AB5">
        <w:rPr>
          <w:rFonts w:asciiTheme="majorHAnsi" w:hAnsiTheme="majorHAnsi"/>
          <w:sz w:val="16"/>
          <w:szCs w:val="16"/>
          <w:lang w:val="es-VE"/>
        </w:rPr>
        <w:t xml:space="preserve"> </w:t>
      </w:r>
      <w:r w:rsidRPr="00763AB5">
        <w:rPr>
          <w:rFonts w:asciiTheme="majorHAnsi" w:hAnsiTheme="majorHAnsi"/>
          <w:color w:val="000000" w:themeColor="text1"/>
          <w:sz w:val="16"/>
          <w:szCs w:val="16"/>
          <w:lang w:val="es-US"/>
        </w:rPr>
        <w:t>Ane</w:t>
      </w:r>
      <w:r>
        <w:rPr>
          <w:rFonts w:asciiTheme="majorHAnsi" w:hAnsiTheme="majorHAnsi"/>
          <w:color w:val="000000" w:themeColor="text1"/>
          <w:sz w:val="16"/>
          <w:szCs w:val="16"/>
          <w:lang w:val="es-US"/>
        </w:rPr>
        <w:t xml:space="preserve">xo 4.  Declaración de </w:t>
      </w:r>
      <w:proofErr w:type="spellStart"/>
      <w:r>
        <w:rPr>
          <w:rFonts w:asciiTheme="majorHAnsi" w:hAnsiTheme="majorHAnsi"/>
          <w:color w:val="000000" w:themeColor="text1"/>
          <w:sz w:val="16"/>
          <w:szCs w:val="16"/>
          <w:lang w:val="es-US"/>
        </w:rPr>
        <w:t>Victor</w:t>
      </w:r>
      <w:proofErr w:type="spellEnd"/>
      <w:r>
        <w:rPr>
          <w:rFonts w:asciiTheme="majorHAnsi" w:hAnsiTheme="majorHAnsi"/>
          <w:color w:val="000000" w:themeColor="text1"/>
          <w:sz w:val="16"/>
          <w:szCs w:val="16"/>
          <w:lang w:val="es-US"/>
        </w:rPr>
        <w:t xml:space="preserve"> Henr</w:t>
      </w:r>
      <w:r w:rsidRPr="00763AB5">
        <w:rPr>
          <w:rFonts w:asciiTheme="majorHAnsi" w:hAnsiTheme="majorHAnsi"/>
          <w:color w:val="000000" w:themeColor="text1"/>
          <w:sz w:val="16"/>
          <w:szCs w:val="16"/>
          <w:lang w:val="es-US"/>
        </w:rPr>
        <w:t>y Mina Cuero del 18 de septiembre del 2000, Informe Policial Nro. 2000-381. Anexo a la petición inicial de fecha 28 de febrero de 2002. Anexo 1 al escrito del Estado del 12 de marzo de 2010</w:t>
      </w:r>
      <w:r>
        <w:rPr>
          <w:rFonts w:asciiTheme="majorHAnsi" w:hAnsiTheme="majorHAnsi"/>
          <w:color w:val="000000" w:themeColor="text1"/>
          <w:sz w:val="16"/>
          <w:szCs w:val="16"/>
          <w:lang w:val="es-US"/>
        </w:rPr>
        <w:t>.</w:t>
      </w:r>
    </w:p>
  </w:footnote>
  <w:footnote w:id="7">
    <w:p w14:paraId="644B7EEB" w14:textId="541201BA"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5</w:t>
      </w:r>
      <w:r w:rsidRPr="00763AB5">
        <w:rPr>
          <w:color w:val="000000" w:themeColor="text1"/>
          <w:sz w:val="16"/>
          <w:szCs w:val="16"/>
          <w:lang w:val="es-US"/>
        </w:rPr>
        <w:t xml:space="preserve">. Informe Policial Nro. 2000-381. Declaración de Gustavo George López Cajamarca del 19 de septiembre de 2000. Anexo al escrito del Estado del 10 de junio de 2003.  </w:t>
      </w:r>
    </w:p>
  </w:footnote>
  <w:footnote w:id="8">
    <w:p w14:paraId="3F50F8C7" w14:textId="6189CE28"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6</w:t>
      </w:r>
      <w:r w:rsidRPr="00763AB5">
        <w:rPr>
          <w:color w:val="000000" w:themeColor="text1"/>
          <w:sz w:val="16"/>
          <w:szCs w:val="16"/>
          <w:lang w:val="es-US"/>
        </w:rPr>
        <w:t xml:space="preserve">. Memorándum No. 2000-1236-CP-14 del 19 de septiembre del 2000 del Comando Provincial de la Policía Nacional “Esmeralda”. Anexo al escrito del Estado del 10 de junio de 2003.  </w:t>
      </w:r>
    </w:p>
  </w:footnote>
  <w:footnote w:id="9">
    <w:p w14:paraId="2064CA5A" w14:textId="51BCACB7"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7</w:t>
      </w:r>
      <w:r w:rsidRPr="00763AB5">
        <w:rPr>
          <w:color w:val="000000" w:themeColor="text1"/>
          <w:sz w:val="16"/>
          <w:szCs w:val="16"/>
          <w:lang w:val="es-US"/>
        </w:rPr>
        <w:t xml:space="preserve">. Declaración de Jorge Washington </w:t>
      </w:r>
      <w:proofErr w:type="spellStart"/>
      <w:r w:rsidRPr="00763AB5">
        <w:rPr>
          <w:color w:val="000000" w:themeColor="text1"/>
          <w:sz w:val="16"/>
          <w:szCs w:val="16"/>
          <w:lang w:val="es-US"/>
        </w:rPr>
        <w:t>Guajan</w:t>
      </w:r>
      <w:proofErr w:type="spellEnd"/>
      <w:r w:rsidRPr="00763AB5">
        <w:rPr>
          <w:color w:val="000000" w:themeColor="text1"/>
          <w:sz w:val="16"/>
          <w:szCs w:val="16"/>
          <w:lang w:val="es-US"/>
        </w:rPr>
        <w:t xml:space="preserve"> Miranda del 20 de septiembre de 2000. Informe Policial Nro. 2000-381. Anexo 3 al escrito del Estado del 12 de marzo de 2010.</w:t>
      </w:r>
    </w:p>
  </w:footnote>
  <w:footnote w:id="10">
    <w:p w14:paraId="55B3B34A" w14:textId="37246C27"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8</w:t>
      </w:r>
      <w:r w:rsidRPr="00763AB5">
        <w:rPr>
          <w:color w:val="000000" w:themeColor="text1"/>
          <w:sz w:val="16"/>
          <w:szCs w:val="16"/>
          <w:lang w:val="es-US"/>
        </w:rPr>
        <w:t xml:space="preserve">. Declaración de Willians Orlando Acurio Rojas del 20 de septiembre de 2000. Anexo 3 al escrito del Estado del 12 de marzo de 2010. </w:t>
      </w:r>
    </w:p>
  </w:footnote>
  <w:footnote w:id="11">
    <w:p w14:paraId="69F1FA7E" w14:textId="03978697" w:rsidR="00A61DD8" w:rsidRPr="00763AB5" w:rsidRDefault="00A61DD8" w:rsidP="001546C9">
      <w:pPr>
        <w:pStyle w:val="FootnoteText"/>
        <w:ind w:firstLine="720"/>
        <w:jc w:val="both"/>
        <w:rPr>
          <w:rFonts w:asciiTheme="majorHAnsi" w:hAnsiTheme="majorHAnsi" w:cs="Times New Roman"/>
          <w:color w:val="000000" w:themeColor="text1"/>
          <w:sz w:val="16"/>
          <w:szCs w:val="16"/>
          <w:lang w:val="es-ES"/>
        </w:rPr>
      </w:pPr>
      <w:r w:rsidRPr="00763AB5">
        <w:rPr>
          <w:rStyle w:val="FootnoteReference"/>
          <w:rFonts w:asciiTheme="majorHAnsi" w:hAnsiTheme="majorHAnsi" w:cs="Times New Roman"/>
          <w:color w:val="000000" w:themeColor="text1"/>
          <w:sz w:val="16"/>
          <w:szCs w:val="16"/>
        </w:rPr>
        <w:footnoteRef/>
      </w:r>
      <w:r w:rsidRPr="00763AB5">
        <w:rPr>
          <w:rFonts w:asciiTheme="majorHAnsi" w:hAnsiTheme="majorHAnsi" w:cs="Times New Roman"/>
          <w:color w:val="000000" w:themeColor="text1"/>
          <w:sz w:val="16"/>
          <w:szCs w:val="16"/>
          <w:lang w:val="es-ES_tradnl"/>
        </w:rPr>
        <w:t xml:space="preserve"> </w:t>
      </w:r>
      <w:r>
        <w:rPr>
          <w:rFonts w:asciiTheme="majorHAnsi" w:hAnsiTheme="majorHAnsi" w:cs="Times New Roman"/>
          <w:color w:val="000000" w:themeColor="text1"/>
          <w:sz w:val="16"/>
          <w:szCs w:val="16"/>
          <w:lang w:val="es-ES_tradnl"/>
        </w:rPr>
        <w:t xml:space="preserve">Anexo 9. </w:t>
      </w:r>
      <w:r w:rsidRPr="00763AB5">
        <w:rPr>
          <w:rFonts w:asciiTheme="majorHAnsi" w:hAnsiTheme="majorHAnsi" w:cs="Times New Roman"/>
          <w:color w:val="000000" w:themeColor="text1"/>
          <w:sz w:val="16"/>
          <w:szCs w:val="16"/>
          <w:lang w:val="es-US"/>
        </w:rPr>
        <w:t>Declaración de Richard Fredy Ochoa Calle del 20 de septiembre de 2000. Informe Policial Nro. 2000-381. Anexo 3 al escrito del Estado del 12 de marzo de 2010.</w:t>
      </w:r>
    </w:p>
  </w:footnote>
  <w:footnote w:id="12">
    <w:p w14:paraId="0323A119" w14:textId="78D4C967"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3</w:t>
      </w:r>
      <w:r w:rsidRPr="00763AB5">
        <w:rPr>
          <w:color w:val="000000" w:themeColor="text1"/>
          <w:sz w:val="16"/>
          <w:szCs w:val="16"/>
          <w:lang w:val="es-US"/>
        </w:rPr>
        <w:t>. Declaración de Rosa Eloísa Velazco Quiñonez del 20 de septiembre de 2000. Informe Policial Nro. 2000-381. Anexo 3 al escrito del Estado del 12 de marzo de 2010.</w:t>
      </w:r>
    </w:p>
  </w:footnote>
  <w:footnote w:id="13">
    <w:p w14:paraId="08E7F016" w14:textId="57FC89DE"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10</w:t>
      </w:r>
      <w:r w:rsidRPr="00763AB5">
        <w:rPr>
          <w:color w:val="000000" w:themeColor="text1"/>
          <w:sz w:val="16"/>
          <w:szCs w:val="16"/>
          <w:lang w:val="es-US"/>
        </w:rPr>
        <w:t xml:space="preserve">. Informe Policial Nro. 2000-381 al </w:t>
      </w:r>
      <w:proofErr w:type="gramStart"/>
      <w:r w:rsidRPr="00763AB5">
        <w:rPr>
          <w:color w:val="000000" w:themeColor="text1"/>
          <w:sz w:val="16"/>
          <w:szCs w:val="16"/>
          <w:lang w:val="es-US"/>
        </w:rPr>
        <w:t>Jefe</w:t>
      </w:r>
      <w:proofErr w:type="gramEnd"/>
      <w:r w:rsidRPr="00763AB5">
        <w:rPr>
          <w:color w:val="000000" w:themeColor="text1"/>
          <w:sz w:val="16"/>
          <w:szCs w:val="16"/>
          <w:lang w:val="es-US"/>
        </w:rPr>
        <w:t xml:space="preserve"> provincial del Servicio Rural de Esmeralda Nro. 14 sobre investigación. Anexo 3 al escrito del Estado del 12 de marzo de 2010. </w:t>
      </w:r>
    </w:p>
  </w:footnote>
  <w:footnote w:id="14">
    <w:p w14:paraId="44F231B8" w14:textId="77777777" w:rsidR="00A61DD8" w:rsidRPr="00763AB5" w:rsidRDefault="00A61DD8" w:rsidP="001546C9">
      <w:pPr>
        <w:pStyle w:val="FootnoteText"/>
        <w:ind w:firstLine="720"/>
        <w:jc w:val="both"/>
        <w:rPr>
          <w:rFonts w:asciiTheme="majorHAnsi" w:hAnsiTheme="majorHAnsi"/>
          <w:sz w:val="16"/>
          <w:szCs w:val="16"/>
          <w:lang w:val="es-ES_tradnl"/>
        </w:rPr>
      </w:pPr>
      <w:r w:rsidRPr="00763AB5">
        <w:rPr>
          <w:rStyle w:val="FootnoteReference"/>
          <w:rFonts w:asciiTheme="majorHAnsi" w:hAnsiTheme="majorHAnsi"/>
          <w:sz w:val="16"/>
          <w:szCs w:val="16"/>
        </w:rPr>
        <w:footnoteRef/>
      </w:r>
      <w:r w:rsidRPr="00763AB5">
        <w:rPr>
          <w:rFonts w:asciiTheme="majorHAnsi" w:hAnsiTheme="majorHAnsi"/>
          <w:sz w:val="16"/>
          <w:szCs w:val="16"/>
          <w:lang w:val="es-VE"/>
        </w:rPr>
        <w:t xml:space="preserve"> </w:t>
      </w:r>
      <w:r w:rsidRPr="00763AB5">
        <w:rPr>
          <w:rFonts w:asciiTheme="majorHAnsi" w:hAnsiTheme="majorHAnsi"/>
          <w:sz w:val="16"/>
          <w:szCs w:val="16"/>
          <w:lang w:val="es-ES_tradnl"/>
        </w:rPr>
        <w:t xml:space="preserve">Según consta, el Tribunal estuvo conformado por </w:t>
      </w:r>
      <w:r w:rsidRPr="00763AB5">
        <w:rPr>
          <w:rFonts w:asciiTheme="majorHAnsi" w:hAnsiTheme="majorHAnsi"/>
          <w:color w:val="000000" w:themeColor="text1"/>
          <w:sz w:val="16"/>
          <w:szCs w:val="16"/>
          <w:lang w:val="es-US"/>
        </w:rPr>
        <w:t xml:space="preserve">el Sr. Coronel de Policía de E.M. José Antonio Vinueza Jarrin, y el Comandante Provincial de Policía Esmeraldas No. 14, que actuarían como vocales los señores capitanes de policía Aníbal Sarmiento y Luis </w:t>
      </w:r>
      <w:proofErr w:type="spellStart"/>
      <w:r w:rsidRPr="00763AB5">
        <w:rPr>
          <w:rFonts w:asciiTheme="majorHAnsi" w:hAnsiTheme="majorHAnsi"/>
          <w:color w:val="000000" w:themeColor="text1"/>
          <w:sz w:val="16"/>
          <w:szCs w:val="16"/>
          <w:lang w:val="es-US"/>
        </w:rPr>
        <w:t>Gallardo</w:t>
      </w:r>
      <w:proofErr w:type="spellEnd"/>
      <w:r w:rsidRPr="00763AB5">
        <w:rPr>
          <w:rFonts w:asciiTheme="majorHAnsi" w:hAnsiTheme="majorHAnsi"/>
          <w:color w:val="000000" w:themeColor="text1"/>
          <w:sz w:val="16"/>
          <w:szCs w:val="16"/>
          <w:lang w:val="es-US"/>
        </w:rPr>
        <w:t xml:space="preserve"> de acuerdo con su antigüedad; y como secretaria, la Juez Tercero del Primer Distrito de la Policía Nacional. AB Gladys Cuenca Velásquez.</w:t>
      </w:r>
    </w:p>
  </w:footnote>
  <w:footnote w:id="15">
    <w:p w14:paraId="1A6A3362" w14:textId="0DC67AE1"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11</w:t>
      </w:r>
      <w:r w:rsidRPr="00763AB5">
        <w:rPr>
          <w:color w:val="000000" w:themeColor="text1"/>
          <w:sz w:val="16"/>
          <w:szCs w:val="16"/>
          <w:lang w:val="es-US"/>
        </w:rPr>
        <w:t>. Memorándum 2000-1602-CPD-SS del Comando General de la Policía Nacional del 17 de octubre del 2000. Anexo al escrito del Estado del 10 de junio de 2003.</w:t>
      </w:r>
    </w:p>
  </w:footnote>
  <w:footnote w:id="16">
    <w:p w14:paraId="7741EF18" w14:textId="29D019EC"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12</w:t>
      </w:r>
      <w:r w:rsidRPr="00763AB5">
        <w:rPr>
          <w:color w:val="000000" w:themeColor="text1"/>
          <w:sz w:val="16"/>
          <w:szCs w:val="16"/>
          <w:lang w:val="es-US"/>
        </w:rPr>
        <w:t xml:space="preserve">. Resolución del Tribunal de Disciplina de la Policía Nacional. 25 de octubre del 2000. Anexo 4 al escrito del Estado del 12 de marzo de 2010. </w:t>
      </w:r>
    </w:p>
  </w:footnote>
  <w:footnote w:id="17">
    <w:p w14:paraId="377E6A46" w14:textId="2F8FA185"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13</w:t>
      </w:r>
      <w:r w:rsidRPr="00763AB5">
        <w:rPr>
          <w:color w:val="000000" w:themeColor="text1"/>
          <w:sz w:val="16"/>
          <w:szCs w:val="16"/>
          <w:lang w:val="es-US"/>
        </w:rPr>
        <w:t xml:space="preserve">. Escrito de </w:t>
      </w:r>
      <w:proofErr w:type="spellStart"/>
      <w:r w:rsidRPr="00763AB5">
        <w:rPr>
          <w:color w:val="000000" w:themeColor="text1"/>
          <w:sz w:val="16"/>
          <w:szCs w:val="16"/>
          <w:lang w:val="es-US"/>
        </w:rPr>
        <w:t>Victor</w:t>
      </w:r>
      <w:proofErr w:type="spellEnd"/>
      <w:r w:rsidRPr="00763AB5">
        <w:rPr>
          <w:color w:val="000000" w:themeColor="text1"/>
          <w:sz w:val="16"/>
          <w:szCs w:val="16"/>
          <w:lang w:val="es-US"/>
        </w:rPr>
        <w:t xml:space="preserve"> Henri Mina Cuero al Tribunal de disciplina. Anexo 2 al escrito del Estado del 12 de marzo de 2010.</w:t>
      </w:r>
    </w:p>
  </w:footnote>
  <w:footnote w:id="18">
    <w:p w14:paraId="07BFD154" w14:textId="594A3644"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14</w:t>
      </w:r>
      <w:r w:rsidRPr="00763AB5">
        <w:rPr>
          <w:color w:val="000000" w:themeColor="text1"/>
          <w:sz w:val="16"/>
          <w:szCs w:val="16"/>
          <w:lang w:val="es-US"/>
        </w:rPr>
        <w:t xml:space="preserve">. Declaración Jurada Voluntaria otorgada ante notario por el Abogado Milton Severiano Quiñonez </w:t>
      </w:r>
      <w:proofErr w:type="spellStart"/>
      <w:r w:rsidRPr="00763AB5">
        <w:rPr>
          <w:color w:val="000000" w:themeColor="text1"/>
          <w:sz w:val="16"/>
          <w:szCs w:val="16"/>
          <w:lang w:val="es-US"/>
        </w:rPr>
        <w:t>Quiñonez</w:t>
      </w:r>
      <w:proofErr w:type="spellEnd"/>
      <w:r w:rsidRPr="00763AB5">
        <w:rPr>
          <w:color w:val="000000" w:themeColor="text1"/>
          <w:sz w:val="16"/>
          <w:szCs w:val="16"/>
          <w:lang w:val="es-US"/>
        </w:rPr>
        <w:t>. 25 de mayo de 2010. Anexo al escrito del Peticionario del 7 de junio de 2010.</w:t>
      </w:r>
    </w:p>
  </w:footnote>
  <w:footnote w:id="19">
    <w:p w14:paraId="64CE4B72" w14:textId="67BF3C1C"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ES_tradnl"/>
        </w:rPr>
        <w:t xml:space="preserve"> </w:t>
      </w:r>
      <w:r>
        <w:rPr>
          <w:color w:val="000000" w:themeColor="text1"/>
          <w:sz w:val="16"/>
          <w:szCs w:val="16"/>
          <w:lang w:val="es-US"/>
        </w:rPr>
        <w:t>Anexo 14</w:t>
      </w:r>
      <w:r w:rsidRPr="00763AB5">
        <w:rPr>
          <w:color w:val="000000" w:themeColor="text1"/>
          <w:sz w:val="16"/>
          <w:szCs w:val="16"/>
          <w:lang w:val="es-US"/>
        </w:rPr>
        <w:t xml:space="preserve">. Declaración Jurada Voluntaria otorgada ante notario por el Abogado Milton Severiano Quiñonez </w:t>
      </w:r>
      <w:proofErr w:type="spellStart"/>
      <w:r w:rsidRPr="00763AB5">
        <w:rPr>
          <w:color w:val="000000" w:themeColor="text1"/>
          <w:sz w:val="16"/>
          <w:szCs w:val="16"/>
          <w:lang w:val="es-US"/>
        </w:rPr>
        <w:t>Quiñonez</w:t>
      </w:r>
      <w:proofErr w:type="spellEnd"/>
      <w:r w:rsidRPr="00763AB5">
        <w:rPr>
          <w:color w:val="000000" w:themeColor="text1"/>
          <w:sz w:val="16"/>
          <w:szCs w:val="16"/>
          <w:lang w:val="es-US"/>
        </w:rPr>
        <w:t>. 25 de mayo de 2010. Anexo al escrito del Peticionario del 7 de junio de 2010.</w:t>
      </w:r>
    </w:p>
  </w:footnote>
  <w:footnote w:id="20">
    <w:p w14:paraId="013CF485" w14:textId="670397CA" w:rsidR="00A61DD8" w:rsidRPr="00CA4BF0" w:rsidRDefault="00A61DD8" w:rsidP="001F5948">
      <w:pPr>
        <w:ind w:firstLine="720"/>
        <w:jc w:val="both"/>
        <w:rPr>
          <w:rFonts w:cs="Arial"/>
          <w:sz w:val="16"/>
          <w:szCs w:val="16"/>
          <w:lang w:val="es-US"/>
        </w:rPr>
      </w:pPr>
      <w:r w:rsidRPr="00763AB5">
        <w:rPr>
          <w:rStyle w:val="FootnoteReference"/>
          <w:sz w:val="16"/>
          <w:szCs w:val="16"/>
        </w:rPr>
        <w:footnoteRef/>
      </w:r>
      <w:r w:rsidRPr="00763AB5">
        <w:rPr>
          <w:sz w:val="16"/>
          <w:szCs w:val="16"/>
          <w:lang w:val="es-ES_tradnl"/>
        </w:rPr>
        <w:t xml:space="preserve"> </w:t>
      </w:r>
      <w:r>
        <w:rPr>
          <w:rFonts w:cs="Arial"/>
          <w:sz w:val="16"/>
          <w:szCs w:val="16"/>
          <w:lang w:val="es-US"/>
        </w:rPr>
        <w:t>Anexo 15</w:t>
      </w:r>
      <w:r w:rsidRPr="00763AB5">
        <w:rPr>
          <w:rFonts w:cs="Arial"/>
          <w:sz w:val="16"/>
          <w:szCs w:val="16"/>
          <w:lang w:val="es-US"/>
        </w:rPr>
        <w:t>. Sentencia de la Corte Superior de Babahoyo del 23 de septiembre de 1994, Instancia Penal No. 39-94. Anexo al escrito del Peticionario del 7 de agosto de 2003.</w:t>
      </w:r>
    </w:p>
  </w:footnote>
  <w:footnote w:id="21">
    <w:p w14:paraId="1A7D4C77" w14:textId="489868B4" w:rsidR="00A61DD8" w:rsidRPr="00763AB5" w:rsidRDefault="00A61DD8" w:rsidP="001F5948">
      <w:pPr>
        <w:ind w:firstLine="720"/>
        <w:jc w:val="both"/>
        <w:rPr>
          <w:rFonts w:cs="Arial"/>
          <w:sz w:val="16"/>
          <w:szCs w:val="16"/>
          <w:lang w:val="es-US"/>
        </w:rPr>
      </w:pPr>
      <w:r w:rsidRPr="00763AB5">
        <w:rPr>
          <w:rStyle w:val="FootnoteReference"/>
          <w:sz w:val="16"/>
          <w:szCs w:val="16"/>
        </w:rPr>
        <w:footnoteRef/>
      </w:r>
      <w:r w:rsidRPr="00763AB5">
        <w:rPr>
          <w:sz w:val="16"/>
          <w:szCs w:val="16"/>
          <w:lang w:val="es-ES_tradnl"/>
        </w:rPr>
        <w:t xml:space="preserve"> </w:t>
      </w:r>
      <w:r>
        <w:rPr>
          <w:rFonts w:cs="Arial"/>
          <w:sz w:val="16"/>
          <w:szCs w:val="16"/>
          <w:lang w:val="es-US"/>
        </w:rPr>
        <w:t>Anexo 16</w:t>
      </w:r>
      <w:r w:rsidRPr="00763AB5">
        <w:rPr>
          <w:rFonts w:cs="Arial"/>
          <w:sz w:val="16"/>
          <w:szCs w:val="16"/>
          <w:lang w:val="es-US"/>
        </w:rPr>
        <w:t>. Resolución del Tribunal Constitucional que resuelve apelación de recurso de amparo en segunda instancia, del 5 de agosto de 1998. Anexo al escrito del Peticionario del 7 de agosto de 2003.</w:t>
      </w:r>
    </w:p>
  </w:footnote>
  <w:footnote w:id="22">
    <w:p w14:paraId="53EB22E9" w14:textId="30DBE473" w:rsidR="00A61DD8" w:rsidRPr="00964836" w:rsidRDefault="00A61DD8" w:rsidP="001F594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720"/>
        <w:contextualSpacing/>
        <w:jc w:val="both"/>
        <w:rPr>
          <w:rFonts w:cs="Arial"/>
          <w:sz w:val="16"/>
          <w:szCs w:val="16"/>
          <w:lang w:val="es-US"/>
        </w:rPr>
      </w:pPr>
      <w:r w:rsidRPr="00763AB5">
        <w:rPr>
          <w:rStyle w:val="FootnoteReference"/>
          <w:sz w:val="16"/>
          <w:szCs w:val="16"/>
        </w:rPr>
        <w:footnoteRef/>
      </w:r>
      <w:r w:rsidRPr="00763AB5">
        <w:rPr>
          <w:sz w:val="16"/>
          <w:szCs w:val="16"/>
          <w:lang w:val="es-ES_tradnl"/>
        </w:rPr>
        <w:t xml:space="preserve"> </w:t>
      </w:r>
      <w:r>
        <w:rPr>
          <w:sz w:val="16"/>
          <w:szCs w:val="16"/>
          <w:lang w:val="es-CO"/>
        </w:rPr>
        <w:t>Anexo 17</w:t>
      </w:r>
      <w:r w:rsidRPr="00763AB5">
        <w:rPr>
          <w:sz w:val="16"/>
          <w:szCs w:val="16"/>
          <w:lang w:val="es-CO"/>
        </w:rPr>
        <w:t xml:space="preserve">. </w:t>
      </w:r>
      <w:r w:rsidRPr="00763AB5">
        <w:rPr>
          <w:rFonts w:cs="Arial"/>
          <w:sz w:val="16"/>
          <w:szCs w:val="16"/>
          <w:lang w:val="es-CO"/>
        </w:rPr>
        <w:t xml:space="preserve">Registro Oficial No. 4 del Tribunal Constitucional del 24 de </w:t>
      </w:r>
      <w:proofErr w:type="gramStart"/>
      <w:r w:rsidRPr="00763AB5">
        <w:rPr>
          <w:rFonts w:cs="Arial"/>
          <w:sz w:val="16"/>
          <w:szCs w:val="16"/>
          <w:lang w:val="es-CO"/>
        </w:rPr>
        <w:t>Enero</w:t>
      </w:r>
      <w:proofErr w:type="gramEnd"/>
      <w:r w:rsidRPr="00763AB5">
        <w:rPr>
          <w:rFonts w:cs="Arial"/>
          <w:sz w:val="16"/>
          <w:szCs w:val="16"/>
          <w:lang w:val="es-CO"/>
        </w:rPr>
        <w:t xml:space="preserve"> del 2000 que contiene la Resolución 007-2000 del TC que acepta la demanda</w:t>
      </w:r>
      <w:r w:rsidRPr="00763AB5">
        <w:rPr>
          <w:rFonts w:cs="Arial"/>
          <w:sz w:val="16"/>
          <w:szCs w:val="16"/>
          <w:lang w:val="es-US"/>
        </w:rPr>
        <w:t xml:space="preserve"> de inconstitucionalidad el 24 de enero del 2000, caso 352-99-AA, Anexo al escrito del Peticionario del 7 de agosto de 2003.</w:t>
      </w:r>
    </w:p>
  </w:footnote>
  <w:footnote w:id="23">
    <w:p w14:paraId="59313CA3" w14:textId="413960D3" w:rsidR="00A61DD8" w:rsidRPr="00763AB5" w:rsidRDefault="00A61DD8" w:rsidP="001546C9">
      <w:pPr>
        <w:pStyle w:val="FootnoteText"/>
        <w:ind w:firstLine="720"/>
        <w:jc w:val="both"/>
        <w:rPr>
          <w:rFonts w:asciiTheme="majorHAnsi" w:hAnsiTheme="majorHAnsi" w:cs="Times New Roman"/>
          <w:color w:val="000000" w:themeColor="text1"/>
          <w:sz w:val="16"/>
          <w:szCs w:val="16"/>
          <w:lang w:val="es-ES"/>
        </w:rPr>
      </w:pPr>
      <w:r w:rsidRPr="00763AB5">
        <w:rPr>
          <w:rStyle w:val="FootnoteReference"/>
          <w:rFonts w:asciiTheme="majorHAnsi" w:hAnsiTheme="majorHAnsi" w:cs="Times New Roman"/>
          <w:color w:val="000000" w:themeColor="text1"/>
          <w:sz w:val="16"/>
          <w:szCs w:val="16"/>
        </w:rPr>
        <w:footnoteRef/>
      </w:r>
      <w:r w:rsidRPr="00763AB5">
        <w:rPr>
          <w:rFonts w:asciiTheme="majorHAnsi" w:hAnsiTheme="majorHAnsi" w:cs="Times New Roman"/>
          <w:color w:val="000000" w:themeColor="text1"/>
          <w:sz w:val="16"/>
          <w:szCs w:val="16"/>
          <w:lang w:val="es-ES_tradnl"/>
        </w:rPr>
        <w:t xml:space="preserve"> </w:t>
      </w:r>
      <w:r>
        <w:rPr>
          <w:rFonts w:asciiTheme="majorHAnsi" w:hAnsiTheme="majorHAnsi" w:cs="Times New Roman"/>
          <w:color w:val="000000" w:themeColor="text1"/>
          <w:sz w:val="16"/>
          <w:szCs w:val="16"/>
          <w:lang w:val="es-US"/>
        </w:rPr>
        <w:t>Anexo 12</w:t>
      </w:r>
      <w:r w:rsidRPr="00763AB5">
        <w:rPr>
          <w:rFonts w:asciiTheme="majorHAnsi" w:hAnsiTheme="majorHAnsi" w:cs="Times New Roman"/>
          <w:color w:val="000000" w:themeColor="text1"/>
          <w:sz w:val="16"/>
          <w:szCs w:val="16"/>
          <w:lang w:val="es-US"/>
        </w:rPr>
        <w:t xml:space="preserve">. Resolución del Tribunal de Disciplina de la Policía Nacional. 25 de octubre del 2000. Anexo 4 al escrito del Estado del 12 de marzo de 2010. </w:t>
      </w:r>
    </w:p>
  </w:footnote>
  <w:footnote w:id="24">
    <w:p w14:paraId="50F02C74" w14:textId="00365345" w:rsidR="00A61DD8" w:rsidRPr="00763AB5" w:rsidRDefault="00A61DD8" w:rsidP="001546C9">
      <w:pPr>
        <w:pStyle w:val="FootnoteText"/>
        <w:ind w:firstLine="720"/>
        <w:jc w:val="both"/>
        <w:rPr>
          <w:rFonts w:asciiTheme="majorHAnsi" w:hAnsiTheme="majorHAnsi" w:cs="Times New Roman"/>
          <w:color w:val="000000" w:themeColor="text1"/>
          <w:sz w:val="16"/>
          <w:szCs w:val="16"/>
          <w:lang w:val="es-ES"/>
        </w:rPr>
      </w:pPr>
      <w:r w:rsidRPr="00763AB5">
        <w:rPr>
          <w:rStyle w:val="FootnoteReference"/>
          <w:rFonts w:asciiTheme="majorHAnsi" w:hAnsiTheme="majorHAnsi" w:cs="Times New Roman"/>
          <w:color w:val="000000" w:themeColor="text1"/>
          <w:sz w:val="16"/>
          <w:szCs w:val="16"/>
        </w:rPr>
        <w:footnoteRef/>
      </w:r>
      <w:r w:rsidRPr="00763AB5">
        <w:rPr>
          <w:rFonts w:asciiTheme="majorHAnsi" w:hAnsiTheme="majorHAnsi" w:cs="Times New Roman"/>
          <w:color w:val="000000" w:themeColor="text1"/>
          <w:sz w:val="16"/>
          <w:szCs w:val="16"/>
          <w:lang w:val="es-ES_tradnl"/>
        </w:rPr>
        <w:t xml:space="preserve"> </w:t>
      </w:r>
      <w:r>
        <w:rPr>
          <w:rFonts w:asciiTheme="majorHAnsi" w:hAnsiTheme="majorHAnsi" w:cs="Times New Roman"/>
          <w:color w:val="000000" w:themeColor="text1"/>
          <w:sz w:val="16"/>
          <w:szCs w:val="16"/>
          <w:lang w:val="es-US"/>
        </w:rPr>
        <w:t>Anexo 12</w:t>
      </w:r>
      <w:r w:rsidRPr="00763AB5">
        <w:rPr>
          <w:rFonts w:asciiTheme="majorHAnsi" w:hAnsiTheme="majorHAnsi" w:cs="Times New Roman"/>
          <w:color w:val="000000" w:themeColor="text1"/>
          <w:sz w:val="16"/>
          <w:szCs w:val="16"/>
          <w:lang w:val="es-US"/>
        </w:rPr>
        <w:t xml:space="preserve">. Resolución del Tribunal de Disciplina de la Policía Nacional. 25 de octubre del 2000. Anexo 4 al escrito del Estado del 12 de marzo de 2010. </w:t>
      </w:r>
    </w:p>
  </w:footnote>
  <w:footnote w:id="25">
    <w:p w14:paraId="28E645EB" w14:textId="3E199218" w:rsidR="00A61DD8" w:rsidRPr="00763AB5" w:rsidRDefault="00A61DD8" w:rsidP="001546C9">
      <w:pPr>
        <w:pStyle w:val="FootnoteText"/>
        <w:ind w:firstLine="720"/>
        <w:jc w:val="both"/>
        <w:rPr>
          <w:rFonts w:asciiTheme="majorHAnsi" w:hAnsiTheme="majorHAnsi" w:cs="Times New Roman"/>
          <w:color w:val="000000" w:themeColor="text1"/>
          <w:sz w:val="16"/>
          <w:szCs w:val="16"/>
          <w:lang w:val="es-ES"/>
        </w:rPr>
      </w:pPr>
      <w:r w:rsidRPr="00763AB5">
        <w:rPr>
          <w:rStyle w:val="FootnoteReference"/>
          <w:rFonts w:asciiTheme="majorHAnsi" w:hAnsiTheme="majorHAnsi" w:cs="Times New Roman"/>
          <w:color w:val="000000" w:themeColor="text1"/>
          <w:sz w:val="16"/>
          <w:szCs w:val="16"/>
        </w:rPr>
        <w:footnoteRef/>
      </w:r>
      <w:r w:rsidRPr="00763AB5">
        <w:rPr>
          <w:rFonts w:asciiTheme="majorHAnsi" w:hAnsiTheme="majorHAnsi" w:cs="Times New Roman"/>
          <w:color w:val="000000" w:themeColor="text1"/>
          <w:sz w:val="16"/>
          <w:szCs w:val="16"/>
          <w:lang w:val="es-ES_tradnl"/>
        </w:rPr>
        <w:t xml:space="preserve"> </w:t>
      </w:r>
      <w:r>
        <w:rPr>
          <w:rFonts w:asciiTheme="majorHAnsi" w:hAnsiTheme="majorHAnsi" w:cs="Times New Roman"/>
          <w:color w:val="000000" w:themeColor="text1"/>
          <w:sz w:val="16"/>
          <w:szCs w:val="16"/>
          <w:lang w:val="es-US"/>
        </w:rPr>
        <w:t>Anexo 12</w:t>
      </w:r>
      <w:r w:rsidRPr="00763AB5">
        <w:rPr>
          <w:rFonts w:asciiTheme="majorHAnsi" w:hAnsiTheme="majorHAnsi" w:cs="Times New Roman"/>
          <w:color w:val="000000" w:themeColor="text1"/>
          <w:sz w:val="16"/>
          <w:szCs w:val="16"/>
          <w:lang w:val="es-US"/>
        </w:rPr>
        <w:t xml:space="preserve">. Resolución del Tribunal de Disciplina de la Policía Nacional. 25 de octubre del 2000. Anexo 4 al escrito del Estado del 12 de marzo de 2010. </w:t>
      </w:r>
    </w:p>
  </w:footnote>
  <w:footnote w:id="26">
    <w:p w14:paraId="251511CE" w14:textId="4CBD1917"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18</w:t>
      </w:r>
      <w:r w:rsidRPr="00763AB5">
        <w:rPr>
          <w:color w:val="000000" w:themeColor="text1"/>
          <w:sz w:val="16"/>
          <w:szCs w:val="16"/>
          <w:lang w:val="es-US"/>
        </w:rPr>
        <w:t xml:space="preserve">. Orden General No. 216 del Comando General de la </w:t>
      </w:r>
      <w:proofErr w:type="gramStart"/>
      <w:r w:rsidRPr="00763AB5">
        <w:rPr>
          <w:color w:val="000000" w:themeColor="text1"/>
          <w:sz w:val="16"/>
          <w:szCs w:val="16"/>
          <w:lang w:val="es-US"/>
        </w:rPr>
        <w:t>Policía  Nacional</w:t>
      </w:r>
      <w:proofErr w:type="gramEnd"/>
      <w:r w:rsidRPr="00763AB5">
        <w:rPr>
          <w:color w:val="000000" w:themeColor="text1"/>
          <w:sz w:val="16"/>
          <w:szCs w:val="16"/>
          <w:lang w:val="es-US"/>
        </w:rPr>
        <w:t xml:space="preserve"> para el día viernes 10 de noviembre del 2000. Anexo a la petición inicial de fecha 28 de febrero de 2002.</w:t>
      </w:r>
    </w:p>
  </w:footnote>
  <w:footnote w:id="27">
    <w:p w14:paraId="3458BF9D" w14:textId="0476A7E3"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19</w:t>
      </w:r>
      <w:r w:rsidRPr="00763AB5">
        <w:rPr>
          <w:color w:val="000000" w:themeColor="text1"/>
          <w:sz w:val="16"/>
          <w:szCs w:val="16"/>
          <w:lang w:val="es-US"/>
        </w:rPr>
        <w:t>. Recurso de Amparo Constitucional interpuesto por Víctor Mina Cuero ante el Juez de lo Civil de Esmeralda el 15 de diciembre del 2000. Anexo 8 al Escrito del Estado del 12 de marzo de 2010.</w:t>
      </w:r>
    </w:p>
  </w:footnote>
  <w:footnote w:id="28">
    <w:p w14:paraId="4BBBB137" w14:textId="3C73BBA4" w:rsidR="00A61DD8" w:rsidRPr="00763AB5" w:rsidRDefault="00A61DD8" w:rsidP="001546C9">
      <w:pPr>
        <w:pStyle w:val="FootnoteText"/>
        <w:ind w:firstLine="720"/>
        <w:jc w:val="both"/>
        <w:rPr>
          <w:rFonts w:asciiTheme="majorHAnsi" w:hAnsiTheme="majorHAnsi"/>
          <w:sz w:val="16"/>
          <w:szCs w:val="16"/>
          <w:lang w:val="es-US"/>
        </w:rPr>
      </w:pPr>
      <w:r w:rsidRPr="00763AB5">
        <w:rPr>
          <w:rStyle w:val="FootnoteReference"/>
          <w:rFonts w:asciiTheme="majorHAnsi" w:hAnsiTheme="majorHAnsi"/>
          <w:sz w:val="16"/>
          <w:szCs w:val="16"/>
        </w:rPr>
        <w:footnoteRef/>
      </w:r>
      <w:r w:rsidRPr="00763AB5">
        <w:rPr>
          <w:rFonts w:asciiTheme="majorHAnsi" w:hAnsiTheme="majorHAnsi"/>
          <w:sz w:val="16"/>
          <w:szCs w:val="16"/>
          <w:lang w:val="es-VE"/>
        </w:rPr>
        <w:t xml:space="preserve"> </w:t>
      </w:r>
      <w:r>
        <w:rPr>
          <w:rFonts w:asciiTheme="majorHAnsi" w:hAnsiTheme="majorHAnsi" w:cs="Arial"/>
          <w:color w:val="auto"/>
          <w:sz w:val="16"/>
          <w:szCs w:val="16"/>
          <w:lang w:val="es-US"/>
        </w:rPr>
        <w:t>Anexo 20</w:t>
      </w:r>
      <w:r w:rsidRPr="00763AB5">
        <w:rPr>
          <w:rFonts w:asciiTheme="majorHAnsi" w:hAnsiTheme="majorHAnsi" w:cs="Arial"/>
          <w:color w:val="auto"/>
          <w:sz w:val="16"/>
          <w:szCs w:val="16"/>
          <w:lang w:val="es-US"/>
        </w:rPr>
        <w:t>. Escrito del Juez Tercero Civil de Esmeralda del 9 de enero del 2001. Anexo a la petición inicial de fecha 28 de febrero de 2002.</w:t>
      </w:r>
    </w:p>
  </w:footnote>
  <w:footnote w:id="29">
    <w:p w14:paraId="7A8A7A3F" w14:textId="00ADB426"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21</w:t>
      </w:r>
      <w:r w:rsidRPr="00763AB5">
        <w:rPr>
          <w:color w:val="000000" w:themeColor="text1"/>
          <w:sz w:val="16"/>
          <w:szCs w:val="16"/>
          <w:lang w:val="es-US"/>
        </w:rPr>
        <w:t>. Sentencia del Juez Tercero Civil de Esmeralda que resuelve recurso de amparo constitucional No. 12834-2000 interpuesto por Henry Mina Cuero. Anexo a la petición inicial de fecha 28 de febrero de 2002.</w:t>
      </w:r>
    </w:p>
  </w:footnote>
  <w:footnote w:id="30">
    <w:p w14:paraId="2D80B8FA" w14:textId="40FCED75"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22</w:t>
      </w:r>
      <w:r w:rsidRPr="00763AB5">
        <w:rPr>
          <w:color w:val="000000" w:themeColor="text1"/>
          <w:sz w:val="16"/>
          <w:szCs w:val="16"/>
          <w:lang w:val="es-US"/>
        </w:rPr>
        <w:t xml:space="preserve"> Resolución No. 303-RA-01-RA del Tribunal Constitucional que resuelve recurso de apelación, del 16 de marzo de 2001. Anexo a la petición inicial de fecha 28 de febrero de 2002. </w:t>
      </w:r>
    </w:p>
  </w:footnote>
  <w:footnote w:id="31">
    <w:p w14:paraId="3E450C7D" w14:textId="384ABCD8"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sidRPr="00763AB5">
        <w:rPr>
          <w:color w:val="000000" w:themeColor="text1"/>
          <w:sz w:val="16"/>
          <w:szCs w:val="16"/>
          <w:lang w:val="es-US"/>
        </w:rPr>
        <w:t>Anex</w:t>
      </w:r>
      <w:r>
        <w:rPr>
          <w:color w:val="000000" w:themeColor="text1"/>
          <w:sz w:val="16"/>
          <w:szCs w:val="16"/>
          <w:lang w:val="es-US"/>
        </w:rPr>
        <w:t>o 23</w:t>
      </w:r>
      <w:r w:rsidRPr="00763AB5">
        <w:rPr>
          <w:color w:val="000000" w:themeColor="text1"/>
          <w:sz w:val="16"/>
          <w:szCs w:val="16"/>
          <w:lang w:val="es-US"/>
        </w:rPr>
        <w:t xml:space="preserve">. Solicitud al Defensor del pueblo del 29 de marzo de 2001. Anexo a la petición inicial de fecha 28 de febrero de 2002. </w:t>
      </w:r>
    </w:p>
  </w:footnote>
  <w:footnote w:id="32">
    <w:p w14:paraId="79FCDDB1" w14:textId="2A5C7AC8"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24</w:t>
      </w:r>
      <w:r w:rsidRPr="00763AB5">
        <w:rPr>
          <w:color w:val="000000" w:themeColor="text1"/>
          <w:sz w:val="16"/>
          <w:szCs w:val="16"/>
          <w:lang w:val="es-US"/>
        </w:rPr>
        <w:t xml:space="preserve">.  Oficio 01528 de la Defensoría del Pueblo, del 27 de abril de 2001. Anexo a la petición inicial de fecha 28 de febrero de 2002. </w:t>
      </w:r>
    </w:p>
  </w:footnote>
  <w:footnote w:id="33">
    <w:p w14:paraId="74D1B7AC" w14:textId="396E2606"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25</w:t>
      </w:r>
      <w:r w:rsidRPr="00763AB5">
        <w:rPr>
          <w:color w:val="000000" w:themeColor="text1"/>
          <w:sz w:val="16"/>
          <w:szCs w:val="16"/>
          <w:lang w:val="es-US"/>
        </w:rPr>
        <w:t xml:space="preserve">.  Auto de calificación de la demanda de inconstitucionalidad proferido por el Tribunal Constitucional, del 3 de mayo del 2001. Anexo a la petición inicial de fecha 28 de febrero de 2002. </w:t>
      </w:r>
    </w:p>
  </w:footnote>
  <w:footnote w:id="34">
    <w:p w14:paraId="2C8042BD" w14:textId="715FAA5E"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26</w:t>
      </w:r>
      <w:r w:rsidRPr="00763AB5">
        <w:rPr>
          <w:color w:val="000000" w:themeColor="text1"/>
          <w:sz w:val="16"/>
          <w:szCs w:val="16"/>
          <w:lang w:val="es-US"/>
        </w:rPr>
        <w:t xml:space="preserve">.  Auto de la Segunda Sala del Tribunal Constitucional del 18 de junio del 2001 avocando conocimiento de demanda. Anexo a la petición inicial de fecha 28 de febrero de 2002. </w:t>
      </w:r>
    </w:p>
  </w:footnote>
  <w:footnote w:id="35">
    <w:p w14:paraId="4F8D0CE0" w14:textId="1D80F621" w:rsidR="00A61DD8" w:rsidRPr="00763AB5" w:rsidRDefault="00A61DD8" w:rsidP="001546C9">
      <w:pPr>
        <w:ind w:firstLine="720"/>
        <w:jc w:val="both"/>
        <w:rPr>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27</w:t>
      </w:r>
      <w:r w:rsidRPr="00763AB5">
        <w:rPr>
          <w:color w:val="000000" w:themeColor="text1"/>
          <w:sz w:val="16"/>
          <w:szCs w:val="16"/>
          <w:lang w:val="es-US"/>
        </w:rPr>
        <w:t>. Declaración de Virginia Micaela Velasco Martillo ante Notario. 16 de mayo de 2001. Anexo a la petición inicial de fecha 28 de febrero de 2002.</w:t>
      </w:r>
    </w:p>
  </w:footnote>
  <w:footnote w:id="36">
    <w:p w14:paraId="7133BA66" w14:textId="4C63FCD7" w:rsidR="00A61DD8" w:rsidRPr="00763AB5" w:rsidRDefault="00A61DD8" w:rsidP="001546C9">
      <w:pPr>
        <w:ind w:firstLine="720"/>
        <w:jc w:val="both"/>
        <w:rPr>
          <w:color w:val="000000" w:themeColor="text1"/>
          <w:sz w:val="16"/>
          <w:szCs w:val="16"/>
          <w:lang w:val="es-US"/>
        </w:rPr>
      </w:pPr>
      <w:r w:rsidRPr="00763AB5">
        <w:rPr>
          <w:rStyle w:val="FootnoteReference"/>
          <w:color w:val="000000" w:themeColor="text1"/>
          <w:sz w:val="16"/>
          <w:szCs w:val="16"/>
        </w:rPr>
        <w:footnoteRef/>
      </w:r>
      <w:r w:rsidRPr="00763AB5">
        <w:rPr>
          <w:color w:val="000000" w:themeColor="text1"/>
          <w:sz w:val="16"/>
          <w:szCs w:val="16"/>
          <w:lang w:val="es-VE"/>
        </w:rPr>
        <w:t xml:space="preserve"> </w:t>
      </w:r>
      <w:r>
        <w:rPr>
          <w:color w:val="000000" w:themeColor="text1"/>
          <w:sz w:val="16"/>
          <w:szCs w:val="16"/>
          <w:lang w:val="es-US"/>
        </w:rPr>
        <w:t>Anexo 28</w:t>
      </w:r>
      <w:r w:rsidRPr="00763AB5">
        <w:rPr>
          <w:color w:val="000000" w:themeColor="text1"/>
          <w:sz w:val="16"/>
          <w:szCs w:val="16"/>
          <w:lang w:val="es-US"/>
        </w:rPr>
        <w:t xml:space="preserve">.  Sentencia del Tribunal Constitucional, Caso No. 0102001-AA, </w:t>
      </w:r>
      <w:r w:rsidRPr="00FE3F4F">
        <w:rPr>
          <w:color w:val="000000" w:themeColor="text1"/>
          <w:sz w:val="16"/>
          <w:szCs w:val="16"/>
          <w:lang w:val="es-US"/>
        </w:rPr>
        <w:t xml:space="preserve">del9 de noviembre </w:t>
      </w:r>
      <w:proofErr w:type="gramStart"/>
      <w:r w:rsidRPr="00FE3F4F">
        <w:rPr>
          <w:color w:val="000000" w:themeColor="text1"/>
          <w:sz w:val="16"/>
          <w:szCs w:val="16"/>
          <w:lang w:val="es-US"/>
        </w:rPr>
        <w:t>de  2001</w:t>
      </w:r>
      <w:proofErr w:type="gramEnd"/>
      <w:r w:rsidRPr="00763AB5">
        <w:rPr>
          <w:color w:val="000000" w:themeColor="text1"/>
          <w:sz w:val="16"/>
          <w:szCs w:val="16"/>
          <w:lang w:val="es-US"/>
        </w:rPr>
        <w:t>. Anexo a la petición inicial de fecha 28 de febrero de 2002.</w:t>
      </w:r>
    </w:p>
  </w:footnote>
  <w:footnote w:id="37">
    <w:p w14:paraId="6882D0C4" w14:textId="77777777" w:rsidR="00A61DD8" w:rsidRPr="00084ECF" w:rsidRDefault="00A61DD8" w:rsidP="001546C9">
      <w:pPr>
        <w:pStyle w:val="FootnoteText"/>
        <w:ind w:firstLine="720"/>
        <w:jc w:val="both"/>
        <w:rPr>
          <w:rFonts w:ascii="Cambria" w:hAnsi="Cambria"/>
          <w:sz w:val="16"/>
          <w:szCs w:val="16"/>
          <w:lang w:val="es-ES"/>
        </w:rPr>
      </w:pPr>
      <w:r w:rsidRPr="00084ECF">
        <w:rPr>
          <w:rStyle w:val="FootnoteReference"/>
          <w:rFonts w:ascii="Cambria" w:hAnsi="Cambria"/>
          <w:sz w:val="16"/>
          <w:szCs w:val="16"/>
        </w:rPr>
        <w:footnoteRef/>
      </w:r>
      <w:r w:rsidRPr="00084ECF">
        <w:rPr>
          <w:rFonts w:ascii="Cambria" w:hAnsi="Cambria"/>
          <w:sz w:val="16"/>
          <w:szCs w:val="16"/>
          <w:lang w:val="es-ES"/>
        </w:rPr>
        <w:t xml:space="preserve"> CIDH, Informe No. 65/11, Caso 12.600, Fondo, Hugo Quintana Coello y otros “Magistrados de la Corte Suprema de Justicia”, Ecuador, 31 de marzo de 2011, párr. 102; Corte IDH. </w:t>
      </w:r>
      <w:hyperlink r:id="rId1" w:history="1">
        <w:r w:rsidRPr="00084ECF">
          <w:rPr>
            <w:rStyle w:val="Hyperlink"/>
            <w:rFonts w:ascii="Cambria" w:hAnsi="Cambria" w:cs="Arial"/>
            <w:color w:val="auto"/>
            <w:sz w:val="16"/>
            <w:szCs w:val="16"/>
            <w:shd w:val="clear" w:color="auto" w:fill="FFFFFF"/>
            <w:lang w:val="es-VE"/>
          </w:rPr>
          <w:t>Caso Baena Ricardo y otros Vs. Panamá. Fondo, Reparaciones y Costas. Sentencia de 2 de febrero de 2001. Serie C No. 72</w:t>
        </w:r>
      </w:hyperlink>
      <w:r w:rsidRPr="00084ECF">
        <w:rPr>
          <w:rFonts w:ascii="Cambria" w:hAnsi="Cambria"/>
          <w:sz w:val="16"/>
          <w:szCs w:val="16"/>
          <w:lang w:val="es-ES"/>
        </w:rPr>
        <w:t xml:space="preserve">, </w:t>
      </w:r>
      <w:proofErr w:type="spellStart"/>
      <w:r w:rsidRPr="00084ECF">
        <w:rPr>
          <w:rFonts w:ascii="Cambria" w:hAnsi="Cambria"/>
          <w:sz w:val="16"/>
          <w:szCs w:val="16"/>
          <w:lang w:val="es-ES"/>
        </w:rPr>
        <w:t>párrs</w:t>
      </w:r>
      <w:proofErr w:type="spellEnd"/>
      <w:r w:rsidRPr="00084ECF">
        <w:rPr>
          <w:rFonts w:ascii="Cambria" w:hAnsi="Cambria"/>
          <w:sz w:val="16"/>
          <w:szCs w:val="16"/>
          <w:lang w:val="es-ES"/>
        </w:rPr>
        <w:t xml:space="preserve">. 126-127; </w:t>
      </w:r>
      <w:hyperlink r:id="rId2" w:history="1">
        <w:r w:rsidRPr="00084ECF">
          <w:rPr>
            <w:rStyle w:val="Hyperlink"/>
            <w:rFonts w:ascii="Cambria" w:hAnsi="Cambria" w:cs="Arial"/>
            <w:color w:val="auto"/>
            <w:sz w:val="16"/>
            <w:szCs w:val="16"/>
            <w:shd w:val="clear" w:color="auto" w:fill="FFFFFF"/>
            <w:lang w:val="es-VE"/>
          </w:rPr>
          <w:t>Caso del Tribunal Constitucional Vs. Perú. Fondo, Reparaciones y Costas. Sentencia de 31 de enero de 2001. Serie C No. 71</w:t>
        </w:r>
      </w:hyperlink>
      <w:r w:rsidRPr="00084ECF">
        <w:rPr>
          <w:rFonts w:ascii="Cambria" w:hAnsi="Cambria"/>
          <w:sz w:val="16"/>
          <w:szCs w:val="16"/>
          <w:lang w:val="es-ES"/>
        </w:rPr>
        <w:t xml:space="preserve">, </w:t>
      </w:r>
      <w:proofErr w:type="spellStart"/>
      <w:r w:rsidRPr="00084ECF">
        <w:rPr>
          <w:rFonts w:ascii="Cambria" w:hAnsi="Cambria"/>
          <w:sz w:val="16"/>
          <w:szCs w:val="16"/>
          <w:lang w:val="es-ES"/>
        </w:rPr>
        <w:t>párrs</w:t>
      </w:r>
      <w:proofErr w:type="spellEnd"/>
      <w:r w:rsidRPr="00084ECF">
        <w:rPr>
          <w:rFonts w:ascii="Cambria" w:hAnsi="Cambria"/>
          <w:sz w:val="16"/>
          <w:szCs w:val="16"/>
          <w:lang w:val="es-ES"/>
        </w:rPr>
        <w:t xml:space="preserve">. 69-70; y </w:t>
      </w:r>
      <w:hyperlink r:id="rId3" w:history="1">
        <w:r w:rsidRPr="00084ECF">
          <w:rPr>
            <w:rStyle w:val="Hyperlink"/>
            <w:rFonts w:ascii="Cambria" w:hAnsi="Cambria" w:cs="Arial"/>
            <w:color w:val="auto"/>
            <w:sz w:val="16"/>
            <w:szCs w:val="16"/>
            <w:shd w:val="clear" w:color="auto" w:fill="FFFFFF"/>
            <w:lang w:val="es-VE"/>
          </w:rPr>
          <w:t>Caso López Mendoza Vs. Venezuela. Fondo Reparaciones y Costas. Sentencia de 1 de septiembre de 2011 Serie C No. 233</w:t>
        </w:r>
      </w:hyperlink>
      <w:r w:rsidRPr="00084ECF">
        <w:rPr>
          <w:rFonts w:ascii="Cambria" w:hAnsi="Cambria"/>
          <w:sz w:val="16"/>
          <w:szCs w:val="16"/>
          <w:lang w:val="es-ES"/>
        </w:rPr>
        <w:t xml:space="preserve">, párr. 111. </w:t>
      </w:r>
    </w:p>
  </w:footnote>
  <w:footnote w:id="38">
    <w:p w14:paraId="7D8FD6D3" w14:textId="111C57CE" w:rsidR="00A61DD8" w:rsidRPr="00084ECF" w:rsidRDefault="00A61DD8" w:rsidP="001546C9">
      <w:pPr>
        <w:pStyle w:val="FootnoteText"/>
        <w:ind w:firstLine="720"/>
        <w:jc w:val="both"/>
        <w:rPr>
          <w:rFonts w:ascii="Cambria" w:hAnsi="Cambria"/>
          <w:sz w:val="16"/>
          <w:szCs w:val="16"/>
          <w:lang w:val="es-ES"/>
        </w:rPr>
      </w:pPr>
      <w:r w:rsidRPr="00084ECF">
        <w:rPr>
          <w:rStyle w:val="FootnoteReference"/>
          <w:rFonts w:ascii="Cambria" w:hAnsi="Cambria"/>
          <w:sz w:val="16"/>
          <w:szCs w:val="16"/>
        </w:rPr>
        <w:footnoteRef/>
      </w:r>
      <w:r w:rsidRPr="00084ECF">
        <w:rPr>
          <w:rFonts w:ascii="Cambria" w:hAnsi="Cambria"/>
          <w:sz w:val="16"/>
          <w:szCs w:val="16"/>
          <w:lang w:val="es-ES"/>
        </w:rPr>
        <w:t xml:space="preserve"> CIDH. El Acceso a la Justicia como Garantía de los Derechos Económicos, Sociales y Culturales. Estudio de los Estándares Fijados por el Sistema Interamericano de Derechos Humanos. </w:t>
      </w:r>
      <w:r w:rsidRPr="00084ECF">
        <w:rPr>
          <w:rFonts w:ascii="Cambria" w:hAnsi="Cambria"/>
          <w:sz w:val="16"/>
          <w:szCs w:val="16"/>
          <w:lang w:val="es-ES_tradnl"/>
        </w:rPr>
        <w:t>OEA/</w:t>
      </w:r>
      <w:proofErr w:type="spellStart"/>
      <w:r w:rsidRPr="00084ECF">
        <w:rPr>
          <w:rFonts w:ascii="Cambria" w:hAnsi="Cambria"/>
          <w:sz w:val="16"/>
          <w:szCs w:val="16"/>
          <w:lang w:val="es-ES_tradnl"/>
        </w:rPr>
        <w:t>Ser.L</w:t>
      </w:r>
      <w:proofErr w:type="spellEnd"/>
      <w:r w:rsidRPr="00084ECF">
        <w:rPr>
          <w:rFonts w:ascii="Cambria" w:hAnsi="Cambria"/>
          <w:sz w:val="16"/>
          <w:szCs w:val="16"/>
          <w:lang w:val="es-ES_tradnl"/>
        </w:rPr>
        <w:t xml:space="preserve">/V/II.129. 7 de septiembre de 2007, </w:t>
      </w:r>
      <w:proofErr w:type="spellStart"/>
      <w:r w:rsidRPr="00084ECF">
        <w:rPr>
          <w:rFonts w:ascii="Cambria" w:hAnsi="Cambria"/>
          <w:sz w:val="16"/>
          <w:szCs w:val="16"/>
          <w:lang w:val="es-ES_tradnl"/>
        </w:rPr>
        <w:t>párrs</w:t>
      </w:r>
      <w:proofErr w:type="spellEnd"/>
      <w:r w:rsidRPr="00084ECF">
        <w:rPr>
          <w:rFonts w:ascii="Cambria" w:hAnsi="Cambria"/>
          <w:sz w:val="16"/>
          <w:szCs w:val="16"/>
          <w:lang w:val="es-ES_tradnl"/>
        </w:rPr>
        <w:t xml:space="preserve">. 98-123; y Caso No. 12.828, Informe 112/12, Marcel Granier y otros, Venezuela, Fondo, 9 de noviembre de 2012, párr. </w:t>
      </w:r>
      <w:r w:rsidRPr="000C5391">
        <w:rPr>
          <w:rFonts w:ascii="Cambria" w:hAnsi="Cambria"/>
          <w:sz w:val="16"/>
          <w:szCs w:val="16"/>
          <w:lang w:val="es-ES_tradnl"/>
        </w:rPr>
        <w:t xml:space="preserve">188; CIDH. Informe No. 42/14. Caso 12.453. Fondo. Olga Yolanda Maldonado </w:t>
      </w:r>
      <w:proofErr w:type="spellStart"/>
      <w:r w:rsidRPr="000C5391">
        <w:rPr>
          <w:rFonts w:ascii="Cambria" w:hAnsi="Cambria"/>
          <w:sz w:val="16"/>
          <w:szCs w:val="16"/>
          <w:lang w:val="es-ES_tradnl"/>
        </w:rPr>
        <w:t>Orfoñez</w:t>
      </w:r>
      <w:proofErr w:type="spellEnd"/>
      <w:r w:rsidRPr="000C5391">
        <w:rPr>
          <w:rFonts w:ascii="Cambria" w:hAnsi="Cambria"/>
          <w:sz w:val="16"/>
          <w:szCs w:val="16"/>
          <w:lang w:val="es-ES_tradnl"/>
        </w:rPr>
        <w:t xml:space="preserve">. </w:t>
      </w:r>
      <w:r w:rsidRPr="00D70A2A">
        <w:rPr>
          <w:rFonts w:ascii="Cambria" w:hAnsi="Cambria"/>
          <w:sz w:val="16"/>
          <w:szCs w:val="16"/>
          <w:lang w:val="es-CO"/>
        </w:rPr>
        <w:t xml:space="preserve">Guatemala. 17 de julio de 2014. Párr. 69; Corte IDH. </w:t>
      </w:r>
      <w:hyperlink r:id="rId4" w:history="1">
        <w:r w:rsidRPr="00084ECF">
          <w:rPr>
            <w:rStyle w:val="Hyperlink"/>
            <w:rFonts w:ascii="Cambria" w:hAnsi="Cambria" w:cs="Arial"/>
            <w:color w:val="auto"/>
            <w:sz w:val="16"/>
            <w:szCs w:val="16"/>
            <w:shd w:val="clear" w:color="auto" w:fill="FFFFFF"/>
            <w:lang w:val="es-VE"/>
          </w:rPr>
          <w:t>Caso Baena Ricardo y otros Vs. Panamá. Fondo, Reparaciones y Costas. Sentencia de 2 de febrero de 2001. Serie C No. 72</w:t>
        </w:r>
      </w:hyperlink>
      <w:r w:rsidRPr="00084ECF">
        <w:rPr>
          <w:rFonts w:ascii="Cambria" w:hAnsi="Cambria"/>
          <w:sz w:val="16"/>
          <w:szCs w:val="16"/>
          <w:lang w:val="es-ES"/>
        </w:rPr>
        <w:t xml:space="preserve">, </w:t>
      </w:r>
      <w:proofErr w:type="spellStart"/>
      <w:r w:rsidRPr="00084ECF">
        <w:rPr>
          <w:rFonts w:ascii="Cambria" w:hAnsi="Cambria"/>
          <w:sz w:val="16"/>
          <w:szCs w:val="16"/>
          <w:lang w:val="es-ES"/>
        </w:rPr>
        <w:t>párrs</w:t>
      </w:r>
      <w:proofErr w:type="spellEnd"/>
      <w:r w:rsidRPr="00084ECF">
        <w:rPr>
          <w:rFonts w:ascii="Cambria" w:hAnsi="Cambria"/>
          <w:sz w:val="16"/>
          <w:szCs w:val="16"/>
          <w:lang w:val="es-ES"/>
        </w:rPr>
        <w:t>. 126-127.</w:t>
      </w:r>
    </w:p>
  </w:footnote>
  <w:footnote w:id="39">
    <w:p w14:paraId="262BDDDD" w14:textId="77777777" w:rsidR="00A61DD8" w:rsidRPr="00084ECF" w:rsidRDefault="00A61DD8" w:rsidP="000F2FCB">
      <w:pPr>
        <w:pStyle w:val="FootnoteText"/>
        <w:ind w:firstLine="720"/>
        <w:jc w:val="both"/>
        <w:rPr>
          <w:rFonts w:ascii="Cambria" w:hAnsi="Cambria"/>
          <w:sz w:val="16"/>
          <w:szCs w:val="16"/>
          <w:lang w:val="es-ES_tradnl"/>
        </w:rPr>
      </w:pPr>
      <w:r w:rsidRPr="00084ECF">
        <w:rPr>
          <w:rStyle w:val="FootnoteReference"/>
          <w:rFonts w:ascii="Cambria" w:hAnsi="Cambria"/>
          <w:sz w:val="16"/>
          <w:szCs w:val="16"/>
        </w:rPr>
        <w:footnoteRef/>
      </w:r>
      <w:r w:rsidRPr="00084ECF">
        <w:rPr>
          <w:rFonts w:ascii="Cambria" w:hAnsi="Cambria"/>
          <w:sz w:val="16"/>
          <w:szCs w:val="16"/>
          <w:lang w:val="es-VE"/>
        </w:rPr>
        <w:t xml:space="preserve"> El artículo 8.2b de la Convención Americana establece como una garantía judicial “la comunicación previa y detallada al inculpado de la acusación formulada”. </w:t>
      </w:r>
    </w:p>
  </w:footnote>
  <w:footnote w:id="40">
    <w:p w14:paraId="7BEB374E" w14:textId="77777777" w:rsidR="00A61DD8" w:rsidRPr="00084ECF" w:rsidRDefault="00A61DD8" w:rsidP="000F2FCB">
      <w:pPr>
        <w:ind w:firstLine="720"/>
        <w:jc w:val="both"/>
        <w:rPr>
          <w:rFonts w:ascii="Cambria" w:eastAsia="Times New Roman" w:hAnsi="Cambria"/>
          <w:sz w:val="16"/>
          <w:szCs w:val="16"/>
          <w:lang w:val="es-VE"/>
        </w:rPr>
      </w:pPr>
      <w:r w:rsidRPr="00084ECF">
        <w:rPr>
          <w:rStyle w:val="FootnoteReference"/>
          <w:rFonts w:ascii="Cambria" w:hAnsi="Cambria"/>
          <w:sz w:val="16"/>
          <w:szCs w:val="16"/>
        </w:rPr>
        <w:footnoteRef/>
      </w:r>
      <w:r w:rsidRPr="00084ECF">
        <w:rPr>
          <w:rFonts w:ascii="Cambria" w:hAnsi="Cambria"/>
          <w:sz w:val="16"/>
          <w:szCs w:val="16"/>
          <w:lang w:val="es-VE"/>
        </w:rPr>
        <w:t xml:space="preserve"> El artículo 8.2c de la Convención Americana establece como una garantía judicial </w:t>
      </w:r>
      <w:r w:rsidRPr="00084ECF">
        <w:rPr>
          <w:rFonts w:ascii="Cambria" w:eastAsia="Times New Roman" w:hAnsi="Cambria" w:cs="Tahoma"/>
          <w:color w:val="000000"/>
          <w:sz w:val="16"/>
          <w:szCs w:val="16"/>
          <w:lang w:val="es-VE"/>
        </w:rPr>
        <w:t>la “concesión al inculpado del tiempo y de los medios adecuados para la preparación de su defensa”.</w:t>
      </w:r>
    </w:p>
  </w:footnote>
  <w:footnote w:id="41">
    <w:p w14:paraId="09B5AB3E" w14:textId="77777777" w:rsidR="00A61DD8" w:rsidRPr="00E230BB" w:rsidRDefault="00A61DD8" w:rsidP="000F2FCB">
      <w:pPr>
        <w:pStyle w:val="FootnoteText"/>
        <w:ind w:firstLine="720"/>
        <w:jc w:val="both"/>
        <w:rPr>
          <w:rFonts w:ascii="Cambria" w:hAnsi="Cambria"/>
          <w:sz w:val="16"/>
          <w:szCs w:val="16"/>
          <w:lang w:val="es-CO"/>
        </w:rPr>
      </w:pPr>
      <w:r w:rsidRPr="00E230BB">
        <w:rPr>
          <w:rStyle w:val="FootnoteReference"/>
          <w:rFonts w:ascii="Cambria" w:hAnsi="Cambria"/>
          <w:sz w:val="16"/>
          <w:szCs w:val="16"/>
        </w:rPr>
        <w:footnoteRef/>
      </w:r>
      <w:r w:rsidRPr="00E230BB">
        <w:rPr>
          <w:rFonts w:ascii="Cambria" w:hAnsi="Cambria"/>
          <w:sz w:val="16"/>
          <w:szCs w:val="16"/>
          <w:lang w:val="es-VE"/>
        </w:rPr>
        <w:t xml:space="preserve"> </w:t>
      </w:r>
      <w:r w:rsidRPr="00E230BB">
        <w:rPr>
          <w:rFonts w:ascii="Cambria" w:hAnsi="Cambria"/>
          <w:sz w:val="16"/>
          <w:szCs w:val="16"/>
          <w:lang w:val="es-CO"/>
        </w:rPr>
        <w:t>El artículo 8.2 d de la Convención Americana establece el “derecho del inculpado de defenderse personalmente o de ser asistido por un defensor de su elección y de comunicarse libre y privadamente con su defensor.”</w:t>
      </w:r>
    </w:p>
  </w:footnote>
  <w:footnote w:id="42">
    <w:p w14:paraId="6D64AFAE" w14:textId="77777777" w:rsidR="00A61DD8" w:rsidRPr="00910616" w:rsidRDefault="00A61DD8" w:rsidP="00E4532A">
      <w:pPr>
        <w:ind w:firstLine="630"/>
        <w:jc w:val="both"/>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rPr>
        <w:t xml:space="preserve"> Corte IDH. Condición Jurídica y Derechos de los Migrantes Indocumentados. Opinión Consultiva OC-18/03 de 17 de </w:t>
      </w:r>
      <w:proofErr w:type="gramStart"/>
      <w:r w:rsidRPr="00910616">
        <w:rPr>
          <w:rFonts w:ascii="Cambria" w:hAnsi="Cambria"/>
          <w:sz w:val="16"/>
          <w:szCs w:val="16"/>
        </w:rPr>
        <w:t>septiembre  de</w:t>
      </w:r>
      <w:proofErr w:type="gramEnd"/>
      <w:r w:rsidRPr="00910616">
        <w:rPr>
          <w:rFonts w:ascii="Cambria" w:hAnsi="Cambria"/>
          <w:sz w:val="16"/>
          <w:szCs w:val="16"/>
        </w:rPr>
        <w:t xml:space="preserve"> 2003. Serie A No. 18. párr. </w:t>
      </w:r>
      <w:r w:rsidRPr="00910616">
        <w:rPr>
          <w:rFonts w:ascii="Cambria" w:hAnsi="Cambria"/>
          <w:sz w:val="16"/>
          <w:szCs w:val="16"/>
          <w:lang w:val="es-VE"/>
        </w:rPr>
        <w:t>117.</w:t>
      </w:r>
    </w:p>
  </w:footnote>
  <w:footnote w:id="43">
    <w:p w14:paraId="33AFDF61" w14:textId="77777777" w:rsidR="00A61DD8" w:rsidRPr="00084ECF" w:rsidRDefault="00A61DD8" w:rsidP="001546C9">
      <w:pPr>
        <w:pStyle w:val="FootnoteText"/>
        <w:ind w:firstLine="720"/>
        <w:jc w:val="both"/>
        <w:rPr>
          <w:rFonts w:ascii="Cambria" w:hAnsi="Cambria"/>
          <w:sz w:val="16"/>
          <w:szCs w:val="16"/>
          <w:lang w:val="es-VE"/>
        </w:rPr>
      </w:pPr>
      <w:r w:rsidRPr="00084ECF">
        <w:rPr>
          <w:rStyle w:val="FootnoteReference"/>
          <w:rFonts w:ascii="Cambria" w:hAnsi="Cambria"/>
          <w:sz w:val="16"/>
          <w:szCs w:val="16"/>
        </w:rPr>
        <w:footnoteRef/>
      </w:r>
      <w:r w:rsidRPr="000C5391">
        <w:rPr>
          <w:rFonts w:ascii="Cambria" w:hAnsi="Cambria"/>
          <w:sz w:val="16"/>
          <w:szCs w:val="16"/>
          <w:lang w:val="es-ES"/>
        </w:rPr>
        <w:t xml:space="preserve">Corte IDH. Caso Barreto Leiva vs. Venezuela. </w:t>
      </w:r>
      <w:r w:rsidRPr="00084ECF">
        <w:rPr>
          <w:rFonts w:ascii="Cambria" w:hAnsi="Cambria"/>
          <w:sz w:val="16"/>
          <w:szCs w:val="16"/>
          <w:lang w:val="es-VE"/>
        </w:rPr>
        <w:t>Fondo, Reparaciones y Costas. Sentencia de 17 de noviembre de 2009, Serie C No. 206, Párr.29.</w:t>
      </w:r>
    </w:p>
  </w:footnote>
  <w:footnote w:id="44">
    <w:p w14:paraId="4899CB82" w14:textId="05E1B8F1" w:rsidR="00A61DD8" w:rsidRPr="0048510A" w:rsidRDefault="00A61DD8" w:rsidP="00703962">
      <w:pPr>
        <w:spacing w:after="120"/>
        <w:ind w:firstLine="720"/>
        <w:jc w:val="both"/>
        <w:rPr>
          <w:spacing w:val="2"/>
          <w:sz w:val="16"/>
          <w:szCs w:val="16"/>
        </w:rPr>
      </w:pPr>
      <w:r w:rsidRPr="0048510A">
        <w:rPr>
          <w:rStyle w:val="FootnoteReference"/>
          <w:sz w:val="16"/>
          <w:szCs w:val="16"/>
        </w:rPr>
        <w:footnoteRef/>
      </w:r>
      <w:r w:rsidRPr="0048510A">
        <w:rPr>
          <w:sz w:val="16"/>
          <w:szCs w:val="16"/>
        </w:rPr>
        <w:t xml:space="preserve"> </w:t>
      </w:r>
      <w:r>
        <w:rPr>
          <w:sz w:val="16"/>
          <w:szCs w:val="16"/>
        </w:rPr>
        <w:t xml:space="preserve">CIDH. Informe No. 136/11. Caso 12.474. Fondo. Familia Pacheco Tineo. Bolivia. 31 de octubre de 2011. Párr. 118. Citando: </w:t>
      </w:r>
      <w:r w:rsidRPr="0048510A">
        <w:rPr>
          <w:sz w:val="16"/>
          <w:szCs w:val="16"/>
        </w:rPr>
        <w:t xml:space="preserve">CIDH. Informe No. 49/99. Caso 11.610. </w:t>
      </w:r>
      <w:r w:rsidRPr="0048510A">
        <w:rPr>
          <w:i/>
          <w:sz w:val="16"/>
          <w:szCs w:val="16"/>
        </w:rPr>
        <w:t xml:space="preserve">Loren </w:t>
      </w:r>
      <w:proofErr w:type="spellStart"/>
      <w:r w:rsidRPr="0048510A">
        <w:rPr>
          <w:i/>
          <w:sz w:val="16"/>
          <w:szCs w:val="16"/>
        </w:rPr>
        <w:t>Laroye</w:t>
      </w:r>
      <w:proofErr w:type="spellEnd"/>
      <w:r w:rsidRPr="0048510A">
        <w:rPr>
          <w:i/>
          <w:sz w:val="16"/>
          <w:szCs w:val="16"/>
        </w:rPr>
        <w:t xml:space="preserve"> </w:t>
      </w:r>
      <w:proofErr w:type="spellStart"/>
      <w:r w:rsidRPr="0048510A">
        <w:rPr>
          <w:i/>
          <w:sz w:val="16"/>
          <w:szCs w:val="16"/>
        </w:rPr>
        <w:t>Riebe</w:t>
      </w:r>
      <w:proofErr w:type="spellEnd"/>
      <w:r w:rsidRPr="0048510A">
        <w:rPr>
          <w:i/>
          <w:sz w:val="16"/>
          <w:szCs w:val="16"/>
        </w:rPr>
        <w:t xml:space="preserve"> </w:t>
      </w:r>
      <w:proofErr w:type="spellStart"/>
      <w:r w:rsidRPr="0048510A">
        <w:rPr>
          <w:i/>
          <w:sz w:val="16"/>
          <w:szCs w:val="16"/>
        </w:rPr>
        <w:t>Star</w:t>
      </w:r>
      <w:proofErr w:type="spellEnd"/>
      <w:r w:rsidRPr="0048510A">
        <w:rPr>
          <w:i/>
          <w:sz w:val="16"/>
          <w:szCs w:val="16"/>
        </w:rPr>
        <w:t xml:space="preserve">, Jorge Barón </w:t>
      </w:r>
      <w:proofErr w:type="spellStart"/>
      <w:r w:rsidRPr="0048510A">
        <w:rPr>
          <w:i/>
          <w:sz w:val="16"/>
          <w:szCs w:val="16"/>
        </w:rPr>
        <w:t>Guttlein</w:t>
      </w:r>
      <w:proofErr w:type="spellEnd"/>
      <w:r w:rsidRPr="0048510A">
        <w:rPr>
          <w:i/>
          <w:sz w:val="16"/>
          <w:szCs w:val="16"/>
        </w:rPr>
        <w:t xml:space="preserve"> y Rodolfo Izal </w:t>
      </w:r>
      <w:proofErr w:type="spellStart"/>
      <w:r w:rsidRPr="0048510A">
        <w:rPr>
          <w:i/>
          <w:sz w:val="16"/>
          <w:szCs w:val="16"/>
        </w:rPr>
        <w:t>Elorz</w:t>
      </w:r>
      <w:proofErr w:type="spellEnd"/>
      <w:r w:rsidRPr="0048510A">
        <w:rPr>
          <w:i/>
          <w:sz w:val="16"/>
          <w:szCs w:val="16"/>
        </w:rPr>
        <w:t xml:space="preserve">. </w:t>
      </w:r>
      <w:r w:rsidRPr="0048510A">
        <w:rPr>
          <w:sz w:val="16"/>
          <w:szCs w:val="16"/>
        </w:rPr>
        <w:t xml:space="preserve">México. 13 de abril de 1999. Párr. 60; CIDH. Informe No. 84/09. Caso 12.525. </w:t>
      </w:r>
      <w:r w:rsidRPr="0048510A">
        <w:rPr>
          <w:i/>
          <w:sz w:val="16"/>
          <w:szCs w:val="16"/>
        </w:rPr>
        <w:t>Nelson Iván Serrano Sáenz.</w:t>
      </w:r>
      <w:r w:rsidRPr="0048510A">
        <w:rPr>
          <w:sz w:val="16"/>
          <w:szCs w:val="16"/>
        </w:rPr>
        <w:t xml:space="preserve"> Publicación. Ecuador. 6 de agosto de 2009. </w:t>
      </w:r>
      <w:proofErr w:type="spellStart"/>
      <w:r w:rsidRPr="0048510A">
        <w:rPr>
          <w:sz w:val="16"/>
          <w:szCs w:val="16"/>
        </w:rPr>
        <w:t>Párrs</w:t>
      </w:r>
      <w:proofErr w:type="spellEnd"/>
      <w:r w:rsidRPr="0048510A">
        <w:rPr>
          <w:sz w:val="16"/>
          <w:szCs w:val="16"/>
        </w:rPr>
        <w:t xml:space="preserve">. 61 y 62. </w:t>
      </w:r>
    </w:p>
  </w:footnote>
  <w:footnote w:id="45">
    <w:p w14:paraId="5256DFF9" w14:textId="75940832" w:rsidR="00A61DD8" w:rsidRPr="00E230BB" w:rsidRDefault="00A61DD8" w:rsidP="001546C9">
      <w:pPr>
        <w:pStyle w:val="FootnoteText"/>
        <w:ind w:firstLine="720"/>
        <w:jc w:val="both"/>
        <w:rPr>
          <w:rFonts w:ascii="Cambria" w:hAnsi="Cambria"/>
          <w:sz w:val="16"/>
          <w:szCs w:val="16"/>
          <w:lang w:val="es-US"/>
        </w:rPr>
      </w:pPr>
      <w:r w:rsidRPr="00E230BB">
        <w:rPr>
          <w:rStyle w:val="FootnoteReference"/>
          <w:rFonts w:ascii="Cambria" w:hAnsi="Cambria"/>
          <w:sz w:val="16"/>
          <w:szCs w:val="16"/>
        </w:rPr>
        <w:footnoteRef/>
      </w:r>
      <w:r w:rsidRPr="000C5391">
        <w:rPr>
          <w:rFonts w:ascii="Cambria" w:hAnsi="Cambria"/>
          <w:sz w:val="16"/>
          <w:szCs w:val="16"/>
          <w:lang w:val="es-CO"/>
        </w:rPr>
        <w:t xml:space="preserve"> Corte IDH, Caso Barreto Leiva vs. Venezuela. </w:t>
      </w:r>
      <w:r w:rsidRPr="00E230BB">
        <w:rPr>
          <w:rFonts w:ascii="Cambria" w:hAnsi="Cambria"/>
          <w:sz w:val="16"/>
          <w:szCs w:val="16"/>
          <w:lang w:val="es-US"/>
        </w:rPr>
        <w:t>Fondo, Reparaciones y ostas. Sentencia del 17 de noviembre de 2009. Serie C. párr. 62</w:t>
      </w:r>
      <w:r>
        <w:rPr>
          <w:rFonts w:ascii="Cambria" w:hAnsi="Cambria"/>
          <w:sz w:val="16"/>
          <w:szCs w:val="16"/>
          <w:lang w:val="es-US"/>
        </w:rPr>
        <w:t>.</w:t>
      </w:r>
    </w:p>
    <w:p w14:paraId="69DB2799" w14:textId="4B0B6F95" w:rsidR="00A61DD8" w:rsidRPr="00E230BB" w:rsidRDefault="00A61DD8" w:rsidP="001546C9">
      <w:pPr>
        <w:pStyle w:val="FootnoteText"/>
        <w:ind w:firstLine="720"/>
        <w:jc w:val="both"/>
        <w:rPr>
          <w:rFonts w:ascii="Cambria" w:hAnsi="Cambria"/>
          <w:sz w:val="16"/>
          <w:szCs w:val="16"/>
          <w:lang w:val="es-US"/>
        </w:rPr>
      </w:pPr>
      <w:r w:rsidRPr="00E230BB">
        <w:rPr>
          <w:rFonts w:ascii="Cambria" w:hAnsi="Cambria"/>
          <w:sz w:val="16"/>
          <w:szCs w:val="16"/>
          <w:lang w:val="es-VE"/>
        </w:rPr>
        <w:t xml:space="preserve">Corte IDH, Caso López </w:t>
      </w:r>
      <w:proofErr w:type="spellStart"/>
      <w:r w:rsidRPr="00E230BB">
        <w:rPr>
          <w:rFonts w:ascii="Cambria" w:hAnsi="Cambria"/>
          <w:sz w:val="16"/>
          <w:szCs w:val="16"/>
          <w:lang w:val="es-VE"/>
        </w:rPr>
        <w:t>Lone</w:t>
      </w:r>
      <w:proofErr w:type="spellEnd"/>
      <w:r w:rsidRPr="00E230BB">
        <w:rPr>
          <w:rFonts w:ascii="Cambria" w:hAnsi="Cambria"/>
          <w:sz w:val="16"/>
          <w:szCs w:val="16"/>
          <w:lang w:val="es-VE"/>
        </w:rPr>
        <w:t xml:space="preserve"> y otros Vs. </w:t>
      </w:r>
      <w:r w:rsidRPr="00E230BB">
        <w:rPr>
          <w:rFonts w:ascii="Cambria" w:hAnsi="Cambria"/>
          <w:sz w:val="16"/>
          <w:szCs w:val="16"/>
          <w:lang w:val="es-CO"/>
        </w:rPr>
        <w:t xml:space="preserve">Honduras. </w:t>
      </w:r>
      <w:r w:rsidRPr="00E230BB">
        <w:rPr>
          <w:rFonts w:ascii="Cambria" w:hAnsi="Cambria"/>
          <w:sz w:val="16"/>
          <w:szCs w:val="16"/>
          <w:lang w:val="es-VE"/>
        </w:rPr>
        <w:t>Excepción Preliminar, Fondo, Reparaciones y Costas. Sentencia de 05 de octubre de 2015. Serie C No. 302, párr. 257</w:t>
      </w:r>
      <w:r>
        <w:rPr>
          <w:rFonts w:ascii="Cambria" w:hAnsi="Cambria"/>
          <w:sz w:val="16"/>
          <w:szCs w:val="16"/>
          <w:lang w:val="es-VE"/>
        </w:rPr>
        <w:t>.</w:t>
      </w:r>
    </w:p>
  </w:footnote>
  <w:footnote w:id="46">
    <w:p w14:paraId="178B181D" w14:textId="10C485EB" w:rsidR="00A61DD8" w:rsidRPr="00E230BB" w:rsidRDefault="00A61DD8" w:rsidP="001546C9">
      <w:pPr>
        <w:pStyle w:val="FootnoteText"/>
        <w:ind w:firstLine="720"/>
        <w:jc w:val="both"/>
        <w:rPr>
          <w:rFonts w:ascii="Cambria" w:hAnsi="Cambria"/>
          <w:sz w:val="16"/>
          <w:szCs w:val="16"/>
          <w:lang w:val="es-US"/>
        </w:rPr>
      </w:pPr>
      <w:r w:rsidRPr="00E230BB">
        <w:rPr>
          <w:rStyle w:val="FootnoteReference"/>
          <w:rFonts w:ascii="Cambria" w:hAnsi="Cambria"/>
          <w:sz w:val="16"/>
          <w:szCs w:val="16"/>
        </w:rPr>
        <w:footnoteRef/>
      </w:r>
      <w:r w:rsidRPr="00E230BB">
        <w:rPr>
          <w:rFonts w:ascii="Cambria" w:hAnsi="Cambria"/>
          <w:sz w:val="16"/>
          <w:szCs w:val="16"/>
          <w:lang w:val="es-VE"/>
        </w:rPr>
        <w:t xml:space="preserve"> </w:t>
      </w:r>
      <w:r w:rsidRPr="00E230BB">
        <w:rPr>
          <w:rFonts w:ascii="Cambria" w:hAnsi="Cambria"/>
          <w:sz w:val="16"/>
          <w:szCs w:val="16"/>
          <w:lang w:val="es-US"/>
        </w:rPr>
        <w:t>Corte IDH, Caso Vélez Loor vs. Panamá. Excepciones preliminares, Fondo, Reparaciones y Costas. Sentencia de 23 de noviembre de 2010. Serie C. párr. 132</w:t>
      </w:r>
      <w:r>
        <w:rPr>
          <w:rFonts w:ascii="Cambria" w:hAnsi="Cambria"/>
          <w:sz w:val="16"/>
          <w:szCs w:val="16"/>
          <w:lang w:val="es-US"/>
        </w:rPr>
        <w:t>.</w:t>
      </w:r>
    </w:p>
  </w:footnote>
  <w:footnote w:id="47">
    <w:p w14:paraId="4E28C9DB" w14:textId="5E52333B" w:rsidR="00A61DD8" w:rsidRPr="00E230BB" w:rsidRDefault="00A61DD8" w:rsidP="001546C9">
      <w:pPr>
        <w:pStyle w:val="FootnoteText"/>
        <w:ind w:firstLine="720"/>
        <w:jc w:val="both"/>
        <w:rPr>
          <w:rFonts w:ascii="Cambria" w:hAnsi="Cambria"/>
          <w:sz w:val="16"/>
          <w:szCs w:val="16"/>
          <w:lang w:val="es-US"/>
        </w:rPr>
      </w:pPr>
      <w:r w:rsidRPr="00E230BB">
        <w:rPr>
          <w:rStyle w:val="FootnoteReference"/>
          <w:rFonts w:ascii="Cambria" w:hAnsi="Cambria"/>
          <w:sz w:val="16"/>
          <w:szCs w:val="16"/>
        </w:rPr>
        <w:footnoteRef/>
      </w:r>
      <w:r w:rsidRPr="00E230BB">
        <w:rPr>
          <w:rFonts w:ascii="Cambria" w:hAnsi="Cambria"/>
          <w:sz w:val="16"/>
          <w:szCs w:val="16"/>
          <w:lang w:val="es-VE"/>
        </w:rPr>
        <w:t xml:space="preserve"> </w:t>
      </w:r>
      <w:r w:rsidRPr="00E230BB">
        <w:rPr>
          <w:rFonts w:ascii="Cambria" w:hAnsi="Cambria"/>
          <w:sz w:val="16"/>
          <w:szCs w:val="16"/>
          <w:lang w:val="es-US"/>
        </w:rPr>
        <w:t>Corte IDH, Caso Vélez Loor vs. Panamá. Excepciones preliminares, Fondo, Reparaciones y Costas. Sentencia de 23 de noviembre de 2010. Serie C. párr. 132</w:t>
      </w:r>
      <w:r>
        <w:rPr>
          <w:rFonts w:ascii="Cambria" w:hAnsi="Cambria"/>
          <w:sz w:val="16"/>
          <w:szCs w:val="16"/>
          <w:lang w:val="es-US"/>
        </w:rPr>
        <w:t>.</w:t>
      </w:r>
    </w:p>
  </w:footnote>
  <w:footnote w:id="48">
    <w:p w14:paraId="0294BF64" w14:textId="4C756C90" w:rsidR="00A61DD8" w:rsidRPr="00D70A2A" w:rsidRDefault="00A61DD8" w:rsidP="00D70A2A">
      <w:pPr>
        <w:pStyle w:val="FootnoteText"/>
        <w:ind w:firstLine="720"/>
        <w:jc w:val="both"/>
        <w:rPr>
          <w:rFonts w:asciiTheme="majorHAnsi" w:hAnsiTheme="majorHAnsi"/>
          <w:sz w:val="16"/>
          <w:szCs w:val="16"/>
          <w:lang w:val="es-CO"/>
        </w:rPr>
      </w:pPr>
      <w:r w:rsidRPr="00D70A2A">
        <w:rPr>
          <w:rStyle w:val="FootnoteReference"/>
          <w:rFonts w:asciiTheme="majorHAnsi" w:hAnsiTheme="majorHAnsi"/>
          <w:sz w:val="16"/>
          <w:szCs w:val="16"/>
        </w:rPr>
        <w:footnoteRef/>
      </w:r>
      <w:r w:rsidRPr="00D70A2A">
        <w:rPr>
          <w:rFonts w:asciiTheme="majorHAnsi" w:hAnsiTheme="majorHAnsi"/>
          <w:sz w:val="16"/>
          <w:szCs w:val="16"/>
          <w:lang w:val="es-CO"/>
        </w:rPr>
        <w:t xml:space="preserve"> Respecto de las reglas de carga de la prueba frente a alegatos similares, ver. Corte IDH. </w:t>
      </w:r>
      <w:r w:rsidRPr="00D70A2A">
        <w:rPr>
          <w:rFonts w:asciiTheme="majorHAnsi" w:hAnsiTheme="majorHAnsi"/>
          <w:bCs/>
          <w:i/>
          <w:sz w:val="16"/>
          <w:szCs w:val="16"/>
          <w:lang w:val="es-ES_tradnl"/>
        </w:rPr>
        <w:t>Caso Chaparro Álvarez y Lapo Íñiguez. Vs. Ecuador.</w:t>
      </w:r>
      <w:r w:rsidRPr="00D70A2A">
        <w:rPr>
          <w:rFonts w:asciiTheme="majorHAnsi" w:hAnsiTheme="majorHAnsi"/>
          <w:bCs/>
          <w:sz w:val="16"/>
          <w:szCs w:val="16"/>
          <w:lang w:val="es-ES_tradnl"/>
        </w:rPr>
        <w:t xml:space="preserve"> </w:t>
      </w:r>
      <w:r w:rsidRPr="00D70A2A">
        <w:rPr>
          <w:rFonts w:asciiTheme="majorHAnsi" w:hAnsiTheme="majorHAnsi"/>
          <w:sz w:val="16"/>
          <w:szCs w:val="16"/>
          <w:lang w:val="es-ES_tradnl"/>
        </w:rPr>
        <w:t xml:space="preserve">Excepciones Preliminares, Fondo, Reparaciones y Costas. Sentencia de 21 de noviembre de 2007. Serie C No. 170, </w:t>
      </w:r>
      <w:r w:rsidRPr="00D70A2A">
        <w:rPr>
          <w:rFonts w:asciiTheme="majorHAnsi" w:hAnsiTheme="majorHAnsi"/>
          <w:sz w:val="16"/>
          <w:szCs w:val="16"/>
          <w:lang w:val="es-ES"/>
        </w:rPr>
        <w:t>párr. 73.</w:t>
      </w:r>
    </w:p>
  </w:footnote>
  <w:footnote w:id="49">
    <w:p w14:paraId="0DD4AEAD" w14:textId="77777777" w:rsidR="00A61DD8" w:rsidRPr="006F6EFA" w:rsidRDefault="00A61DD8" w:rsidP="001546C9">
      <w:pPr>
        <w:suppressAutoHyphens/>
        <w:ind w:right="720" w:firstLine="720"/>
        <w:jc w:val="both"/>
        <w:rPr>
          <w:rFonts w:ascii="Cambria" w:hAnsi="Cambria" w:cs="TimesNewRoman"/>
          <w:sz w:val="16"/>
          <w:szCs w:val="16"/>
          <w:lang w:val="es-CO" w:eastAsia="es-ES_tradnl"/>
        </w:rPr>
      </w:pPr>
      <w:r w:rsidRPr="00CB455B">
        <w:rPr>
          <w:rStyle w:val="FootnoteReference"/>
          <w:rFonts w:ascii="Cambria" w:hAnsi="Cambria"/>
          <w:sz w:val="16"/>
          <w:szCs w:val="16"/>
          <w:lang w:val="es-CO"/>
        </w:rPr>
        <w:footnoteRef/>
      </w:r>
      <w:r w:rsidRPr="00CB455B">
        <w:rPr>
          <w:rFonts w:ascii="Cambria" w:hAnsi="Cambria"/>
          <w:sz w:val="16"/>
          <w:szCs w:val="16"/>
          <w:lang w:val="es-CO"/>
        </w:rPr>
        <w:t xml:space="preserve"> El artículo 8.2 de la Convención Americana establece que: </w:t>
      </w:r>
      <w:r w:rsidRPr="00CB455B">
        <w:rPr>
          <w:rFonts w:ascii="Cambria" w:hAnsi="Cambria" w:cs="Tahoma"/>
          <w:sz w:val="16"/>
          <w:szCs w:val="16"/>
          <w:lang w:val="es-CO" w:bidi="en-US"/>
        </w:rPr>
        <w:t>Toda persona inculpada de delito tiene derecho a que se presuma su inocencia mientras no se establezca legalmente su culpabilidad. </w:t>
      </w:r>
    </w:p>
  </w:footnote>
  <w:footnote w:id="50">
    <w:p w14:paraId="05197FA2" w14:textId="77777777" w:rsidR="00A61DD8" w:rsidRPr="00C078E7" w:rsidRDefault="00A61DD8" w:rsidP="00387EB0">
      <w:pPr>
        <w:pStyle w:val="FootnoteText"/>
        <w:ind w:firstLine="720"/>
        <w:jc w:val="both"/>
        <w:rPr>
          <w:rFonts w:ascii="Cambria" w:hAnsi="Cambria"/>
          <w:color w:val="auto"/>
          <w:sz w:val="16"/>
          <w:szCs w:val="16"/>
          <w:lang w:val="es-ES"/>
        </w:rPr>
      </w:pPr>
      <w:r w:rsidRPr="00C078E7">
        <w:rPr>
          <w:rStyle w:val="FootnoteReference"/>
          <w:rFonts w:ascii="Cambria" w:hAnsi="Cambria"/>
          <w:color w:val="auto"/>
          <w:sz w:val="16"/>
          <w:szCs w:val="16"/>
        </w:rPr>
        <w:footnoteRef/>
      </w:r>
      <w:r w:rsidRPr="00C078E7">
        <w:rPr>
          <w:rFonts w:ascii="Cambria" w:hAnsi="Cambria"/>
          <w:color w:val="auto"/>
          <w:sz w:val="16"/>
          <w:szCs w:val="16"/>
          <w:lang w:val="es-ES"/>
        </w:rPr>
        <w:t xml:space="preserve"> </w:t>
      </w:r>
      <w:r w:rsidRPr="00C078E7">
        <w:rPr>
          <w:rStyle w:val="Strong"/>
          <w:rFonts w:ascii="Cambria" w:hAnsi="Cambria"/>
          <w:b w:val="0"/>
          <w:color w:val="auto"/>
          <w:sz w:val="16"/>
          <w:szCs w:val="16"/>
          <w:shd w:val="clear" w:color="auto" w:fill="FFFFFF"/>
          <w:lang w:val="es-ES"/>
        </w:rPr>
        <w:t xml:space="preserve">Corte IDH. </w:t>
      </w:r>
      <w:r w:rsidRPr="00C078E7">
        <w:rPr>
          <w:rStyle w:val="Strong"/>
          <w:rFonts w:ascii="Cambria" w:hAnsi="Cambria"/>
          <w:b w:val="0"/>
          <w:i/>
          <w:color w:val="auto"/>
          <w:sz w:val="16"/>
          <w:szCs w:val="16"/>
          <w:shd w:val="clear" w:color="auto" w:fill="FFFFFF"/>
          <w:lang w:val="es-ES"/>
        </w:rPr>
        <w:t>Caso Ruano Torres y otros Vs. El Salvador</w:t>
      </w:r>
      <w:r w:rsidRPr="00C078E7">
        <w:rPr>
          <w:rStyle w:val="Strong"/>
          <w:rFonts w:ascii="Cambria" w:hAnsi="Cambria"/>
          <w:b w:val="0"/>
          <w:color w:val="auto"/>
          <w:sz w:val="16"/>
          <w:szCs w:val="16"/>
          <w:shd w:val="clear" w:color="auto" w:fill="FFFFFF"/>
          <w:lang w:val="es-ES"/>
        </w:rPr>
        <w:t>. Fondo, Reparaciones y Costas. Sentencia de 5 de octubre de 2015. Serie C No. 303, párr. 126.</w:t>
      </w:r>
    </w:p>
  </w:footnote>
  <w:footnote w:id="51">
    <w:p w14:paraId="3E421875" w14:textId="77777777" w:rsidR="00A61DD8" w:rsidRPr="00C078E7" w:rsidRDefault="00A61DD8" w:rsidP="0096183A">
      <w:pPr>
        <w:pStyle w:val="FootnoteText"/>
        <w:ind w:firstLine="720"/>
        <w:jc w:val="both"/>
        <w:rPr>
          <w:rFonts w:ascii="Cambria" w:hAnsi="Cambria"/>
          <w:color w:val="auto"/>
          <w:sz w:val="16"/>
          <w:szCs w:val="16"/>
          <w:lang w:val="es-ES"/>
        </w:rPr>
      </w:pPr>
      <w:r w:rsidRPr="00C078E7">
        <w:rPr>
          <w:rStyle w:val="FootnoteReference"/>
          <w:rFonts w:ascii="Cambria" w:hAnsi="Cambria"/>
          <w:color w:val="auto"/>
          <w:sz w:val="16"/>
          <w:szCs w:val="16"/>
          <w:lang w:val="es-ES"/>
        </w:rPr>
        <w:footnoteRef/>
      </w:r>
      <w:r w:rsidRPr="00C078E7">
        <w:rPr>
          <w:rFonts w:ascii="Cambria" w:hAnsi="Cambria"/>
          <w:color w:val="auto"/>
          <w:sz w:val="16"/>
          <w:szCs w:val="16"/>
          <w:lang w:val="es-ES"/>
        </w:rPr>
        <w:t xml:space="preserve"> Corte IDH. </w:t>
      </w:r>
      <w:r w:rsidRPr="00C078E7">
        <w:rPr>
          <w:rFonts w:ascii="Cambria" w:hAnsi="Cambria"/>
          <w:i/>
          <w:color w:val="auto"/>
          <w:sz w:val="16"/>
          <w:szCs w:val="16"/>
          <w:lang w:val="es-ES"/>
        </w:rPr>
        <w:t xml:space="preserve">Caso Ricardo </w:t>
      </w:r>
      <w:proofErr w:type="spellStart"/>
      <w:r w:rsidRPr="00C078E7">
        <w:rPr>
          <w:rFonts w:ascii="Cambria" w:hAnsi="Cambria"/>
          <w:i/>
          <w:color w:val="auto"/>
          <w:sz w:val="16"/>
          <w:szCs w:val="16"/>
          <w:lang w:val="es-ES"/>
        </w:rPr>
        <w:t>Canese</w:t>
      </w:r>
      <w:proofErr w:type="spellEnd"/>
      <w:r w:rsidRPr="00C078E7">
        <w:rPr>
          <w:rFonts w:ascii="Cambria" w:hAnsi="Cambria"/>
          <w:i/>
          <w:color w:val="auto"/>
          <w:sz w:val="16"/>
          <w:szCs w:val="16"/>
          <w:lang w:val="es-ES"/>
        </w:rPr>
        <w:t xml:space="preserve"> Vs. Paraguay. </w:t>
      </w:r>
      <w:r w:rsidRPr="00C078E7">
        <w:rPr>
          <w:rFonts w:ascii="Cambria" w:hAnsi="Cambria"/>
          <w:color w:val="auto"/>
          <w:sz w:val="16"/>
          <w:szCs w:val="16"/>
          <w:lang w:val="es-ES"/>
        </w:rPr>
        <w:t>Sentencia de 31 de agosto de 2004. Serie C No. 111, párr. 154.</w:t>
      </w:r>
    </w:p>
  </w:footnote>
  <w:footnote w:id="52">
    <w:p w14:paraId="08B11999" w14:textId="77777777" w:rsidR="00A61DD8" w:rsidRPr="000C5391" w:rsidRDefault="00A61DD8" w:rsidP="0096183A">
      <w:pPr>
        <w:pStyle w:val="FootnoteText"/>
        <w:ind w:firstLine="720"/>
        <w:jc w:val="both"/>
        <w:rPr>
          <w:rFonts w:ascii="Cambria" w:hAnsi="Cambria"/>
          <w:color w:val="auto"/>
          <w:sz w:val="16"/>
          <w:szCs w:val="16"/>
          <w:lang w:val="es-CO"/>
        </w:rPr>
      </w:pPr>
      <w:r w:rsidRPr="00C078E7">
        <w:rPr>
          <w:rStyle w:val="FootnoteReference"/>
          <w:rFonts w:ascii="Cambria" w:hAnsi="Cambria"/>
          <w:color w:val="auto"/>
          <w:sz w:val="16"/>
          <w:szCs w:val="16"/>
          <w:lang w:val="es-ES"/>
        </w:rPr>
        <w:footnoteRef/>
      </w:r>
      <w:r w:rsidRPr="00C078E7">
        <w:rPr>
          <w:rFonts w:ascii="Cambria" w:hAnsi="Cambria"/>
          <w:color w:val="auto"/>
          <w:sz w:val="16"/>
          <w:szCs w:val="16"/>
          <w:lang w:val="es-ES"/>
        </w:rPr>
        <w:t xml:space="preserve"> CIDH. Informe No. 82/13. Caso 12.679. Fondo. José Agapito Ruano Torres y familia. El Salvador. 4 de noviembre de 2013, párr. </w:t>
      </w:r>
      <w:r w:rsidRPr="000C5391">
        <w:rPr>
          <w:rFonts w:ascii="Cambria" w:hAnsi="Cambria"/>
          <w:color w:val="auto"/>
          <w:sz w:val="16"/>
          <w:szCs w:val="16"/>
          <w:lang w:val="es-CO"/>
        </w:rPr>
        <w:t>118.</w:t>
      </w:r>
    </w:p>
  </w:footnote>
  <w:footnote w:id="53">
    <w:p w14:paraId="69D4D779" w14:textId="77777777" w:rsidR="00A61DD8" w:rsidRPr="00386227" w:rsidRDefault="00A61DD8" w:rsidP="001546C9">
      <w:pPr>
        <w:pStyle w:val="FootnoteText"/>
        <w:ind w:firstLine="720"/>
        <w:jc w:val="both"/>
        <w:rPr>
          <w:rFonts w:ascii="Cambria" w:hAnsi="Cambria"/>
          <w:sz w:val="16"/>
          <w:szCs w:val="16"/>
          <w:lang w:val="es-VE"/>
        </w:rPr>
      </w:pPr>
      <w:r w:rsidRPr="00386227">
        <w:rPr>
          <w:rStyle w:val="FootnoteReference"/>
          <w:rFonts w:ascii="Cambria" w:hAnsi="Cambria"/>
          <w:sz w:val="16"/>
          <w:szCs w:val="16"/>
        </w:rPr>
        <w:footnoteRef/>
      </w:r>
      <w:r w:rsidRPr="00386227">
        <w:rPr>
          <w:rFonts w:ascii="Cambria" w:hAnsi="Cambria"/>
          <w:sz w:val="16"/>
          <w:szCs w:val="16"/>
          <w:lang w:val="es-VE"/>
        </w:rPr>
        <w:t xml:space="preserve"> Corte IDH. Caso Ruano Torre y otros vs. El Salvador. Fondo, Reparaciones y Costas. Sentencia de 5 de octubre de 2015. Serie C No. 303, párr.127.</w:t>
      </w:r>
    </w:p>
  </w:footnote>
  <w:footnote w:id="54">
    <w:p w14:paraId="255B28EE" w14:textId="77777777" w:rsidR="00A61DD8" w:rsidRPr="00084ECF" w:rsidRDefault="00A61DD8" w:rsidP="001546C9">
      <w:pPr>
        <w:pStyle w:val="FootnoteText"/>
        <w:ind w:firstLine="720"/>
        <w:jc w:val="both"/>
        <w:rPr>
          <w:rFonts w:ascii="Cambria" w:hAnsi="Cambria"/>
          <w:sz w:val="16"/>
          <w:szCs w:val="16"/>
          <w:lang w:val="es-VE"/>
        </w:rPr>
      </w:pPr>
      <w:r w:rsidRPr="00084ECF">
        <w:rPr>
          <w:rStyle w:val="FootnoteReference"/>
          <w:rFonts w:ascii="Cambria" w:hAnsi="Cambria"/>
          <w:sz w:val="16"/>
          <w:szCs w:val="16"/>
        </w:rPr>
        <w:footnoteRef/>
      </w:r>
      <w:r w:rsidRPr="00084ECF">
        <w:rPr>
          <w:rFonts w:ascii="Cambria" w:hAnsi="Cambria"/>
          <w:sz w:val="16"/>
          <w:szCs w:val="16"/>
          <w:lang w:val="es-VE"/>
        </w:rPr>
        <w:t xml:space="preserve"> CIDH, Informe sobre el Uso de la Prisión Preventiva en las Américas, OEA/</w:t>
      </w:r>
      <w:proofErr w:type="spellStart"/>
      <w:r w:rsidRPr="00084ECF">
        <w:rPr>
          <w:rFonts w:ascii="Cambria" w:hAnsi="Cambria"/>
          <w:sz w:val="16"/>
          <w:szCs w:val="16"/>
          <w:lang w:val="es-VE"/>
        </w:rPr>
        <w:t>Ser.L</w:t>
      </w:r>
      <w:proofErr w:type="spellEnd"/>
      <w:r w:rsidRPr="00084ECF">
        <w:rPr>
          <w:rFonts w:ascii="Cambria" w:hAnsi="Cambria"/>
          <w:sz w:val="16"/>
          <w:szCs w:val="16"/>
          <w:lang w:val="es-VE"/>
        </w:rPr>
        <w:t>/V/II.Doc.46/13, 30 de diciembre de 2013, párr.132.</w:t>
      </w:r>
    </w:p>
  </w:footnote>
  <w:footnote w:id="55">
    <w:p w14:paraId="353E027C" w14:textId="77777777" w:rsidR="00A61DD8" w:rsidRPr="00084ECF" w:rsidRDefault="00A61DD8" w:rsidP="001546C9">
      <w:pPr>
        <w:pStyle w:val="FootnoteText"/>
        <w:ind w:firstLine="720"/>
        <w:jc w:val="both"/>
        <w:rPr>
          <w:rFonts w:ascii="Cambria" w:hAnsi="Cambria"/>
          <w:sz w:val="16"/>
          <w:szCs w:val="16"/>
          <w:lang w:val="es-VE"/>
        </w:rPr>
      </w:pPr>
      <w:r w:rsidRPr="00084ECF">
        <w:rPr>
          <w:rStyle w:val="FootnoteReference"/>
          <w:rFonts w:ascii="Cambria" w:hAnsi="Cambria"/>
          <w:sz w:val="16"/>
          <w:szCs w:val="16"/>
        </w:rPr>
        <w:footnoteRef/>
      </w:r>
      <w:r w:rsidRPr="00B21168">
        <w:rPr>
          <w:rFonts w:ascii="Cambria" w:hAnsi="Cambria"/>
          <w:sz w:val="16"/>
          <w:szCs w:val="16"/>
          <w:lang w:val="pt-BR"/>
        </w:rPr>
        <w:t xml:space="preserve"> </w:t>
      </w:r>
      <w:r w:rsidRPr="00B21168">
        <w:rPr>
          <w:rFonts w:ascii="Cambria" w:hAnsi="Cambria"/>
          <w:sz w:val="16"/>
          <w:szCs w:val="16"/>
          <w:lang w:val="pt-BR"/>
        </w:rPr>
        <w:t xml:space="preserve">CIDH, Informe No 42/17, Caso 12.031. Fondo. Jorge Rosadio Villavicencio. </w:t>
      </w:r>
      <w:r w:rsidRPr="00084ECF">
        <w:rPr>
          <w:rFonts w:ascii="Cambria" w:hAnsi="Cambria"/>
          <w:sz w:val="16"/>
          <w:szCs w:val="16"/>
          <w:lang w:val="es-VE"/>
        </w:rPr>
        <w:t>Perú. 23 de mayo de 2017, párr.157.</w:t>
      </w:r>
    </w:p>
    <w:p w14:paraId="26F22897" w14:textId="77777777" w:rsidR="00A61DD8" w:rsidRPr="00CB455B" w:rsidRDefault="00A61DD8" w:rsidP="001546C9">
      <w:pPr>
        <w:pStyle w:val="FootnoteText"/>
        <w:ind w:firstLine="720"/>
        <w:jc w:val="both"/>
        <w:rPr>
          <w:lang w:val="es-VE"/>
        </w:rPr>
      </w:pPr>
    </w:p>
  </w:footnote>
  <w:footnote w:id="56">
    <w:p w14:paraId="2308376C" w14:textId="77777777" w:rsidR="00A61DD8" w:rsidRPr="00BA2BDB" w:rsidRDefault="00A61DD8" w:rsidP="00B96611">
      <w:pPr>
        <w:pStyle w:val="FootnoteText"/>
        <w:ind w:firstLine="720"/>
        <w:jc w:val="both"/>
        <w:rPr>
          <w:rFonts w:ascii="Cambria" w:hAnsi="Cambria"/>
          <w:sz w:val="16"/>
          <w:szCs w:val="16"/>
          <w:lang w:val="es-ES"/>
        </w:rPr>
      </w:pPr>
      <w:r w:rsidRPr="00BA2BDB">
        <w:rPr>
          <w:rStyle w:val="FootnoteReference"/>
          <w:rFonts w:ascii="Cambria" w:hAnsi="Cambria"/>
          <w:sz w:val="16"/>
          <w:szCs w:val="16"/>
        </w:rPr>
        <w:footnoteRef/>
      </w:r>
      <w:r w:rsidRPr="00BA2BDB">
        <w:rPr>
          <w:rFonts w:ascii="Cambria" w:hAnsi="Cambria"/>
          <w:sz w:val="16"/>
          <w:szCs w:val="16"/>
          <w:lang w:val="es-VE"/>
        </w:rPr>
        <w:t xml:space="preserve"> </w:t>
      </w:r>
      <w:r w:rsidRPr="00BA2BDB">
        <w:rPr>
          <w:rFonts w:ascii="Cambria" w:hAnsi="Cambria"/>
          <w:sz w:val="16"/>
          <w:szCs w:val="16"/>
          <w:lang w:val="es-AR"/>
        </w:rPr>
        <w:t>El artículo 9 de la Convención establece que nadie puede ser condenado por acciones u omisiones que en el momento de cometerse no fueran delictivos según el derecho aplicable. Tampoco se puede imponer pena más grave que la aplicable en el momento de la comisión del delito. Si con posterior a la comisión del delito la ley dispone la imposición de una pena más leve, el delincuente se beneficiará de ello.</w:t>
      </w:r>
    </w:p>
  </w:footnote>
  <w:footnote w:id="57">
    <w:p w14:paraId="6969968A" w14:textId="77777777" w:rsidR="00A61DD8" w:rsidRPr="00BA2BDB" w:rsidRDefault="00A61DD8" w:rsidP="001546C9">
      <w:pPr>
        <w:ind w:firstLine="720"/>
        <w:jc w:val="both"/>
        <w:rPr>
          <w:rFonts w:ascii="Cambria" w:hAnsi="Cambria"/>
          <w:sz w:val="16"/>
          <w:szCs w:val="16"/>
          <w:lang w:val="es-CO"/>
        </w:rPr>
      </w:pPr>
      <w:r w:rsidRPr="00BA2BDB">
        <w:rPr>
          <w:rStyle w:val="FootnoteReference"/>
          <w:rFonts w:ascii="Cambria" w:hAnsi="Cambria"/>
          <w:sz w:val="16"/>
          <w:szCs w:val="16"/>
        </w:rPr>
        <w:footnoteRef/>
      </w:r>
      <w:r w:rsidRPr="00BA2BDB">
        <w:rPr>
          <w:rFonts w:ascii="Cambria" w:hAnsi="Cambria"/>
          <w:sz w:val="16"/>
          <w:szCs w:val="16"/>
          <w:lang w:val="es-VE"/>
        </w:rPr>
        <w:t xml:space="preserve"> CIDH, Criminalización de la labor de las defensoras y los defensores de derechos humanos, OEA/</w:t>
      </w:r>
      <w:proofErr w:type="spellStart"/>
      <w:r w:rsidRPr="00BA2BDB">
        <w:rPr>
          <w:rFonts w:ascii="Cambria" w:hAnsi="Cambria"/>
          <w:sz w:val="16"/>
          <w:szCs w:val="16"/>
          <w:lang w:val="es-VE"/>
        </w:rPr>
        <w:t>Ser.L</w:t>
      </w:r>
      <w:proofErr w:type="spellEnd"/>
      <w:r w:rsidRPr="00BA2BDB">
        <w:rPr>
          <w:rFonts w:ascii="Cambria" w:hAnsi="Cambria"/>
          <w:sz w:val="16"/>
          <w:szCs w:val="16"/>
          <w:lang w:val="es-VE"/>
        </w:rPr>
        <w:t>/V/Doc.49/15, 31 de diciembre de 2015, párr. 253.</w:t>
      </w:r>
    </w:p>
  </w:footnote>
  <w:footnote w:id="58">
    <w:p w14:paraId="12C11F3A" w14:textId="77777777" w:rsidR="00A61DD8" w:rsidRPr="00BA2BDB" w:rsidRDefault="00A61DD8" w:rsidP="001546C9">
      <w:pPr>
        <w:pStyle w:val="FootnoteText"/>
        <w:tabs>
          <w:tab w:val="num" w:pos="0"/>
        </w:tabs>
        <w:ind w:firstLine="720"/>
        <w:jc w:val="both"/>
        <w:rPr>
          <w:rFonts w:ascii="Cambria" w:hAnsi="Cambria"/>
          <w:sz w:val="16"/>
          <w:szCs w:val="16"/>
          <w:lang w:val="es-VE"/>
        </w:rPr>
      </w:pPr>
      <w:r w:rsidRPr="00BA2BDB">
        <w:rPr>
          <w:rStyle w:val="FootnoteReference"/>
          <w:rFonts w:ascii="Cambria" w:hAnsi="Cambria"/>
          <w:sz w:val="16"/>
          <w:szCs w:val="16"/>
        </w:rPr>
        <w:footnoteRef/>
      </w:r>
      <w:r w:rsidRPr="00BA2BDB">
        <w:rPr>
          <w:rFonts w:ascii="Cambria" w:hAnsi="Cambria"/>
          <w:sz w:val="16"/>
          <w:szCs w:val="16"/>
          <w:lang w:val="es-VE"/>
        </w:rPr>
        <w:t xml:space="preserve"> Corte IDH, Caso López </w:t>
      </w:r>
      <w:proofErr w:type="spellStart"/>
      <w:r w:rsidRPr="00BA2BDB">
        <w:rPr>
          <w:rFonts w:ascii="Cambria" w:hAnsi="Cambria"/>
          <w:sz w:val="16"/>
          <w:szCs w:val="16"/>
          <w:lang w:val="es-VE"/>
        </w:rPr>
        <w:t>Lone</w:t>
      </w:r>
      <w:proofErr w:type="spellEnd"/>
      <w:r w:rsidRPr="00BA2BDB">
        <w:rPr>
          <w:rFonts w:ascii="Cambria" w:hAnsi="Cambria"/>
          <w:sz w:val="16"/>
          <w:szCs w:val="16"/>
          <w:lang w:val="es-VE"/>
        </w:rPr>
        <w:t xml:space="preserve"> y otros Vs. </w:t>
      </w:r>
      <w:r w:rsidRPr="00BA2BDB">
        <w:rPr>
          <w:rFonts w:ascii="Cambria" w:hAnsi="Cambria"/>
          <w:sz w:val="16"/>
          <w:szCs w:val="16"/>
          <w:lang w:val="es-CO"/>
        </w:rPr>
        <w:t xml:space="preserve">Honduras. </w:t>
      </w:r>
      <w:r w:rsidRPr="00BA2BDB">
        <w:rPr>
          <w:rFonts w:ascii="Cambria" w:hAnsi="Cambria"/>
          <w:sz w:val="16"/>
          <w:szCs w:val="16"/>
          <w:lang w:val="es-VE"/>
        </w:rPr>
        <w:t xml:space="preserve">Excepción Preliminar, Fondo, Reparaciones y Costas. Sentencia de 05 de octubre de 2015. Serie C No. 302, párr. 257 y Caso Maldonado Ordoñez Vs. </w:t>
      </w:r>
      <w:r w:rsidRPr="00BA2BDB">
        <w:rPr>
          <w:rFonts w:ascii="Cambria" w:hAnsi="Cambria"/>
          <w:sz w:val="16"/>
          <w:szCs w:val="16"/>
          <w:lang w:val="es-CO"/>
        </w:rPr>
        <w:t xml:space="preserve">Guatemala. </w:t>
      </w:r>
      <w:r w:rsidRPr="00BA2BDB">
        <w:rPr>
          <w:rFonts w:ascii="Cambria" w:hAnsi="Cambria"/>
          <w:sz w:val="16"/>
          <w:szCs w:val="16"/>
          <w:lang w:val="es-VE"/>
        </w:rPr>
        <w:t xml:space="preserve">Excepción Preliminar, Fondo, Reparaciones y Costas. Sentencia de 3 de mayo de 2016. Serie C No. 311, párr. 89. </w:t>
      </w:r>
      <w:r w:rsidRPr="00BA2BDB">
        <w:rPr>
          <w:rFonts w:ascii="Cambria" w:hAnsi="Cambria"/>
          <w:sz w:val="16"/>
          <w:szCs w:val="16"/>
          <w:lang w:val="es-US"/>
        </w:rPr>
        <w:t xml:space="preserve">Corte IDH. </w:t>
      </w:r>
      <w:r w:rsidRPr="00BA2BDB">
        <w:rPr>
          <w:rFonts w:ascii="Cambria" w:hAnsi="Cambria"/>
          <w:bCs/>
          <w:sz w:val="16"/>
          <w:szCs w:val="16"/>
          <w:lang w:val="es-AR"/>
        </w:rPr>
        <w:t xml:space="preserve">Caso Baena Ricardo y otros Vs. Panamá. </w:t>
      </w:r>
      <w:r w:rsidRPr="00BA2BDB">
        <w:rPr>
          <w:rFonts w:ascii="Cambria" w:hAnsi="Cambria"/>
          <w:sz w:val="16"/>
          <w:szCs w:val="16"/>
          <w:lang w:val="es-AR"/>
        </w:rPr>
        <w:t xml:space="preserve">Fondo, Reparaciones y Costas. Sentencia de 2 de febrero de 2001. Serie C No. 72, </w:t>
      </w:r>
      <w:proofErr w:type="spellStart"/>
      <w:r w:rsidRPr="00BA2BDB">
        <w:rPr>
          <w:rFonts w:ascii="Cambria" w:hAnsi="Cambria"/>
          <w:sz w:val="16"/>
          <w:szCs w:val="16"/>
          <w:lang w:val="es-AR"/>
        </w:rPr>
        <w:t>párrs</w:t>
      </w:r>
      <w:proofErr w:type="spellEnd"/>
      <w:r w:rsidRPr="00BA2BDB">
        <w:rPr>
          <w:rFonts w:ascii="Cambria" w:hAnsi="Cambria"/>
          <w:sz w:val="16"/>
          <w:szCs w:val="16"/>
          <w:lang w:val="es-AR"/>
        </w:rPr>
        <w:t>. 106 y 108.</w:t>
      </w:r>
    </w:p>
  </w:footnote>
  <w:footnote w:id="59">
    <w:p w14:paraId="0686C510" w14:textId="77777777" w:rsidR="00A61DD8" w:rsidRPr="00084ECF" w:rsidRDefault="00A61DD8" w:rsidP="00D1066C">
      <w:pPr>
        <w:pStyle w:val="FootnoteText"/>
        <w:tabs>
          <w:tab w:val="num" w:pos="0"/>
        </w:tabs>
        <w:ind w:firstLine="720"/>
        <w:jc w:val="both"/>
        <w:rPr>
          <w:rFonts w:ascii="Cambria" w:hAnsi="Cambria"/>
          <w:sz w:val="16"/>
          <w:szCs w:val="16"/>
          <w:lang w:val="es-VE"/>
        </w:rPr>
      </w:pPr>
      <w:r w:rsidRPr="00084ECF">
        <w:rPr>
          <w:rStyle w:val="FootnoteReference"/>
          <w:rFonts w:ascii="Cambria" w:hAnsi="Cambria"/>
          <w:sz w:val="16"/>
          <w:szCs w:val="16"/>
        </w:rPr>
        <w:footnoteRef/>
      </w:r>
      <w:r w:rsidRPr="00084ECF">
        <w:rPr>
          <w:rFonts w:ascii="Cambria" w:hAnsi="Cambria"/>
          <w:sz w:val="16"/>
          <w:szCs w:val="16"/>
          <w:lang w:val="es-VE"/>
        </w:rPr>
        <w:t xml:space="preserve"> Corte IDH, Caso López </w:t>
      </w:r>
      <w:proofErr w:type="spellStart"/>
      <w:r w:rsidRPr="00084ECF">
        <w:rPr>
          <w:rFonts w:ascii="Cambria" w:hAnsi="Cambria"/>
          <w:sz w:val="16"/>
          <w:szCs w:val="16"/>
          <w:lang w:val="es-VE"/>
        </w:rPr>
        <w:t>Lone</w:t>
      </w:r>
      <w:proofErr w:type="spellEnd"/>
      <w:r w:rsidRPr="00084ECF">
        <w:rPr>
          <w:rFonts w:ascii="Cambria" w:hAnsi="Cambria"/>
          <w:sz w:val="16"/>
          <w:szCs w:val="16"/>
          <w:lang w:val="es-VE"/>
        </w:rPr>
        <w:t xml:space="preserve"> y otros Vs. </w:t>
      </w:r>
      <w:r w:rsidRPr="00084ECF">
        <w:rPr>
          <w:rFonts w:ascii="Cambria" w:hAnsi="Cambria"/>
          <w:sz w:val="16"/>
          <w:szCs w:val="16"/>
          <w:lang w:val="es-CO"/>
        </w:rPr>
        <w:t xml:space="preserve">Honduras. </w:t>
      </w:r>
      <w:r w:rsidRPr="00084ECF">
        <w:rPr>
          <w:rFonts w:ascii="Cambria" w:hAnsi="Cambria"/>
          <w:sz w:val="16"/>
          <w:szCs w:val="16"/>
          <w:lang w:val="es-VE"/>
        </w:rPr>
        <w:t>Excepción Preliminar, Fondo, Reparaciones y Costas. Sentencia de 05 de octubre de 2015. Serie C No. 302, párr. 271</w:t>
      </w:r>
      <w:r w:rsidRPr="00084ECF">
        <w:rPr>
          <w:rFonts w:ascii="Cambria" w:hAnsi="Cambria"/>
          <w:sz w:val="16"/>
          <w:szCs w:val="16"/>
          <w:lang w:val="es-AR"/>
        </w:rPr>
        <w:t>. Mutatis, mutandis, también resulta relevante lo referido por la Corte Interamericana en el caso Mohamed: “tratándose de un delito culposo, cuyo tipo penal es abierto y requiere ser completado por el juzgador al realizar el análisis de la tipicidad, lo relevante es que en la sentencia se individualice el correspondiente deber de cuidado infringido con la conducta activa (imprudencia) u omisiva (negligencia) del imputado (..)”. Ver Corte IDH, Caso Mohamed vs. Argentina. Excepción Preliminar, Fondo, Reparaciones y Costas. Sentencia de 24 de noviembre de 2012, Serie C No. 255, párr.136.</w:t>
      </w:r>
    </w:p>
  </w:footnote>
  <w:footnote w:id="60">
    <w:p w14:paraId="704D75CB" w14:textId="77777777" w:rsidR="00A61DD8" w:rsidRPr="00BA2BDB" w:rsidRDefault="00A61DD8" w:rsidP="001546C9">
      <w:pPr>
        <w:pStyle w:val="FootnoteText"/>
        <w:ind w:firstLine="720"/>
        <w:jc w:val="both"/>
        <w:rPr>
          <w:rFonts w:ascii="Cambria" w:hAnsi="Cambria"/>
          <w:sz w:val="16"/>
          <w:szCs w:val="16"/>
          <w:lang w:val="es-VE"/>
        </w:rPr>
      </w:pPr>
      <w:r w:rsidRPr="00BA2BDB">
        <w:rPr>
          <w:rStyle w:val="FootnoteReference"/>
          <w:rFonts w:ascii="Cambria" w:hAnsi="Cambria"/>
          <w:sz w:val="16"/>
          <w:szCs w:val="16"/>
        </w:rPr>
        <w:footnoteRef/>
      </w:r>
      <w:r w:rsidRPr="00BA2BDB">
        <w:rPr>
          <w:rFonts w:ascii="Cambria" w:hAnsi="Cambria"/>
          <w:sz w:val="16"/>
          <w:szCs w:val="16"/>
          <w:lang w:val="es-VE"/>
        </w:rPr>
        <w:t xml:space="preserve"> </w:t>
      </w:r>
      <w:r w:rsidRPr="00BA2BDB">
        <w:rPr>
          <w:rFonts w:ascii="Cambria" w:hAnsi="Cambria"/>
          <w:noProof/>
          <w:sz w:val="16"/>
          <w:szCs w:val="16"/>
          <w:lang w:val="es-VE"/>
        </w:rPr>
        <w:t xml:space="preserve">Corte IDH, Caso Maldonado Ordoñez Vs. </w:t>
      </w:r>
      <w:r w:rsidRPr="00BA2BDB">
        <w:rPr>
          <w:rFonts w:ascii="Cambria" w:hAnsi="Cambria"/>
          <w:noProof/>
          <w:sz w:val="16"/>
          <w:szCs w:val="16"/>
          <w:lang w:val="es-CO"/>
        </w:rPr>
        <w:t xml:space="preserve">Guatemala. </w:t>
      </w:r>
      <w:r w:rsidRPr="00BA2BDB">
        <w:rPr>
          <w:rFonts w:ascii="Cambria" w:hAnsi="Cambria"/>
          <w:noProof/>
          <w:sz w:val="16"/>
          <w:szCs w:val="16"/>
          <w:lang w:val="es-VE"/>
        </w:rPr>
        <w:t>Excepcion Preliminar, Fondo, Reparaciones y Costas. Sentencia de 3 de Mayo de 2016. Serie C No. 311, párr. 87.</w:t>
      </w:r>
    </w:p>
  </w:footnote>
  <w:footnote w:id="61">
    <w:p w14:paraId="66ACE155" w14:textId="77777777" w:rsidR="00A61DD8" w:rsidRPr="00084ECF" w:rsidRDefault="00A61DD8" w:rsidP="001546C9">
      <w:pPr>
        <w:pStyle w:val="FootnoteText"/>
        <w:ind w:firstLine="720"/>
        <w:jc w:val="both"/>
        <w:rPr>
          <w:rFonts w:ascii="Cambria" w:hAnsi="Cambria"/>
          <w:sz w:val="16"/>
          <w:szCs w:val="16"/>
          <w:lang w:val="es-CO"/>
        </w:rPr>
      </w:pPr>
      <w:r w:rsidRPr="00084ECF">
        <w:rPr>
          <w:rStyle w:val="FootnoteReference"/>
          <w:rFonts w:ascii="Cambria" w:hAnsi="Cambria"/>
          <w:sz w:val="16"/>
          <w:szCs w:val="16"/>
        </w:rPr>
        <w:footnoteRef/>
      </w:r>
      <w:r w:rsidRPr="00084ECF">
        <w:rPr>
          <w:rFonts w:ascii="Cambria" w:hAnsi="Cambria"/>
          <w:sz w:val="16"/>
          <w:szCs w:val="16"/>
          <w:lang w:val="es-CR"/>
        </w:rPr>
        <w:t xml:space="preserve"> </w:t>
      </w:r>
      <w:r w:rsidRPr="00084ECF">
        <w:rPr>
          <w:rFonts w:ascii="Cambria" w:hAnsi="Cambria"/>
          <w:sz w:val="16"/>
          <w:szCs w:val="16"/>
          <w:lang w:val="es-VE"/>
        </w:rPr>
        <w:t xml:space="preserve">CIDH, Informe No. 103/13, Caso 12.816, Informe de Fondo, Adán Guillermo </w:t>
      </w:r>
      <w:proofErr w:type="spellStart"/>
      <w:r w:rsidRPr="00084ECF">
        <w:rPr>
          <w:rFonts w:ascii="Cambria" w:hAnsi="Cambria"/>
          <w:sz w:val="16"/>
          <w:szCs w:val="16"/>
          <w:lang w:val="es-VE"/>
        </w:rPr>
        <w:t>Lopez</w:t>
      </w:r>
      <w:proofErr w:type="spellEnd"/>
      <w:r w:rsidRPr="00084ECF">
        <w:rPr>
          <w:rFonts w:ascii="Cambria" w:hAnsi="Cambria"/>
          <w:sz w:val="16"/>
          <w:szCs w:val="16"/>
          <w:lang w:val="es-VE"/>
        </w:rPr>
        <w:t xml:space="preserve"> </w:t>
      </w:r>
      <w:proofErr w:type="spellStart"/>
      <w:r w:rsidRPr="00084ECF">
        <w:rPr>
          <w:rFonts w:ascii="Cambria" w:hAnsi="Cambria"/>
          <w:sz w:val="16"/>
          <w:szCs w:val="16"/>
          <w:lang w:val="es-VE"/>
        </w:rPr>
        <w:t>Lone</w:t>
      </w:r>
      <w:proofErr w:type="spellEnd"/>
      <w:r w:rsidRPr="00084ECF">
        <w:rPr>
          <w:rFonts w:ascii="Cambria" w:hAnsi="Cambria"/>
          <w:sz w:val="16"/>
          <w:szCs w:val="16"/>
          <w:lang w:val="es-VE"/>
        </w:rPr>
        <w:t xml:space="preserve"> y otros, Honduras, párr.145.</w:t>
      </w:r>
    </w:p>
  </w:footnote>
  <w:footnote w:id="62">
    <w:p w14:paraId="114D6BFF" w14:textId="77777777" w:rsidR="00A61DD8" w:rsidRPr="00084ECF" w:rsidRDefault="00A61DD8" w:rsidP="001546C9">
      <w:pPr>
        <w:pStyle w:val="FootnoteText"/>
        <w:ind w:firstLine="720"/>
        <w:jc w:val="both"/>
        <w:rPr>
          <w:rFonts w:ascii="Cambria" w:hAnsi="Cambria"/>
          <w:sz w:val="16"/>
          <w:szCs w:val="16"/>
          <w:lang w:val="es-ES"/>
        </w:rPr>
      </w:pPr>
      <w:r w:rsidRPr="00084ECF">
        <w:rPr>
          <w:rStyle w:val="FootnoteReference"/>
          <w:rFonts w:ascii="Cambria" w:hAnsi="Cambria"/>
          <w:sz w:val="16"/>
          <w:szCs w:val="16"/>
        </w:rPr>
        <w:footnoteRef/>
      </w:r>
      <w:r w:rsidRPr="00084ECF">
        <w:rPr>
          <w:rFonts w:ascii="Cambria" w:hAnsi="Cambria"/>
          <w:sz w:val="16"/>
          <w:szCs w:val="16"/>
          <w:lang w:val="es-ES"/>
        </w:rPr>
        <w:t xml:space="preserve"> Corte IDH. </w:t>
      </w:r>
      <w:hyperlink r:id="rId5" w:history="1">
        <w:r w:rsidRPr="00084ECF">
          <w:rPr>
            <w:rStyle w:val="Hyperlink"/>
            <w:rFonts w:ascii="Cambria" w:hAnsi="Cambria" w:cs="Arial"/>
            <w:sz w:val="16"/>
            <w:szCs w:val="16"/>
            <w:shd w:val="clear" w:color="auto" w:fill="FFFFFF"/>
            <w:lang w:val="es-VE"/>
          </w:rPr>
          <w:t>Caso De la Cruz Flores Vs. Perú. Fondo, Reparaciones y Costas. Sentencia de 18 de noviembre de 2004. Serie C No. 115</w:t>
        </w:r>
      </w:hyperlink>
      <w:r w:rsidRPr="00084ECF">
        <w:rPr>
          <w:rFonts w:ascii="Cambria" w:hAnsi="Cambria"/>
          <w:sz w:val="16"/>
          <w:szCs w:val="16"/>
          <w:lang w:val="es-ES"/>
        </w:rPr>
        <w:t>, párr. 84.</w:t>
      </w:r>
    </w:p>
  </w:footnote>
  <w:footnote w:id="63">
    <w:p w14:paraId="53B54378" w14:textId="26EDD2CF" w:rsidR="00A61DD8" w:rsidRPr="00084ECF" w:rsidRDefault="00A61DD8" w:rsidP="001546C9">
      <w:pPr>
        <w:tabs>
          <w:tab w:val="left" w:pos="720"/>
        </w:tabs>
        <w:ind w:firstLine="720"/>
        <w:jc w:val="both"/>
        <w:rPr>
          <w:rFonts w:ascii="Cambria" w:hAnsi="Cambria"/>
          <w:sz w:val="16"/>
          <w:szCs w:val="16"/>
          <w:lang w:val="es-VE"/>
        </w:rPr>
      </w:pPr>
      <w:r w:rsidRPr="00084ECF">
        <w:rPr>
          <w:rStyle w:val="FootnoteReference"/>
          <w:rFonts w:ascii="Cambria" w:hAnsi="Cambria"/>
          <w:sz w:val="16"/>
          <w:szCs w:val="16"/>
        </w:rPr>
        <w:footnoteRef/>
      </w:r>
      <w:r w:rsidRPr="00084ECF">
        <w:rPr>
          <w:rFonts w:ascii="Cambria" w:hAnsi="Cambria"/>
          <w:sz w:val="16"/>
          <w:szCs w:val="16"/>
          <w:lang w:val="es-VE"/>
        </w:rPr>
        <w:t xml:space="preserve"> </w:t>
      </w:r>
      <w:r w:rsidRPr="00084ECF">
        <w:rPr>
          <w:rFonts w:ascii="Cambria" w:hAnsi="Cambria"/>
          <w:sz w:val="16"/>
          <w:szCs w:val="16"/>
          <w:lang w:val="es-AR"/>
        </w:rPr>
        <w:t>El artículo 8. 2 h establece el “derecho de recurrir del fallo ante juez o tribunal superior”.</w:t>
      </w:r>
    </w:p>
  </w:footnote>
  <w:footnote w:id="64">
    <w:p w14:paraId="6BEA4408" w14:textId="77777777" w:rsidR="00A61DD8" w:rsidRPr="00084ECF" w:rsidRDefault="00A61DD8" w:rsidP="006873CF">
      <w:pPr>
        <w:tabs>
          <w:tab w:val="left" w:pos="720"/>
        </w:tabs>
        <w:jc w:val="both"/>
        <w:rPr>
          <w:rFonts w:ascii="Cambria" w:hAnsi="Cambria"/>
          <w:sz w:val="16"/>
          <w:szCs w:val="16"/>
          <w:lang w:val="es-VE"/>
        </w:rPr>
      </w:pPr>
      <w:r w:rsidRPr="00084ECF">
        <w:rPr>
          <w:rFonts w:ascii="Cambria" w:hAnsi="Cambria"/>
          <w:sz w:val="16"/>
          <w:szCs w:val="16"/>
          <w:lang w:val="es-VE"/>
        </w:rPr>
        <w:tab/>
      </w:r>
      <w:r w:rsidRPr="00084ECF">
        <w:rPr>
          <w:rStyle w:val="FootnoteReference"/>
          <w:rFonts w:ascii="Cambria" w:hAnsi="Cambria"/>
          <w:sz w:val="16"/>
          <w:szCs w:val="16"/>
        </w:rPr>
        <w:footnoteRef/>
      </w:r>
      <w:r w:rsidRPr="00084ECF">
        <w:rPr>
          <w:rFonts w:ascii="Cambria" w:hAnsi="Cambria"/>
          <w:sz w:val="16"/>
          <w:szCs w:val="16"/>
          <w:lang w:val="es-VE"/>
        </w:rPr>
        <w:t xml:space="preserve"> </w:t>
      </w:r>
      <w:r w:rsidRPr="00084ECF">
        <w:rPr>
          <w:rFonts w:ascii="Cambria" w:hAnsi="Cambria"/>
          <w:sz w:val="16"/>
          <w:szCs w:val="16"/>
          <w:lang w:val="es-AR"/>
        </w:rPr>
        <w:t>El artículo 25.1 de la Convención estipula que:</w:t>
      </w:r>
      <w:r w:rsidRPr="00084ECF">
        <w:rPr>
          <w:rFonts w:ascii="Cambria" w:hAnsi="Cambria"/>
          <w:sz w:val="16"/>
          <w:szCs w:val="16"/>
          <w:lang w:val="es-VE"/>
        </w:rPr>
        <w:t xml:space="preserve"> </w:t>
      </w:r>
      <w:r w:rsidRPr="00084ECF">
        <w:rPr>
          <w:rFonts w:ascii="Cambria" w:eastAsia="Times New Roman" w:hAnsi="Cambria"/>
          <w:sz w:val="16"/>
          <w:szCs w:val="16"/>
          <w:lang w:val="es-VE"/>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5">
    <w:p w14:paraId="1540E743" w14:textId="77777777" w:rsidR="00A61DD8" w:rsidRPr="00084ECF" w:rsidRDefault="00A61DD8" w:rsidP="001546C9">
      <w:pPr>
        <w:pStyle w:val="FootnoteText"/>
        <w:ind w:firstLine="720"/>
        <w:jc w:val="both"/>
        <w:rPr>
          <w:rFonts w:ascii="Cambria" w:hAnsi="Cambria"/>
          <w:sz w:val="16"/>
          <w:szCs w:val="16"/>
          <w:lang w:val="es-VE"/>
        </w:rPr>
      </w:pPr>
      <w:r w:rsidRPr="00084ECF">
        <w:rPr>
          <w:rStyle w:val="FootnoteReference"/>
          <w:rFonts w:ascii="Cambria" w:hAnsi="Cambria"/>
          <w:sz w:val="16"/>
          <w:szCs w:val="16"/>
        </w:rPr>
        <w:footnoteRef/>
      </w:r>
      <w:r w:rsidRPr="00084ECF">
        <w:rPr>
          <w:rStyle w:val="FootnoteReference"/>
          <w:rFonts w:ascii="Cambria" w:hAnsi="Cambria"/>
          <w:sz w:val="16"/>
          <w:szCs w:val="16"/>
          <w:lang w:val="es-VE"/>
        </w:rPr>
        <w:t xml:space="preserve"> </w:t>
      </w:r>
      <w:r w:rsidRPr="00084ECF">
        <w:rPr>
          <w:rFonts w:ascii="Cambria" w:hAnsi="Cambria"/>
          <w:sz w:val="16"/>
          <w:szCs w:val="16"/>
          <w:lang w:val="es-VE"/>
        </w:rPr>
        <w:t>CIDH, Garantías para la independencia de las y los operadores de justicia. Hacia el fortalecimiento del acceso a la justicia y el estado de derecho en las Américas, OEA/</w:t>
      </w:r>
      <w:proofErr w:type="spellStart"/>
      <w:proofErr w:type="gramStart"/>
      <w:r w:rsidRPr="00084ECF">
        <w:rPr>
          <w:rFonts w:ascii="Cambria" w:hAnsi="Cambria"/>
          <w:sz w:val="16"/>
          <w:szCs w:val="16"/>
          <w:lang w:val="es-VE"/>
        </w:rPr>
        <w:t>ser.L</w:t>
      </w:r>
      <w:proofErr w:type="spellEnd"/>
      <w:proofErr w:type="gramEnd"/>
      <w:r w:rsidRPr="00084ECF">
        <w:rPr>
          <w:rFonts w:ascii="Cambria" w:hAnsi="Cambria"/>
          <w:sz w:val="16"/>
          <w:szCs w:val="16"/>
          <w:lang w:val="es-VE"/>
        </w:rPr>
        <w:t xml:space="preserve">/V/II.Doc.44, 5 de diciembre de 2013, párr. 235; Corte IDH, </w:t>
      </w:r>
      <w:r w:rsidRPr="00084ECF">
        <w:rPr>
          <w:rFonts w:ascii="Cambria" w:hAnsi="Cambria"/>
          <w:bCs/>
          <w:i/>
          <w:sz w:val="16"/>
          <w:szCs w:val="16"/>
          <w:lang w:val="es-VE"/>
        </w:rPr>
        <w:t>Caso Vélez Loor Vs. Panamá</w:t>
      </w:r>
      <w:r w:rsidRPr="00084ECF">
        <w:rPr>
          <w:rFonts w:ascii="Cambria" w:hAnsi="Cambria"/>
          <w:bCs/>
          <w:sz w:val="16"/>
          <w:szCs w:val="16"/>
          <w:lang w:val="es-VE"/>
        </w:rPr>
        <w:t xml:space="preserve">. </w:t>
      </w:r>
      <w:r w:rsidRPr="00084ECF">
        <w:rPr>
          <w:rFonts w:ascii="Cambria" w:hAnsi="Cambria"/>
          <w:sz w:val="16"/>
          <w:szCs w:val="16"/>
          <w:lang w:val="es-VE"/>
        </w:rPr>
        <w:t xml:space="preserve">Excepciones Preliminares, Fondo, Reparaciones y Costas. Sentencia de 23 de noviembre de 2010. Serie C No. 218. </w:t>
      </w:r>
      <w:r w:rsidRPr="00084ECF">
        <w:rPr>
          <w:rFonts w:ascii="Cambria" w:hAnsi="Cambria"/>
          <w:sz w:val="16"/>
          <w:szCs w:val="16"/>
          <w:lang w:val="es-ES_tradnl"/>
        </w:rPr>
        <w:t>Párr. 179.</w:t>
      </w:r>
    </w:p>
  </w:footnote>
  <w:footnote w:id="66">
    <w:p w14:paraId="75F4AEA8" w14:textId="77777777" w:rsidR="00A61DD8" w:rsidRPr="00084ECF" w:rsidRDefault="00A61DD8" w:rsidP="001546C9">
      <w:pPr>
        <w:pStyle w:val="FootnoteText"/>
        <w:ind w:firstLine="720"/>
        <w:jc w:val="both"/>
        <w:rPr>
          <w:rFonts w:ascii="Cambria" w:hAnsi="Cambria"/>
          <w:sz w:val="16"/>
          <w:szCs w:val="16"/>
          <w:lang w:val="es-VE"/>
        </w:rPr>
      </w:pPr>
      <w:r w:rsidRPr="00084ECF">
        <w:rPr>
          <w:rStyle w:val="FootnoteReference"/>
          <w:rFonts w:ascii="Cambria" w:hAnsi="Cambria"/>
          <w:sz w:val="16"/>
          <w:szCs w:val="16"/>
        </w:rPr>
        <w:footnoteRef/>
      </w:r>
      <w:r w:rsidRPr="00084ECF">
        <w:rPr>
          <w:rFonts w:ascii="Cambria" w:hAnsi="Cambria"/>
          <w:sz w:val="16"/>
          <w:szCs w:val="16"/>
          <w:lang w:val="es-VE"/>
        </w:rPr>
        <w:t xml:space="preserve">CIDH, Informe No. 33/14, Caso 12.820, Manfred </w:t>
      </w:r>
      <w:proofErr w:type="spellStart"/>
      <w:r w:rsidRPr="00084ECF">
        <w:rPr>
          <w:rFonts w:ascii="Cambria" w:hAnsi="Cambria"/>
          <w:sz w:val="16"/>
          <w:szCs w:val="16"/>
          <w:lang w:val="es-VE"/>
        </w:rPr>
        <w:t>Amrhein</w:t>
      </w:r>
      <w:proofErr w:type="spellEnd"/>
      <w:r w:rsidRPr="00084ECF">
        <w:rPr>
          <w:rFonts w:ascii="Cambria" w:hAnsi="Cambria"/>
          <w:sz w:val="16"/>
          <w:szCs w:val="16"/>
          <w:lang w:val="es-VE"/>
        </w:rPr>
        <w:t xml:space="preserve"> y otros, Costa Rica. 4 de abril de 2014, párr.186.</w:t>
      </w:r>
    </w:p>
  </w:footnote>
  <w:footnote w:id="67">
    <w:p w14:paraId="46DD6183" w14:textId="77777777" w:rsidR="00A61DD8" w:rsidRPr="00084ECF" w:rsidRDefault="00A61DD8" w:rsidP="001546C9">
      <w:pPr>
        <w:pStyle w:val="FootnoteText"/>
        <w:ind w:firstLine="720"/>
        <w:jc w:val="both"/>
        <w:rPr>
          <w:rFonts w:ascii="Cambria" w:hAnsi="Cambria"/>
          <w:sz w:val="16"/>
          <w:szCs w:val="16"/>
          <w:lang w:val="es-VE"/>
        </w:rPr>
      </w:pPr>
      <w:r w:rsidRPr="00084ECF">
        <w:rPr>
          <w:rStyle w:val="FootnoteReference"/>
          <w:rFonts w:ascii="Cambria" w:hAnsi="Cambria"/>
          <w:sz w:val="16"/>
          <w:szCs w:val="16"/>
        </w:rPr>
        <w:footnoteRef/>
      </w:r>
      <w:r w:rsidRPr="00084ECF">
        <w:rPr>
          <w:rFonts w:ascii="Cambria" w:hAnsi="Cambria"/>
          <w:sz w:val="16"/>
          <w:szCs w:val="16"/>
          <w:lang w:val="es-VE"/>
        </w:rPr>
        <w:t xml:space="preserve">CIDH, Informe No. 33/14, Caso 12.820, Manfred </w:t>
      </w:r>
      <w:proofErr w:type="spellStart"/>
      <w:r w:rsidRPr="00084ECF">
        <w:rPr>
          <w:rFonts w:ascii="Cambria" w:hAnsi="Cambria"/>
          <w:sz w:val="16"/>
          <w:szCs w:val="16"/>
          <w:lang w:val="es-VE"/>
        </w:rPr>
        <w:t>Amrhein</w:t>
      </w:r>
      <w:proofErr w:type="spellEnd"/>
      <w:r w:rsidRPr="00084ECF">
        <w:rPr>
          <w:rFonts w:ascii="Cambria" w:hAnsi="Cambria"/>
          <w:sz w:val="16"/>
          <w:szCs w:val="16"/>
          <w:lang w:val="es-VE"/>
        </w:rPr>
        <w:t xml:space="preserve"> y otros, Costa Rica. 4 de abril de 2014, párr.186.</w:t>
      </w:r>
    </w:p>
  </w:footnote>
  <w:footnote w:id="68">
    <w:p w14:paraId="35F2A972" w14:textId="77777777" w:rsidR="00A61DD8" w:rsidRPr="00084ECF" w:rsidRDefault="00A61DD8" w:rsidP="001546C9">
      <w:pPr>
        <w:pStyle w:val="FootnoteText"/>
        <w:ind w:firstLine="720"/>
        <w:jc w:val="both"/>
        <w:rPr>
          <w:rFonts w:ascii="Cambria" w:hAnsi="Cambria"/>
          <w:sz w:val="16"/>
          <w:szCs w:val="16"/>
          <w:lang w:val="es-VE"/>
        </w:rPr>
      </w:pPr>
      <w:r w:rsidRPr="00084ECF">
        <w:rPr>
          <w:rStyle w:val="FootnoteReference"/>
          <w:rFonts w:ascii="Cambria" w:hAnsi="Cambria"/>
          <w:sz w:val="16"/>
          <w:szCs w:val="16"/>
        </w:rPr>
        <w:footnoteRef/>
      </w:r>
      <w:r w:rsidRPr="00084ECF">
        <w:rPr>
          <w:rFonts w:ascii="Cambria" w:hAnsi="Cambria"/>
          <w:sz w:val="16"/>
          <w:szCs w:val="16"/>
          <w:lang w:val="es-VE"/>
        </w:rPr>
        <w:t xml:space="preserve">CIDH, Informe No. 33/14, Caso 12.820, Manfred </w:t>
      </w:r>
      <w:proofErr w:type="spellStart"/>
      <w:r w:rsidRPr="00084ECF">
        <w:rPr>
          <w:rFonts w:ascii="Cambria" w:hAnsi="Cambria"/>
          <w:sz w:val="16"/>
          <w:szCs w:val="16"/>
          <w:lang w:val="es-VE"/>
        </w:rPr>
        <w:t>Amrhein</w:t>
      </w:r>
      <w:proofErr w:type="spellEnd"/>
      <w:r w:rsidRPr="00084ECF">
        <w:rPr>
          <w:rFonts w:ascii="Cambria" w:hAnsi="Cambria"/>
          <w:sz w:val="16"/>
          <w:szCs w:val="16"/>
          <w:lang w:val="es-VE"/>
        </w:rPr>
        <w:t xml:space="preserve"> y otros, Costa Rica. 4 de abril de 2014, párr.186 y ss.</w:t>
      </w:r>
    </w:p>
  </w:footnote>
  <w:footnote w:id="69">
    <w:p w14:paraId="395B3F80" w14:textId="77777777" w:rsidR="00A61DD8" w:rsidRPr="00084ECF" w:rsidRDefault="00A61DD8" w:rsidP="001546C9">
      <w:pPr>
        <w:tabs>
          <w:tab w:val="left" w:pos="180"/>
          <w:tab w:val="left" w:pos="900"/>
          <w:tab w:val="left" w:pos="1080"/>
        </w:tabs>
        <w:ind w:firstLine="720"/>
        <w:jc w:val="both"/>
        <w:rPr>
          <w:rFonts w:ascii="Cambria" w:hAnsi="Cambria"/>
          <w:sz w:val="16"/>
          <w:szCs w:val="16"/>
          <w:lang w:val="es-CO"/>
        </w:rPr>
      </w:pPr>
      <w:r w:rsidRPr="00084ECF">
        <w:rPr>
          <w:rStyle w:val="FootnoteReference"/>
          <w:rFonts w:ascii="Cambria" w:hAnsi="Cambria"/>
          <w:sz w:val="16"/>
          <w:szCs w:val="16"/>
        </w:rPr>
        <w:footnoteRef/>
      </w:r>
      <w:r w:rsidRPr="00084ECF">
        <w:rPr>
          <w:rFonts w:ascii="Cambria" w:hAnsi="Cambria"/>
          <w:color w:val="000000"/>
          <w:sz w:val="16"/>
          <w:szCs w:val="16"/>
          <w:lang w:val="es-CO"/>
        </w:rPr>
        <w:t xml:space="preserve">Corte IDH, </w:t>
      </w:r>
      <w:r w:rsidRPr="00084ECF">
        <w:rPr>
          <w:rFonts w:ascii="Cambria" w:hAnsi="Cambria"/>
          <w:bCs/>
          <w:color w:val="000000"/>
          <w:sz w:val="16"/>
          <w:szCs w:val="16"/>
          <w:lang w:val="es-CO"/>
        </w:rPr>
        <w:t xml:space="preserve">Caso Trabajadores Cesados del Congreso (Aguado Alfaro y otros). </w:t>
      </w:r>
      <w:r w:rsidRPr="00084ECF">
        <w:rPr>
          <w:rFonts w:ascii="Cambria" w:hAnsi="Cambria"/>
          <w:color w:val="000000"/>
          <w:sz w:val="16"/>
          <w:szCs w:val="16"/>
          <w:lang w:val="es-CO"/>
        </w:rPr>
        <w:t xml:space="preserve">Sentencia sobre Excepciones Preliminares, Fondo, Reparaciones y Costas. Sentencia de 24 de </w:t>
      </w:r>
      <w:proofErr w:type="gramStart"/>
      <w:r w:rsidRPr="00084ECF">
        <w:rPr>
          <w:rFonts w:ascii="Cambria" w:hAnsi="Cambria"/>
          <w:color w:val="000000"/>
          <w:sz w:val="16"/>
          <w:szCs w:val="16"/>
          <w:lang w:val="es-CO"/>
        </w:rPr>
        <w:t>Noviembre</w:t>
      </w:r>
      <w:proofErr w:type="gramEnd"/>
      <w:r w:rsidRPr="00084ECF">
        <w:rPr>
          <w:rFonts w:ascii="Cambria" w:hAnsi="Cambria"/>
          <w:color w:val="000000"/>
          <w:sz w:val="16"/>
          <w:szCs w:val="16"/>
          <w:lang w:val="es-CO"/>
        </w:rPr>
        <w:t xml:space="preserve"> de 2006. Serie C No. 158. Párr. 125; Corte IDH, </w:t>
      </w:r>
      <w:r w:rsidRPr="00084ECF">
        <w:rPr>
          <w:rFonts w:ascii="Cambria" w:hAnsi="Cambria"/>
          <w:bCs/>
          <w:color w:val="000000"/>
          <w:sz w:val="16"/>
          <w:szCs w:val="16"/>
          <w:lang w:val="es-CO"/>
        </w:rPr>
        <w:t xml:space="preserve">Caso Comunidad Indígena </w:t>
      </w:r>
      <w:proofErr w:type="spellStart"/>
      <w:r w:rsidRPr="00084ECF">
        <w:rPr>
          <w:rFonts w:ascii="Cambria" w:hAnsi="Cambria"/>
          <w:bCs/>
          <w:color w:val="000000"/>
          <w:sz w:val="16"/>
          <w:szCs w:val="16"/>
          <w:lang w:val="es-CO"/>
        </w:rPr>
        <w:t>Yakye</w:t>
      </w:r>
      <w:proofErr w:type="spellEnd"/>
      <w:r w:rsidRPr="00084ECF">
        <w:rPr>
          <w:rFonts w:ascii="Cambria" w:hAnsi="Cambria"/>
          <w:bCs/>
          <w:color w:val="000000"/>
          <w:sz w:val="16"/>
          <w:szCs w:val="16"/>
          <w:lang w:val="es-CO"/>
        </w:rPr>
        <w:t xml:space="preserve"> Axa. </w:t>
      </w:r>
      <w:r w:rsidRPr="00084ECF">
        <w:rPr>
          <w:rFonts w:ascii="Cambria" w:hAnsi="Cambria"/>
          <w:color w:val="000000"/>
          <w:sz w:val="16"/>
          <w:szCs w:val="16"/>
          <w:lang w:val="es-CO"/>
        </w:rPr>
        <w:t>Sentencia 17 de junio de 2005. Serie C No. 125</w:t>
      </w:r>
      <w:r w:rsidRPr="00084ECF">
        <w:rPr>
          <w:rFonts w:ascii="Cambria" w:hAnsi="Cambria"/>
          <w:sz w:val="16"/>
          <w:szCs w:val="16"/>
          <w:lang w:val="es-CO"/>
        </w:rPr>
        <w:t xml:space="preserve">. Párr.  61; </w:t>
      </w:r>
      <w:r w:rsidRPr="00084ECF">
        <w:rPr>
          <w:rFonts w:ascii="Cambria" w:hAnsi="Cambria"/>
          <w:color w:val="000000"/>
          <w:sz w:val="16"/>
          <w:szCs w:val="16"/>
          <w:lang w:val="es-CO"/>
        </w:rPr>
        <w:t xml:space="preserve">Corte IDH, </w:t>
      </w:r>
      <w:r w:rsidRPr="00084ECF">
        <w:rPr>
          <w:rFonts w:ascii="Cambria" w:hAnsi="Cambria"/>
          <w:bCs/>
          <w:color w:val="000000"/>
          <w:sz w:val="16"/>
          <w:szCs w:val="16"/>
          <w:lang w:val="es-CO"/>
        </w:rPr>
        <w:t xml:space="preserve">Caso "Cinco Pensionistas". </w:t>
      </w:r>
      <w:r w:rsidRPr="00084ECF">
        <w:rPr>
          <w:rFonts w:ascii="Cambria" w:hAnsi="Cambria"/>
          <w:color w:val="000000"/>
          <w:sz w:val="16"/>
          <w:szCs w:val="16"/>
          <w:lang w:val="es-CO"/>
        </w:rPr>
        <w:t>Sentencia de 28 de febrero de 2003. Serie C No. 98</w:t>
      </w:r>
      <w:r w:rsidRPr="00084ECF">
        <w:rPr>
          <w:rFonts w:ascii="Cambria" w:hAnsi="Cambria"/>
          <w:sz w:val="16"/>
          <w:szCs w:val="16"/>
          <w:lang w:val="es-CO"/>
        </w:rPr>
        <w:t>. Párr.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72B0" w14:textId="77777777" w:rsidR="00A61DD8" w:rsidRDefault="00A61DD8" w:rsidP="00D70A2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8C9922B" w14:textId="77777777" w:rsidR="00A61DD8" w:rsidRDefault="00A6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DAD0" w14:textId="77777777" w:rsidR="00A61DD8" w:rsidRDefault="00A61DD8" w:rsidP="00D70A2A">
    <w:pPr>
      <w:pStyle w:val="Header"/>
      <w:tabs>
        <w:tab w:val="clear" w:pos="4320"/>
        <w:tab w:val="clear" w:pos="8640"/>
      </w:tabs>
      <w:jc w:val="center"/>
      <w:rPr>
        <w:sz w:val="22"/>
        <w:szCs w:val="22"/>
      </w:rPr>
    </w:pPr>
    <w:r>
      <w:rPr>
        <w:noProof/>
        <w:sz w:val="22"/>
        <w:szCs w:val="22"/>
        <w:lang w:val="en-US" w:eastAsia="en-US"/>
      </w:rPr>
      <w:drawing>
        <wp:inline distT="0" distB="0" distL="0" distR="0" wp14:anchorId="6FD0BEC1" wp14:editId="3632EB4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40846D6" w14:textId="77777777" w:rsidR="00A61DD8" w:rsidRPr="00EC7D62" w:rsidRDefault="00671BE5" w:rsidP="00D70A2A">
    <w:pPr>
      <w:pStyle w:val="Header"/>
      <w:tabs>
        <w:tab w:val="clear" w:pos="4320"/>
        <w:tab w:val="clear" w:pos="8640"/>
      </w:tabs>
      <w:jc w:val="center"/>
      <w:rPr>
        <w:sz w:val="22"/>
        <w:szCs w:val="22"/>
      </w:rPr>
    </w:pPr>
    <w:r>
      <w:rPr>
        <w:sz w:val="22"/>
        <w:szCs w:val="22"/>
      </w:rPr>
      <w:pict w14:anchorId="2E2AEB0D">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6C1A" w14:textId="66FCFC04" w:rsidR="00A61DD8" w:rsidRDefault="00A61DD8" w:rsidP="00A61DD8">
    <w:pPr>
      <w:pStyle w:val="Header"/>
      <w:tabs>
        <w:tab w:val="clear" w:pos="4320"/>
        <w:tab w:val="clear" w:pos="8640"/>
      </w:tabs>
      <w:jc w:val="center"/>
      <w:rPr>
        <w:sz w:val="22"/>
        <w:szCs w:val="22"/>
      </w:rPr>
    </w:pPr>
  </w:p>
  <w:p w14:paraId="0A8B2639" w14:textId="7B682FC1" w:rsidR="00A61DD8" w:rsidRPr="00EC7D62" w:rsidRDefault="00A61DD8" w:rsidP="00A61DD8">
    <w:pPr>
      <w:pStyle w:val="Header"/>
      <w:tabs>
        <w:tab w:val="clear" w:pos="4320"/>
        <w:tab w:val="clear" w:pos="8640"/>
      </w:tabs>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9026" w14:textId="77777777" w:rsidR="00A61DD8" w:rsidRDefault="00A61DD8" w:rsidP="0026274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30CD57F" w14:textId="77777777" w:rsidR="00A61DD8" w:rsidRDefault="00A61D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E763" w14:textId="77777777" w:rsidR="00A61DD8" w:rsidRDefault="00A61DD8"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4F3F4E2B" wp14:editId="4AA6B41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793BD46" w14:textId="77777777" w:rsidR="00A61DD8" w:rsidRPr="00EC7D62" w:rsidRDefault="00671BE5" w:rsidP="00A50FCF">
    <w:pPr>
      <w:pStyle w:val="Header"/>
      <w:tabs>
        <w:tab w:val="clear" w:pos="4320"/>
        <w:tab w:val="clear" w:pos="8640"/>
      </w:tabs>
      <w:jc w:val="center"/>
      <w:rPr>
        <w:sz w:val="22"/>
        <w:szCs w:val="22"/>
      </w:rPr>
    </w:pPr>
    <w:r>
      <w:rPr>
        <w:sz w:val="22"/>
        <w:szCs w:val="22"/>
      </w:rPr>
      <w:pict w14:anchorId="63127B38">
        <v:rect id="_x0000_i1027" style="width:0;height:1.5pt" o:hralign="center"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3CBB" w14:textId="77777777" w:rsidR="00BA0340" w:rsidRDefault="00BA0340" w:rsidP="00A61DD8">
    <w:pPr>
      <w:pStyle w:val="Header"/>
      <w:tabs>
        <w:tab w:val="clear" w:pos="4320"/>
        <w:tab w:val="clear" w:pos="8640"/>
      </w:tabs>
      <w:jc w:val="center"/>
      <w:rPr>
        <w:sz w:val="22"/>
        <w:szCs w:val="22"/>
      </w:rPr>
    </w:pPr>
    <w:r>
      <w:rPr>
        <w:noProof/>
        <w:sz w:val="22"/>
        <w:szCs w:val="22"/>
        <w:lang w:val="en-US" w:eastAsia="en-US"/>
      </w:rPr>
      <w:drawing>
        <wp:inline distT="0" distB="0" distL="0" distR="0" wp14:anchorId="290EAB16" wp14:editId="32C64595">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3EA362" w14:textId="77777777" w:rsidR="00BA0340" w:rsidRPr="00EC7D62" w:rsidRDefault="00BA0340" w:rsidP="00A61DD8">
    <w:pPr>
      <w:pStyle w:val="Header"/>
      <w:tabs>
        <w:tab w:val="clear" w:pos="4320"/>
        <w:tab w:val="clear" w:pos="8640"/>
      </w:tabs>
      <w:jc w:val="center"/>
      <w:rPr>
        <w:sz w:val="22"/>
        <w:szCs w:val="22"/>
      </w:rPr>
    </w:pPr>
    <w:r>
      <w:rPr>
        <w:sz w:val="22"/>
        <w:szCs w:val="22"/>
      </w:rPr>
      <w:pict w14:anchorId="3C8AA567">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42F"/>
    <w:multiLevelType w:val="hybridMultilevel"/>
    <w:tmpl w:val="83D02D62"/>
    <w:lvl w:ilvl="0" w:tplc="FA1E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CE502A"/>
    <w:multiLevelType w:val="hybridMultilevel"/>
    <w:tmpl w:val="15468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F7121"/>
    <w:multiLevelType w:val="hybridMultilevel"/>
    <w:tmpl w:val="A8BA5DF4"/>
    <w:lvl w:ilvl="0" w:tplc="D908C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62145B"/>
    <w:multiLevelType w:val="hybridMultilevel"/>
    <w:tmpl w:val="C46E6192"/>
    <w:lvl w:ilvl="0" w:tplc="A5BCB49E">
      <w:start w:val="1"/>
      <w:numFmt w:val="upperLetter"/>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463FCD"/>
    <w:multiLevelType w:val="hybridMultilevel"/>
    <w:tmpl w:val="8AD812EC"/>
    <w:lvl w:ilvl="0" w:tplc="2F7612E0">
      <w:start w:val="1"/>
      <w:numFmt w:val="upperLetter"/>
      <w:lvlText w:val="%1."/>
      <w:lvlJc w:val="left"/>
      <w:pPr>
        <w:ind w:left="1260" w:hanging="360"/>
      </w:pPr>
      <w:rPr>
        <w:rFonts w:hint="default"/>
        <w:b/>
        <w:i w:val="0"/>
        <w:sz w:val="20"/>
        <w:szCs w:val="2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0142B2"/>
    <w:multiLevelType w:val="hybridMultilevel"/>
    <w:tmpl w:val="AF6AE7CC"/>
    <w:lvl w:ilvl="0" w:tplc="73028C9A">
      <w:start w:val="1"/>
      <w:numFmt w:val="decimal"/>
      <w:lvlText w:val="%1."/>
      <w:lvlJc w:val="left"/>
      <w:pPr>
        <w:tabs>
          <w:tab w:val="num" w:pos="1800"/>
        </w:tabs>
        <w:ind w:left="1800" w:hanging="360"/>
      </w:pPr>
      <w:rPr>
        <w:rFonts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09034B2"/>
    <w:multiLevelType w:val="hybridMultilevel"/>
    <w:tmpl w:val="C7382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2557CA"/>
    <w:multiLevelType w:val="hybridMultilevel"/>
    <w:tmpl w:val="7F74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A01737"/>
    <w:multiLevelType w:val="hybridMultilevel"/>
    <w:tmpl w:val="A4CCCCCA"/>
    <w:lvl w:ilvl="0" w:tplc="73028C9A">
      <w:start w:val="1"/>
      <w:numFmt w:val="decimal"/>
      <w:lvlText w:val="%1."/>
      <w:lvlJc w:val="left"/>
      <w:pPr>
        <w:tabs>
          <w:tab w:val="num" w:pos="1440"/>
        </w:tabs>
        <w:ind w:left="1440" w:hanging="360"/>
      </w:pPr>
      <w:rPr>
        <w:rFonts w:cs="Times New Roman"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672718A"/>
    <w:multiLevelType w:val="hybridMultilevel"/>
    <w:tmpl w:val="4AF05EC6"/>
    <w:lvl w:ilvl="0" w:tplc="2DC64D3E">
      <w:start w:val="1"/>
      <w:numFmt w:val="decimal"/>
      <w:lvlText w:val="%1."/>
      <w:lvlJc w:val="left"/>
      <w:pPr>
        <w:ind w:left="720" w:hanging="360"/>
      </w:pPr>
      <w:rPr>
        <w:rFonts w:hint="default"/>
        <w:b/>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1A63FFB"/>
    <w:multiLevelType w:val="hybridMultilevel"/>
    <w:tmpl w:val="365E0AF0"/>
    <w:lvl w:ilvl="0" w:tplc="F3DCBFE0">
      <w:start w:val="1"/>
      <w:numFmt w:val="upperLetter"/>
      <w:lvlText w:val="%1."/>
      <w:lvlJc w:val="left"/>
      <w:pPr>
        <w:ind w:left="1440" w:hanging="360"/>
      </w:pPr>
      <w:rPr>
        <w:rFonts w:hint="default"/>
        <w:b/>
        <w:lang w:val="es-V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5F84047"/>
    <w:multiLevelType w:val="hybridMultilevel"/>
    <w:tmpl w:val="EDD45F84"/>
    <w:lvl w:ilvl="0" w:tplc="D48EED62">
      <w:start w:val="1"/>
      <w:numFmt w:val="decimal"/>
      <w:lvlText w:val="%1."/>
      <w:lvlJc w:val="left"/>
      <w:pPr>
        <w:ind w:left="720" w:hanging="360"/>
      </w:pPr>
      <w:rPr>
        <w:rFonts w:asciiTheme="majorHAnsi" w:hAnsiTheme="maj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BB39B5"/>
    <w:multiLevelType w:val="hybridMultilevel"/>
    <w:tmpl w:val="AD88B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935C96"/>
    <w:multiLevelType w:val="hybridMultilevel"/>
    <w:tmpl w:val="DE748C44"/>
    <w:lvl w:ilvl="0" w:tplc="F162EF64">
      <w:start w:val="1"/>
      <w:numFmt w:val="decimal"/>
      <w:lvlText w:val="%1."/>
      <w:lvlJc w:val="left"/>
      <w:pPr>
        <w:ind w:left="99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5D0C7236"/>
    <w:multiLevelType w:val="hybridMultilevel"/>
    <w:tmpl w:val="AFD4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7D4B9D"/>
    <w:multiLevelType w:val="hybridMultilevel"/>
    <w:tmpl w:val="88A6D808"/>
    <w:lvl w:ilvl="0" w:tplc="2C38E732">
      <w:start w:val="1"/>
      <w:numFmt w:val="decimal"/>
      <w:lvlText w:val="%1."/>
      <w:lvlJc w:val="left"/>
      <w:pPr>
        <w:ind w:left="990" w:hanging="360"/>
      </w:pPr>
      <w:rPr>
        <w:rFonts w:ascii="Cambria" w:hAnsi="Cambria" w:hint="default"/>
        <w:b w:val="0"/>
        <w:color w:val="auto"/>
        <w:sz w:val="20"/>
        <w:szCs w:val="20"/>
        <w:lang w:val="es-A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15:restartNumberingAfterBreak="0">
    <w:nsid w:val="66A101BB"/>
    <w:multiLevelType w:val="hybridMultilevel"/>
    <w:tmpl w:val="8ECEFD00"/>
    <w:lvl w:ilvl="0" w:tplc="CB3E82CC">
      <w:start w:val="1"/>
      <w:numFmt w:val="upperRoman"/>
      <w:lvlText w:val="%1."/>
      <w:lvlJc w:val="left"/>
      <w:pPr>
        <w:tabs>
          <w:tab w:val="num" w:pos="1440"/>
        </w:tabs>
        <w:ind w:left="1440" w:hanging="720"/>
      </w:pPr>
      <w:rPr>
        <w:rFonts w:cs="Times New Roman" w:hint="default"/>
        <w:b/>
      </w:rPr>
    </w:lvl>
    <w:lvl w:ilvl="1" w:tplc="73028C9A">
      <w:start w:val="1"/>
      <w:numFmt w:val="decimal"/>
      <w:lvlText w:val="%2."/>
      <w:lvlJc w:val="left"/>
      <w:pPr>
        <w:tabs>
          <w:tab w:val="num" w:pos="1800"/>
        </w:tabs>
        <w:ind w:left="1800" w:hanging="360"/>
      </w:pPr>
      <w:rPr>
        <w:rFonts w:cs="Times New Roman" w:hint="default"/>
        <w:b/>
        <w:sz w:val="20"/>
        <w:szCs w:val="2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ECC36F6"/>
    <w:multiLevelType w:val="hybridMultilevel"/>
    <w:tmpl w:val="8F0A16AA"/>
    <w:lvl w:ilvl="0" w:tplc="FC52580C">
      <w:start w:val="1"/>
      <w:numFmt w:val="decimal"/>
      <w:lvlText w:val="%1."/>
      <w:lvlJc w:val="left"/>
      <w:pPr>
        <w:tabs>
          <w:tab w:val="num" w:pos="2160"/>
        </w:tabs>
        <w:ind w:left="216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66"/>
  </w:num>
  <w:num w:numId="4">
    <w:abstractNumId w:val="26"/>
  </w:num>
  <w:num w:numId="5">
    <w:abstractNumId w:val="59"/>
  </w:num>
  <w:num w:numId="6">
    <w:abstractNumId w:val="34"/>
  </w:num>
  <w:num w:numId="7">
    <w:abstractNumId w:val="9"/>
  </w:num>
  <w:num w:numId="8">
    <w:abstractNumId w:val="20"/>
  </w:num>
  <w:num w:numId="9">
    <w:abstractNumId w:val="49"/>
  </w:num>
  <w:num w:numId="10">
    <w:abstractNumId w:val="1"/>
  </w:num>
  <w:num w:numId="11">
    <w:abstractNumId w:val="44"/>
  </w:num>
  <w:num w:numId="12">
    <w:abstractNumId w:val="45"/>
  </w:num>
  <w:num w:numId="13">
    <w:abstractNumId w:val="52"/>
  </w:num>
  <w:num w:numId="14">
    <w:abstractNumId w:val="2"/>
  </w:num>
  <w:num w:numId="15">
    <w:abstractNumId w:val="3"/>
  </w:num>
  <w:num w:numId="16">
    <w:abstractNumId w:val="10"/>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3"/>
  </w:num>
  <w:num w:numId="27">
    <w:abstractNumId w:val="28"/>
  </w:num>
  <w:num w:numId="28">
    <w:abstractNumId w:val="29"/>
  </w:num>
  <w:num w:numId="29">
    <w:abstractNumId w:val="30"/>
  </w:num>
  <w:num w:numId="30">
    <w:abstractNumId w:val="33"/>
  </w:num>
  <w:num w:numId="31">
    <w:abstractNumId w:val="35"/>
  </w:num>
  <w:num w:numId="32">
    <w:abstractNumId w:val="36"/>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6"/>
  </w:num>
  <w:num w:numId="40">
    <w:abstractNumId w:val="47"/>
  </w:num>
  <w:num w:numId="41">
    <w:abstractNumId w:val="58"/>
  </w:num>
  <w:num w:numId="42">
    <w:abstractNumId w:val="61"/>
  </w:num>
  <w:num w:numId="43">
    <w:abstractNumId w:val="62"/>
  </w:num>
  <w:num w:numId="44">
    <w:abstractNumId w:val="64"/>
  </w:num>
  <w:num w:numId="45">
    <w:abstractNumId w:val="65"/>
  </w:num>
  <w:num w:numId="46">
    <w:abstractNumId w:val="67"/>
  </w:num>
  <w:num w:numId="47">
    <w:abstractNumId w:val="68"/>
  </w:num>
  <w:num w:numId="48">
    <w:abstractNumId w:val="69"/>
  </w:num>
  <w:num w:numId="49">
    <w:abstractNumId w:val="70"/>
  </w:num>
  <w:num w:numId="50">
    <w:abstractNumId w:val="72"/>
  </w:num>
  <w:num w:numId="51">
    <w:abstractNumId w:val="25"/>
  </w:num>
  <w:num w:numId="52">
    <w:abstractNumId w:val="48"/>
  </w:num>
  <w:num w:numId="53">
    <w:abstractNumId w:val="63"/>
  </w:num>
  <w:num w:numId="54">
    <w:abstractNumId w:val="54"/>
  </w:num>
  <w:num w:numId="55">
    <w:abstractNumId w:val="56"/>
  </w:num>
  <w:num w:numId="56">
    <w:abstractNumId w:val="5"/>
  </w:num>
  <w:num w:numId="57">
    <w:abstractNumId w:val="11"/>
  </w:num>
  <w:num w:numId="58">
    <w:abstractNumId w:val="32"/>
  </w:num>
  <w:num w:numId="59">
    <w:abstractNumId w:val="8"/>
    <w:lvlOverride w:ilvl="0">
      <w:startOverride w:val="1"/>
    </w:lvlOverride>
  </w:num>
  <w:num w:numId="60">
    <w:abstractNumId w:val="60"/>
  </w:num>
  <w:num w:numId="61">
    <w:abstractNumId w:val="37"/>
  </w:num>
  <w:num w:numId="62">
    <w:abstractNumId w:val="22"/>
  </w:num>
  <w:num w:numId="63">
    <w:abstractNumId w:val="27"/>
  </w:num>
  <w:num w:numId="64">
    <w:abstractNumId w:val="31"/>
  </w:num>
  <w:num w:numId="65">
    <w:abstractNumId w:val="51"/>
  </w:num>
  <w:num w:numId="66">
    <w:abstractNumId w:val="50"/>
  </w:num>
  <w:num w:numId="67">
    <w:abstractNumId w:val="55"/>
  </w:num>
  <w:num w:numId="68">
    <w:abstractNumId w:val="0"/>
  </w:num>
  <w:num w:numId="69">
    <w:abstractNumId w:val="6"/>
  </w:num>
  <w:num w:numId="70">
    <w:abstractNumId w:val="53"/>
  </w:num>
  <w:num w:numId="71">
    <w:abstractNumId w:val="57"/>
  </w:num>
  <w:num w:numId="72">
    <w:abstractNumId w:val="24"/>
  </w:num>
  <w:num w:numId="73">
    <w:abstractNumId w:val="7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06"/>
    <w:rsid w:val="0000036F"/>
    <w:rsid w:val="00000CDA"/>
    <w:rsid w:val="00000CE1"/>
    <w:rsid w:val="00001508"/>
    <w:rsid w:val="00001E69"/>
    <w:rsid w:val="00001E9F"/>
    <w:rsid w:val="00003AAE"/>
    <w:rsid w:val="00003DA4"/>
    <w:rsid w:val="00004B36"/>
    <w:rsid w:val="00004C7C"/>
    <w:rsid w:val="00005F53"/>
    <w:rsid w:val="00006896"/>
    <w:rsid w:val="00006E1F"/>
    <w:rsid w:val="000070D7"/>
    <w:rsid w:val="000100D1"/>
    <w:rsid w:val="00011BC5"/>
    <w:rsid w:val="00015248"/>
    <w:rsid w:val="000158FD"/>
    <w:rsid w:val="000170ED"/>
    <w:rsid w:val="0001788C"/>
    <w:rsid w:val="00017D1D"/>
    <w:rsid w:val="00021610"/>
    <w:rsid w:val="000244C8"/>
    <w:rsid w:val="000264F0"/>
    <w:rsid w:val="00026D08"/>
    <w:rsid w:val="000312B2"/>
    <w:rsid w:val="0003302F"/>
    <w:rsid w:val="00040C3A"/>
    <w:rsid w:val="0004119A"/>
    <w:rsid w:val="00041B09"/>
    <w:rsid w:val="00041D89"/>
    <w:rsid w:val="0004289F"/>
    <w:rsid w:val="00044F0D"/>
    <w:rsid w:val="000543B2"/>
    <w:rsid w:val="000551A6"/>
    <w:rsid w:val="0005716D"/>
    <w:rsid w:val="000579A9"/>
    <w:rsid w:val="00060B5C"/>
    <w:rsid w:val="0006343F"/>
    <w:rsid w:val="00064AE2"/>
    <w:rsid w:val="000658D2"/>
    <w:rsid w:val="00067A5D"/>
    <w:rsid w:val="00067C7F"/>
    <w:rsid w:val="00070C0E"/>
    <w:rsid w:val="000716C5"/>
    <w:rsid w:val="000733EF"/>
    <w:rsid w:val="00075CB7"/>
    <w:rsid w:val="00075E23"/>
    <w:rsid w:val="000769A4"/>
    <w:rsid w:val="0008132C"/>
    <w:rsid w:val="000860FC"/>
    <w:rsid w:val="00086C6B"/>
    <w:rsid w:val="0008768F"/>
    <w:rsid w:val="00090F8E"/>
    <w:rsid w:val="0009344A"/>
    <w:rsid w:val="00094250"/>
    <w:rsid w:val="00095CC9"/>
    <w:rsid w:val="00095F24"/>
    <w:rsid w:val="00096181"/>
    <w:rsid w:val="0009671C"/>
    <w:rsid w:val="000A392E"/>
    <w:rsid w:val="000A479C"/>
    <w:rsid w:val="000A575F"/>
    <w:rsid w:val="000A576A"/>
    <w:rsid w:val="000A5F86"/>
    <w:rsid w:val="000A608C"/>
    <w:rsid w:val="000A6950"/>
    <w:rsid w:val="000A771A"/>
    <w:rsid w:val="000B0C5C"/>
    <w:rsid w:val="000B2103"/>
    <w:rsid w:val="000B33AC"/>
    <w:rsid w:val="000B5065"/>
    <w:rsid w:val="000C0CE6"/>
    <w:rsid w:val="000C5391"/>
    <w:rsid w:val="000D10DB"/>
    <w:rsid w:val="000D2FB6"/>
    <w:rsid w:val="000D687E"/>
    <w:rsid w:val="000D6C9E"/>
    <w:rsid w:val="000D7B06"/>
    <w:rsid w:val="000E4A2F"/>
    <w:rsid w:val="000E5EB5"/>
    <w:rsid w:val="000E6459"/>
    <w:rsid w:val="000E6F73"/>
    <w:rsid w:val="000F2FCB"/>
    <w:rsid w:val="000F35ED"/>
    <w:rsid w:val="000F5433"/>
    <w:rsid w:val="000F5CA0"/>
    <w:rsid w:val="000F5DFB"/>
    <w:rsid w:val="000F6602"/>
    <w:rsid w:val="000F7F6F"/>
    <w:rsid w:val="001000B4"/>
    <w:rsid w:val="00100514"/>
    <w:rsid w:val="0010493C"/>
    <w:rsid w:val="0010592C"/>
    <w:rsid w:val="00107131"/>
    <w:rsid w:val="0010736F"/>
    <w:rsid w:val="00107CD7"/>
    <w:rsid w:val="00111626"/>
    <w:rsid w:val="00113F73"/>
    <w:rsid w:val="001152A2"/>
    <w:rsid w:val="001167D4"/>
    <w:rsid w:val="00120265"/>
    <w:rsid w:val="00120BAC"/>
    <w:rsid w:val="00121CC2"/>
    <w:rsid w:val="0012424F"/>
    <w:rsid w:val="0012476E"/>
    <w:rsid w:val="00126BFA"/>
    <w:rsid w:val="00127594"/>
    <w:rsid w:val="00130EBC"/>
    <w:rsid w:val="0013240A"/>
    <w:rsid w:val="00132C5A"/>
    <w:rsid w:val="00133EE5"/>
    <w:rsid w:val="0013585C"/>
    <w:rsid w:val="00137605"/>
    <w:rsid w:val="001401D8"/>
    <w:rsid w:val="001452C4"/>
    <w:rsid w:val="00146A56"/>
    <w:rsid w:val="00151461"/>
    <w:rsid w:val="001546C9"/>
    <w:rsid w:val="00155FE8"/>
    <w:rsid w:val="001632F8"/>
    <w:rsid w:val="00166189"/>
    <w:rsid w:val="00167A34"/>
    <w:rsid w:val="00172A7F"/>
    <w:rsid w:val="0017678A"/>
    <w:rsid w:val="00180252"/>
    <w:rsid w:val="0018149C"/>
    <w:rsid w:val="00181F34"/>
    <w:rsid w:val="001821D4"/>
    <w:rsid w:val="00182431"/>
    <w:rsid w:val="00182715"/>
    <w:rsid w:val="00183B27"/>
    <w:rsid w:val="001844E0"/>
    <w:rsid w:val="001852D5"/>
    <w:rsid w:val="001928F9"/>
    <w:rsid w:val="0019307E"/>
    <w:rsid w:val="00197926"/>
    <w:rsid w:val="001A0CA6"/>
    <w:rsid w:val="001A0DE1"/>
    <w:rsid w:val="001A0F83"/>
    <w:rsid w:val="001A1223"/>
    <w:rsid w:val="001A3857"/>
    <w:rsid w:val="001A3FB2"/>
    <w:rsid w:val="001A7870"/>
    <w:rsid w:val="001B0B4D"/>
    <w:rsid w:val="001B11B9"/>
    <w:rsid w:val="001B186C"/>
    <w:rsid w:val="001B55E7"/>
    <w:rsid w:val="001B6ED6"/>
    <w:rsid w:val="001C00C9"/>
    <w:rsid w:val="001C103F"/>
    <w:rsid w:val="001C1B41"/>
    <w:rsid w:val="001C5897"/>
    <w:rsid w:val="001D18C7"/>
    <w:rsid w:val="001D556C"/>
    <w:rsid w:val="001D65EF"/>
    <w:rsid w:val="001D69CB"/>
    <w:rsid w:val="001E15B6"/>
    <w:rsid w:val="001E22DD"/>
    <w:rsid w:val="001E26C9"/>
    <w:rsid w:val="001E401C"/>
    <w:rsid w:val="001F001C"/>
    <w:rsid w:val="001F0BBE"/>
    <w:rsid w:val="001F19D2"/>
    <w:rsid w:val="001F4A65"/>
    <w:rsid w:val="001F5617"/>
    <w:rsid w:val="001F562E"/>
    <w:rsid w:val="001F5948"/>
    <w:rsid w:val="00204B61"/>
    <w:rsid w:val="0020641D"/>
    <w:rsid w:val="0020647F"/>
    <w:rsid w:val="00206A16"/>
    <w:rsid w:val="002079DA"/>
    <w:rsid w:val="002139A4"/>
    <w:rsid w:val="00215564"/>
    <w:rsid w:val="00217FC1"/>
    <w:rsid w:val="00221F08"/>
    <w:rsid w:val="00223480"/>
    <w:rsid w:val="002250A3"/>
    <w:rsid w:val="00226E62"/>
    <w:rsid w:val="0022711B"/>
    <w:rsid w:val="002303A5"/>
    <w:rsid w:val="0023174D"/>
    <w:rsid w:val="00231C13"/>
    <w:rsid w:val="00234869"/>
    <w:rsid w:val="00235217"/>
    <w:rsid w:val="00246D1F"/>
    <w:rsid w:val="00247403"/>
    <w:rsid w:val="00247542"/>
    <w:rsid w:val="00250FC6"/>
    <w:rsid w:val="00253432"/>
    <w:rsid w:val="00253F10"/>
    <w:rsid w:val="00254DEC"/>
    <w:rsid w:val="00257A28"/>
    <w:rsid w:val="00260FEF"/>
    <w:rsid w:val="0026211B"/>
    <w:rsid w:val="0026225B"/>
    <w:rsid w:val="0026274B"/>
    <w:rsid w:val="00262CE9"/>
    <w:rsid w:val="00262D61"/>
    <w:rsid w:val="002659BE"/>
    <w:rsid w:val="0026621F"/>
    <w:rsid w:val="00266B61"/>
    <w:rsid w:val="0026712A"/>
    <w:rsid w:val="002704DB"/>
    <w:rsid w:val="00270813"/>
    <w:rsid w:val="002737C2"/>
    <w:rsid w:val="0027383F"/>
    <w:rsid w:val="00276149"/>
    <w:rsid w:val="00276B07"/>
    <w:rsid w:val="00276DF8"/>
    <w:rsid w:val="0027737D"/>
    <w:rsid w:val="00277EF9"/>
    <w:rsid w:val="002806C4"/>
    <w:rsid w:val="00281DBB"/>
    <w:rsid w:val="002827DD"/>
    <w:rsid w:val="00283D27"/>
    <w:rsid w:val="00284AF8"/>
    <w:rsid w:val="002873B7"/>
    <w:rsid w:val="00287A42"/>
    <w:rsid w:val="002A0AAE"/>
    <w:rsid w:val="002A0C90"/>
    <w:rsid w:val="002A28C2"/>
    <w:rsid w:val="002A2F1C"/>
    <w:rsid w:val="002A4671"/>
    <w:rsid w:val="002A5820"/>
    <w:rsid w:val="002A607E"/>
    <w:rsid w:val="002B1D25"/>
    <w:rsid w:val="002B266C"/>
    <w:rsid w:val="002B53F6"/>
    <w:rsid w:val="002B68EB"/>
    <w:rsid w:val="002C160E"/>
    <w:rsid w:val="002C26F9"/>
    <w:rsid w:val="002C2882"/>
    <w:rsid w:val="002D0AD3"/>
    <w:rsid w:val="002D0F9A"/>
    <w:rsid w:val="002D2A57"/>
    <w:rsid w:val="002D2B26"/>
    <w:rsid w:val="002D355A"/>
    <w:rsid w:val="002D7EA2"/>
    <w:rsid w:val="002E187C"/>
    <w:rsid w:val="002E4AEA"/>
    <w:rsid w:val="002E7732"/>
    <w:rsid w:val="002F32BA"/>
    <w:rsid w:val="002F6075"/>
    <w:rsid w:val="003004F1"/>
    <w:rsid w:val="00302733"/>
    <w:rsid w:val="00303D52"/>
    <w:rsid w:val="00305E78"/>
    <w:rsid w:val="00307ABC"/>
    <w:rsid w:val="0031087F"/>
    <w:rsid w:val="00314078"/>
    <w:rsid w:val="00314881"/>
    <w:rsid w:val="0031535D"/>
    <w:rsid w:val="003179F9"/>
    <w:rsid w:val="00320EDD"/>
    <w:rsid w:val="0033028D"/>
    <w:rsid w:val="0033169F"/>
    <w:rsid w:val="003318C4"/>
    <w:rsid w:val="00340767"/>
    <w:rsid w:val="00340C83"/>
    <w:rsid w:val="00340F32"/>
    <w:rsid w:val="00341055"/>
    <w:rsid w:val="00346C95"/>
    <w:rsid w:val="003509DE"/>
    <w:rsid w:val="00350D4D"/>
    <w:rsid w:val="003520F8"/>
    <w:rsid w:val="003539BC"/>
    <w:rsid w:val="00356185"/>
    <w:rsid w:val="00360380"/>
    <w:rsid w:val="00361415"/>
    <w:rsid w:val="00361442"/>
    <w:rsid w:val="00362D2A"/>
    <w:rsid w:val="00363644"/>
    <w:rsid w:val="00365872"/>
    <w:rsid w:val="00372DEE"/>
    <w:rsid w:val="0037519E"/>
    <w:rsid w:val="003751E9"/>
    <w:rsid w:val="00375C71"/>
    <w:rsid w:val="00377E08"/>
    <w:rsid w:val="0038476B"/>
    <w:rsid w:val="00386CF0"/>
    <w:rsid w:val="00387EB0"/>
    <w:rsid w:val="0039353D"/>
    <w:rsid w:val="00394EAF"/>
    <w:rsid w:val="003963D8"/>
    <w:rsid w:val="003A1E0C"/>
    <w:rsid w:val="003A5036"/>
    <w:rsid w:val="003A5C99"/>
    <w:rsid w:val="003A7B74"/>
    <w:rsid w:val="003B150E"/>
    <w:rsid w:val="003B39F5"/>
    <w:rsid w:val="003C1071"/>
    <w:rsid w:val="003C676B"/>
    <w:rsid w:val="003C77B5"/>
    <w:rsid w:val="003D2881"/>
    <w:rsid w:val="003D3BC2"/>
    <w:rsid w:val="003D3FE4"/>
    <w:rsid w:val="003D67C7"/>
    <w:rsid w:val="003D7254"/>
    <w:rsid w:val="003D7C03"/>
    <w:rsid w:val="003E0A3C"/>
    <w:rsid w:val="003E2CED"/>
    <w:rsid w:val="003E432F"/>
    <w:rsid w:val="003E6CA1"/>
    <w:rsid w:val="003F0C6B"/>
    <w:rsid w:val="003F2658"/>
    <w:rsid w:val="003F4303"/>
    <w:rsid w:val="00403095"/>
    <w:rsid w:val="004042D7"/>
    <w:rsid w:val="00404B26"/>
    <w:rsid w:val="0040506A"/>
    <w:rsid w:val="00407A78"/>
    <w:rsid w:val="00410720"/>
    <w:rsid w:val="0041424D"/>
    <w:rsid w:val="0041547E"/>
    <w:rsid w:val="004156EB"/>
    <w:rsid w:val="004165C2"/>
    <w:rsid w:val="004165C4"/>
    <w:rsid w:val="004165E5"/>
    <w:rsid w:val="00420196"/>
    <w:rsid w:val="004216AE"/>
    <w:rsid w:val="00421CA5"/>
    <w:rsid w:val="00423A07"/>
    <w:rsid w:val="00424B92"/>
    <w:rsid w:val="00425F29"/>
    <w:rsid w:val="00426114"/>
    <w:rsid w:val="004340DD"/>
    <w:rsid w:val="00434DA4"/>
    <w:rsid w:val="00437655"/>
    <w:rsid w:val="00441ECB"/>
    <w:rsid w:val="00442198"/>
    <w:rsid w:val="00445160"/>
    <w:rsid w:val="00446D3C"/>
    <w:rsid w:val="00451972"/>
    <w:rsid w:val="0045393D"/>
    <w:rsid w:val="0045396A"/>
    <w:rsid w:val="004550CE"/>
    <w:rsid w:val="00455DD3"/>
    <w:rsid w:val="00455F8A"/>
    <w:rsid w:val="00456C25"/>
    <w:rsid w:val="00462B5D"/>
    <w:rsid w:val="004659BD"/>
    <w:rsid w:val="00465DDF"/>
    <w:rsid w:val="00466D30"/>
    <w:rsid w:val="00467248"/>
    <w:rsid w:val="00467543"/>
    <w:rsid w:val="0046797D"/>
    <w:rsid w:val="00467B7E"/>
    <w:rsid w:val="004705B3"/>
    <w:rsid w:val="00473F17"/>
    <w:rsid w:val="00477592"/>
    <w:rsid w:val="00482EC8"/>
    <w:rsid w:val="004832E4"/>
    <w:rsid w:val="004840AD"/>
    <w:rsid w:val="00486780"/>
    <w:rsid w:val="00486F1C"/>
    <w:rsid w:val="004878BE"/>
    <w:rsid w:val="0049419D"/>
    <w:rsid w:val="004948A0"/>
    <w:rsid w:val="00495561"/>
    <w:rsid w:val="004971D1"/>
    <w:rsid w:val="004A0BB0"/>
    <w:rsid w:val="004A2EC7"/>
    <w:rsid w:val="004A6A4F"/>
    <w:rsid w:val="004B29C4"/>
    <w:rsid w:val="004B4DDE"/>
    <w:rsid w:val="004B70E4"/>
    <w:rsid w:val="004C0730"/>
    <w:rsid w:val="004C1DAE"/>
    <w:rsid w:val="004C20D2"/>
    <w:rsid w:val="004C2D35"/>
    <w:rsid w:val="004C2F44"/>
    <w:rsid w:val="004C368E"/>
    <w:rsid w:val="004C4393"/>
    <w:rsid w:val="004C4B62"/>
    <w:rsid w:val="004C54C9"/>
    <w:rsid w:val="004C790D"/>
    <w:rsid w:val="004C7C89"/>
    <w:rsid w:val="004D068D"/>
    <w:rsid w:val="004D195F"/>
    <w:rsid w:val="004D2720"/>
    <w:rsid w:val="004D3D59"/>
    <w:rsid w:val="004D4013"/>
    <w:rsid w:val="004D6025"/>
    <w:rsid w:val="004D6618"/>
    <w:rsid w:val="004D78E2"/>
    <w:rsid w:val="004D7BD9"/>
    <w:rsid w:val="004D7C81"/>
    <w:rsid w:val="004E16A2"/>
    <w:rsid w:val="004E1DE7"/>
    <w:rsid w:val="004E2649"/>
    <w:rsid w:val="004E431A"/>
    <w:rsid w:val="004E5E61"/>
    <w:rsid w:val="004F2579"/>
    <w:rsid w:val="004F47A6"/>
    <w:rsid w:val="004F627D"/>
    <w:rsid w:val="0050076F"/>
    <w:rsid w:val="0050110E"/>
    <w:rsid w:val="00501399"/>
    <w:rsid w:val="00503252"/>
    <w:rsid w:val="0050633D"/>
    <w:rsid w:val="00506782"/>
    <w:rsid w:val="00507BC4"/>
    <w:rsid w:val="00507C64"/>
    <w:rsid w:val="005128E4"/>
    <w:rsid w:val="00513240"/>
    <w:rsid w:val="005133DB"/>
    <w:rsid w:val="00514DA2"/>
    <w:rsid w:val="00517302"/>
    <w:rsid w:val="005236E5"/>
    <w:rsid w:val="0052525E"/>
    <w:rsid w:val="00525560"/>
    <w:rsid w:val="005274CF"/>
    <w:rsid w:val="005334C3"/>
    <w:rsid w:val="005354F3"/>
    <w:rsid w:val="00536046"/>
    <w:rsid w:val="0053620A"/>
    <w:rsid w:val="005363EB"/>
    <w:rsid w:val="00536923"/>
    <w:rsid w:val="005430CE"/>
    <w:rsid w:val="00543672"/>
    <w:rsid w:val="00544C49"/>
    <w:rsid w:val="0054680A"/>
    <w:rsid w:val="00547E65"/>
    <w:rsid w:val="005516A1"/>
    <w:rsid w:val="00551780"/>
    <w:rsid w:val="00552E1E"/>
    <w:rsid w:val="005537CB"/>
    <w:rsid w:val="00553EA1"/>
    <w:rsid w:val="00556B4C"/>
    <w:rsid w:val="00557E82"/>
    <w:rsid w:val="00564509"/>
    <w:rsid w:val="0056471D"/>
    <w:rsid w:val="0056499A"/>
    <w:rsid w:val="00565744"/>
    <w:rsid w:val="00570A8D"/>
    <w:rsid w:val="00572251"/>
    <w:rsid w:val="0057402A"/>
    <w:rsid w:val="0057582E"/>
    <w:rsid w:val="00576852"/>
    <w:rsid w:val="005771D0"/>
    <w:rsid w:val="00577C08"/>
    <w:rsid w:val="00580C4B"/>
    <w:rsid w:val="00583D9D"/>
    <w:rsid w:val="00585D1C"/>
    <w:rsid w:val="00587ED1"/>
    <w:rsid w:val="0059059C"/>
    <w:rsid w:val="00591918"/>
    <w:rsid w:val="0059191A"/>
    <w:rsid w:val="005921FF"/>
    <w:rsid w:val="00592A82"/>
    <w:rsid w:val="005937F1"/>
    <w:rsid w:val="00594EEB"/>
    <w:rsid w:val="00595C1D"/>
    <w:rsid w:val="005A23C2"/>
    <w:rsid w:val="005A24D7"/>
    <w:rsid w:val="005A4A38"/>
    <w:rsid w:val="005A4D47"/>
    <w:rsid w:val="005A5B7D"/>
    <w:rsid w:val="005A5FC6"/>
    <w:rsid w:val="005A6D0E"/>
    <w:rsid w:val="005B309A"/>
    <w:rsid w:val="005B3E8F"/>
    <w:rsid w:val="005B4F8D"/>
    <w:rsid w:val="005B52B0"/>
    <w:rsid w:val="005B6806"/>
    <w:rsid w:val="005B7258"/>
    <w:rsid w:val="005C015C"/>
    <w:rsid w:val="005C313C"/>
    <w:rsid w:val="005C4225"/>
    <w:rsid w:val="005C485D"/>
    <w:rsid w:val="005C4CA5"/>
    <w:rsid w:val="005C5ADB"/>
    <w:rsid w:val="005C74C5"/>
    <w:rsid w:val="005C7F96"/>
    <w:rsid w:val="005D0DB1"/>
    <w:rsid w:val="005D0DE2"/>
    <w:rsid w:val="005D18E2"/>
    <w:rsid w:val="005D2C92"/>
    <w:rsid w:val="005D2FA7"/>
    <w:rsid w:val="005D7573"/>
    <w:rsid w:val="005E4301"/>
    <w:rsid w:val="005F06CB"/>
    <w:rsid w:val="005F0DAD"/>
    <w:rsid w:val="005F0F33"/>
    <w:rsid w:val="005F309E"/>
    <w:rsid w:val="005F3220"/>
    <w:rsid w:val="005F52DE"/>
    <w:rsid w:val="005F60D4"/>
    <w:rsid w:val="00600CBE"/>
    <w:rsid w:val="00600DEB"/>
    <w:rsid w:val="0060162C"/>
    <w:rsid w:val="0060233A"/>
    <w:rsid w:val="00603973"/>
    <w:rsid w:val="0060698F"/>
    <w:rsid w:val="0060799D"/>
    <w:rsid w:val="006125C3"/>
    <w:rsid w:val="00616BE7"/>
    <w:rsid w:val="00620C2E"/>
    <w:rsid w:val="00626A26"/>
    <w:rsid w:val="006277ED"/>
    <w:rsid w:val="00627C9F"/>
    <w:rsid w:val="006311E9"/>
    <w:rsid w:val="00631602"/>
    <w:rsid w:val="00632354"/>
    <w:rsid w:val="00632E0B"/>
    <w:rsid w:val="0063541C"/>
    <w:rsid w:val="0064037F"/>
    <w:rsid w:val="006419D2"/>
    <w:rsid w:val="00642810"/>
    <w:rsid w:val="00652333"/>
    <w:rsid w:val="006535B7"/>
    <w:rsid w:val="00655031"/>
    <w:rsid w:val="00655D66"/>
    <w:rsid w:val="00657FFE"/>
    <w:rsid w:val="00660C61"/>
    <w:rsid w:val="0066463D"/>
    <w:rsid w:val="0066725C"/>
    <w:rsid w:val="0066790E"/>
    <w:rsid w:val="00667934"/>
    <w:rsid w:val="00667AF0"/>
    <w:rsid w:val="00671BE5"/>
    <w:rsid w:val="00675D64"/>
    <w:rsid w:val="00677CDE"/>
    <w:rsid w:val="0068009E"/>
    <w:rsid w:val="00682CE8"/>
    <w:rsid w:val="0068367E"/>
    <w:rsid w:val="006858F2"/>
    <w:rsid w:val="00685D05"/>
    <w:rsid w:val="006873CF"/>
    <w:rsid w:val="00690F66"/>
    <w:rsid w:val="00692219"/>
    <w:rsid w:val="00694CC9"/>
    <w:rsid w:val="006A17D2"/>
    <w:rsid w:val="006A23FF"/>
    <w:rsid w:val="006A4B39"/>
    <w:rsid w:val="006A6652"/>
    <w:rsid w:val="006A73E6"/>
    <w:rsid w:val="006B1AB1"/>
    <w:rsid w:val="006B1C4B"/>
    <w:rsid w:val="006B1E47"/>
    <w:rsid w:val="006B2D5C"/>
    <w:rsid w:val="006B4A6A"/>
    <w:rsid w:val="006B4D40"/>
    <w:rsid w:val="006C0CF6"/>
    <w:rsid w:val="006C1A20"/>
    <w:rsid w:val="006C32EF"/>
    <w:rsid w:val="006C4EB1"/>
    <w:rsid w:val="006C6717"/>
    <w:rsid w:val="006C6CF3"/>
    <w:rsid w:val="006C7EBC"/>
    <w:rsid w:val="006D2003"/>
    <w:rsid w:val="006D517D"/>
    <w:rsid w:val="006D627D"/>
    <w:rsid w:val="006D6564"/>
    <w:rsid w:val="006D6700"/>
    <w:rsid w:val="006E0166"/>
    <w:rsid w:val="006E0D87"/>
    <w:rsid w:val="006E2D3E"/>
    <w:rsid w:val="006E340B"/>
    <w:rsid w:val="006E7069"/>
    <w:rsid w:val="006E7B34"/>
    <w:rsid w:val="006F3AB5"/>
    <w:rsid w:val="006F51D6"/>
    <w:rsid w:val="006F58BA"/>
    <w:rsid w:val="0070244A"/>
    <w:rsid w:val="00703121"/>
    <w:rsid w:val="00703962"/>
    <w:rsid w:val="00704D50"/>
    <w:rsid w:val="0070697F"/>
    <w:rsid w:val="007111E8"/>
    <w:rsid w:val="00721654"/>
    <w:rsid w:val="0072199C"/>
    <w:rsid w:val="00722C9F"/>
    <w:rsid w:val="0072444D"/>
    <w:rsid w:val="007253B8"/>
    <w:rsid w:val="0072562A"/>
    <w:rsid w:val="00726274"/>
    <w:rsid w:val="007313EB"/>
    <w:rsid w:val="00731475"/>
    <w:rsid w:val="007314AA"/>
    <w:rsid w:val="00731CC5"/>
    <w:rsid w:val="0073596D"/>
    <w:rsid w:val="00735B23"/>
    <w:rsid w:val="0073631B"/>
    <w:rsid w:val="0073741F"/>
    <w:rsid w:val="007405D3"/>
    <w:rsid w:val="00742F27"/>
    <w:rsid w:val="00742FEB"/>
    <w:rsid w:val="007432AA"/>
    <w:rsid w:val="00744E73"/>
    <w:rsid w:val="00746529"/>
    <w:rsid w:val="00746758"/>
    <w:rsid w:val="007473DF"/>
    <w:rsid w:val="00753739"/>
    <w:rsid w:val="00754560"/>
    <w:rsid w:val="007622BC"/>
    <w:rsid w:val="00762664"/>
    <w:rsid w:val="00762F2D"/>
    <w:rsid w:val="00763AB5"/>
    <w:rsid w:val="0076621F"/>
    <w:rsid w:val="0076643F"/>
    <w:rsid w:val="00775EA6"/>
    <w:rsid w:val="00777F63"/>
    <w:rsid w:val="007812F0"/>
    <w:rsid w:val="00781A96"/>
    <w:rsid w:val="00790DCA"/>
    <w:rsid w:val="00792C2D"/>
    <w:rsid w:val="00794D60"/>
    <w:rsid w:val="00795893"/>
    <w:rsid w:val="0079642D"/>
    <w:rsid w:val="00797E46"/>
    <w:rsid w:val="007A04F3"/>
    <w:rsid w:val="007A0659"/>
    <w:rsid w:val="007A3EAB"/>
    <w:rsid w:val="007A5817"/>
    <w:rsid w:val="007A5AC0"/>
    <w:rsid w:val="007A6FF6"/>
    <w:rsid w:val="007B2289"/>
    <w:rsid w:val="007B3768"/>
    <w:rsid w:val="007B60E9"/>
    <w:rsid w:val="007B6CC3"/>
    <w:rsid w:val="007C0FDF"/>
    <w:rsid w:val="007C3334"/>
    <w:rsid w:val="007C756A"/>
    <w:rsid w:val="007C782E"/>
    <w:rsid w:val="007D1933"/>
    <w:rsid w:val="007D2B98"/>
    <w:rsid w:val="007D37FC"/>
    <w:rsid w:val="007D7BDD"/>
    <w:rsid w:val="007D7E8D"/>
    <w:rsid w:val="007E1128"/>
    <w:rsid w:val="007E21BC"/>
    <w:rsid w:val="007E364F"/>
    <w:rsid w:val="007E4ABA"/>
    <w:rsid w:val="007E4E08"/>
    <w:rsid w:val="007E521F"/>
    <w:rsid w:val="007E59DF"/>
    <w:rsid w:val="007F209D"/>
    <w:rsid w:val="007F275F"/>
    <w:rsid w:val="007F46D5"/>
    <w:rsid w:val="007F5983"/>
    <w:rsid w:val="007F7E9A"/>
    <w:rsid w:val="008016F7"/>
    <w:rsid w:val="00803A48"/>
    <w:rsid w:val="00803F1C"/>
    <w:rsid w:val="00805C4D"/>
    <w:rsid w:val="0080600E"/>
    <w:rsid w:val="008068C8"/>
    <w:rsid w:val="00807610"/>
    <w:rsid w:val="00812BFB"/>
    <w:rsid w:val="00815021"/>
    <w:rsid w:val="0081567C"/>
    <w:rsid w:val="00817612"/>
    <w:rsid w:val="00817691"/>
    <w:rsid w:val="00820817"/>
    <w:rsid w:val="008217E6"/>
    <w:rsid w:val="00821DC5"/>
    <w:rsid w:val="00822F2B"/>
    <w:rsid w:val="008266A7"/>
    <w:rsid w:val="008325FD"/>
    <w:rsid w:val="008338A4"/>
    <w:rsid w:val="00834FD5"/>
    <w:rsid w:val="00837C45"/>
    <w:rsid w:val="008417A8"/>
    <w:rsid w:val="008446AB"/>
    <w:rsid w:val="00844730"/>
    <w:rsid w:val="008457C2"/>
    <w:rsid w:val="00847024"/>
    <w:rsid w:val="008504CA"/>
    <w:rsid w:val="00850618"/>
    <w:rsid w:val="00851F74"/>
    <w:rsid w:val="008554C6"/>
    <w:rsid w:val="0085581C"/>
    <w:rsid w:val="00856FDA"/>
    <w:rsid w:val="00857A82"/>
    <w:rsid w:val="00860360"/>
    <w:rsid w:val="00862882"/>
    <w:rsid w:val="0086665E"/>
    <w:rsid w:val="00872960"/>
    <w:rsid w:val="0087334E"/>
    <w:rsid w:val="00873836"/>
    <w:rsid w:val="00875ABB"/>
    <w:rsid w:val="00876BD5"/>
    <w:rsid w:val="00882469"/>
    <w:rsid w:val="00885737"/>
    <w:rsid w:val="008857A3"/>
    <w:rsid w:val="00887A27"/>
    <w:rsid w:val="00890650"/>
    <w:rsid w:val="00891D58"/>
    <w:rsid w:val="00892761"/>
    <w:rsid w:val="008940FB"/>
    <w:rsid w:val="00895E4C"/>
    <w:rsid w:val="008972F7"/>
    <w:rsid w:val="00897A05"/>
    <w:rsid w:val="00897E12"/>
    <w:rsid w:val="008A0D4B"/>
    <w:rsid w:val="008A3442"/>
    <w:rsid w:val="008A4B6F"/>
    <w:rsid w:val="008A5C49"/>
    <w:rsid w:val="008A7E0F"/>
    <w:rsid w:val="008B12F5"/>
    <w:rsid w:val="008B1463"/>
    <w:rsid w:val="008B2A78"/>
    <w:rsid w:val="008B47BB"/>
    <w:rsid w:val="008C2060"/>
    <w:rsid w:val="008C3098"/>
    <w:rsid w:val="008C654C"/>
    <w:rsid w:val="008D269B"/>
    <w:rsid w:val="008D2CA8"/>
    <w:rsid w:val="008D756B"/>
    <w:rsid w:val="008D768D"/>
    <w:rsid w:val="008D7F97"/>
    <w:rsid w:val="008E0110"/>
    <w:rsid w:val="008E3759"/>
    <w:rsid w:val="008F0EAB"/>
    <w:rsid w:val="008F1912"/>
    <w:rsid w:val="008F1B28"/>
    <w:rsid w:val="008F2E70"/>
    <w:rsid w:val="008F604B"/>
    <w:rsid w:val="009014A4"/>
    <w:rsid w:val="0090270B"/>
    <w:rsid w:val="009041DC"/>
    <w:rsid w:val="00904742"/>
    <w:rsid w:val="00907E1C"/>
    <w:rsid w:val="00914585"/>
    <w:rsid w:val="00917B5A"/>
    <w:rsid w:val="009206DE"/>
    <w:rsid w:val="00920A58"/>
    <w:rsid w:val="00920A8C"/>
    <w:rsid w:val="00921073"/>
    <w:rsid w:val="0092111F"/>
    <w:rsid w:val="00922693"/>
    <w:rsid w:val="00922BD7"/>
    <w:rsid w:val="0092404B"/>
    <w:rsid w:val="00924BB5"/>
    <w:rsid w:val="00931612"/>
    <w:rsid w:val="00934A2C"/>
    <w:rsid w:val="009355E3"/>
    <w:rsid w:val="009370E6"/>
    <w:rsid w:val="00937F45"/>
    <w:rsid w:val="009424AF"/>
    <w:rsid w:val="0094788C"/>
    <w:rsid w:val="00951CBC"/>
    <w:rsid w:val="00952C8F"/>
    <w:rsid w:val="00955187"/>
    <w:rsid w:val="0096183A"/>
    <w:rsid w:val="00963F25"/>
    <w:rsid w:val="00964836"/>
    <w:rsid w:val="009660EB"/>
    <w:rsid w:val="00966AB9"/>
    <w:rsid w:val="0096706E"/>
    <w:rsid w:val="00970550"/>
    <w:rsid w:val="0097162A"/>
    <w:rsid w:val="00975358"/>
    <w:rsid w:val="009755AD"/>
    <w:rsid w:val="00975C4E"/>
    <w:rsid w:val="00975C8D"/>
    <w:rsid w:val="00980D1A"/>
    <w:rsid w:val="00981FBA"/>
    <w:rsid w:val="00983F28"/>
    <w:rsid w:val="009932B1"/>
    <w:rsid w:val="00993CD6"/>
    <w:rsid w:val="00997BC5"/>
    <w:rsid w:val="009A0BE3"/>
    <w:rsid w:val="009A2A98"/>
    <w:rsid w:val="009A4EF1"/>
    <w:rsid w:val="009A4F41"/>
    <w:rsid w:val="009A61B5"/>
    <w:rsid w:val="009A658D"/>
    <w:rsid w:val="009A6A84"/>
    <w:rsid w:val="009A734A"/>
    <w:rsid w:val="009B202A"/>
    <w:rsid w:val="009B262F"/>
    <w:rsid w:val="009B32D7"/>
    <w:rsid w:val="009B381B"/>
    <w:rsid w:val="009B72E2"/>
    <w:rsid w:val="009C0A62"/>
    <w:rsid w:val="009C349F"/>
    <w:rsid w:val="009C38A3"/>
    <w:rsid w:val="009C4982"/>
    <w:rsid w:val="009C4EAA"/>
    <w:rsid w:val="009C65FE"/>
    <w:rsid w:val="009C72C3"/>
    <w:rsid w:val="009D070F"/>
    <w:rsid w:val="009D1753"/>
    <w:rsid w:val="009D430A"/>
    <w:rsid w:val="009D6503"/>
    <w:rsid w:val="009D7611"/>
    <w:rsid w:val="009E031B"/>
    <w:rsid w:val="009E0B61"/>
    <w:rsid w:val="009E158A"/>
    <w:rsid w:val="009E363D"/>
    <w:rsid w:val="009E44DD"/>
    <w:rsid w:val="009E53DE"/>
    <w:rsid w:val="009E728A"/>
    <w:rsid w:val="009F1B1E"/>
    <w:rsid w:val="009F1DEA"/>
    <w:rsid w:val="009F33D7"/>
    <w:rsid w:val="009F3C45"/>
    <w:rsid w:val="00A04035"/>
    <w:rsid w:val="00A04A8A"/>
    <w:rsid w:val="00A05A41"/>
    <w:rsid w:val="00A06D98"/>
    <w:rsid w:val="00A07190"/>
    <w:rsid w:val="00A127A4"/>
    <w:rsid w:val="00A130A3"/>
    <w:rsid w:val="00A1380F"/>
    <w:rsid w:val="00A20E30"/>
    <w:rsid w:val="00A229BB"/>
    <w:rsid w:val="00A22A78"/>
    <w:rsid w:val="00A2410F"/>
    <w:rsid w:val="00A2598E"/>
    <w:rsid w:val="00A25B9C"/>
    <w:rsid w:val="00A25CE6"/>
    <w:rsid w:val="00A26AF8"/>
    <w:rsid w:val="00A27FA8"/>
    <w:rsid w:val="00A31685"/>
    <w:rsid w:val="00A318A5"/>
    <w:rsid w:val="00A31F0F"/>
    <w:rsid w:val="00A328B3"/>
    <w:rsid w:val="00A33B1E"/>
    <w:rsid w:val="00A41716"/>
    <w:rsid w:val="00A45210"/>
    <w:rsid w:val="00A459AD"/>
    <w:rsid w:val="00A46746"/>
    <w:rsid w:val="00A46932"/>
    <w:rsid w:val="00A469DD"/>
    <w:rsid w:val="00A4716F"/>
    <w:rsid w:val="00A50FCF"/>
    <w:rsid w:val="00A528D1"/>
    <w:rsid w:val="00A52C2D"/>
    <w:rsid w:val="00A53C76"/>
    <w:rsid w:val="00A5458F"/>
    <w:rsid w:val="00A5481D"/>
    <w:rsid w:val="00A610CD"/>
    <w:rsid w:val="00A61CE5"/>
    <w:rsid w:val="00A61DD8"/>
    <w:rsid w:val="00A66074"/>
    <w:rsid w:val="00A70346"/>
    <w:rsid w:val="00A70AFE"/>
    <w:rsid w:val="00A75E63"/>
    <w:rsid w:val="00A76438"/>
    <w:rsid w:val="00A771AB"/>
    <w:rsid w:val="00A80F12"/>
    <w:rsid w:val="00A814FA"/>
    <w:rsid w:val="00A8196E"/>
    <w:rsid w:val="00A843E0"/>
    <w:rsid w:val="00A845F2"/>
    <w:rsid w:val="00A84F53"/>
    <w:rsid w:val="00A86E78"/>
    <w:rsid w:val="00A9008B"/>
    <w:rsid w:val="00A9329F"/>
    <w:rsid w:val="00A934BE"/>
    <w:rsid w:val="00A9568F"/>
    <w:rsid w:val="00A9661A"/>
    <w:rsid w:val="00AA067F"/>
    <w:rsid w:val="00AA09A2"/>
    <w:rsid w:val="00AA18FF"/>
    <w:rsid w:val="00AA1D0F"/>
    <w:rsid w:val="00AA3BB8"/>
    <w:rsid w:val="00AA7996"/>
    <w:rsid w:val="00AB1342"/>
    <w:rsid w:val="00AB17A6"/>
    <w:rsid w:val="00AB1C31"/>
    <w:rsid w:val="00AB325D"/>
    <w:rsid w:val="00AB4F54"/>
    <w:rsid w:val="00AB567B"/>
    <w:rsid w:val="00AB72D7"/>
    <w:rsid w:val="00AC19CB"/>
    <w:rsid w:val="00AC55D4"/>
    <w:rsid w:val="00AC6E62"/>
    <w:rsid w:val="00AC797F"/>
    <w:rsid w:val="00AD1D5A"/>
    <w:rsid w:val="00AD2F85"/>
    <w:rsid w:val="00AD4359"/>
    <w:rsid w:val="00AD5DF6"/>
    <w:rsid w:val="00AD716C"/>
    <w:rsid w:val="00AE023F"/>
    <w:rsid w:val="00AE0642"/>
    <w:rsid w:val="00AE1B58"/>
    <w:rsid w:val="00AE276E"/>
    <w:rsid w:val="00AE363D"/>
    <w:rsid w:val="00AE5488"/>
    <w:rsid w:val="00AE6F91"/>
    <w:rsid w:val="00AF0038"/>
    <w:rsid w:val="00AF0FC5"/>
    <w:rsid w:val="00AF35EE"/>
    <w:rsid w:val="00AF3FAD"/>
    <w:rsid w:val="00AF4FCB"/>
    <w:rsid w:val="00AF5571"/>
    <w:rsid w:val="00AF7988"/>
    <w:rsid w:val="00B07184"/>
    <w:rsid w:val="00B07341"/>
    <w:rsid w:val="00B07F5D"/>
    <w:rsid w:val="00B10684"/>
    <w:rsid w:val="00B10881"/>
    <w:rsid w:val="00B1141E"/>
    <w:rsid w:val="00B121E9"/>
    <w:rsid w:val="00B130A1"/>
    <w:rsid w:val="00B139D1"/>
    <w:rsid w:val="00B17857"/>
    <w:rsid w:val="00B21168"/>
    <w:rsid w:val="00B22A19"/>
    <w:rsid w:val="00B26844"/>
    <w:rsid w:val="00B302BB"/>
    <w:rsid w:val="00B30539"/>
    <w:rsid w:val="00B314DB"/>
    <w:rsid w:val="00B33C86"/>
    <w:rsid w:val="00B34CE7"/>
    <w:rsid w:val="00B35B2E"/>
    <w:rsid w:val="00B361F2"/>
    <w:rsid w:val="00B36B37"/>
    <w:rsid w:val="00B3718B"/>
    <w:rsid w:val="00B37579"/>
    <w:rsid w:val="00B4016F"/>
    <w:rsid w:val="00B405AB"/>
    <w:rsid w:val="00B40666"/>
    <w:rsid w:val="00B40958"/>
    <w:rsid w:val="00B422D9"/>
    <w:rsid w:val="00B43A81"/>
    <w:rsid w:val="00B4632A"/>
    <w:rsid w:val="00B513B1"/>
    <w:rsid w:val="00B51E2E"/>
    <w:rsid w:val="00B530F1"/>
    <w:rsid w:val="00B5476C"/>
    <w:rsid w:val="00B54A0C"/>
    <w:rsid w:val="00B554A5"/>
    <w:rsid w:val="00B55D23"/>
    <w:rsid w:val="00B6197F"/>
    <w:rsid w:val="00B632D6"/>
    <w:rsid w:val="00B65C19"/>
    <w:rsid w:val="00B70DF9"/>
    <w:rsid w:val="00B74B78"/>
    <w:rsid w:val="00B75F08"/>
    <w:rsid w:val="00B801B1"/>
    <w:rsid w:val="00B87231"/>
    <w:rsid w:val="00B92498"/>
    <w:rsid w:val="00B92721"/>
    <w:rsid w:val="00B95A30"/>
    <w:rsid w:val="00B96611"/>
    <w:rsid w:val="00B96F7B"/>
    <w:rsid w:val="00B9702B"/>
    <w:rsid w:val="00BA0340"/>
    <w:rsid w:val="00BA0DD1"/>
    <w:rsid w:val="00BA276C"/>
    <w:rsid w:val="00BA461E"/>
    <w:rsid w:val="00BB066D"/>
    <w:rsid w:val="00BB0AB1"/>
    <w:rsid w:val="00BB306F"/>
    <w:rsid w:val="00BB6FFD"/>
    <w:rsid w:val="00BB74E4"/>
    <w:rsid w:val="00BB79E3"/>
    <w:rsid w:val="00BC0E46"/>
    <w:rsid w:val="00BC1180"/>
    <w:rsid w:val="00BC3AB2"/>
    <w:rsid w:val="00BC5224"/>
    <w:rsid w:val="00BC6874"/>
    <w:rsid w:val="00BC697C"/>
    <w:rsid w:val="00BD106E"/>
    <w:rsid w:val="00BD4B89"/>
    <w:rsid w:val="00BD5195"/>
    <w:rsid w:val="00BD580A"/>
    <w:rsid w:val="00BD7AE7"/>
    <w:rsid w:val="00BE4FD3"/>
    <w:rsid w:val="00BE5139"/>
    <w:rsid w:val="00BF02CB"/>
    <w:rsid w:val="00BF11D3"/>
    <w:rsid w:val="00BF1C1E"/>
    <w:rsid w:val="00BF25A0"/>
    <w:rsid w:val="00BF45DE"/>
    <w:rsid w:val="00BF4A70"/>
    <w:rsid w:val="00BF5A6C"/>
    <w:rsid w:val="00BF68F3"/>
    <w:rsid w:val="00BF6FD8"/>
    <w:rsid w:val="00BF72B6"/>
    <w:rsid w:val="00C00D96"/>
    <w:rsid w:val="00C010CF"/>
    <w:rsid w:val="00C01975"/>
    <w:rsid w:val="00C02024"/>
    <w:rsid w:val="00C0243A"/>
    <w:rsid w:val="00C03353"/>
    <w:rsid w:val="00C03516"/>
    <w:rsid w:val="00C03680"/>
    <w:rsid w:val="00C054DF"/>
    <w:rsid w:val="00C05CDE"/>
    <w:rsid w:val="00C07CD3"/>
    <w:rsid w:val="00C108AA"/>
    <w:rsid w:val="00C1228A"/>
    <w:rsid w:val="00C15F7C"/>
    <w:rsid w:val="00C21762"/>
    <w:rsid w:val="00C22C9D"/>
    <w:rsid w:val="00C23333"/>
    <w:rsid w:val="00C241D4"/>
    <w:rsid w:val="00C24543"/>
    <w:rsid w:val="00C249A1"/>
    <w:rsid w:val="00C25393"/>
    <w:rsid w:val="00C256A2"/>
    <w:rsid w:val="00C27D9E"/>
    <w:rsid w:val="00C32062"/>
    <w:rsid w:val="00C326C3"/>
    <w:rsid w:val="00C33478"/>
    <w:rsid w:val="00C33C7D"/>
    <w:rsid w:val="00C35EC9"/>
    <w:rsid w:val="00C40789"/>
    <w:rsid w:val="00C4277B"/>
    <w:rsid w:val="00C451CB"/>
    <w:rsid w:val="00C45AD8"/>
    <w:rsid w:val="00C46EE5"/>
    <w:rsid w:val="00C46F3A"/>
    <w:rsid w:val="00C46F60"/>
    <w:rsid w:val="00C51515"/>
    <w:rsid w:val="00C516EA"/>
    <w:rsid w:val="00C525D1"/>
    <w:rsid w:val="00C5273D"/>
    <w:rsid w:val="00C5660B"/>
    <w:rsid w:val="00C61F19"/>
    <w:rsid w:val="00C62A75"/>
    <w:rsid w:val="00C6677D"/>
    <w:rsid w:val="00C66B72"/>
    <w:rsid w:val="00C67D80"/>
    <w:rsid w:val="00C71043"/>
    <w:rsid w:val="00C732C2"/>
    <w:rsid w:val="00C74B2A"/>
    <w:rsid w:val="00C74EFC"/>
    <w:rsid w:val="00C76306"/>
    <w:rsid w:val="00C76939"/>
    <w:rsid w:val="00C7740E"/>
    <w:rsid w:val="00C810D8"/>
    <w:rsid w:val="00C81FEC"/>
    <w:rsid w:val="00C861B3"/>
    <w:rsid w:val="00C868C8"/>
    <w:rsid w:val="00C87EB5"/>
    <w:rsid w:val="00C912A1"/>
    <w:rsid w:val="00C91490"/>
    <w:rsid w:val="00C9244D"/>
    <w:rsid w:val="00C938B0"/>
    <w:rsid w:val="00C9567A"/>
    <w:rsid w:val="00C9576D"/>
    <w:rsid w:val="00C95F21"/>
    <w:rsid w:val="00C97129"/>
    <w:rsid w:val="00CA196F"/>
    <w:rsid w:val="00CA1E91"/>
    <w:rsid w:val="00CA4BF0"/>
    <w:rsid w:val="00CA5A74"/>
    <w:rsid w:val="00CA67D1"/>
    <w:rsid w:val="00CB1EEC"/>
    <w:rsid w:val="00CB212D"/>
    <w:rsid w:val="00CB2583"/>
    <w:rsid w:val="00CB2660"/>
    <w:rsid w:val="00CB5B50"/>
    <w:rsid w:val="00CC3045"/>
    <w:rsid w:val="00CC5E90"/>
    <w:rsid w:val="00CC63CF"/>
    <w:rsid w:val="00CC6930"/>
    <w:rsid w:val="00CC79B5"/>
    <w:rsid w:val="00CD046C"/>
    <w:rsid w:val="00CD155F"/>
    <w:rsid w:val="00CD2F8B"/>
    <w:rsid w:val="00CD3C8D"/>
    <w:rsid w:val="00CD5ABB"/>
    <w:rsid w:val="00CD60EC"/>
    <w:rsid w:val="00CD7231"/>
    <w:rsid w:val="00CE076C"/>
    <w:rsid w:val="00CE0D5E"/>
    <w:rsid w:val="00CE1D93"/>
    <w:rsid w:val="00CE4B61"/>
    <w:rsid w:val="00CE4DF1"/>
    <w:rsid w:val="00CE5199"/>
    <w:rsid w:val="00CE66B3"/>
    <w:rsid w:val="00CE66D5"/>
    <w:rsid w:val="00CE6B08"/>
    <w:rsid w:val="00CF1DC8"/>
    <w:rsid w:val="00CF42A6"/>
    <w:rsid w:val="00CF54DB"/>
    <w:rsid w:val="00CF5B1A"/>
    <w:rsid w:val="00CF637A"/>
    <w:rsid w:val="00D01FC0"/>
    <w:rsid w:val="00D059DE"/>
    <w:rsid w:val="00D063DD"/>
    <w:rsid w:val="00D07379"/>
    <w:rsid w:val="00D1066C"/>
    <w:rsid w:val="00D10A7D"/>
    <w:rsid w:val="00D10F89"/>
    <w:rsid w:val="00D11687"/>
    <w:rsid w:val="00D12193"/>
    <w:rsid w:val="00D13FCE"/>
    <w:rsid w:val="00D17970"/>
    <w:rsid w:val="00D22FCE"/>
    <w:rsid w:val="00D23122"/>
    <w:rsid w:val="00D24797"/>
    <w:rsid w:val="00D24C49"/>
    <w:rsid w:val="00D2582C"/>
    <w:rsid w:val="00D306D1"/>
    <w:rsid w:val="00D30B70"/>
    <w:rsid w:val="00D32CA4"/>
    <w:rsid w:val="00D33A63"/>
    <w:rsid w:val="00D34786"/>
    <w:rsid w:val="00D37BFC"/>
    <w:rsid w:val="00D42547"/>
    <w:rsid w:val="00D43325"/>
    <w:rsid w:val="00D4381A"/>
    <w:rsid w:val="00D44786"/>
    <w:rsid w:val="00D4509E"/>
    <w:rsid w:val="00D47A8E"/>
    <w:rsid w:val="00D52D14"/>
    <w:rsid w:val="00D53E6C"/>
    <w:rsid w:val="00D6029B"/>
    <w:rsid w:val="00D60AAE"/>
    <w:rsid w:val="00D70924"/>
    <w:rsid w:val="00D70A2A"/>
    <w:rsid w:val="00D712D3"/>
    <w:rsid w:val="00D71422"/>
    <w:rsid w:val="00D71622"/>
    <w:rsid w:val="00D72DC6"/>
    <w:rsid w:val="00D7558D"/>
    <w:rsid w:val="00D7565A"/>
    <w:rsid w:val="00D75ED4"/>
    <w:rsid w:val="00D769C7"/>
    <w:rsid w:val="00D8152E"/>
    <w:rsid w:val="00D81D92"/>
    <w:rsid w:val="00D83D73"/>
    <w:rsid w:val="00D842C9"/>
    <w:rsid w:val="00D85EDA"/>
    <w:rsid w:val="00D877DC"/>
    <w:rsid w:val="00D906AB"/>
    <w:rsid w:val="00D91988"/>
    <w:rsid w:val="00D92964"/>
    <w:rsid w:val="00D933D0"/>
    <w:rsid w:val="00D94A8B"/>
    <w:rsid w:val="00D94E4B"/>
    <w:rsid w:val="00D96E66"/>
    <w:rsid w:val="00DA165D"/>
    <w:rsid w:val="00DA49FF"/>
    <w:rsid w:val="00DA5344"/>
    <w:rsid w:val="00DA5387"/>
    <w:rsid w:val="00DA72EE"/>
    <w:rsid w:val="00DA7324"/>
    <w:rsid w:val="00DA7B5F"/>
    <w:rsid w:val="00DB4AC4"/>
    <w:rsid w:val="00DB6E9F"/>
    <w:rsid w:val="00DC11E7"/>
    <w:rsid w:val="00DC2D4C"/>
    <w:rsid w:val="00DC4E34"/>
    <w:rsid w:val="00DC5867"/>
    <w:rsid w:val="00DC5FBE"/>
    <w:rsid w:val="00DC64DB"/>
    <w:rsid w:val="00DC7023"/>
    <w:rsid w:val="00DC70D4"/>
    <w:rsid w:val="00DC769A"/>
    <w:rsid w:val="00DD0C03"/>
    <w:rsid w:val="00DD3C74"/>
    <w:rsid w:val="00DD3D76"/>
    <w:rsid w:val="00DD3D86"/>
    <w:rsid w:val="00DD42F3"/>
    <w:rsid w:val="00DD452F"/>
    <w:rsid w:val="00DD4F13"/>
    <w:rsid w:val="00DD6C49"/>
    <w:rsid w:val="00DE02B4"/>
    <w:rsid w:val="00DE106B"/>
    <w:rsid w:val="00DE6088"/>
    <w:rsid w:val="00DF0BC0"/>
    <w:rsid w:val="00DF1EC4"/>
    <w:rsid w:val="00DF414B"/>
    <w:rsid w:val="00DF45DF"/>
    <w:rsid w:val="00DF6AAA"/>
    <w:rsid w:val="00E00D65"/>
    <w:rsid w:val="00E0340B"/>
    <w:rsid w:val="00E04A90"/>
    <w:rsid w:val="00E059DE"/>
    <w:rsid w:val="00E121CE"/>
    <w:rsid w:val="00E13707"/>
    <w:rsid w:val="00E15AEF"/>
    <w:rsid w:val="00E16BE6"/>
    <w:rsid w:val="00E17316"/>
    <w:rsid w:val="00E2123E"/>
    <w:rsid w:val="00E21369"/>
    <w:rsid w:val="00E219C7"/>
    <w:rsid w:val="00E22027"/>
    <w:rsid w:val="00E24CFB"/>
    <w:rsid w:val="00E24D82"/>
    <w:rsid w:val="00E25CE0"/>
    <w:rsid w:val="00E40ABD"/>
    <w:rsid w:val="00E43157"/>
    <w:rsid w:val="00E4532A"/>
    <w:rsid w:val="00E461CE"/>
    <w:rsid w:val="00E52F27"/>
    <w:rsid w:val="00E5309D"/>
    <w:rsid w:val="00E6680A"/>
    <w:rsid w:val="00E720CA"/>
    <w:rsid w:val="00E74522"/>
    <w:rsid w:val="00E80664"/>
    <w:rsid w:val="00E810C3"/>
    <w:rsid w:val="00E810D2"/>
    <w:rsid w:val="00E836C4"/>
    <w:rsid w:val="00E84EB5"/>
    <w:rsid w:val="00E85662"/>
    <w:rsid w:val="00E8789F"/>
    <w:rsid w:val="00E909AA"/>
    <w:rsid w:val="00E90CC7"/>
    <w:rsid w:val="00E96A4D"/>
    <w:rsid w:val="00E97B71"/>
    <w:rsid w:val="00EA124C"/>
    <w:rsid w:val="00EA3D34"/>
    <w:rsid w:val="00EA4C22"/>
    <w:rsid w:val="00EA7B43"/>
    <w:rsid w:val="00EA7BD3"/>
    <w:rsid w:val="00EA7D7E"/>
    <w:rsid w:val="00EB0F1B"/>
    <w:rsid w:val="00EB40E7"/>
    <w:rsid w:val="00EB454D"/>
    <w:rsid w:val="00EB4D40"/>
    <w:rsid w:val="00EB746C"/>
    <w:rsid w:val="00EC349A"/>
    <w:rsid w:val="00ED285B"/>
    <w:rsid w:val="00ED3034"/>
    <w:rsid w:val="00ED3839"/>
    <w:rsid w:val="00ED38CE"/>
    <w:rsid w:val="00ED4872"/>
    <w:rsid w:val="00ED541F"/>
    <w:rsid w:val="00ED65A3"/>
    <w:rsid w:val="00ED6C36"/>
    <w:rsid w:val="00ED76BE"/>
    <w:rsid w:val="00EE0A3E"/>
    <w:rsid w:val="00EE0A87"/>
    <w:rsid w:val="00EE37EF"/>
    <w:rsid w:val="00EE447E"/>
    <w:rsid w:val="00EF003E"/>
    <w:rsid w:val="00EF2376"/>
    <w:rsid w:val="00EF2959"/>
    <w:rsid w:val="00EF619B"/>
    <w:rsid w:val="00EF7276"/>
    <w:rsid w:val="00F00B55"/>
    <w:rsid w:val="00F02AD1"/>
    <w:rsid w:val="00F038D2"/>
    <w:rsid w:val="00F03CA0"/>
    <w:rsid w:val="00F07EA2"/>
    <w:rsid w:val="00F10F04"/>
    <w:rsid w:val="00F11305"/>
    <w:rsid w:val="00F2122E"/>
    <w:rsid w:val="00F22A4F"/>
    <w:rsid w:val="00F22C2E"/>
    <w:rsid w:val="00F232BD"/>
    <w:rsid w:val="00F24C9D"/>
    <w:rsid w:val="00F253CC"/>
    <w:rsid w:val="00F25857"/>
    <w:rsid w:val="00F26C76"/>
    <w:rsid w:val="00F30157"/>
    <w:rsid w:val="00F31E2F"/>
    <w:rsid w:val="00F369A7"/>
    <w:rsid w:val="00F37106"/>
    <w:rsid w:val="00F40446"/>
    <w:rsid w:val="00F41D37"/>
    <w:rsid w:val="00F41FB4"/>
    <w:rsid w:val="00F42A2A"/>
    <w:rsid w:val="00F42D71"/>
    <w:rsid w:val="00F4398B"/>
    <w:rsid w:val="00F443DF"/>
    <w:rsid w:val="00F4481E"/>
    <w:rsid w:val="00F46125"/>
    <w:rsid w:val="00F51218"/>
    <w:rsid w:val="00F5136C"/>
    <w:rsid w:val="00F519CF"/>
    <w:rsid w:val="00F54CE7"/>
    <w:rsid w:val="00F56BA5"/>
    <w:rsid w:val="00F578C4"/>
    <w:rsid w:val="00F57CA6"/>
    <w:rsid w:val="00F60BCE"/>
    <w:rsid w:val="00F60E22"/>
    <w:rsid w:val="00F62401"/>
    <w:rsid w:val="00F62846"/>
    <w:rsid w:val="00F63EF1"/>
    <w:rsid w:val="00F64771"/>
    <w:rsid w:val="00F65E5B"/>
    <w:rsid w:val="00F66B61"/>
    <w:rsid w:val="00F70486"/>
    <w:rsid w:val="00F71F3D"/>
    <w:rsid w:val="00F73104"/>
    <w:rsid w:val="00F7367B"/>
    <w:rsid w:val="00F73781"/>
    <w:rsid w:val="00F805FB"/>
    <w:rsid w:val="00F81395"/>
    <w:rsid w:val="00F844BD"/>
    <w:rsid w:val="00F8538F"/>
    <w:rsid w:val="00F902EB"/>
    <w:rsid w:val="00F9080C"/>
    <w:rsid w:val="00F917D1"/>
    <w:rsid w:val="00F95CE1"/>
    <w:rsid w:val="00F9653B"/>
    <w:rsid w:val="00FA2DE1"/>
    <w:rsid w:val="00FB0878"/>
    <w:rsid w:val="00FB257F"/>
    <w:rsid w:val="00FB2FC6"/>
    <w:rsid w:val="00FB62CF"/>
    <w:rsid w:val="00FC0122"/>
    <w:rsid w:val="00FC08FF"/>
    <w:rsid w:val="00FC0BC9"/>
    <w:rsid w:val="00FC6509"/>
    <w:rsid w:val="00FD0195"/>
    <w:rsid w:val="00FD1408"/>
    <w:rsid w:val="00FD29F8"/>
    <w:rsid w:val="00FD3A40"/>
    <w:rsid w:val="00FD3C3B"/>
    <w:rsid w:val="00FD5A99"/>
    <w:rsid w:val="00FE07DD"/>
    <w:rsid w:val="00FE3F4F"/>
    <w:rsid w:val="00FE55AA"/>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A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Arial Unicode MS" w:hAnsiTheme="majorHAnsi"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D81D92"/>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7D7BDD"/>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eastAsiaTheme="majorEastAsia" w:cstheme="majorBidi"/>
      <w:b/>
      <w:bCs/>
      <w:color w:val="365F91" w:themeColor="accent1" w:themeShade="BF"/>
      <w:sz w:val="28"/>
      <w:szCs w:val="28"/>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8554C6"/>
    <w:pPr>
      <w:tabs>
        <w:tab w:val="left" w:pos="1440"/>
        <w:tab w:val="right" w:leader="dot" w:pos="9350"/>
      </w:tabs>
      <w:spacing w:after="100"/>
    </w:pPr>
    <w:rPr>
      <w:b/>
      <w:noProof/>
      <w:lang w:val="es-VE" w:eastAsia="en-US"/>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1C00C9"/>
    <w:rPr>
      <w:sz w:val="18"/>
      <w:szCs w:val="18"/>
    </w:rPr>
  </w:style>
  <w:style w:type="paragraph" w:styleId="CommentText">
    <w:name w:val="annotation text"/>
    <w:basedOn w:val="Normal"/>
    <w:link w:val="CommentTextChar"/>
    <w:uiPriority w:val="99"/>
    <w:semiHidden/>
    <w:unhideWhenUsed/>
    <w:rsid w:val="001C00C9"/>
  </w:style>
  <w:style w:type="character" w:customStyle="1" w:styleId="CommentTextChar">
    <w:name w:val="Comment Text Char"/>
    <w:basedOn w:val="DefaultParagraphFont"/>
    <w:link w:val="CommentText"/>
    <w:uiPriority w:val="99"/>
    <w:semiHidden/>
    <w:rsid w:val="001C00C9"/>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C00C9"/>
    <w:rPr>
      <w:b/>
      <w:bCs/>
    </w:rPr>
  </w:style>
  <w:style w:type="character" w:customStyle="1" w:styleId="CommentSubjectChar">
    <w:name w:val="Comment Subject Char"/>
    <w:basedOn w:val="CommentTextChar"/>
    <w:link w:val="CommentSubject"/>
    <w:uiPriority w:val="99"/>
    <w:semiHidden/>
    <w:rsid w:val="001C00C9"/>
    <w:rPr>
      <w:b/>
      <w:bCs/>
      <w:sz w:val="24"/>
      <w:szCs w:val="24"/>
      <w:lang w:val="en-US" w:eastAsia="en-US"/>
    </w:rPr>
  </w:style>
  <w:style w:type="paragraph" w:styleId="Revision">
    <w:name w:val="Revision"/>
    <w:hidden/>
    <w:uiPriority w:val="99"/>
    <w:semiHidden/>
    <w:rsid w:val="007E112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rsid w:val="00B108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1">
    <w:name w:val="1"/>
    <w:basedOn w:val="Normal"/>
    <w:uiPriority w:val="99"/>
    <w:rsid w:val="006419D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Heading4Char">
    <w:name w:val="Heading 4 Char"/>
    <w:basedOn w:val="DefaultParagraphFont"/>
    <w:link w:val="Heading4"/>
    <w:uiPriority w:val="9"/>
    <w:rsid w:val="007D7BDD"/>
    <w:rPr>
      <w:rFonts w:asciiTheme="majorHAnsi" w:eastAsiaTheme="majorEastAsia" w:hAnsiTheme="majorHAnsi" w:cstheme="majorBidi"/>
      <w:i/>
      <w:iCs/>
      <w:color w:val="365F91" w:themeColor="accent1" w:themeShade="BF"/>
      <w:sz w:val="24"/>
      <w:szCs w:val="24"/>
      <w:lang w:val="en-US" w:eastAsia="en-US"/>
    </w:rPr>
  </w:style>
  <w:style w:type="paragraph" w:styleId="Subtitle">
    <w:name w:val="Subtitle"/>
    <w:basedOn w:val="Normal"/>
    <w:link w:val="SubtitleChar"/>
    <w:qFormat/>
    <w:rsid w:val="00742FEB"/>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742FEB"/>
    <w:rPr>
      <w:rFonts w:ascii="Arial" w:eastAsia="Times New Roman" w:hAnsi="Arial" w:cs="Arial"/>
      <w:sz w:val="24"/>
      <w:szCs w:val="24"/>
      <w:bdr w:val="none" w:sz="0" w:space="0" w:color="auto"/>
      <w:lang w:val="es-ES_tradnl" w:eastAsia="en-US"/>
    </w:rPr>
  </w:style>
  <w:style w:type="character" w:customStyle="1" w:styleId="BodyTextIndentChar">
    <w:name w:val="Body Text Indent Char"/>
    <w:basedOn w:val="DefaultParagraphFont"/>
    <w:link w:val="BodyTextIndent"/>
    <w:rsid w:val="001152A2"/>
    <w:rPr>
      <w:rFonts w:eastAsia="Times New Roman"/>
      <w:color w:val="000000"/>
      <w:sz w:val="24"/>
      <w:szCs w:val="24"/>
      <w:u w:color="000000"/>
      <w:lang w:val="es-ES_tradnl"/>
    </w:rPr>
  </w:style>
  <w:style w:type="paragraph" w:styleId="BodyText3">
    <w:name w:val="Body Text 3"/>
    <w:basedOn w:val="Normal"/>
    <w:link w:val="BodyText3Char"/>
    <w:uiPriority w:val="99"/>
    <w:unhideWhenUsed/>
    <w:rsid w:val="007A6FF6"/>
    <w:pPr>
      <w:spacing w:after="120"/>
    </w:pPr>
    <w:rPr>
      <w:sz w:val="16"/>
      <w:szCs w:val="16"/>
    </w:rPr>
  </w:style>
  <w:style w:type="character" w:customStyle="1" w:styleId="BodyText3Char">
    <w:name w:val="Body Text 3 Char"/>
    <w:basedOn w:val="DefaultParagraphFont"/>
    <w:link w:val="BodyText3"/>
    <w:uiPriority w:val="99"/>
    <w:rsid w:val="007A6FF6"/>
    <w:rPr>
      <w:sz w:val="16"/>
      <w:szCs w:val="16"/>
    </w:rPr>
  </w:style>
  <w:style w:type="paragraph" w:styleId="TOCHeading">
    <w:name w:val="TOC Heading"/>
    <w:basedOn w:val="Heading1"/>
    <w:next w:val="Normal"/>
    <w:uiPriority w:val="39"/>
    <w:unhideWhenUsed/>
    <w:qFormat/>
    <w:rsid w:val="008554C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n-US" w:eastAsia="ja-JP"/>
    </w:rPr>
  </w:style>
  <w:style w:type="character" w:styleId="Strong">
    <w:name w:val="Strong"/>
    <w:uiPriority w:val="22"/>
    <w:qFormat/>
    <w:rsid w:val="00966AB9"/>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66AB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4"/>
      <w:szCs w:val="24"/>
      <w:bdr w:val="none" w:sz="0" w:space="0" w:color="auto"/>
      <w:vertAlign w:val="superscript"/>
      <w:lang w:val="en-US" w:eastAsia="en-US"/>
    </w:rPr>
  </w:style>
  <w:style w:type="character" w:styleId="PlaceholderText">
    <w:name w:val="Placeholder Text"/>
    <w:basedOn w:val="DefaultParagraphFont"/>
    <w:uiPriority w:val="99"/>
    <w:semiHidden/>
    <w:rsid w:val="00C241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5183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5" Type="http://schemas.openxmlformats.org/officeDocument/2006/relationships/hyperlink" Target="http://joomla.corteidh.or.cr:8080/joomla/es/casos-contenciosos/38-jurisprudencia/386-corte-idh-caso-de-la-cruz-flores-vs-peru-fondo-reparaciones-y-costas-sentencia-de-18-de-noviembre-de-2004-serie-c-no-115"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BACD-68A4-4D3C-9BFE-DB047C99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9078</Words>
  <Characters>51751</Characters>
  <Application>Microsoft Office Word</Application>
  <DocSecurity>0</DocSecurity>
  <Lines>431</Lines>
  <Paragraphs>121</Paragraphs>
  <ScaleCrop>false</ScaleCrop>
  <Company/>
  <LinksUpToDate>false</LinksUpToDate>
  <CharactersWithSpaces>60708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2020-12-14T12:05:00Z</dcterms:created>
  <dcterms:modified xsi:type="dcterms:W3CDTF">2020-12-14T12:14:00Z</dcterms:modified>
</cp:coreProperties>
</file>